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BF" w:rsidRDefault="00653ABF" w:rsidP="00653ABF">
      <w:pPr>
        <w:jc w:val="center"/>
      </w:pPr>
    </w:p>
    <w:p w:rsidR="00653ABF" w:rsidRDefault="00653ABF" w:rsidP="00653ABF">
      <w:pPr>
        <w:jc w:val="center"/>
      </w:pPr>
    </w:p>
    <w:p w:rsidR="00653ABF" w:rsidRDefault="00653ABF" w:rsidP="00653ABF">
      <w:pPr>
        <w:jc w:val="center"/>
      </w:pPr>
    </w:p>
    <w:p w:rsidR="00653ABF" w:rsidRPr="00092FD7" w:rsidRDefault="00653ABF" w:rsidP="00653ABF">
      <w:pPr>
        <w:spacing w:line="360" w:lineRule="auto"/>
        <w:jc w:val="center"/>
        <w:rPr>
          <w:b/>
          <w:color w:val="000000"/>
        </w:rPr>
      </w:pPr>
      <w:r w:rsidRPr="00092FD7">
        <w:rPr>
          <w:b/>
          <w:color w:val="000000"/>
        </w:rPr>
        <w:t>A century of monetary reform in South-East Europe:</w:t>
      </w:r>
    </w:p>
    <w:p w:rsidR="00653ABF" w:rsidRPr="00092FD7" w:rsidRDefault="00653ABF" w:rsidP="00653ABF">
      <w:pPr>
        <w:spacing w:line="360" w:lineRule="auto"/>
        <w:jc w:val="center"/>
        <w:rPr>
          <w:b/>
          <w:color w:val="000000"/>
        </w:rPr>
      </w:pPr>
      <w:r w:rsidRPr="00092FD7">
        <w:rPr>
          <w:b/>
          <w:color w:val="000000"/>
        </w:rPr>
        <w:t>From political autonomy to the gold standard, 1815-1910</w:t>
      </w: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Pr="00D01C5F" w:rsidRDefault="00653ABF" w:rsidP="00653ABF">
      <w:pPr>
        <w:jc w:val="center"/>
      </w:pPr>
      <w:r w:rsidRPr="00D01C5F">
        <w:t>Matthias Morys</w:t>
      </w:r>
    </w:p>
    <w:p w:rsidR="00653ABF" w:rsidRPr="00AD5441" w:rsidRDefault="00653ABF" w:rsidP="00653ABF">
      <w:pPr>
        <w:jc w:val="center"/>
      </w:pPr>
      <w:r w:rsidRPr="00AD5441">
        <w:t>Department of Economics</w:t>
      </w:r>
    </w:p>
    <w:p w:rsidR="00653ABF" w:rsidRDefault="00653ABF" w:rsidP="00653ABF">
      <w:pPr>
        <w:jc w:val="center"/>
      </w:pPr>
      <w:r w:rsidRPr="00AD5441">
        <w:t>University of York</w:t>
      </w:r>
    </w:p>
    <w:p w:rsidR="00653ABF" w:rsidRDefault="00653ABF" w:rsidP="00653ABF">
      <w:pPr>
        <w:jc w:val="center"/>
      </w:pPr>
      <w:r>
        <w:t>York YO10 5DD</w:t>
      </w:r>
    </w:p>
    <w:p w:rsidR="00653ABF" w:rsidRDefault="00653ABF" w:rsidP="00653ABF">
      <w:pPr>
        <w:jc w:val="center"/>
      </w:pPr>
      <w:r>
        <w:t>United Kingdom</w:t>
      </w:r>
    </w:p>
    <w:p w:rsidR="00653ABF" w:rsidRPr="00AD5441" w:rsidRDefault="00653ABF" w:rsidP="00653ABF">
      <w:pPr>
        <w:jc w:val="center"/>
      </w:pPr>
    </w:p>
    <w:p w:rsidR="00653ABF" w:rsidRDefault="0002226A" w:rsidP="00653ABF">
      <w:pPr>
        <w:jc w:val="center"/>
      </w:pPr>
      <w:hyperlink r:id="rId9" w:history="1">
        <w:r w:rsidR="00653ABF" w:rsidRPr="002C4D44">
          <w:rPr>
            <w:rStyle w:val="Hyperlink"/>
          </w:rPr>
          <w:t>matthias.morys@york.ac.uk</w:t>
        </w:r>
      </w:hyperlink>
    </w:p>
    <w:p w:rsidR="00653ABF" w:rsidRDefault="0002226A" w:rsidP="00653ABF">
      <w:pPr>
        <w:jc w:val="center"/>
      </w:pPr>
      <w:hyperlink r:id="rId10" w:history="1">
        <w:r w:rsidR="00653ABF" w:rsidRPr="002C4D44">
          <w:rPr>
            <w:rStyle w:val="Hyperlink"/>
          </w:rPr>
          <w:t>https://sites.google.com/site/matthiasmorys/</w:t>
        </w:r>
      </w:hyperlink>
    </w:p>
    <w:p w:rsidR="00653ABF" w:rsidRDefault="00653ABF" w:rsidP="00653ABF">
      <w:pPr>
        <w:jc w:val="center"/>
      </w:pPr>
    </w:p>
    <w:p w:rsidR="00653ABF" w:rsidRDefault="00653ABF" w:rsidP="00653ABF">
      <w:pPr>
        <w:jc w:val="center"/>
      </w:pPr>
      <w:r>
        <w:t>Tel: +44 1904 324671</w:t>
      </w:r>
    </w:p>
    <w:p w:rsidR="00653ABF" w:rsidRDefault="00653ABF" w:rsidP="00653ABF">
      <w:pPr>
        <w:jc w:val="center"/>
      </w:pPr>
      <w:r>
        <w:t>Fax: +44 1904 327359</w:t>
      </w: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pPr>
        <w:jc w:val="center"/>
      </w:pPr>
    </w:p>
    <w:p w:rsidR="00653ABF" w:rsidRPr="00504711" w:rsidRDefault="00653ABF" w:rsidP="00653ABF">
      <w:pPr>
        <w:jc w:val="center"/>
        <w:rPr>
          <w:b/>
        </w:rPr>
      </w:pPr>
      <w:r w:rsidRPr="00504711">
        <w:rPr>
          <w:b/>
        </w:rPr>
        <w:t>Abstract</w:t>
      </w:r>
    </w:p>
    <w:p w:rsidR="00653ABF" w:rsidRDefault="00653ABF" w:rsidP="00653ABF">
      <w:pPr>
        <w:jc w:val="both"/>
      </w:pPr>
    </w:p>
    <w:p w:rsidR="00653ABF" w:rsidRPr="001C4B6F" w:rsidRDefault="00653ABF" w:rsidP="00653ABF">
      <w:pPr>
        <w:jc w:val="both"/>
      </w:pPr>
      <w:r w:rsidRPr="001C4B6F">
        <w:t xml:space="preserve">We document and analyse monetary reform in </w:t>
      </w:r>
      <w:r>
        <w:t xml:space="preserve">Bulgaria, Greece, Serbia and Romania from 1815 (Serbian autonomy within the Ottoman Empire) to 1910, when Greece became the last country in the region to join the gold standard. We explain five key steps of monetary reform which the four countries passed in the same chronological order, and ask why national coinage and the foundation of a bank of note issue came late in the reform process. The South-East European </w:t>
      </w:r>
      <w:r w:rsidRPr="001C4B6F">
        <w:t>countries tried to emulate West European prototypes, yet economic backwardness meant such institutions were often different from the onset</w:t>
      </w:r>
      <w:r>
        <w:t>, remained short-lived or both.</w:t>
      </w:r>
    </w:p>
    <w:p w:rsidR="00653ABF" w:rsidRDefault="00653ABF" w:rsidP="00653ABF">
      <w:pPr>
        <w:jc w:val="both"/>
        <w:rPr>
          <w:sz w:val="18"/>
          <w:szCs w:val="18"/>
        </w:rPr>
      </w:pPr>
    </w:p>
    <w:p w:rsidR="00653ABF" w:rsidRPr="00D01C5F" w:rsidRDefault="00653ABF" w:rsidP="00653ABF">
      <w:pPr>
        <w:jc w:val="both"/>
        <w:rPr>
          <w:sz w:val="18"/>
          <w:szCs w:val="18"/>
        </w:rPr>
      </w:pPr>
    </w:p>
    <w:p w:rsidR="00653ABF" w:rsidRPr="00BA4102" w:rsidRDefault="00653ABF" w:rsidP="00653ABF">
      <w:pPr>
        <w:jc w:val="both"/>
        <w:rPr>
          <w:color w:val="000000"/>
          <w:sz w:val="14"/>
          <w:szCs w:val="14"/>
        </w:rPr>
      </w:pPr>
    </w:p>
    <w:p w:rsidR="00653ABF" w:rsidRPr="00CE67E2" w:rsidRDefault="00653ABF" w:rsidP="00653ABF">
      <w:pPr>
        <w:ind w:left="2160" w:hanging="2160"/>
        <w:rPr>
          <w:color w:val="000000"/>
        </w:rPr>
      </w:pPr>
      <w:r w:rsidRPr="00CE67E2">
        <w:rPr>
          <w:b/>
          <w:color w:val="000000"/>
        </w:rPr>
        <w:t xml:space="preserve">Keywords: </w:t>
      </w:r>
      <w:r w:rsidRPr="00CE67E2">
        <w:rPr>
          <w:color w:val="000000"/>
        </w:rPr>
        <w:tab/>
        <w:t xml:space="preserve">gold standard, </w:t>
      </w:r>
      <w:r>
        <w:rPr>
          <w:color w:val="000000"/>
        </w:rPr>
        <w:t xml:space="preserve">central banks, </w:t>
      </w:r>
      <w:r w:rsidRPr="00CE67E2">
        <w:rPr>
          <w:color w:val="000000"/>
        </w:rPr>
        <w:t>South-East Europe</w:t>
      </w:r>
    </w:p>
    <w:p w:rsidR="00653ABF" w:rsidRPr="00D01C5F" w:rsidRDefault="00653ABF" w:rsidP="00653ABF">
      <w:pPr>
        <w:jc w:val="both"/>
        <w:rPr>
          <w:color w:val="000000"/>
          <w:sz w:val="14"/>
          <w:szCs w:val="14"/>
        </w:rPr>
      </w:pPr>
    </w:p>
    <w:p w:rsidR="00653ABF" w:rsidRPr="00CE67E2" w:rsidRDefault="00653ABF" w:rsidP="00653ABF">
      <w:pPr>
        <w:jc w:val="both"/>
        <w:rPr>
          <w:color w:val="000000"/>
        </w:rPr>
      </w:pPr>
      <w:r w:rsidRPr="00CE67E2">
        <w:rPr>
          <w:b/>
          <w:color w:val="000000"/>
        </w:rPr>
        <w:t>JEL classification:</w:t>
      </w:r>
      <w:r w:rsidRPr="00CE67E2">
        <w:rPr>
          <w:color w:val="000000"/>
        </w:rPr>
        <w:t xml:space="preserve"> </w:t>
      </w:r>
      <w:r w:rsidRPr="00CE67E2">
        <w:rPr>
          <w:color w:val="000000"/>
        </w:rPr>
        <w:tab/>
      </w:r>
      <w:r w:rsidRPr="0064219F">
        <w:rPr>
          <w:color w:val="000000"/>
        </w:rPr>
        <w:t>N13, N14, N23, N24, E42, E58, F33</w:t>
      </w:r>
    </w:p>
    <w:p w:rsidR="00653ABF" w:rsidRDefault="00653ABF" w:rsidP="00653ABF">
      <w:pPr>
        <w:jc w:val="center"/>
      </w:pPr>
    </w:p>
    <w:p w:rsidR="00653ABF" w:rsidRDefault="00653ABF" w:rsidP="00653ABF">
      <w:pPr>
        <w:jc w:val="center"/>
      </w:pPr>
    </w:p>
    <w:p w:rsidR="00653ABF" w:rsidRDefault="00653ABF" w:rsidP="00653ABF">
      <w:pPr>
        <w:jc w:val="center"/>
      </w:pPr>
    </w:p>
    <w:p w:rsidR="00653ABF" w:rsidRDefault="00653ABF" w:rsidP="00653ABF">
      <w:r>
        <w:br w:type="page"/>
      </w:r>
    </w:p>
    <w:p w:rsidR="00A05E22" w:rsidRDefault="00A05E22" w:rsidP="00271F3C">
      <w:pPr>
        <w:jc w:val="center"/>
      </w:pPr>
    </w:p>
    <w:p w:rsidR="00A05E22" w:rsidRDefault="00A05E22" w:rsidP="00271F3C">
      <w:pPr>
        <w:jc w:val="center"/>
      </w:pPr>
    </w:p>
    <w:p w:rsidR="00A05E22" w:rsidRDefault="00A05E22" w:rsidP="00271F3C">
      <w:pPr>
        <w:jc w:val="center"/>
      </w:pPr>
    </w:p>
    <w:p w:rsidR="00A05E22" w:rsidRPr="00092FD7" w:rsidRDefault="00A05E22" w:rsidP="00CA5CDA">
      <w:pPr>
        <w:spacing w:line="360" w:lineRule="auto"/>
        <w:jc w:val="center"/>
        <w:rPr>
          <w:b/>
          <w:color w:val="000000"/>
        </w:rPr>
      </w:pPr>
      <w:r w:rsidRPr="00092FD7">
        <w:rPr>
          <w:b/>
          <w:color w:val="000000"/>
        </w:rPr>
        <w:t>A century of monetary reform in South-East Europe:</w:t>
      </w:r>
    </w:p>
    <w:p w:rsidR="00A05E22" w:rsidRPr="00092FD7" w:rsidRDefault="00A05E22" w:rsidP="00CA5CDA">
      <w:pPr>
        <w:spacing w:line="360" w:lineRule="auto"/>
        <w:jc w:val="center"/>
        <w:rPr>
          <w:b/>
          <w:color w:val="000000"/>
        </w:rPr>
      </w:pPr>
      <w:r w:rsidRPr="00092FD7">
        <w:rPr>
          <w:b/>
          <w:color w:val="000000"/>
        </w:rPr>
        <w:t>From political autonomy to the gold standard, 1815-1910</w:t>
      </w: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Default="00A05E22" w:rsidP="00CA5CDA">
      <w:pPr>
        <w:jc w:val="center"/>
      </w:pPr>
    </w:p>
    <w:p w:rsidR="00A05E22" w:rsidRPr="00504711" w:rsidRDefault="00A05E22" w:rsidP="00CA5CDA">
      <w:pPr>
        <w:jc w:val="center"/>
        <w:rPr>
          <w:b/>
        </w:rPr>
      </w:pPr>
      <w:r w:rsidRPr="00504711">
        <w:rPr>
          <w:b/>
        </w:rPr>
        <w:t>Abstract</w:t>
      </w:r>
    </w:p>
    <w:p w:rsidR="00A05E22" w:rsidRDefault="00A05E22" w:rsidP="00CA5CDA">
      <w:pPr>
        <w:jc w:val="both"/>
      </w:pPr>
    </w:p>
    <w:p w:rsidR="00A05E22" w:rsidRPr="001C4B6F" w:rsidRDefault="00A05E22" w:rsidP="00CA5CDA">
      <w:pPr>
        <w:jc w:val="both"/>
      </w:pPr>
      <w:r w:rsidRPr="001C4B6F">
        <w:t xml:space="preserve">We document and analyse monetary reform in </w:t>
      </w:r>
      <w:r>
        <w:t xml:space="preserve">Bulgaria, Greece, Serbia and Romania from 1815 (Serbian autonomy within the Ottoman Empire) to 1910, when Greece became the last country in the region to join the gold standard. We explain five key steps of monetary reform which the four countries passed in the same chronological order, and ask why national coinage and the foundation of a bank of note issue came late in the reform process. The South-East European </w:t>
      </w:r>
      <w:r w:rsidRPr="001C4B6F">
        <w:t>countries tried to emulate West European prototypes, yet economic backwardness meant such institutions were often different from the onset</w:t>
      </w:r>
      <w:r>
        <w:t>, remained short-lived or both.</w:t>
      </w:r>
    </w:p>
    <w:p w:rsidR="00A05E22" w:rsidRDefault="00A05E22" w:rsidP="00CA5CDA">
      <w:pPr>
        <w:jc w:val="both"/>
        <w:rPr>
          <w:sz w:val="18"/>
          <w:szCs w:val="18"/>
        </w:rPr>
      </w:pPr>
    </w:p>
    <w:p w:rsidR="00A05E22" w:rsidRPr="00D01C5F" w:rsidRDefault="00A05E22" w:rsidP="00CA5CDA">
      <w:pPr>
        <w:jc w:val="both"/>
        <w:rPr>
          <w:sz w:val="18"/>
          <w:szCs w:val="18"/>
        </w:rPr>
      </w:pPr>
    </w:p>
    <w:p w:rsidR="00A05E22" w:rsidRPr="00BA4102" w:rsidRDefault="00A05E22" w:rsidP="00CA5CDA">
      <w:pPr>
        <w:jc w:val="both"/>
        <w:rPr>
          <w:color w:val="000000"/>
          <w:sz w:val="14"/>
          <w:szCs w:val="14"/>
        </w:rPr>
      </w:pPr>
    </w:p>
    <w:p w:rsidR="00A05E22" w:rsidRPr="00CE67E2" w:rsidRDefault="00A05E22" w:rsidP="00CA5CDA">
      <w:pPr>
        <w:ind w:left="2160" w:hanging="2160"/>
        <w:rPr>
          <w:color w:val="000000"/>
        </w:rPr>
      </w:pPr>
      <w:r w:rsidRPr="00CE67E2">
        <w:rPr>
          <w:b/>
          <w:color w:val="000000"/>
        </w:rPr>
        <w:t xml:space="preserve">Keywords: </w:t>
      </w:r>
      <w:r w:rsidRPr="00CE67E2">
        <w:rPr>
          <w:color w:val="000000"/>
        </w:rPr>
        <w:tab/>
        <w:t xml:space="preserve">gold standard, </w:t>
      </w:r>
      <w:r>
        <w:rPr>
          <w:color w:val="000000"/>
        </w:rPr>
        <w:t xml:space="preserve">central banks, </w:t>
      </w:r>
      <w:r w:rsidRPr="00CE67E2">
        <w:rPr>
          <w:color w:val="000000"/>
        </w:rPr>
        <w:t>South-East Europe</w:t>
      </w:r>
    </w:p>
    <w:p w:rsidR="00A05E22" w:rsidRPr="00D01C5F" w:rsidRDefault="00A05E22" w:rsidP="00CA5CDA">
      <w:pPr>
        <w:jc w:val="both"/>
        <w:rPr>
          <w:color w:val="000000"/>
          <w:sz w:val="14"/>
          <w:szCs w:val="14"/>
        </w:rPr>
      </w:pPr>
    </w:p>
    <w:p w:rsidR="00A05E22" w:rsidRPr="00CE67E2" w:rsidRDefault="00A05E22" w:rsidP="00CA5CDA">
      <w:pPr>
        <w:jc w:val="both"/>
        <w:rPr>
          <w:color w:val="000000"/>
        </w:rPr>
      </w:pPr>
      <w:r w:rsidRPr="00CE67E2">
        <w:rPr>
          <w:b/>
          <w:color w:val="000000"/>
        </w:rPr>
        <w:t>JEL classification:</w:t>
      </w:r>
      <w:r w:rsidRPr="00CE67E2">
        <w:rPr>
          <w:color w:val="000000"/>
        </w:rPr>
        <w:t xml:space="preserve"> </w:t>
      </w:r>
      <w:r w:rsidRPr="00CE67E2">
        <w:rPr>
          <w:color w:val="000000"/>
        </w:rPr>
        <w:tab/>
      </w:r>
      <w:r w:rsidRPr="0064219F">
        <w:rPr>
          <w:color w:val="000000"/>
        </w:rPr>
        <w:t>N13, N14, N23, N24, E42, E58, F33</w:t>
      </w:r>
    </w:p>
    <w:p w:rsidR="00A05E22" w:rsidRDefault="00A05E22" w:rsidP="00CA5CDA">
      <w:pPr>
        <w:jc w:val="center"/>
      </w:pPr>
    </w:p>
    <w:p w:rsidR="00A05E22" w:rsidRDefault="00A05E22" w:rsidP="00271F3C">
      <w:pPr>
        <w:jc w:val="center"/>
      </w:pPr>
    </w:p>
    <w:p w:rsidR="00271F3C" w:rsidRDefault="00271F3C" w:rsidP="00271F3C">
      <w:pPr>
        <w:jc w:val="center"/>
      </w:pPr>
    </w:p>
    <w:p w:rsidR="00653ABF" w:rsidRDefault="00653ABF">
      <w:r>
        <w:br w:type="page"/>
      </w:r>
    </w:p>
    <w:p w:rsidR="00A05E22" w:rsidRPr="00E4022D" w:rsidRDefault="00A05E22" w:rsidP="00CC5FB6">
      <w:pPr>
        <w:spacing w:line="360" w:lineRule="auto"/>
        <w:jc w:val="center"/>
        <w:rPr>
          <w:b/>
          <w:color w:val="000000" w:themeColor="text1"/>
        </w:rPr>
      </w:pPr>
      <w:r w:rsidRPr="00E4022D">
        <w:rPr>
          <w:b/>
          <w:color w:val="000000" w:themeColor="text1"/>
        </w:rPr>
        <w:lastRenderedPageBreak/>
        <w:t>A century of monetary reform in South-East Europe:</w:t>
      </w:r>
    </w:p>
    <w:p w:rsidR="00A05E22" w:rsidRPr="00E4022D" w:rsidRDefault="00A05E22" w:rsidP="00CC5FB6">
      <w:pPr>
        <w:spacing w:line="360" w:lineRule="auto"/>
        <w:jc w:val="center"/>
        <w:rPr>
          <w:b/>
          <w:color w:val="000000" w:themeColor="text1"/>
        </w:rPr>
      </w:pPr>
      <w:r w:rsidRPr="00E4022D">
        <w:rPr>
          <w:b/>
          <w:color w:val="000000" w:themeColor="text1"/>
        </w:rPr>
        <w:t>From political autonomy to the gold standard, 1815-1910</w:t>
      </w:r>
    </w:p>
    <w:p w:rsidR="00A05E22" w:rsidRDefault="00A05E22" w:rsidP="00CC5FB6">
      <w:pPr>
        <w:spacing w:line="360" w:lineRule="auto"/>
        <w:rPr>
          <w:color w:val="000000" w:themeColor="text1"/>
        </w:rPr>
      </w:pPr>
    </w:p>
    <w:p w:rsidR="00A05E22" w:rsidRPr="00E22863" w:rsidRDefault="00A05E22" w:rsidP="00CC5FB6">
      <w:pPr>
        <w:spacing w:line="360" w:lineRule="auto"/>
        <w:rPr>
          <w:b/>
          <w:color w:val="000000" w:themeColor="text1"/>
        </w:rPr>
      </w:pPr>
      <w:r w:rsidRPr="00E22863">
        <w:rPr>
          <w:b/>
          <w:color w:val="000000" w:themeColor="text1"/>
        </w:rPr>
        <w:t>Introduction</w:t>
      </w:r>
    </w:p>
    <w:p w:rsidR="00A05E22" w:rsidRPr="00E4022D" w:rsidRDefault="00A05E22" w:rsidP="00CC5FB6">
      <w:pPr>
        <w:spacing w:line="360" w:lineRule="auto"/>
        <w:jc w:val="both"/>
        <w:rPr>
          <w:color w:val="000000" w:themeColor="text1"/>
        </w:rPr>
      </w:pPr>
      <w:r w:rsidRPr="00E4022D">
        <w:rPr>
          <w:color w:val="000000" w:themeColor="text1"/>
        </w:rPr>
        <w:t xml:space="preserve">What kind of monetary institutions do countries need to become proper states? In today’s circumstances, creating a national currency and establishing a central bank (entrusted with managing this currency) would be seen as minimum requirements; this is the case even when the newly created national currency is pegged from day one of statehood to another currency (e.g., Bosnia-Hercegovina and Kosovo to the Deutschmark/Euro since 1995 and 1999, respectively). This pattern has been followed since the interwar period, when the newly independent countries of Central and Eastern Europe established themselves politically, economically and administratively on the territories wrenched from Austria-Hungary and Tsarist Russia; a two-step procedure followed by countries in the post-WW II wave of decolonisation and again by the transition economies in the 1990s. </w:t>
      </w:r>
      <w:r w:rsidRPr="00E4022D">
        <w:rPr>
          <w:color w:val="000000" w:themeColor="text1"/>
        </w:rPr>
        <w:tab/>
        <w:t xml:space="preserve">Yet in a longer historical perspective, few monetary institutions were </w:t>
      </w:r>
      <w:r>
        <w:rPr>
          <w:color w:val="000000" w:themeColor="text1"/>
        </w:rPr>
        <w:t>indispensable</w:t>
      </w:r>
      <w:r w:rsidRPr="00E4022D">
        <w:rPr>
          <w:color w:val="000000" w:themeColor="text1"/>
        </w:rPr>
        <w:t xml:space="preserve"> to statehood. Banks of note issue – the fore-runners of today’s central banks – date back only to the 17</w:t>
      </w:r>
      <w:r w:rsidRPr="00E4022D">
        <w:rPr>
          <w:color w:val="000000" w:themeColor="text1"/>
          <w:vertAlign w:val="superscript"/>
        </w:rPr>
        <w:t>th</w:t>
      </w:r>
      <w:r w:rsidRPr="00E4022D">
        <w:rPr>
          <w:color w:val="000000" w:themeColor="text1"/>
        </w:rPr>
        <w:t xml:space="preserve"> century (Sweden’s </w:t>
      </w:r>
      <w:proofErr w:type="spellStart"/>
      <w:r w:rsidRPr="00E4022D">
        <w:rPr>
          <w:color w:val="000000" w:themeColor="text1"/>
        </w:rPr>
        <w:t>Riksbank</w:t>
      </w:r>
      <w:proofErr w:type="spellEnd"/>
      <w:r w:rsidRPr="00E4022D">
        <w:rPr>
          <w:color w:val="000000" w:themeColor="text1"/>
        </w:rPr>
        <w:t>: 1668; Bank of England: 1694), and unified coinage was absent for centuries in the “old” European state with roots in the Middle Ages (England, France, Portugal, Spain, Denmark and Sweden). In all these cases, a national currency and a bank of note issue were a late addition to an already well-established statehood, and the Early Modern “bureaucratic revolution” had evolved around other administrative and economic issues.</w:t>
      </w:r>
    </w:p>
    <w:p w:rsidR="00A05E22" w:rsidRPr="00E4022D" w:rsidRDefault="00A05E22" w:rsidP="00CC5FB6">
      <w:pPr>
        <w:spacing w:line="360" w:lineRule="auto"/>
        <w:jc w:val="both"/>
        <w:rPr>
          <w:color w:val="000000" w:themeColor="text1"/>
        </w:rPr>
      </w:pPr>
      <w:r w:rsidRPr="00E4022D">
        <w:rPr>
          <w:color w:val="000000" w:themeColor="text1"/>
        </w:rPr>
        <w:tab/>
        <w:t>This brief analysis suggests that monetary institutions vital for statehood changed over time. The Balkan countries, which will constitute the focus of this paper, allow us to study this question for a particularly interesting period, i.e. the late 19</w:t>
      </w:r>
      <w:r w:rsidRPr="00E4022D">
        <w:rPr>
          <w:color w:val="000000" w:themeColor="text1"/>
          <w:vertAlign w:val="superscript"/>
        </w:rPr>
        <w:t>th</w:t>
      </w:r>
      <w:r w:rsidRPr="00E4022D">
        <w:rPr>
          <w:color w:val="000000" w:themeColor="text1"/>
        </w:rPr>
        <w:t xml:space="preserve"> century which saw modern economic growth and industrialisation spreading beyond North-Western Europe and the emergence of a global economy epitomised by the gold standard. While the global trend at the time (a period often referred to in political history as the Age of High Imperialism) was towards incorporation of non-European political entities into (West-)European colonial empires, the South-East European countries</w:t>
      </w:r>
      <w:r w:rsidRPr="00E4022D">
        <w:rPr>
          <w:rStyle w:val="FootnoteReference"/>
          <w:color w:val="000000" w:themeColor="text1"/>
        </w:rPr>
        <w:footnoteReference w:id="1"/>
      </w:r>
      <w:r w:rsidRPr="00E4022D">
        <w:rPr>
          <w:color w:val="000000" w:themeColor="text1"/>
        </w:rPr>
        <w:t xml:space="preserve"> (SEE) obtained political independence from an Ottoman Empire in (relative) economic decline and had to ask themselves all the questions at the heart of this paper: do we need national coinage and a bank of note issue, or can we break </w:t>
      </w:r>
      <w:r w:rsidRPr="00E4022D">
        <w:rPr>
          <w:color w:val="000000" w:themeColor="text1"/>
        </w:rPr>
        <w:lastRenderedPageBreak/>
        <w:t>with the Ottoman Empire politically but still rely on its monetary system? Is a bank of note issue necessary for or, at least, conducive to issuing government bonds? Last but not least, was gold standard membership part and parcel of a modern monetary system or a separate objective of economic policy?</w:t>
      </w:r>
    </w:p>
    <w:p w:rsidR="00A05E22" w:rsidRPr="00E4022D" w:rsidRDefault="00A05E22" w:rsidP="00CC5FB6">
      <w:pPr>
        <w:spacing w:line="360" w:lineRule="auto"/>
        <w:jc w:val="both"/>
        <w:rPr>
          <w:color w:val="000000" w:themeColor="text1"/>
        </w:rPr>
      </w:pPr>
      <w:r w:rsidRPr="00E4022D">
        <w:rPr>
          <w:color w:val="000000" w:themeColor="text1"/>
        </w:rPr>
        <w:tab/>
        <w:t>In the following, we will describe and analyse monetary reform in fo</w:t>
      </w:r>
      <w:r>
        <w:rPr>
          <w:color w:val="000000" w:themeColor="text1"/>
        </w:rPr>
        <w:t>u</w:t>
      </w:r>
      <w:r w:rsidRPr="00E4022D">
        <w:rPr>
          <w:color w:val="000000" w:themeColor="text1"/>
        </w:rPr>
        <w:t>r Balkan countries between 1815 and 1910. By the early 20</w:t>
      </w:r>
      <w:r w:rsidRPr="00E4022D">
        <w:rPr>
          <w:color w:val="000000" w:themeColor="text1"/>
          <w:vertAlign w:val="superscript"/>
        </w:rPr>
        <w:t>th</w:t>
      </w:r>
      <w:r w:rsidRPr="00E4022D">
        <w:rPr>
          <w:color w:val="000000" w:themeColor="text1"/>
        </w:rPr>
        <w:t xml:space="preserve"> century, Greece (1832), Romania (1878), Serbia (1878) and Bulgaria (1908) had all been recognised internationally as sovereign states, but this “seal of approval” was preceded by a slow process of transition from being part of the Ottoman Empire to autonomy within it. Serbia, the first country to achieve some form of autonomy in 1815, for instance, had to wait another 63 years to achieve full-fledged political independence at the Congress of Berlin (1878). The interval between autonomy and independence was shorter in the other three cases, but </w:t>
      </w:r>
      <w:r>
        <w:rPr>
          <w:color w:val="000000" w:themeColor="text1"/>
        </w:rPr>
        <w:t>still more</w:t>
      </w:r>
      <w:r w:rsidRPr="00E4022D">
        <w:rPr>
          <w:color w:val="000000" w:themeColor="text1"/>
        </w:rPr>
        <w:t xml:space="preserve"> than a decade</w:t>
      </w:r>
      <w:r>
        <w:rPr>
          <w:color w:val="000000" w:themeColor="text1"/>
        </w:rPr>
        <w:t xml:space="preserve"> in each of them</w:t>
      </w:r>
      <w:r w:rsidRPr="00E4022D">
        <w:rPr>
          <w:color w:val="000000" w:themeColor="text1"/>
        </w:rPr>
        <w:t xml:space="preserve">. The Greek revolution started in 1821, Romania received autonomy from the </w:t>
      </w:r>
      <w:r>
        <w:rPr>
          <w:color w:val="000000" w:themeColor="text1"/>
        </w:rPr>
        <w:t xml:space="preserve">Ottoman </w:t>
      </w:r>
      <w:r w:rsidRPr="00E4022D">
        <w:rPr>
          <w:color w:val="000000" w:themeColor="text1"/>
        </w:rPr>
        <w:t xml:space="preserve">Porte in 1859 and Bulgaria was released into independence in all but name in 1878. </w:t>
      </w:r>
      <w:r>
        <w:rPr>
          <w:color w:val="000000" w:themeColor="text1"/>
        </w:rPr>
        <w:t xml:space="preserve">Only in the Greek case there were prolonged military hostilities (Greek War of Independence, 1821-1828). </w:t>
      </w:r>
      <w:r w:rsidRPr="00E4022D">
        <w:rPr>
          <w:color w:val="000000" w:themeColor="text1"/>
        </w:rPr>
        <w:t>In each case, it was the earlier date which created the political space for economic policy, including monetary reform; and hence forms the starting point of our analysis. We end in 1910, when Greece adopted the gold standard, following earlier such moves by Romania (1890), Bulgaria (1906) and Serbia (1909).</w:t>
      </w:r>
    </w:p>
    <w:p w:rsidR="00A05E22" w:rsidRDefault="00A05E22" w:rsidP="00CC5FB6">
      <w:pPr>
        <w:spacing w:line="360" w:lineRule="auto"/>
        <w:jc w:val="both"/>
        <w:rPr>
          <w:color w:val="000000" w:themeColor="text1"/>
        </w:rPr>
      </w:pPr>
      <w:r w:rsidRPr="00E4022D">
        <w:rPr>
          <w:color w:val="000000" w:themeColor="text1"/>
        </w:rPr>
        <w:tab/>
        <w:t>What were the important monetary reforms enacted in SEE between 1815 and 1910? While the exact chronology differs between countries, the sequence of events followed a standard pattern</w:t>
      </w:r>
      <w:r>
        <w:rPr>
          <w:color w:val="000000" w:themeColor="text1"/>
        </w:rPr>
        <w:t xml:space="preserve"> (table1)</w:t>
      </w:r>
      <w:r w:rsidRPr="00E4022D">
        <w:rPr>
          <w:color w:val="000000" w:themeColor="text1"/>
        </w:rPr>
        <w:t xml:space="preserve">: countries first passed a national budget, which reflected a practical need (autonomy came with obligations) but also expressed further </w:t>
      </w:r>
      <w:r>
        <w:rPr>
          <w:color w:val="000000" w:themeColor="text1"/>
        </w:rPr>
        <w:t xml:space="preserve">political </w:t>
      </w:r>
      <w:r w:rsidRPr="00E4022D">
        <w:rPr>
          <w:color w:val="000000" w:themeColor="text1"/>
        </w:rPr>
        <w:t>ambitions (independence). This was followed within a relatively short time period by a coin</w:t>
      </w:r>
      <w:r>
        <w:rPr>
          <w:color w:val="000000" w:themeColor="text1"/>
        </w:rPr>
        <w:t>age act (which allowed expre</w:t>
      </w:r>
      <w:r w:rsidRPr="00E4022D">
        <w:rPr>
          <w:color w:val="000000" w:themeColor="text1"/>
        </w:rPr>
        <w:t>s</w:t>
      </w:r>
      <w:r>
        <w:rPr>
          <w:color w:val="000000" w:themeColor="text1"/>
        </w:rPr>
        <w:t>sing</w:t>
      </w:r>
      <w:r w:rsidRPr="00E4022D">
        <w:rPr>
          <w:color w:val="000000" w:themeColor="text1"/>
        </w:rPr>
        <w:t xml:space="preserve"> the budget in national currency). The third step probably comes as a surprise: even before obtaining political independence or establishing a bank of note issue, the Balkan countries opened up to foreign bond markets, reflecting the sizeable investment needs (in particular into railways) in the presence of scarce domestic savings. Only then, as a fourth and penultimate step, a bank of note issue was founded, giving rise to a monetary policy proper. Ironically, the foundation of a bank of note issue hindered rather than helped taking the fifth and final step of monetary reform, i.e. joining the gold standard: in opening the door to seigniorage revenue on unprecedented scale (through forced central bank loans), the exchange-rate depreciated significantly, and it took subsequently approx. two decades of </w:t>
      </w:r>
      <w:r w:rsidRPr="00E4022D">
        <w:rPr>
          <w:color w:val="000000" w:themeColor="text1"/>
        </w:rPr>
        <w:lastRenderedPageBreak/>
        <w:t>monetary stabilisation and fiscal consolidation between foundation of a bank of note issue and eventual gold standard adherence.</w:t>
      </w:r>
    </w:p>
    <w:p w:rsidR="00A05E22" w:rsidRDefault="00A05E22" w:rsidP="00CC5FB6">
      <w:pPr>
        <w:spacing w:line="360" w:lineRule="auto"/>
        <w:jc w:val="both"/>
      </w:pPr>
    </w:p>
    <w:p w:rsidR="00A05E22" w:rsidRPr="004B5E36" w:rsidRDefault="00A05E22" w:rsidP="00CC5FB6">
      <w:pPr>
        <w:spacing w:line="360" w:lineRule="auto"/>
        <w:jc w:val="both"/>
        <w:rPr>
          <w:b/>
        </w:rPr>
      </w:pPr>
      <w:r>
        <w:rPr>
          <w:b/>
        </w:rPr>
        <w:tab/>
        <w:t>[table_</w:t>
      </w:r>
      <w:r w:rsidRPr="004B5E36">
        <w:rPr>
          <w:b/>
        </w:rPr>
        <w:t>1]</w:t>
      </w:r>
    </w:p>
    <w:p w:rsidR="00A05E22" w:rsidRDefault="00A05E22" w:rsidP="00CC5FB6">
      <w:pPr>
        <w:spacing w:line="360" w:lineRule="auto"/>
        <w:jc w:val="both"/>
      </w:pPr>
    </w:p>
    <w:p w:rsidR="00A05E22" w:rsidRDefault="00A05E22" w:rsidP="00CC5FB6">
      <w:pPr>
        <w:spacing w:line="360" w:lineRule="auto"/>
        <w:jc w:val="both"/>
      </w:pPr>
    </w:p>
    <w:p w:rsidR="00A05E22" w:rsidRDefault="00A05E22" w:rsidP="00CC5FB6">
      <w:pPr>
        <w:spacing w:line="360" w:lineRule="auto"/>
        <w:jc w:val="both"/>
        <w:rPr>
          <w:color w:val="000000" w:themeColor="text1"/>
        </w:rPr>
      </w:pPr>
      <w:r>
        <w:rPr>
          <w:b/>
          <w:color w:val="000000" w:themeColor="text1"/>
        </w:rPr>
        <w:t>Step 1:</w:t>
      </w:r>
      <w:r w:rsidRPr="00E22863">
        <w:rPr>
          <w:b/>
          <w:color w:val="000000" w:themeColor="text1"/>
        </w:rPr>
        <w:t xml:space="preserve"> A national budget</w:t>
      </w:r>
    </w:p>
    <w:p w:rsidR="00A05E22" w:rsidRDefault="00A05E22" w:rsidP="00CC5FB6">
      <w:pPr>
        <w:spacing w:line="360" w:lineRule="auto"/>
        <w:jc w:val="both"/>
        <w:rPr>
          <w:color w:val="000000" w:themeColor="text1"/>
        </w:rPr>
      </w:pPr>
      <w:r>
        <w:rPr>
          <w:color w:val="000000" w:themeColor="text1"/>
        </w:rPr>
        <w:t>The first step towards a modern monetary system consisted of passing a unified budget on the national level. This move might not appear a major event and arguably does not constitute a “monetary reform” in the narrow sense of the word; yet such an approach would grossly underestimate the importance of the event. Two obstacles needed to be overcome, one “external” and the other “internal”. “Externally”, a national budget raised the question to what extent it was compatible with autonomy short of political independence;  a consideration which weighed more heavily in the early 19</w:t>
      </w:r>
      <w:r w:rsidRPr="00E22863">
        <w:rPr>
          <w:color w:val="000000" w:themeColor="text1"/>
          <w:vertAlign w:val="superscript"/>
        </w:rPr>
        <w:t>th</w:t>
      </w:r>
      <w:r>
        <w:rPr>
          <w:color w:val="000000" w:themeColor="text1"/>
        </w:rPr>
        <w:t xml:space="preserve"> century (Serbia) than at later stages when the Ottoman Empire had gotten used to seeing autonomy as a first step towards eventual political independence. Yet the real resistance to a national budget was typically internal: in introducing transparency and some element of accountability, a national budget was often resisted by the leaders of the military rebellion (and hence the first political leaders) who preferred to run the new states as their own fiefdom. The cases of Serbia and Greece illustrate this tension very well. Count Milos </w:t>
      </w:r>
      <w:proofErr w:type="spellStart"/>
      <w:r>
        <w:rPr>
          <w:color w:val="000000" w:themeColor="text1"/>
        </w:rPr>
        <w:t>Obrenovic</w:t>
      </w:r>
      <w:proofErr w:type="spellEnd"/>
      <w:r>
        <w:rPr>
          <w:color w:val="000000" w:themeColor="text1"/>
        </w:rPr>
        <w:t xml:space="preserve"> (1780-1860), the Serbian warlord turned political leader after the successful Second Serbian Uprising (1815), strongly resisted the participation of other warlords in “his” government; it took 20 years for him to be overthrown and a constitution to be imposed upon his successor which entailed, among others, the provision of an annual budget (</w:t>
      </w:r>
      <w:proofErr w:type="spellStart"/>
      <w:r>
        <w:rPr>
          <w:color w:val="000000" w:themeColor="text1"/>
        </w:rPr>
        <w:t>Sundhausen</w:t>
      </w:r>
      <w:proofErr w:type="spellEnd"/>
      <w:r>
        <w:rPr>
          <w:color w:val="000000" w:themeColor="text1"/>
        </w:rPr>
        <w:t xml:space="preserve"> 1989: 445). Similarly, the early Greek state did not know anything resembling a national budget; political, economic and military power was in the hands of various Greek clans. The first national budget of 1833 emerged in response to the 1832 treaty, when England, France, Russia and Bavaria demanded the development of the </w:t>
      </w:r>
      <w:proofErr w:type="gramStart"/>
      <w:r>
        <w:rPr>
          <w:color w:val="000000" w:themeColor="text1"/>
        </w:rPr>
        <w:t>new</w:t>
      </w:r>
      <w:proofErr w:type="gramEnd"/>
      <w:r>
        <w:rPr>
          <w:color w:val="000000" w:themeColor="text1"/>
        </w:rPr>
        <w:t xml:space="preserve"> Greek state along European lines in exchange for recognising its independence from the Ottoman Empire. As the century went on, the interval between autonomy and first national budget shortened, but only in the case of Bulgaria do we see the modern pattern where a national budget is passed immediately after securing the political room for manoeuvre to do </w:t>
      </w:r>
      <w:proofErr w:type="gramStart"/>
      <w:r>
        <w:rPr>
          <w:color w:val="000000" w:themeColor="text1"/>
        </w:rPr>
        <w:t>so.</w:t>
      </w:r>
      <w:proofErr w:type="gramEnd"/>
    </w:p>
    <w:p w:rsidR="00A05E22" w:rsidRDefault="00A05E22" w:rsidP="00CC5FB6">
      <w:pPr>
        <w:spacing w:line="360" w:lineRule="auto"/>
        <w:jc w:val="both"/>
        <w:rPr>
          <w:color w:val="000000" w:themeColor="text1"/>
        </w:rPr>
      </w:pPr>
    </w:p>
    <w:p w:rsidR="00A57AEB" w:rsidRDefault="00A57AEB">
      <w:pPr>
        <w:rPr>
          <w:b/>
          <w:color w:val="000000" w:themeColor="text1"/>
        </w:rPr>
      </w:pPr>
      <w:bookmarkStart w:id="0" w:name="_GoBack"/>
      <w:bookmarkEnd w:id="0"/>
      <w:r>
        <w:rPr>
          <w:b/>
          <w:color w:val="000000" w:themeColor="text1"/>
        </w:rPr>
        <w:br w:type="page"/>
      </w:r>
    </w:p>
    <w:p w:rsidR="00A05E22" w:rsidRPr="00043FDF" w:rsidRDefault="00A05E22" w:rsidP="00CC5FB6">
      <w:pPr>
        <w:spacing w:line="360" w:lineRule="auto"/>
        <w:jc w:val="both"/>
        <w:rPr>
          <w:b/>
          <w:color w:val="000000" w:themeColor="text1"/>
        </w:rPr>
      </w:pPr>
      <w:r>
        <w:rPr>
          <w:b/>
          <w:color w:val="000000" w:themeColor="text1"/>
        </w:rPr>
        <w:lastRenderedPageBreak/>
        <w:t>Step 2: The c</w:t>
      </w:r>
      <w:r w:rsidRPr="00043FDF">
        <w:rPr>
          <w:b/>
          <w:color w:val="000000" w:themeColor="text1"/>
        </w:rPr>
        <w:t>oinage act</w:t>
      </w:r>
    </w:p>
    <w:p w:rsidR="00A05E22" w:rsidRDefault="00A05E22" w:rsidP="00CC5FB6">
      <w:pPr>
        <w:spacing w:line="360" w:lineRule="auto"/>
        <w:jc w:val="both"/>
        <w:rPr>
          <w:color w:val="000000" w:themeColor="text1"/>
        </w:rPr>
      </w:pPr>
      <w:r>
        <w:rPr>
          <w:color w:val="000000" w:themeColor="text1"/>
        </w:rPr>
        <w:t xml:space="preserve">In what currency would the national budget be passed? In the absence of a national currency, Serbia, Romania and Bulgaria all expressed their annual budgets initially in terms of foreign currency (the French franc in all cases); only Greece had already created its own currency (the </w:t>
      </w:r>
      <w:r>
        <w:rPr>
          <w:i/>
          <w:color w:val="000000" w:themeColor="text1"/>
        </w:rPr>
        <w:t>drachma</w:t>
      </w:r>
      <w:r>
        <w:rPr>
          <w:color w:val="000000" w:themeColor="text1"/>
        </w:rPr>
        <w:t>) by the time it passed its first budget, owing to shortage of coin for everyday transactions during the Greek War of Independence (1821-1828).</w:t>
      </w:r>
    </w:p>
    <w:p w:rsidR="00A05E22" w:rsidRDefault="00A05E22" w:rsidP="00CC5FB6">
      <w:pPr>
        <w:spacing w:line="360" w:lineRule="auto"/>
        <w:jc w:val="both"/>
      </w:pPr>
      <w:r>
        <w:rPr>
          <w:color w:val="000000" w:themeColor="text1"/>
        </w:rPr>
        <w:tab/>
        <w:t>Such approach would seem strange for the 20</w:t>
      </w:r>
      <w:r w:rsidRPr="00043FDF">
        <w:rPr>
          <w:color w:val="000000" w:themeColor="text1"/>
          <w:vertAlign w:val="superscript"/>
        </w:rPr>
        <w:t>th</w:t>
      </w:r>
      <w:r>
        <w:rPr>
          <w:color w:val="000000" w:themeColor="text1"/>
        </w:rPr>
        <w:t xml:space="preserve"> century, but quite natural in a 19</w:t>
      </w:r>
      <w:r w:rsidRPr="00043FDF">
        <w:rPr>
          <w:color w:val="000000" w:themeColor="text1"/>
          <w:vertAlign w:val="superscript"/>
        </w:rPr>
        <w:t>th</w:t>
      </w:r>
      <w:r>
        <w:rPr>
          <w:color w:val="000000" w:themeColor="text1"/>
        </w:rPr>
        <w:t xml:space="preserve"> century context characterised by foreign coin circulation. </w:t>
      </w:r>
      <w:r w:rsidRPr="001203C6">
        <w:t xml:space="preserve">The Balkan Peninsula </w:t>
      </w:r>
      <w:r>
        <w:t xml:space="preserve">at the time was not only a </w:t>
      </w:r>
      <w:r w:rsidRPr="001203C6">
        <w:t>colourful mixture of peoples but also of coins. Circulation of foreign coins was not unusual in the 19</w:t>
      </w:r>
      <w:r w:rsidRPr="001203C6">
        <w:rPr>
          <w:vertAlign w:val="superscript"/>
        </w:rPr>
        <w:t>th</w:t>
      </w:r>
      <w:r w:rsidRPr="001203C6">
        <w:t xml:space="preserve"> century, but it was more widespread in the Balkans than anywhere else in Europe (</w:t>
      </w:r>
      <w:proofErr w:type="spellStart"/>
      <w:r w:rsidRPr="001203C6">
        <w:t>Einaudi</w:t>
      </w:r>
      <w:proofErr w:type="spellEnd"/>
      <w:r w:rsidRPr="001203C6">
        <w:t xml:space="preserve"> 200</w:t>
      </w:r>
      <w:r>
        <w:t>7</w:t>
      </w:r>
      <w:r w:rsidRPr="001203C6">
        <w:t>). One of the few good sources to gauge the extent of foreign coi</w:t>
      </w:r>
      <w:r>
        <w:t xml:space="preserve">n circulation is the </w:t>
      </w:r>
      <w:r w:rsidRPr="001203C6">
        <w:t xml:space="preserve">exchange-rate lists of the Principality of Serbia (i.e., the nascent Serbian state </w:t>
      </w:r>
      <w:r>
        <w:t>between</w:t>
      </w:r>
      <w:r w:rsidRPr="001203C6">
        <w:t xml:space="preserve"> 1815 and 1878). In an attempt to regulate (and limit) foreign coin circulation, Serbia issued lists of Austrian, English, French, German, Greek and Ottoman coins in which taxes could be paid. While Turkish coins became less important over time, the coin circulation of Western provenance increased. But even as late as 1866 the Serbian authorities gave the choice between no less than 47 different types of coin, suggesting that many more were circulating at the time (Gnjatovic 2006, p. 47).</w:t>
      </w:r>
      <w:r>
        <w:t xml:space="preserve"> The evidence available for the early years of Romania point</w:t>
      </w:r>
      <w:r w:rsidR="00C9052D">
        <w:t>s</w:t>
      </w:r>
      <w:r>
        <w:t xml:space="preserve"> to the same conclusion </w:t>
      </w:r>
      <w:r w:rsidRPr="0055349C">
        <w:rPr>
          <w:color w:val="000000" w:themeColor="text1"/>
        </w:rPr>
        <w:t>(</w:t>
      </w:r>
      <w:proofErr w:type="spellStart"/>
      <w:r w:rsidRPr="0055349C">
        <w:rPr>
          <w:color w:val="000000" w:themeColor="text1"/>
        </w:rPr>
        <w:t>Lampe&amp;Jackson</w:t>
      </w:r>
      <w:proofErr w:type="spellEnd"/>
      <w:r w:rsidRPr="0055349C">
        <w:rPr>
          <w:color w:val="000000" w:themeColor="text1"/>
        </w:rPr>
        <w:t xml:space="preserve"> 1982: 205)</w:t>
      </w:r>
      <w:r>
        <w:t>.</w:t>
      </w:r>
    </w:p>
    <w:p w:rsidR="00A05E22" w:rsidRDefault="00A05E22" w:rsidP="00CC5FB6">
      <w:pPr>
        <w:spacing w:line="360" w:lineRule="auto"/>
        <w:jc w:val="both"/>
      </w:pPr>
      <w:r>
        <w:tab/>
        <w:t xml:space="preserve">This system worked sufficiently well for many years; or at least not badly enough to confront the two main obstacles to national coinage: would the Ottoman Empire object to coinage within territories of which it continued to be the sovereign? Moreover, how costly would national coinage be? The first issue weighed heavily on the autonomous Balkan countries. While foreign coin circulation was widespread, the only Imperial Mint was in Constantinople/Istanbul. Consequently, Serbia postponed the question for decades and waited for more populous and economically more powerful Romania to take a lead. Romania was hesitant as well and preferred a consensual solution, asking the Sublime Porte to add a clause to its approval of the 1866 Romanian constitution which would allow for the creation of a national currency </w:t>
      </w:r>
      <w:r w:rsidRPr="0055349C">
        <w:rPr>
          <w:color w:val="000000" w:themeColor="text1"/>
        </w:rPr>
        <w:t>(</w:t>
      </w:r>
      <w:proofErr w:type="spellStart"/>
      <w:r w:rsidRPr="0055349C">
        <w:rPr>
          <w:color w:val="000000" w:themeColor="text1"/>
        </w:rPr>
        <w:t>Lampe&amp;Jackson</w:t>
      </w:r>
      <w:proofErr w:type="spellEnd"/>
      <w:r w:rsidRPr="0055349C">
        <w:rPr>
          <w:color w:val="000000" w:themeColor="text1"/>
        </w:rPr>
        <w:t xml:space="preserve"> 1982: 205)</w:t>
      </w:r>
      <w:r>
        <w:t>. Only once the Ottoman Empire had granted this concession and a Romanian precedent had been set, did Serbia follow suit and passed its own coinage legislation in 1873, more than half a century after obtaining autonomy. As with other reforms, events in Bulgaria moved more quickly, yet followed the same order: autonomy in 1878 (Congress of Berlin), a first national budget expressed in French franc (1879) and a coinage act in 1880.</w:t>
      </w:r>
    </w:p>
    <w:p w:rsidR="00A05E22" w:rsidRPr="001203C6" w:rsidRDefault="00A05E22" w:rsidP="00CC5FB6">
      <w:pPr>
        <w:spacing w:line="360" w:lineRule="auto"/>
        <w:jc w:val="both"/>
      </w:pPr>
      <w:r>
        <w:lastRenderedPageBreak/>
        <w:tab/>
        <w:t>I</w:t>
      </w:r>
      <w:r w:rsidRPr="001203C6">
        <w:t>n this endeavour of establishing a national coinage system all countries turned to the Latin Monetary Union</w:t>
      </w:r>
      <w:r>
        <w:t xml:space="preserve"> (LMU)</w:t>
      </w:r>
      <w:r w:rsidRPr="001203C6">
        <w:t>.</w:t>
      </w:r>
      <w:r>
        <w:t xml:space="preserve"> </w:t>
      </w:r>
      <w:r w:rsidRPr="001203C6">
        <w:t>No region of the world welcomed LMU coinage principles as enthusiastically as South-East Europe (</w:t>
      </w:r>
      <w:proofErr w:type="spellStart"/>
      <w:r w:rsidRPr="001203C6">
        <w:t>Einaudi</w:t>
      </w:r>
      <w:proofErr w:type="spellEnd"/>
      <w:r w:rsidRPr="001203C6">
        <w:t xml:space="preserve"> 200</w:t>
      </w:r>
      <w:r>
        <w:t>7, Morys 2014</w:t>
      </w:r>
      <w:r w:rsidRPr="001203C6">
        <w:t>)</w:t>
      </w:r>
      <w:proofErr w:type="gramStart"/>
      <w:r w:rsidRPr="001203C6">
        <w:t>,</w:t>
      </w:r>
      <w:proofErr w:type="gramEnd"/>
      <w:r w:rsidRPr="001203C6">
        <w:t xml:space="preserve"> even though the 1865 LMU agreement explicitly invited all countries to adopt its rules (article 12). The French coinage system was not only ‘rational’ and ‘modern’ in the sense that it was based on the metric system (as opposed to the English coinage system which was based on the 1824 Imperial System of Weights and Measures, its only serious rival), but it was also the most widely used one in Europe. The omnipresence of French coins in mid-19</w:t>
      </w:r>
      <w:r w:rsidRPr="001203C6">
        <w:rPr>
          <w:vertAlign w:val="superscript"/>
        </w:rPr>
        <w:t>th</w:t>
      </w:r>
      <w:r w:rsidRPr="001203C6">
        <w:t xml:space="preserve"> century Europe is well-documented (</w:t>
      </w:r>
      <w:proofErr w:type="spellStart"/>
      <w:r w:rsidRPr="001203C6">
        <w:t>Helfferich</w:t>
      </w:r>
      <w:proofErr w:type="spellEnd"/>
      <w:r w:rsidRPr="001203C6">
        <w:t xml:space="preserve"> 1898), and their wide diffusion compared to English coins is easily explained. In the 1860s, the four LMU countries </w:t>
      </w:r>
      <w:r>
        <w:t xml:space="preserve">(France, Italy, Belgium and Switzerland) </w:t>
      </w:r>
      <w:r w:rsidRPr="001203C6">
        <w:t>combined had a population more than twice as large as the UK and a combined GDP that was 40% higher than British GDP</w:t>
      </w:r>
      <w:r>
        <w:t xml:space="preserve"> (Maddison 2003)</w:t>
      </w:r>
      <w:r w:rsidRPr="001203C6">
        <w:t xml:space="preserve">. The German coinage system was not yet a rival, as the German states, at the time, were themselves engaged in serious discussions on how to unify coinage within the German confederation. Both factors combined explain why in </w:t>
      </w:r>
      <w:r w:rsidRPr="001203C6">
        <w:rPr>
          <w:color w:val="000000"/>
        </w:rPr>
        <w:t>1867,</w:t>
      </w:r>
      <w:r w:rsidRPr="001203C6">
        <w:t xml:space="preserve"> at the First International Monetary Conference, held in Paris, countries from all over the world agreed that the French coinage system be universally adopted</w:t>
      </w:r>
      <w:r>
        <w:t xml:space="preserve"> (</w:t>
      </w:r>
      <w:proofErr w:type="spellStart"/>
      <w:r>
        <w:t>Reti</w:t>
      </w:r>
      <w:proofErr w:type="spellEnd"/>
      <w:r>
        <w:t xml:space="preserve"> 1998)</w:t>
      </w:r>
      <w:r w:rsidRPr="001203C6">
        <w:t xml:space="preserve">. </w:t>
      </w:r>
    </w:p>
    <w:p w:rsidR="00A05E22" w:rsidRDefault="00A05E22" w:rsidP="00CC5FB6">
      <w:pPr>
        <w:spacing w:line="360" w:lineRule="auto"/>
        <w:jc w:val="both"/>
      </w:pPr>
      <w:r>
        <w:tab/>
        <w:t>O</w:t>
      </w:r>
      <w:r w:rsidRPr="001203C6">
        <w:t xml:space="preserve">ther reasons made the LMU coinage system attractive to SEE in particular. First, it offered universal appeal but allowed for country-specific idiosyncrasies. The newly independent Balkan countries were allowed to label their currency as they wished (Bulgaria: lev; Greece: drachma; Romania: </w:t>
      </w:r>
      <w:proofErr w:type="spellStart"/>
      <w:r w:rsidRPr="001203C6">
        <w:t>leu</w:t>
      </w:r>
      <w:proofErr w:type="spellEnd"/>
      <w:r w:rsidRPr="001203C6">
        <w:t xml:space="preserve">; Serbia: dinar) and to have the royal effigy on the front of the coin. While this was theoretically possible under any coinage system, this option had already been pursued by Belgium, Italy and Switzerland in the case of the </w:t>
      </w:r>
      <w:r>
        <w:t>LMU</w:t>
      </w:r>
      <w:r w:rsidRPr="001203C6">
        <w:t>, making it tempting for the SEE countries to follow suit. Second, Bulgaria, Greece, Romania and Serbia all envisaged minting abroad as a cost-saving measure, creating an additional incentive to adopt the highly standardised and reputable LMU coinage system. Third, as France at the time was the most important creditor for European destinations, better access to the French capital market also militated in favour of adopting the French coinage system.</w:t>
      </w:r>
    </w:p>
    <w:p w:rsidR="00A05E22" w:rsidRPr="001203C6" w:rsidRDefault="00A05E22" w:rsidP="00CC5FB6">
      <w:pPr>
        <w:spacing w:line="360" w:lineRule="auto"/>
        <w:ind w:firstLine="720"/>
        <w:jc w:val="both"/>
      </w:pPr>
      <w:r>
        <w:t>T</w:t>
      </w:r>
      <w:r w:rsidRPr="001203C6">
        <w:t xml:space="preserve">he most intriguing aspect of the choice in favour of the LMU coinage system is </w:t>
      </w:r>
      <w:r>
        <w:t xml:space="preserve">probably </w:t>
      </w:r>
      <w:r w:rsidRPr="001203C6">
        <w:t>its timing</w:t>
      </w:r>
      <w:r>
        <w:t>, in particular as far as late-coming Serbia (December 1873) and Bulgaria (1880) are concerned</w:t>
      </w:r>
      <w:r w:rsidRPr="001203C6">
        <w:t xml:space="preserve">. </w:t>
      </w:r>
      <w:r>
        <w:t xml:space="preserve">Understanding their motivations is important in assessing what exactly the adoption of LMU coinage principles meant. Both countries </w:t>
      </w:r>
      <w:r w:rsidRPr="001203C6">
        <w:t xml:space="preserve">passed bimetallic legislation at a time when the LMU countries themselves – beginning with France and Belgium in September 1873 (Flandreau 1996, Morys 2012) – had already started moving from ‘pure’ </w:t>
      </w:r>
      <w:r w:rsidRPr="001203C6">
        <w:lastRenderedPageBreak/>
        <w:t>bimetallism to ‘limping’ bimetallism</w:t>
      </w:r>
      <w:r>
        <w:t xml:space="preserve"> (limitation and eventual suspension of free silver coinage).</w:t>
      </w:r>
      <w:r w:rsidRPr="001203C6">
        <w:t xml:space="preserve"> What was the appeal of bimetallism when the countries sponsoring the system were turning away from it and embracing the gold standard instead? </w:t>
      </w:r>
    </w:p>
    <w:p w:rsidR="00A05E22" w:rsidRPr="001203C6" w:rsidRDefault="00A05E22" w:rsidP="00CC5FB6">
      <w:pPr>
        <w:spacing w:line="360" w:lineRule="auto"/>
        <w:jc w:val="both"/>
      </w:pPr>
      <w:r>
        <w:tab/>
      </w:r>
      <w:r w:rsidRPr="001203C6">
        <w:t>In the case of Serbia, it is plausible to argue that the country adopted a wait-and-see approach given that the LMU countries themselves moved at different speed (and with different conviction) to the gold standard i</w:t>
      </w:r>
      <w:r>
        <w:t>n the period from 1873 to 1878.</w:t>
      </w:r>
      <w:r>
        <w:rPr>
          <w:rStyle w:val="FootnoteReference"/>
        </w:rPr>
        <w:footnoteReference w:id="2"/>
      </w:r>
      <w:r>
        <w:t xml:space="preserve"> In the case of Bulgaria</w:t>
      </w:r>
      <w:r w:rsidRPr="001203C6">
        <w:t>, the situation was different. The emergence of the Classical Gold Standard was completed by early 1879, as evidenced by the unsuccessful 1878 International Monetary Conference (which had aimed at restoring bimetallism through an internationally binding agreement), the subsequent decision of the LMU countries to suspend free coinage on private account (November 1878) and the US return to specie convertibility in gold alone (January 1879). When Bulgaria passed its coinage act in May 1880, the gold-silver ratio on bullion markets stood at 18.09:1 (Warren and Pearson 1933), making bimetallism unviable. What then explains passing legislation that, on the face of it, is ostensibly bimetallic?</w:t>
      </w:r>
    </w:p>
    <w:p w:rsidR="00A05E22" w:rsidRDefault="00A05E22" w:rsidP="00CC5FB6">
      <w:pPr>
        <w:spacing w:line="360" w:lineRule="auto"/>
        <w:ind w:firstLine="540"/>
        <w:jc w:val="both"/>
      </w:pPr>
      <w:r w:rsidRPr="001203C6">
        <w:t xml:space="preserve">While the LMU countries and the SEE countries shared the same analysis of the post-1873 monetary system – that is, it was no longer possible to maintain gold and silver in circulation under ‘pure’ bimetallism </w:t>
      </w:r>
      <w:proofErr w:type="gramStart"/>
      <w:r w:rsidRPr="001203C6">
        <w:t>– ,</w:t>
      </w:r>
      <w:proofErr w:type="gramEnd"/>
      <w:r w:rsidRPr="001203C6">
        <w:t xml:space="preserve"> they came to a different conclusion. The LMU countries switched to limping bimetallism, effectively joining the gold standard. Given their economic maturity and sound finances, this was a sensible decision.</w:t>
      </w:r>
      <w:r>
        <w:t xml:space="preserve"> </w:t>
      </w:r>
      <w:r w:rsidRPr="001203C6">
        <w:t xml:space="preserve">By contrast, the SEE countries faced an altogether different situation. They were economically backward and had poor public finances, rendering immediate gold standard adherence </w:t>
      </w:r>
      <w:r w:rsidRPr="001203C6">
        <w:rPr>
          <w:i/>
        </w:rPr>
        <w:t>(de facto</w:t>
      </w:r>
      <w:r w:rsidRPr="001203C6">
        <w:t xml:space="preserve"> or </w:t>
      </w:r>
      <w:r w:rsidRPr="001203C6">
        <w:rPr>
          <w:i/>
        </w:rPr>
        <w:t>de jure</w:t>
      </w:r>
      <w:r w:rsidRPr="001203C6">
        <w:t xml:space="preserve">) almost impossible. Yet, they had high aspirations for their economic development, including the long-term vision of exchange-rate stabilisation. In this dilemma between what was feasible in the short-run and what was desirable in the long-run, bimetallic coinage legislation offered to have it both ways. It allowed minting silver coin; some of which could be used as backing for future banknotes, thereby laying the foundation for a modern monetary system. At the same time, bimetallic coinage legislation also allowed for gold coinage, opening the door for a future transition to the gold standard. </w:t>
      </w:r>
    </w:p>
    <w:p w:rsidR="00A05E22" w:rsidRPr="001203C6" w:rsidRDefault="00A05E22" w:rsidP="00CC5FB6">
      <w:pPr>
        <w:spacing w:line="360" w:lineRule="auto"/>
        <w:ind w:firstLine="540"/>
        <w:jc w:val="both"/>
      </w:pPr>
      <w:r>
        <w:t xml:space="preserve">The interpretation of the coinage legislation advanced above – a long term vision combined with a realistic approach as to what can be realised short-term – can be supported </w:t>
      </w:r>
      <w:r>
        <w:lastRenderedPageBreak/>
        <w:t>by data on national coinage which are preserved for Romania, Serbia and Bulgaria.</w:t>
      </w:r>
      <w:r>
        <w:rPr>
          <w:rStyle w:val="FootnoteReference"/>
        </w:rPr>
        <w:footnoteReference w:id="3"/>
      </w:r>
      <w:r>
        <w:t xml:space="preserve"> In all three cases, gold coinage remained of very small proportions (Romania: 7.8%; Serbia: 0.7%, Bulgaria: 6.0%) and came only years after passing the coinage act (Romania: 1867 vs. 1883; Serbia: 1873 vs. 1878; Bulgaria: 1880 vs. 1894). In the case of Serbia – which had weaker budgets than the other two (Morys 2015) – not even silver was minted in sizeable amounts (21.7%), and the burden of coinage fell on copper (77.6%). </w:t>
      </w:r>
      <w:r w:rsidRPr="001203C6">
        <w:t>Low denomination copper coins were common practice in the 19</w:t>
      </w:r>
      <w:r w:rsidRPr="001203C6">
        <w:rPr>
          <w:vertAlign w:val="superscript"/>
        </w:rPr>
        <w:t>th</w:t>
      </w:r>
      <w:r w:rsidRPr="001203C6">
        <w:t xml:space="preserve"> century; in LMU countries, such coins were even a necessity, as the smallest silver coin (0.20 franc = 20 centimes) only weighted 1 gram.</w:t>
      </w:r>
      <w:r>
        <w:t xml:space="preserve"> Yet the extent of reliance on copper was unusual; it even meant that </w:t>
      </w:r>
      <w:r w:rsidRPr="001203C6">
        <w:t>copper was used for denominations rese</w:t>
      </w:r>
      <w:r>
        <w:t xml:space="preserve">rved for silver under LMU rules (in particular the 20 centimes coin, </w:t>
      </w:r>
      <w:r w:rsidRPr="001203C6">
        <w:t>one of the most widely used coins at the time, as its value amounted to approx. 10% of a day laboure</w:t>
      </w:r>
      <w:r>
        <w:t>r’s wage for a full working day).</w:t>
      </w:r>
    </w:p>
    <w:p w:rsidR="00A05E22" w:rsidRPr="001203C6" w:rsidRDefault="00A05E22" w:rsidP="00CC5FB6">
      <w:pPr>
        <w:spacing w:line="360" w:lineRule="auto"/>
        <w:jc w:val="both"/>
      </w:pPr>
    </w:p>
    <w:p w:rsidR="00A05E22" w:rsidRPr="004B5E36" w:rsidRDefault="00A05E22" w:rsidP="00CC5FB6">
      <w:pPr>
        <w:spacing w:line="360" w:lineRule="auto"/>
        <w:jc w:val="both"/>
        <w:rPr>
          <w:b/>
        </w:rPr>
      </w:pPr>
      <w:r>
        <w:rPr>
          <w:b/>
        </w:rPr>
        <w:tab/>
        <w:t>[table_2, figure_1, figure_2, figure 3</w:t>
      </w:r>
      <w:r w:rsidRPr="004B5E36">
        <w:rPr>
          <w:b/>
        </w:rPr>
        <w:t>]</w:t>
      </w:r>
    </w:p>
    <w:p w:rsidR="00A05E22" w:rsidRDefault="00A05E22" w:rsidP="00CC5FB6">
      <w:pPr>
        <w:spacing w:line="360" w:lineRule="auto"/>
        <w:jc w:val="both"/>
      </w:pPr>
    </w:p>
    <w:p w:rsidR="00A05E22" w:rsidRDefault="00A05E22" w:rsidP="00CC5FB6">
      <w:pPr>
        <w:spacing w:line="360" w:lineRule="auto"/>
        <w:jc w:val="both"/>
      </w:pPr>
    </w:p>
    <w:p w:rsidR="00A05E22" w:rsidRPr="004E2213" w:rsidRDefault="00A05E22" w:rsidP="00CC5FB6">
      <w:pPr>
        <w:spacing w:line="360" w:lineRule="auto"/>
        <w:jc w:val="both"/>
        <w:rPr>
          <w:b/>
        </w:rPr>
      </w:pPr>
      <w:r>
        <w:rPr>
          <w:b/>
        </w:rPr>
        <w:t xml:space="preserve">Step 3: </w:t>
      </w:r>
      <w:r w:rsidRPr="004E2213">
        <w:rPr>
          <w:b/>
        </w:rPr>
        <w:t>First bond issue</w:t>
      </w:r>
    </w:p>
    <w:p w:rsidR="00A05E22" w:rsidRDefault="00A05E22" w:rsidP="00CC5FB6">
      <w:pPr>
        <w:spacing w:line="360" w:lineRule="auto"/>
        <w:jc w:val="both"/>
      </w:pPr>
      <w:r>
        <w:t xml:space="preserve">Similar to the passing of a national budget, the first international bond issue does not constitute a monetary reform </w:t>
      </w:r>
      <w:proofErr w:type="spellStart"/>
      <w:r w:rsidRPr="00C25D39">
        <w:rPr>
          <w:i/>
        </w:rPr>
        <w:t>sensu</w:t>
      </w:r>
      <w:proofErr w:type="spellEnd"/>
      <w:r w:rsidRPr="00C25D39">
        <w:rPr>
          <w:i/>
        </w:rPr>
        <w:t xml:space="preserve"> </w:t>
      </w:r>
      <w:proofErr w:type="spellStart"/>
      <w:r w:rsidRPr="00C25D39">
        <w:rPr>
          <w:i/>
        </w:rPr>
        <w:t>stricto</w:t>
      </w:r>
      <w:proofErr w:type="spellEnd"/>
      <w:r>
        <w:t>; it was a treasury operation which, interestingly, preceded the existence of a proper monetary authority in the form of a bank of note issue. Yet it was a crucial step towards developing a modern monetary system in that it contributed to both the foundation of such a bank as well as a stock exchange located in the capital city.</w:t>
      </w:r>
    </w:p>
    <w:p w:rsidR="00A05E22" w:rsidRDefault="00A05E22" w:rsidP="00CC5FB6">
      <w:pPr>
        <w:spacing w:line="360" w:lineRule="auto"/>
        <w:jc w:val="both"/>
        <w:rPr>
          <w:color w:val="000000" w:themeColor="text1"/>
        </w:rPr>
      </w:pPr>
      <w:r>
        <w:tab/>
        <w:t xml:space="preserve">The early issuance of a first bond is explained by a combination of push-factors and pull-factors. The young Balkan countries operated on a third of Western European per capita income levels (Morys 2006), but faced high expenditure in the absence of any meaningful capacity to collect revenue. A government and administrative structure needed to be built completely new but was expensive, not least in relative terms due to the small population size (below 2 million in all cases except Romania). Military expenditure was high given lingering border conflicts and </w:t>
      </w:r>
      <w:r w:rsidRPr="00977D92">
        <w:rPr>
          <w:color w:val="000000" w:themeColor="text1"/>
        </w:rPr>
        <w:t>the irredentist political agenda.</w:t>
      </w:r>
      <w:r>
        <w:rPr>
          <w:color w:val="000000" w:themeColor="text1"/>
        </w:rPr>
        <w:t xml:space="preserve"> In such difficult circumstances, seigniorage revenue through coinage was a first attempt to close weak budget, and the early coinage experience described above has been analysed econometrically in this light (Morys </w:t>
      </w:r>
      <w:r>
        <w:rPr>
          <w:color w:val="000000" w:themeColor="text1"/>
        </w:rPr>
        <w:lastRenderedPageBreak/>
        <w:t>2015). Yet financial needs were simply too high and after eight years of first coinage (incidentally the same interval throughout), Romania, Serbia and Bulgaria launched a first bond denominated in foreign currency and issued abroad.</w:t>
      </w:r>
    </w:p>
    <w:p w:rsidR="00A05E22" w:rsidRDefault="00A05E22" w:rsidP="00CC5FB6">
      <w:pPr>
        <w:spacing w:line="360" w:lineRule="auto"/>
        <w:jc w:val="both"/>
        <w:rPr>
          <w:color w:val="000000" w:themeColor="text1"/>
        </w:rPr>
      </w:pPr>
      <w:r>
        <w:rPr>
          <w:color w:val="000000" w:themeColor="text1"/>
        </w:rPr>
        <w:tab/>
        <w:t xml:space="preserve">Why were Britain, France, Germany and, to a lesser extent, other West European countries so eager buyers of SEE government debt? Economic and commercial motivations certainly played a role – especially in the case of Romania which offered great economic promise due to good agricultural conditions on the </w:t>
      </w:r>
      <w:proofErr w:type="spellStart"/>
      <w:r>
        <w:rPr>
          <w:color w:val="000000" w:themeColor="text1"/>
        </w:rPr>
        <w:t>Danubian</w:t>
      </w:r>
      <w:proofErr w:type="spellEnd"/>
      <w:r>
        <w:rPr>
          <w:color w:val="000000" w:themeColor="text1"/>
        </w:rPr>
        <w:t xml:space="preserve"> plains - , but the detailed account of </w:t>
      </w:r>
      <w:proofErr w:type="spellStart"/>
      <w:r>
        <w:rPr>
          <w:color w:val="000000" w:themeColor="text1"/>
        </w:rPr>
        <w:t>Feis</w:t>
      </w:r>
      <w:proofErr w:type="spellEnd"/>
      <w:r>
        <w:rPr>
          <w:color w:val="000000" w:themeColor="text1"/>
        </w:rPr>
        <w:t xml:space="preserve"> (1930: chapter 12) suggests that political and diplomatic considerations played an outsized role in comparison to the rest of Europe. The specific circumstances of the first loan demonstrate well the overall pattern. In the Greek case, the first loan of 1824/25 </w:t>
      </w:r>
      <w:r w:rsidRPr="0055349C">
        <w:rPr>
          <w:color w:val="000000" w:themeColor="text1"/>
        </w:rPr>
        <w:t xml:space="preserve">was a War Loan by Britain and France in support of the Greek revolution (Lazaretou 2014: 102). In the cases of Serbia and Bulgaria, the first bond issue aimed at securing the funds for </w:t>
      </w:r>
      <w:r>
        <w:rPr>
          <w:color w:val="000000" w:themeColor="text1"/>
        </w:rPr>
        <w:t xml:space="preserve">the completion of the Vienna-Istanbul rail link (Orient Express) on their respective territories; construction of these rail links was an international obligation which both countries had entered into at the Congress of Berlin (1878) in exchange for obtaining political </w:t>
      </w:r>
      <w:proofErr w:type="gramStart"/>
      <w:r w:rsidRPr="00AA3C5B">
        <w:rPr>
          <w:color w:val="000000" w:themeColor="text1"/>
        </w:rPr>
        <w:t>independence  (</w:t>
      </w:r>
      <w:proofErr w:type="spellStart"/>
      <w:proofErr w:type="gramEnd"/>
      <w:r w:rsidRPr="00AA3C5B">
        <w:rPr>
          <w:color w:val="000000" w:themeColor="text1"/>
        </w:rPr>
        <w:t>Feis</w:t>
      </w:r>
      <w:proofErr w:type="spellEnd"/>
      <w:r w:rsidRPr="00AA3C5B">
        <w:rPr>
          <w:color w:val="000000" w:themeColor="text1"/>
        </w:rPr>
        <w:t xml:space="preserve"> 1930: 262-263; </w:t>
      </w:r>
      <w:proofErr w:type="spellStart"/>
      <w:r w:rsidRPr="00AA3C5B">
        <w:rPr>
          <w:color w:val="000000" w:themeColor="text1"/>
        </w:rPr>
        <w:t>Lampe&amp;Jackson</w:t>
      </w:r>
      <w:proofErr w:type="spellEnd"/>
      <w:r w:rsidRPr="00AA3C5B">
        <w:rPr>
          <w:color w:val="000000" w:themeColor="text1"/>
        </w:rPr>
        <w:t xml:space="preserve"> 1982: 208-209). Only </w:t>
      </w:r>
      <w:r>
        <w:rPr>
          <w:color w:val="000000" w:themeColor="text1"/>
        </w:rPr>
        <w:t xml:space="preserve">in the Romanian case was the first bond issue motivated primarily on economic </w:t>
      </w:r>
      <w:proofErr w:type="gramStart"/>
      <w:r>
        <w:rPr>
          <w:color w:val="000000" w:themeColor="text1"/>
        </w:rPr>
        <w:t>grounds, that</w:t>
      </w:r>
      <w:proofErr w:type="gramEnd"/>
      <w:r>
        <w:rPr>
          <w:color w:val="000000" w:themeColor="text1"/>
        </w:rPr>
        <w:t xml:space="preserve"> is to build rail links to Austria-Hungary to transport wheat, the country’s main export commodity, to West European markets </w:t>
      </w:r>
      <w:r w:rsidRPr="0055349C">
        <w:rPr>
          <w:color w:val="000000" w:themeColor="text1"/>
        </w:rPr>
        <w:t>(</w:t>
      </w:r>
      <w:proofErr w:type="spellStart"/>
      <w:r w:rsidRPr="0055349C">
        <w:rPr>
          <w:color w:val="000000" w:themeColor="text1"/>
        </w:rPr>
        <w:t>Lampe&amp;Jackson</w:t>
      </w:r>
      <w:proofErr w:type="spellEnd"/>
      <w:r w:rsidRPr="0055349C">
        <w:rPr>
          <w:color w:val="000000" w:themeColor="text1"/>
        </w:rPr>
        <w:t xml:space="preserve"> 1982: 209-210)</w:t>
      </w:r>
      <w:r>
        <w:rPr>
          <w:color w:val="000000" w:themeColor="text1"/>
        </w:rPr>
        <w:t>.</w:t>
      </w:r>
    </w:p>
    <w:p w:rsidR="00A57AEB" w:rsidRDefault="00A05E22" w:rsidP="00CC5FB6">
      <w:pPr>
        <w:spacing w:line="360" w:lineRule="auto"/>
        <w:jc w:val="both"/>
        <w:rPr>
          <w:color w:val="000000" w:themeColor="text1"/>
        </w:rPr>
      </w:pPr>
      <w:r>
        <w:rPr>
          <w:color w:val="000000" w:themeColor="text1"/>
        </w:rPr>
        <w:tab/>
        <w:t xml:space="preserve">The sense of urgency on the side of the borrowers as well as the lenders also explains why a bank of note issue – which in the case of many other countries was given the task of administering such bond issues – was not seen as a precondition for a first loan. Rather, in the cases of Romania and Serbia anyway, the reverse seems to have been the case: the ability to “dump” unsold government bond issues on the national bank appears to have been a key </w:t>
      </w:r>
      <w:r w:rsidRPr="003A25F6">
        <w:rPr>
          <w:color w:val="000000" w:themeColor="text1"/>
        </w:rPr>
        <w:t>motivation in its foundation only years after the first bond issue (</w:t>
      </w:r>
      <w:proofErr w:type="spellStart"/>
      <w:r w:rsidRPr="003A25F6">
        <w:rPr>
          <w:color w:val="000000" w:themeColor="text1"/>
        </w:rPr>
        <w:t>Stoenescu</w:t>
      </w:r>
      <w:proofErr w:type="spellEnd"/>
      <w:r w:rsidRPr="003A25F6">
        <w:rPr>
          <w:color w:val="000000" w:themeColor="text1"/>
        </w:rPr>
        <w:t xml:space="preserve"> et al. 2011: 186; </w:t>
      </w:r>
      <w:proofErr w:type="spellStart"/>
      <w:r w:rsidRPr="003A25F6">
        <w:rPr>
          <w:color w:val="000000" w:themeColor="text1"/>
        </w:rPr>
        <w:t>Hinic</w:t>
      </w:r>
      <w:proofErr w:type="spellEnd"/>
      <w:r w:rsidRPr="003A25F6">
        <w:rPr>
          <w:color w:val="000000" w:themeColor="text1"/>
        </w:rPr>
        <w:t xml:space="preserve"> et al. 2014: 342). Not only did the bank of note issue become quickly involved in </w:t>
      </w:r>
      <w:r>
        <w:rPr>
          <w:color w:val="000000" w:themeColor="text1"/>
        </w:rPr>
        <w:t xml:space="preserve">“buying” and administering the national debt, but stock exchanges emerged domestically as a trading platform for </w:t>
      </w:r>
      <w:r w:rsidRPr="003A25F6">
        <w:rPr>
          <w:color w:val="000000" w:themeColor="text1"/>
        </w:rPr>
        <w:t xml:space="preserve">it. This process was quickest in Romania (foundation of the Bucharest stock exchange in 1882), </w:t>
      </w:r>
      <w:r>
        <w:rPr>
          <w:color w:val="000000" w:themeColor="text1"/>
        </w:rPr>
        <w:t xml:space="preserve">where (different from the other countries) a wealthy aristocracy existed which quickly repatriated a certain amount of foreign-issued Romanian government debt and traded it locally. The same forces operated more </w:t>
      </w:r>
      <w:r w:rsidRPr="003A25F6">
        <w:rPr>
          <w:color w:val="000000" w:themeColor="text1"/>
        </w:rPr>
        <w:t>slowly in the other three countries</w:t>
      </w:r>
      <w:r>
        <w:rPr>
          <w:color w:val="000000" w:themeColor="text1"/>
        </w:rPr>
        <w:t>, but in all cases the foundation of a national stock exchange seems to reflect the trading of government debt rather than of industrial stocks (</w:t>
      </w:r>
      <w:proofErr w:type="spellStart"/>
      <w:r>
        <w:rPr>
          <w:color w:val="000000" w:themeColor="text1"/>
        </w:rPr>
        <w:t>Battilossi&amp;Morys</w:t>
      </w:r>
      <w:proofErr w:type="spellEnd"/>
      <w:r>
        <w:rPr>
          <w:color w:val="000000" w:themeColor="text1"/>
        </w:rPr>
        <w:t xml:space="preserve"> 2011).</w:t>
      </w:r>
    </w:p>
    <w:p w:rsidR="00A57AEB" w:rsidRDefault="00A57AEB">
      <w:pPr>
        <w:rPr>
          <w:color w:val="000000" w:themeColor="text1"/>
        </w:rPr>
      </w:pPr>
      <w:r>
        <w:rPr>
          <w:color w:val="000000" w:themeColor="text1"/>
        </w:rPr>
        <w:br w:type="page"/>
      </w:r>
    </w:p>
    <w:p w:rsidR="00A05E22" w:rsidRPr="00B968CF" w:rsidRDefault="00A05E22" w:rsidP="00CC5FB6">
      <w:pPr>
        <w:spacing w:line="360" w:lineRule="auto"/>
        <w:rPr>
          <w:b/>
          <w:color w:val="000000" w:themeColor="text1"/>
        </w:rPr>
      </w:pPr>
      <w:r>
        <w:rPr>
          <w:b/>
          <w:color w:val="000000" w:themeColor="text1"/>
        </w:rPr>
        <w:lastRenderedPageBreak/>
        <w:t xml:space="preserve">Step 4: </w:t>
      </w:r>
      <w:r w:rsidRPr="00B968CF">
        <w:rPr>
          <w:b/>
          <w:color w:val="000000" w:themeColor="text1"/>
        </w:rPr>
        <w:t>Establishment of a bank of note issue</w:t>
      </w:r>
    </w:p>
    <w:p w:rsidR="00A05E22" w:rsidRDefault="00A05E22" w:rsidP="00CC5FB6">
      <w:pPr>
        <w:spacing w:line="360" w:lineRule="auto"/>
        <w:jc w:val="both"/>
        <w:rPr>
          <w:color w:val="000000" w:themeColor="text1"/>
        </w:rPr>
      </w:pPr>
      <w:r>
        <w:rPr>
          <w:color w:val="000000" w:themeColor="text1"/>
        </w:rPr>
        <w:t>Different to what has been common practice since the interwar period, the establishment of a monetary authority occurred only with a considerable time gap to political autonomy and coinage act in all four cases. Even in the case of Bulgaria, where events moved fastest given its late-coming status, seven years passed between (effective) political independence (1878) and a bank with note issuing privilege (1885).</w:t>
      </w:r>
      <w:r>
        <w:rPr>
          <w:rStyle w:val="FootnoteReference"/>
          <w:color w:val="000000" w:themeColor="text1"/>
        </w:rPr>
        <w:footnoteReference w:id="4"/>
      </w:r>
      <w:r>
        <w:rPr>
          <w:color w:val="000000" w:themeColor="text1"/>
        </w:rPr>
        <w:t xml:space="preserve"> Were banks of note issue </w:t>
      </w:r>
      <w:r w:rsidRPr="00F009E4">
        <w:rPr>
          <w:i/>
          <w:color w:val="000000" w:themeColor="text1"/>
        </w:rPr>
        <w:t>not</w:t>
      </w:r>
      <w:r>
        <w:rPr>
          <w:color w:val="000000" w:themeColor="text1"/>
        </w:rPr>
        <w:t xml:space="preserve"> crucial to a modern monetary system and statehood under 19</w:t>
      </w:r>
      <w:r w:rsidRPr="00B968CF">
        <w:rPr>
          <w:color w:val="000000" w:themeColor="text1"/>
          <w:vertAlign w:val="superscript"/>
        </w:rPr>
        <w:t>th</w:t>
      </w:r>
      <w:r>
        <w:rPr>
          <w:color w:val="000000" w:themeColor="text1"/>
        </w:rPr>
        <w:t xml:space="preserve"> century conditions?</w:t>
      </w:r>
    </w:p>
    <w:p w:rsidR="00A05E22" w:rsidRDefault="00A05E22" w:rsidP="00CC5FB6">
      <w:pPr>
        <w:spacing w:line="360" w:lineRule="auto"/>
        <w:jc w:val="both"/>
        <w:rPr>
          <w:color w:val="000000" w:themeColor="text1"/>
        </w:rPr>
      </w:pPr>
      <w:r>
        <w:rPr>
          <w:color w:val="000000" w:themeColor="text1"/>
        </w:rPr>
        <w:tab/>
        <w:t xml:space="preserve">On one level, banks of note issue were not necessary for the monetary systems of the young Balkan countries. National coinage was in sufficient supply, replacing gradually foreign coinage through a combination of changing money holder preferences and actual demonetisations of foreign coins. Foreign bank notes had never played any meaningful role in the Balkans (and hence no need to replace them with domestic ones), and the bank note experiments of the late Ottoman Empire had all failed and created suspicion rather than </w:t>
      </w:r>
      <w:r w:rsidRPr="003A25F6">
        <w:rPr>
          <w:color w:val="000000" w:themeColor="text1"/>
        </w:rPr>
        <w:t>interest in this new means of payment (</w:t>
      </w:r>
      <w:proofErr w:type="spellStart"/>
      <w:r w:rsidRPr="003A25F6">
        <w:rPr>
          <w:color w:val="000000" w:themeColor="text1"/>
        </w:rPr>
        <w:t>Lampe&amp;Jackson</w:t>
      </w:r>
      <w:proofErr w:type="spellEnd"/>
      <w:r w:rsidRPr="003A25F6">
        <w:rPr>
          <w:color w:val="000000" w:themeColor="text1"/>
        </w:rPr>
        <w:t xml:space="preserve"> 1982: 203). As demonstrated in the </w:t>
      </w:r>
      <w:r>
        <w:rPr>
          <w:color w:val="000000" w:themeColor="text1"/>
        </w:rPr>
        <w:t xml:space="preserve">previous section, government bonds had been placed abroad in all cases without a national bank, suggesting that international capital markets did not see a bank of note issue as a precondition for the much needed international lending. </w:t>
      </w:r>
    </w:p>
    <w:p w:rsidR="00A05E22" w:rsidRDefault="00A05E22" w:rsidP="00CC5FB6">
      <w:pPr>
        <w:spacing w:line="360" w:lineRule="auto"/>
        <w:jc w:val="both"/>
        <w:rPr>
          <w:color w:val="000000" w:themeColor="text1"/>
        </w:rPr>
      </w:pPr>
      <w:r>
        <w:rPr>
          <w:color w:val="000000" w:themeColor="text1"/>
        </w:rPr>
        <w:tab/>
        <w:t xml:space="preserve">Yet there was a growing realisation that such a bank would be helpful in various ways. First, it could promote financial development in general. In all four cases, there were </w:t>
      </w:r>
      <w:r w:rsidRPr="003A25F6">
        <w:rPr>
          <w:color w:val="000000" w:themeColor="text1"/>
        </w:rPr>
        <w:t xml:space="preserve">no commercial banks prior to the establishment of a bank of note issue (Morys 2014: 41); </w:t>
      </w:r>
      <w:r>
        <w:rPr>
          <w:color w:val="000000" w:themeColor="text1"/>
        </w:rPr>
        <w:t>loans existed through money-lenders, but were confined to small sums and subject to interest rates over and above 10</w:t>
      </w:r>
      <w:r w:rsidRPr="00673F65">
        <w:rPr>
          <w:color w:val="000000" w:themeColor="text1"/>
        </w:rPr>
        <w:t>% (</w:t>
      </w:r>
      <w:proofErr w:type="spellStart"/>
      <w:r w:rsidRPr="00673F65">
        <w:rPr>
          <w:color w:val="000000" w:themeColor="text1"/>
        </w:rPr>
        <w:t>Sojic&amp;Djurdjevic</w:t>
      </w:r>
      <w:proofErr w:type="spellEnd"/>
      <w:r w:rsidRPr="00673F65">
        <w:rPr>
          <w:color w:val="000000" w:themeColor="text1"/>
        </w:rPr>
        <w:t xml:space="preserve"> 2006: 143). </w:t>
      </w:r>
      <w:r>
        <w:rPr>
          <w:color w:val="000000" w:themeColor="text1"/>
        </w:rPr>
        <w:t>Second, while international lending was forthcoming without such an institution, relying exclusively on such loans to cover the chronically weak budgets was risky; a national bank would help as a government banker in difficult times. Last but not least, the political symbolism of a national bank was important: while political autonomy was not seen as enough to establish such an institution, political independence not only provided the legal basis but also made it politically expedient to found such a bank.</w:t>
      </w:r>
    </w:p>
    <w:p w:rsidR="00A05E22" w:rsidRDefault="00A05E22" w:rsidP="00CC5FB6">
      <w:pPr>
        <w:spacing w:line="360" w:lineRule="auto"/>
        <w:jc w:val="both"/>
      </w:pPr>
      <w:r>
        <w:rPr>
          <w:color w:val="000000" w:themeColor="text1"/>
        </w:rPr>
        <w:tab/>
        <w:t xml:space="preserve">With the exception of Greece’s earlier political developments, only the Congress of Berlin (1878) therefore provided the natural starting point for Serbia, Romania and Bulgaria to establish a bank of note issue. But even then it took several years - and various failed attempts in all countries </w:t>
      </w:r>
      <w:r w:rsidRPr="0055349C">
        <w:rPr>
          <w:color w:val="000000" w:themeColor="text1"/>
        </w:rPr>
        <w:t xml:space="preserve">(Lampe and Jackson 1982: 203-208) </w:t>
      </w:r>
      <w:r>
        <w:rPr>
          <w:color w:val="000000" w:themeColor="text1"/>
        </w:rPr>
        <w:t xml:space="preserve">- to found such an institution. </w:t>
      </w:r>
      <w:r w:rsidRPr="001203C6">
        <w:lastRenderedPageBreak/>
        <w:t>The process w</w:t>
      </w:r>
      <w:r>
        <w:t>as lengthy and arduous, as two</w:t>
      </w:r>
      <w:r w:rsidRPr="001203C6">
        <w:t xml:space="preserve"> questions needed to be settled first. First, who would provide the capital for the bank? Second, what level of influence would be granted in return?</w:t>
      </w:r>
    </w:p>
    <w:p w:rsidR="00A05E22" w:rsidRDefault="00A05E22" w:rsidP="00CC5FB6">
      <w:pPr>
        <w:spacing w:line="360" w:lineRule="auto"/>
        <w:ind w:firstLine="720"/>
        <w:jc w:val="both"/>
        <w:rPr>
          <w:color w:val="000000" w:themeColor="text1"/>
        </w:rPr>
      </w:pPr>
      <w:r>
        <w:t>The</w:t>
      </w:r>
      <w:r w:rsidRPr="001203C6">
        <w:t xml:space="preserve"> ownership structure </w:t>
      </w:r>
      <w:r>
        <w:t>showed</w:t>
      </w:r>
      <w:r w:rsidRPr="001203C6">
        <w:t xml:space="preserve"> considerable variety among the </w:t>
      </w:r>
      <w:r>
        <w:t>four</w:t>
      </w:r>
      <w:r w:rsidRPr="001203C6">
        <w:t xml:space="preserve"> banks. The Bulgarian National Bank was completely state-owned, whereas </w:t>
      </w:r>
      <w:r>
        <w:t>the National Bank of Serbia was</w:t>
      </w:r>
      <w:r w:rsidRPr="001203C6">
        <w:t xml:space="preserve"> completely in private hands, with the National Bank of Greece and the National Bank of Romania falling in the middle. Ownership structure could also change over time. The National Bank of Greece and the National Bank of Romania, for instance, were initially partly state-owned</w:t>
      </w:r>
      <w:r>
        <w:t xml:space="preserve"> </w:t>
      </w:r>
      <w:r w:rsidRPr="0055349C">
        <w:rPr>
          <w:color w:val="000000" w:themeColor="text1"/>
        </w:rPr>
        <w:t xml:space="preserve">(20% and 33%, respectively), </w:t>
      </w:r>
      <w:r w:rsidRPr="001203C6">
        <w:t>but this share was later reduced to zero</w:t>
      </w:r>
      <w:r>
        <w:t xml:space="preserve"> (Conant 1902: 280; </w:t>
      </w:r>
      <w:proofErr w:type="spellStart"/>
      <w:r>
        <w:t>Lampe&amp;Jackson</w:t>
      </w:r>
      <w:proofErr w:type="spellEnd"/>
      <w:r>
        <w:t xml:space="preserve"> 1982: 204, 206, 217)</w:t>
      </w:r>
      <w:r w:rsidRPr="001203C6">
        <w:t>.</w:t>
      </w:r>
      <w:r>
        <w:t xml:space="preserve"> The main tension was not over public versus private ownership: it was well understood that the government would retain considerable influence also over a privately owned bank. The big issue was the extent of foreign involvement: while desirable to muster quickly the capital given the scarcity of domestic saving, all four countries eventually decided against foreign participation which they saw as incompatible with the political independence achieved only recently.</w:t>
      </w:r>
    </w:p>
    <w:p w:rsidR="00A05E22" w:rsidRDefault="00A05E22" w:rsidP="00CC5FB6">
      <w:pPr>
        <w:spacing w:line="360" w:lineRule="auto"/>
        <w:jc w:val="both"/>
      </w:pPr>
      <w:r>
        <w:rPr>
          <w:color w:val="000000" w:themeColor="text1"/>
        </w:rPr>
        <w:tab/>
      </w:r>
      <w:r>
        <w:t>O</w:t>
      </w:r>
      <w:r w:rsidRPr="001203C6">
        <w:t>wnership structure does not necessarily reveal a great deal about the level</w:t>
      </w:r>
      <w:r>
        <w:t xml:space="preserve"> of influence the government enjoyed</w:t>
      </w:r>
      <w:r w:rsidRPr="001203C6">
        <w:t>; it is well-known that 19</w:t>
      </w:r>
      <w:r w:rsidRPr="001203C6">
        <w:rPr>
          <w:vertAlign w:val="superscript"/>
        </w:rPr>
        <w:t>th</w:t>
      </w:r>
      <w:r w:rsidRPr="001203C6">
        <w:t xml:space="preserve"> century governments had their own ways of asserting influence over privately-owned banks of note issue, either formally (government representatives on the board and, in particular, the right to appoint the governor) or informally in a myriad of ways. </w:t>
      </w:r>
      <w:r>
        <w:t>Crucially</w:t>
      </w:r>
      <w:r w:rsidRPr="001203C6">
        <w:t>, the note issue privilege was granted by the government only on a temporary basis, which meant that the renewal of the charter (or even threatening with non-renewal years ahead) provided considerable opportunities for government influence over banks.</w:t>
      </w:r>
      <w:r>
        <w:t xml:space="preserve"> The history of the four SEE banks demonstrates nicely that formal criteria do not do justice to the complexities of the relationship between government and national bank (Conant 1902: 277-281m 283-284; Levy 1911: 198-228, 502-509. On a formal level, the National Bank of Greece and the National Bank of Serbia enjoyed the strongest protection against government interference: shareholders elected all board members (including the governor), and the note issuing privilege was granted routinely for 20 years or more; both banks only had to accept a royal commissioner tasked with a loosely specified “general oversight”. The National Bank of Romania and the Bulgarian National Bank appear less independent in comparison: the Bulgarian National Bank was a full-fledged state bank, and in the case of Romania governors were appointed by the government.</w:t>
      </w:r>
    </w:p>
    <w:p w:rsidR="00A05E22" w:rsidRPr="0055349C" w:rsidRDefault="00A05E22" w:rsidP="00CC5FB6">
      <w:pPr>
        <w:spacing w:line="360" w:lineRule="auto"/>
        <w:jc w:val="both"/>
        <w:rPr>
          <w:color w:val="000000" w:themeColor="text1"/>
        </w:rPr>
      </w:pPr>
      <w:r w:rsidRPr="0055349C">
        <w:rPr>
          <w:color w:val="000000" w:themeColor="text1"/>
        </w:rPr>
        <w:tab/>
        <w:t xml:space="preserve">Yet applying economic criteria leads to the opposite conclusion.  Arguably, the best way of evaluating the level of influence is by assessing the amount of government debt held </w:t>
      </w:r>
      <w:r w:rsidRPr="0055349C">
        <w:rPr>
          <w:color w:val="000000" w:themeColor="text1"/>
        </w:rPr>
        <w:lastRenderedPageBreak/>
        <w:t>by the bank of note issue. Banks were generally hostile to such debt monetisation, and they only accepted it if they had to. In the Serbian and Greek cases, government debt as percentage of total assets peaked in the 1890s at 33% and 55%, respectively (</w:t>
      </w:r>
      <w:proofErr w:type="spellStart"/>
      <w:r w:rsidRPr="0055349C">
        <w:rPr>
          <w:color w:val="000000" w:themeColor="text1"/>
        </w:rPr>
        <w:t>Lampe&amp;Jackson</w:t>
      </w:r>
      <w:proofErr w:type="spellEnd"/>
      <w:r w:rsidRPr="0055349C">
        <w:rPr>
          <w:color w:val="000000" w:themeColor="text1"/>
        </w:rPr>
        <w:t xml:space="preserve"> 1982: 214; Lazaretou 2014: time series gr4g); by contrast, the Bulgarian National Bank did not hold any government debt until 1898 and thereafter only of modest proportions. In the Romanian case, the position of the national bank vis-à-vis the government even improved over time in this regard. Initially, the National Bank of Romania had acted as government banker, but was able to free itself from further government borrowing in 1900 (an achievement which coincided with the government’s decision to withdraw its capital from the bank). In the following decade, government debt as a share of the bank’s assets was very small. The degree to which the National Bank of Serbia and the National Bank of Greece became subservient to the treasury can also be inferred from another piece of evidence: reducing the banks’ role as a government banker was a crucial objective of the international financial supervision arrangements which Serbia and Greece entered into in 1895 and 1898, respectively (Morys 2015, Tuncer 2015).</w:t>
      </w:r>
    </w:p>
    <w:p w:rsidR="00A05E22" w:rsidRDefault="00A05E22" w:rsidP="00CC5FB6">
      <w:pPr>
        <w:spacing w:line="360" w:lineRule="auto"/>
        <w:jc w:val="both"/>
        <w:rPr>
          <w:b/>
        </w:rPr>
      </w:pPr>
    </w:p>
    <w:p w:rsidR="00A05E22" w:rsidRDefault="00A05E22" w:rsidP="00CC5FB6">
      <w:pPr>
        <w:spacing w:line="360" w:lineRule="auto"/>
        <w:jc w:val="both"/>
        <w:rPr>
          <w:b/>
        </w:rPr>
      </w:pPr>
    </w:p>
    <w:p w:rsidR="00A05E22" w:rsidRPr="005E463D" w:rsidRDefault="00A05E22" w:rsidP="00CC5FB6">
      <w:pPr>
        <w:spacing w:line="360" w:lineRule="auto"/>
        <w:jc w:val="both"/>
        <w:rPr>
          <w:b/>
        </w:rPr>
      </w:pPr>
      <w:r>
        <w:rPr>
          <w:b/>
        </w:rPr>
        <w:t xml:space="preserve">Step 5: </w:t>
      </w:r>
      <w:r w:rsidRPr="005E463D">
        <w:rPr>
          <w:b/>
        </w:rPr>
        <w:t>Exchange-rate stabilisation – the gold standard in South-East Europe</w:t>
      </w:r>
    </w:p>
    <w:p w:rsidR="00A05E22" w:rsidRDefault="00A05E22" w:rsidP="00CC5FB6">
      <w:pPr>
        <w:spacing w:line="360" w:lineRule="auto"/>
        <w:jc w:val="both"/>
      </w:pPr>
      <w:r>
        <w:rPr>
          <w:color w:val="000000" w:themeColor="text1"/>
        </w:rPr>
        <w:t xml:space="preserve">The foundation of national banks turned out to be a mixed blessing. While it enabled the </w:t>
      </w:r>
      <w:r w:rsidRPr="00673F65">
        <w:rPr>
          <w:color w:val="000000" w:themeColor="text1"/>
        </w:rPr>
        <w:t xml:space="preserve">circulation of bank notes and allowed for the provision of credit – including long-term credit for agricultural, commercial and industrial purposes (Morys 2014: 41) - , it undermined </w:t>
      </w:r>
      <w:r>
        <w:rPr>
          <w:color w:val="000000" w:themeColor="text1"/>
        </w:rPr>
        <w:t xml:space="preserve">another monetary reform objective, namely joining the gold standard. The national banks had not been primarily founded with a view towards debt monetisation; yet once established, the SEE governments closed weak budgets by forced loans. We mentioned above that the ambitious gold standard legislation had in practice been followed by the mintage of silver and copper; this practice was now “refined”, with bank notes (issued against government debt of questionable quality and liquidity) taking the role of token coins: the bank of note issue quickly became the main vehicle of debt monetisation by the treasury (Morys 2015). As a result, </w:t>
      </w:r>
      <w:r>
        <w:t>gold developed a premium against silver, copper and, later, bank notes: the fiat standard was born which lasted until the early 20</w:t>
      </w:r>
      <w:r w:rsidRPr="004839CA">
        <w:rPr>
          <w:vertAlign w:val="superscript"/>
        </w:rPr>
        <w:t>th</w:t>
      </w:r>
      <w:r>
        <w:t xml:space="preserve"> century. To substantiate this point, we calculate the various components of the monetary base for SEE and compare them to </w:t>
      </w:r>
      <w:proofErr w:type="spellStart"/>
      <w:r>
        <w:t>Haupt’s</w:t>
      </w:r>
      <w:proofErr w:type="spellEnd"/>
      <w:r>
        <w:t xml:space="preserve"> estimates for England, France and Germany. </w:t>
      </w:r>
    </w:p>
    <w:p w:rsidR="00A05E22" w:rsidRDefault="00A05E22" w:rsidP="00CC5FB6">
      <w:pPr>
        <w:spacing w:line="360" w:lineRule="auto"/>
        <w:jc w:val="both"/>
      </w:pPr>
    </w:p>
    <w:p w:rsidR="00A05E22" w:rsidRPr="00136F2F" w:rsidRDefault="00A05E22" w:rsidP="00CC5FB6">
      <w:pPr>
        <w:spacing w:line="360" w:lineRule="auto"/>
        <w:ind w:firstLine="720"/>
        <w:jc w:val="both"/>
        <w:rPr>
          <w:b/>
        </w:rPr>
      </w:pPr>
      <w:r>
        <w:rPr>
          <w:b/>
        </w:rPr>
        <w:t>[table_3</w:t>
      </w:r>
      <w:r w:rsidRPr="00136F2F">
        <w:rPr>
          <w:b/>
        </w:rPr>
        <w:t>]</w:t>
      </w:r>
    </w:p>
    <w:p w:rsidR="00A05E22" w:rsidRDefault="00A05E22" w:rsidP="00CC5FB6">
      <w:pPr>
        <w:spacing w:line="360" w:lineRule="auto"/>
        <w:jc w:val="both"/>
        <w:rPr>
          <w:color w:val="000000" w:themeColor="text1"/>
        </w:rPr>
      </w:pPr>
      <w:r>
        <w:lastRenderedPageBreak/>
        <w:t>The sum is identical to the modern concept of “monetary base”: coins and notes in circulation.</w:t>
      </w:r>
      <w:r>
        <w:rPr>
          <w:rStyle w:val="FootnoteReference"/>
        </w:rPr>
        <w:footnoteReference w:id="5"/>
      </w:r>
      <w:r>
        <w:t xml:space="preserve"> Sub-components are constructed in an instructive way. </w:t>
      </w:r>
      <w:proofErr w:type="spellStart"/>
      <w:r>
        <w:t>Haupt</w:t>
      </w:r>
      <w:proofErr w:type="spellEnd"/>
      <w:r>
        <w:t xml:space="preserve"> lists gold and silver coinage at the central bank (which is not monetary base), but subtracts these values from “bank notes in circulation” to arrive at a position labelled “uncovered bank notes”. </w:t>
      </w:r>
      <w:r>
        <w:tab/>
        <w:t xml:space="preserve">The basic message is this: residents in the core countries experienced the gold standard by being exposed to gold coin on a daily basis; by contrast, transactions in SEE were carried out by silver, copper and paper currency. In England, France, and Germany, gold as a percentage of the monetary base exceeded 50%. Even gold in circulation accounted for more than a third of total circulation in all three countries. Conversely, the amount of uncovered bank notes was small. The composition of the SEE monetary bases could not be more different. Gold remained below 10% and circulation was dominated either by silver (Bulgaria, Serbia) or by bank notes (Greece, Romania). </w:t>
      </w:r>
      <w:r>
        <w:rPr>
          <w:color w:val="000000" w:themeColor="text1"/>
        </w:rPr>
        <w:t>T</w:t>
      </w:r>
      <w:r w:rsidRPr="00546599">
        <w:rPr>
          <w:color w:val="000000" w:themeColor="text1"/>
        </w:rPr>
        <w:t xml:space="preserve">he fiscal needs of the young Balkan countries </w:t>
      </w:r>
      <w:r>
        <w:rPr>
          <w:color w:val="000000" w:themeColor="text1"/>
        </w:rPr>
        <w:t xml:space="preserve">had </w:t>
      </w:r>
      <w:r w:rsidRPr="00546599">
        <w:rPr>
          <w:color w:val="000000" w:themeColor="text1"/>
        </w:rPr>
        <w:t xml:space="preserve">made an illusion out of the gold standard legislation passed between 1867 and 1880. Silver, copper and bank notes dominated circulation and traded at a heavy discount against the little gold left in the country. </w:t>
      </w:r>
    </w:p>
    <w:p w:rsidR="00A05E22" w:rsidRDefault="00A05E22" w:rsidP="00CC5FB6">
      <w:pPr>
        <w:spacing w:line="360" w:lineRule="auto"/>
        <w:jc w:val="both"/>
      </w:pPr>
      <w:r>
        <w:rPr>
          <w:color w:val="000000" w:themeColor="text1"/>
        </w:rPr>
        <w:tab/>
        <w:t xml:space="preserve">As the origin of the problem was fiscal, the envisaged exchange-rate stabilisation could only be achieved by fiscal consolidation. </w:t>
      </w:r>
      <w:r>
        <w:t>Romania was the only country in which domestic reforms alone paved the way for gold standard membership in 1890 (</w:t>
      </w:r>
      <w:proofErr w:type="spellStart"/>
      <w:r>
        <w:t>Stoenescu</w:t>
      </w:r>
      <w:proofErr w:type="spellEnd"/>
      <w:r>
        <w:t xml:space="preserve"> et al. 2011: 184-192). In the other three countries, the situation had to get worse before it could improve. In the absence of domestic reform and with foreign funds flowing in easily, it was only a matter of time for debt levels to grow out of proportions. Greece and Serbia had accumulated debt-to-GDP ratios of 176% and 138% in 1893 and 1895, respectively, the year of their default. For a variety of political and economic reasons (and in the Greek case only after a five year period), both countries wished to move from unilateral default to a debt restructuring, and consented to financial supervision by their main lenders in 1898 and 1895, respectively. The </w:t>
      </w:r>
      <w:r w:rsidRPr="00AE42B6">
        <w:rPr>
          <w:i/>
        </w:rPr>
        <w:t>quid pro quo</w:t>
      </w:r>
      <w:r>
        <w:t xml:space="preserve"> was similar for Bulgaria, although the country did not default but entered financial supervision “voluntarily” in 1902 to obtain another loan. It was only under this new institutional setting that the three countries started to run positive budgets which allowed the withdrawal of currency in circulation. The exchange-rate appreciated and further debt </w:t>
      </w:r>
      <w:proofErr w:type="spellStart"/>
      <w:r>
        <w:t>monetisations</w:t>
      </w:r>
      <w:proofErr w:type="spellEnd"/>
      <w:r>
        <w:t xml:space="preserve"> were no longer necessary. In this environment, Bulgaria, the “mildest” of the three cases, was able to shadow gold in 1906, followed by Serbia in 1909 </w:t>
      </w:r>
      <w:r w:rsidRPr="00673F65">
        <w:rPr>
          <w:color w:val="000000" w:themeColor="text1"/>
        </w:rPr>
        <w:t xml:space="preserve">and Greece in 1910 (based on remaining within a +/-2.0% band vis-à-vis </w:t>
      </w:r>
      <w:r w:rsidRPr="00673F65">
        <w:rPr>
          <w:i/>
          <w:color w:val="000000" w:themeColor="text1"/>
        </w:rPr>
        <w:t>de jure</w:t>
      </w:r>
      <w:r w:rsidRPr="00673F65">
        <w:rPr>
          <w:color w:val="000000" w:themeColor="text1"/>
        </w:rPr>
        <w:t xml:space="preserve"> gold standard </w:t>
      </w:r>
      <w:r w:rsidRPr="00673F65">
        <w:rPr>
          <w:color w:val="000000" w:themeColor="text1"/>
        </w:rPr>
        <w:lastRenderedPageBreak/>
        <w:t xml:space="preserve">countries, cf. Morys 2014: 46). The SEE countries had finally implemented their </w:t>
      </w:r>
      <w:r>
        <w:t>gold standard legislation from four decades earlier.</w:t>
      </w:r>
    </w:p>
    <w:p w:rsidR="00A05E22" w:rsidRDefault="00A05E22" w:rsidP="00CC5FB6">
      <w:pPr>
        <w:spacing w:line="360" w:lineRule="auto"/>
        <w:jc w:val="both"/>
      </w:pPr>
    </w:p>
    <w:p w:rsidR="00A05E22" w:rsidRPr="00546599" w:rsidRDefault="00A05E22" w:rsidP="00CC5FB6">
      <w:pPr>
        <w:spacing w:line="360" w:lineRule="auto"/>
        <w:jc w:val="both"/>
        <w:rPr>
          <w:color w:val="000000" w:themeColor="text1"/>
        </w:rPr>
      </w:pPr>
    </w:p>
    <w:p w:rsidR="00A05E22" w:rsidRPr="005D6B51" w:rsidRDefault="00A05E22" w:rsidP="00CC5FB6">
      <w:pPr>
        <w:spacing w:line="360" w:lineRule="auto"/>
        <w:jc w:val="both"/>
        <w:rPr>
          <w:b/>
          <w:color w:val="000000" w:themeColor="text1"/>
        </w:rPr>
      </w:pPr>
      <w:r w:rsidRPr="005D6B51">
        <w:rPr>
          <w:b/>
          <w:color w:val="000000" w:themeColor="text1"/>
        </w:rPr>
        <w:t>Conclusion</w:t>
      </w:r>
    </w:p>
    <w:p w:rsidR="00A05E22" w:rsidRDefault="00A05E22" w:rsidP="00CC5FB6">
      <w:pPr>
        <w:spacing w:line="360" w:lineRule="auto"/>
        <w:jc w:val="both"/>
        <w:rPr>
          <w:color w:val="000000" w:themeColor="text1"/>
        </w:rPr>
      </w:pPr>
      <w:r>
        <w:rPr>
          <w:color w:val="000000" w:themeColor="text1"/>
        </w:rPr>
        <w:t>What kind of monetary institutions are needed to become a proper state? We have provided an answer to this question for the four SEE countries which became autonomous within and, later, independent from the Ottoman Empire during the 19</w:t>
      </w:r>
      <w:r w:rsidRPr="005D6B51">
        <w:rPr>
          <w:color w:val="000000" w:themeColor="text1"/>
          <w:vertAlign w:val="superscript"/>
        </w:rPr>
        <w:t>th</w:t>
      </w:r>
      <w:r>
        <w:rPr>
          <w:color w:val="000000" w:themeColor="text1"/>
        </w:rPr>
        <w:t xml:space="preserve"> century: Serbia, Greece, Romania and Bulgaria. As most of the political and economic dynamism was concentrated in the second half of the 19</w:t>
      </w:r>
      <w:r w:rsidRPr="005D6B51">
        <w:rPr>
          <w:color w:val="000000" w:themeColor="text1"/>
          <w:vertAlign w:val="superscript"/>
        </w:rPr>
        <w:t>th</w:t>
      </w:r>
      <w:r>
        <w:rPr>
          <w:color w:val="000000" w:themeColor="text1"/>
        </w:rPr>
        <w:t xml:space="preserve"> century, their experiences give us good insight into what monetary institutions were needed at a time of a globalising world economy epitomised by the gold standard.</w:t>
      </w:r>
    </w:p>
    <w:p w:rsidR="00A05E22" w:rsidRDefault="00A05E22" w:rsidP="00CC5FB6">
      <w:pPr>
        <w:spacing w:line="360" w:lineRule="auto"/>
        <w:jc w:val="both"/>
        <w:rPr>
          <w:color w:val="000000" w:themeColor="text1"/>
        </w:rPr>
      </w:pPr>
      <w:r>
        <w:rPr>
          <w:color w:val="000000" w:themeColor="text1"/>
        </w:rPr>
        <w:tab/>
        <w:t>We identified five steps which were taken in the same chronological order</w:t>
      </w:r>
      <w:r w:rsidRPr="001F38FF">
        <w:rPr>
          <w:color w:val="000000" w:themeColor="text1"/>
        </w:rPr>
        <w:t xml:space="preserve"> </w:t>
      </w:r>
      <w:r>
        <w:rPr>
          <w:color w:val="000000" w:themeColor="text1"/>
        </w:rPr>
        <w:t>by the four countries. Following political autonomy, they first passed a national budget; a process which could take up to two decades and reflected the gradual metamorphosis of clan-based societies into modern states structured around a centralised bureaucracy and a political process mediated by government and parliament. A system of national coinage came only as a second step (again with considerable delay in some cases), to be followed by a first government bond issue targeting West European capital markets. Only then came the foundation of a national bank as a proper monetary authority; a step which today would be taken immediately upon independence. The century of monetary reform in SEE ended with all four countries eventually adopting the gold standard at the turn of the century.</w:t>
      </w:r>
    </w:p>
    <w:p w:rsidR="00A05E22" w:rsidRDefault="00A05E22" w:rsidP="00CC5FB6">
      <w:pPr>
        <w:spacing w:line="360" w:lineRule="auto"/>
        <w:jc w:val="both"/>
        <w:rPr>
          <w:color w:val="000000" w:themeColor="text1"/>
        </w:rPr>
      </w:pPr>
      <w:r>
        <w:rPr>
          <w:color w:val="000000" w:themeColor="text1"/>
        </w:rPr>
        <w:tab/>
        <w:t>We explained how the five reform steps were interrelated and how they built on each other, and we also pointed out that only two of them were “monetary reforms” in the narrow sense of the word: a unified coinage and the establishment of a bank of note issue. Why did these two reforms come so late? We could also turn the question around and ask from an 18</w:t>
      </w:r>
      <w:r w:rsidRPr="005D6B51">
        <w:rPr>
          <w:color w:val="000000" w:themeColor="text1"/>
          <w:vertAlign w:val="superscript"/>
        </w:rPr>
        <w:t>th</w:t>
      </w:r>
      <w:r>
        <w:rPr>
          <w:color w:val="000000" w:themeColor="text1"/>
        </w:rPr>
        <w:t xml:space="preserve"> century perspective: why pass such reforms at all? The answer is that the Balkan countries emerged in the 19</w:t>
      </w:r>
      <w:r w:rsidRPr="005D6B51">
        <w:rPr>
          <w:color w:val="000000" w:themeColor="text1"/>
          <w:vertAlign w:val="superscript"/>
        </w:rPr>
        <w:t>th</w:t>
      </w:r>
      <w:r>
        <w:rPr>
          <w:color w:val="000000" w:themeColor="text1"/>
        </w:rPr>
        <w:t xml:space="preserve"> century and hence show a pattern of institutional development between the two concepts of monetary reform implicitly articulated in the two questions. Foreign coin circulation was widespread in 19</w:t>
      </w:r>
      <w:r w:rsidRPr="00693EBD">
        <w:rPr>
          <w:color w:val="000000" w:themeColor="text1"/>
          <w:vertAlign w:val="superscript"/>
        </w:rPr>
        <w:t>th</w:t>
      </w:r>
      <w:r>
        <w:rPr>
          <w:color w:val="000000" w:themeColor="text1"/>
        </w:rPr>
        <w:t xml:space="preserve"> century Europe, including in the economically more advanced West European countries. The Latin Monetary Union of 1865, for instance, owes its very existence to the French, Italian, Belgian and Swiss desire to maintain the benefits of long-established foreign coin circulation under new circumstances (in the event, price changes between gold and silver on international bullion markets). Consequently, the Balkan countries </w:t>
      </w:r>
      <w:r>
        <w:rPr>
          <w:color w:val="000000" w:themeColor="text1"/>
        </w:rPr>
        <w:lastRenderedPageBreak/>
        <w:t>initially did not see a need for unified, national coinage and postponed the costly reform. The late emergence of a national bank can be rationalised on similar grounds: there were no immediate benefits to such an institution (even international capital markets could be accessed without it), but raising the necessary capital domestically was difficult. Consequently, reform efforts stalled until it became clear that such an institution would be helpful in managing the national debt as well as supporting the financial development of the domestic economic more broadly speaking.</w:t>
      </w:r>
    </w:p>
    <w:p w:rsidR="00A05E22" w:rsidRPr="00E4022D" w:rsidRDefault="00A05E22" w:rsidP="00CC5FB6">
      <w:pPr>
        <w:spacing w:line="360" w:lineRule="auto"/>
        <w:rPr>
          <w:color w:val="000000" w:themeColor="text1"/>
        </w:rPr>
      </w:pPr>
    </w:p>
    <w:p w:rsidR="00A05E22" w:rsidRDefault="00A05E22"/>
    <w:p w:rsidR="00A57AEB" w:rsidRDefault="00A57AEB">
      <w:pPr>
        <w:rPr>
          <w:b/>
        </w:rPr>
      </w:pPr>
      <w:r>
        <w:rPr>
          <w:b/>
        </w:rPr>
        <w:br w:type="page"/>
      </w:r>
    </w:p>
    <w:p w:rsidR="00A05E22" w:rsidRPr="00A57AEB" w:rsidRDefault="00A05E22" w:rsidP="00210A21">
      <w:pPr>
        <w:rPr>
          <w:b/>
        </w:rPr>
      </w:pPr>
      <w:r w:rsidRPr="00A57AEB">
        <w:rPr>
          <w:b/>
        </w:rPr>
        <w:lastRenderedPageBreak/>
        <w:t>Bibliography</w:t>
      </w:r>
    </w:p>
    <w:p w:rsidR="00A57AEB" w:rsidRDefault="00A57AEB" w:rsidP="00A57AEB">
      <w:pPr>
        <w:ind w:left="720" w:hanging="720"/>
        <w:jc w:val="both"/>
        <w:rPr>
          <w:i/>
          <w:noProof/>
        </w:rPr>
      </w:pPr>
      <w:bookmarkStart w:id="1" w:name="_ENREF_1"/>
    </w:p>
    <w:p w:rsidR="00A05E22" w:rsidRPr="00A57AEB" w:rsidRDefault="00A05E22" w:rsidP="00A57AEB">
      <w:pPr>
        <w:ind w:left="720" w:hanging="720"/>
        <w:jc w:val="both"/>
        <w:rPr>
          <w:noProof/>
        </w:rPr>
      </w:pPr>
      <w:r w:rsidRPr="00A57AEB">
        <w:rPr>
          <w:i/>
          <w:noProof/>
        </w:rPr>
        <w:t>130 years since the establishment of the modern Romanian monetary system</w:t>
      </w:r>
      <w:r w:rsidRPr="00A57AEB">
        <w:rPr>
          <w:noProof/>
        </w:rPr>
        <w:t>. Bucharest 1997.</w:t>
      </w:r>
      <w:bookmarkEnd w:id="1"/>
    </w:p>
    <w:p w:rsidR="00C9052D" w:rsidRPr="00E438D7" w:rsidRDefault="00C9052D" w:rsidP="00C9052D">
      <w:pPr>
        <w:ind w:left="720" w:hanging="720"/>
        <w:jc w:val="both"/>
        <w:rPr>
          <w:noProof/>
        </w:rPr>
      </w:pPr>
      <w:bookmarkStart w:id="2" w:name="_ENREF_2"/>
    </w:p>
    <w:p w:rsidR="00A05E22" w:rsidRDefault="00A05E22" w:rsidP="00A57AEB">
      <w:pPr>
        <w:ind w:left="720" w:hanging="720"/>
        <w:jc w:val="both"/>
        <w:rPr>
          <w:noProof/>
        </w:rPr>
      </w:pPr>
      <w:r w:rsidRPr="00A57AEB">
        <w:rPr>
          <w:noProof/>
        </w:rPr>
        <w:t xml:space="preserve">Austrian National Bank, Bank of Greece, Bulgarian National Bank, and National Bank of Romania. </w:t>
      </w:r>
      <w:r w:rsidRPr="00A57AEB">
        <w:rPr>
          <w:i/>
          <w:noProof/>
        </w:rPr>
        <w:t>South-Eastern European Monetary and Economic Statistics from the Nineteenth Century to World War II</w:t>
      </w:r>
      <w:r w:rsidRPr="00A57AEB">
        <w:rPr>
          <w:noProof/>
        </w:rPr>
        <w:t>. Vienna 2014.</w:t>
      </w:r>
      <w:bookmarkEnd w:id="2"/>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3" w:name="_ENREF_3"/>
      <w:r w:rsidRPr="00A57AEB">
        <w:rPr>
          <w:noProof/>
        </w:rPr>
        <w:t xml:space="preserve">Battilossi, Stefano, and Matthias Morys. "Emerging Stock Markets in Hostorical Perspective: A Research Agenda." </w:t>
      </w:r>
      <w:r w:rsidRPr="00A57AEB">
        <w:rPr>
          <w:i/>
          <w:noProof/>
        </w:rPr>
        <w:t xml:space="preserve">University of York Economic History Working Paper 2011/03 </w:t>
      </w:r>
      <w:r w:rsidRPr="00A57AEB">
        <w:rPr>
          <w:noProof/>
        </w:rPr>
        <w:t xml:space="preserve"> (2011).</w:t>
      </w:r>
      <w:bookmarkEnd w:id="3"/>
    </w:p>
    <w:p w:rsidR="00A57AEB" w:rsidRPr="00E438D7" w:rsidRDefault="00A57AEB" w:rsidP="00A57AEB">
      <w:pPr>
        <w:ind w:left="720" w:hanging="720"/>
        <w:jc w:val="both"/>
        <w:rPr>
          <w:noProof/>
        </w:rPr>
      </w:pPr>
    </w:p>
    <w:p w:rsidR="00E438D7" w:rsidRPr="00E438D7" w:rsidRDefault="00E438D7" w:rsidP="00A57AEB">
      <w:pPr>
        <w:ind w:left="720" w:hanging="720"/>
        <w:jc w:val="both"/>
        <w:rPr>
          <w:noProof/>
        </w:rPr>
      </w:pPr>
      <w:bookmarkStart w:id="4" w:name="_ENREF_4"/>
      <w:r>
        <w:rPr>
          <w:noProof/>
        </w:rPr>
        <w:t xml:space="preserve">Bordo, Michael, and Harold James. “The European Crisis in the Context of the History of Previous Financial Crises.” </w:t>
      </w:r>
      <w:r>
        <w:rPr>
          <w:i/>
          <w:noProof/>
        </w:rPr>
        <w:t xml:space="preserve">Journal of Macroeconomics </w:t>
      </w:r>
      <w:r>
        <w:rPr>
          <w:noProof/>
        </w:rPr>
        <w:t>39 (2014): 275-284.</w:t>
      </w:r>
    </w:p>
    <w:p w:rsidR="00E438D7" w:rsidRPr="00E438D7" w:rsidRDefault="00E438D7" w:rsidP="00A57AEB">
      <w:pPr>
        <w:ind w:left="720" w:hanging="720"/>
        <w:jc w:val="both"/>
        <w:rPr>
          <w:noProof/>
        </w:rPr>
      </w:pPr>
    </w:p>
    <w:p w:rsidR="00A05E22" w:rsidRDefault="00A05E22" w:rsidP="00A57AEB">
      <w:pPr>
        <w:ind w:left="720" w:hanging="720"/>
        <w:jc w:val="both"/>
        <w:rPr>
          <w:noProof/>
        </w:rPr>
      </w:pPr>
      <w:r w:rsidRPr="00A57AEB">
        <w:rPr>
          <w:noProof/>
        </w:rPr>
        <w:t xml:space="preserve">Bulgarian National Bank. </w:t>
      </w:r>
      <w:r w:rsidRPr="00A57AEB">
        <w:rPr>
          <w:i/>
          <w:noProof/>
        </w:rPr>
        <w:t>Coins 1879-2009</w:t>
      </w:r>
      <w:r w:rsidRPr="00A57AEB">
        <w:rPr>
          <w:noProof/>
        </w:rPr>
        <w:t>. Sofia 2009.</w:t>
      </w:r>
      <w:bookmarkEnd w:id="4"/>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5" w:name="_ENREF_5"/>
      <w:r w:rsidRPr="00A57AEB">
        <w:rPr>
          <w:noProof/>
        </w:rPr>
        <w:t xml:space="preserve">Conant, Charles A. </w:t>
      </w:r>
      <w:r w:rsidRPr="00A57AEB">
        <w:rPr>
          <w:i/>
          <w:noProof/>
        </w:rPr>
        <w:t>A history of modern banks of issue: with an account of the economic crises of the present century</w:t>
      </w:r>
      <w:r w:rsidRPr="00A57AEB">
        <w:rPr>
          <w:noProof/>
        </w:rPr>
        <w:t>. 2nd ed. New York: Putnam, 1902.</w:t>
      </w:r>
      <w:bookmarkEnd w:id="5"/>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6" w:name="_ENREF_6"/>
      <w:r w:rsidRPr="00A57AEB">
        <w:rPr>
          <w:noProof/>
        </w:rPr>
        <w:t xml:space="preserve">Dimitrova, Kalina, and Martin Ivanov. "Bulgaria: from 1879 to 1947." In </w:t>
      </w:r>
      <w:r w:rsidRPr="00A57AEB">
        <w:rPr>
          <w:i/>
          <w:noProof/>
        </w:rPr>
        <w:t>South-Eastern European Monetary and Economic Statistics from the Nineteenth Century to World War II</w:t>
      </w:r>
      <w:r w:rsidRPr="00A57AEB">
        <w:rPr>
          <w:noProof/>
        </w:rPr>
        <w:t>, 199-242. Vienna: Austrian National Bank, Bank of Greece, Bulgarian National Bank, National Bank of Romania, 2014.</w:t>
      </w:r>
      <w:bookmarkEnd w:id="6"/>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7" w:name="_ENREF_7"/>
      <w:r w:rsidRPr="00A57AEB">
        <w:rPr>
          <w:noProof/>
        </w:rPr>
        <w:t xml:space="preserve">Einaudi, Luca L. "Monetary separation and European convergence in the Balkans in the 19th century." In </w:t>
      </w:r>
      <w:r w:rsidRPr="00A57AEB">
        <w:rPr>
          <w:i/>
          <w:noProof/>
        </w:rPr>
        <w:t>The Experience of Exchange Rate Regimes in South-Eastern Europe in Historical and Comparative Perspective. Conference proceedings of the 2nd meeting of the South-Eastern European Monetary History Network on 12th and 13th April 2007 in Vienna</w:t>
      </w:r>
      <w:r w:rsidRPr="00A57AEB">
        <w:rPr>
          <w:noProof/>
        </w:rPr>
        <w:t>, 30-49. Vienna: Austrian National Bank, 2007.</w:t>
      </w:r>
      <w:bookmarkEnd w:id="7"/>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8" w:name="_ENREF_8"/>
      <w:r w:rsidRPr="00A57AEB">
        <w:rPr>
          <w:noProof/>
        </w:rPr>
        <w:t xml:space="preserve">Feis, Herbert. </w:t>
      </w:r>
      <w:r w:rsidRPr="00A57AEB">
        <w:rPr>
          <w:i/>
          <w:noProof/>
        </w:rPr>
        <w:t>Europe, the World's Banker, 1870-1914. An account of European foreign investment and the connection of world finance with diplomacy before the War</w:t>
      </w:r>
      <w:r w:rsidRPr="00A57AEB">
        <w:rPr>
          <w:noProof/>
        </w:rPr>
        <w:t>. New Haven, CT: Council on Foreign Relations, 1930.</w:t>
      </w:r>
      <w:bookmarkEnd w:id="8"/>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9" w:name="_ENREF_9"/>
      <w:r w:rsidRPr="00A57AEB">
        <w:rPr>
          <w:noProof/>
        </w:rPr>
        <w:t xml:space="preserve">Flandreau, Marc. "The French Crime of 1873: An Essay on the Emergence of the International Gold Standard, 1870-1880." </w:t>
      </w:r>
      <w:r w:rsidRPr="00A57AEB">
        <w:rPr>
          <w:i/>
          <w:noProof/>
        </w:rPr>
        <w:t xml:space="preserve">Journal of Economic History </w:t>
      </w:r>
      <w:r w:rsidRPr="00A57AEB">
        <w:rPr>
          <w:noProof/>
        </w:rPr>
        <w:t>56 (1996): 862-97.</w:t>
      </w:r>
      <w:bookmarkEnd w:id="9"/>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0" w:name="_ENREF_10"/>
      <w:r w:rsidRPr="00A57AEB">
        <w:rPr>
          <w:noProof/>
        </w:rPr>
        <w:t xml:space="preserve">Gnjatovic, Dragana. "The introduction of the limping gold standard in the principality of Serbia." In </w:t>
      </w:r>
      <w:r w:rsidRPr="00A57AEB">
        <w:rPr>
          <w:i/>
          <w:noProof/>
        </w:rPr>
        <w:t>Monetary and Fiscal Policies in South-Eastern Europe: Historical and Comparative Perspectives (Conference proceedings of the 1st meeting of the South-Eastern European Monetary History Network)</w:t>
      </w:r>
      <w:r w:rsidRPr="00A57AEB">
        <w:rPr>
          <w:noProof/>
        </w:rPr>
        <w:t>, edited by R. Avramov and Pamuk, S., 46-58. Sofia: Bulgarian National Bank, 2006.</w:t>
      </w:r>
      <w:bookmarkEnd w:id="10"/>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1" w:name="_ENREF_11"/>
      <w:r w:rsidRPr="00A57AEB">
        <w:rPr>
          <w:noProof/>
        </w:rPr>
        <w:t xml:space="preserve">Haupt, Ottomar. </w:t>
      </w:r>
      <w:r w:rsidRPr="00A57AEB">
        <w:rPr>
          <w:i/>
          <w:noProof/>
        </w:rPr>
        <w:t>L’histoire monétaire de notre temps</w:t>
      </w:r>
      <w:r w:rsidRPr="00A57AEB">
        <w:rPr>
          <w:noProof/>
        </w:rPr>
        <w:t>. Paris 1886.</w:t>
      </w:r>
      <w:bookmarkEnd w:id="11"/>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2" w:name="_ENREF_12"/>
      <w:r w:rsidRPr="00A57AEB">
        <w:rPr>
          <w:noProof/>
        </w:rPr>
        <w:t xml:space="preserve">Helfferich, Karl. </w:t>
      </w:r>
      <w:r w:rsidRPr="00A57AEB">
        <w:rPr>
          <w:i/>
          <w:noProof/>
        </w:rPr>
        <w:t>Die Reform des deutschen Geldwesens nach der Gründung des Reiches</w:t>
      </w:r>
      <w:r w:rsidRPr="00A57AEB">
        <w:rPr>
          <w:noProof/>
        </w:rPr>
        <w:t>. 2 vols. Leipzig: Duncker&amp;Humblot, 1898.</w:t>
      </w:r>
      <w:bookmarkEnd w:id="12"/>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3" w:name="_ENREF_13"/>
      <w:r w:rsidRPr="00A57AEB">
        <w:rPr>
          <w:noProof/>
        </w:rPr>
        <w:lastRenderedPageBreak/>
        <w:t xml:space="preserve">Hinic, Branko, Ljiljana Durdevic, and Milan Sojic. "Serbia/Yugoslavia: from 1884 to 1940." In </w:t>
      </w:r>
      <w:r w:rsidRPr="00A57AEB">
        <w:rPr>
          <w:i/>
          <w:noProof/>
        </w:rPr>
        <w:t>South-Eastern European Monetary and Economic Statistics from the Nineteenth Century to World War II</w:t>
      </w:r>
      <w:r w:rsidRPr="00A57AEB">
        <w:rPr>
          <w:noProof/>
        </w:rPr>
        <w:t>, 291-354. Vienna: Austrian National Bank, Bank of Greece, Bulgarian National Bank, National Bank of Romania, 2014.</w:t>
      </w:r>
      <w:bookmarkEnd w:id="13"/>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4" w:name="_ENREF_14"/>
      <w:r w:rsidRPr="00A57AEB">
        <w:rPr>
          <w:noProof/>
        </w:rPr>
        <w:t xml:space="preserve">Lampe, John R., and Marvin R. Jackson. </w:t>
      </w:r>
      <w:r w:rsidRPr="00A57AEB">
        <w:rPr>
          <w:i/>
          <w:noProof/>
        </w:rPr>
        <w:t>Balkan economic history, 1550-1950. From imperial border lands to developing nations</w:t>
      </w:r>
      <w:r w:rsidRPr="00A57AEB">
        <w:rPr>
          <w:noProof/>
        </w:rPr>
        <w:t>. Bloomington: Indiana University Press, 1982.</w:t>
      </w:r>
      <w:bookmarkEnd w:id="14"/>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5" w:name="_ENREF_15"/>
      <w:r w:rsidRPr="00A57AEB">
        <w:rPr>
          <w:noProof/>
        </w:rPr>
        <w:t xml:space="preserve">Lazaretou, Sophia. "Greece: from 1833 to 1949." In </w:t>
      </w:r>
      <w:r w:rsidRPr="00A57AEB">
        <w:rPr>
          <w:i/>
          <w:noProof/>
        </w:rPr>
        <w:t>South-Eastern European Monetary and Economic Statistics from the Nineteenth Century to World War II</w:t>
      </w:r>
      <w:r w:rsidRPr="00A57AEB">
        <w:rPr>
          <w:noProof/>
        </w:rPr>
        <w:t>, 101-70. Vienna: Austrian National Bank, Bank of Greece, Bulgarian National Bank, National Bank of Romania, 2014.</w:t>
      </w:r>
      <w:bookmarkEnd w:id="15"/>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6" w:name="_ENREF_16"/>
      <w:r w:rsidRPr="00A57AEB">
        <w:rPr>
          <w:noProof/>
        </w:rPr>
        <w:t xml:space="preserve">Leconte, Jean-Marc. </w:t>
      </w:r>
      <w:r w:rsidRPr="00A57AEB">
        <w:rPr>
          <w:i/>
          <w:noProof/>
        </w:rPr>
        <w:t>Le bréviaire des monnaies de l’Union latine, 1865-1926</w:t>
      </w:r>
      <w:r w:rsidRPr="00A57AEB">
        <w:rPr>
          <w:noProof/>
        </w:rPr>
        <w:t>. Paris 1994.</w:t>
      </w:r>
      <w:bookmarkEnd w:id="16"/>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7" w:name="_ENREF_17"/>
      <w:r w:rsidRPr="00A57AEB">
        <w:rPr>
          <w:noProof/>
        </w:rPr>
        <w:t xml:space="preserve">Lévy, Raphael-Georges. </w:t>
      </w:r>
      <w:r w:rsidRPr="00A57AEB">
        <w:rPr>
          <w:i/>
          <w:noProof/>
        </w:rPr>
        <w:t>Banques d'émission et trésors publics</w:t>
      </w:r>
      <w:r w:rsidRPr="00A57AEB">
        <w:rPr>
          <w:noProof/>
        </w:rPr>
        <w:t>. Pris: Librairie Hachette, 1911.</w:t>
      </w:r>
      <w:bookmarkEnd w:id="17"/>
    </w:p>
    <w:p w:rsidR="00A57AEB" w:rsidRPr="00E438D7" w:rsidRDefault="00A57AEB" w:rsidP="00A57AEB">
      <w:pPr>
        <w:ind w:left="720" w:hanging="720"/>
        <w:jc w:val="both"/>
        <w:rPr>
          <w:noProof/>
        </w:rPr>
      </w:pPr>
    </w:p>
    <w:p w:rsidR="00A05E22" w:rsidRPr="00A57AEB" w:rsidRDefault="00A05E22" w:rsidP="00A57AEB">
      <w:pPr>
        <w:ind w:left="720" w:hanging="720"/>
        <w:jc w:val="both"/>
        <w:rPr>
          <w:noProof/>
        </w:rPr>
      </w:pPr>
      <w:bookmarkStart w:id="18" w:name="_ENREF_18"/>
      <w:r w:rsidRPr="00A57AEB">
        <w:rPr>
          <w:noProof/>
        </w:rPr>
        <w:t xml:space="preserve">Maddison, Angus. </w:t>
      </w:r>
      <w:r w:rsidRPr="00A57AEB">
        <w:rPr>
          <w:i/>
          <w:noProof/>
        </w:rPr>
        <w:t>The World Economy. Historical Statistics</w:t>
      </w:r>
      <w:r w:rsidRPr="00A57AEB">
        <w:rPr>
          <w:noProof/>
        </w:rPr>
        <w:t>. Paris: OECD Development Centre Studies, 2003.</w:t>
      </w:r>
      <w:bookmarkEnd w:id="18"/>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19" w:name="_ENREF_19"/>
      <w:r w:rsidRPr="00A57AEB">
        <w:rPr>
          <w:noProof/>
        </w:rPr>
        <w:t xml:space="preserve">Mazower, Mark. </w:t>
      </w:r>
      <w:r w:rsidRPr="00A57AEB">
        <w:rPr>
          <w:i/>
          <w:noProof/>
        </w:rPr>
        <w:t>The Balkans</w:t>
      </w:r>
      <w:r w:rsidRPr="00A57AEB">
        <w:rPr>
          <w:noProof/>
        </w:rPr>
        <w:t>. New York: Phoenix Press, 2001.</w:t>
      </w:r>
      <w:bookmarkEnd w:id="19"/>
    </w:p>
    <w:p w:rsidR="00A57AEB" w:rsidRPr="00E438D7" w:rsidRDefault="00A57AEB" w:rsidP="00A57AEB">
      <w:pPr>
        <w:ind w:left="720" w:hanging="720"/>
        <w:jc w:val="both"/>
        <w:rPr>
          <w:noProof/>
        </w:rPr>
      </w:pPr>
    </w:p>
    <w:p w:rsidR="00A05E22" w:rsidRPr="00A57AEB" w:rsidRDefault="00A05E22" w:rsidP="00A57AEB">
      <w:pPr>
        <w:ind w:left="720" w:hanging="720"/>
        <w:jc w:val="both"/>
        <w:rPr>
          <w:noProof/>
        </w:rPr>
      </w:pPr>
      <w:bookmarkStart w:id="20" w:name="_ENREF_20"/>
      <w:r w:rsidRPr="00A57AEB">
        <w:rPr>
          <w:noProof/>
        </w:rPr>
        <w:t xml:space="preserve">Morys, Matthias. "Any lessons for today? Exchange-rate stabilisation in Greece and South-East Europe between economic and political objectives and fiscal reality, 1841-1939." </w:t>
      </w:r>
      <w:r w:rsidRPr="00A57AEB">
        <w:rPr>
          <w:i/>
          <w:noProof/>
        </w:rPr>
        <w:t xml:space="preserve">EHES Working Papers in Economic History 2015/84 </w:t>
      </w:r>
      <w:r w:rsidRPr="00A57AEB">
        <w:rPr>
          <w:noProof/>
        </w:rPr>
        <w:t xml:space="preserve"> (2015).</w:t>
      </w:r>
      <w:bookmarkEnd w:id="20"/>
    </w:p>
    <w:p w:rsidR="00A05E22" w:rsidRPr="00A57AEB" w:rsidRDefault="00A05E22" w:rsidP="00A57AEB">
      <w:pPr>
        <w:ind w:left="720" w:hanging="720"/>
        <w:jc w:val="both"/>
        <w:rPr>
          <w:noProof/>
        </w:rPr>
      </w:pPr>
      <w:bookmarkStart w:id="21" w:name="_ENREF_21"/>
      <w:r w:rsidRPr="00A57AEB">
        <w:rPr>
          <w:noProof/>
        </w:rPr>
        <w:t xml:space="preserve">———. "The emergence of the Classical Gold Standard." </w:t>
      </w:r>
      <w:r w:rsidRPr="00A57AEB">
        <w:rPr>
          <w:i/>
          <w:noProof/>
        </w:rPr>
        <w:t xml:space="preserve">University of York Economic History Working Paper 2012/01 </w:t>
      </w:r>
      <w:r w:rsidRPr="00A57AEB">
        <w:rPr>
          <w:noProof/>
        </w:rPr>
        <w:t xml:space="preserve"> (2012).</w:t>
      </w:r>
      <w:bookmarkEnd w:id="21"/>
    </w:p>
    <w:p w:rsidR="00A05E22" w:rsidRPr="00A57AEB" w:rsidRDefault="00A05E22" w:rsidP="00A57AEB">
      <w:pPr>
        <w:ind w:left="720" w:hanging="720"/>
        <w:jc w:val="both"/>
        <w:rPr>
          <w:noProof/>
        </w:rPr>
      </w:pPr>
      <w:bookmarkStart w:id="22" w:name="_ENREF_22"/>
      <w:r w:rsidRPr="00A57AEB">
        <w:rPr>
          <w:noProof/>
        </w:rPr>
        <w:t xml:space="preserve">———. "South-Eastern European growth experience in European perspective, 19th and 20th centuries." In </w:t>
      </w:r>
      <w:r w:rsidRPr="00A57AEB">
        <w:rPr>
          <w:i/>
          <w:noProof/>
        </w:rPr>
        <w:t>Monetary and Fiscal Policies in South-Eastern Europe: Historical and Comparative Perspectives (Conference proceedings of the 1st meeting of the South-Eastern European Monetary History Network)</w:t>
      </w:r>
      <w:r w:rsidRPr="00A57AEB">
        <w:rPr>
          <w:noProof/>
        </w:rPr>
        <w:t>, edited by R. Avramov and Pamuk, S., 23-44. Sofia: Bulgarian National Bank, 2006.</w:t>
      </w:r>
      <w:bookmarkEnd w:id="22"/>
    </w:p>
    <w:p w:rsidR="00A05E22" w:rsidRDefault="00A05E22" w:rsidP="00A57AEB">
      <w:pPr>
        <w:ind w:left="720" w:hanging="720"/>
        <w:jc w:val="both"/>
        <w:rPr>
          <w:noProof/>
        </w:rPr>
      </w:pPr>
      <w:bookmarkStart w:id="23" w:name="_ENREF_23"/>
      <w:r w:rsidRPr="00A57AEB">
        <w:rPr>
          <w:noProof/>
        </w:rPr>
        <w:t xml:space="preserve">———. "South-Eastern European Monetary History in a pan-European perspective, 1841-1939." In </w:t>
      </w:r>
      <w:r w:rsidRPr="00A57AEB">
        <w:rPr>
          <w:i/>
          <w:noProof/>
        </w:rPr>
        <w:t>South-Eastern European Monetary and Economic Statistics from the Nineteenth Century to World War I</w:t>
      </w:r>
      <w:r w:rsidRPr="00A57AEB">
        <w:rPr>
          <w:noProof/>
        </w:rPr>
        <w:t>, 25-53. Vienna: Austrian National Bank, Bank of Greece, Bulgarian National Bank, National Bank of Romania, 2014.</w:t>
      </w:r>
      <w:bookmarkEnd w:id="23"/>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24" w:name="_ENREF_24"/>
      <w:r w:rsidRPr="00A57AEB">
        <w:rPr>
          <w:noProof/>
        </w:rPr>
        <w:t xml:space="preserve">Reichsbank. </w:t>
      </w:r>
      <w:r w:rsidRPr="00A57AEB">
        <w:rPr>
          <w:i/>
          <w:noProof/>
        </w:rPr>
        <w:t>Vergleichende Notenbank-Statistik. 1875-1913</w:t>
      </w:r>
      <w:r w:rsidRPr="00A57AEB">
        <w:rPr>
          <w:noProof/>
        </w:rPr>
        <w:t>. Berlin: Reichsdruckerei, 1925.</w:t>
      </w:r>
      <w:bookmarkEnd w:id="24"/>
    </w:p>
    <w:p w:rsidR="00A57AEB" w:rsidRPr="00E438D7" w:rsidRDefault="00A57AEB" w:rsidP="00A57AEB">
      <w:pPr>
        <w:ind w:left="720" w:hanging="720"/>
        <w:jc w:val="both"/>
        <w:rPr>
          <w:noProof/>
        </w:rPr>
      </w:pPr>
    </w:p>
    <w:p w:rsidR="00A05E22" w:rsidRPr="00A57AEB" w:rsidRDefault="00A05E22" w:rsidP="00A57AEB">
      <w:pPr>
        <w:ind w:left="720" w:hanging="720"/>
        <w:jc w:val="both"/>
        <w:rPr>
          <w:noProof/>
        </w:rPr>
      </w:pPr>
      <w:bookmarkStart w:id="25" w:name="_ENREF_25"/>
      <w:r w:rsidRPr="00A57AEB">
        <w:rPr>
          <w:noProof/>
        </w:rPr>
        <w:t xml:space="preserve">Reti, Steven P. </w:t>
      </w:r>
      <w:r w:rsidRPr="00A57AEB">
        <w:rPr>
          <w:i/>
          <w:noProof/>
        </w:rPr>
        <w:t>Silver and Gold: The Political Economy of International Monetary Conferences. 1867-1892</w:t>
      </w:r>
      <w:r w:rsidRPr="00A57AEB">
        <w:rPr>
          <w:noProof/>
        </w:rPr>
        <w:t>. Westport (CT), London: Greenwood, 1998.</w:t>
      </w:r>
      <w:bookmarkEnd w:id="25"/>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26" w:name="_ENREF_26"/>
      <w:r w:rsidRPr="00A57AEB">
        <w:rPr>
          <w:noProof/>
        </w:rPr>
        <w:t xml:space="preserve">Sojic, Milan, and Ljiljana Djurdjevic. "The National Bank of Serbia, 1884 – 2006. Its Establishment and the Beginning of Operations." In </w:t>
      </w:r>
      <w:r w:rsidRPr="00A57AEB">
        <w:rPr>
          <w:i/>
          <w:noProof/>
        </w:rPr>
        <w:t>Monetary and Fiscal Policies in South-Eastern Europe. Historical and Comparative Perspectives (1st Annual Conference of the South-Eastern European Monetary History Network)</w:t>
      </w:r>
      <w:r w:rsidRPr="00A57AEB">
        <w:rPr>
          <w:noProof/>
        </w:rPr>
        <w:t>, edited by R. Avramov and Pamuk, S., 114-29. Sofia: Bulgarian National Bank, 2006.</w:t>
      </w:r>
      <w:bookmarkEnd w:id="26"/>
    </w:p>
    <w:p w:rsidR="00A57AEB" w:rsidRPr="00E438D7" w:rsidRDefault="00A57AEB" w:rsidP="00A57AEB">
      <w:pPr>
        <w:ind w:left="720" w:hanging="720"/>
        <w:jc w:val="both"/>
        <w:rPr>
          <w:noProof/>
        </w:rPr>
      </w:pPr>
    </w:p>
    <w:p w:rsidR="00A05E22" w:rsidRPr="00A57AEB" w:rsidRDefault="00A05E22" w:rsidP="00A57AEB">
      <w:pPr>
        <w:ind w:left="720" w:hanging="720"/>
        <w:jc w:val="both"/>
        <w:rPr>
          <w:noProof/>
        </w:rPr>
      </w:pPr>
      <w:bookmarkStart w:id="27" w:name="_ENREF_27"/>
      <w:r w:rsidRPr="00A57AEB">
        <w:rPr>
          <w:noProof/>
        </w:rPr>
        <w:t xml:space="preserve">Stoenescu, George Virgil, Adriana Aloman, Elisabeta Blejan, and Brindusa Costache. "Monetary policy in South-East Europe in the transition from bimetallism to the gold </w:t>
      </w:r>
      <w:r w:rsidRPr="00A57AEB">
        <w:rPr>
          <w:noProof/>
        </w:rPr>
        <w:lastRenderedPageBreak/>
        <w:t xml:space="preserve">standard." In </w:t>
      </w:r>
      <w:r w:rsidRPr="00A57AEB">
        <w:rPr>
          <w:i/>
          <w:noProof/>
        </w:rPr>
        <w:t>Conference proceedings of the 6th meeting of the South-East European Monetary History Network on 18th March 2011 in Bucharest</w:t>
      </w:r>
      <w:r w:rsidRPr="00A57AEB">
        <w:rPr>
          <w:noProof/>
        </w:rPr>
        <w:t>, edited by National Bank of Romania, 170-94, 2011.</w:t>
      </w:r>
      <w:bookmarkEnd w:id="27"/>
    </w:p>
    <w:p w:rsidR="00A05E22" w:rsidRDefault="00A05E22" w:rsidP="00A57AEB">
      <w:pPr>
        <w:ind w:left="720" w:hanging="720"/>
        <w:jc w:val="both"/>
        <w:rPr>
          <w:noProof/>
        </w:rPr>
      </w:pPr>
      <w:bookmarkStart w:id="28" w:name="_ENREF_28"/>
      <w:r w:rsidRPr="00A57AEB">
        <w:rPr>
          <w:noProof/>
        </w:rPr>
        <w:t xml:space="preserve">———. "Romania: from 1880 to 1947." In </w:t>
      </w:r>
      <w:r w:rsidRPr="00A57AEB">
        <w:rPr>
          <w:i/>
          <w:noProof/>
        </w:rPr>
        <w:t>South-Eastern European Monetary and Economic Statistics from the Nineteenth Century to World War II</w:t>
      </w:r>
      <w:r w:rsidRPr="00A57AEB">
        <w:rPr>
          <w:noProof/>
        </w:rPr>
        <w:t>, 243-90. Vienna: Austrian National Bank, Bank of Greece, Bulgarian National Bank, National Bank of Romania, 2014.</w:t>
      </w:r>
      <w:bookmarkEnd w:id="28"/>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29" w:name="_ENREF_29"/>
      <w:r w:rsidRPr="00A57AEB">
        <w:rPr>
          <w:noProof/>
        </w:rPr>
        <w:t xml:space="preserve">Sundhausen, Holm. </w:t>
      </w:r>
      <w:r w:rsidRPr="00A57AEB">
        <w:rPr>
          <w:i/>
          <w:noProof/>
        </w:rPr>
        <w:t>Historische Statistik Serbiens, 1834-1914, mit europaeischen Vergleichsdaten</w:t>
      </w:r>
      <w:r w:rsidRPr="00A57AEB">
        <w:rPr>
          <w:noProof/>
        </w:rPr>
        <w:t>. Munich: Oldenbourg, 1989.</w:t>
      </w:r>
      <w:bookmarkEnd w:id="29"/>
    </w:p>
    <w:p w:rsidR="00E438D7" w:rsidRPr="00E438D7" w:rsidRDefault="00E438D7" w:rsidP="00A57AEB">
      <w:pPr>
        <w:ind w:left="720" w:hanging="720"/>
        <w:jc w:val="both"/>
        <w:rPr>
          <w:noProof/>
        </w:rPr>
      </w:pPr>
    </w:p>
    <w:p w:rsidR="00E438D7" w:rsidRPr="00E438D7" w:rsidRDefault="00E438D7" w:rsidP="00A57AEB">
      <w:pPr>
        <w:ind w:left="720" w:hanging="720"/>
        <w:jc w:val="both"/>
        <w:rPr>
          <w:noProof/>
        </w:rPr>
      </w:pPr>
      <w:r>
        <w:rPr>
          <w:noProof/>
        </w:rPr>
        <w:t xml:space="preserve">Todorova, Maria. </w:t>
      </w:r>
      <w:r>
        <w:rPr>
          <w:i/>
          <w:noProof/>
        </w:rPr>
        <w:t>Imagining the Balkans</w:t>
      </w:r>
      <w:r>
        <w:rPr>
          <w:noProof/>
        </w:rPr>
        <w:t>. Oxford: Oxford University Press, 2009.</w:t>
      </w:r>
    </w:p>
    <w:p w:rsidR="00A57AEB" w:rsidRPr="00E438D7" w:rsidRDefault="00A57AEB" w:rsidP="00A57AEB">
      <w:pPr>
        <w:ind w:left="720" w:hanging="720"/>
        <w:jc w:val="both"/>
        <w:rPr>
          <w:noProof/>
        </w:rPr>
      </w:pPr>
    </w:p>
    <w:p w:rsidR="00A05E22" w:rsidRDefault="00A05E22" w:rsidP="00A57AEB">
      <w:pPr>
        <w:ind w:left="720" w:hanging="720"/>
        <w:jc w:val="both"/>
        <w:rPr>
          <w:noProof/>
        </w:rPr>
      </w:pPr>
      <w:bookmarkStart w:id="30" w:name="_ENREF_30"/>
      <w:r w:rsidRPr="00A57AEB">
        <w:rPr>
          <w:noProof/>
        </w:rPr>
        <w:t xml:space="preserve">Tuncer, Ali Coskun. </w:t>
      </w:r>
      <w:r w:rsidRPr="00A57AEB">
        <w:rPr>
          <w:i/>
          <w:noProof/>
        </w:rPr>
        <w:t>Sovereign debt and international financial control. The Middle East and the Balkans, 1870-1914</w:t>
      </w:r>
      <w:r w:rsidRPr="00A57AEB">
        <w:rPr>
          <w:noProof/>
        </w:rPr>
        <w:t>. Basingstoke: Palgrave Macmillan, 2015.</w:t>
      </w:r>
      <w:bookmarkEnd w:id="30"/>
    </w:p>
    <w:p w:rsidR="00A57AEB" w:rsidRPr="00E438D7" w:rsidRDefault="00A57AEB" w:rsidP="00A57AEB">
      <w:pPr>
        <w:ind w:left="720" w:hanging="720"/>
        <w:jc w:val="both"/>
        <w:rPr>
          <w:noProof/>
        </w:rPr>
      </w:pPr>
    </w:p>
    <w:p w:rsidR="00A05E22" w:rsidRPr="00A57AEB" w:rsidRDefault="00A05E22" w:rsidP="00A57AEB">
      <w:pPr>
        <w:ind w:left="720" w:hanging="720"/>
        <w:jc w:val="both"/>
        <w:rPr>
          <w:noProof/>
        </w:rPr>
      </w:pPr>
      <w:bookmarkStart w:id="31" w:name="_ENREF_31"/>
      <w:r w:rsidRPr="00A57AEB">
        <w:rPr>
          <w:noProof/>
        </w:rPr>
        <w:t xml:space="preserve">Warren, George Frederick, and Frank Ashmore Pearson. </w:t>
      </w:r>
      <w:r w:rsidRPr="00A57AEB">
        <w:rPr>
          <w:i/>
          <w:noProof/>
        </w:rPr>
        <w:t>Prices</w:t>
      </w:r>
      <w:r w:rsidRPr="00A57AEB">
        <w:rPr>
          <w:noProof/>
        </w:rPr>
        <w:t>. New York: Wiley, 1933.</w:t>
      </w:r>
      <w:bookmarkEnd w:id="31"/>
    </w:p>
    <w:p w:rsidR="00E438D7" w:rsidRDefault="00E438D7">
      <w:pPr>
        <w:rPr>
          <w:noProof/>
        </w:rPr>
      </w:pPr>
      <w:r>
        <w:rPr>
          <w:noProof/>
        </w:rPr>
        <w:br w:type="page"/>
      </w:r>
    </w:p>
    <w:p w:rsidR="00A05E22" w:rsidRDefault="00A05E22" w:rsidP="007C6214">
      <w:pPr>
        <w:pStyle w:val="Table"/>
        <w:spacing w:before="0" w:after="0"/>
        <w:jc w:val="center"/>
        <w:rPr>
          <w:b/>
          <w:i w:val="0"/>
          <w:sz w:val="22"/>
          <w:szCs w:val="22"/>
        </w:rPr>
      </w:pPr>
      <w:r w:rsidRPr="00741778">
        <w:rPr>
          <w:b/>
          <w:i w:val="0"/>
          <w:sz w:val="22"/>
          <w:szCs w:val="22"/>
        </w:rPr>
        <w:lastRenderedPageBreak/>
        <w:t xml:space="preserve">Table </w:t>
      </w:r>
      <w:r>
        <w:rPr>
          <w:b/>
          <w:i w:val="0"/>
          <w:sz w:val="22"/>
          <w:szCs w:val="22"/>
        </w:rPr>
        <w:t xml:space="preserve">1 </w:t>
      </w:r>
    </w:p>
    <w:p w:rsidR="00A05E22" w:rsidRDefault="00A05E22" w:rsidP="007C6214">
      <w:pPr>
        <w:pStyle w:val="Table"/>
        <w:spacing w:before="0" w:after="0"/>
        <w:jc w:val="center"/>
        <w:rPr>
          <w:b/>
          <w:i w:val="0"/>
          <w:sz w:val="22"/>
          <w:szCs w:val="22"/>
        </w:rPr>
      </w:pPr>
      <w:r>
        <w:rPr>
          <w:b/>
          <w:i w:val="0"/>
          <w:sz w:val="22"/>
          <w:szCs w:val="22"/>
        </w:rPr>
        <w:t>Time line for 4 South-East European countries, 1815-1910</w:t>
      </w:r>
    </w:p>
    <w:p w:rsidR="00A05E22" w:rsidRDefault="00A05E22" w:rsidP="00CE460C">
      <w:pPr>
        <w:rPr>
          <w:lang w:eastAsia="de-AT"/>
        </w:rPr>
      </w:pPr>
    </w:p>
    <w:tbl>
      <w:tblPr>
        <w:tblStyle w:val="TableGrid"/>
        <w:tblW w:w="8331" w:type="dxa"/>
        <w:tblLayout w:type="fixed"/>
        <w:tblLook w:val="04A0" w:firstRow="1" w:lastRow="0" w:firstColumn="1" w:lastColumn="0" w:noHBand="0" w:noVBand="1"/>
      </w:tblPr>
      <w:tblGrid>
        <w:gridCol w:w="1384"/>
        <w:gridCol w:w="1559"/>
        <w:gridCol w:w="993"/>
        <w:gridCol w:w="993"/>
        <w:gridCol w:w="992"/>
        <w:gridCol w:w="992"/>
        <w:gridCol w:w="1418"/>
      </w:tblGrid>
      <w:tr w:rsidR="00A05E22" w:rsidTr="0002077A">
        <w:tc>
          <w:tcPr>
            <w:tcW w:w="1384" w:type="dxa"/>
          </w:tcPr>
          <w:p w:rsidR="00A05E22" w:rsidRPr="00BA211A" w:rsidRDefault="00A05E22" w:rsidP="00CE460C">
            <w:pPr>
              <w:rPr>
                <w:lang w:eastAsia="de-AT"/>
              </w:rPr>
            </w:pPr>
          </w:p>
        </w:tc>
        <w:tc>
          <w:tcPr>
            <w:tcW w:w="1559" w:type="dxa"/>
          </w:tcPr>
          <w:p w:rsidR="00A05E22" w:rsidRPr="00CA5BB0" w:rsidRDefault="00A05E22" w:rsidP="00E34F3E">
            <w:pPr>
              <w:jc w:val="center"/>
              <w:rPr>
                <w:lang w:eastAsia="de-AT"/>
              </w:rPr>
            </w:pPr>
            <w:r w:rsidRPr="00CA5BB0">
              <w:rPr>
                <w:lang w:eastAsia="de-AT"/>
              </w:rPr>
              <w:t>Autonomy /</w:t>
            </w:r>
          </w:p>
          <w:p w:rsidR="00A05E22" w:rsidRPr="00CA5BB0" w:rsidRDefault="00A05E22" w:rsidP="00E34F3E">
            <w:pPr>
              <w:jc w:val="center"/>
              <w:rPr>
                <w:lang w:eastAsia="de-AT"/>
              </w:rPr>
            </w:pPr>
            <w:r w:rsidRPr="00CA5BB0">
              <w:rPr>
                <w:lang w:eastAsia="de-AT"/>
              </w:rPr>
              <w:t>full political independence</w:t>
            </w:r>
          </w:p>
        </w:tc>
        <w:tc>
          <w:tcPr>
            <w:tcW w:w="993" w:type="dxa"/>
          </w:tcPr>
          <w:p w:rsidR="00A05E22" w:rsidRPr="00BA211A" w:rsidRDefault="00A05E22" w:rsidP="001329BF">
            <w:pPr>
              <w:jc w:val="center"/>
              <w:rPr>
                <w:lang w:eastAsia="de-AT"/>
              </w:rPr>
            </w:pPr>
            <w:r>
              <w:rPr>
                <w:lang w:eastAsia="de-AT"/>
              </w:rPr>
              <w:t>First budget</w:t>
            </w:r>
          </w:p>
        </w:tc>
        <w:tc>
          <w:tcPr>
            <w:tcW w:w="993" w:type="dxa"/>
          </w:tcPr>
          <w:p w:rsidR="00A05E22" w:rsidRPr="00BA211A" w:rsidRDefault="00A05E22" w:rsidP="001329BF">
            <w:pPr>
              <w:jc w:val="center"/>
              <w:rPr>
                <w:lang w:eastAsia="de-AT"/>
              </w:rPr>
            </w:pPr>
            <w:r w:rsidRPr="00BA211A">
              <w:rPr>
                <w:lang w:eastAsia="de-AT"/>
              </w:rPr>
              <w:t xml:space="preserve">Coinage </w:t>
            </w:r>
            <w:r>
              <w:rPr>
                <w:lang w:eastAsia="de-AT"/>
              </w:rPr>
              <w:t>Act</w:t>
            </w:r>
          </w:p>
        </w:tc>
        <w:tc>
          <w:tcPr>
            <w:tcW w:w="992" w:type="dxa"/>
          </w:tcPr>
          <w:p w:rsidR="00A05E22" w:rsidRPr="00BA211A" w:rsidRDefault="00A05E22" w:rsidP="00D60198">
            <w:pPr>
              <w:jc w:val="center"/>
              <w:rPr>
                <w:lang w:eastAsia="de-AT"/>
              </w:rPr>
            </w:pPr>
            <w:r w:rsidRPr="00BA211A">
              <w:rPr>
                <w:lang w:eastAsia="de-AT"/>
              </w:rPr>
              <w:t>First</w:t>
            </w:r>
            <w:r>
              <w:rPr>
                <w:lang w:eastAsia="de-AT"/>
              </w:rPr>
              <w:t xml:space="preserve"> bond issue</w:t>
            </w:r>
          </w:p>
        </w:tc>
        <w:tc>
          <w:tcPr>
            <w:tcW w:w="992" w:type="dxa"/>
          </w:tcPr>
          <w:p w:rsidR="00A05E22" w:rsidRPr="00CA5BB0" w:rsidRDefault="00A05E22" w:rsidP="00D34F0E">
            <w:pPr>
              <w:jc w:val="center"/>
              <w:rPr>
                <w:lang w:eastAsia="de-AT"/>
              </w:rPr>
            </w:pPr>
            <w:r w:rsidRPr="00CA5BB0">
              <w:rPr>
                <w:lang w:eastAsia="de-AT"/>
              </w:rPr>
              <w:t>Bank of note issue</w:t>
            </w:r>
            <w:r w:rsidRPr="00B73060">
              <w:rPr>
                <w:vertAlign w:val="superscript"/>
              </w:rPr>
              <w:t>1</w:t>
            </w:r>
          </w:p>
        </w:tc>
        <w:tc>
          <w:tcPr>
            <w:tcW w:w="1418" w:type="dxa"/>
          </w:tcPr>
          <w:p w:rsidR="00A05E22" w:rsidRPr="00BA211A" w:rsidRDefault="00A05E22" w:rsidP="00C17202">
            <w:pPr>
              <w:jc w:val="center"/>
              <w:rPr>
                <w:lang w:eastAsia="de-AT"/>
              </w:rPr>
            </w:pPr>
            <w:r w:rsidRPr="00BA211A">
              <w:rPr>
                <w:lang w:eastAsia="de-AT"/>
              </w:rPr>
              <w:t xml:space="preserve">de </w:t>
            </w:r>
            <w:r>
              <w:rPr>
                <w:lang w:eastAsia="de-AT"/>
              </w:rPr>
              <w:t>facto gold standard adherence</w:t>
            </w:r>
            <w:r w:rsidRPr="00BA211A">
              <w:rPr>
                <w:lang w:eastAsia="de-AT"/>
              </w:rPr>
              <w:t xml:space="preserve"> </w:t>
            </w:r>
            <w:r>
              <w:rPr>
                <w:lang w:eastAsia="de-AT"/>
              </w:rPr>
              <w:t>(</w:t>
            </w:r>
            <w:proofErr w:type="spellStart"/>
            <w:r>
              <w:rPr>
                <w:lang w:eastAsia="de-AT"/>
              </w:rPr>
              <w:t>xr</w:t>
            </w:r>
            <w:proofErr w:type="spellEnd"/>
            <w:r>
              <w:rPr>
                <w:lang w:eastAsia="de-AT"/>
              </w:rPr>
              <w:t xml:space="preserve"> </w:t>
            </w:r>
            <w:r w:rsidRPr="00F817CA">
              <w:rPr>
                <w:lang w:eastAsia="de-AT"/>
              </w:rPr>
              <w:t>stabilisation</w:t>
            </w:r>
            <w:r>
              <w:rPr>
                <w:lang w:eastAsia="de-AT"/>
              </w:rPr>
              <w:t>)</w:t>
            </w:r>
          </w:p>
        </w:tc>
      </w:tr>
      <w:tr w:rsidR="00A05E22" w:rsidTr="0002077A">
        <w:tc>
          <w:tcPr>
            <w:tcW w:w="1384" w:type="dxa"/>
          </w:tcPr>
          <w:p w:rsidR="00A05E22" w:rsidRPr="00BA211A" w:rsidRDefault="00A05E22" w:rsidP="00CE460C">
            <w:pPr>
              <w:rPr>
                <w:lang w:eastAsia="de-AT"/>
              </w:rPr>
            </w:pPr>
            <w:r w:rsidRPr="00BA211A">
              <w:rPr>
                <w:lang w:eastAsia="de-AT"/>
              </w:rPr>
              <w:t>Greece</w:t>
            </w:r>
          </w:p>
        </w:tc>
        <w:tc>
          <w:tcPr>
            <w:tcW w:w="1559" w:type="dxa"/>
          </w:tcPr>
          <w:p w:rsidR="00A05E22" w:rsidRPr="00CA5BB0" w:rsidRDefault="00A05E22" w:rsidP="00E34F3E">
            <w:pPr>
              <w:jc w:val="center"/>
              <w:rPr>
                <w:lang w:eastAsia="de-AT"/>
              </w:rPr>
            </w:pPr>
            <w:r w:rsidRPr="00CA5BB0">
              <w:rPr>
                <w:lang w:eastAsia="de-AT"/>
              </w:rPr>
              <w:t>1821 / 1832</w:t>
            </w:r>
          </w:p>
        </w:tc>
        <w:tc>
          <w:tcPr>
            <w:tcW w:w="993" w:type="dxa"/>
          </w:tcPr>
          <w:p w:rsidR="00A05E22" w:rsidRPr="002D6D70" w:rsidRDefault="00A05E22" w:rsidP="00C17202">
            <w:pPr>
              <w:jc w:val="center"/>
              <w:rPr>
                <w:lang w:eastAsia="de-AT"/>
              </w:rPr>
            </w:pPr>
            <w:r>
              <w:rPr>
                <w:lang w:eastAsia="de-AT"/>
              </w:rPr>
              <w:t>1833</w:t>
            </w:r>
          </w:p>
        </w:tc>
        <w:tc>
          <w:tcPr>
            <w:tcW w:w="993" w:type="dxa"/>
          </w:tcPr>
          <w:p w:rsidR="00A05E22" w:rsidRPr="0002077A" w:rsidRDefault="00A05E22" w:rsidP="00C17202">
            <w:pPr>
              <w:jc w:val="center"/>
              <w:rPr>
                <w:b/>
                <w:color w:val="000000" w:themeColor="text1"/>
                <w:lang w:eastAsia="de-AT"/>
              </w:rPr>
            </w:pPr>
            <w:r w:rsidRPr="0002077A">
              <w:rPr>
                <w:color w:val="000000" w:themeColor="text1"/>
                <w:lang w:eastAsia="de-AT"/>
              </w:rPr>
              <w:t>1828</w:t>
            </w:r>
          </w:p>
        </w:tc>
        <w:tc>
          <w:tcPr>
            <w:tcW w:w="992" w:type="dxa"/>
          </w:tcPr>
          <w:p w:rsidR="00A05E22" w:rsidRPr="0002077A" w:rsidRDefault="00A05E22" w:rsidP="00C17202">
            <w:pPr>
              <w:jc w:val="center"/>
              <w:rPr>
                <w:color w:val="000000" w:themeColor="text1"/>
                <w:lang w:eastAsia="de-AT"/>
              </w:rPr>
            </w:pPr>
            <w:r w:rsidRPr="0002077A">
              <w:rPr>
                <w:color w:val="000000" w:themeColor="text1"/>
                <w:lang w:eastAsia="de-AT"/>
              </w:rPr>
              <w:t>1824</w:t>
            </w:r>
          </w:p>
        </w:tc>
        <w:tc>
          <w:tcPr>
            <w:tcW w:w="992" w:type="dxa"/>
          </w:tcPr>
          <w:p w:rsidR="00A05E22" w:rsidRPr="00CA5BB0" w:rsidRDefault="00A05E22" w:rsidP="00D34F0E">
            <w:pPr>
              <w:jc w:val="center"/>
              <w:rPr>
                <w:lang w:eastAsia="de-AT"/>
              </w:rPr>
            </w:pPr>
            <w:r w:rsidRPr="00CA5BB0">
              <w:rPr>
                <w:lang w:eastAsia="de-AT"/>
              </w:rPr>
              <w:t>1841</w:t>
            </w:r>
          </w:p>
        </w:tc>
        <w:tc>
          <w:tcPr>
            <w:tcW w:w="1418" w:type="dxa"/>
          </w:tcPr>
          <w:p w:rsidR="00A05E22" w:rsidRPr="00BA211A" w:rsidRDefault="00A05E22" w:rsidP="00E34F3E">
            <w:pPr>
              <w:jc w:val="center"/>
              <w:rPr>
                <w:lang w:eastAsia="de-AT"/>
              </w:rPr>
            </w:pPr>
            <w:r>
              <w:rPr>
                <w:lang w:eastAsia="de-AT"/>
              </w:rPr>
              <w:t>1910</w:t>
            </w:r>
          </w:p>
        </w:tc>
      </w:tr>
      <w:tr w:rsidR="00A05E22" w:rsidTr="0002077A">
        <w:tc>
          <w:tcPr>
            <w:tcW w:w="1384" w:type="dxa"/>
          </w:tcPr>
          <w:p w:rsidR="00A05E22" w:rsidRPr="00BA211A" w:rsidRDefault="00A05E22" w:rsidP="00CE460C">
            <w:pPr>
              <w:rPr>
                <w:lang w:eastAsia="de-AT"/>
              </w:rPr>
            </w:pPr>
            <w:r w:rsidRPr="00BA211A">
              <w:rPr>
                <w:lang w:eastAsia="de-AT"/>
              </w:rPr>
              <w:t>Romania</w:t>
            </w:r>
          </w:p>
        </w:tc>
        <w:tc>
          <w:tcPr>
            <w:tcW w:w="1559" w:type="dxa"/>
          </w:tcPr>
          <w:p w:rsidR="00A05E22" w:rsidRPr="00CA5BB0" w:rsidRDefault="00A05E22" w:rsidP="00E34F3E">
            <w:pPr>
              <w:jc w:val="center"/>
              <w:rPr>
                <w:lang w:eastAsia="de-AT"/>
              </w:rPr>
            </w:pPr>
            <w:r w:rsidRPr="00CA5BB0">
              <w:rPr>
                <w:lang w:eastAsia="de-AT"/>
              </w:rPr>
              <w:t>1859 / 1878</w:t>
            </w:r>
          </w:p>
        </w:tc>
        <w:tc>
          <w:tcPr>
            <w:tcW w:w="993" w:type="dxa"/>
          </w:tcPr>
          <w:p w:rsidR="00A05E22" w:rsidRDefault="00A05E22" w:rsidP="000D1A39">
            <w:pPr>
              <w:jc w:val="center"/>
              <w:rPr>
                <w:lang w:eastAsia="de-AT"/>
              </w:rPr>
            </w:pPr>
            <w:r>
              <w:rPr>
                <w:lang w:eastAsia="de-AT"/>
              </w:rPr>
              <w:t>1864</w:t>
            </w:r>
          </w:p>
        </w:tc>
        <w:tc>
          <w:tcPr>
            <w:tcW w:w="993" w:type="dxa"/>
          </w:tcPr>
          <w:p w:rsidR="00A05E22" w:rsidRPr="00BA211A" w:rsidRDefault="00A05E22" w:rsidP="00E34F3E">
            <w:pPr>
              <w:jc w:val="center"/>
              <w:rPr>
                <w:lang w:eastAsia="de-AT"/>
              </w:rPr>
            </w:pPr>
            <w:r>
              <w:rPr>
                <w:lang w:eastAsia="de-AT"/>
              </w:rPr>
              <w:t>1867</w:t>
            </w:r>
          </w:p>
        </w:tc>
        <w:tc>
          <w:tcPr>
            <w:tcW w:w="992" w:type="dxa"/>
          </w:tcPr>
          <w:p w:rsidR="00A05E22" w:rsidRPr="00BA211A" w:rsidRDefault="00A05E22" w:rsidP="00D60198">
            <w:pPr>
              <w:jc w:val="center"/>
              <w:rPr>
                <w:lang w:eastAsia="de-AT"/>
              </w:rPr>
            </w:pPr>
            <w:r>
              <w:rPr>
                <w:lang w:eastAsia="de-AT"/>
              </w:rPr>
              <w:t>1875</w:t>
            </w:r>
          </w:p>
        </w:tc>
        <w:tc>
          <w:tcPr>
            <w:tcW w:w="992" w:type="dxa"/>
          </w:tcPr>
          <w:p w:rsidR="00A05E22" w:rsidRPr="00CA5BB0" w:rsidRDefault="00A05E22" w:rsidP="00D34F0E">
            <w:pPr>
              <w:jc w:val="center"/>
              <w:rPr>
                <w:lang w:eastAsia="de-AT"/>
              </w:rPr>
            </w:pPr>
            <w:r w:rsidRPr="00CA5BB0">
              <w:rPr>
                <w:lang w:eastAsia="de-AT"/>
              </w:rPr>
              <w:t>1880</w:t>
            </w:r>
          </w:p>
        </w:tc>
        <w:tc>
          <w:tcPr>
            <w:tcW w:w="1418" w:type="dxa"/>
          </w:tcPr>
          <w:p w:rsidR="00A05E22" w:rsidRPr="00BA211A" w:rsidRDefault="00A05E22" w:rsidP="00E34F3E">
            <w:pPr>
              <w:jc w:val="center"/>
              <w:rPr>
                <w:lang w:eastAsia="de-AT"/>
              </w:rPr>
            </w:pPr>
            <w:r>
              <w:rPr>
                <w:lang w:eastAsia="de-AT"/>
              </w:rPr>
              <w:t>1890</w:t>
            </w:r>
          </w:p>
        </w:tc>
      </w:tr>
      <w:tr w:rsidR="00A05E22" w:rsidTr="0002077A">
        <w:tc>
          <w:tcPr>
            <w:tcW w:w="1384" w:type="dxa"/>
          </w:tcPr>
          <w:p w:rsidR="00A05E22" w:rsidRPr="00E34F3E" w:rsidRDefault="00A05E22" w:rsidP="00C17202">
            <w:pPr>
              <w:rPr>
                <w:lang w:eastAsia="de-AT"/>
              </w:rPr>
            </w:pPr>
            <w:r w:rsidRPr="00E34F3E">
              <w:rPr>
                <w:lang w:eastAsia="de-AT"/>
              </w:rPr>
              <w:t>Serbia</w:t>
            </w:r>
          </w:p>
        </w:tc>
        <w:tc>
          <w:tcPr>
            <w:tcW w:w="1559" w:type="dxa"/>
          </w:tcPr>
          <w:p w:rsidR="00A05E22" w:rsidRPr="00CA5BB0" w:rsidRDefault="00A05E22" w:rsidP="00E34F3E">
            <w:pPr>
              <w:jc w:val="center"/>
              <w:rPr>
                <w:lang w:eastAsia="de-AT"/>
              </w:rPr>
            </w:pPr>
            <w:r w:rsidRPr="00CA5BB0">
              <w:rPr>
                <w:lang w:eastAsia="de-AT"/>
              </w:rPr>
              <w:t>1817 / 1878</w:t>
            </w:r>
          </w:p>
        </w:tc>
        <w:tc>
          <w:tcPr>
            <w:tcW w:w="993" w:type="dxa"/>
          </w:tcPr>
          <w:p w:rsidR="00A05E22" w:rsidRPr="00C17202" w:rsidRDefault="00A05E22" w:rsidP="00C17202">
            <w:pPr>
              <w:jc w:val="center"/>
              <w:rPr>
                <w:color w:val="000000" w:themeColor="text1"/>
                <w:lang w:eastAsia="de-AT"/>
              </w:rPr>
            </w:pPr>
            <w:r>
              <w:rPr>
                <w:color w:val="000000" w:themeColor="text1"/>
                <w:lang w:eastAsia="de-AT"/>
              </w:rPr>
              <w:t>1835</w:t>
            </w:r>
          </w:p>
        </w:tc>
        <w:tc>
          <w:tcPr>
            <w:tcW w:w="993" w:type="dxa"/>
          </w:tcPr>
          <w:p w:rsidR="00A05E22" w:rsidRPr="00C17202" w:rsidRDefault="00A05E22" w:rsidP="00C17202">
            <w:pPr>
              <w:jc w:val="center"/>
              <w:rPr>
                <w:b/>
                <w:lang w:eastAsia="de-AT"/>
              </w:rPr>
            </w:pPr>
            <w:r w:rsidRPr="00C17202">
              <w:rPr>
                <w:color w:val="000000" w:themeColor="text1"/>
                <w:lang w:eastAsia="de-AT"/>
              </w:rPr>
              <w:t>1873</w:t>
            </w:r>
          </w:p>
        </w:tc>
        <w:tc>
          <w:tcPr>
            <w:tcW w:w="992" w:type="dxa"/>
          </w:tcPr>
          <w:p w:rsidR="00A05E22" w:rsidRPr="00BA211A" w:rsidRDefault="00A05E22" w:rsidP="00D60198">
            <w:pPr>
              <w:jc w:val="center"/>
              <w:rPr>
                <w:lang w:eastAsia="de-AT"/>
              </w:rPr>
            </w:pPr>
            <w:r>
              <w:rPr>
                <w:lang w:eastAsia="de-AT"/>
              </w:rPr>
              <w:t>1881</w:t>
            </w:r>
          </w:p>
        </w:tc>
        <w:tc>
          <w:tcPr>
            <w:tcW w:w="992" w:type="dxa"/>
          </w:tcPr>
          <w:p w:rsidR="00A05E22" w:rsidRPr="00CA5BB0" w:rsidRDefault="00A05E22" w:rsidP="00D34F0E">
            <w:pPr>
              <w:jc w:val="center"/>
              <w:rPr>
                <w:lang w:eastAsia="de-AT"/>
              </w:rPr>
            </w:pPr>
            <w:r w:rsidRPr="00CA5BB0">
              <w:rPr>
                <w:lang w:eastAsia="de-AT"/>
              </w:rPr>
              <w:t>1884</w:t>
            </w:r>
          </w:p>
        </w:tc>
        <w:tc>
          <w:tcPr>
            <w:tcW w:w="1418" w:type="dxa"/>
          </w:tcPr>
          <w:p w:rsidR="00A05E22" w:rsidRPr="00BA211A" w:rsidRDefault="00A05E22" w:rsidP="00E34F3E">
            <w:pPr>
              <w:jc w:val="center"/>
              <w:rPr>
                <w:lang w:eastAsia="de-AT"/>
              </w:rPr>
            </w:pPr>
            <w:r>
              <w:rPr>
                <w:lang w:eastAsia="de-AT"/>
              </w:rPr>
              <w:t>1909</w:t>
            </w:r>
          </w:p>
        </w:tc>
      </w:tr>
      <w:tr w:rsidR="00A05E22" w:rsidTr="0002077A">
        <w:tc>
          <w:tcPr>
            <w:tcW w:w="1384" w:type="dxa"/>
          </w:tcPr>
          <w:p w:rsidR="00A05E22" w:rsidRPr="00BA211A" w:rsidRDefault="00A05E22" w:rsidP="00CE460C">
            <w:pPr>
              <w:rPr>
                <w:lang w:eastAsia="de-AT"/>
              </w:rPr>
            </w:pPr>
            <w:r w:rsidRPr="00BA211A">
              <w:rPr>
                <w:lang w:eastAsia="de-AT"/>
              </w:rPr>
              <w:t>Bulgaria</w:t>
            </w:r>
          </w:p>
        </w:tc>
        <w:tc>
          <w:tcPr>
            <w:tcW w:w="1559" w:type="dxa"/>
          </w:tcPr>
          <w:p w:rsidR="00A05E22" w:rsidRPr="00CA5BB0" w:rsidRDefault="00A05E22" w:rsidP="00E34F3E">
            <w:pPr>
              <w:jc w:val="center"/>
              <w:rPr>
                <w:lang w:eastAsia="de-AT"/>
              </w:rPr>
            </w:pPr>
            <w:r w:rsidRPr="00CA5BB0">
              <w:rPr>
                <w:lang w:eastAsia="de-AT"/>
              </w:rPr>
              <w:t>1878 / 1908</w:t>
            </w:r>
          </w:p>
        </w:tc>
        <w:tc>
          <w:tcPr>
            <w:tcW w:w="993" w:type="dxa"/>
          </w:tcPr>
          <w:p w:rsidR="00A05E22" w:rsidRDefault="00A05E22" w:rsidP="00E34F3E">
            <w:pPr>
              <w:jc w:val="center"/>
              <w:rPr>
                <w:lang w:eastAsia="de-AT"/>
              </w:rPr>
            </w:pPr>
            <w:r>
              <w:rPr>
                <w:lang w:eastAsia="de-AT"/>
              </w:rPr>
              <w:t>1879</w:t>
            </w:r>
          </w:p>
        </w:tc>
        <w:tc>
          <w:tcPr>
            <w:tcW w:w="993" w:type="dxa"/>
          </w:tcPr>
          <w:p w:rsidR="00A05E22" w:rsidRPr="00BA211A" w:rsidRDefault="00A05E22" w:rsidP="00E34F3E">
            <w:pPr>
              <w:jc w:val="center"/>
              <w:rPr>
                <w:lang w:eastAsia="de-AT"/>
              </w:rPr>
            </w:pPr>
            <w:r>
              <w:rPr>
                <w:lang w:eastAsia="de-AT"/>
              </w:rPr>
              <w:t>1880</w:t>
            </w:r>
          </w:p>
        </w:tc>
        <w:tc>
          <w:tcPr>
            <w:tcW w:w="992" w:type="dxa"/>
          </w:tcPr>
          <w:p w:rsidR="00A05E22" w:rsidRPr="00BA211A" w:rsidRDefault="00A05E22" w:rsidP="00D60198">
            <w:pPr>
              <w:jc w:val="center"/>
              <w:rPr>
                <w:lang w:eastAsia="de-AT"/>
              </w:rPr>
            </w:pPr>
            <w:r w:rsidRPr="0002077A">
              <w:rPr>
                <w:color w:val="000000" w:themeColor="text1"/>
                <w:lang w:eastAsia="de-AT"/>
              </w:rPr>
              <w:t>1888</w:t>
            </w:r>
          </w:p>
        </w:tc>
        <w:tc>
          <w:tcPr>
            <w:tcW w:w="992" w:type="dxa"/>
          </w:tcPr>
          <w:p w:rsidR="00A05E22" w:rsidRPr="00CA5BB0" w:rsidRDefault="00A05E22" w:rsidP="00D34F0E">
            <w:pPr>
              <w:jc w:val="center"/>
              <w:rPr>
                <w:lang w:eastAsia="de-AT"/>
              </w:rPr>
            </w:pPr>
            <w:r w:rsidRPr="00CA5BB0">
              <w:rPr>
                <w:lang w:eastAsia="de-AT"/>
              </w:rPr>
              <w:t>1885</w:t>
            </w:r>
            <w:r>
              <w:rPr>
                <w:vertAlign w:val="superscript"/>
                <w:lang w:eastAsia="de-AT"/>
              </w:rPr>
              <w:t>2</w:t>
            </w:r>
          </w:p>
        </w:tc>
        <w:tc>
          <w:tcPr>
            <w:tcW w:w="1418" w:type="dxa"/>
          </w:tcPr>
          <w:p w:rsidR="00A05E22" w:rsidRPr="00BA211A" w:rsidRDefault="00A05E22" w:rsidP="00E34F3E">
            <w:pPr>
              <w:jc w:val="center"/>
              <w:rPr>
                <w:lang w:eastAsia="de-AT"/>
              </w:rPr>
            </w:pPr>
            <w:r>
              <w:rPr>
                <w:lang w:eastAsia="de-AT"/>
              </w:rPr>
              <w:t>1906</w:t>
            </w:r>
          </w:p>
        </w:tc>
      </w:tr>
    </w:tbl>
    <w:p w:rsidR="00A05E22" w:rsidRDefault="00A05E22" w:rsidP="00CE460C">
      <w:pPr>
        <w:rPr>
          <w:lang w:eastAsia="de-AT"/>
        </w:rPr>
      </w:pPr>
    </w:p>
    <w:p w:rsidR="00A05E22" w:rsidRPr="00B73060" w:rsidRDefault="00A05E22" w:rsidP="00642FB5">
      <w:r w:rsidRPr="00B73060">
        <w:rPr>
          <w:i/>
        </w:rPr>
        <w:t>Sources:</w:t>
      </w:r>
      <w:r w:rsidRPr="00B73060">
        <w:t xml:space="preserve"> </w:t>
      </w:r>
      <w:proofErr w:type="spellStart"/>
      <w:r>
        <w:t>Feis</w:t>
      </w:r>
      <w:proofErr w:type="spellEnd"/>
      <w:r>
        <w:t xml:space="preserve"> (1930), </w:t>
      </w:r>
      <w:proofErr w:type="spellStart"/>
      <w:r>
        <w:t>Lampe&amp;Jackson</w:t>
      </w:r>
      <w:proofErr w:type="spellEnd"/>
      <w:r>
        <w:t xml:space="preserve"> (1982), </w:t>
      </w:r>
      <w:proofErr w:type="spellStart"/>
      <w:r>
        <w:t>Mazower</w:t>
      </w:r>
      <w:proofErr w:type="spellEnd"/>
      <w:r>
        <w:t xml:space="preserve"> (2001), Austrian National Bank et al. (2014), Morys (2015), </w:t>
      </w:r>
      <w:proofErr w:type="spellStart"/>
      <w:r>
        <w:t>Sundhausen</w:t>
      </w:r>
      <w:proofErr w:type="spellEnd"/>
      <w:r>
        <w:t xml:space="preserve"> (1989)</w:t>
      </w:r>
      <w:r w:rsidRPr="00B73060">
        <w:t>.</w:t>
      </w:r>
    </w:p>
    <w:p w:rsidR="00A05E22" w:rsidRPr="00B73060" w:rsidRDefault="00A05E22" w:rsidP="00642FB5"/>
    <w:p w:rsidR="00A05E22" w:rsidRPr="00B73060" w:rsidRDefault="00A05E22" w:rsidP="000D1A39">
      <w:pPr>
        <w:jc w:val="both"/>
      </w:pPr>
      <w:r w:rsidRPr="00B73060">
        <w:rPr>
          <w:i/>
        </w:rPr>
        <w:t>Notes:</w:t>
      </w:r>
      <w:r w:rsidRPr="00B73060">
        <w:t xml:space="preserve"> </w:t>
      </w:r>
      <w:r w:rsidRPr="00952D0C">
        <w:rPr>
          <w:vertAlign w:val="superscript"/>
        </w:rPr>
        <w:t>1</w:t>
      </w:r>
      <w:r>
        <w:t xml:space="preserve">Names were as follows: National Bank of Greece, National Bank of Romania, Bulgarian National Bank, Privileged National Bank of the Kingdom of Serbia, and Bulgarian National Bank. </w:t>
      </w:r>
      <w:r w:rsidRPr="00952D0C">
        <w:rPr>
          <w:vertAlign w:val="superscript"/>
        </w:rPr>
        <w:t>2</w:t>
      </w:r>
      <w:r w:rsidRPr="00952D0C">
        <w:t>The</w:t>
      </w:r>
      <w:r>
        <w:t xml:space="preserve"> Bulgarian National Bank was founded in 1879 but obtained the note issuing privilege only in 1885.</w:t>
      </w:r>
      <w:r>
        <w:rPr>
          <w:vertAlign w:val="superscript"/>
        </w:rPr>
        <w:t xml:space="preserve"> </w:t>
      </w:r>
    </w:p>
    <w:p w:rsidR="00A05E22" w:rsidRPr="00B73060" w:rsidRDefault="00A05E22" w:rsidP="00642FB5"/>
    <w:p w:rsidR="00A05E22" w:rsidRPr="00B73060" w:rsidRDefault="00A05E22" w:rsidP="00642FB5">
      <w:r w:rsidRPr="00B73060">
        <w:t xml:space="preserve"> </w:t>
      </w:r>
    </w:p>
    <w:p w:rsidR="00A05E22" w:rsidRPr="00725867" w:rsidRDefault="00A05E22" w:rsidP="007C6214">
      <w:pPr>
        <w:pStyle w:val="Table"/>
        <w:spacing w:before="0" w:after="0"/>
        <w:jc w:val="center"/>
        <w:rPr>
          <w:b/>
          <w:i w:val="0"/>
          <w:szCs w:val="24"/>
        </w:rPr>
      </w:pPr>
      <w:r w:rsidRPr="00725867">
        <w:rPr>
          <w:b/>
          <w:i w:val="0"/>
          <w:szCs w:val="24"/>
        </w:rPr>
        <w:t xml:space="preserve">Table </w:t>
      </w:r>
      <w:r>
        <w:rPr>
          <w:b/>
          <w:i w:val="0"/>
          <w:szCs w:val="24"/>
        </w:rPr>
        <w:t>2</w:t>
      </w:r>
      <w:r w:rsidRPr="00725867">
        <w:rPr>
          <w:b/>
          <w:i w:val="0"/>
          <w:szCs w:val="24"/>
        </w:rPr>
        <w:t xml:space="preserve"> </w:t>
      </w:r>
    </w:p>
    <w:p w:rsidR="00A05E22" w:rsidRDefault="00A05E22" w:rsidP="007C6214">
      <w:pPr>
        <w:pStyle w:val="Table"/>
        <w:spacing w:before="0" w:after="0"/>
        <w:jc w:val="center"/>
        <w:rPr>
          <w:b/>
          <w:i w:val="0"/>
          <w:szCs w:val="24"/>
        </w:rPr>
      </w:pPr>
      <w:r w:rsidRPr="00725867">
        <w:rPr>
          <w:b/>
          <w:i w:val="0"/>
          <w:szCs w:val="24"/>
        </w:rPr>
        <w:t xml:space="preserve">Total mintage </w:t>
      </w:r>
      <w:r>
        <w:rPr>
          <w:b/>
          <w:i w:val="0"/>
          <w:szCs w:val="24"/>
        </w:rPr>
        <w:t>in four South-East European countries</w:t>
      </w:r>
      <w:r w:rsidRPr="00725867">
        <w:rPr>
          <w:b/>
          <w:i w:val="0"/>
          <w:szCs w:val="24"/>
        </w:rPr>
        <w:t xml:space="preserve"> according to metal, 1867 </w:t>
      </w:r>
      <w:r>
        <w:rPr>
          <w:b/>
          <w:i w:val="0"/>
          <w:szCs w:val="24"/>
        </w:rPr>
        <w:t>–</w:t>
      </w:r>
      <w:r w:rsidRPr="00725867">
        <w:rPr>
          <w:b/>
          <w:i w:val="0"/>
          <w:szCs w:val="24"/>
        </w:rPr>
        <w:t xml:space="preserve"> 1913</w:t>
      </w:r>
    </w:p>
    <w:p w:rsidR="00A05E22" w:rsidRPr="003803DB" w:rsidRDefault="00A05E22" w:rsidP="006468BD">
      <w:pPr>
        <w:jc w:val="center"/>
        <w:rPr>
          <w:b/>
          <w:lang w:eastAsia="de-AT"/>
        </w:rPr>
      </w:pPr>
      <w:r>
        <w:rPr>
          <w:b/>
          <w:lang w:eastAsia="de-AT"/>
        </w:rPr>
        <w:t>In d</w:t>
      </w:r>
      <w:r w:rsidRPr="003803DB">
        <w:rPr>
          <w:b/>
          <w:lang w:eastAsia="de-AT"/>
        </w:rPr>
        <w:t>omestic currency (= French franc)</w:t>
      </w:r>
    </w:p>
    <w:p w:rsidR="00A05E22" w:rsidRDefault="00A05E22" w:rsidP="00CE460C">
      <w:pPr>
        <w:rPr>
          <w:lang w:eastAsia="de-AT"/>
        </w:rPr>
      </w:pPr>
    </w:p>
    <w:tbl>
      <w:tblPr>
        <w:tblStyle w:val="TableGrid"/>
        <w:tblW w:w="0" w:type="auto"/>
        <w:tblLook w:val="04A0" w:firstRow="1" w:lastRow="0" w:firstColumn="1" w:lastColumn="0" w:noHBand="0" w:noVBand="1"/>
      </w:tblPr>
      <w:tblGrid>
        <w:gridCol w:w="3080"/>
        <w:gridCol w:w="1540"/>
        <w:gridCol w:w="1541"/>
        <w:gridCol w:w="1540"/>
        <w:gridCol w:w="1541"/>
      </w:tblGrid>
      <w:tr w:rsidR="00A05E22" w:rsidTr="008F218B">
        <w:tc>
          <w:tcPr>
            <w:tcW w:w="3080" w:type="dxa"/>
          </w:tcPr>
          <w:p w:rsidR="00A05E22" w:rsidRPr="003803DB" w:rsidRDefault="00A05E22" w:rsidP="00642FB5"/>
        </w:tc>
        <w:tc>
          <w:tcPr>
            <w:tcW w:w="3081" w:type="dxa"/>
            <w:gridSpan w:val="2"/>
          </w:tcPr>
          <w:p w:rsidR="00A05E22" w:rsidRPr="0006147B" w:rsidRDefault="00A05E22" w:rsidP="00766EC2">
            <w:pPr>
              <w:jc w:val="center"/>
              <w:rPr>
                <w:b/>
              </w:rPr>
            </w:pPr>
            <w:r>
              <w:rPr>
                <w:b/>
              </w:rPr>
              <w:t>Greece (1867-1913</w:t>
            </w:r>
            <w:r w:rsidRPr="0006147B">
              <w:rPr>
                <w:b/>
              </w:rPr>
              <w:t>)</w:t>
            </w:r>
          </w:p>
        </w:tc>
        <w:tc>
          <w:tcPr>
            <w:tcW w:w="3081" w:type="dxa"/>
            <w:gridSpan w:val="2"/>
          </w:tcPr>
          <w:p w:rsidR="00A05E22" w:rsidRPr="0006147B" w:rsidRDefault="00A05E22" w:rsidP="008F218B">
            <w:pPr>
              <w:jc w:val="center"/>
              <w:rPr>
                <w:b/>
              </w:rPr>
            </w:pPr>
            <w:r w:rsidRPr="0006147B">
              <w:rPr>
                <w:b/>
              </w:rPr>
              <w:t>Romania (1867-1901)</w:t>
            </w:r>
          </w:p>
        </w:tc>
      </w:tr>
      <w:tr w:rsidR="00A05E22" w:rsidTr="008F218B">
        <w:tc>
          <w:tcPr>
            <w:tcW w:w="3080" w:type="dxa"/>
          </w:tcPr>
          <w:p w:rsidR="00A05E22" w:rsidRDefault="00A05E22" w:rsidP="00642FB5"/>
        </w:tc>
        <w:tc>
          <w:tcPr>
            <w:tcW w:w="3081" w:type="dxa"/>
            <w:gridSpan w:val="2"/>
          </w:tcPr>
          <w:p w:rsidR="00A05E22" w:rsidRDefault="00A05E22" w:rsidP="00766EC2"/>
        </w:tc>
        <w:tc>
          <w:tcPr>
            <w:tcW w:w="3081" w:type="dxa"/>
            <w:gridSpan w:val="2"/>
          </w:tcPr>
          <w:p w:rsidR="00A05E22" w:rsidRDefault="00A05E22" w:rsidP="00642FB5"/>
        </w:tc>
      </w:tr>
      <w:tr w:rsidR="00A05E22" w:rsidTr="007D6E7D">
        <w:tc>
          <w:tcPr>
            <w:tcW w:w="3080" w:type="dxa"/>
          </w:tcPr>
          <w:p w:rsidR="00A05E22" w:rsidRPr="00725867" w:rsidRDefault="00A05E22" w:rsidP="00642FB5">
            <w:pPr>
              <w:rPr>
                <w:b/>
              </w:rPr>
            </w:pPr>
            <w:r w:rsidRPr="00725867">
              <w:rPr>
                <w:b/>
              </w:rPr>
              <w:t>Gold</w:t>
            </w:r>
          </w:p>
        </w:tc>
        <w:tc>
          <w:tcPr>
            <w:tcW w:w="1540" w:type="dxa"/>
          </w:tcPr>
          <w:p w:rsidR="00A05E22" w:rsidRPr="006468BD" w:rsidRDefault="00A05E22" w:rsidP="00766EC2">
            <w:pPr>
              <w:jc w:val="right"/>
            </w:pPr>
            <w:r w:rsidRPr="006468BD">
              <w:rPr>
                <w:color w:val="000000"/>
              </w:rPr>
              <w:t>615,615</w:t>
            </w:r>
          </w:p>
        </w:tc>
        <w:tc>
          <w:tcPr>
            <w:tcW w:w="1541" w:type="dxa"/>
          </w:tcPr>
          <w:p w:rsidR="00A05E22" w:rsidRPr="006468BD" w:rsidRDefault="00A05E22" w:rsidP="00766EC2">
            <w:pPr>
              <w:jc w:val="right"/>
            </w:pPr>
            <w:r w:rsidRPr="006468BD">
              <w:t>0.3%</w:t>
            </w:r>
          </w:p>
        </w:tc>
        <w:tc>
          <w:tcPr>
            <w:tcW w:w="1540" w:type="dxa"/>
          </w:tcPr>
          <w:p w:rsidR="00A05E22" w:rsidRDefault="00A05E22" w:rsidP="00766EC2">
            <w:pPr>
              <w:jc w:val="right"/>
            </w:pPr>
            <w:r>
              <w:t>7,725,800</w:t>
            </w:r>
          </w:p>
        </w:tc>
        <w:tc>
          <w:tcPr>
            <w:tcW w:w="1541" w:type="dxa"/>
          </w:tcPr>
          <w:p w:rsidR="00A05E22" w:rsidRDefault="00A05E22" w:rsidP="00766EC2">
            <w:pPr>
              <w:jc w:val="right"/>
            </w:pPr>
            <w:r>
              <w:t>7.8%</w:t>
            </w:r>
          </w:p>
        </w:tc>
      </w:tr>
      <w:tr w:rsidR="00A05E22" w:rsidTr="00BC1AE2">
        <w:tc>
          <w:tcPr>
            <w:tcW w:w="3080" w:type="dxa"/>
          </w:tcPr>
          <w:p w:rsidR="00A05E22" w:rsidRPr="00725867" w:rsidRDefault="00A05E22" w:rsidP="00642FB5">
            <w:pPr>
              <w:rPr>
                <w:b/>
              </w:rPr>
            </w:pPr>
            <w:r w:rsidRPr="00725867">
              <w:rPr>
                <w:b/>
              </w:rPr>
              <w:t>Silver</w:t>
            </w:r>
          </w:p>
        </w:tc>
        <w:tc>
          <w:tcPr>
            <w:tcW w:w="1540" w:type="dxa"/>
          </w:tcPr>
          <w:p w:rsidR="00A05E22" w:rsidRPr="006468BD" w:rsidRDefault="00A05E22" w:rsidP="00766EC2">
            <w:pPr>
              <w:jc w:val="right"/>
            </w:pPr>
            <w:r w:rsidRPr="006468BD">
              <w:rPr>
                <w:color w:val="000000"/>
              </w:rPr>
              <w:t>25,836,517</w:t>
            </w:r>
          </w:p>
        </w:tc>
        <w:tc>
          <w:tcPr>
            <w:tcW w:w="1541" w:type="dxa"/>
          </w:tcPr>
          <w:p w:rsidR="00A05E22" w:rsidRPr="006468BD" w:rsidRDefault="00A05E22" w:rsidP="00766EC2">
            <w:pPr>
              <w:jc w:val="right"/>
            </w:pPr>
            <w:r w:rsidRPr="006468BD">
              <w:t>10.8%</w:t>
            </w:r>
          </w:p>
        </w:tc>
        <w:tc>
          <w:tcPr>
            <w:tcW w:w="1540" w:type="dxa"/>
          </w:tcPr>
          <w:p w:rsidR="00A05E22" w:rsidRDefault="00A05E22" w:rsidP="00766EC2">
            <w:pPr>
              <w:jc w:val="right"/>
            </w:pPr>
            <w:r>
              <w:t>82,700,000</w:t>
            </w:r>
          </w:p>
        </w:tc>
        <w:tc>
          <w:tcPr>
            <w:tcW w:w="1541" w:type="dxa"/>
          </w:tcPr>
          <w:p w:rsidR="00A05E22" w:rsidRDefault="00A05E22" w:rsidP="00766EC2">
            <w:pPr>
              <w:jc w:val="right"/>
            </w:pPr>
            <w:r>
              <w:t>83.2%</w:t>
            </w:r>
          </w:p>
        </w:tc>
      </w:tr>
      <w:tr w:rsidR="00A05E22" w:rsidTr="00D83AF8">
        <w:tc>
          <w:tcPr>
            <w:tcW w:w="3080" w:type="dxa"/>
          </w:tcPr>
          <w:p w:rsidR="00A05E22" w:rsidRDefault="00A05E22" w:rsidP="00642FB5">
            <w:r>
              <w:t xml:space="preserve">     of which ag(900/1000)</w:t>
            </w:r>
          </w:p>
        </w:tc>
        <w:tc>
          <w:tcPr>
            <w:tcW w:w="1540" w:type="dxa"/>
          </w:tcPr>
          <w:p w:rsidR="00A05E22" w:rsidRPr="006468BD" w:rsidRDefault="00A05E22" w:rsidP="00766EC2">
            <w:pPr>
              <w:jc w:val="right"/>
              <w:rPr>
                <w:i/>
              </w:rPr>
            </w:pPr>
            <w:r w:rsidRPr="006468BD">
              <w:rPr>
                <w:i/>
                <w:color w:val="000000"/>
              </w:rPr>
              <w:t>3,092,573</w:t>
            </w:r>
          </w:p>
        </w:tc>
        <w:tc>
          <w:tcPr>
            <w:tcW w:w="1541" w:type="dxa"/>
          </w:tcPr>
          <w:p w:rsidR="00A05E22" w:rsidRPr="006468BD" w:rsidRDefault="00A05E22" w:rsidP="00766EC2">
            <w:pPr>
              <w:jc w:val="right"/>
              <w:rPr>
                <w:i/>
              </w:rPr>
            </w:pPr>
            <w:r w:rsidRPr="006468BD">
              <w:rPr>
                <w:i/>
              </w:rPr>
              <w:t>1.3%</w:t>
            </w:r>
          </w:p>
        </w:tc>
        <w:tc>
          <w:tcPr>
            <w:tcW w:w="1540" w:type="dxa"/>
          </w:tcPr>
          <w:p w:rsidR="00A05E22" w:rsidRPr="00725867" w:rsidRDefault="00A05E22" w:rsidP="00766EC2">
            <w:pPr>
              <w:jc w:val="right"/>
              <w:rPr>
                <w:i/>
              </w:rPr>
            </w:pPr>
            <w:r w:rsidRPr="00725867">
              <w:rPr>
                <w:i/>
              </w:rPr>
              <w:t>47,700,000</w:t>
            </w:r>
          </w:p>
        </w:tc>
        <w:tc>
          <w:tcPr>
            <w:tcW w:w="1541" w:type="dxa"/>
          </w:tcPr>
          <w:p w:rsidR="00A05E22" w:rsidRPr="00725867" w:rsidRDefault="00A05E22" w:rsidP="00766EC2">
            <w:pPr>
              <w:jc w:val="right"/>
              <w:rPr>
                <w:i/>
              </w:rPr>
            </w:pPr>
            <w:r w:rsidRPr="00725867">
              <w:rPr>
                <w:i/>
              </w:rPr>
              <w:t>48.0%</w:t>
            </w:r>
          </w:p>
        </w:tc>
      </w:tr>
      <w:tr w:rsidR="00A05E22" w:rsidTr="003D1568">
        <w:tc>
          <w:tcPr>
            <w:tcW w:w="3080" w:type="dxa"/>
          </w:tcPr>
          <w:p w:rsidR="00A05E22" w:rsidRDefault="00A05E22" w:rsidP="00642FB5">
            <w:r>
              <w:t xml:space="preserve">     of which ag(835/1000)</w:t>
            </w:r>
          </w:p>
        </w:tc>
        <w:tc>
          <w:tcPr>
            <w:tcW w:w="1540" w:type="dxa"/>
          </w:tcPr>
          <w:p w:rsidR="00A05E22" w:rsidRPr="006468BD" w:rsidRDefault="00A05E22" w:rsidP="00766EC2">
            <w:pPr>
              <w:jc w:val="right"/>
              <w:rPr>
                <w:i/>
              </w:rPr>
            </w:pPr>
            <w:r w:rsidRPr="006468BD">
              <w:rPr>
                <w:i/>
                <w:color w:val="000000"/>
              </w:rPr>
              <w:t>22,743,944</w:t>
            </w:r>
          </w:p>
        </w:tc>
        <w:tc>
          <w:tcPr>
            <w:tcW w:w="1541" w:type="dxa"/>
          </w:tcPr>
          <w:p w:rsidR="00A05E22" w:rsidRPr="006468BD" w:rsidRDefault="00A05E22" w:rsidP="00766EC2">
            <w:pPr>
              <w:jc w:val="right"/>
              <w:rPr>
                <w:i/>
              </w:rPr>
            </w:pPr>
            <w:r w:rsidRPr="006468BD">
              <w:rPr>
                <w:i/>
              </w:rPr>
              <w:t>9.6%</w:t>
            </w:r>
          </w:p>
        </w:tc>
        <w:tc>
          <w:tcPr>
            <w:tcW w:w="1540" w:type="dxa"/>
          </w:tcPr>
          <w:p w:rsidR="00A05E22" w:rsidRPr="00725867" w:rsidRDefault="00A05E22" w:rsidP="00766EC2">
            <w:pPr>
              <w:jc w:val="right"/>
              <w:rPr>
                <w:i/>
              </w:rPr>
            </w:pPr>
            <w:r w:rsidRPr="00725867">
              <w:rPr>
                <w:i/>
              </w:rPr>
              <w:t>35,000,000</w:t>
            </w:r>
          </w:p>
        </w:tc>
        <w:tc>
          <w:tcPr>
            <w:tcW w:w="1541" w:type="dxa"/>
          </w:tcPr>
          <w:p w:rsidR="00A05E22" w:rsidRPr="00725867" w:rsidRDefault="00A05E22" w:rsidP="00766EC2">
            <w:pPr>
              <w:jc w:val="right"/>
              <w:rPr>
                <w:i/>
              </w:rPr>
            </w:pPr>
            <w:r w:rsidRPr="00725867">
              <w:rPr>
                <w:i/>
              </w:rPr>
              <w:t>35.2%</w:t>
            </w:r>
          </w:p>
        </w:tc>
      </w:tr>
      <w:tr w:rsidR="00A05E22" w:rsidTr="00D626EB">
        <w:tc>
          <w:tcPr>
            <w:tcW w:w="3080" w:type="dxa"/>
          </w:tcPr>
          <w:p w:rsidR="00A05E22" w:rsidRPr="00725867" w:rsidRDefault="00A05E22" w:rsidP="00975EB7">
            <w:pPr>
              <w:rPr>
                <w:b/>
              </w:rPr>
            </w:pPr>
            <w:r w:rsidRPr="00725867">
              <w:rPr>
                <w:b/>
              </w:rPr>
              <w:t>Copper alloy</w:t>
            </w:r>
          </w:p>
        </w:tc>
        <w:tc>
          <w:tcPr>
            <w:tcW w:w="1540" w:type="dxa"/>
          </w:tcPr>
          <w:p w:rsidR="00A05E22" w:rsidRPr="006468BD" w:rsidRDefault="00A05E22" w:rsidP="00766EC2">
            <w:pPr>
              <w:jc w:val="right"/>
            </w:pPr>
            <w:r w:rsidRPr="006468BD">
              <w:rPr>
                <w:color w:val="000000"/>
              </w:rPr>
              <w:t>211,139,638</w:t>
            </w:r>
          </w:p>
        </w:tc>
        <w:tc>
          <w:tcPr>
            <w:tcW w:w="1541" w:type="dxa"/>
          </w:tcPr>
          <w:p w:rsidR="00A05E22" w:rsidRPr="006468BD" w:rsidRDefault="00A05E22" w:rsidP="00766EC2">
            <w:pPr>
              <w:jc w:val="right"/>
            </w:pPr>
            <w:r w:rsidRPr="006468BD">
              <w:t>88.9%</w:t>
            </w:r>
          </w:p>
        </w:tc>
        <w:tc>
          <w:tcPr>
            <w:tcW w:w="1540" w:type="dxa"/>
          </w:tcPr>
          <w:p w:rsidR="00A05E22" w:rsidRDefault="00A05E22" w:rsidP="00766EC2">
            <w:pPr>
              <w:jc w:val="right"/>
            </w:pPr>
            <w:r>
              <w:t>8,945,000</w:t>
            </w:r>
          </w:p>
        </w:tc>
        <w:tc>
          <w:tcPr>
            <w:tcW w:w="1541" w:type="dxa"/>
          </w:tcPr>
          <w:p w:rsidR="00A05E22" w:rsidRDefault="00A05E22" w:rsidP="00766EC2">
            <w:pPr>
              <w:jc w:val="right"/>
            </w:pPr>
            <w:r>
              <w:t>9.0%</w:t>
            </w:r>
          </w:p>
        </w:tc>
      </w:tr>
      <w:tr w:rsidR="00A05E22" w:rsidTr="00EC5A89">
        <w:tc>
          <w:tcPr>
            <w:tcW w:w="3080" w:type="dxa"/>
          </w:tcPr>
          <w:p w:rsidR="00A05E22" w:rsidRPr="00725867" w:rsidRDefault="00A05E22" w:rsidP="00975EB7">
            <w:pPr>
              <w:rPr>
                <w:b/>
              </w:rPr>
            </w:pPr>
            <w:r>
              <w:t xml:space="preserve">   </w:t>
            </w:r>
            <w:r w:rsidRPr="00725867">
              <w:rPr>
                <w:b/>
              </w:rPr>
              <w:t>Sum</w:t>
            </w:r>
          </w:p>
        </w:tc>
        <w:tc>
          <w:tcPr>
            <w:tcW w:w="1540" w:type="dxa"/>
          </w:tcPr>
          <w:p w:rsidR="00A05E22" w:rsidRPr="006468BD" w:rsidRDefault="00A05E22" w:rsidP="00766EC2">
            <w:pPr>
              <w:jc w:val="right"/>
            </w:pPr>
            <w:r w:rsidRPr="006468BD">
              <w:rPr>
                <w:color w:val="000000"/>
              </w:rPr>
              <w:t>237,591,770</w:t>
            </w:r>
          </w:p>
        </w:tc>
        <w:tc>
          <w:tcPr>
            <w:tcW w:w="1541" w:type="dxa"/>
          </w:tcPr>
          <w:p w:rsidR="00A05E22" w:rsidRPr="006468BD" w:rsidRDefault="00A05E22" w:rsidP="00766EC2"/>
        </w:tc>
        <w:tc>
          <w:tcPr>
            <w:tcW w:w="1540" w:type="dxa"/>
          </w:tcPr>
          <w:p w:rsidR="00A05E22" w:rsidRDefault="00A05E22" w:rsidP="00766EC2">
            <w:pPr>
              <w:jc w:val="right"/>
            </w:pPr>
            <w:r>
              <w:t>99,370,800</w:t>
            </w:r>
          </w:p>
        </w:tc>
        <w:tc>
          <w:tcPr>
            <w:tcW w:w="1541" w:type="dxa"/>
          </w:tcPr>
          <w:p w:rsidR="00A05E22" w:rsidRPr="006468BD" w:rsidRDefault="00A05E22" w:rsidP="00975EB7"/>
        </w:tc>
      </w:tr>
      <w:tr w:rsidR="00A05E22" w:rsidTr="00D34F0E">
        <w:tc>
          <w:tcPr>
            <w:tcW w:w="3080" w:type="dxa"/>
          </w:tcPr>
          <w:p w:rsidR="00A05E22" w:rsidRPr="003803DB" w:rsidRDefault="00A05E22" w:rsidP="00D34F0E"/>
        </w:tc>
        <w:tc>
          <w:tcPr>
            <w:tcW w:w="3081" w:type="dxa"/>
            <w:gridSpan w:val="2"/>
          </w:tcPr>
          <w:p w:rsidR="00A05E22" w:rsidRPr="0006147B" w:rsidRDefault="00A05E22" w:rsidP="00D34F0E">
            <w:pPr>
              <w:jc w:val="center"/>
              <w:rPr>
                <w:b/>
              </w:rPr>
            </w:pPr>
          </w:p>
        </w:tc>
        <w:tc>
          <w:tcPr>
            <w:tcW w:w="3081" w:type="dxa"/>
            <w:gridSpan w:val="2"/>
          </w:tcPr>
          <w:p w:rsidR="00A05E22" w:rsidRPr="0006147B" w:rsidRDefault="00A05E22" w:rsidP="00D34F0E">
            <w:pPr>
              <w:jc w:val="center"/>
              <w:rPr>
                <w:b/>
              </w:rPr>
            </w:pPr>
          </w:p>
        </w:tc>
      </w:tr>
      <w:tr w:rsidR="00A05E22" w:rsidTr="00D34F0E">
        <w:tc>
          <w:tcPr>
            <w:tcW w:w="3080" w:type="dxa"/>
          </w:tcPr>
          <w:p w:rsidR="00A05E22" w:rsidRPr="003803DB" w:rsidRDefault="00A05E22" w:rsidP="00D34F0E"/>
        </w:tc>
        <w:tc>
          <w:tcPr>
            <w:tcW w:w="3081" w:type="dxa"/>
            <w:gridSpan w:val="2"/>
          </w:tcPr>
          <w:p w:rsidR="00A05E22" w:rsidRPr="0006147B" w:rsidRDefault="00A05E22" w:rsidP="00766EC2">
            <w:pPr>
              <w:jc w:val="center"/>
              <w:rPr>
                <w:b/>
              </w:rPr>
            </w:pPr>
            <w:r>
              <w:rPr>
                <w:b/>
              </w:rPr>
              <w:t>Serbia (1873-1913)</w:t>
            </w:r>
          </w:p>
        </w:tc>
        <w:tc>
          <w:tcPr>
            <w:tcW w:w="3081" w:type="dxa"/>
            <w:gridSpan w:val="2"/>
          </w:tcPr>
          <w:p w:rsidR="00A05E22" w:rsidRPr="0006147B" w:rsidRDefault="00A05E22" w:rsidP="00D34F0E">
            <w:pPr>
              <w:jc w:val="center"/>
              <w:rPr>
                <w:b/>
              </w:rPr>
            </w:pPr>
            <w:r w:rsidRPr="0006147B">
              <w:rPr>
                <w:b/>
              </w:rPr>
              <w:t>Bulgaria (1880-1913)</w:t>
            </w:r>
          </w:p>
        </w:tc>
      </w:tr>
      <w:tr w:rsidR="00A05E22" w:rsidTr="00D34F0E">
        <w:tc>
          <w:tcPr>
            <w:tcW w:w="3080" w:type="dxa"/>
          </w:tcPr>
          <w:p w:rsidR="00A05E22" w:rsidRDefault="00A05E22" w:rsidP="00D34F0E"/>
        </w:tc>
        <w:tc>
          <w:tcPr>
            <w:tcW w:w="3081" w:type="dxa"/>
            <w:gridSpan w:val="2"/>
          </w:tcPr>
          <w:p w:rsidR="00A05E22" w:rsidRDefault="00A05E22" w:rsidP="00766EC2"/>
        </w:tc>
        <w:tc>
          <w:tcPr>
            <w:tcW w:w="3081" w:type="dxa"/>
            <w:gridSpan w:val="2"/>
          </w:tcPr>
          <w:p w:rsidR="00A05E22" w:rsidRDefault="00A05E22" w:rsidP="00D34F0E"/>
        </w:tc>
      </w:tr>
      <w:tr w:rsidR="00A05E22" w:rsidTr="00D34F0E">
        <w:tc>
          <w:tcPr>
            <w:tcW w:w="3080" w:type="dxa"/>
          </w:tcPr>
          <w:p w:rsidR="00A05E22" w:rsidRPr="00725867" w:rsidRDefault="00A05E22" w:rsidP="00D34F0E">
            <w:pPr>
              <w:rPr>
                <w:b/>
              </w:rPr>
            </w:pPr>
            <w:r w:rsidRPr="00725867">
              <w:rPr>
                <w:b/>
              </w:rPr>
              <w:t>Gold</w:t>
            </w:r>
          </w:p>
        </w:tc>
        <w:tc>
          <w:tcPr>
            <w:tcW w:w="1540" w:type="dxa"/>
          </w:tcPr>
          <w:p w:rsidR="00A05E22" w:rsidRPr="00667A14" w:rsidRDefault="00A05E22" w:rsidP="00766EC2">
            <w:pPr>
              <w:jc w:val="right"/>
            </w:pPr>
            <w:r w:rsidRPr="00667A14">
              <w:t>750,000</w:t>
            </w:r>
          </w:p>
        </w:tc>
        <w:tc>
          <w:tcPr>
            <w:tcW w:w="1541" w:type="dxa"/>
          </w:tcPr>
          <w:p w:rsidR="00A05E22" w:rsidRPr="00667A14" w:rsidRDefault="00A05E22" w:rsidP="00766EC2">
            <w:pPr>
              <w:jc w:val="right"/>
            </w:pPr>
            <w:r w:rsidRPr="00667A14">
              <w:t>0.6%</w:t>
            </w:r>
          </w:p>
        </w:tc>
        <w:tc>
          <w:tcPr>
            <w:tcW w:w="1540" w:type="dxa"/>
          </w:tcPr>
          <w:p w:rsidR="00A05E22" w:rsidRDefault="00A05E22" w:rsidP="00766EC2">
            <w:pPr>
              <w:jc w:val="right"/>
            </w:pPr>
            <w:r>
              <w:t xml:space="preserve">5,000,000 </w:t>
            </w:r>
          </w:p>
        </w:tc>
        <w:tc>
          <w:tcPr>
            <w:tcW w:w="1541" w:type="dxa"/>
          </w:tcPr>
          <w:p w:rsidR="00A05E22" w:rsidRDefault="00A05E22" w:rsidP="00766EC2">
            <w:pPr>
              <w:jc w:val="right"/>
            </w:pPr>
            <w:r>
              <w:t>6.0%</w:t>
            </w:r>
          </w:p>
        </w:tc>
      </w:tr>
      <w:tr w:rsidR="00A05E22" w:rsidTr="00D34F0E">
        <w:tc>
          <w:tcPr>
            <w:tcW w:w="3080" w:type="dxa"/>
          </w:tcPr>
          <w:p w:rsidR="00A05E22" w:rsidRPr="00725867" w:rsidRDefault="00A05E22" w:rsidP="00D34F0E">
            <w:pPr>
              <w:rPr>
                <w:b/>
              </w:rPr>
            </w:pPr>
            <w:r w:rsidRPr="00725867">
              <w:rPr>
                <w:b/>
              </w:rPr>
              <w:t>Silver</w:t>
            </w:r>
          </w:p>
        </w:tc>
        <w:tc>
          <w:tcPr>
            <w:tcW w:w="1540" w:type="dxa"/>
          </w:tcPr>
          <w:p w:rsidR="00A05E22" w:rsidRPr="00667A14" w:rsidRDefault="00A05E22" w:rsidP="00766EC2">
            <w:pPr>
              <w:jc w:val="right"/>
            </w:pPr>
            <w:r w:rsidRPr="00667A14">
              <w:t>27,700,833</w:t>
            </w:r>
          </w:p>
        </w:tc>
        <w:tc>
          <w:tcPr>
            <w:tcW w:w="1541" w:type="dxa"/>
          </w:tcPr>
          <w:p w:rsidR="00A05E22" w:rsidRPr="00667A14" w:rsidRDefault="00A05E22" w:rsidP="00766EC2">
            <w:pPr>
              <w:jc w:val="right"/>
            </w:pPr>
            <w:r w:rsidRPr="00667A14">
              <w:t>21.7%</w:t>
            </w:r>
          </w:p>
        </w:tc>
        <w:tc>
          <w:tcPr>
            <w:tcW w:w="1540" w:type="dxa"/>
          </w:tcPr>
          <w:p w:rsidR="00A05E22" w:rsidRDefault="00A05E22" w:rsidP="00766EC2">
            <w:pPr>
              <w:jc w:val="right"/>
            </w:pPr>
            <w:r>
              <w:t>59,699,268</w:t>
            </w:r>
          </w:p>
        </w:tc>
        <w:tc>
          <w:tcPr>
            <w:tcW w:w="1541" w:type="dxa"/>
          </w:tcPr>
          <w:p w:rsidR="00A05E22" w:rsidRDefault="00A05E22" w:rsidP="00766EC2">
            <w:pPr>
              <w:jc w:val="right"/>
            </w:pPr>
            <w:r>
              <w:t>71.3%</w:t>
            </w:r>
          </w:p>
        </w:tc>
      </w:tr>
      <w:tr w:rsidR="00A05E22" w:rsidTr="00D34F0E">
        <w:tc>
          <w:tcPr>
            <w:tcW w:w="3080" w:type="dxa"/>
          </w:tcPr>
          <w:p w:rsidR="00A05E22" w:rsidRDefault="00A05E22" w:rsidP="00D34F0E">
            <w:r>
              <w:t xml:space="preserve">     of which ag(900/1000)</w:t>
            </w:r>
          </w:p>
        </w:tc>
        <w:tc>
          <w:tcPr>
            <w:tcW w:w="1540" w:type="dxa"/>
          </w:tcPr>
          <w:p w:rsidR="00A05E22" w:rsidRPr="00667A14" w:rsidRDefault="00A05E22" w:rsidP="00766EC2">
            <w:pPr>
              <w:jc w:val="right"/>
              <w:rPr>
                <w:i/>
              </w:rPr>
            </w:pPr>
            <w:r w:rsidRPr="00667A14">
              <w:rPr>
                <w:i/>
              </w:rPr>
              <w:t>22,300,297</w:t>
            </w:r>
          </w:p>
        </w:tc>
        <w:tc>
          <w:tcPr>
            <w:tcW w:w="1541" w:type="dxa"/>
          </w:tcPr>
          <w:p w:rsidR="00A05E22" w:rsidRPr="00667A14" w:rsidRDefault="00A05E22" w:rsidP="00766EC2">
            <w:pPr>
              <w:jc w:val="right"/>
              <w:rPr>
                <w:i/>
              </w:rPr>
            </w:pPr>
            <w:r w:rsidRPr="00667A14">
              <w:rPr>
                <w:i/>
              </w:rPr>
              <w:t>17.5%</w:t>
            </w:r>
          </w:p>
        </w:tc>
        <w:tc>
          <w:tcPr>
            <w:tcW w:w="1540" w:type="dxa"/>
          </w:tcPr>
          <w:p w:rsidR="00A05E22" w:rsidRPr="00725867" w:rsidRDefault="00A05E22" w:rsidP="00766EC2">
            <w:pPr>
              <w:jc w:val="right"/>
              <w:rPr>
                <w:i/>
              </w:rPr>
            </w:pPr>
            <w:r w:rsidRPr="00725867">
              <w:rPr>
                <w:i/>
              </w:rPr>
              <w:t xml:space="preserve">23,699,240 </w:t>
            </w:r>
          </w:p>
        </w:tc>
        <w:tc>
          <w:tcPr>
            <w:tcW w:w="1541" w:type="dxa"/>
          </w:tcPr>
          <w:p w:rsidR="00A05E22" w:rsidRPr="00725867" w:rsidRDefault="00A05E22" w:rsidP="00766EC2">
            <w:pPr>
              <w:jc w:val="right"/>
              <w:rPr>
                <w:i/>
              </w:rPr>
            </w:pPr>
            <w:r w:rsidRPr="00725867">
              <w:rPr>
                <w:i/>
              </w:rPr>
              <w:t>28.3%</w:t>
            </w:r>
          </w:p>
        </w:tc>
      </w:tr>
      <w:tr w:rsidR="00A05E22" w:rsidTr="00D34F0E">
        <w:tc>
          <w:tcPr>
            <w:tcW w:w="3080" w:type="dxa"/>
          </w:tcPr>
          <w:p w:rsidR="00A05E22" w:rsidRDefault="00A05E22" w:rsidP="00D34F0E">
            <w:r>
              <w:t xml:space="preserve">     of which ag(835/1000)</w:t>
            </w:r>
          </w:p>
        </w:tc>
        <w:tc>
          <w:tcPr>
            <w:tcW w:w="1540" w:type="dxa"/>
          </w:tcPr>
          <w:p w:rsidR="00A05E22" w:rsidRPr="00667A14" w:rsidRDefault="00A05E22" w:rsidP="00766EC2">
            <w:pPr>
              <w:jc w:val="right"/>
              <w:rPr>
                <w:i/>
              </w:rPr>
            </w:pPr>
            <w:r w:rsidRPr="00667A14">
              <w:rPr>
                <w:i/>
              </w:rPr>
              <w:t>5,400,536</w:t>
            </w:r>
          </w:p>
        </w:tc>
        <w:tc>
          <w:tcPr>
            <w:tcW w:w="1541" w:type="dxa"/>
          </w:tcPr>
          <w:p w:rsidR="00A05E22" w:rsidRPr="00667A14" w:rsidRDefault="00A05E22" w:rsidP="00766EC2">
            <w:pPr>
              <w:jc w:val="right"/>
              <w:rPr>
                <w:i/>
              </w:rPr>
            </w:pPr>
            <w:r w:rsidRPr="00667A14">
              <w:rPr>
                <w:i/>
              </w:rPr>
              <w:t>4.2%</w:t>
            </w:r>
          </w:p>
        </w:tc>
        <w:tc>
          <w:tcPr>
            <w:tcW w:w="1540" w:type="dxa"/>
          </w:tcPr>
          <w:p w:rsidR="00A05E22" w:rsidRPr="00725867" w:rsidRDefault="00A05E22" w:rsidP="00766EC2">
            <w:pPr>
              <w:jc w:val="right"/>
              <w:rPr>
                <w:i/>
              </w:rPr>
            </w:pPr>
            <w:r w:rsidRPr="00725867">
              <w:rPr>
                <w:i/>
              </w:rPr>
              <w:t xml:space="preserve">36,000,028 </w:t>
            </w:r>
          </w:p>
        </w:tc>
        <w:tc>
          <w:tcPr>
            <w:tcW w:w="1541" w:type="dxa"/>
          </w:tcPr>
          <w:p w:rsidR="00A05E22" w:rsidRPr="00725867" w:rsidRDefault="00A05E22" w:rsidP="00766EC2">
            <w:pPr>
              <w:jc w:val="right"/>
              <w:rPr>
                <w:i/>
              </w:rPr>
            </w:pPr>
            <w:r w:rsidRPr="00725867">
              <w:rPr>
                <w:i/>
              </w:rPr>
              <w:t>43.0%</w:t>
            </w:r>
          </w:p>
        </w:tc>
      </w:tr>
      <w:tr w:rsidR="00A05E22" w:rsidTr="00D34F0E">
        <w:tc>
          <w:tcPr>
            <w:tcW w:w="3080" w:type="dxa"/>
          </w:tcPr>
          <w:p w:rsidR="00A05E22" w:rsidRPr="00725867" w:rsidRDefault="00A05E22" w:rsidP="00D34F0E">
            <w:pPr>
              <w:rPr>
                <w:b/>
              </w:rPr>
            </w:pPr>
            <w:r w:rsidRPr="00725867">
              <w:rPr>
                <w:b/>
              </w:rPr>
              <w:t>Copper alloy</w:t>
            </w:r>
          </w:p>
        </w:tc>
        <w:tc>
          <w:tcPr>
            <w:tcW w:w="1540" w:type="dxa"/>
          </w:tcPr>
          <w:p w:rsidR="00A05E22" w:rsidRPr="00667A14" w:rsidRDefault="00A05E22" w:rsidP="00766EC2">
            <w:pPr>
              <w:jc w:val="right"/>
            </w:pPr>
            <w:r w:rsidRPr="00667A14">
              <w:rPr>
                <w:color w:val="000000"/>
              </w:rPr>
              <w:t>98,821,229</w:t>
            </w:r>
          </w:p>
        </w:tc>
        <w:tc>
          <w:tcPr>
            <w:tcW w:w="1541" w:type="dxa"/>
          </w:tcPr>
          <w:p w:rsidR="00A05E22" w:rsidRPr="00667A14" w:rsidRDefault="00A05E22" w:rsidP="00766EC2">
            <w:pPr>
              <w:jc w:val="right"/>
            </w:pPr>
            <w:r w:rsidRPr="00667A14">
              <w:t>77.6%</w:t>
            </w:r>
          </w:p>
        </w:tc>
        <w:tc>
          <w:tcPr>
            <w:tcW w:w="1540" w:type="dxa"/>
          </w:tcPr>
          <w:p w:rsidR="00A05E22" w:rsidRDefault="00A05E22" w:rsidP="00766EC2">
            <w:pPr>
              <w:jc w:val="right"/>
            </w:pPr>
            <w:r>
              <w:t xml:space="preserve">19,091,094 </w:t>
            </w:r>
          </w:p>
        </w:tc>
        <w:tc>
          <w:tcPr>
            <w:tcW w:w="1541" w:type="dxa"/>
          </w:tcPr>
          <w:p w:rsidR="00A05E22" w:rsidRDefault="00A05E22" w:rsidP="00766EC2">
            <w:pPr>
              <w:jc w:val="right"/>
            </w:pPr>
            <w:r>
              <w:t>22.8%</w:t>
            </w:r>
          </w:p>
        </w:tc>
      </w:tr>
      <w:tr w:rsidR="00A05E22" w:rsidTr="00D34F0E">
        <w:tc>
          <w:tcPr>
            <w:tcW w:w="3080" w:type="dxa"/>
          </w:tcPr>
          <w:p w:rsidR="00A05E22" w:rsidRPr="00725867" w:rsidRDefault="00A05E22" w:rsidP="00D34F0E">
            <w:pPr>
              <w:rPr>
                <w:b/>
              </w:rPr>
            </w:pPr>
            <w:r>
              <w:t xml:space="preserve">   </w:t>
            </w:r>
            <w:r w:rsidRPr="00725867">
              <w:rPr>
                <w:b/>
              </w:rPr>
              <w:t>Sum</w:t>
            </w:r>
          </w:p>
        </w:tc>
        <w:tc>
          <w:tcPr>
            <w:tcW w:w="1540" w:type="dxa"/>
          </w:tcPr>
          <w:p w:rsidR="00A05E22" w:rsidRPr="00667A14" w:rsidRDefault="00A05E22" w:rsidP="00766EC2">
            <w:pPr>
              <w:jc w:val="right"/>
            </w:pPr>
            <w:r w:rsidRPr="00667A14">
              <w:rPr>
                <w:color w:val="000000"/>
              </w:rPr>
              <w:t>127,272,062</w:t>
            </w:r>
          </w:p>
        </w:tc>
        <w:tc>
          <w:tcPr>
            <w:tcW w:w="1541" w:type="dxa"/>
          </w:tcPr>
          <w:p w:rsidR="00A05E22" w:rsidRPr="00667A14" w:rsidRDefault="00A05E22" w:rsidP="00766EC2"/>
        </w:tc>
        <w:tc>
          <w:tcPr>
            <w:tcW w:w="1540" w:type="dxa"/>
          </w:tcPr>
          <w:p w:rsidR="00A05E22" w:rsidRDefault="00A05E22" w:rsidP="00766EC2">
            <w:pPr>
              <w:jc w:val="right"/>
            </w:pPr>
            <w:r>
              <w:t>83,790,362</w:t>
            </w:r>
          </w:p>
        </w:tc>
        <w:tc>
          <w:tcPr>
            <w:tcW w:w="1541" w:type="dxa"/>
          </w:tcPr>
          <w:p w:rsidR="00A05E22" w:rsidRPr="00667A14" w:rsidRDefault="00A05E22" w:rsidP="00D34F0E"/>
        </w:tc>
      </w:tr>
    </w:tbl>
    <w:p w:rsidR="00A05E22" w:rsidRDefault="00A05E22" w:rsidP="00642FB5">
      <w:pPr>
        <w:rPr>
          <w:i/>
        </w:rPr>
      </w:pPr>
    </w:p>
    <w:p w:rsidR="00A05E22" w:rsidRPr="003803DB" w:rsidRDefault="00A05E22" w:rsidP="00AE32EB">
      <w:pPr>
        <w:jc w:val="both"/>
      </w:pPr>
      <w:r w:rsidRPr="003803DB">
        <w:rPr>
          <w:i/>
        </w:rPr>
        <w:t>Sources:</w:t>
      </w:r>
      <w:r w:rsidRPr="003803DB">
        <w:t xml:space="preserve"> </w:t>
      </w:r>
      <w:r>
        <w:t xml:space="preserve">Own calculations based on </w:t>
      </w:r>
      <w:proofErr w:type="spellStart"/>
      <w:r>
        <w:t>Leconte</w:t>
      </w:r>
      <w:proofErr w:type="spellEnd"/>
      <w:r>
        <w:t xml:space="preserve"> (1994) for Greece and Serbia, </w:t>
      </w:r>
      <w:r w:rsidRPr="003803DB">
        <w:t>Bulgarian National Bank (2009)</w:t>
      </w:r>
      <w:r>
        <w:t xml:space="preserve"> for Bulgaria and Romanian</w:t>
      </w:r>
      <w:r w:rsidRPr="003803DB">
        <w:t xml:space="preserve"> Statistical Yearbook (various issues)</w:t>
      </w:r>
      <w:r>
        <w:t xml:space="preserve"> for Romania</w:t>
      </w:r>
      <w:r w:rsidRPr="003803DB">
        <w:t>.</w:t>
      </w:r>
    </w:p>
    <w:p w:rsidR="008F5FA1" w:rsidRDefault="008F5FA1">
      <w:r>
        <w:br w:type="page"/>
      </w:r>
    </w:p>
    <w:p w:rsidR="00A05E22" w:rsidRDefault="00A05E22" w:rsidP="007C6214">
      <w:pPr>
        <w:pStyle w:val="Table"/>
        <w:spacing w:before="0" w:after="0"/>
        <w:jc w:val="center"/>
        <w:rPr>
          <w:b/>
          <w:i w:val="0"/>
          <w:sz w:val="22"/>
          <w:szCs w:val="22"/>
        </w:rPr>
      </w:pPr>
      <w:r w:rsidRPr="00741778">
        <w:rPr>
          <w:b/>
          <w:i w:val="0"/>
          <w:sz w:val="22"/>
          <w:szCs w:val="22"/>
        </w:rPr>
        <w:lastRenderedPageBreak/>
        <w:t xml:space="preserve">Table </w:t>
      </w:r>
      <w:r>
        <w:rPr>
          <w:b/>
          <w:i w:val="0"/>
          <w:sz w:val="22"/>
          <w:szCs w:val="22"/>
        </w:rPr>
        <w:t xml:space="preserve">3 </w:t>
      </w:r>
    </w:p>
    <w:p w:rsidR="00A05E22" w:rsidRDefault="00A05E22" w:rsidP="007C6214">
      <w:pPr>
        <w:pStyle w:val="Table"/>
        <w:spacing w:before="0" w:after="0"/>
        <w:jc w:val="center"/>
        <w:rPr>
          <w:b/>
          <w:i w:val="0"/>
          <w:sz w:val="22"/>
          <w:szCs w:val="22"/>
        </w:rPr>
      </w:pPr>
      <w:r>
        <w:rPr>
          <w:b/>
          <w:i w:val="0"/>
          <w:sz w:val="22"/>
          <w:szCs w:val="22"/>
        </w:rPr>
        <w:t>Composition of monetary base: Western Europe versus South-East Europe, 1885</w:t>
      </w:r>
    </w:p>
    <w:p w:rsidR="00A05E22" w:rsidRDefault="00A05E22" w:rsidP="00CE460C">
      <w:pPr>
        <w:rPr>
          <w:lang w:eastAsia="de-AT"/>
        </w:rPr>
      </w:pPr>
    </w:p>
    <w:tbl>
      <w:tblPr>
        <w:tblStyle w:val="TableGrid"/>
        <w:tblW w:w="0" w:type="auto"/>
        <w:tblLayout w:type="fixed"/>
        <w:tblLook w:val="04A0" w:firstRow="1" w:lastRow="0" w:firstColumn="1" w:lastColumn="0" w:noHBand="0" w:noVBand="1"/>
      </w:tblPr>
      <w:tblGrid>
        <w:gridCol w:w="1526"/>
        <w:gridCol w:w="50"/>
        <w:gridCol w:w="92"/>
        <w:gridCol w:w="425"/>
        <w:gridCol w:w="659"/>
        <w:gridCol w:w="1176"/>
        <w:gridCol w:w="1176"/>
        <w:gridCol w:w="1100"/>
        <w:gridCol w:w="938"/>
        <w:gridCol w:w="1021"/>
        <w:gridCol w:w="1021"/>
      </w:tblGrid>
      <w:tr w:rsidR="00A05E22" w:rsidTr="00FB01D8">
        <w:tc>
          <w:tcPr>
            <w:tcW w:w="1576" w:type="dxa"/>
            <w:gridSpan w:val="2"/>
          </w:tcPr>
          <w:p w:rsidR="00A05E22" w:rsidRPr="007C6214" w:rsidRDefault="00A05E22" w:rsidP="007C6214">
            <w:pPr>
              <w:rPr>
                <w:lang w:eastAsia="de-AT"/>
              </w:rPr>
            </w:pPr>
          </w:p>
        </w:tc>
        <w:tc>
          <w:tcPr>
            <w:tcW w:w="1176" w:type="dxa"/>
            <w:gridSpan w:val="3"/>
          </w:tcPr>
          <w:p w:rsidR="00A05E22" w:rsidRPr="007E0F69" w:rsidRDefault="00A05E22" w:rsidP="007C6214">
            <w:pPr>
              <w:rPr>
                <w:b/>
                <w:lang w:eastAsia="de-AT"/>
              </w:rPr>
            </w:pPr>
            <w:r w:rsidRPr="007E0F69">
              <w:rPr>
                <w:b/>
                <w:lang w:eastAsia="de-AT"/>
              </w:rPr>
              <w:t>England</w:t>
            </w:r>
          </w:p>
        </w:tc>
        <w:tc>
          <w:tcPr>
            <w:tcW w:w="1176" w:type="dxa"/>
          </w:tcPr>
          <w:p w:rsidR="00A05E22" w:rsidRPr="007E0F69" w:rsidRDefault="00A05E22" w:rsidP="007C6214">
            <w:pPr>
              <w:rPr>
                <w:b/>
                <w:lang w:eastAsia="de-AT"/>
              </w:rPr>
            </w:pPr>
            <w:r w:rsidRPr="007E0F69">
              <w:rPr>
                <w:b/>
                <w:lang w:eastAsia="de-AT"/>
              </w:rPr>
              <w:t>France</w:t>
            </w:r>
          </w:p>
        </w:tc>
        <w:tc>
          <w:tcPr>
            <w:tcW w:w="1176" w:type="dxa"/>
          </w:tcPr>
          <w:p w:rsidR="00A05E22" w:rsidRPr="00BD0D8C" w:rsidRDefault="00A05E22" w:rsidP="007C6214">
            <w:pPr>
              <w:rPr>
                <w:b/>
                <w:sz w:val="22"/>
                <w:szCs w:val="22"/>
                <w:lang w:eastAsia="de-AT"/>
              </w:rPr>
            </w:pPr>
            <w:r w:rsidRPr="00BD0D8C">
              <w:rPr>
                <w:b/>
                <w:sz w:val="22"/>
                <w:szCs w:val="22"/>
                <w:lang w:eastAsia="de-AT"/>
              </w:rPr>
              <w:t>Germany</w:t>
            </w:r>
          </w:p>
        </w:tc>
        <w:tc>
          <w:tcPr>
            <w:tcW w:w="1100" w:type="dxa"/>
          </w:tcPr>
          <w:p w:rsidR="00A05E22" w:rsidRPr="00BD0D8C" w:rsidRDefault="00A05E22" w:rsidP="00FB01D8">
            <w:pPr>
              <w:rPr>
                <w:b/>
                <w:sz w:val="22"/>
                <w:szCs w:val="22"/>
                <w:lang w:eastAsia="de-AT"/>
              </w:rPr>
            </w:pPr>
            <w:r w:rsidRPr="00BD0D8C">
              <w:rPr>
                <w:b/>
                <w:sz w:val="22"/>
                <w:szCs w:val="22"/>
                <w:lang w:eastAsia="de-AT"/>
              </w:rPr>
              <w:t xml:space="preserve">Romania </w:t>
            </w:r>
          </w:p>
        </w:tc>
        <w:tc>
          <w:tcPr>
            <w:tcW w:w="938" w:type="dxa"/>
          </w:tcPr>
          <w:p w:rsidR="00A05E22" w:rsidRPr="00BD0D8C" w:rsidRDefault="00A05E22" w:rsidP="00FB01D8">
            <w:pPr>
              <w:rPr>
                <w:b/>
                <w:sz w:val="22"/>
                <w:szCs w:val="22"/>
                <w:lang w:eastAsia="de-AT"/>
              </w:rPr>
            </w:pPr>
            <w:proofErr w:type="spellStart"/>
            <w:r w:rsidRPr="00BD0D8C">
              <w:rPr>
                <w:b/>
                <w:sz w:val="22"/>
                <w:szCs w:val="22"/>
                <w:lang w:eastAsia="de-AT"/>
              </w:rPr>
              <w:t>Bulgar</w:t>
            </w:r>
            <w:proofErr w:type="spellEnd"/>
            <w:r w:rsidRPr="00BD0D8C">
              <w:rPr>
                <w:b/>
                <w:sz w:val="22"/>
                <w:szCs w:val="22"/>
                <w:lang w:eastAsia="de-AT"/>
              </w:rPr>
              <w:t>.</w:t>
            </w:r>
          </w:p>
        </w:tc>
        <w:tc>
          <w:tcPr>
            <w:tcW w:w="1021" w:type="dxa"/>
          </w:tcPr>
          <w:p w:rsidR="00A05E22" w:rsidRPr="007E0F69" w:rsidRDefault="00A05E22" w:rsidP="007E0F69">
            <w:pPr>
              <w:rPr>
                <w:b/>
                <w:lang w:eastAsia="de-AT"/>
              </w:rPr>
            </w:pPr>
            <w:r w:rsidRPr="007E0F69">
              <w:rPr>
                <w:b/>
                <w:lang w:eastAsia="de-AT"/>
              </w:rPr>
              <w:t>Greece</w:t>
            </w:r>
            <w:r w:rsidRPr="007E0F69">
              <w:rPr>
                <w:b/>
                <w:vertAlign w:val="superscript"/>
                <w:lang w:eastAsia="de-AT"/>
              </w:rPr>
              <w:t>1</w:t>
            </w:r>
          </w:p>
        </w:tc>
        <w:tc>
          <w:tcPr>
            <w:tcW w:w="1021" w:type="dxa"/>
          </w:tcPr>
          <w:p w:rsidR="00A05E22" w:rsidRPr="007E0F69" w:rsidRDefault="00A05E22" w:rsidP="007C6214">
            <w:pPr>
              <w:rPr>
                <w:b/>
                <w:lang w:eastAsia="de-AT"/>
              </w:rPr>
            </w:pPr>
            <w:r w:rsidRPr="007E0F69">
              <w:rPr>
                <w:b/>
                <w:lang w:eastAsia="de-AT"/>
              </w:rPr>
              <w:t>Serbia</w:t>
            </w:r>
          </w:p>
        </w:tc>
      </w:tr>
      <w:tr w:rsidR="00A05E22" w:rsidRPr="00ED7809" w:rsidTr="00FB01D8">
        <w:trPr>
          <w:trHeight w:val="562"/>
        </w:trPr>
        <w:tc>
          <w:tcPr>
            <w:tcW w:w="9184" w:type="dxa"/>
            <w:gridSpan w:val="11"/>
            <w:vAlign w:val="bottom"/>
          </w:tcPr>
          <w:p w:rsidR="00A05E22" w:rsidRPr="002A4349" w:rsidRDefault="00A05E22" w:rsidP="00A05E22">
            <w:pPr>
              <w:pStyle w:val="ListParagraph"/>
              <w:numPr>
                <w:ilvl w:val="0"/>
                <w:numId w:val="8"/>
              </w:numPr>
              <w:spacing w:after="0" w:line="240" w:lineRule="auto"/>
              <w:rPr>
                <w:rFonts w:ascii="Times New Roman" w:hAnsi="Times New Roman" w:cs="Times New Roman"/>
                <w:b/>
                <w:sz w:val="24"/>
                <w:szCs w:val="24"/>
                <w:lang w:eastAsia="de-AT"/>
              </w:rPr>
            </w:pPr>
            <w:r>
              <w:rPr>
                <w:rFonts w:ascii="Times New Roman" w:hAnsi="Times New Roman" w:cs="Times New Roman"/>
                <w:b/>
                <w:sz w:val="24"/>
                <w:szCs w:val="24"/>
                <w:lang w:eastAsia="de-AT"/>
              </w:rPr>
              <w:t>Monetary base (in thousand French</w:t>
            </w:r>
            <w:r w:rsidRPr="002A4349">
              <w:rPr>
                <w:rFonts w:ascii="Times New Roman" w:hAnsi="Times New Roman" w:cs="Times New Roman"/>
                <w:b/>
                <w:sz w:val="24"/>
                <w:szCs w:val="24"/>
                <w:lang w:eastAsia="de-AT"/>
              </w:rPr>
              <w:t xml:space="preserve"> franc</w:t>
            </w:r>
            <w:r>
              <w:rPr>
                <w:rFonts w:ascii="Times New Roman" w:hAnsi="Times New Roman" w:cs="Times New Roman"/>
                <w:b/>
                <w:sz w:val="24"/>
                <w:szCs w:val="24"/>
                <w:lang w:eastAsia="de-AT"/>
              </w:rPr>
              <w:t>)</w:t>
            </w:r>
          </w:p>
        </w:tc>
      </w:tr>
      <w:tr w:rsidR="00A05E22" w:rsidTr="00AB3E4C">
        <w:tc>
          <w:tcPr>
            <w:tcW w:w="9184" w:type="dxa"/>
            <w:gridSpan w:val="11"/>
          </w:tcPr>
          <w:p w:rsidR="00A05E22" w:rsidRPr="00E8465B" w:rsidRDefault="00A05E22" w:rsidP="00E8465B">
            <w:pPr>
              <w:rPr>
                <w:b/>
                <w:i/>
                <w:lang w:eastAsia="de-AT"/>
              </w:rPr>
            </w:pPr>
            <w:r>
              <w:rPr>
                <w:lang w:eastAsia="de-AT"/>
              </w:rPr>
              <w:t xml:space="preserve">     </w:t>
            </w:r>
            <w:r>
              <w:rPr>
                <w:b/>
                <w:i/>
                <w:lang w:eastAsia="de-AT"/>
              </w:rPr>
              <w:t>Gold</w:t>
            </w:r>
          </w:p>
        </w:tc>
      </w:tr>
      <w:tr w:rsidR="00A05E22" w:rsidTr="00CE460C">
        <w:tc>
          <w:tcPr>
            <w:tcW w:w="1668" w:type="dxa"/>
            <w:gridSpan w:val="3"/>
          </w:tcPr>
          <w:p w:rsidR="00A05E22" w:rsidRPr="00404C5C" w:rsidRDefault="00A05E22" w:rsidP="007C6214">
            <w:pPr>
              <w:rPr>
                <w:b/>
                <w:lang w:eastAsia="de-AT"/>
              </w:rPr>
            </w:pPr>
            <w:r>
              <w:rPr>
                <w:b/>
                <w:lang w:eastAsia="de-AT"/>
              </w:rPr>
              <w:t xml:space="preserve">Gold coinage </w:t>
            </w:r>
            <w:r w:rsidRPr="00CE460C">
              <w:rPr>
                <w:b/>
                <w:lang w:eastAsia="de-AT"/>
              </w:rPr>
              <w:t xml:space="preserve">at bank of </w:t>
            </w:r>
            <w:r>
              <w:rPr>
                <w:b/>
                <w:lang w:eastAsia="de-AT"/>
              </w:rPr>
              <w:t xml:space="preserve">note </w:t>
            </w:r>
            <w:r w:rsidRPr="00CE460C">
              <w:rPr>
                <w:b/>
                <w:lang w:eastAsia="de-AT"/>
              </w:rPr>
              <w:t>issue</w:t>
            </w:r>
          </w:p>
        </w:tc>
        <w:tc>
          <w:tcPr>
            <w:tcW w:w="1084" w:type="dxa"/>
            <w:gridSpan w:val="2"/>
          </w:tcPr>
          <w:p w:rsidR="00A05E22" w:rsidRDefault="00A05E22" w:rsidP="00F80593">
            <w:pPr>
              <w:jc w:val="right"/>
              <w:rPr>
                <w:lang w:eastAsia="de-AT"/>
              </w:rPr>
            </w:pPr>
            <w:r>
              <w:rPr>
                <w:lang w:eastAsia="de-AT"/>
              </w:rPr>
              <w:t>907,920</w:t>
            </w:r>
          </w:p>
          <w:p w:rsidR="00A05E22" w:rsidRPr="007C6214" w:rsidRDefault="00A05E22" w:rsidP="00F80593">
            <w:pPr>
              <w:jc w:val="right"/>
              <w:rPr>
                <w:lang w:eastAsia="de-AT"/>
              </w:rPr>
            </w:pPr>
            <w:r>
              <w:rPr>
                <w:lang w:eastAsia="de-AT"/>
              </w:rPr>
              <w:t>(24.6%)</w:t>
            </w:r>
          </w:p>
        </w:tc>
        <w:tc>
          <w:tcPr>
            <w:tcW w:w="1176" w:type="dxa"/>
          </w:tcPr>
          <w:p w:rsidR="00A05E22" w:rsidRPr="007C6214" w:rsidRDefault="00A05E22" w:rsidP="00F80593">
            <w:pPr>
              <w:jc w:val="right"/>
              <w:rPr>
                <w:lang w:eastAsia="de-AT"/>
              </w:rPr>
            </w:pPr>
            <w:r>
              <w:rPr>
                <w:lang w:eastAsia="de-AT"/>
              </w:rPr>
              <w:t>1,157,000 (13.0%)</w:t>
            </w:r>
          </w:p>
        </w:tc>
        <w:tc>
          <w:tcPr>
            <w:tcW w:w="1176" w:type="dxa"/>
          </w:tcPr>
          <w:p w:rsidR="00A05E22" w:rsidRDefault="00A05E22" w:rsidP="00F80593">
            <w:pPr>
              <w:jc w:val="right"/>
              <w:rPr>
                <w:lang w:eastAsia="de-AT"/>
              </w:rPr>
            </w:pPr>
            <w:r>
              <w:rPr>
                <w:lang w:eastAsia="de-AT"/>
              </w:rPr>
              <w:t>864,198</w:t>
            </w:r>
          </w:p>
          <w:p w:rsidR="00A05E22" w:rsidRPr="007C6214" w:rsidRDefault="00A05E22" w:rsidP="00F80593">
            <w:pPr>
              <w:jc w:val="right"/>
              <w:rPr>
                <w:lang w:eastAsia="de-AT"/>
              </w:rPr>
            </w:pPr>
            <w:r>
              <w:rPr>
                <w:lang w:eastAsia="de-AT"/>
              </w:rPr>
              <w:t>(21.4%)</w:t>
            </w:r>
          </w:p>
        </w:tc>
        <w:tc>
          <w:tcPr>
            <w:tcW w:w="1100" w:type="dxa"/>
          </w:tcPr>
          <w:p w:rsidR="00A05E22" w:rsidRDefault="00A05E22" w:rsidP="00F80593">
            <w:pPr>
              <w:jc w:val="right"/>
              <w:rPr>
                <w:lang w:eastAsia="de-AT"/>
              </w:rPr>
            </w:pPr>
            <w:r>
              <w:rPr>
                <w:lang w:eastAsia="de-AT"/>
              </w:rPr>
              <w:t>2,000</w:t>
            </w:r>
          </w:p>
          <w:p w:rsidR="00A05E22" w:rsidRPr="007C6214" w:rsidRDefault="00A05E22" w:rsidP="00F80593">
            <w:pPr>
              <w:jc w:val="right"/>
              <w:rPr>
                <w:lang w:eastAsia="de-AT"/>
              </w:rPr>
            </w:pPr>
            <w:r>
              <w:rPr>
                <w:lang w:eastAsia="de-AT"/>
              </w:rPr>
              <w:t>(1.1%)</w:t>
            </w:r>
          </w:p>
        </w:tc>
        <w:tc>
          <w:tcPr>
            <w:tcW w:w="938" w:type="dxa"/>
          </w:tcPr>
          <w:p w:rsidR="00A05E22" w:rsidRDefault="00A05E22" w:rsidP="00F80593">
            <w:pPr>
              <w:jc w:val="right"/>
              <w:rPr>
                <w:lang w:eastAsia="de-AT"/>
              </w:rPr>
            </w:pPr>
            <w:r>
              <w:rPr>
                <w:lang w:eastAsia="de-AT"/>
              </w:rPr>
              <w:t>482</w:t>
            </w:r>
          </w:p>
          <w:p w:rsidR="00A05E22" w:rsidRPr="007C6214" w:rsidRDefault="00A05E22" w:rsidP="00F80593">
            <w:pPr>
              <w:jc w:val="right"/>
              <w:rPr>
                <w:lang w:eastAsia="de-AT"/>
              </w:rPr>
            </w:pPr>
            <w:r>
              <w:rPr>
                <w:lang w:eastAsia="de-AT"/>
              </w:rPr>
              <w:t>(2.2%)</w:t>
            </w:r>
          </w:p>
        </w:tc>
        <w:tc>
          <w:tcPr>
            <w:tcW w:w="1021" w:type="dxa"/>
          </w:tcPr>
          <w:p w:rsidR="00A05E22" w:rsidRDefault="00A05E22" w:rsidP="00F80593">
            <w:pPr>
              <w:jc w:val="right"/>
              <w:rPr>
                <w:lang w:eastAsia="de-AT"/>
              </w:rPr>
            </w:pPr>
            <w:r>
              <w:rPr>
                <w:lang w:eastAsia="de-AT"/>
              </w:rPr>
              <w:t>4,348</w:t>
            </w:r>
          </w:p>
          <w:p w:rsidR="00A05E22" w:rsidRPr="007C6214" w:rsidRDefault="00A05E22" w:rsidP="00F80593">
            <w:pPr>
              <w:jc w:val="right"/>
              <w:rPr>
                <w:lang w:eastAsia="de-AT"/>
              </w:rPr>
            </w:pPr>
            <w:r>
              <w:rPr>
                <w:lang w:eastAsia="de-AT"/>
              </w:rPr>
              <w:t>(3.2%)</w:t>
            </w:r>
          </w:p>
        </w:tc>
        <w:tc>
          <w:tcPr>
            <w:tcW w:w="1021" w:type="dxa"/>
          </w:tcPr>
          <w:p w:rsidR="00A05E22" w:rsidRDefault="00A05E22" w:rsidP="00F80593">
            <w:pPr>
              <w:jc w:val="right"/>
              <w:rPr>
                <w:lang w:eastAsia="de-AT"/>
              </w:rPr>
            </w:pPr>
            <w:r>
              <w:rPr>
                <w:lang w:eastAsia="de-AT"/>
              </w:rPr>
              <w:t>1,209</w:t>
            </w:r>
          </w:p>
          <w:p w:rsidR="00A05E22" w:rsidRPr="007C6214" w:rsidRDefault="00A05E22" w:rsidP="00F80593">
            <w:pPr>
              <w:jc w:val="right"/>
              <w:rPr>
                <w:lang w:eastAsia="de-AT"/>
              </w:rPr>
            </w:pPr>
            <w:r>
              <w:rPr>
                <w:lang w:eastAsia="de-AT"/>
              </w:rPr>
              <w:t>(7.7%)</w:t>
            </w:r>
          </w:p>
        </w:tc>
      </w:tr>
      <w:tr w:rsidR="00A05E22" w:rsidTr="00FB01D8">
        <w:tc>
          <w:tcPr>
            <w:tcW w:w="1576" w:type="dxa"/>
            <w:gridSpan w:val="2"/>
          </w:tcPr>
          <w:p w:rsidR="00A05E22" w:rsidRPr="007C6214" w:rsidRDefault="00A05E22" w:rsidP="002A4349">
            <w:pPr>
              <w:rPr>
                <w:lang w:eastAsia="de-AT"/>
              </w:rPr>
            </w:pPr>
            <w:r w:rsidRPr="00404C5C">
              <w:rPr>
                <w:b/>
                <w:lang w:eastAsia="de-AT"/>
              </w:rPr>
              <w:t xml:space="preserve">Gold coinage </w:t>
            </w:r>
            <w:r w:rsidRPr="002A4349">
              <w:rPr>
                <w:b/>
                <w:lang w:eastAsia="de-AT"/>
              </w:rPr>
              <w:t>in circulation</w:t>
            </w:r>
          </w:p>
        </w:tc>
        <w:tc>
          <w:tcPr>
            <w:tcW w:w="1176" w:type="dxa"/>
            <w:gridSpan w:val="3"/>
          </w:tcPr>
          <w:p w:rsidR="00A05E22" w:rsidRDefault="00A05E22" w:rsidP="00F80593">
            <w:pPr>
              <w:jc w:val="right"/>
              <w:rPr>
                <w:lang w:eastAsia="de-AT"/>
              </w:rPr>
            </w:pPr>
            <w:r>
              <w:rPr>
                <w:lang w:eastAsia="de-AT"/>
              </w:rPr>
              <w:t>1,891,500</w:t>
            </w:r>
          </w:p>
          <w:p w:rsidR="00A05E22" w:rsidRPr="007C6214" w:rsidRDefault="00A05E22" w:rsidP="00F80593">
            <w:pPr>
              <w:jc w:val="right"/>
              <w:rPr>
                <w:lang w:eastAsia="de-AT"/>
              </w:rPr>
            </w:pPr>
            <w:r>
              <w:rPr>
                <w:lang w:eastAsia="de-AT"/>
              </w:rPr>
              <w:t>(51.3%)</w:t>
            </w:r>
          </w:p>
        </w:tc>
        <w:tc>
          <w:tcPr>
            <w:tcW w:w="1176" w:type="dxa"/>
          </w:tcPr>
          <w:p w:rsidR="00A05E22" w:rsidRDefault="00A05E22" w:rsidP="00F80593">
            <w:pPr>
              <w:jc w:val="right"/>
              <w:rPr>
                <w:lang w:eastAsia="de-AT"/>
              </w:rPr>
            </w:pPr>
            <w:r>
              <w:rPr>
                <w:lang w:eastAsia="de-AT"/>
              </w:rPr>
              <w:t>3,300,000</w:t>
            </w:r>
          </w:p>
          <w:p w:rsidR="00A05E22" w:rsidRPr="007C6214" w:rsidRDefault="00A05E22" w:rsidP="00F80593">
            <w:pPr>
              <w:jc w:val="right"/>
              <w:rPr>
                <w:lang w:eastAsia="de-AT"/>
              </w:rPr>
            </w:pPr>
            <w:r>
              <w:rPr>
                <w:lang w:eastAsia="de-AT"/>
              </w:rPr>
              <w:t>(37.0%)</w:t>
            </w:r>
          </w:p>
        </w:tc>
        <w:tc>
          <w:tcPr>
            <w:tcW w:w="1176" w:type="dxa"/>
          </w:tcPr>
          <w:p w:rsidR="00A05E22" w:rsidRDefault="00A05E22" w:rsidP="00F80593">
            <w:pPr>
              <w:jc w:val="right"/>
              <w:rPr>
                <w:lang w:eastAsia="de-AT"/>
              </w:rPr>
            </w:pPr>
            <w:r>
              <w:rPr>
                <w:lang w:eastAsia="de-AT"/>
              </w:rPr>
              <w:t>1,395,061</w:t>
            </w:r>
          </w:p>
          <w:p w:rsidR="00A05E22" w:rsidRPr="007C6214" w:rsidRDefault="00A05E22" w:rsidP="00F80593">
            <w:pPr>
              <w:jc w:val="right"/>
              <w:rPr>
                <w:lang w:eastAsia="de-AT"/>
              </w:rPr>
            </w:pPr>
            <w:r>
              <w:rPr>
                <w:lang w:eastAsia="de-AT"/>
              </w:rPr>
              <w:t>(34.6%)</w:t>
            </w:r>
          </w:p>
        </w:tc>
        <w:tc>
          <w:tcPr>
            <w:tcW w:w="1100" w:type="dxa"/>
          </w:tcPr>
          <w:p w:rsidR="00A05E22" w:rsidRDefault="00A05E22" w:rsidP="00F80593">
            <w:pPr>
              <w:jc w:val="right"/>
              <w:rPr>
                <w:lang w:eastAsia="de-AT"/>
              </w:rPr>
            </w:pPr>
            <w:r>
              <w:rPr>
                <w:lang w:eastAsia="de-AT"/>
              </w:rPr>
              <w:t>13,000</w:t>
            </w:r>
          </w:p>
          <w:p w:rsidR="00A05E22" w:rsidRPr="007C6214" w:rsidRDefault="00A05E22" w:rsidP="00F80593">
            <w:pPr>
              <w:jc w:val="right"/>
              <w:rPr>
                <w:lang w:eastAsia="de-AT"/>
              </w:rPr>
            </w:pPr>
            <w:r>
              <w:rPr>
                <w:lang w:eastAsia="de-AT"/>
              </w:rPr>
              <w:t>(7.4%)</w:t>
            </w:r>
          </w:p>
        </w:tc>
        <w:tc>
          <w:tcPr>
            <w:tcW w:w="938" w:type="dxa"/>
          </w:tcPr>
          <w:p w:rsidR="00A05E22" w:rsidRPr="00FB01D8" w:rsidRDefault="00A05E22" w:rsidP="00F80593">
            <w:pPr>
              <w:jc w:val="right"/>
              <w:rPr>
                <w:vertAlign w:val="superscript"/>
                <w:lang w:eastAsia="de-AT"/>
              </w:rPr>
            </w:pPr>
            <w:r w:rsidRPr="00FB01D8">
              <w:rPr>
                <w:vertAlign w:val="superscript"/>
                <w:lang w:eastAsia="de-AT"/>
              </w:rPr>
              <w:t>2</w:t>
            </w:r>
          </w:p>
        </w:tc>
        <w:tc>
          <w:tcPr>
            <w:tcW w:w="1021" w:type="dxa"/>
          </w:tcPr>
          <w:p w:rsidR="00A05E22" w:rsidRDefault="00A05E22" w:rsidP="00F80593">
            <w:pPr>
              <w:jc w:val="right"/>
              <w:rPr>
                <w:lang w:eastAsia="de-AT"/>
              </w:rPr>
            </w:pPr>
            <w:r>
              <w:rPr>
                <w:lang w:eastAsia="de-AT"/>
              </w:rPr>
              <w:t>20,000</w:t>
            </w:r>
            <w:r>
              <w:rPr>
                <w:vertAlign w:val="superscript"/>
                <w:lang w:eastAsia="de-AT"/>
              </w:rPr>
              <w:t>3</w:t>
            </w:r>
          </w:p>
          <w:p w:rsidR="00A05E22" w:rsidRPr="007C6214" w:rsidRDefault="00A05E22" w:rsidP="00F80593">
            <w:pPr>
              <w:jc w:val="right"/>
              <w:rPr>
                <w:lang w:eastAsia="de-AT"/>
              </w:rPr>
            </w:pPr>
            <w:r>
              <w:rPr>
                <w:lang w:eastAsia="de-AT"/>
              </w:rPr>
              <w:t>(14.9%)</w:t>
            </w:r>
          </w:p>
        </w:tc>
        <w:tc>
          <w:tcPr>
            <w:tcW w:w="1021" w:type="dxa"/>
          </w:tcPr>
          <w:p w:rsidR="00A05E22" w:rsidRPr="00FB01D8" w:rsidRDefault="00A05E22" w:rsidP="00F80593">
            <w:pPr>
              <w:jc w:val="right"/>
              <w:rPr>
                <w:vertAlign w:val="superscript"/>
                <w:lang w:eastAsia="de-AT"/>
              </w:rPr>
            </w:pPr>
            <w:r w:rsidRPr="00FB01D8">
              <w:rPr>
                <w:vertAlign w:val="superscript"/>
                <w:lang w:eastAsia="de-AT"/>
              </w:rPr>
              <w:t>2</w:t>
            </w:r>
          </w:p>
        </w:tc>
      </w:tr>
      <w:tr w:rsidR="00A05E22" w:rsidTr="00FB01D8">
        <w:tc>
          <w:tcPr>
            <w:tcW w:w="9184" w:type="dxa"/>
            <w:gridSpan w:val="11"/>
          </w:tcPr>
          <w:p w:rsidR="00A05E22" w:rsidRPr="00E8465B" w:rsidRDefault="00A05E22" w:rsidP="00E8465B">
            <w:pPr>
              <w:rPr>
                <w:b/>
                <w:i/>
                <w:lang w:eastAsia="de-AT"/>
              </w:rPr>
            </w:pPr>
            <w:r>
              <w:rPr>
                <w:lang w:eastAsia="de-AT"/>
              </w:rPr>
              <w:t xml:space="preserve">     </w:t>
            </w:r>
            <w:r w:rsidRPr="00E8465B">
              <w:rPr>
                <w:b/>
                <w:i/>
                <w:lang w:eastAsia="de-AT"/>
              </w:rPr>
              <w:t>Silver</w:t>
            </w:r>
          </w:p>
        </w:tc>
      </w:tr>
      <w:tr w:rsidR="00A05E22" w:rsidTr="00CE460C">
        <w:tc>
          <w:tcPr>
            <w:tcW w:w="2093" w:type="dxa"/>
            <w:gridSpan w:val="4"/>
          </w:tcPr>
          <w:p w:rsidR="00A05E22" w:rsidRPr="00404C5C" w:rsidRDefault="00A05E22" w:rsidP="007E0F69">
            <w:pPr>
              <w:rPr>
                <w:b/>
                <w:lang w:eastAsia="de-AT"/>
              </w:rPr>
            </w:pPr>
            <w:r w:rsidRPr="00404C5C">
              <w:rPr>
                <w:b/>
                <w:lang w:eastAsia="de-AT"/>
              </w:rPr>
              <w:t>Silver coinage at bank of note issue</w:t>
            </w:r>
          </w:p>
        </w:tc>
        <w:tc>
          <w:tcPr>
            <w:tcW w:w="659" w:type="dxa"/>
          </w:tcPr>
          <w:p w:rsidR="00A05E22" w:rsidRDefault="00A05E22" w:rsidP="00CE460C">
            <w:pPr>
              <w:jc w:val="right"/>
              <w:rPr>
                <w:lang w:eastAsia="de-AT"/>
              </w:rPr>
            </w:pPr>
            <w:r>
              <w:rPr>
                <w:lang w:eastAsia="de-AT"/>
              </w:rPr>
              <w:t>0</w:t>
            </w:r>
          </w:p>
          <w:p w:rsidR="00A05E22" w:rsidRPr="00CE460C" w:rsidRDefault="00A05E22" w:rsidP="007E0F69">
            <w:pPr>
              <w:rPr>
                <w:sz w:val="20"/>
                <w:szCs w:val="20"/>
                <w:lang w:eastAsia="de-AT"/>
              </w:rPr>
            </w:pPr>
          </w:p>
        </w:tc>
        <w:tc>
          <w:tcPr>
            <w:tcW w:w="1176" w:type="dxa"/>
          </w:tcPr>
          <w:p w:rsidR="00A05E22" w:rsidRDefault="00A05E22" w:rsidP="00F80593">
            <w:pPr>
              <w:jc w:val="right"/>
              <w:rPr>
                <w:lang w:eastAsia="de-AT"/>
              </w:rPr>
            </w:pPr>
            <w:r>
              <w:rPr>
                <w:lang w:eastAsia="de-AT"/>
              </w:rPr>
              <w:t>1,086,000</w:t>
            </w:r>
          </w:p>
          <w:p w:rsidR="00A05E22" w:rsidRPr="007C6214" w:rsidRDefault="00A05E22" w:rsidP="00F80593">
            <w:pPr>
              <w:jc w:val="right"/>
              <w:rPr>
                <w:lang w:eastAsia="de-AT"/>
              </w:rPr>
            </w:pPr>
            <w:r>
              <w:rPr>
                <w:lang w:eastAsia="de-AT"/>
              </w:rPr>
              <w:t>(12.2%)</w:t>
            </w:r>
          </w:p>
        </w:tc>
        <w:tc>
          <w:tcPr>
            <w:tcW w:w="1176" w:type="dxa"/>
          </w:tcPr>
          <w:p w:rsidR="00A05E22" w:rsidRDefault="00A05E22" w:rsidP="00F80593">
            <w:pPr>
              <w:jc w:val="right"/>
              <w:rPr>
                <w:lang w:eastAsia="de-AT"/>
              </w:rPr>
            </w:pPr>
            <w:r>
              <w:rPr>
                <w:lang w:eastAsia="de-AT"/>
              </w:rPr>
              <w:t>555,556</w:t>
            </w:r>
          </w:p>
          <w:p w:rsidR="00A05E22" w:rsidRPr="007C6214" w:rsidRDefault="00A05E22" w:rsidP="00F80593">
            <w:pPr>
              <w:jc w:val="right"/>
              <w:rPr>
                <w:lang w:eastAsia="de-AT"/>
              </w:rPr>
            </w:pPr>
            <w:r>
              <w:rPr>
                <w:lang w:eastAsia="de-AT"/>
              </w:rPr>
              <w:t>(13.8%)</w:t>
            </w:r>
          </w:p>
        </w:tc>
        <w:tc>
          <w:tcPr>
            <w:tcW w:w="1100" w:type="dxa"/>
          </w:tcPr>
          <w:p w:rsidR="00A05E22" w:rsidRDefault="00A05E22" w:rsidP="00F80593">
            <w:pPr>
              <w:jc w:val="right"/>
              <w:rPr>
                <w:lang w:eastAsia="de-AT"/>
              </w:rPr>
            </w:pPr>
            <w:r>
              <w:rPr>
                <w:lang w:eastAsia="de-AT"/>
              </w:rPr>
              <w:t>32,000</w:t>
            </w:r>
          </w:p>
          <w:p w:rsidR="00A05E22" w:rsidRPr="007C6214" w:rsidRDefault="00A05E22" w:rsidP="00F80593">
            <w:pPr>
              <w:jc w:val="right"/>
              <w:rPr>
                <w:lang w:eastAsia="de-AT"/>
              </w:rPr>
            </w:pPr>
            <w:r>
              <w:rPr>
                <w:lang w:eastAsia="de-AT"/>
              </w:rPr>
              <w:t>(18.2%)</w:t>
            </w:r>
          </w:p>
        </w:tc>
        <w:tc>
          <w:tcPr>
            <w:tcW w:w="938" w:type="dxa"/>
          </w:tcPr>
          <w:p w:rsidR="00A05E22" w:rsidRDefault="00A05E22" w:rsidP="00F80593">
            <w:pPr>
              <w:jc w:val="right"/>
              <w:rPr>
                <w:lang w:eastAsia="de-AT"/>
              </w:rPr>
            </w:pPr>
            <w:r>
              <w:rPr>
                <w:lang w:eastAsia="de-AT"/>
              </w:rPr>
              <w:t>1,016</w:t>
            </w:r>
          </w:p>
          <w:p w:rsidR="00A05E22" w:rsidRPr="007C6214" w:rsidRDefault="00A05E22" w:rsidP="00F80593">
            <w:pPr>
              <w:jc w:val="right"/>
              <w:rPr>
                <w:lang w:eastAsia="de-AT"/>
              </w:rPr>
            </w:pPr>
            <w:r>
              <w:rPr>
                <w:lang w:eastAsia="de-AT"/>
              </w:rPr>
              <w:t>(4.7%)</w:t>
            </w:r>
          </w:p>
        </w:tc>
        <w:tc>
          <w:tcPr>
            <w:tcW w:w="1021" w:type="dxa"/>
          </w:tcPr>
          <w:p w:rsidR="00A05E22" w:rsidRDefault="00A05E22" w:rsidP="00F80593">
            <w:pPr>
              <w:jc w:val="right"/>
              <w:rPr>
                <w:lang w:eastAsia="de-AT"/>
              </w:rPr>
            </w:pPr>
            <w:r>
              <w:rPr>
                <w:lang w:eastAsia="de-AT"/>
              </w:rPr>
              <w:t>0</w:t>
            </w:r>
          </w:p>
          <w:p w:rsidR="00A05E22" w:rsidRPr="007C6214" w:rsidRDefault="00A05E22" w:rsidP="00F80593">
            <w:pPr>
              <w:jc w:val="right"/>
              <w:rPr>
                <w:lang w:eastAsia="de-AT"/>
              </w:rPr>
            </w:pPr>
          </w:p>
        </w:tc>
        <w:tc>
          <w:tcPr>
            <w:tcW w:w="1021" w:type="dxa"/>
          </w:tcPr>
          <w:p w:rsidR="00A05E22" w:rsidRDefault="00A05E22" w:rsidP="00F80593">
            <w:pPr>
              <w:jc w:val="right"/>
              <w:rPr>
                <w:lang w:eastAsia="de-AT"/>
              </w:rPr>
            </w:pPr>
            <w:r>
              <w:rPr>
                <w:lang w:eastAsia="de-AT"/>
              </w:rPr>
              <w:t>38,4</w:t>
            </w:r>
          </w:p>
          <w:p w:rsidR="00A05E22" w:rsidRPr="007C6214" w:rsidRDefault="00A05E22" w:rsidP="00F80593">
            <w:pPr>
              <w:jc w:val="right"/>
              <w:rPr>
                <w:lang w:eastAsia="de-AT"/>
              </w:rPr>
            </w:pPr>
            <w:r>
              <w:rPr>
                <w:lang w:eastAsia="de-AT"/>
              </w:rPr>
              <w:t>(0.2%)</w:t>
            </w:r>
          </w:p>
        </w:tc>
      </w:tr>
      <w:tr w:rsidR="00A05E22" w:rsidTr="00CE460C">
        <w:tc>
          <w:tcPr>
            <w:tcW w:w="2093" w:type="dxa"/>
            <w:gridSpan w:val="4"/>
          </w:tcPr>
          <w:p w:rsidR="00A05E22" w:rsidRPr="00404C5C" w:rsidRDefault="00A05E22" w:rsidP="007E0F69">
            <w:pPr>
              <w:rPr>
                <w:b/>
                <w:lang w:eastAsia="de-AT"/>
              </w:rPr>
            </w:pPr>
            <w:r w:rsidRPr="00404C5C">
              <w:rPr>
                <w:b/>
                <w:lang w:eastAsia="de-AT"/>
              </w:rPr>
              <w:t>Silver coinage in circulation</w:t>
            </w:r>
          </w:p>
        </w:tc>
        <w:tc>
          <w:tcPr>
            <w:tcW w:w="659" w:type="dxa"/>
          </w:tcPr>
          <w:p w:rsidR="00A05E22" w:rsidRDefault="00A05E22" w:rsidP="00CE460C">
            <w:pPr>
              <w:jc w:val="right"/>
              <w:rPr>
                <w:lang w:eastAsia="de-AT"/>
              </w:rPr>
            </w:pPr>
            <w:r>
              <w:rPr>
                <w:lang w:eastAsia="de-AT"/>
              </w:rPr>
              <w:t>0</w:t>
            </w:r>
          </w:p>
          <w:p w:rsidR="00A05E22" w:rsidRPr="007C6214" w:rsidRDefault="00A05E22" w:rsidP="007E0F69">
            <w:pPr>
              <w:rPr>
                <w:lang w:eastAsia="de-AT"/>
              </w:rPr>
            </w:pPr>
          </w:p>
        </w:tc>
        <w:tc>
          <w:tcPr>
            <w:tcW w:w="1176" w:type="dxa"/>
          </w:tcPr>
          <w:p w:rsidR="00A05E22" w:rsidRDefault="00A05E22" w:rsidP="00F80593">
            <w:pPr>
              <w:jc w:val="right"/>
              <w:rPr>
                <w:lang w:eastAsia="de-AT"/>
              </w:rPr>
            </w:pPr>
            <w:r>
              <w:rPr>
                <w:lang w:eastAsia="de-AT"/>
              </w:rPr>
              <w:t>2,400,000</w:t>
            </w:r>
          </w:p>
          <w:p w:rsidR="00A05E22" w:rsidRPr="007C6214" w:rsidRDefault="00A05E22" w:rsidP="00F80593">
            <w:pPr>
              <w:jc w:val="right"/>
              <w:rPr>
                <w:lang w:eastAsia="de-AT"/>
              </w:rPr>
            </w:pPr>
            <w:r>
              <w:rPr>
                <w:lang w:eastAsia="de-AT"/>
              </w:rPr>
              <w:t>(26.9%)</w:t>
            </w:r>
          </w:p>
        </w:tc>
        <w:tc>
          <w:tcPr>
            <w:tcW w:w="1176" w:type="dxa"/>
          </w:tcPr>
          <w:p w:rsidR="00A05E22" w:rsidRDefault="00A05E22" w:rsidP="00F80593">
            <w:pPr>
              <w:jc w:val="right"/>
              <w:rPr>
                <w:lang w:eastAsia="de-AT"/>
              </w:rPr>
            </w:pPr>
            <w:r>
              <w:rPr>
                <w:lang w:eastAsia="de-AT"/>
              </w:rPr>
              <w:t>548,148</w:t>
            </w:r>
          </w:p>
          <w:p w:rsidR="00A05E22" w:rsidRPr="007C6214" w:rsidRDefault="00A05E22" w:rsidP="00F80593">
            <w:pPr>
              <w:jc w:val="right"/>
              <w:rPr>
                <w:lang w:eastAsia="de-AT"/>
              </w:rPr>
            </w:pPr>
            <w:r>
              <w:rPr>
                <w:lang w:eastAsia="de-AT"/>
              </w:rPr>
              <w:t>(13.6%)</w:t>
            </w:r>
          </w:p>
        </w:tc>
        <w:tc>
          <w:tcPr>
            <w:tcW w:w="1100" w:type="dxa"/>
          </w:tcPr>
          <w:p w:rsidR="00A05E22" w:rsidRDefault="00A05E22" w:rsidP="00F80593">
            <w:pPr>
              <w:jc w:val="right"/>
              <w:rPr>
                <w:lang w:eastAsia="de-AT"/>
              </w:rPr>
            </w:pPr>
            <w:r>
              <w:rPr>
                <w:lang w:eastAsia="de-AT"/>
              </w:rPr>
              <w:t>15,000</w:t>
            </w:r>
          </w:p>
          <w:p w:rsidR="00A05E22" w:rsidRPr="007C6214" w:rsidRDefault="00A05E22" w:rsidP="00F80593">
            <w:pPr>
              <w:jc w:val="right"/>
              <w:rPr>
                <w:lang w:eastAsia="de-AT"/>
              </w:rPr>
            </w:pPr>
            <w:r>
              <w:rPr>
                <w:lang w:eastAsia="de-AT"/>
              </w:rPr>
              <w:t>(8.5%)</w:t>
            </w:r>
          </w:p>
        </w:tc>
        <w:tc>
          <w:tcPr>
            <w:tcW w:w="938" w:type="dxa"/>
          </w:tcPr>
          <w:p w:rsidR="00A05E22" w:rsidRDefault="00A05E22" w:rsidP="00F80593">
            <w:pPr>
              <w:jc w:val="right"/>
              <w:rPr>
                <w:lang w:eastAsia="de-AT"/>
              </w:rPr>
            </w:pPr>
            <w:r>
              <w:rPr>
                <w:lang w:eastAsia="de-AT"/>
              </w:rPr>
              <w:t>8,676</w:t>
            </w:r>
          </w:p>
          <w:p w:rsidR="00A05E22" w:rsidRPr="00FB01D8" w:rsidRDefault="00A05E22" w:rsidP="00F80593">
            <w:pPr>
              <w:jc w:val="right"/>
              <w:rPr>
                <w:lang w:eastAsia="de-AT"/>
              </w:rPr>
            </w:pPr>
            <w:r w:rsidRPr="00FB01D8">
              <w:rPr>
                <w:lang w:eastAsia="de-AT"/>
              </w:rPr>
              <w:t>(39.8%)</w:t>
            </w:r>
          </w:p>
        </w:tc>
        <w:tc>
          <w:tcPr>
            <w:tcW w:w="1021" w:type="dxa"/>
          </w:tcPr>
          <w:p w:rsidR="00A05E22" w:rsidRDefault="00A05E22" w:rsidP="00F80593">
            <w:pPr>
              <w:jc w:val="right"/>
              <w:rPr>
                <w:lang w:eastAsia="de-AT"/>
              </w:rPr>
            </w:pPr>
            <w:r>
              <w:rPr>
                <w:lang w:eastAsia="de-AT"/>
              </w:rPr>
              <w:t>5,000</w:t>
            </w:r>
          </w:p>
          <w:p w:rsidR="00A05E22" w:rsidRPr="007C6214" w:rsidRDefault="00A05E22" w:rsidP="00F80593">
            <w:pPr>
              <w:jc w:val="right"/>
              <w:rPr>
                <w:lang w:eastAsia="de-AT"/>
              </w:rPr>
            </w:pPr>
            <w:r>
              <w:rPr>
                <w:lang w:eastAsia="de-AT"/>
              </w:rPr>
              <w:t>(3.7%)</w:t>
            </w:r>
          </w:p>
        </w:tc>
        <w:tc>
          <w:tcPr>
            <w:tcW w:w="1021" w:type="dxa"/>
          </w:tcPr>
          <w:p w:rsidR="00A05E22" w:rsidRDefault="00A05E22" w:rsidP="00F80593">
            <w:pPr>
              <w:jc w:val="right"/>
              <w:rPr>
                <w:lang w:eastAsia="de-AT"/>
              </w:rPr>
            </w:pPr>
            <w:r>
              <w:rPr>
                <w:lang w:eastAsia="de-AT"/>
              </w:rPr>
              <w:t>962</w:t>
            </w:r>
          </w:p>
          <w:p w:rsidR="00A05E22" w:rsidRPr="007C6214" w:rsidRDefault="00A05E22" w:rsidP="00F80593">
            <w:pPr>
              <w:jc w:val="right"/>
              <w:rPr>
                <w:lang w:eastAsia="de-AT"/>
              </w:rPr>
            </w:pPr>
            <w:r>
              <w:rPr>
                <w:lang w:eastAsia="de-AT"/>
              </w:rPr>
              <w:t>(6.1%)</w:t>
            </w:r>
          </w:p>
        </w:tc>
      </w:tr>
      <w:tr w:rsidR="00A05E22" w:rsidTr="00FB01D8">
        <w:tc>
          <w:tcPr>
            <w:tcW w:w="1668" w:type="dxa"/>
            <w:gridSpan w:val="3"/>
          </w:tcPr>
          <w:p w:rsidR="00A05E22" w:rsidRPr="007C6214" w:rsidRDefault="00A05E22" w:rsidP="002A4349">
            <w:pPr>
              <w:rPr>
                <w:lang w:eastAsia="de-AT"/>
              </w:rPr>
            </w:pPr>
            <w:r w:rsidRPr="00404C5C">
              <w:rPr>
                <w:b/>
                <w:lang w:eastAsia="de-AT"/>
              </w:rPr>
              <w:t>Divisionary silver coinage</w:t>
            </w:r>
          </w:p>
        </w:tc>
        <w:tc>
          <w:tcPr>
            <w:tcW w:w="1084" w:type="dxa"/>
            <w:gridSpan w:val="2"/>
          </w:tcPr>
          <w:p w:rsidR="00A05E22" w:rsidRDefault="00A05E22" w:rsidP="00F80593">
            <w:pPr>
              <w:jc w:val="right"/>
              <w:rPr>
                <w:lang w:eastAsia="de-AT"/>
              </w:rPr>
            </w:pPr>
            <w:r>
              <w:rPr>
                <w:lang w:eastAsia="de-AT"/>
              </w:rPr>
              <w:t>544,752</w:t>
            </w:r>
          </w:p>
          <w:p w:rsidR="00A05E22" w:rsidRPr="007C6214" w:rsidRDefault="00A05E22" w:rsidP="00F80593">
            <w:pPr>
              <w:jc w:val="right"/>
              <w:rPr>
                <w:lang w:eastAsia="de-AT"/>
              </w:rPr>
            </w:pPr>
            <w:r>
              <w:rPr>
                <w:lang w:eastAsia="de-AT"/>
              </w:rPr>
              <w:t>(14.8%)</w:t>
            </w:r>
          </w:p>
        </w:tc>
        <w:tc>
          <w:tcPr>
            <w:tcW w:w="1176" w:type="dxa"/>
          </w:tcPr>
          <w:p w:rsidR="00A05E22" w:rsidRDefault="00A05E22" w:rsidP="00F80593">
            <w:pPr>
              <w:jc w:val="right"/>
              <w:rPr>
                <w:lang w:eastAsia="de-AT"/>
              </w:rPr>
            </w:pPr>
            <w:r>
              <w:rPr>
                <w:lang w:eastAsia="de-AT"/>
              </w:rPr>
              <w:t>250,000</w:t>
            </w:r>
          </w:p>
          <w:p w:rsidR="00A05E22" w:rsidRPr="007C6214" w:rsidRDefault="00A05E22" w:rsidP="00F80593">
            <w:pPr>
              <w:jc w:val="right"/>
              <w:rPr>
                <w:lang w:eastAsia="de-AT"/>
              </w:rPr>
            </w:pPr>
            <w:r>
              <w:rPr>
                <w:lang w:eastAsia="de-AT"/>
              </w:rPr>
              <w:t>(2.8%)</w:t>
            </w:r>
          </w:p>
        </w:tc>
        <w:tc>
          <w:tcPr>
            <w:tcW w:w="1176" w:type="dxa"/>
          </w:tcPr>
          <w:p w:rsidR="00A05E22" w:rsidRDefault="00A05E22" w:rsidP="00F80593">
            <w:pPr>
              <w:jc w:val="right"/>
              <w:rPr>
                <w:lang w:eastAsia="de-AT"/>
              </w:rPr>
            </w:pPr>
            <w:r>
              <w:rPr>
                <w:lang w:eastAsia="de-AT"/>
              </w:rPr>
              <w:t>55,556</w:t>
            </w:r>
          </w:p>
          <w:p w:rsidR="00A05E22" w:rsidRPr="007C6214" w:rsidRDefault="00A05E22" w:rsidP="00F80593">
            <w:pPr>
              <w:jc w:val="right"/>
              <w:rPr>
                <w:lang w:eastAsia="de-AT"/>
              </w:rPr>
            </w:pPr>
            <w:r>
              <w:rPr>
                <w:lang w:eastAsia="de-AT"/>
              </w:rPr>
              <w:t>(1.4%)</w:t>
            </w:r>
          </w:p>
        </w:tc>
        <w:tc>
          <w:tcPr>
            <w:tcW w:w="1100" w:type="dxa"/>
          </w:tcPr>
          <w:p w:rsidR="00A05E22" w:rsidRDefault="00A05E22" w:rsidP="00F80593">
            <w:pPr>
              <w:jc w:val="right"/>
              <w:rPr>
                <w:lang w:eastAsia="de-AT"/>
              </w:rPr>
            </w:pPr>
            <w:r>
              <w:rPr>
                <w:lang w:eastAsia="de-AT"/>
              </w:rPr>
              <w:t>30,000</w:t>
            </w:r>
          </w:p>
          <w:p w:rsidR="00A05E22" w:rsidRPr="007C6214" w:rsidRDefault="00A05E22" w:rsidP="00F80593">
            <w:pPr>
              <w:jc w:val="right"/>
              <w:rPr>
                <w:lang w:eastAsia="de-AT"/>
              </w:rPr>
            </w:pPr>
            <w:r>
              <w:rPr>
                <w:lang w:eastAsia="de-AT"/>
              </w:rPr>
              <w:t>(17.0%)</w:t>
            </w:r>
          </w:p>
        </w:tc>
        <w:tc>
          <w:tcPr>
            <w:tcW w:w="938" w:type="dxa"/>
          </w:tcPr>
          <w:p w:rsidR="00A05E22" w:rsidRDefault="00A05E22" w:rsidP="00F80593">
            <w:pPr>
              <w:jc w:val="right"/>
              <w:rPr>
                <w:lang w:eastAsia="de-AT"/>
              </w:rPr>
            </w:pPr>
            <w:r>
              <w:rPr>
                <w:lang w:eastAsia="de-AT"/>
              </w:rPr>
              <w:t>10,000</w:t>
            </w:r>
          </w:p>
          <w:p w:rsidR="00A05E22" w:rsidRPr="00FB01D8" w:rsidRDefault="00A05E22" w:rsidP="00F80593">
            <w:pPr>
              <w:jc w:val="right"/>
              <w:rPr>
                <w:lang w:eastAsia="de-AT"/>
              </w:rPr>
            </w:pPr>
            <w:r w:rsidRPr="00FB01D8">
              <w:rPr>
                <w:lang w:eastAsia="de-AT"/>
              </w:rPr>
              <w:t>(45.9%)</w:t>
            </w:r>
          </w:p>
        </w:tc>
        <w:tc>
          <w:tcPr>
            <w:tcW w:w="1021" w:type="dxa"/>
          </w:tcPr>
          <w:p w:rsidR="00A05E22" w:rsidRDefault="00A05E22" w:rsidP="00F80593">
            <w:pPr>
              <w:jc w:val="right"/>
              <w:rPr>
                <w:lang w:eastAsia="de-AT"/>
              </w:rPr>
            </w:pPr>
            <w:r>
              <w:rPr>
                <w:lang w:eastAsia="de-AT"/>
              </w:rPr>
              <w:t>11,000</w:t>
            </w:r>
          </w:p>
          <w:p w:rsidR="00A05E22" w:rsidRPr="007C6214" w:rsidRDefault="00A05E22" w:rsidP="00F80593">
            <w:pPr>
              <w:jc w:val="right"/>
              <w:rPr>
                <w:lang w:eastAsia="de-AT"/>
              </w:rPr>
            </w:pPr>
            <w:r>
              <w:rPr>
                <w:lang w:eastAsia="de-AT"/>
              </w:rPr>
              <w:t>(8.2%)</w:t>
            </w:r>
          </w:p>
        </w:tc>
        <w:tc>
          <w:tcPr>
            <w:tcW w:w="1021" w:type="dxa"/>
          </w:tcPr>
          <w:p w:rsidR="00A05E22" w:rsidRDefault="00A05E22" w:rsidP="00F80593">
            <w:pPr>
              <w:jc w:val="right"/>
              <w:rPr>
                <w:lang w:eastAsia="de-AT"/>
              </w:rPr>
            </w:pPr>
            <w:r>
              <w:rPr>
                <w:lang w:eastAsia="de-AT"/>
              </w:rPr>
              <w:t>9,500</w:t>
            </w:r>
          </w:p>
          <w:p w:rsidR="00A05E22" w:rsidRPr="007C6214" w:rsidRDefault="00A05E22" w:rsidP="00F80593">
            <w:pPr>
              <w:jc w:val="right"/>
              <w:rPr>
                <w:lang w:eastAsia="de-AT"/>
              </w:rPr>
            </w:pPr>
            <w:r>
              <w:rPr>
                <w:lang w:eastAsia="de-AT"/>
              </w:rPr>
              <w:t>(60.3%)</w:t>
            </w:r>
          </w:p>
        </w:tc>
      </w:tr>
      <w:tr w:rsidR="00A05E22" w:rsidTr="00FB01D8">
        <w:tc>
          <w:tcPr>
            <w:tcW w:w="9184" w:type="dxa"/>
            <w:gridSpan w:val="11"/>
          </w:tcPr>
          <w:p w:rsidR="00A05E22" w:rsidRPr="00E8465B" w:rsidRDefault="00A05E22" w:rsidP="00E8465B">
            <w:pPr>
              <w:rPr>
                <w:b/>
                <w:i/>
                <w:lang w:eastAsia="de-AT"/>
              </w:rPr>
            </w:pPr>
            <w:r>
              <w:rPr>
                <w:lang w:eastAsia="de-AT"/>
              </w:rPr>
              <w:t xml:space="preserve">     </w:t>
            </w:r>
            <w:r>
              <w:rPr>
                <w:b/>
                <w:i/>
                <w:lang w:eastAsia="de-AT"/>
              </w:rPr>
              <w:t>Other</w:t>
            </w:r>
          </w:p>
        </w:tc>
      </w:tr>
      <w:tr w:rsidR="00A05E22" w:rsidTr="00FB01D8">
        <w:tc>
          <w:tcPr>
            <w:tcW w:w="1576" w:type="dxa"/>
            <w:gridSpan w:val="2"/>
          </w:tcPr>
          <w:p w:rsidR="00A05E22" w:rsidRPr="00404C5C" w:rsidRDefault="00A05E22" w:rsidP="00ED7809">
            <w:pPr>
              <w:rPr>
                <w:b/>
                <w:lang w:eastAsia="de-AT"/>
              </w:rPr>
            </w:pPr>
            <w:r>
              <w:rPr>
                <w:b/>
                <w:lang w:eastAsia="de-AT"/>
              </w:rPr>
              <w:t>Copper</w:t>
            </w:r>
          </w:p>
        </w:tc>
        <w:tc>
          <w:tcPr>
            <w:tcW w:w="1176" w:type="dxa"/>
            <w:gridSpan w:val="3"/>
          </w:tcPr>
          <w:p w:rsidR="00A05E22" w:rsidRDefault="00A05E22" w:rsidP="00F80593">
            <w:pPr>
              <w:jc w:val="right"/>
              <w:rPr>
                <w:lang w:eastAsia="de-AT"/>
              </w:rPr>
            </w:pPr>
            <w:r>
              <w:rPr>
                <w:lang w:eastAsia="de-AT"/>
              </w:rPr>
              <w:t>40,352</w:t>
            </w:r>
          </w:p>
          <w:p w:rsidR="00A05E22" w:rsidRPr="007C6214" w:rsidRDefault="00A05E22" w:rsidP="00F80593">
            <w:pPr>
              <w:jc w:val="right"/>
              <w:rPr>
                <w:lang w:eastAsia="de-AT"/>
              </w:rPr>
            </w:pPr>
            <w:r>
              <w:rPr>
                <w:lang w:eastAsia="de-AT"/>
              </w:rPr>
              <w:t>(1.1%)</w:t>
            </w:r>
          </w:p>
        </w:tc>
        <w:tc>
          <w:tcPr>
            <w:tcW w:w="1176" w:type="dxa"/>
          </w:tcPr>
          <w:p w:rsidR="00A05E22" w:rsidRPr="007C6214" w:rsidRDefault="00A05E22" w:rsidP="00F80593">
            <w:pPr>
              <w:jc w:val="right"/>
              <w:rPr>
                <w:lang w:eastAsia="de-AT"/>
              </w:rPr>
            </w:pPr>
            <w:r>
              <w:rPr>
                <w:lang w:eastAsia="de-AT"/>
              </w:rPr>
              <w:t>60,000 (0.7%)</w:t>
            </w:r>
          </w:p>
        </w:tc>
        <w:tc>
          <w:tcPr>
            <w:tcW w:w="1176" w:type="dxa"/>
          </w:tcPr>
          <w:p w:rsidR="00A05E22" w:rsidRDefault="00A05E22" w:rsidP="00F80593">
            <w:pPr>
              <w:jc w:val="right"/>
              <w:rPr>
                <w:lang w:eastAsia="de-AT"/>
              </w:rPr>
            </w:pPr>
            <w:r>
              <w:rPr>
                <w:lang w:eastAsia="de-AT"/>
              </w:rPr>
              <w:t>174,074</w:t>
            </w:r>
          </w:p>
          <w:p w:rsidR="00A05E22" w:rsidRPr="007C6214" w:rsidRDefault="00A05E22" w:rsidP="00F80593">
            <w:pPr>
              <w:jc w:val="right"/>
              <w:rPr>
                <w:lang w:eastAsia="de-AT"/>
              </w:rPr>
            </w:pPr>
            <w:r>
              <w:rPr>
                <w:lang w:eastAsia="de-AT"/>
              </w:rPr>
              <w:t>(4.3%)</w:t>
            </w:r>
          </w:p>
        </w:tc>
        <w:tc>
          <w:tcPr>
            <w:tcW w:w="1100" w:type="dxa"/>
          </w:tcPr>
          <w:p w:rsidR="00A05E22" w:rsidRDefault="00A05E22" w:rsidP="00F80593">
            <w:pPr>
              <w:jc w:val="right"/>
              <w:rPr>
                <w:lang w:eastAsia="de-AT"/>
              </w:rPr>
            </w:pPr>
            <w:r>
              <w:rPr>
                <w:lang w:eastAsia="de-AT"/>
              </w:rPr>
              <w:t>6,000</w:t>
            </w:r>
          </w:p>
          <w:p w:rsidR="00A05E22" w:rsidRPr="007C6214" w:rsidRDefault="00A05E22" w:rsidP="00F80593">
            <w:pPr>
              <w:jc w:val="right"/>
              <w:rPr>
                <w:lang w:eastAsia="de-AT"/>
              </w:rPr>
            </w:pPr>
            <w:r>
              <w:rPr>
                <w:lang w:eastAsia="de-AT"/>
              </w:rPr>
              <w:t>(3.4%)</w:t>
            </w:r>
          </w:p>
        </w:tc>
        <w:tc>
          <w:tcPr>
            <w:tcW w:w="938" w:type="dxa"/>
          </w:tcPr>
          <w:p w:rsidR="00A05E22" w:rsidRDefault="00A05E22" w:rsidP="00F80593">
            <w:pPr>
              <w:jc w:val="right"/>
              <w:rPr>
                <w:lang w:eastAsia="de-AT"/>
              </w:rPr>
            </w:pPr>
            <w:r>
              <w:rPr>
                <w:lang w:eastAsia="de-AT"/>
              </w:rPr>
              <w:t>2,100</w:t>
            </w:r>
          </w:p>
          <w:p w:rsidR="00A05E22" w:rsidRPr="007C6214" w:rsidRDefault="00A05E22" w:rsidP="00F80593">
            <w:pPr>
              <w:jc w:val="right"/>
              <w:rPr>
                <w:lang w:eastAsia="de-AT"/>
              </w:rPr>
            </w:pPr>
            <w:r>
              <w:rPr>
                <w:lang w:eastAsia="de-AT"/>
              </w:rPr>
              <w:t>(9.6%)</w:t>
            </w:r>
          </w:p>
        </w:tc>
        <w:tc>
          <w:tcPr>
            <w:tcW w:w="1021" w:type="dxa"/>
          </w:tcPr>
          <w:p w:rsidR="00A05E22" w:rsidRDefault="00A05E22" w:rsidP="00F80593">
            <w:pPr>
              <w:jc w:val="right"/>
              <w:rPr>
                <w:lang w:eastAsia="de-AT"/>
              </w:rPr>
            </w:pPr>
            <w:r>
              <w:rPr>
                <w:lang w:eastAsia="de-AT"/>
              </w:rPr>
              <w:t>4,500</w:t>
            </w:r>
          </w:p>
          <w:p w:rsidR="00A05E22" w:rsidRPr="007C6214" w:rsidRDefault="00A05E22" w:rsidP="00F80593">
            <w:pPr>
              <w:jc w:val="right"/>
              <w:rPr>
                <w:lang w:eastAsia="de-AT"/>
              </w:rPr>
            </w:pPr>
            <w:r>
              <w:rPr>
                <w:lang w:eastAsia="de-AT"/>
              </w:rPr>
              <w:t>(3.4%)</w:t>
            </w:r>
          </w:p>
        </w:tc>
        <w:tc>
          <w:tcPr>
            <w:tcW w:w="1021" w:type="dxa"/>
          </w:tcPr>
          <w:p w:rsidR="00A05E22" w:rsidRDefault="00A05E22" w:rsidP="00F80593">
            <w:pPr>
              <w:jc w:val="right"/>
              <w:rPr>
                <w:lang w:eastAsia="de-AT"/>
              </w:rPr>
            </w:pPr>
            <w:r>
              <w:rPr>
                <w:lang w:eastAsia="de-AT"/>
              </w:rPr>
              <w:t>1,800</w:t>
            </w:r>
          </w:p>
          <w:p w:rsidR="00A05E22" w:rsidRPr="007C6214" w:rsidRDefault="00A05E22" w:rsidP="00F80593">
            <w:pPr>
              <w:jc w:val="right"/>
              <w:rPr>
                <w:lang w:eastAsia="de-AT"/>
              </w:rPr>
            </w:pPr>
            <w:r>
              <w:rPr>
                <w:lang w:eastAsia="de-AT"/>
              </w:rPr>
              <w:t>(11.4%)</w:t>
            </w:r>
          </w:p>
        </w:tc>
      </w:tr>
      <w:tr w:rsidR="00A05E22" w:rsidTr="00FB01D8">
        <w:tc>
          <w:tcPr>
            <w:tcW w:w="1576" w:type="dxa"/>
            <w:gridSpan w:val="2"/>
          </w:tcPr>
          <w:p w:rsidR="00A05E22" w:rsidRPr="00404C5C" w:rsidRDefault="00A05E22" w:rsidP="007C6214">
            <w:pPr>
              <w:rPr>
                <w:b/>
                <w:lang w:eastAsia="de-AT"/>
              </w:rPr>
            </w:pPr>
            <w:r w:rsidRPr="00404C5C">
              <w:rPr>
                <w:b/>
                <w:lang w:eastAsia="de-AT"/>
              </w:rPr>
              <w:t>Uncovered bank notes</w:t>
            </w:r>
          </w:p>
        </w:tc>
        <w:tc>
          <w:tcPr>
            <w:tcW w:w="1176" w:type="dxa"/>
            <w:gridSpan w:val="3"/>
          </w:tcPr>
          <w:p w:rsidR="00A05E22" w:rsidRDefault="00A05E22" w:rsidP="00F80593">
            <w:pPr>
              <w:jc w:val="right"/>
              <w:rPr>
                <w:lang w:eastAsia="de-AT"/>
              </w:rPr>
            </w:pPr>
            <w:r>
              <w:rPr>
                <w:lang w:eastAsia="de-AT"/>
              </w:rPr>
              <w:t>302,640</w:t>
            </w:r>
          </w:p>
          <w:p w:rsidR="00A05E22" w:rsidRPr="007C6214" w:rsidRDefault="00A05E22" w:rsidP="00F80593">
            <w:pPr>
              <w:jc w:val="right"/>
              <w:rPr>
                <w:lang w:eastAsia="de-AT"/>
              </w:rPr>
            </w:pPr>
            <w:r>
              <w:rPr>
                <w:lang w:eastAsia="de-AT"/>
              </w:rPr>
              <w:t>(8.2%)</w:t>
            </w:r>
          </w:p>
        </w:tc>
        <w:tc>
          <w:tcPr>
            <w:tcW w:w="1176" w:type="dxa"/>
          </w:tcPr>
          <w:p w:rsidR="00A05E22" w:rsidRDefault="00A05E22" w:rsidP="00F80593">
            <w:pPr>
              <w:jc w:val="right"/>
              <w:rPr>
                <w:lang w:eastAsia="de-AT"/>
              </w:rPr>
            </w:pPr>
            <w:r>
              <w:rPr>
                <w:lang w:eastAsia="de-AT"/>
              </w:rPr>
              <w:t>675,000</w:t>
            </w:r>
          </w:p>
          <w:p w:rsidR="00A05E22" w:rsidRPr="007C6214" w:rsidRDefault="00A05E22" w:rsidP="00F80593">
            <w:pPr>
              <w:jc w:val="right"/>
              <w:rPr>
                <w:lang w:eastAsia="de-AT"/>
              </w:rPr>
            </w:pPr>
            <w:r>
              <w:rPr>
                <w:lang w:eastAsia="de-AT"/>
              </w:rPr>
              <w:t>(7.6%)</w:t>
            </w:r>
          </w:p>
        </w:tc>
        <w:tc>
          <w:tcPr>
            <w:tcW w:w="1176" w:type="dxa"/>
          </w:tcPr>
          <w:p w:rsidR="00A05E22" w:rsidRDefault="00A05E22" w:rsidP="00F80593">
            <w:pPr>
              <w:jc w:val="right"/>
              <w:rPr>
                <w:lang w:eastAsia="de-AT"/>
              </w:rPr>
            </w:pPr>
            <w:r>
              <w:rPr>
                <w:lang w:eastAsia="de-AT"/>
              </w:rPr>
              <w:t>444,444</w:t>
            </w:r>
          </w:p>
          <w:p w:rsidR="00A05E22" w:rsidRPr="007C6214" w:rsidRDefault="00A05E22" w:rsidP="00F80593">
            <w:pPr>
              <w:jc w:val="right"/>
              <w:rPr>
                <w:lang w:eastAsia="de-AT"/>
              </w:rPr>
            </w:pPr>
            <w:r>
              <w:rPr>
                <w:lang w:eastAsia="de-AT"/>
              </w:rPr>
              <w:t>(11.0%)</w:t>
            </w:r>
          </w:p>
        </w:tc>
        <w:tc>
          <w:tcPr>
            <w:tcW w:w="1100" w:type="dxa"/>
          </w:tcPr>
          <w:p w:rsidR="00A05E22" w:rsidRDefault="00A05E22" w:rsidP="00F80593">
            <w:pPr>
              <w:jc w:val="right"/>
              <w:rPr>
                <w:lang w:eastAsia="de-AT"/>
              </w:rPr>
            </w:pPr>
            <w:r>
              <w:rPr>
                <w:lang w:eastAsia="de-AT"/>
              </w:rPr>
              <w:t>78,000</w:t>
            </w:r>
          </w:p>
          <w:p w:rsidR="00A05E22" w:rsidRPr="007C6214" w:rsidRDefault="00A05E22" w:rsidP="00F80593">
            <w:pPr>
              <w:jc w:val="right"/>
              <w:rPr>
                <w:lang w:eastAsia="de-AT"/>
              </w:rPr>
            </w:pPr>
            <w:r>
              <w:rPr>
                <w:lang w:eastAsia="de-AT"/>
              </w:rPr>
              <w:t>(44.3%)</w:t>
            </w:r>
          </w:p>
        </w:tc>
        <w:tc>
          <w:tcPr>
            <w:tcW w:w="938" w:type="dxa"/>
          </w:tcPr>
          <w:p w:rsidR="00A05E22" w:rsidRDefault="00A05E22" w:rsidP="00F80593">
            <w:pPr>
              <w:jc w:val="right"/>
              <w:rPr>
                <w:lang w:eastAsia="de-AT"/>
              </w:rPr>
            </w:pPr>
            <w:r>
              <w:rPr>
                <w:lang w:eastAsia="de-AT"/>
              </w:rPr>
              <w:t>0</w:t>
            </w:r>
          </w:p>
          <w:p w:rsidR="00A05E22" w:rsidRPr="007C6214" w:rsidRDefault="00A05E22" w:rsidP="00F80593">
            <w:pPr>
              <w:jc w:val="right"/>
              <w:rPr>
                <w:lang w:eastAsia="de-AT"/>
              </w:rPr>
            </w:pPr>
          </w:p>
        </w:tc>
        <w:tc>
          <w:tcPr>
            <w:tcW w:w="1021" w:type="dxa"/>
          </w:tcPr>
          <w:p w:rsidR="00A05E22" w:rsidRDefault="00A05E22" w:rsidP="00F80593">
            <w:pPr>
              <w:jc w:val="right"/>
              <w:rPr>
                <w:lang w:eastAsia="de-AT"/>
              </w:rPr>
            </w:pPr>
            <w:r>
              <w:rPr>
                <w:lang w:eastAsia="de-AT"/>
              </w:rPr>
              <w:t>88,963</w:t>
            </w:r>
          </w:p>
          <w:p w:rsidR="00A05E22" w:rsidRPr="007C6214" w:rsidRDefault="00A05E22" w:rsidP="00F80593">
            <w:pPr>
              <w:jc w:val="right"/>
              <w:rPr>
                <w:lang w:eastAsia="de-AT"/>
              </w:rPr>
            </w:pPr>
            <w:r>
              <w:rPr>
                <w:lang w:eastAsia="de-AT"/>
              </w:rPr>
              <w:t>(66.5%)</w:t>
            </w:r>
          </w:p>
        </w:tc>
        <w:tc>
          <w:tcPr>
            <w:tcW w:w="1021" w:type="dxa"/>
          </w:tcPr>
          <w:p w:rsidR="00A05E22" w:rsidRDefault="00A05E22" w:rsidP="00F80593">
            <w:pPr>
              <w:jc w:val="right"/>
              <w:rPr>
                <w:lang w:eastAsia="de-AT"/>
              </w:rPr>
            </w:pPr>
            <w:r>
              <w:rPr>
                <w:lang w:eastAsia="de-AT"/>
              </w:rPr>
              <w:t>2,253</w:t>
            </w:r>
          </w:p>
          <w:p w:rsidR="00A05E22" w:rsidRPr="007C6214" w:rsidRDefault="00A05E22" w:rsidP="00F80593">
            <w:pPr>
              <w:jc w:val="right"/>
              <w:rPr>
                <w:lang w:eastAsia="de-AT"/>
              </w:rPr>
            </w:pPr>
            <w:r>
              <w:rPr>
                <w:lang w:eastAsia="de-AT"/>
              </w:rPr>
              <w:t>(14.3%)</w:t>
            </w:r>
          </w:p>
        </w:tc>
      </w:tr>
      <w:tr w:rsidR="00A05E22" w:rsidTr="00FB01D8">
        <w:tc>
          <w:tcPr>
            <w:tcW w:w="1576" w:type="dxa"/>
            <w:gridSpan w:val="2"/>
          </w:tcPr>
          <w:p w:rsidR="00A05E22" w:rsidRDefault="00A05E22" w:rsidP="007C6214">
            <w:pPr>
              <w:rPr>
                <w:lang w:eastAsia="de-AT"/>
              </w:rPr>
            </w:pPr>
          </w:p>
        </w:tc>
        <w:tc>
          <w:tcPr>
            <w:tcW w:w="1176" w:type="dxa"/>
            <w:gridSpan w:val="3"/>
          </w:tcPr>
          <w:p w:rsidR="00A05E22" w:rsidRDefault="00A05E22" w:rsidP="00F80593">
            <w:pPr>
              <w:jc w:val="right"/>
              <w:rPr>
                <w:lang w:eastAsia="de-AT"/>
              </w:rPr>
            </w:pPr>
          </w:p>
        </w:tc>
        <w:tc>
          <w:tcPr>
            <w:tcW w:w="1176" w:type="dxa"/>
          </w:tcPr>
          <w:p w:rsidR="00A05E22" w:rsidRDefault="00A05E22" w:rsidP="00F80593">
            <w:pPr>
              <w:jc w:val="right"/>
              <w:rPr>
                <w:lang w:eastAsia="de-AT"/>
              </w:rPr>
            </w:pPr>
          </w:p>
        </w:tc>
        <w:tc>
          <w:tcPr>
            <w:tcW w:w="1176" w:type="dxa"/>
          </w:tcPr>
          <w:p w:rsidR="00A05E22" w:rsidRDefault="00A05E22" w:rsidP="00F80593">
            <w:pPr>
              <w:jc w:val="right"/>
              <w:rPr>
                <w:lang w:eastAsia="de-AT"/>
              </w:rPr>
            </w:pPr>
          </w:p>
        </w:tc>
        <w:tc>
          <w:tcPr>
            <w:tcW w:w="1100" w:type="dxa"/>
          </w:tcPr>
          <w:p w:rsidR="00A05E22" w:rsidRDefault="00A05E22" w:rsidP="00F80593">
            <w:pPr>
              <w:jc w:val="right"/>
              <w:rPr>
                <w:lang w:eastAsia="de-AT"/>
              </w:rPr>
            </w:pPr>
          </w:p>
        </w:tc>
        <w:tc>
          <w:tcPr>
            <w:tcW w:w="938" w:type="dxa"/>
          </w:tcPr>
          <w:p w:rsidR="00A05E22" w:rsidRDefault="00A05E22" w:rsidP="00F80593">
            <w:pPr>
              <w:jc w:val="right"/>
              <w:rPr>
                <w:lang w:eastAsia="de-AT"/>
              </w:rPr>
            </w:pPr>
          </w:p>
        </w:tc>
        <w:tc>
          <w:tcPr>
            <w:tcW w:w="1021" w:type="dxa"/>
          </w:tcPr>
          <w:p w:rsidR="00A05E22" w:rsidRDefault="00A05E22" w:rsidP="00F80593">
            <w:pPr>
              <w:jc w:val="right"/>
              <w:rPr>
                <w:lang w:eastAsia="de-AT"/>
              </w:rPr>
            </w:pPr>
          </w:p>
        </w:tc>
        <w:tc>
          <w:tcPr>
            <w:tcW w:w="1021" w:type="dxa"/>
          </w:tcPr>
          <w:p w:rsidR="00A05E22" w:rsidRDefault="00A05E22" w:rsidP="00F80593">
            <w:pPr>
              <w:jc w:val="right"/>
              <w:rPr>
                <w:lang w:eastAsia="de-AT"/>
              </w:rPr>
            </w:pPr>
          </w:p>
        </w:tc>
      </w:tr>
      <w:tr w:rsidR="00A05E22" w:rsidTr="00FB01D8">
        <w:tc>
          <w:tcPr>
            <w:tcW w:w="1576" w:type="dxa"/>
            <w:gridSpan w:val="2"/>
          </w:tcPr>
          <w:p w:rsidR="00A05E22" w:rsidRPr="00404C5C" w:rsidRDefault="00A05E22" w:rsidP="007C6214">
            <w:pPr>
              <w:rPr>
                <w:b/>
                <w:lang w:eastAsia="de-AT"/>
              </w:rPr>
            </w:pPr>
            <w:r>
              <w:rPr>
                <w:lang w:eastAsia="de-AT"/>
              </w:rPr>
              <w:t xml:space="preserve">   </w:t>
            </w:r>
            <w:r w:rsidRPr="00404C5C">
              <w:rPr>
                <w:b/>
                <w:lang w:eastAsia="de-AT"/>
              </w:rPr>
              <w:t>Sum</w:t>
            </w:r>
          </w:p>
        </w:tc>
        <w:tc>
          <w:tcPr>
            <w:tcW w:w="1176" w:type="dxa"/>
            <w:gridSpan w:val="3"/>
          </w:tcPr>
          <w:p w:rsidR="00A05E22" w:rsidRPr="007C6214" w:rsidRDefault="00A05E22" w:rsidP="00F80593">
            <w:pPr>
              <w:jc w:val="right"/>
              <w:rPr>
                <w:lang w:eastAsia="de-AT"/>
              </w:rPr>
            </w:pPr>
            <w:r>
              <w:rPr>
                <w:lang w:eastAsia="de-AT"/>
              </w:rPr>
              <w:t>3,687,164</w:t>
            </w:r>
          </w:p>
        </w:tc>
        <w:tc>
          <w:tcPr>
            <w:tcW w:w="1176" w:type="dxa"/>
          </w:tcPr>
          <w:p w:rsidR="00A05E22" w:rsidRPr="007C6214" w:rsidRDefault="00A05E22" w:rsidP="00F80593">
            <w:pPr>
              <w:jc w:val="right"/>
              <w:rPr>
                <w:lang w:eastAsia="de-AT"/>
              </w:rPr>
            </w:pPr>
            <w:r>
              <w:rPr>
                <w:lang w:eastAsia="de-AT"/>
              </w:rPr>
              <w:t>8,928,000</w:t>
            </w:r>
          </w:p>
        </w:tc>
        <w:tc>
          <w:tcPr>
            <w:tcW w:w="1176" w:type="dxa"/>
          </w:tcPr>
          <w:p w:rsidR="00A05E22" w:rsidRPr="007C6214" w:rsidRDefault="00A05E22" w:rsidP="00F80593">
            <w:pPr>
              <w:jc w:val="right"/>
              <w:rPr>
                <w:lang w:eastAsia="de-AT"/>
              </w:rPr>
            </w:pPr>
            <w:r>
              <w:rPr>
                <w:lang w:eastAsia="de-AT"/>
              </w:rPr>
              <w:t>4,037,037</w:t>
            </w:r>
          </w:p>
        </w:tc>
        <w:tc>
          <w:tcPr>
            <w:tcW w:w="1100" w:type="dxa"/>
          </w:tcPr>
          <w:p w:rsidR="00A05E22" w:rsidRPr="007C6214" w:rsidRDefault="00A05E22" w:rsidP="00F80593">
            <w:pPr>
              <w:jc w:val="right"/>
              <w:rPr>
                <w:lang w:eastAsia="de-AT"/>
              </w:rPr>
            </w:pPr>
            <w:r>
              <w:rPr>
                <w:lang w:eastAsia="de-AT"/>
              </w:rPr>
              <w:t>176,000</w:t>
            </w:r>
          </w:p>
        </w:tc>
        <w:tc>
          <w:tcPr>
            <w:tcW w:w="938" w:type="dxa"/>
          </w:tcPr>
          <w:p w:rsidR="00A05E22" w:rsidRPr="007C6214" w:rsidRDefault="00A05E22" w:rsidP="00F80593">
            <w:pPr>
              <w:jc w:val="right"/>
              <w:rPr>
                <w:lang w:eastAsia="de-AT"/>
              </w:rPr>
            </w:pPr>
            <w:r>
              <w:rPr>
                <w:lang w:eastAsia="de-AT"/>
              </w:rPr>
              <w:t>21,792</w:t>
            </w:r>
          </w:p>
        </w:tc>
        <w:tc>
          <w:tcPr>
            <w:tcW w:w="1021" w:type="dxa"/>
          </w:tcPr>
          <w:p w:rsidR="00A05E22" w:rsidRPr="007C6214" w:rsidRDefault="00A05E22" w:rsidP="00F80593">
            <w:pPr>
              <w:jc w:val="right"/>
              <w:rPr>
                <w:lang w:eastAsia="de-AT"/>
              </w:rPr>
            </w:pPr>
            <w:r>
              <w:rPr>
                <w:lang w:eastAsia="de-AT"/>
              </w:rPr>
              <w:t>133,811</w:t>
            </w:r>
          </w:p>
        </w:tc>
        <w:tc>
          <w:tcPr>
            <w:tcW w:w="1021" w:type="dxa"/>
          </w:tcPr>
          <w:p w:rsidR="00A05E22" w:rsidRPr="007C6214" w:rsidRDefault="00A05E22" w:rsidP="00F80593">
            <w:pPr>
              <w:jc w:val="right"/>
              <w:rPr>
                <w:lang w:eastAsia="de-AT"/>
              </w:rPr>
            </w:pPr>
            <w:r>
              <w:rPr>
                <w:lang w:eastAsia="de-AT"/>
              </w:rPr>
              <w:t>15,762</w:t>
            </w:r>
          </w:p>
        </w:tc>
      </w:tr>
      <w:tr w:rsidR="00A05E22" w:rsidRPr="00ED7809" w:rsidTr="00FB01D8">
        <w:tc>
          <w:tcPr>
            <w:tcW w:w="9184" w:type="dxa"/>
            <w:gridSpan w:val="11"/>
            <w:vAlign w:val="bottom"/>
          </w:tcPr>
          <w:p w:rsidR="00A05E22" w:rsidRPr="00FB01D8" w:rsidRDefault="00A05E22" w:rsidP="002A4349">
            <w:pPr>
              <w:rPr>
                <w:b/>
                <w:lang w:eastAsia="de-AT"/>
              </w:rPr>
            </w:pPr>
          </w:p>
          <w:p w:rsidR="00A05E22" w:rsidRPr="007C6214" w:rsidRDefault="00A05E22" w:rsidP="00A05E22">
            <w:pPr>
              <w:pStyle w:val="ListParagraph"/>
              <w:numPr>
                <w:ilvl w:val="0"/>
                <w:numId w:val="8"/>
              </w:numPr>
              <w:spacing w:after="0" w:line="240" w:lineRule="auto"/>
              <w:rPr>
                <w:rFonts w:ascii="Times New Roman" w:hAnsi="Times New Roman" w:cs="Times New Roman"/>
                <w:sz w:val="24"/>
                <w:szCs w:val="24"/>
                <w:lang w:eastAsia="de-AT"/>
              </w:rPr>
            </w:pPr>
            <w:r w:rsidRPr="00FB01D8">
              <w:rPr>
                <w:rFonts w:ascii="Times New Roman" w:hAnsi="Times New Roman" w:cs="Times New Roman"/>
                <w:b/>
                <w:sz w:val="24"/>
                <w:szCs w:val="24"/>
                <w:lang w:eastAsia="de-AT"/>
              </w:rPr>
              <w:t>Monetary base per capita (in French franc)</w:t>
            </w:r>
          </w:p>
        </w:tc>
      </w:tr>
      <w:tr w:rsidR="00A05E22" w:rsidTr="00FB01D8">
        <w:tc>
          <w:tcPr>
            <w:tcW w:w="1526" w:type="dxa"/>
          </w:tcPr>
          <w:p w:rsidR="00A05E22" w:rsidRPr="002A4349" w:rsidRDefault="00A05E22" w:rsidP="00975EB7">
            <w:pPr>
              <w:rPr>
                <w:b/>
                <w:lang w:eastAsia="de-AT"/>
              </w:rPr>
            </w:pPr>
            <w:r>
              <w:rPr>
                <w:b/>
                <w:lang w:eastAsia="de-AT"/>
              </w:rPr>
              <w:t>Mon. base per capita</w:t>
            </w:r>
          </w:p>
        </w:tc>
        <w:tc>
          <w:tcPr>
            <w:tcW w:w="1226" w:type="dxa"/>
            <w:gridSpan w:val="4"/>
          </w:tcPr>
          <w:p w:rsidR="00A05E22" w:rsidRPr="002A4349" w:rsidRDefault="00A05E22" w:rsidP="00975EB7">
            <w:pPr>
              <w:jc w:val="right"/>
              <w:rPr>
                <w:lang w:eastAsia="de-AT"/>
              </w:rPr>
            </w:pPr>
            <w:r w:rsidRPr="002A4349">
              <w:rPr>
                <w:lang w:eastAsia="de-AT"/>
              </w:rPr>
              <w:t>102.4</w:t>
            </w:r>
          </w:p>
        </w:tc>
        <w:tc>
          <w:tcPr>
            <w:tcW w:w="1176" w:type="dxa"/>
          </w:tcPr>
          <w:p w:rsidR="00A05E22" w:rsidRPr="007C6214" w:rsidRDefault="00A05E22" w:rsidP="00975EB7">
            <w:pPr>
              <w:jc w:val="right"/>
              <w:rPr>
                <w:lang w:eastAsia="de-AT"/>
              </w:rPr>
            </w:pPr>
            <w:r>
              <w:rPr>
                <w:lang w:eastAsia="de-AT"/>
              </w:rPr>
              <w:t>234.9</w:t>
            </w:r>
          </w:p>
        </w:tc>
        <w:tc>
          <w:tcPr>
            <w:tcW w:w="1176" w:type="dxa"/>
          </w:tcPr>
          <w:p w:rsidR="00A05E22" w:rsidRPr="007C6214" w:rsidRDefault="00A05E22" w:rsidP="00975EB7">
            <w:pPr>
              <w:jc w:val="right"/>
              <w:rPr>
                <w:lang w:eastAsia="de-AT"/>
              </w:rPr>
            </w:pPr>
            <w:r>
              <w:rPr>
                <w:lang w:eastAsia="de-AT"/>
              </w:rPr>
              <w:t>89.7</w:t>
            </w:r>
          </w:p>
        </w:tc>
        <w:tc>
          <w:tcPr>
            <w:tcW w:w="1100" w:type="dxa"/>
          </w:tcPr>
          <w:p w:rsidR="00A05E22" w:rsidRPr="007C6214" w:rsidRDefault="00A05E22" w:rsidP="00975EB7">
            <w:pPr>
              <w:jc w:val="right"/>
              <w:rPr>
                <w:lang w:eastAsia="de-AT"/>
              </w:rPr>
            </w:pPr>
            <w:r>
              <w:rPr>
                <w:lang w:eastAsia="de-AT"/>
              </w:rPr>
              <w:t>32.0</w:t>
            </w:r>
          </w:p>
        </w:tc>
        <w:tc>
          <w:tcPr>
            <w:tcW w:w="938" w:type="dxa"/>
          </w:tcPr>
          <w:p w:rsidR="00A05E22" w:rsidRPr="007C6214" w:rsidRDefault="00A05E22" w:rsidP="00975EB7">
            <w:pPr>
              <w:jc w:val="right"/>
              <w:rPr>
                <w:lang w:eastAsia="de-AT"/>
              </w:rPr>
            </w:pPr>
            <w:r>
              <w:rPr>
                <w:lang w:eastAsia="de-AT"/>
              </w:rPr>
              <w:t>7.1</w:t>
            </w:r>
          </w:p>
        </w:tc>
        <w:tc>
          <w:tcPr>
            <w:tcW w:w="1021" w:type="dxa"/>
          </w:tcPr>
          <w:p w:rsidR="00A05E22" w:rsidRPr="007C6214" w:rsidRDefault="00A05E22" w:rsidP="00975EB7">
            <w:pPr>
              <w:jc w:val="right"/>
              <w:rPr>
                <w:lang w:eastAsia="de-AT"/>
              </w:rPr>
            </w:pPr>
            <w:r>
              <w:rPr>
                <w:lang w:eastAsia="de-AT"/>
              </w:rPr>
              <w:t>51.4</w:t>
            </w:r>
          </w:p>
        </w:tc>
        <w:tc>
          <w:tcPr>
            <w:tcW w:w="1021" w:type="dxa"/>
          </w:tcPr>
          <w:p w:rsidR="00A05E22" w:rsidRPr="007C6214" w:rsidRDefault="00A05E22" w:rsidP="00975EB7">
            <w:pPr>
              <w:jc w:val="right"/>
              <w:rPr>
                <w:lang w:eastAsia="de-AT"/>
              </w:rPr>
            </w:pPr>
            <w:r>
              <w:rPr>
                <w:lang w:eastAsia="de-AT"/>
              </w:rPr>
              <w:t>8.1</w:t>
            </w:r>
          </w:p>
        </w:tc>
      </w:tr>
      <w:tr w:rsidR="00A05E22" w:rsidTr="00FB01D8">
        <w:tc>
          <w:tcPr>
            <w:tcW w:w="1576" w:type="dxa"/>
            <w:gridSpan w:val="2"/>
          </w:tcPr>
          <w:p w:rsidR="00A05E22" w:rsidRPr="00404C5C" w:rsidRDefault="00A05E22" w:rsidP="007C6214">
            <w:pPr>
              <w:rPr>
                <w:b/>
                <w:lang w:eastAsia="de-AT"/>
              </w:rPr>
            </w:pPr>
            <w:r w:rsidRPr="00404C5C">
              <w:rPr>
                <w:b/>
                <w:lang w:eastAsia="de-AT"/>
              </w:rPr>
              <w:t>Population</w:t>
            </w:r>
          </w:p>
          <w:p w:rsidR="00A05E22" w:rsidRPr="007C6214" w:rsidRDefault="00A05E22" w:rsidP="007C6214">
            <w:pPr>
              <w:rPr>
                <w:lang w:eastAsia="de-AT"/>
              </w:rPr>
            </w:pPr>
            <w:r w:rsidRPr="00404C5C">
              <w:rPr>
                <w:b/>
                <w:lang w:eastAsia="de-AT"/>
              </w:rPr>
              <w:t>(million)</w:t>
            </w:r>
          </w:p>
        </w:tc>
        <w:tc>
          <w:tcPr>
            <w:tcW w:w="1176" w:type="dxa"/>
            <w:gridSpan w:val="3"/>
          </w:tcPr>
          <w:p w:rsidR="00A05E22" w:rsidRPr="007C6214" w:rsidRDefault="00A05E22" w:rsidP="007E0F69">
            <w:pPr>
              <w:jc w:val="right"/>
              <w:rPr>
                <w:lang w:eastAsia="de-AT"/>
              </w:rPr>
            </w:pPr>
            <w:r>
              <w:rPr>
                <w:lang w:eastAsia="de-AT"/>
              </w:rPr>
              <w:t xml:space="preserve">36 </w:t>
            </w:r>
          </w:p>
        </w:tc>
        <w:tc>
          <w:tcPr>
            <w:tcW w:w="1176" w:type="dxa"/>
          </w:tcPr>
          <w:p w:rsidR="00A05E22" w:rsidRPr="007C6214" w:rsidRDefault="00A05E22" w:rsidP="007E0F69">
            <w:pPr>
              <w:jc w:val="right"/>
              <w:rPr>
                <w:lang w:eastAsia="de-AT"/>
              </w:rPr>
            </w:pPr>
            <w:r>
              <w:rPr>
                <w:lang w:eastAsia="de-AT"/>
              </w:rPr>
              <w:t xml:space="preserve">38 </w:t>
            </w:r>
          </w:p>
        </w:tc>
        <w:tc>
          <w:tcPr>
            <w:tcW w:w="1176" w:type="dxa"/>
          </w:tcPr>
          <w:p w:rsidR="00A05E22" w:rsidRPr="007C6214" w:rsidRDefault="00A05E22" w:rsidP="007E0F69">
            <w:pPr>
              <w:jc w:val="right"/>
              <w:rPr>
                <w:lang w:eastAsia="de-AT"/>
              </w:rPr>
            </w:pPr>
            <w:r>
              <w:rPr>
                <w:lang w:eastAsia="de-AT"/>
              </w:rPr>
              <w:t xml:space="preserve">45 </w:t>
            </w:r>
          </w:p>
        </w:tc>
        <w:tc>
          <w:tcPr>
            <w:tcW w:w="1100" w:type="dxa"/>
          </w:tcPr>
          <w:p w:rsidR="00A05E22" w:rsidRPr="007C6214" w:rsidRDefault="00A05E22" w:rsidP="007E0F69">
            <w:pPr>
              <w:jc w:val="right"/>
              <w:rPr>
                <w:lang w:eastAsia="de-AT"/>
              </w:rPr>
            </w:pPr>
            <w:r>
              <w:rPr>
                <w:lang w:eastAsia="de-AT"/>
              </w:rPr>
              <w:t xml:space="preserve">5.5 </w:t>
            </w:r>
          </w:p>
        </w:tc>
        <w:tc>
          <w:tcPr>
            <w:tcW w:w="938" w:type="dxa"/>
          </w:tcPr>
          <w:p w:rsidR="00A05E22" w:rsidRPr="007C6214" w:rsidRDefault="00A05E22" w:rsidP="007E0F69">
            <w:pPr>
              <w:jc w:val="right"/>
              <w:rPr>
                <w:lang w:eastAsia="de-AT"/>
              </w:rPr>
            </w:pPr>
            <w:r>
              <w:rPr>
                <w:lang w:eastAsia="de-AT"/>
              </w:rPr>
              <w:t xml:space="preserve">3.1 </w:t>
            </w:r>
          </w:p>
        </w:tc>
        <w:tc>
          <w:tcPr>
            <w:tcW w:w="1021" w:type="dxa"/>
          </w:tcPr>
          <w:p w:rsidR="00A05E22" w:rsidRPr="007C6214" w:rsidRDefault="00A05E22" w:rsidP="007E0F69">
            <w:pPr>
              <w:jc w:val="right"/>
              <w:rPr>
                <w:lang w:eastAsia="de-AT"/>
              </w:rPr>
            </w:pPr>
            <w:r>
              <w:rPr>
                <w:lang w:eastAsia="de-AT"/>
              </w:rPr>
              <w:t xml:space="preserve">2.1 </w:t>
            </w:r>
          </w:p>
        </w:tc>
        <w:tc>
          <w:tcPr>
            <w:tcW w:w="1021" w:type="dxa"/>
          </w:tcPr>
          <w:p w:rsidR="00A05E22" w:rsidRPr="007C6214" w:rsidRDefault="00A05E22" w:rsidP="007E0F69">
            <w:pPr>
              <w:jc w:val="right"/>
              <w:rPr>
                <w:lang w:eastAsia="de-AT"/>
              </w:rPr>
            </w:pPr>
            <w:r>
              <w:rPr>
                <w:lang w:eastAsia="de-AT"/>
              </w:rPr>
              <w:t xml:space="preserve">1.9 </w:t>
            </w:r>
          </w:p>
        </w:tc>
      </w:tr>
    </w:tbl>
    <w:p w:rsidR="00A05E22" w:rsidRDefault="00A05E22" w:rsidP="00642FB5">
      <w:pPr>
        <w:rPr>
          <w:i/>
        </w:rPr>
      </w:pPr>
    </w:p>
    <w:p w:rsidR="00A05E22" w:rsidRPr="00ED7809" w:rsidRDefault="00A05E22" w:rsidP="00642FB5">
      <w:r w:rsidRPr="00ED7809">
        <w:rPr>
          <w:i/>
        </w:rPr>
        <w:t>Sources:</w:t>
      </w:r>
      <w:r w:rsidRPr="00ED7809">
        <w:t xml:space="preserve"> </w:t>
      </w:r>
      <w:proofErr w:type="spellStart"/>
      <w:r w:rsidRPr="00ED7809">
        <w:t>Haupt</w:t>
      </w:r>
      <w:proofErr w:type="spellEnd"/>
      <w:r w:rsidRPr="00ED7809">
        <w:t xml:space="preserve"> (1886), complemented for Bulgaria by Bulgarian National </w:t>
      </w:r>
      <w:r>
        <w:t xml:space="preserve">Bank (2009) and </w:t>
      </w:r>
      <w:proofErr w:type="spellStart"/>
      <w:r>
        <w:t>Dimitrova&amp;Ivano</w:t>
      </w:r>
      <w:r w:rsidRPr="00ED7809">
        <w:t>v</w:t>
      </w:r>
      <w:proofErr w:type="spellEnd"/>
      <w:r w:rsidRPr="00ED7809">
        <w:t xml:space="preserve"> (2014), for Serbia by Gnjatovic (2006) and </w:t>
      </w:r>
      <w:proofErr w:type="spellStart"/>
      <w:r w:rsidRPr="00ED7809">
        <w:t>Hinic</w:t>
      </w:r>
      <w:proofErr w:type="spellEnd"/>
      <w:r w:rsidRPr="00ED7809">
        <w:t xml:space="preserve"> et al. (2014) and for Greece by private correspondance with Sofia Lazaretou.</w:t>
      </w:r>
    </w:p>
    <w:p w:rsidR="00A05E22" w:rsidRPr="00ED7809" w:rsidRDefault="00A05E22" w:rsidP="00642FB5"/>
    <w:p w:rsidR="00A05E22" w:rsidRPr="00F15C8F" w:rsidRDefault="00A05E22" w:rsidP="00F15C8F">
      <w:pPr>
        <w:jc w:val="both"/>
      </w:pPr>
      <w:r w:rsidRPr="00F15C8F">
        <w:rPr>
          <w:i/>
        </w:rPr>
        <w:t>Notes:</w:t>
      </w:r>
      <w:r w:rsidRPr="00F15C8F">
        <w:t xml:space="preserve"> </w:t>
      </w:r>
      <w:r w:rsidRPr="00F15C8F">
        <w:rPr>
          <w:vertAlign w:val="superscript"/>
        </w:rPr>
        <w:t>1</w:t>
      </w:r>
      <w:r w:rsidRPr="00F15C8F">
        <w:t xml:space="preserve">Greek data refer to December 1886. </w:t>
      </w:r>
      <w:r w:rsidRPr="00F15C8F">
        <w:rPr>
          <w:vertAlign w:val="superscript"/>
        </w:rPr>
        <w:t>2</w:t>
      </w:r>
      <w:r w:rsidRPr="00F15C8F">
        <w:t xml:space="preserve">Any values can only be approximate estimates, cf. discussion in the main text. </w:t>
      </w:r>
      <w:r w:rsidRPr="00F15C8F">
        <w:rPr>
          <w:vertAlign w:val="superscript"/>
          <w:lang w:eastAsia="de-AT"/>
        </w:rPr>
        <w:t>3</w:t>
      </w:r>
      <w:r w:rsidRPr="00F15C8F">
        <w:rPr>
          <w:lang w:eastAsia="de-AT"/>
        </w:rPr>
        <w:t xml:space="preserve"> Value constitutes an upper-bound estimate. </w:t>
      </w:r>
      <w:proofErr w:type="spellStart"/>
      <w:r w:rsidRPr="00F15C8F">
        <w:rPr>
          <w:color w:val="000000" w:themeColor="text1"/>
        </w:rPr>
        <w:t>Haupt’s</w:t>
      </w:r>
      <w:proofErr w:type="spellEnd"/>
      <w:r w:rsidRPr="00F15C8F">
        <w:rPr>
          <w:color w:val="000000" w:themeColor="text1"/>
        </w:rPr>
        <w:t xml:space="preserve"> estimate is for </w:t>
      </w:r>
      <w:r>
        <w:rPr>
          <w:color w:val="000000" w:themeColor="text1"/>
        </w:rPr>
        <w:t>9/</w:t>
      </w:r>
      <w:r w:rsidRPr="00F15C8F">
        <w:rPr>
          <w:color w:val="000000" w:themeColor="text1"/>
        </w:rPr>
        <w:t xml:space="preserve">1885, the last month of a short spell of convertibility in Greece which only lasted from January to September 1885 (Lazaretou 2005). We recalculate </w:t>
      </w:r>
      <w:proofErr w:type="spellStart"/>
      <w:r w:rsidRPr="00F15C8F">
        <w:rPr>
          <w:color w:val="000000" w:themeColor="text1"/>
        </w:rPr>
        <w:t>Haupt’s</w:t>
      </w:r>
      <w:proofErr w:type="spellEnd"/>
      <w:r w:rsidRPr="00F15C8F">
        <w:rPr>
          <w:color w:val="000000" w:themeColor="text1"/>
        </w:rPr>
        <w:t xml:space="preserve"> estimate for December 1886 based on two assumptions: first, all the metallic stock at the National Bank of Greece was in gold; second, the gold coinage in circulation remained unchanged compared to September 1885. The first assumption is based on the good advice of Sofia Lazaretou; the second assumption is not plausible (given the balance-of-payments deficit at the time which resulted in course </w:t>
      </w:r>
      <w:proofErr w:type="spellStart"/>
      <w:r w:rsidRPr="00F15C8F">
        <w:rPr>
          <w:color w:val="000000" w:themeColor="text1"/>
        </w:rPr>
        <w:t>forcé</w:t>
      </w:r>
      <w:proofErr w:type="spellEnd"/>
      <w:r w:rsidRPr="00F15C8F">
        <w:rPr>
          <w:color w:val="000000" w:themeColor="text1"/>
        </w:rPr>
        <w:t>) but serves well the purpose of establishing an upper bound.</w:t>
      </w:r>
    </w:p>
    <w:p w:rsidR="00BD0D8C" w:rsidRDefault="00BD0D8C">
      <w:pPr>
        <w:rPr>
          <w:b/>
          <w:sz w:val="22"/>
          <w:szCs w:val="22"/>
          <w:lang w:eastAsia="de-AT"/>
        </w:rPr>
      </w:pPr>
      <w:r>
        <w:rPr>
          <w:b/>
          <w:i/>
          <w:sz w:val="22"/>
          <w:szCs w:val="22"/>
        </w:rPr>
        <w:br w:type="page"/>
      </w:r>
    </w:p>
    <w:p w:rsidR="00A05E22" w:rsidRDefault="00A05E22" w:rsidP="003E7DE2">
      <w:pPr>
        <w:pStyle w:val="Table"/>
        <w:spacing w:before="0" w:after="0"/>
        <w:jc w:val="center"/>
        <w:rPr>
          <w:b/>
          <w:i w:val="0"/>
          <w:sz w:val="22"/>
          <w:szCs w:val="22"/>
        </w:rPr>
      </w:pPr>
      <w:r>
        <w:rPr>
          <w:b/>
          <w:i w:val="0"/>
          <w:sz w:val="22"/>
          <w:szCs w:val="22"/>
        </w:rPr>
        <w:lastRenderedPageBreak/>
        <w:t>Figure 1</w:t>
      </w:r>
    </w:p>
    <w:p w:rsidR="00A05E22" w:rsidRDefault="00A05E22" w:rsidP="003E7DE2">
      <w:pPr>
        <w:pStyle w:val="Table"/>
        <w:spacing w:before="0" w:after="0"/>
        <w:jc w:val="center"/>
        <w:rPr>
          <w:b/>
          <w:i w:val="0"/>
          <w:sz w:val="22"/>
          <w:szCs w:val="22"/>
        </w:rPr>
      </w:pPr>
      <w:r>
        <w:rPr>
          <w:b/>
          <w:i w:val="0"/>
          <w:sz w:val="22"/>
          <w:szCs w:val="22"/>
        </w:rPr>
        <w:t>Romanian mintage according to metal, 1867 – 1901</w:t>
      </w:r>
    </w:p>
    <w:p w:rsidR="00A05E22" w:rsidRPr="004C0779" w:rsidRDefault="00A05E22" w:rsidP="004C0779">
      <w:pPr>
        <w:jc w:val="center"/>
        <w:rPr>
          <w:b/>
        </w:rPr>
      </w:pPr>
      <w:r w:rsidRPr="004C0779">
        <w:rPr>
          <w:b/>
        </w:rPr>
        <w:t>(</w:t>
      </w:r>
      <w:proofErr w:type="gramStart"/>
      <w:r w:rsidRPr="004C0779">
        <w:rPr>
          <w:b/>
        </w:rPr>
        <w:t>nominal</w:t>
      </w:r>
      <w:proofErr w:type="gramEnd"/>
      <w:r w:rsidRPr="004C0779">
        <w:rPr>
          <w:b/>
        </w:rPr>
        <w:t xml:space="preserve"> value in Romanian </w:t>
      </w:r>
      <w:proofErr w:type="spellStart"/>
      <w:r w:rsidRPr="004C0779">
        <w:rPr>
          <w:b/>
        </w:rPr>
        <w:t>leu</w:t>
      </w:r>
      <w:proofErr w:type="spellEnd"/>
      <w:r w:rsidRPr="004C0779">
        <w:rPr>
          <w:b/>
        </w:rPr>
        <w:t xml:space="preserve"> = French franc)</w:t>
      </w:r>
    </w:p>
    <w:p w:rsidR="00A05E22" w:rsidRPr="000436B3" w:rsidRDefault="00A05E22" w:rsidP="00813008"/>
    <w:p w:rsidR="00A05E22" w:rsidRDefault="00A05E22" w:rsidP="000436B3">
      <w:r>
        <w:object w:dxaOrig="8011"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5pt;height:254.1pt" o:ole="">
            <v:imagedata r:id="rId11" o:title=""/>
          </v:shape>
          <o:OLEObject Type="Embed" ProgID="EViews.Workfile.2" ShapeID="_x0000_i1025" DrawAspect="Content" ObjectID="_1534514135" r:id="rId12"/>
        </w:object>
      </w:r>
    </w:p>
    <w:p w:rsidR="00A05E22" w:rsidRPr="000436B3" w:rsidRDefault="00A05E22" w:rsidP="000436B3"/>
    <w:p w:rsidR="00A05E22" w:rsidRPr="00F8671B" w:rsidRDefault="00A05E22" w:rsidP="00C67F45">
      <w:pPr>
        <w:pStyle w:val="Source"/>
        <w:spacing w:after="120"/>
        <w:ind w:left="0" w:firstLine="0"/>
        <w:rPr>
          <w:i w:val="0"/>
        </w:rPr>
      </w:pPr>
      <w:r w:rsidRPr="000F37F6">
        <w:t>Sources</w:t>
      </w:r>
      <w:r w:rsidRPr="00927358">
        <w:rPr>
          <w:i w:val="0"/>
        </w:rPr>
        <w:t>:</w:t>
      </w:r>
      <w:r>
        <w:t xml:space="preserve"> </w:t>
      </w:r>
      <w:r>
        <w:rPr>
          <w:i w:val="0"/>
        </w:rPr>
        <w:t xml:space="preserve">Own calculations based on Romanian Statistical Yearbook (various issues). </w:t>
      </w:r>
    </w:p>
    <w:p w:rsidR="00A05E22" w:rsidRDefault="00A05E22" w:rsidP="006B442D">
      <w:pPr>
        <w:ind w:firstLine="360"/>
      </w:pPr>
    </w:p>
    <w:p w:rsidR="00A05E22" w:rsidRDefault="00A05E22" w:rsidP="003E7DE2">
      <w:pPr>
        <w:pStyle w:val="Table"/>
        <w:spacing w:before="0" w:after="0"/>
        <w:jc w:val="center"/>
        <w:rPr>
          <w:b/>
          <w:i w:val="0"/>
          <w:sz w:val="22"/>
          <w:szCs w:val="22"/>
        </w:rPr>
      </w:pPr>
      <w:r>
        <w:rPr>
          <w:b/>
          <w:i w:val="0"/>
          <w:sz w:val="22"/>
          <w:szCs w:val="22"/>
        </w:rPr>
        <w:t xml:space="preserve">Figure 2 </w:t>
      </w:r>
    </w:p>
    <w:p w:rsidR="00A05E22" w:rsidRDefault="00A05E22" w:rsidP="003E7DE2">
      <w:pPr>
        <w:pStyle w:val="Table"/>
        <w:spacing w:before="0" w:after="0"/>
        <w:jc w:val="center"/>
        <w:rPr>
          <w:b/>
          <w:i w:val="0"/>
          <w:sz w:val="22"/>
          <w:szCs w:val="22"/>
        </w:rPr>
      </w:pPr>
      <w:r>
        <w:rPr>
          <w:b/>
          <w:i w:val="0"/>
          <w:sz w:val="22"/>
          <w:szCs w:val="22"/>
        </w:rPr>
        <w:t>Serbian mintage according to metal, 1873 – 1913</w:t>
      </w:r>
    </w:p>
    <w:p w:rsidR="00A05E22" w:rsidRPr="004C0779" w:rsidRDefault="00A05E22" w:rsidP="00AE136B">
      <w:pPr>
        <w:jc w:val="center"/>
        <w:rPr>
          <w:b/>
        </w:rPr>
      </w:pPr>
      <w:r w:rsidRPr="004C0779">
        <w:rPr>
          <w:b/>
        </w:rPr>
        <w:t>(</w:t>
      </w:r>
      <w:proofErr w:type="gramStart"/>
      <w:r w:rsidRPr="004C0779">
        <w:rPr>
          <w:b/>
        </w:rPr>
        <w:t>nominal</w:t>
      </w:r>
      <w:proofErr w:type="gramEnd"/>
      <w:r w:rsidRPr="004C0779">
        <w:rPr>
          <w:b/>
        </w:rPr>
        <w:t xml:space="preserve"> value in </w:t>
      </w:r>
      <w:r>
        <w:rPr>
          <w:b/>
        </w:rPr>
        <w:t>Serbian dinar</w:t>
      </w:r>
      <w:r w:rsidRPr="004C0779">
        <w:rPr>
          <w:b/>
        </w:rPr>
        <w:t xml:space="preserve"> = French franc)</w:t>
      </w:r>
    </w:p>
    <w:p w:rsidR="00A05E22" w:rsidRPr="00AE136B" w:rsidRDefault="00A05E22" w:rsidP="00AE136B"/>
    <w:p w:rsidR="00A05E22" w:rsidRPr="00AE136B" w:rsidRDefault="00A05E22" w:rsidP="00C365F6">
      <w:pPr>
        <w:pStyle w:val="Source"/>
        <w:spacing w:before="0" w:after="0"/>
        <w:ind w:left="0" w:firstLine="0"/>
        <w:rPr>
          <w:sz w:val="24"/>
          <w:szCs w:val="24"/>
        </w:rPr>
      </w:pPr>
      <w:r>
        <w:object w:dxaOrig="7995" w:dyaOrig="5085">
          <v:shape id="_x0000_i1026" type="#_x0000_t75" style="width:394.95pt;height:250.95pt" o:ole="">
            <v:imagedata r:id="rId13" o:title=""/>
          </v:shape>
          <o:OLEObject Type="Embed" ProgID="EViews.Workfile.2" ShapeID="_x0000_i1026" DrawAspect="Content" ObjectID="_1534514136" r:id="rId14"/>
        </w:object>
      </w:r>
    </w:p>
    <w:p w:rsidR="00A05E22" w:rsidRDefault="00A05E22" w:rsidP="00C67F45">
      <w:pPr>
        <w:pStyle w:val="Source"/>
        <w:spacing w:after="120"/>
        <w:ind w:left="0" w:firstLine="0"/>
      </w:pPr>
    </w:p>
    <w:p w:rsidR="00A05E22" w:rsidRPr="00F8671B" w:rsidRDefault="00A05E22" w:rsidP="00C67F45">
      <w:pPr>
        <w:pStyle w:val="Source"/>
        <w:spacing w:after="120"/>
        <w:ind w:left="0" w:firstLine="0"/>
        <w:rPr>
          <w:i w:val="0"/>
        </w:rPr>
      </w:pPr>
      <w:r w:rsidRPr="000F37F6">
        <w:t>Sources</w:t>
      </w:r>
      <w:r w:rsidRPr="00927358">
        <w:rPr>
          <w:i w:val="0"/>
        </w:rPr>
        <w:t>:</w:t>
      </w:r>
      <w:r>
        <w:t xml:space="preserve"> </w:t>
      </w:r>
      <w:r>
        <w:rPr>
          <w:i w:val="0"/>
        </w:rPr>
        <w:t xml:space="preserve">Own calculations based on </w:t>
      </w:r>
      <w:proofErr w:type="spellStart"/>
      <w:r>
        <w:rPr>
          <w:i w:val="0"/>
        </w:rPr>
        <w:t>Leconte</w:t>
      </w:r>
      <w:proofErr w:type="spellEnd"/>
      <w:r>
        <w:rPr>
          <w:i w:val="0"/>
        </w:rPr>
        <w:t xml:space="preserve"> (1994). </w:t>
      </w:r>
    </w:p>
    <w:p w:rsidR="00A05E22" w:rsidRDefault="00A05E22" w:rsidP="003E7DE2">
      <w:pPr>
        <w:pStyle w:val="Table"/>
        <w:spacing w:before="0" w:after="0"/>
        <w:jc w:val="center"/>
        <w:rPr>
          <w:b/>
          <w:i w:val="0"/>
          <w:sz w:val="22"/>
          <w:szCs w:val="22"/>
        </w:rPr>
      </w:pPr>
      <w:r>
        <w:rPr>
          <w:b/>
          <w:i w:val="0"/>
          <w:sz w:val="22"/>
          <w:szCs w:val="22"/>
        </w:rPr>
        <w:lastRenderedPageBreak/>
        <w:t xml:space="preserve">Figure 3 </w:t>
      </w:r>
    </w:p>
    <w:p w:rsidR="00A05E22" w:rsidRDefault="00A05E22" w:rsidP="003E7DE2">
      <w:pPr>
        <w:pStyle w:val="Table"/>
        <w:spacing w:before="0" w:after="0"/>
        <w:jc w:val="center"/>
        <w:rPr>
          <w:b/>
          <w:i w:val="0"/>
          <w:sz w:val="22"/>
          <w:szCs w:val="22"/>
        </w:rPr>
      </w:pPr>
      <w:r>
        <w:rPr>
          <w:b/>
          <w:i w:val="0"/>
          <w:sz w:val="22"/>
          <w:szCs w:val="22"/>
        </w:rPr>
        <w:t>Bulgarian mintage according to metal, 1880 – 1913</w:t>
      </w:r>
    </w:p>
    <w:p w:rsidR="00A05E22" w:rsidRPr="004C0779" w:rsidRDefault="00A05E22" w:rsidP="00AE136B">
      <w:pPr>
        <w:jc w:val="center"/>
        <w:rPr>
          <w:b/>
        </w:rPr>
      </w:pPr>
      <w:r w:rsidRPr="004C0779">
        <w:rPr>
          <w:b/>
        </w:rPr>
        <w:t>(</w:t>
      </w:r>
      <w:proofErr w:type="gramStart"/>
      <w:r w:rsidRPr="004C0779">
        <w:rPr>
          <w:b/>
        </w:rPr>
        <w:t>nominal</w:t>
      </w:r>
      <w:proofErr w:type="gramEnd"/>
      <w:r w:rsidRPr="004C0779">
        <w:rPr>
          <w:b/>
        </w:rPr>
        <w:t xml:space="preserve"> value in </w:t>
      </w:r>
      <w:r>
        <w:rPr>
          <w:b/>
        </w:rPr>
        <w:t>Bulgar</w:t>
      </w:r>
      <w:r w:rsidRPr="004C0779">
        <w:rPr>
          <w:b/>
        </w:rPr>
        <w:t xml:space="preserve">ian </w:t>
      </w:r>
      <w:r>
        <w:rPr>
          <w:b/>
        </w:rPr>
        <w:t>lev</w:t>
      </w:r>
      <w:r w:rsidRPr="004C0779">
        <w:rPr>
          <w:b/>
        </w:rPr>
        <w:t xml:space="preserve"> = French franc)</w:t>
      </w:r>
    </w:p>
    <w:p w:rsidR="00A05E22" w:rsidRPr="00AE136B" w:rsidRDefault="00A05E22" w:rsidP="00AE136B"/>
    <w:p w:rsidR="00A05E22" w:rsidRPr="00AE136B" w:rsidRDefault="00A05E22" w:rsidP="00813008">
      <w:r>
        <w:object w:dxaOrig="7905" w:dyaOrig="5055">
          <v:shape id="_x0000_i1027" type="#_x0000_t75" style="width:396pt;height:252pt" o:ole="">
            <v:imagedata r:id="rId15" o:title=""/>
          </v:shape>
          <o:OLEObject Type="Embed" ProgID="EViews.Workfile.2" ShapeID="_x0000_i1027" DrawAspect="Content" ObjectID="_1534514137" r:id="rId16"/>
        </w:object>
      </w:r>
    </w:p>
    <w:p w:rsidR="00A05E22" w:rsidRPr="00AE136B" w:rsidRDefault="00A05E22" w:rsidP="00C365F6">
      <w:pPr>
        <w:pStyle w:val="Source"/>
        <w:spacing w:before="0" w:after="0"/>
        <w:ind w:left="0" w:firstLine="0"/>
        <w:rPr>
          <w:sz w:val="24"/>
          <w:szCs w:val="24"/>
        </w:rPr>
      </w:pPr>
    </w:p>
    <w:p w:rsidR="00A05E22" w:rsidRPr="00F8671B" w:rsidRDefault="00A05E22" w:rsidP="00C67F45">
      <w:pPr>
        <w:pStyle w:val="Source"/>
        <w:spacing w:after="120"/>
        <w:ind w:left="0" w:firstLine="0"/>
        <w:rPr>
          <w:i w:val="0"/>
        </w:rPr>
      </w:pPr>
      <w:r w:rsidRPr="000F37F6">
        <w:t>Sources</w:t>
      </w:r>
      <w:r w:rsidRPr="00927358">
        <w:rPr>
          <w:i w:val="0"/>
        </w:rPr>
        <w:t>:</w:t>
      </w:r>
      <w:r>
        <w:t xml:space="preserve"> </w:t>
      </w:r>
      <w:r>
        <w:rPr>
          <w:i w:val="0"/>
        </w:rPr>
        <w:t xml:space="preserve">Own calculations based on Bulgarian National Bank (2009). </w:t>
      </w:r>
    </w:p>
    <w:p w:rsidR="00A05E22" w:rsidRDefault="00A05E22" w:rsidP="006B442D">
      <w:pPr>
        <w:ind w:firstLine="360"/>
      </w:pPr>
    </w:p>
    <w:p w:rsidR="00271F3C" w:rsidRDefault="00271F3C" w:rsidP="00271F3C">
      <w:pPr>
        <w:jc w:val="center"/>
      </w:pPr>
    </w:p>
    <w:sectPr w:rsidR="00271F3C" w:rsidSect="00F95DE8">
      <w:headerReference w:type="even" r:id="rId17"/>
      <w:headerReference w:type="default" r:id="rId1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6A" w:rsidRDefault="0002226A">
      <w:r>
        <w:separator/>
      </w:r>
    </w:p>
  </w:endnote>
  <w:endnote w:type="continuationSeparator" w:id="0">
    <w:p w:rsidR="0002226A" w:rsidRDefault="0002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6A" w:rsidRDefault="0002226A">
      <w:r>
        <w:separator/>
      </w:r>
    </w:p>
  </w:footnote>
  <w:footnote w:type="continuationSeparator" w:id="0">
    <w:p w:rsidR="0002226A" w:rsidRDefault="0002226A">
      <w:r>
        <w:continuationSeparator/>
      </w:r>
    </w:p>
  </w:footnote>
  <w:footnote w:id="1">
    <w:p w:rsidR="00A05E22" w:rsidRPr="0037690F" w:rsidRDefault="00A05E22" w:rsidP="00C9052D">
      <w:pPr>
        <w:pStyle w:val="FootnoteText"/>
        <w:jc w:val="both"/>
      </w:pPr>
      <w:r>
        <w:rPr>
          <w:rStyle w:val="FootnoteReference"/>
        </w:rPr>
        <w:footnoteRef/>
      </w:r>
      <w:r w:rsidRPr="0037690F">
        <w:t xml:space="preserve"> </w:t>
      </w:r>
      <w:r w:rsidR="005F521C">
        <w:t xml:space="preserve">We </w:t>
      </w:r>
      <w:r>
        <w:t>use the terminology “Balkan countries” and “South-East European countries”</w:t>
      </w:r>
      <w:r w:rsidR="005F521C">
        <w:t xml:space="preserve"> </w:t>
      </w:r>
      <w:r w:rsidR="005F521C">
        <w:t>interchangeably</w:t>
      </w:r>
      <w:r w:rsidR="005F521C">
        <w:t xml:space="preserve"> </w:t>
      </w:r>
      <w:r w:rsidR="00E438D7">
        <w:t>to avoid un</w:t>
      </w:r>
      <w:r w:rsidR="005F521C">
        <w:t>necessary repetition, following widespread - though not uniform practice - in historical work on South-Eastern Europe. For a detailed history of what words have been used to describe this part of Europe cf. Todorova (2009).</w:t>
      </w:r>
    </w:p>
  </w:footnote>
  <w:footnote w:id="2">
    <w:p w:rsidR="00A05E22" w:rsidRPr="00F84411" w:rsidRDefault="00A05E22" w:rsidP="00C9052D">
      <w:pPr>
        <w:pStyle w:val="FootnoteText"/>
        <w:jc w:val="both"/>
      </w:pPr>
      <w:r>
        <w:rPr>
          <w:rStyle w:val="FootnoteReference"/>
        </w:rPr>
        <w:footnoteRef/>
      </w:r>
      <w:r>
        <w:t xml:space="preserve"> </w:t>
      </w:r>
      <w:r w:rsidRPr="00ED53A8">
        <w:rPr>
          <w:color w:val="000000" w:themeColor="text1"/>
        </w:rPr>
        <w:t xml:space="preserve">The </w:t>
      </w:r>
      <w:r w:rsidRPr="00511572">
        <w:rPr>
          <w:color w:val="000000" w:themeColor="text1"/>
        </w:rPr>
        <w:t xml:space="preserve">LMU </w:t>
      </w:r>
      <w:r w:rsidRPr="00ED53A8">
        <w:rPr>
          <w:color w:val="000000" w:themeColor="text1"/>
        </w:rPr>
        <w:t>had reduced all silver coins to tokens except for the 5 franc coin. Greece</w:t>
      </w:r>
      <w:r>
        <w:rPr>
          <w:color w:val="000000" w:themeColor="text1"/>
        </w:rPr>
        <w:t xml:space="preserve"> (1867)</w:t>
      </w:r>
      <w:r w:rsidRPr="00ED53A8">
        <w:rPr>
          <w:color w:val="000000" w:themeColor="text1"/>
        </w:rPr>
        <w:t>, Romania</w:t>
      </w:r>
      <w:r>
        <w:rPr>
          <w:color w:val="000000" w:themeColor="text1"/>
        </w:rPr>
        <w:t xml:space="preserve"> (1867)</w:t>
      </w:r>
      <w:r w:rsidRPr="00ED53A8">
        <w:rPr>
          <w:color w:val="000000" w:themeColor="text1"/>
        </w:rPr>
        <w:t xml:space="preserve"> and Serbia</w:t>
      </w:r>
      <w:r>
        <w:rPr>
          <w:color w:val="000000" w:themeColor="text1"/>
        </w:rPr>
        <w:t xml:space="preserve"> (1873)</w:t>
      </w:r>
      <w:r w:rsidRPr="00ED53A8">
        <w:rPr>
          <w:color w:val="000000" w:themeColor="text1"/>
        </w:rPr>
        <w:t xml:space="preserve"> sidestepped the gold-bimetallic controversy by either not including the 5 franc c</w:t>
      </w:r>
      <w:r>
        <w:rPr>
          <w:color w:val="000000" w:themeColor="text1"/>
        </w:rPr>
        <w:t>oin in its legislation (</w:t>
      </w:r>
      <w:r w:rsidRPr="00ED53A8">
        <w:rPr>
          <w:color w:val="000000" w:themeColor="text1"/>
        </w:rPr>
        <w:t>“Law on the Setting up of the National Monetary System”, reprinted in “130 years since the establishment of the modern</w:t>
      </w:r>
      <w:r>
        <w:rPr>
          <w:color w:val="000000" w:themeColor="text1"/>
        </w:rPr>
        <w:t xml:space="preserve"> Romanian monetary system”: </w:t>
      </w:r>
      <w:r w:rsidRPr="00ED53A8">
        <w:rPr>
          <w:color w:val="000000" w:themeColor="text1"/>
        </w:rPr>
        <w:t>275-278) or by not coining i</w:t>
      </w:r>
      <w:r>
        <w:rPr>
          <w:color w:val="000000" w:themeColor="text1"/>
        </w:rPr>
        <w:t xml:space="preserve">t until </w:t>
      </w:r>
      <w:r w:rsidRPr="00ED53A8">
        <w:rPr>
          <w:color w:val="000000" w:themeColor="text1"/>
        </w:rPr>
        <w:t xml:space="preserve">the issue </w:t>
      </w:r>
      <w:r>
        <w:rPr>
          <w:color w:val="000000" w:themeColor="text1"/>
        </w:rPr>
        <w:t>had been settled in the late 1870s (</w:t>
      </w:r>
      <w:proofErr w:type="spellStart"/>
      <w:r>
        <w:rPr>
          <w:color w:val="000000" w:themeColor="text1"/>
        </w:rPr>
        <w:t>Leconte</w:t>
      </w:r>
      <w:proofErr w:type="spellEnd"/>
      <w:r>
        <w:rPr>
          <w:color w:val="000000" w:themeColor="text1"/>
        </w:rPr>
        <w:t xml:space="preserve"> 1994: 225-238&amp;244-259</w:t>
      </w:r>
      <w:r w:rsidRPr="00ED53A8">
        <w:rPr>
          <w:color w:val="000000" w:themeColor="text1"/>
        </w:rPr>
        <w:t>)).</w:t>
      </w:r>
    </w:p>
  </w:footnote>
  <w:footnote w:id="3">
    <w:p w:rsidR="00A05E22" w:rsidRPr="00BB1C32" w:rsidRDefault="00A05E22" w:rsidP="00C9052D">
      <w:pPr>
        <w:pStyle w:val="FootnoteText"/>
        <w:jc w:val="both"/>
      </w:pPr>
      <w:r>
        <w:rPr>
          <w:rStyle w:val="FootnoteReference"/>
        </w:rPr>
        <w:footnoteRef/>
      </w:r>
      <w:r w:rsidRPr="004E2213">
        <w:t xml:space="preserve"> </w:t>
      </w:r>
      <w:r>
        <w:t xml:space="preserve">Data on Greek coinage start only in 1867, when the country joined the LMU. For the 1867-1913 </w:t>
      </w:r>
      <w:proofErr w:type="gramStart"/>
      <w:r>
        <w:t>period</w:t>
      </w:r>
      <w:proofErr w:type="gramEnd"/>
      <w:r>
        <w:t>, Greece followed the pattern described in the main text for Romania, Serbia and Bulgaria and the available quantitative and qualitative evidence suggests that the same was true for the earlier period.</w:t>
      </w:r>
    </w:p>
  </w:footnote>
  <w:footnote w:id="4">
    <w:p w:rsidR="00A05E22" w:rsidRPr="00B968CF" w:rsidRDefault="00A05E22" w:rsidP="00C9052D">
      <w:pPr>
        <w:pStyle w:val="FootnoteText"/>
        <w:jc w:val="both"/>
      </w:pPr>
      <w:r>
        <w:rPr>
          <w:rStyle w:val="FootnoteReference"/>
        </w:rPr>
        <w:footnoteRef/>
      </w:r>
      <w:r>
        <w:t xml:space="preserve"> </w:t>
      </w:r>
      <w:r w:rsidRPr="00B968CF">
        <w:t>The Bulgarian National Bank was founded in 1879 but obtained the note issuing privilege only in 1885.</w:t>
      </w:r>
    </w:p>
  </w:footnote>
  <w:footnote w:id="5">
    <w:p w:rsidR="00A05E22" w:rsidRPr="00ED53A8" w:rsidRDefault="00A05E22" w:rsidP="00C9052D">
      <w:pPr>
        <w:pStyle w:val="FootnoteText"/>
        <w:jc w:val="both"/>
        <w:rPr>
          <w:color w:val="000000" w:themeColor="text1"/>
        </w:rPr>
      </w:pPr>
      <w:r w:rsidRPr="00ED53A8">
        <w:rPr>
          <w:rStyle w:val="FootnoteReference"/>
          <w:color w:val="000000" w:themeColor="text1"/>
        </w:rPr>
        <w:footnoteRef/>
      </w:r>
      <w:r>
        <w:rPr>
          <w:color w:val="000000" w:themeColor="text1"/>
        </w:rPr>
        <w:t xml:space="preserve"> A modern definition </w:t>
      </w:r>
      <w:r w:rsidRPr="00ED53A8">
        <w:rPr>
          <w:color w:val="000000" w:themeColor="text1"/>
        </w:rPr>
        <w:t>include</w:t>
      </w:r>
      <w:r>
        <w:rPr>
          <w:color w:val="000000" w:themeColor="text1"/>
        </w:rPr>
        <w:t>s</w:t>
      </w:r>
      <w:r w:rsidRPr="00ED53A8">
        <w:rPr>
          <w:color w:val="000000" w:themeColor="text1"/>
        </w:rPr>
        <w:t xml:space="preserve"> liquid liabilities at the central bank other than bank notes, but such liabilities were </w:t>
      </w:r>
      <w:r>
        <w:rPr>
          <w:color w:val="000000" w:themeColor="text1"/>
        </w:rPr>
        <w:t xml:space="preserve">small compared to bank notes in circulation. </w:t>
      </w:r>
      <w:proofErr w:type="spellStart"/>
      <w:proofErr w:type="gramStart"/>
      <w:r w:rsidRPr="00ED53A8">
        <w:rPr>
          <w:color w:val="000000" w:themeColor="text1"/>
        </w:rPr>
        <w:t>Reichsbank</w:t>
      </w:r>
      <w:proofErr w:type="spellEnd"/>
      <w:r w:rsidRPr="00ED53A8">
        <w:rPr>
          <w:color w:val="000000" w:themeColor="text1"/>
        </w:rPr>
        <w:t xml:space="preserve"> (1925).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FC" w:rsidRDefault="00BF4FFC" w:rsidP="008579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4FFC" w:rsidRDefault="00BF4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FC" w:rsidRDefault="00BF4FFC" w:rsidP="00857921">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F521C">
      <w:rPr>
        <w:rStyle w:val="PageNumber"/>
        <w:noProof/>
      </w:rPr>
      <w:t>22</w:t>
    </w:r>
    <w:r>
      <w:rPr>
        <w:rStyle w:val="PageNumber"/>
      </w:rPr>
      <w:fldChar w:fldCharType="end"/>
    </w:r>
    <w:r>
      <w:rPr>
        <w:rStyle w:val="PageNumber"/>
      </w:rPr>
      <w:t xml:space="preserve"> -</w:t>
    </w:r>
  </w:p>
  <w:p w:rsidR="00BF4FFC" w:rsidRDefault="00BF4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94A"/>
    <w:multiLevelType w:val="hybridMultilevel"/>
    <w:tmpl w:val="D99CBDBE"/>
    <w:lvl w:ilvl="0" w:tplc="B19E708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792CD6"/>
    <w:multiLevelType w:val="hybridMultilevel"/>
    <w:tmpl w:val="51B26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645F12"/>
    <w:multiLevelType w:val="hybridMultilevel"/>
    <w:tmpl w:val="953475B2"/>
    <w:lvl w:ilvl="0" w:tplc="19E26C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977DF4"/>
    <w:multiLevelType w:val="hybridMultilevel"/>
    <w:tmpl w:val="754EA098"/>
    <w:lvl w:ilvl="0" w:tplc="8B105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9643E5"/>
    <w:multiLevelType w:val="hybridMultilevel"/>
    <w:tmpl w:val="B204D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6860BF"/>
    <w:multiLevelType w:val="hybridMultilevel"/>
    <w:tmpl w:val="919A43C2"/>
    <w:lvl w:ilvl="0" w:tplc="EC52B5BE">
      <w:start w:val="1"/>
      <w:numFmt w:val="bullet"/>
      <w:lvlText w:val="•"/>
      <w:lvlJc w:val="left"/>
      <w:pPr>
        <w:tabs>
          <w:tab w:val="num" w:pos="720"/>
        </w:tabs>
        <w:ind w:left="720" w:hanging="360"/>
      </w:pPr>
      <w:rPr>
        <w:rFonts w:ascii="Times New Roman" w:hAnsi="Times New Roman" w:hint="default"/>
      </w:rPr>
    </w:lvl>
    <w:lvl w:ilvl="1" w:tplc="D3724186" w:tentative="1">
      <w:start w:val="1"/>
      <w:numFmt w:val="bullet"/>
      <w:lvlText w:val="•"/>
      <w:lvlJc w:val="left"/>
      <w:pPr>
        <w:tabs>
          <w:tab w:val="num" w:pos="1440"/>
        </w:tabs>
        <w:ind w:left="1440" w:hanging="360"/>
      </w:pPr>
      <w:rPr>
        <w:rFonts w:ascii="Times New Roman" w:hAnsi="Times New Roman" w:hint="default"/>
      </w:rPr>
    </w:lvl>
    <w:lvl w:ilvl="2" w:tplc="21DC4CD4" w:tentative="1">
      <w:start w:val="1"/>
      <w:numFmt w:val="bullet"/>
      <w:lvlText w:val="•"/>
      <w:lvlJc w:val="left"/>
      <w:pPr>
        <w:tabs>
          <w:tab w:val="num" w:pos="2160"/>
        </w:tabs>
        <w:ind w:left="2160" w:hanging="360"/>
      </w:pPr>
      <w:rPr>
        <w:rFonts w:ascii="Times New Roman" w:hAnsi="Times New Roman" w:hint="default"/>
      </w:rPr>
    </w:lvl>
    <w:lvl w:ilvl="3" w:tplc="E7E8483E" w:tentative="1">
      <w:start w:val="1"/>
      <w:numFmt w:val="bullet"/>
      <w:lvlText w:val="•"/>
      <w:lvlJc w:val="left"/>
      <w:pPr>
        <w:tabs>
          <w:tab w:val="num" w:pos="2880"/>
        </w:tabs>
        <w:ind w:left="2880" w:hanging="360"/>
      </w:pPr>
      <w:rPr>
        <w:rFonts w:ascii="Times New Roman" w:hAnsi="Times New Roman" w:hint="default"/>
      </w:rPr>
    </w:lvl>
    <w:lvl w:ilvl="4" w:tplc="EB78DCA2" w:tentative="1">
      <w:start w:val="1"/>
      <w:numFmt w:val="bullet"/>
      <w:lvlText w:val="•"/>
      <w:lvlJc w:val="left"/>
      <w:pPr>
        <w:tabs>
          <w:tab w:val="num" w:pos="3600"/>
        </w:tabs>
        <w:ind w:left="3600" w:hanging="360"/>
      </w:pPr>
      <w:rPr>
        <w:rFonts w:ascii="Times New Roman" w:hAnsi="Times New Roman" w:hint="default"/>
      </w:rPr>
    </w:lvl>
    <w:lvl w:ilvl="5" w:tplc="F22AB654" w:tentative="1">
      <w:start w:val="1"/>
      <w:numFmt w:val="bullet"/>
      <w:lvlText w:val="•"/>
      <w:lvlJc w:val="left"/>
      <w:pPr>
        <w:tabs>
          <w:tab w:val="num" w:pos="4320"/>
        </w:tabs>
        <w:ind w:left="4320" w:hanging="360"/>
      </w:pPr>
      <w:rPr>
        <w:rFonts w:ascii="Times New Roman" w:hAnsi="Times New Roman" w:hint="default"/>
      </w:rPr>
    </w:lvl>
    <w:lvl w:ilvl="6" w:tplc="4C1C659E" w:tentative="1">
      <w:start w:val="1"/>
      <w:numFmt w:val="bullet"/>
      <w:lvlText w:val="•"/>
      <w:lvlJc w:val="left"/>
      <w:pPr>
        <w:tabs>
          <w:tab w:val="num" w:pos="5040"/>
        </w:tabs>
        <w:ind w:left="5040" w:hanging="360"/>
      </w:pPr>
      <w:rPr>
        <w:rFonts w:ascii="Times New Roman" w:hAnsi="Times New Roman" w:hint="default"/>
      </w:rPr>
    </w:lvl>
    <w:lvl w:ilvl="7" w:tplc="CC4E555A" w:tentative="1">
      <w:start w:val="1"/>
      <w:numFmt w:val="bullet"/>
      <w:lvlText w:val="•"/>
      <w:lvlJc w:val="left"/>
      <w:pPr>
        <w:tabs>
          <w:tab w:val="num" w:pos="5760"/>
        </w:tabs>
        <w:ind w:left="5760" w:hanging="360"/>
      </w:pPr>
      <w:rPr>
        <w:rFonts w:ascii="Times New Roman" w:hAnsi="Times New Roman" w:hint="default"/>
      </w:rPr>
    </w:lvl>
    <w:lvl w:ilvl="8" w:tplc="CA7E01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2505F9E"/>
    <w:multiLevelType w:val="hybridMultilevel"/>
    <w:tmpl w:val="70FA9494"/>
    <w:lvl w:ilvl="0" w:tplc="FC38A36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8A4B39"/>
    <w:multiLevelType w:val="hybridMultilevel"/>
    <w:tmpl w:val="B668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5th 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0wp2vrdi2zaz5e9a9v5dtx6wpwt9rzreda5&quot;&gt;SEE Business Cycles Paper&lt;record-ids&gt;&lt;item&gt;123&lt;/item&gt;&lt;/record-ids&gt;&lt;/item&gt;&lt;/Libraries&gt;"/>
  </w:docVars>
  <w:rsids>
    <w:rsidRoot w:val="00FE390E"/>
    <w:rsid w:val="000005A8"/>
    <w:rsid w:val="00002A24"/>
    <w:rsid w:val="00004F7C"/>
    <w:rsid w:val="00005AA4"/>
    <w:rsid w:val="0001015F"/>
    <w:rsid w:val="0001106D"/>
    <w:rsid w:val="0001185B"/>
    <w:rsid w:val="00013592"/>
    <w:rsid w:val="00014E3A"/>
    <w:rsid w:val="000167AB"/>
    <w:rsid w:val="00017913"/>
    <w:rsid w:val="00021745"/>
    <w:rsid w:val="0002226A"/>
    <w:rsid w:val="000302A7"/>
    <w:rsid w:val="0004281C"/>
    <w:rsid w:val="00043F20"/>
    <w:rsid w:val="000576E8"/>
    <w:rsid w:val="00064F04"/>
    <w:rsid w:val="00064F68"/>
    <w:rsid w:val="000666F7"/>
    <w:rsid w:val="00066AD2"/>
    <w:rsid w:val="00067CD8"/>
    <w:rsid w:val="000736E7"/>
    <w:rsid w:val="00081DDB"/>
    <w:rsid w:val="000825A6"/>
    <w:rsid w:val="00085248"/>
    <w:rsid w:val="00092FD7"/>
    <w:rsid w:val="000A1988"/>
    <w:rsid w:val="000A4FE7"/>
    <w:rsid w:val="000B63E7"/>
    <w:rsid w:val="000B7546"/>
    <w:rsid w:val="000C16DC"/>
    <w:rsid w:val="000C21D3"/>
    <w:rsid w:val="000C2FE9"/>
    <w:rsid w:val="000C3A2D"/>
    <w:rsid w:val="000D0E10"/>
    <w:rsid w:val="000E26FE"/>
    <w:rsid w:val="000E4976"/>
    <w:rsid w:val="00100693"/>
    <w:rsid w:val="00106719"/>
    <w:rsid w:val="0011127D"/>
    <w:rsid w:val="00121ED9"/>
    <w:rsid w:val="00126C5D"/>
    <w:rsid w:val="0013564D"/>
    <w:rsid w:val="001373DA"/>
    <w:rsid w:val="001401A8"/>
    <w:rsid w:val="00140D84"/>
    <w:rsid w:val="001436E7"/>
    <w:rsid w:val="00150323"/>
    <w:rsid w:val="0015463B"/>
    <w:rsid w:val="00160001"/>
    <w:rsid w:val="00163AFC"/>
    <w:rsid w:val="0017193F"/>
    <w:rsid w:val="001732C4"/>
    <w:rsid w:val="00176D26"/>
    <w:rsid w:val="00180135"/>
    <w:rsid w:val="001847FA"/>
    <w:rsid w:val="00185B13"/>
    <w:rsid w:val="00186622"/>
    <w:rsid w:val="001911BF"/>
    <w:rsid w:val="001A042F"/>
    <w:rsid w:val="001A0438"/>
    <w:rsid w:val="001B0B5E"/>
    <w:rsid w:val="001B3AD1"/>
    <w:rsid w:val="001B4C00"/>
    <w:rsid w:val="001B7A77"/>
    <w:rsid w:val="001C2821"/>
    <w:rsid w:val="001C4B6F"/>
    <w:rsid w:val="001D1EF3"/>
    <w:rsid w:val="001D27DE"/>
    <w:rsid w:val="001D6DE5"/>
    <w:rsid w:val="001D7959"/>
    <w:rsid w:val="001E7412"/>
    <w:rsid w:val="001F3EC0"/>
    <w:rsid w:val="001F436F"/>
    <w:rsid w:val="001F7093"/>
    <w:rsid w:val="001F7098"/>
    <w:rsid w:val="00201D01"/>
    <w:rsid w:val="00203546"/>
    <w:rsid w:val="00206FC5"/>
    <w:rsid w:val="00207299"/>
    <w:rsid w:val="002104D4"/>
    <w:rsid w:val="002111E7"/>
    <w:rsid w:val="00215B7F"/>
    <w:rsid w:val="00216247"/>
    <w:rsid w:val="002163D3"/>
    <w:rsid w:val="00217C6C"/>
    <w:rsid w:val="00221B46"/>
    <w:rsid w:val="00225431"/>
    <w:rsid w:val="00225758"/>
    <w:rsid w:val="00230DC0"/>
    <w:rsid w:val="00234B77"/>
    <w:rsid w:val="0024099F"/>
    <w:rsid w:val="002514C3"/>
    <w:rsid w:val="00251DC8"/>
    <w:rsid w:val="00252CD2"/>
    <w:rsid w:val="002544FC"/>
    <w:rsid w:val="00254514"/>
    <w:rsid w:val="00264934"/>
    <w:rsid w:val="00264A10"/>
    <w:rsid w:val="00271F3C"/>
    <w:rsid w:val="002745BB"/>
    <w:rsid w:val="002758B6"/>
    <w:rsid w:val="00280347"/>
    <w:rsid w:val="002819C8"/>
    <w:rsid w:val="00285060"/>
    <w:rsid w:val="00292DA6"/>
    <w:rsid w:val="00294010"/>
    <w:rsid w:val="0029700E"/>
    <w:rsid w:val="002A360E"/>
    <w:rsid w:val="002A4CBE"/>
    <w:rsid w:val="002A781F"/>
    <w:rsid w:val="002B0910"/>
    <w:rsid w:val="002B0A9D"/>
    <w:rsid w:val="002B4094"/>
    <w:rsid w:val="002B657F"/>
    <w:rsid w:val="002C2BBF"/>
    <w:rsid w:val="002D304A"/>
    <w:rsid w:val="002D38C5"/>
    <w:rsid w:val="002D71B9"/>
    <w:rsid w:val="002E24D8"/>
    <w:rsid w:val="002E3429"/>
    <w:rsid w:val="002E4629"/>
    <w:rsid w:val="002F2CDF"/>
    <w:rsid w:val="002F534D"/>
    <w:rsid w:val="002F6474"/>
    <w:rsid w:val="002F7E63"/>
    <w:rsid w:val="003009BA"/>
    <w:rsid w:val="00302B4F"/>
    <w:rsid w:val="0030528C"/>
    <w:rsid w:val="00312A08"/>
    <w:rsid w:val="00314684"/>
    <w:rsid w:val="00321B6E"/>
    <w:rsid w:val="00330A24"/>
    <w:rsid w:val="00334B02"/>
    <w:rsid w:val="00334EEE"/>
    <w:rsid w:val="00335028"/>
    <w:rsid w:val="00335DFE"/>
    <w:rsid w:val="003364F1"/>
    <w:rsid w:val="00336808"/>
    <w:rsid w:val="00341577"/>
    <w:rsid w:val="00350BF9"/>
    <w:rsid w:val="00352B54"/>
    <w:rsid w:val="003561EF"/>
    <w:rsid w:val="00361C68"/>
    <w:rsid w:val="00366122"/>
    <w:rsid w:val="00372802"/>
    <w:rsid w:val="00374E01"/>
    <w:rsid w:val="00377A5B"/>
    <w:rsid w:val="00386811"/>
    <w:rsid w:val="003907ED"/>
    <w:rsid w:val="00390ED6"/>
    <w:rsid w:val="00391D4B"/>
    <w:rsid w:val="00395EB7"/>
    <w:rsid w:val="00397707"/>
    <w:rsid w:val="00397C8A"/>
    <w:rsid w:val="003A0E2C"/>
    <w:rsid w:val="003B017A"/>
    <w:rsid w:val="003B09B6"/>
    <w:rsid w:val="003B11F1"/>
    <w:rsid w:val="003B2C24"/>
    <w:rsid w:val="003B31CF"/>
    <w:rsid w:val="003B4332"/>
    <w:rsid w:val="003B585A"/>
    <w:rsid w:val="003C77CB"/>
    <w:rsid w:val="003D4D95"/>
    <w:rsid w:val="003D574A"/>
    <w:rsid w:val="003D683B"/>
    <w:rsid w:val="003E11AE"/>
    <w:rsid w:val="003E3E11"/>
    <w:rsid w:val="003E52ED"/>
    <w:rsid w:val="003E5961"/>
    <w:rsid w:val="003F1FFD"/>
    <w:rsid w:val="003F3848"/>
    <w:rsid w:val="003F5392"/>
    <w:rsid w:val="003F73A5"/>
    <w:rsid w:val="004009BB"/>
    <w:rsid w:val="00401314"/>
    <w:rsid w:val="00405E44"/>
    <w:rsid w:val="004121D4"/>
    <w:rsid w:val="004125B3"/>
    <w:rsid w:val="00412CE5"/>
    <w:rsid w:val="00414EFD"/>
    <w:rsid w:val="00415565"/>
    <w:rsid w:val="004169A0"/>
    <w:rsid w:val="0042056C"/>
    <w:rsid w:val="004219F0"/>
    <w:rsid w:val="0042778E"/>
    <w:rsid w:val="004325EB"/>
    <w:rsid w:val="00440999"/>
    <w:rsid w:val="00450930"/>
    <w:rsid w:val="00453543"/>
    <w:rsid w:val="00453AE0"/>
    <w:rsid w:val="00456070"/>
    <w:rsid w:val="00456A77"/>
    <w:rsid w:val="00463592"/>
    <w:rsid w:val="00464566"/>
    <w:rsid w:val="0047207B"/>
    <w:rsid w:val="004726B6"/>
    <w:rsid w:val="00472B10"/>
    <w:rsid w:val="004737C0"/>
    <w:rsid w:val="00480341"/>
    <w:rsid w:val="00480936"/>
    <w:rsid w:val="00480AC0"/>
    <w:rsid w:val="00483AB8"/>
    <w:rsid w:val="004843B2"/>
    <w:rsid w:val="00490337"/>
    <w:rsid w:val="004A4747"/>
    <w:rsid w:val="004A572E"/>
    <w:rsid w:val="004A5AFD"/>
    <w:rsid w:val="004A7886"/>
    <w:rsid w:val="004B0C89"/>
    <w:rsid w:val="004B159A"/>
    <w:rsid w:val="004C1CCB"/>
    <w:rsid w:val="004D3034"/>
    <w:rsid w:val="004D400A"/>
    <w:rsid w:val="004D6219"/>
    <w:rsid w:val="004D7F07"/>
    <w:rsid w:val="004E2A45"/>
    <w:rsid w:val="004E65F3"/>
    <w:rsid w:val="004F63CF"/>
    <w:rsid w:val="00503055"/>
    <w:rsid w:val="00504711"/>
    <w:rsid w:val="00504CA2"/>
    <w:rsid w:val="00507D4D"/>
    <w:rsid w:val="00515853"/>
    <w:rsid w:val="005309DC"/>
    <w:rsid w:val="00537D20"/>
    <w:rsid w:val="00540333"/>
    <w:rsid w:val="005403CC"/>
    <w:rsid w:val="00545FE0"/>
    <w:rsid w:val="00546548"/>
    <w:rsid w:val="00552E3E"/>
    <w:rsid w:val="00555F7D"/>
    <w:rsid w:val="00560D83"/>
    <w:rsid w:val="0057407C"/>
    <w:rsid w:val="0057588A"/>
    <w:rsid w:val="00577411"/>
    <w:rsid w:val="00585C6D"/>
    <w:rsid w:val="005867EC"/>
    <w:rsid w:val="00586F66"/>
    <w:rsid w:val="00590373"/>
    <w:rsid w:val="00593D0C"/>
    <w:rsid w:val="0059401E"/>
    <w:rsid w:val="00596398"/>
    <w:rsid w:val="005A0166"/>
    <w:rsid w:val="005A2660"/>
    <w:rsid w:val="005B1965"/>
    <w:rsid w:val="005B238B"/>
    <w:rsid w:val="005B29F2"/>
    <w:rsid w:val="005B3E90"/>
    <w:rsid w:val="005B4225"/>
    <w:rsid w:val="005B6791"/>
    <w:rsid w:val="005B7AC4"/>
    <w:rsid w:val="005C0549"/>
    <w:rsid w:val="005C58BE"/>
    <w:rsid w:val="005D4782"/>
    <w:rsid w:val="005F1851"/>
    <w:rsid w:val="005F4519"/>
    <w:rsid w:val="005F521C"/>
    <w:rsid w:val="005F6EA9"/>
    <w:rsid w:val="00605614"/>
    <w:rsid w:val="00611632"/>
    <w:rsid w:val="00615F4E"/>
    <w:rsid w:val="00616DEC"/>
    <w:rsid w:val="00623E6C"/>
    <w:rsid w:val="00635E70"/>
    <w:rsid w:val="00636859"/>
    <w:rsid w:val="006371B5"/>
    <w:rsid w:val="00640E55"/>
    <w:rsid w:val="0064219F"/>
    <w:rsid w:val="00642C63"/>
    <w:rsid w:val="00650B8F"/>
    <w:rsid w:val="006522FD"/>
    <w:rsid w:val="0065322A"/>
    <w:rsid w:val="00653882"/>
    <w:rsid w:val="00653ABF"/>
    <w:rsid w:val="00654906"/>
    <w:rsid w:val="00664716"/>
    <w:rsid w:val="006653A6"/>
    <w:rsid w:val="00666526"/>
    <w:rsid w:val="00666572"/>
    <w:rsid w:val="00673D50"/>
    <w:rsid w:val="006765E5"/>
    <w:rsid w:val="00676D7D"/>
    <w:rsid w:val="00684DBE"/>
    <w:rsid w:val="0068569F"/>
    <w:rsid w:val="006949C5"/>
    <w:rsid w:val="00697FC3"/>
    <w:rsid w:val="006B0755"/>
    <w:rsid w:val="006B16FA"/>
    <w:rsid w:val="006B4D58"/>
    <w:rsid w:val="006C29E9"/>
    <w:rsid w:val="006C55FC"/>
    <w:rsid w:val="006C7A50"/>
    <w:rsid w:val="006E1536"/>
    <w:rsid w:val="006E271C"/>
    <w:rsid w:val="006E55DC"/>
    <w:rsid w:val="006E63BA"/>
    <w:rsid w:val="006E7E8A"/>
    <w:rsid w:val="006F121C"/>
    <w:rsid w:val="007064BF"/>
    <w:rsid w:val="007146B7"/>
    <w:rsid w:val="007222FA"/>
    <w:rsid w:val="007245C1"/>
    <w:rsid w:val="007257F4"/>
    <w:rsid w:val="007316F2"/>
    <w:rsid w:val="00731BBC"/>
    <w:rsid w:val="00744DCB"/>
    <w:rsid w:val="00750C9F"/>
    <w:rsid w:val="007523F8"/>
    <w:rsid w:val="007540E2"/>
    <w:rsid w:val="007562E7"/>
    <w:rsid w:val="007637F1"/>
    <w:rsid w:val="00766AA6"/>
    <w:rsid w:val="007713BA"/>
    <w:rsid w:val="0077153B"/>
    <w:rsid w:val="0077312A"/>
    <w:rsid w:val="007753BB"/>
    <w:rsid w:val="00780C97"/>
    <w:rsid w:val="00780D0E"/>
    <w:rsid w:val="00785269"/>
    <w:rsid w:val="007859F1"/>
    <w:rsid w:val="0079419E"/>
    <w:rsid w:val="007A1605"/>
    <w:rsid w:val="007A4CB3"/>
    <w:rsid w:val="007A6358"/>
    <w:rsid w:val="007B036E"/>
    <w:rsid w:val="007B1BDE"/>
    <w:rsid w:val="007B1C00"/>
    <w:rsid w:val="007B232B"/>
    <w:rsid w:val="007B2D27"/>
    <w:rsid w:val="007B5CA3"/>
    <w:rsid w:val="007B7D89"/>
    <w:rsid w:val="007C11A5"/>
    <w:rsid w:val="007C1D89"/>
    <w:rsid w:val="007C1FB6"/>
    <w:rsid w:val="007D1647"/>
    <w:rsid w:val="007D59B6"/>
    <w:rsid w:val="007E3285"/>
    <w:rsid w:val="007E6CE4"/>
    <w:rsid w:val="007F22F2"/>
    <w:rsid w:val="007F6385"/>
    <w:rsid w:val="007F72CE"/>
    <w:rsid w:val="007F74E6"/>
    <w:rsid w:val="00804415"/>
    <w:rsid w:val="0080695F"/>
    <w:rsid w:val="00810287"/>
    <w:rsid w:val="00810EBB"/>
    <w:rsid w:val="00811C6C"/>
    <w:rsid w:val="00814E46"/>
    <w:rsid w:val="00820803"/>
    <w:rsid w:val="00823EEB"/>
    <w:rsid w:val="00834629"/>
    <w:rsid w:val="00843A3C"/>
    <w:rsid w:val="00844BEE"/>
    <w:rsid w:val="00853988"/>
    <w:rsid w:val="00857921"/>
    <w:rsid w:val="008646BE"/>
    <w:rsid w:val="008665E5"/>
    <w:rsid w:val="00874495"/>
    <w:rsid w:val="008772DF"/>
    <w:rsid w:val="008808A4"/>
    <w:rsid w:val="008817A1"/>
    <w:rsid w:val="00881F80"/>
    <w:rsid w:val="008862B8"/>
    <w:rsid w:val="0088655C"/>
    <w:rsid w:val="00893AD3"/>
    <w:rsid w:val="008A6FB0"/>
    <w:rsid w:val="008B28DC"/>
    <w:rsid w:val="008B291B"/>
    <w:rsid w:val="008B2D4D"/>
    <w:rsid w:val="008B389A"/>
    <w:rsid w:val="008B3B1C"/>
    <w:rsid w:val="008B4BE1"/>
    <w:rsid w:val="008C1D7D"/>
    <w:rsid w:val="008C7306"/>
    <w:rsid w:val="008D0DD2"/>
    <w:rsid w:val="008D2B99"/>
    <w:rsid w:val="008E18E4"/>
    <w:rsid w:val="008E5729"/>
    <w:rsid w:val="008E77BD"/>
    <w:rsid w:val="008E7885"/>
    <w:rsid w:val="008F0BEE"/>
    <w:rsid w:val="008F1672"/>
    <w:rsid w:val="008F3B56"/>
    <w:rsid w:val="008F4271"/>
    <w:rsid w:val="008F5FA1"/>
    <w:rsid w:val="009018C8"/>
    <w:rsid w:val="009022F7"/>
    <w:rsid w:val="00902EFE"/>
    <w:rsid w:val="00905DCD"/>
    <w:rsid w:val="0092363F"/>
    <w:rsid w:val="00924860"/>
    <w:rsid w:val="00925D80"/>
    <w:rsid w:val="009321FC"/>
    <w:rsid w:val="0093773E"/>
    <w:rsid w:val="00944CC6"/>
    <w:rsid w:val="009538C9"/>
    <w:rsid w:val="00954FF8"/>
    <w:rsid w:val="00956866"/>
    <w:rsid w:val="00961A35"/>
    <w:rsid w:val="0097347B"/>
    <w:rsid w:val="009748F5"/>
    <w:rsid w:val="00975DAD"/>
    <w:rsid w:val="009850B1"/>
    <w:rsid w:val="009864A4"/>
    <w:rsid w:val="009A283D"/>
    <w:rsid w:val="009A7A23"/>
    <w:rsid w:val="009B2BA5"/>
    <w:rsid w:val="009B3189"/>
    <w:rsid w:val="009C00B1"/>
    <w:rsid w:val="009D1D85"/>
    <w:rsid w:val="009E445F"/>
    <w:rsid w:val="009F0786"/>
    <w:rsid w:val="009F45AB"/>
    <w:rsid w:val="00A009C2"/>
    <w:rsid w:val="00A0167C"/>
    <w:rsid w:val="00A02245"/>
    <w:rsid w:val="00A05E22"/>
    <w:rsid w:val="00A077DD"/>
    <w:rsid w:val="00A177EC"/>
    <w:rsid w:val="00A3133A"/>
    <w:rsid w:val="00A3365D"/>
    <w:rsid w:val="00A41214"/>
    <w:rsid w:val="00A4158F"/>
    <w:rsid w:val="00A4760B"/>
    <w:rsid w:val="00A47B41"/>
    <w:rsid w:val="00A534A4"/>
    <w:rsid w:val="00A57AEB"/>
    <w:rsid w:val="00A61367"/>
    <w:rsid w:val="00A628DD"/>
    <w:rsid w:val="00A67699"/>
    <w:rsid w:val="00A74FCA"/>
    <w:rsid w:val="00A760BC"/>
    <w:rsid w:val="00A77F6C"/>
    <w:rsid w:val="00A83712"/>
    <w:rsid w:val="00A86D94"/>
    <w:rsid w:val="00A944E5"/>
    <w:rsid w:val="00A948F4"/>
    <w:rsid w:val="00A95FC3"/>
    <w:rsid w:val="00A960D1"/>
    <w:rsid w:val="00A97999"/>
    <w:rsid w:val="00AA017E"/>
    <w:rsid w:val="00AA7631"/>
    <w:rsid w:val="00AB21B5"/>
    <w:rsid w:val="00AB2E6D"/>
    <w:rsid w:val="00AB66AA"/>
    <w:rsid w:val="00AC0E14"/>
    <w:rsid w:val="00AC45DD"/>
    <w:rsid w:val="00AC6725"/>
    <w:rsid w:val="00AD3834"/>
    <w:rsid w:val="00AD5441"/>
    <w:rsid w:val="00AD61FC"/>
    <w:rsid w:val="00AD751A"/>
    <w:rsid w:val="00AE203C"/>
    <w:rsid w:val="00AE26B0"/>
    <w:rsid w:val="00AF4005"/>
    <w:rsid w:val="00B05A95"/>
    <w:rsid w:val="00B05F2B"/>
    <w:rsid w:val="00B158A9"/>
    <w:rsid w:val="00B274F0"/>
    <w:rsid w:val="00B31574"/>
    <w:rsid w:val="00B33336"/>
    <w:rsid w:val="00B341DB"/>
    <w:rsid w:val="00B5183F"/>
    <w:rsid w:val="00B54A52"/>
    <w:rsid w:val="00B562C0"/>
    <w:rsid w:val="00B75E83"/>
    <w:rsid w:val="00B77FC0"/>
    <w:rsid w:val="00B85D8E"/>
    <w:rsid w:val="00B8765C"/>
    <w:rsid w:val="00B87A14"/>
    <w:rsid w:val="00B970F6"/>
    <w:rsid w:val="00BA2670"/>
    <w:rsid w:val="00BA4102"/>
    <w:rsid w:val="00BA584C"/>
    <w:rsid w:val="00BB5646"/>
    <w:rsid w:val="00BC0195"/>
    <w:rsid w:val="00BC0766"/>
    <w:rsid w:val="00BC250A"/>
    <w:rsid w:val="00BC554C"/>
    <w:rsid w:val="00BD0C96"/>
    <w:rsid w:val="00BD0D8C"/>
    <w:rsid w:val="00BD5B01"/>
    <w:rsid w:val="00BE0F48"/>
    <w:rsid w:val="00BE1328"/>
    <w:rsid w:val="00BE56EC"/>
    <w:rsid w:val="00BF0863"/>
    <w:rsid w:val="00BF4FFC"/>
    <w:rsid w:val="00BF607B"/>
    <w:rsid w:val="00BF7CDC"/>
    <w:rsid w:val="00C01AF6"/>
    <w:rsid w:val="00C034DF"/>
    <w:rsid w:val="00C04E91"/>
    <w:rsid w:val="00C10181"/>
    <w:rsid w:val="00C140DE"/>
    <w:rsid w:val="00C15077"/>
    <w:rsid w:val="00C178C4"/>
    <w:rsid w:val="00C240A7"/>
    <w:rsid w:val="00C32468"/>
    <w:rsid w:val="00C37B43"/>
    <w:rsid w:val="00C432EE"/>
    <w:rsid w:val="00C45E25"/>
    <w:rsid w:val="00C517C8"/>
    <w:rsid w:val="00C5797C"/>
    <w:rsid w:val="00C60E6E"/>
    <w:rsid w:val="00C65423"/>
    <w:rsid w:val="00C73981"/>
    <w:rsid w:val="00C74F50"/>
    <w:rsid w:val="00C76091"/>
    <w:rsid w:val="00C779E6"/>
    <w:rsid w:val="00C80F7A"/>
    <w:rsid w:val="00C84175"/>
    <w:rsid w:val="00C853DD"/>
    <w:rsid w:val="00C9052D"/>
    <w:rsid w:val="00C91D29"/>
    <w:rsid w:val="00C954F3"/>
    <w:rsid w:val="00C957B7"/>
    <w:rsid w:val="00C965ED"/>
    <w:rsid w:val="00CA0D94"/>
    <w:rsid w:val="00CA3A5A"/>
    <w:rsid w:val="00CA6129"/>
    <w:rsid w:val="00CB0EB6"/>
    <w:rsid w:val="00CB5167"/>
    <w:rsid w:val="00CB5F88"/>
    <w:rsid w:val="00CD05DE"/>
    <w:rsid w:val="00CD0F22"/>
    <w:rsid w:val="00CD739E"/>
    <w:rsid w:val="00CE67E2"/>
    <w:rsid w:val="00CF0186"/>
    <w:rsid w:val="00CF0CFD"/>
    <w:rsid w:val="00CF63CC"/>
    <w:rsid w:val="00CF6F5D"/>
    <w:rsid w:val="00D011F0"/>
    <w:rsid w:val="00D01C5F"/>
    <w:rsid w:val="00D03820"/>
    <w:rsid w:val="00D0687F"/>
    <w:rsid w:val="00D06DF3"/>
    <w:rsid w:val="00D07D3E"/>
    <w:rsid w:val="00D13EB8"/>
    <w:rsid w:val="00D24C80"/>
    <w:rsid w:val="00D25437"/>
    <w:rsid w:val="00D259F7"/>
    <w:rsid w:val="00D412C1"/>
    <w:rsid w:val="00D42512"/>
    <w:rsid w:val="00D43D00"/>
    <w:rsid w:val="00D43F09"/>
    <w:rsid w:val="00D467BC"/>
    <w:rsid w:val="00D502A0"/>
    <w:rsid w:val="00D50DB8"/>
    <w:rsid w:val="00D54B0F"/>
    <w:rsid w:val="00D55CE9"/>
    <w:rsid w:val="00D60D6C"/>
    <w:rsid w:val="00D63CF5"/>
    <w:rsid w:val="00D65FE4"/>
    <w:rsid w:val="00D70EB5"/>
    <w:rsid w:val="00D75664"/>
    <w:rsid w:val="00D77282"/>
    <w:rsid w:val="00D81ED1"/>
    <w:rsid w:val="00D82E7D"/>
    <w:rsid w:val="00D835D7"/>
    <w:rsid w:val="00D8550B"/>
    <w:rsid w:val="00D912ED"/>
    <w:rsid w:val="00D93CF8"/>
    <w:rsid w:val="00D94477"/>
    <w:rsid w:val="00D96654"/>
    <w:rsid w:val="00D96C1E"/>
    <w:rsid w:val="00DA368A"/>
    <w:rsid w:val="00DA3A7C"/>
    <w:rsid w:val="00DA4168"/>
    <w:rsid w:val="00DA4B5F"/>
    <w:rsid w:val="00DA6628"/>
    <w:rsid w:val="00DA72F1"/>
    <w:rsid w:val="00DB25F3"/>
    <w:rsid w:val="00DB2EB3"/>
    <w:rsid w:val="00DB62DC"/>
    <w:rsid w:val="00DC0C5F"/>
    <w:rsid w:val="00DC1EF4"/>
    <w:rsid w:val="00DC7759"/>
    <w:rsid w:val="00DC7AF3"/>
    <w:rsid w:val="00DD016E"/>
    <w:rsid w:val="00DD1C15"/>
    <w:rsid w:val="00DD2441"/>
    <w:rsid w:val="00DD24CB"/>
    <w:rsid w:val="00DD6919"/>
    <w:rsid w:val="00DE1A85"/>
    <w:rsid w:val="00DE2E57"/>
    <w:rsid w:val="00DE5FB8"/>
    <w:rsid w:val="00DE6BC8"/>
    <w:rsid w:val="00DE7738"/>
    <w:rsid w:val="00DF0C09"/>
    <w:rsid w:val="00DF0F0E"/>
    <w:rsid w:val="00DF1B00"/>
    <w:rsid w:val="00DF1D5A"/>
    <w:rsid w:val="00DF408D"/>
    <w:rsid w:val="00DF7DB5"/>
    <w:rsid w:val="00E00962"/>
    <w:rsid w:val="00E03BA6"/>
    <w:rsid w:val="00E1011E"/>
    <w:rsid w:val="00E11CF7"/>
    <w:rsid w:val="00E1750C"/>
    <w:rsid w:val="00E219B5"/>
    <w:rsid w:val="00E3165C"/>
    <w:rsid w:val="00E34222"/>
    <w:rsid w:val="00E438D7"/>
    <w:rsid w:val="00E44113"/>
    <w:rsid w:val="00E463AA"/>
    <w:rsid w:val="00E50BD5"/>
    <w:rsid w:val="00E5740D"/>
    <w:rsid w:val="00E57EA1"/>
    <w:rsid w:val="00E63796"/>
    <w:rsid w:val="00E700E8"/>
    <w:rsid w:val="00E70DE1"/>
    <w:rsid w:val="00E71979"/>
    <w:rsid w:val="00E72C50"/>
    <w:rsid w:val="00E75732"/>
    <w:rsid w:val="00E77FC6"/>
    <w:rsid w:val="00E81216"/>
    <w:rsid w:val="00E84922"/>
    <w:rsid w:val="00E855C8"/>
    <w:rsid w:val="00E91DFF"/>
    <w:rsid w:val="00E924B3"/>
    <w:rsid w:val="00E93F07"/>
    <w:rsid w:val="00EA0470"/>
    <w:rsid w:val="00EA1228"/>
    <w:rsid w:val="00EA148D"/>
    <w:rsid w:val="00EA2F84"/>
    <w:rsid w:val="00EA5B59"/>
    <w:rsid w:val="00EA674E"/>
    <w:rsid w:val="00EA6C37"/>
    <w:rsid w:val="00EB24E6"/>
    <w:rsid w:val="00EB6CCE"/>
    <w:rsid w:val="00EB6EE6"/>
    <w:rsid w:val="00EB7665"/>
    <w:rsid w:val="00EC4D5A"/>
    <w:rsid w:val="00EC7022"/>
    <w:rsid w:val="00EC77DF"/>
    <w:rsid w:val="00ED5EED"/>
    <w:rsid w:val="00ED7611"/>
    <w:rsid w:val="00EF73A0"/>
    <w:rsid w:val="00F00456"/>
    <w:rsid w:val="00F01138"/>
    <w:rsid w:val="00F02529"/>
    <w:rsid w:val="00F04F03"/>
    <w:rsid w:val="00F141B7"/>
    <w:rsid w:val="00F144A7"/>
    <w:rsid w:val="00F152D2"/>
    <w:rsid w:val="00F15B67"/>
    <w:rsid w:val="00F208BE"/>
    <w:rsid w:val="00F2184C"/>
    <w:rsid w:val="00F3369A"/>
    <w:rsid w:val="00F42EE3"/>
    <w:rsid w:val="00F4494E"/>
    <w:rsid w:val="00F5421C"/>
    <w:rsid w:val="00F62E06"/>
    <w:rsid w:val="00F6375E"/>
    <w:rsid w:val="00F678FF"/>
    <w:rsid w:val="00F76D1F"/>
    <w:rsid w:val="00F83C76"/>
    <w:rsid w:val="00F85179"/>
    <w:rsid w:val="00F86102"/>
    <w:rsid w:val="00F8690C"/>
    <w:rsid w:val="00F9171C"/>
    <w:rsid w:val="00F92103"/>
    <w:rsid w:val="00F948D6"/>
    <w:rsid w:val="00F95DE8"/>
    <w:rsid w:val="00F96AB5"/>
    <w:rsid w:val="00FA6709"/>
    <w:rsid w:val="00FB54D6"/>
    <w:rsid w:val="00FB7ED6"/>
    <w:rsid w:val="00FC05B9"/>
    <w:rsid w:val="00FD6CE6"/>
    <w:rsid w:val="00FE06E0"/>
    <w:rsid w:val="00FE14C3"/>
    <w:rsid w:val="00FE1979"/>
    <w:rsid w:val="00FE390E"/>
    <w:rsid w:val="00FE40D6"/>
    <w:rsid w:val="00FE5649"/>
    <w:rsid w:val="00FE66C8"/>
    <w:rsid w:val="00FE6E22"/>
    <w:rsid w:val="00FE7F47"/>
    <w:rsid w:val="00FF3F91"/>
    <w:rsid w:val="00FF47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85248"/>
    <w:rPr>
      <w:sz w:val="20"/>
      <w:szCs w:val="20"/>
    </w:rPr>
  </w:style>
  <w:style w:type="character" w:styleId="FootnoteReference">
    <w:name w:val="footnote reference"/>
    <w:uiPriority w:val="99"/>
    <w:semiHidden/>
    <w:rsid w:val="00085248"/>
    <w:rPr>
      <w:vertAlign w:val="superscript"/>
    </w:rPr>
  </w:style>
  <w:style w:type="paragraph" w:styleId="Header">
    <w:name w:val="header"/>
    <w:basedOn w:val="Normal"/>
    <w:rsid w:val="00264A10"/>
    <w:pPr>
      <w:tabs>
        <w:tab w:val="center" w:pos="4153"/>
        <w:tab w:val="right" w:pos="8306"/>
      </w:tabs>
    </w:pPr>
  </w:style>
  <w:style w:type="character" w:styleId="PageNumber">
    <w:name w:val="page number"/>
    <w:basedOn w:val="DefaultParagraphFont"/>
    <w:rsid w:val="00264A10"/>
  </w:style>
  <w:style w:type="table" w:styleId="TableGrid">
    <w:name w:val="Table Grid"/>
    <w:basedOn w:val="TableNormal"/>
    <w:uiPriority w:val="59"/>
    <w:rsid w:val="00D2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57921"/>
    <w:pPr>
      <w:tabs>
        <w:tab w:val="center" w:pos="4153"/>
        <w:tab w:val="right" w:pos="8306"/>
      </w:tabs>
    </w:pPr>
  </w:style>
  <w:style w:type="character" w:customStyle="1" w:styleId="FootnoteTextChar">
    <w:name w:val="Footnote Text Char"/>
    <w:basedOn w:val="DefaultParagraphFont"/>
    <w:link w:val="FootnoteText"/>
    <w:uiPriority w:val="99"/>
    <w:semiHidden/>
    <w:rsid w:val="00C01AF6"/>
  </w:style>
  <w:style w:type="character" w:styleId="Hyperlink">
    <w:name w:val="Hyperlink"/>
    <w:uiPriority w:val="99"/>
    <w:unhideWhenUsed/>
    <w:rsid w:val="007713BA"/>
    <w:rPr>
      <w:color w:val="0000FF"/>
      <w:u w:val="single"/>
    </w:rPr>
  </w:style>
  <w:style w:type="paragraph" w:styleId="EndnoteText">
    <w:name w:val="endnote text"/>
    <w:basedOn w:val="Normal"/>
    <w:link w:val="EndnoteTextChar"/>
    <w:rsid w:val="00D75664"/>
    <w:rPr>
      <w:sz w:val="20"/>
      <w:szCs w:val="20"/>
    </w:rPr>
  </w:style>
  <w:style w:type="character" w:customStyle="1" w:styleId="EndnoteTextChar">
    <w:name w:val="Endnote Text Char"/>
    <w:basedOn w:val="DefaultParagraphFont"/>
    <w:link w:val="EndnoteText"/>
    <w:rsid w:val="00D75664"/>
  </w:style>
  <w:style w:type="character" w:styleId="EndnoteReference">
    <w:name w:val="endnote reference"/>
    <w:rsid w:val="00D75664"/>
    <w:rPr>
      <w:vertAlign w:val="superscript"/>
    </w:rPr>
  </w:style>
  <w:style w:type="paragraph" w:styleId="BalloonText">
    <w:name w:val="Balloon Text"/>
    <w:basedOn w:val="Normal"/>
    <w:link w:val="BalloonTextChar"/>
    <w:rsid w:val="008D2B99"/>
    <w:rPr>
      <w:rFonts w:ascii="Tahoma" w:hAnsi="Tahoma" w:cs="Tahoma"/>
      <w:sz w:val="16"/>
      <w:szCs w:val="16"/>
    </w:rPr>
  </w:style>
  <w:style w:type="character" w:customStyle="1" w:styleId="BalloonTextChar">
    <w:name w:val="Balloon Text Char"/>
    <w:link w:val="BalloonText"/>
    <w:rsid w:val="008D2B99"/>
    <w:rPr>
      <w:rFonts w:ascii="Tahoma" w:hAnsi="Tahoma" w:cs="Tahoma"/>
      <w:sz w:val="16"/>
      <w:szCs w:val="16"/>
    </w:rPr>
  </w:style>
  <w:style w:type="paragraph" w:customStyle="1" w:styleId="Table">
    <w:name w:val="Table"/>
    <w:basedOn w:val="Normal"/>
    <w:next w:val="Normal"/>
    <w:link w:val="TableZchn"/>
    <w:rsid w:val="00A05E22"/>
    <w:pPr>
      <w:spacing w:before="240" w:after="120"/>
      <w:ind w:left="851" w:hanging="851"/>
      <w:jc w:val="both"/>
    </w:pPr>
    <w:rPr>
      <w:i/>
      <w:szCs w:val="20"/>
      <w:lang w:eastAsia="de-AT"/>
    </w:rPr>
  </w:style>
  <w:style w:type="character" w:customStyle="1" w:styleId="TableZchn">
    <w:name w:val="Table Zchn"/>
    <w:link w:val="Table"/>
    <w:locked/>
    <w:rsid w:val="00A05E22"/>
    <w:rPr>
      <w:i/>
      <w:sz w:val="24"/>
      <w:lang w:eastAsia="de-AT"/>
    </w:rPr>
  </w:style>
  <w:style w:type="paragraph" w:styleId="ListParagraph">
    <w:name w:val="List Paragraph"/>
    <w:basedOn w:val="Normal"/>
    <w:uiPriority w:val="34"/>
    <w:qFormat/>
    <w:rsid w:val="00A05E2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ource">
    <w:name w:val="Source"/>
    <w:basedOn w:val="Normal"/>
    <w:next w:val="Normal"/>
    <w:link w:val="SourceZchn"/>
    <w:rsid w:val="00A05E22"/>
    <w:pPr>
      <w:spacing w:before="60" w:after="240"/>
      <w:ind w:left="907" w:hanging="907"/>
      <w:jc w:val="both"/>
    </w:pPr>
    <w:rPr>
      <w:i/>
      <w:sz w:val="18"/>
      <w:szCs w:val="20"/>
      <w:lang w:eastAsia="de-AT"/>
    </w:rPr>
  </w:style>
  <w:style w:type="character" w:customStyle="1" w:styleId="SourceZchn">
    <w:name w:val="Source Zchn"/>
    <w:link w:val="Source"/>
    <w:locked/>
    <w:rsid w:val="00A05E22"/>
    <w:rPr>
      <w:i/>
      <w:sz w:val="18"/>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85248"/>
    <w:rPr>
      <w:sz w:val="20"/>
      <w:szCs w:val="20"/>
    </w:rPr>
  </w:style>
  <w:style w:type="character" w:styleId="FootnoteReference">
    <w:name w:val="footnote reference"/>
    <w:uiPriority w:val="99"/>
    <w:semiHidden/>
    <w:rsid w:val="00085248"/>
    <w:rPr>
      <w:vertAlign w:val="superscript"/>
    </w:rPr>
  </w:style>
  <w:style w:type="paragraph" w:styleId="Header">
    <w:name w:val="header"/>
    <w:basedOn w:val="Normal"/>
    <w:rsid w:val="00264A10"/>
    <w:pPr>
      <w:tabs>
        <w:tab w:val="center" w:pos="4153"/>
        <w:tab w:val="right" w:pos="8306"/>
      </w:tabs>
    </w:pPr>
  </w:style>
  <w:style w:type="character" w:styleId="PageNumber">
    <w:name w:val="page number"/>
    <w:basedOn w:val="DefaultParagraphFont"/>
    <w:rsid w:val="00264A10"/>
  </w:style>
  <w:style w:type="table" w:styleId="TableGrid">
    <w:name w:val="Table Grid"/>
    <w:basedOn w:val="TableNormal"/>
    <w:uiPriority w:val="59"/>
    <w:rsid w:val="00D2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57921"/>
    <w:pPr>
      <w:tabs>
        <w:tab w:val="center" w:pos="4153"/>
        <w:tab w:val="right" w:pos="8306"/>
      </w:tabs>
    </w:pPr>
  </w:style>
  <w:style w:type="character" w:customStyle="1" w:styleId="FootnoteTextChar">
    <w:name w:val="Footnote Text Char"/>
    <w:basedOn w:val="DefaultParagraphFont"/>
    <w:link w:val="FootnoteText"/>
    <w:uiPriority w:val="99"/>
    <w:semiHidden/>
    <w:rsid w:val="00C01AF6"/>
  </w:style>
  <w:style w:type="character" w:styleId="Hyperlink">
    <w:name w:val="Hyperlink"/>
    <w:uiPriority w:val="99"/>
    <w:unhideWhenUsed/>
    <w:rsid w:val="007713BA"/>
    <w:rPr>
      <w:color w:val="0000FF"/>
      <w:u w:val="single"/>
    </w:rPr>
  </w:style>
  <w:style w:type="paragraph" w:styleId="EndnoteText">
    <w:name w:val="endnote text"/>
    <w:basedOn w:val="Normal"/>
    <w:link w:val="EndnoteTextChar"/>
    <w:rsid w:val="00D75664"/>
    <w:rPr>
      <w:sz w:val="20"/>
      <w:szCs w:val="20"/>
    </w:rPr>
  </w:style>
  <w:style w:type="character" w:customStyle="1" w:styleId="EndnoteTextChar">
    <w:name w:val="Endnote Text Char"/>
    <w:basedOn w:val="DefaultParagraphFont"/>
    <w:link w:val="EndnoteText"/>
    <w:rsid w:val="00D75664"/>
  </w:style>
  <w:style w:type="character" w:styleId="EndnoteReference">
    <w:name w:val="endnote reference"/>
    <w:rsid w:val="00D75664"/>
    <w:rPr>
      <w:vertAlign w:val="superscript"/>
    </w:rPr>
  </w:style>
  <w:style w:type="paragraph" w:styleId="BalloonText">
    <w:name w:val="Balloon Text"/>
    <w:basedOn w:val="Normal"/>
    <w:link w:val="BalloonTextChar"/>
    <w:rsid w:val="008D2B99"/>
    <w:rPr>
      <w:rFonts w:ascii="Tahoma" w:hAnsi="Tahoma" w:cs="Tahoma"/>
      <w:sz w:val="16"/>
      <w:szCs w:val="16"/>
    </w:rPr>
  </w:style>
  <w:style w:type="character" w:customStyle="1" w:styleId="BalloonTextChar">
    <w:name w:val="Balloon Text Char"/>
    <w:link w:val="BalloonText"/>
    <w:rsid w:val="008D2B99"/>
    <w:rPr>
      <w:rFonts w:ascii="Tahoma" w:hAnsi="Tahoma" w:cs="Tahoma"/>
      <w:sz w:val="16"/>
      <w:szCs w:val="16"/>
    </w:rPr>
  </w:style>
  <w:style w:type="paragraph" w:customStyle="1" w:styleId="Table">
    <w:name w:val="Table"/>
    <w:basedOn w:val="Normal"/>
    <w:next w:val="Normal"/>
    <w:link w:val="TableZchn"/>
    <w:rsid w:val="00A05E22"/>
    <w:pPr>
      <w:spacing w:before="240" w:after="120"/>
      <w:ind w:left="851" w:hanging="851"/>
      <w:jc w:val="both"/>
    </w:pPr>
    <w:rPr>
      <w:i/>
      <w:szCs w:val="20"/>
      <w:lang w:eastAsia="de-AT"/>
    </w:rPr>
  </w:style>
  <w:style w:type="character" w:customStyle="1" w:styleId="TableZchn">
    <w:name w:val="Table Zchn"/>
    <w:link w:val="Table"/>
    <w:locked/>
    <w:rsid w:val="00A05E22"/>
    <w:rPr>
      <w:i/>
      <w:sz w:val="24"/>
      <w:lang w:eastAsia="de-AT"/>
    </w:rPr>
  </w:style>
  <w:style w:type="paragraph" w:styleId="ListParagraph">
    <w:name w:val="List Paragraph"/>
    <w:basedOn w:val="Normal"/>
    <w:uiPriority w:val="34"/>
    <w:qFormat/>
    <w:rsid w:val="00A05E2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ource">
    <w:name w:val="Source"/>
    <w:basedOn w:val="Normal"/>
    <w:next w:val="Normal"/>
    <w:link w:val="SourceZchn"/>
    <w:rsid w:val="00A05E22"/>
    <w:pPr>
      <w:spacing w:before="60" w:after="240"/>
      <w:ind w:left="907" w:hanging="907"/>
      <w:jc w:val="both"/>
    </w:pPr>
    <w:rPr>
      <w:i/>
      <w:sz w:val="18"/>
      <w:szCs w:val="20"/>
      <w:lang w:eastAsia="de-AT"/>
    </w:rPr>
  </w:style>
  <w:style w:type="character" w:customStyle="1" w:styleId="SourceZchn">
    <w:name w:val="Source Zchn"/>
    <w:link w:val="Source"/>
    <w:locked/>
    <w:rsid w:val="00A05E22"/>
    <w:rPr>
      <w:i/>
      <w:sz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3090">
      <w:bodyDiv w:val="1"/>
      <w:marLeft w:val="0"/>
      <w:marRight w:val="0"/>
      <w:marTop w:val="0"/>
      <w:marBottom w:val="0"/>
      <w:divBdr>
        <w:top w:val="none" w:sz="0" w:space="0" w:color="auto"/>
        <w:left w:val="none" w:sz="0" w:space="0" w:color="auto"/>
        <w:bottom w:val="none" w:sz="0" w:space="0" w:color="auto"/>
        <w:right w:val="none" w:sz="0" w:space="0" w:color="auto"/>
      </w:divBdr>
      <w:divsChild>
        <w:div w:id="9935321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sites.google.com/site/matthiasmory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tthias.morys@york.ac.uk"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7366-2541-4855-B219-83753C8D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ED81FC4D.dotm</Template>
  <TotalTime>20</TotalTime>
  <Pages>23</Pages>
  <Words>7305</Words>
  <Characters>41644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1</vt:lpstr>
    </vt:vector>
  </TitlesOfParts>
  <Company>The University of York</Company>
  <LinksUpToDate>false</LinksUpToDate>
  <CharactersWithSpaces>48852</CharactersWithSpaces>
  <SharedDoc>false</SharedDoc>
  <HLinks>
    <vt:vector size="12" baseType="variant">
      <vt:variant>
        <vt:i4>5111886</vt:i4>
      </vt:variant>
      <vt:variant>
        <vt:i4>3</vt:i4>
      </vt:variant>
      <vt:variant>
        <vt:i4>0</vt:i4>
      </vt:variant>
      <vt:variant>
        <vt:i4>5</vt:i4>
      </vt:variant>
      <vt:variant>
        <vt:lpwstr>https://sites.google.com/site/matthiasmorys/</vt:lpwstr>
      </vt:variant>
      <vt:variant>
        <vt:lpwstr/>
      </vt:variant>
      <vt:variant>
        <vt:i4>2752538</vt:i4>
      </vt:variant>
      <vt:variant>
        <vt:i4>0</vt:i4>
      </vt:variant>
      <vt:variant>
        <vt:i4>0</vt:i4>
      </vt:variant>
      <vt:variant>
        <vt:i4>5</vt:i4>
      </vt:variant>
      <vt:variant>
        <vt:lpwstr>mailto:matthias.morys@york.ac.uk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Matthias Morys</dc:creator>
  <cp:lastModifiedBy>Matthias Morys</cp:lastModifiedBy>
  <cp:revision>3</cp:revision>
  <cp:lastPrinted>2016-09-04T15:34:00Z</cp:lastPrinted>
  <dcterms:created xsi:type="dcterms:W3CDTF">2016-09-04T15:50:00Z</dcterms:created>
  <dcterms:modified xsi:type="dcterms:W3CDTF">2016-09-04T16:09:00Z</dcterms:modified>
</cp:coreProperties>
</file>