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8A25" w14:textId="2218DD10" w:rsidR="00D6333F" w:rsidRDefault="00D6333F" w:rsidP="00E1100D">
      <w:pPr>
        <w:pStyle w:val="Title"/>
        <w:spacing w:line="360" w:lineRule="auto"/>
        <w:jc w:val="center"/>
        <w:rPr>
          <w:rFonts w:ascii="Times New Roman" w:hAnsi="Times New Roman" w:cs="Times New Roman"/>
          <w:sz w:val="44"/>
          <w:szCs w:val="44"/>
        </w:rPr>
      </w:pPr>
      <w:bookmarkStart w:id="0" w:name="_Hlk481580763"/>
      <w:r w:rsidRPr="00D6333F">
        <w:rPr>
          <w:rFonts w:ascii="Times New Roman" w:hAnsi="Times New Roman" w:cs="Times New Roman"/>
          <w:sz w:val="44"/>
          <w:szCs w:val="44"/>
        </w:rPr>
        <w:t xml:space="preserve">Green profiling of </w:t>
      </w:r>
      <w:r w:rsidR="001A26E9" w:rsidRPr="00D6333F">
        <w:rPr>
          <w:rFonts w:ascii="Times New Roman" w:hAnsi="Times New Roman" w:cs="Times New Roman"/>
          <w:sz w:val="44"/>
          <w:szCs w:val="44"/>
        </w:rPr>
        <w:t xml:space="preserve">Aprotic </w:t>
      </w:r>
      <w:r w:rsidR="008231B5" w:rsidRPr="00D70839">
        <w:rPr>
          <w:rFonts w:ascii="Times New Roman" w:hAnsi="Times New Roman" w:cs="Times New Roman"/>
          <w:i/>
          <w:sz w:val="44"/>
          <w:szCs w:val="44"/>
        </w:rPr>
        <w:t>versus</w:t>
      </w:r>
      <w:r w:rsidR="00D70839">
        <w:rPr>
          <w:rFonts w:ascii="Times New Roman" w:hAnsi="Times New Roman" w:cs="Times New Roman"/>
          <w:i/>
          <w:sz w:val="44"/>
          <w:szCs w:val="44"/>
        </w:rPr>
        <w:t xml:space="preserve"> </w:t>
      </w:r>
      <w:r w:rsidR="001A26E9" w:rsidRPr="00D6333F">
        <w:rPr>
          <w:rFonts w:ascii="Times New Roman" w:hAnsi="Times New Roman" w:cs="Times New Roman"/>
          <w:sz w:val="44"/>
          <w:szCs w:val="44"/>
        </w:rPr>
        <w:t xml:space="preserve">Protic </w:t>
      </w:r>
      <w:r w:rsidRPr="00D6333F">
        <w:rPr>
          <w:rFonts w:ascii="Times New Roman" w:hAnsi="Times New Roman" w:cs="Times New Roman"/>
          <w:sz w:val="44"/>
          <w:szCs w:val="44"/>
        </w:rPr>
        <w:t>Ionic Liquids:</w:t>
      </w:r>
      <w:r w:rsidR="003E1ED7">
        <w:rPr>
          <w:rFonts w:ascii="Times New Roman" w:hAnsi="Times New Roman" w:cs="Times New Roman"/>
          <w:sz w:val="44"/>
          <w:szCs w:val="44"/>
        </w:rPr>
        <w:t xml:space="preserve"> Synthesis and Microbial t</w:t>
      </w:r>
      <w:r w:rsidR="00E80222">
        <w:rPr>
          <w:rFonts w:ascii="Times New Roman" w:hAnsi="Times New Roman" w:cs="Times New Roman"/>
          <w:sz w:val="44"/>
          <w:szCs w:val="44"/>
        </w:rPr>
        <w:t>oxicity of analogous structures</w:t>
      </w:r>
      <w:bookmarkEnd w:id="0"/>
    </w:p>
    <w:p w14:paraId="438900C9" w14:textId="524D65A9" w:rsidR="00FD0CB4" w:rsidRDefault="00FD0CB4" w:rsidP="00FD0CB4">
      <w:pPr>
        <w:spacing w:line="360" w:lineRule="auto"/>
        <w:jc w:val="center"/>
        <w:rPr>
          <w:i/>
          <w:vertAlign w:val="superscript"/>
        </w:rPr>
      </w:pPr>
      <w:r>
        <w:rPr>
          <w:i/>
        </w:rPr>
        <w:t>Joshua E. S. J. Reid,</w:t>
      </w:r>
      <w:r w:rsidRPr="00CF35B9">
        <w:rPr>
          <w:i/>
          <w:vertAlign w:val="superscript"/>
        </w:rPr>
        <w:t>a,b</w:t>
      </w:r>
      <w:r w:rsidR="00CF1B23">
        <w:rPr>
          <w:i/>
          <w:vertAlign w:val="superscript"/>
        </w:rPr>
        <w:t>+</w:t>
      </w:r>
      <w:r>
        <w:rPr>
          <w:i/>
        </w:rPr>
        <w:t xml:space="preserve"> Hannah Prydderch,</w:t>
      </w:r>
      <w:r>
        <w:rPr>
          <w:i/>
          <w:vertAlign w:val="superscript"/>
        </w:rPr>
        <w:t>,c,$</w:t>
      </w:r>
      <w:r w:rsidR="00CF1B23">
        <w:rPr>
          <w:i/>
          <w:vertAlign w:val="superscript"/>
        </w:rPr>
        <w:t>+</w:t>
      </w:r>
      <w:r>
        <w:rPr>
          <w:i/>
        </w:rPr>
        <w:t xml:space="preserve"> </w:t>
      </w:r>
      <w:r w:rsidRPr="002E70EF">
        <w:rPr>
          <w:i/>
        </w:rPr>
        <w:t>Marcel Spulak</w:t>
      </w:r>
      <w:r>
        <w:rPr>
          <w:i/>
        </w:rPr>
        <w:t>,</w:t>
      </w:r>
      <w:r>
        <w:rPr>
          <w:i/>
          <w:vertAlign w:val="superscript"/>
        </w:rPr>
        <w:t>d</w:t>
      </w:r>
      <w:r>
        <w:rPr>
          <w:i/>
        </w:rPr>
        <w:t xml:space="preserve"> Seishi Shimizu,</w:t>
      </w:r>
      <w:r>
        <w:rPr>
          <w:i/>
          <w:vertAlign w:val="superscript"/>
        </w:rPr>
        <w:t>a</w:t>
      </w:r>
      <w:r>
        <w:rPr>
          <w:i/>
        </w:rPr>
        <w:t xml:space="preserve"> Adam J. Walker</w:t>
      </w:r>
      <w:r>
        <w:rPr>
          <w:i/>
          <w:vertAlign w:val="superscript"/>
        </w:rPr>
        <w:t>b</w:t>
      </w:r>
      <w:r>
        <w:rPr>
          <w:i/>
        </w:rPr>
        <w:t xml:space="preserve"> and Nicholas Gathergood</w:t>
      </w:r>
      <w:r w:rsidRPr="00FA4FF6">
        <w:rPr>
          <w:rFonts w:eastAsia="TimesNewRoman" w:cs="Times New Roman"/>
          <w:szCs w:val="24"/>
        </w:rPr>
        <w:t>*</w:t>
      </w:r>
      <w:r>
        <w:rPr>
          <w:i/>
          <w:vertAlign w:val="superscript"/>
        </w:rPr>
        <w:t>e</w:t>
      </w:r>
    </w:p>
    <w:p w14:paraId="229AC46E" w14:textId="77777777" w:rsidR="001A153F" w:rsidRDefault="00FD0CB4" w:rsidP="00FD0CB4">
      <w:pPr>
        <w:spacing w:line="360" w:lineRule="auto"/>
        <w:jc w:val="center"/>
      </w:pPr>
      <w:r w:rsidRPr="006A1EB1">
        <w:rPr>
          <w:i/>
          <w:vertAlign w:val="superscript"/>
        </w:rPr>
        <w:t>a</w:t>
      </w:r>
      <w:r w:rsidRPr="006A1EB1">
        <w:t>York Structural Biology Laboratory, Department of Chemistry, University of York, Heslington, York YO105DD, United Kingdom</w:t>
      </w:r>
    </w:p>
    <w:p w14:paraId="79EFFE2D" w14:textId="266E7678" w:rsidR="00FD0CB4" w:rsidRPr="006A1EB1" w:rsidRDefault="00FD0CB4" w:rsidP="00FD0CB4">
      <w:pPr>
        <w:spacing w:line="360" w:lineRule="auto"/>
        <w:jc w:val="center"/>
      </w:pPr>
      <w:r w:rsidRPr="006A1EB1">
        <w:rPr>
          <w:i/>
          <w:vertAlign w:val="superscript"/>
        </w:rPr>
        <w:t>b</w:t>
      </w:r>
      <w:r w:rsidRPr="006A1EB1">
        <w:t>TWI Ltd., Granta Park, Great Abington, Cambridge, CB216AL, United Kingdom</w:t>
      </w:r>
    </w:p>
    <w:p w14:paraId="06F6F86A" w14:textId="77777777" w:rsidR="00FD0CB4" w:rsidRDefault="00FD0CB4" w:rsidP="00FD0CB4">
      <w:pPr>
        <w:spacing w:line="360" w:lineRule="auto"/>
        <w:jc w:val="center"/>
        <w:rPr>
          <w:rFonts w:cs="Times New Roman"/>
        </w:rPr>
      </w:pPr>
      <w:r w:rsidRPr="006A1EB1">
        <w:rPr>
          <w:rFonts w:cs="Times New Roman"/>
          <w:i/>
          <w:vertAlign w:val="superscript"/>
        </w:rPr>
        <w:t>c</w:t>
      </w:r>
      <w:r w:rsidRPr="006A1EB1">
        <w:rPr>
          <w:rFonts w:cs="Times New Roman"/>
        </w:rPr>
        <w:t>School of Chemical Sciences, Dublin City University, Glasnevin, Dublin 9, Ireland</w:t>
      </w:r>
    </w:p>
    <w:p w14:paraId="4BA4BBEB" w14:textId="77777777" w:rsidR="00FD0CB4" w:rsidRPr="009A3223" w:rsidRDefault="00FD0CB4" w:rsidP="00FD0CB4">
      <w:pPr>
        <w:spacing w:line="360" w:lineRule="auto"/>
        <w:jc w:val="center"/>
        <w:rPr>
          <w:rFonts w:cs="Times New Roman"/>
        </w:rPr>
      </w:pPr>
      <w:r w:rsidRPr="001A153F">
        <w:rPr>
          <w:rFonts w:cs="Times New Roman"/>
          <w:i/>
          <w:vertAlign w:val="superscript"/>
        </w:rPr>
        <w:t>d</w:t>
      </w:r>
      <w:r w:rsidRPr="009A3223">
        <w:rPr>
          <w:rFonts w:cs="Times New Roman"/>
        </w:rPr>
        <w:t>Department of Inorganic and Organic Chemistry, Charles University, Faculty of Pharmacy, Heyrovského 1203, CZ-500 03 Hradec Králové, Czech Republic</w:t>
      </w:r>
    </w:p>
    <w:p w14:paraId="09CA162B" w14:textId="2E6FFB77" w:rsidR="00FD0CB4" w:rsidRPr="006A1EB1" w:rsidRDefault="00FD0CB4" w:rsidP="001A153F">
      <w:pPr>
        <w:spacing w:line="360" w:lineRule="auto"/>
        <w:jc w:val="center"/>
        <w:rPr>
          <w:rFonts w:cs="Times New Roman"/>
        </w:rPr>
      </w:pPr>
      <w:r>
        <w:rPr>
          <w:rFonts w:cs="Times New Roman"/>
          <w:i/>
          <w:vertAlign w:val="superscript"/>
        </w:rPr>
        <w:t>e</w:t>
      </w:r>
      <w:r w:rsidRPr="006A1EB1">
        <w:rPr>
          <w:rFonts w:cs="Times New Roman"/>
          <w:i/>
          <w:vertAlign w:val="superscript"/>
        </w:rPr>
        <w:t xml:space="preserve"> </w:t>
      </w:r>
      <w:r w:rsidR="005B5144" w:rsidRPr="00B92EAC">
        <w:rPr>
          <w:rFonts w:cs="Times New Roman"/>
        </w:rPr>
        <w:t>ERA</w:t>
      </w:r>
      <w:r w:rsidR="005B5144" w:rsidRPr="00362720">
        <w:rPr>
          <w:rFonts w:cs="Times New Roman"/>
          <w:i/>
        </w:rPr>
        <w:t xml:space="preserve"> </w:t>
      </w:r>
      <w:r w:rsidR="005B5144">
        <w:rPr>
          <w:rFonts w:cs="Times New Roman"/>
        </w:rPr>
        <w:t xml:space="preserve">Chair of Green Chemistry, </w:t>
      </w:r>
      <w:r w:rsidR="005B5144" w:rsidRPr="006A1EB1">
        <w:rPr>
          <w:rFonts w:cs="Times New Roman"/>
        </w:rPr>
        <w:t>Department of Chemistry</w:t>
      </w:r>
      <w:r w:rsidR="005B5144">
        <w:rPr>
          <w:rFonts w:cs="Times New Roman"/>
        </w:rPr>
        <w:t xml:space="preserve"> and Biotechnology</w:t>
      </w:r>
      <w:r w:rsidR="005B5144" w:rsidRPr="006A1EB1">
        <w:rPr>
          <w:rFonts w:cs="Times New Roman"/>
        </w:rPr>
        <w:t xml:space="preserve">, </w:t>
      </w:r>
      <w:r w:rsidR="005B5144">
        <w:rPr>
          <w:rFonts w:cs="Times New Roman"/>
        </w:rPr>
        <w:t>School</w:t>
      </w:r>
      <w:r w:rsidR="005B5144" w:rsidRPr="006A1EB1">
        <w:rPr>
          <w:rFonts w:cs="Times New Roman"/>
        </w:rPr>
        <w:t xml:space="preserve"> of Science, Tallinn University of Technology, Akadeemia tee 15, 12618 Tallinn, Estonia</w:t>
      </w:r>
      <w:r w:rsidR="005B5144" w:rsidRPr="009A3223" w:rsidDel="005B5144">
        <w:rPr>
          <w:rFonts w:cs="Times New Roman"/>
        </w:rPr>
        <w:t xml:space="preserve"> </w:t>
      </w:r>
    </w:p>
    <w:p w14:paraId="50C4E2F9" w14:textId="7E41DD7B" w:rsidR="00CF1B23" w:rsidRDefault="00CF1B23" w:rsidP="00CF1B23">
      <w:pPr>
        <w:spacing w:line="360" w:lineRule="auto"/>
        <w:jc w:val="center"/>
        <w:rPr>
          <w:rFonts w:cs="Times New Roman"/>
        </w:rPr>
      </w:pPr>
      <w:r w:rsidRPr="006A1EB1">
        <w:rPr>
          <w:rFonts w:cs="Times New Roman"/>
          <w:vertAlign w:val="superscript"/>
        </w:rPr>
        <w:t>$</w:t>
      </w:r>
      <w:r w:rsidRPr="006A1EB1">
        <w:rPr>
          <w:rFonts w:cs="Times New Roman"/>
        </w:rPr>
        <w:t xml:space="preserve">Current Address: Department of </w:t>
      </w:r>
      <w:r>
        <w:rPr>
          <w:rFonts w:cs="Times New Roman"/>
        </w:rPr>
        <w:t>Chemistry</w:t>
      </w:r>
      <w:r w:rsidRPr="006A1EB1">
        <w:rPr>
          <w:rFonts w:cs="Times New Roman"/>
        </w:rPr>
        <w:t xml:space="preserve">, </w:t>
      </w:r>
      <w:r>
        <w:rPr>
          <w:rFonts w:cs="Times New Roman"/>
        </w:rPr>
        <w:t>University of Warwick</w:t>
      </w:r>
      <w:r w:rsidRPr="006A1EB1">
        <w:rPr>
          <w:rFonts w:cs="Times New Roman"/>
        </w:rPr>
        <w:t xml:space="preserve">, </w:t>
      </w:r>
      <w:r>
        <w:rPr>
          <w:rFonts w:cs="Times New Roman"/>
        </w:rPr>
        <w:t>Gibbet Hill, Coventry, CV4 7AL</w:t>
      </w:r>
    </w:p>
    <w:p w14:paraId="3FDAB6C3" w14:textId="1F3F3AF6" w:rsidR="00CF1B23" w:rsidRDefault="00CF1B23" w:rsidP="00CF1B23">
      <w:pPr>
        <w:spacing w:line="360" w:lineRule="auto"/>
        <w:jc w:val="center"/>
        <w:rPr>
          <w:rFonts w:cs="Times New Roman"/>
        </w:rPr>
      </w:pPr>
      <w:r w:rsidRPr="00CF1B23">
        <w:rPr>
          <w:rFonts w:cs="Times New Roman"/>
          <w:vertAlign w:val="superscript"/>
        </w:rPr>
        <w:t>+</w:t>
      </w:r>
      <w:r w:rsidRPr="00CF1B23">
        <w:rPr>
          <w:rFonts w:cs="Times New Roman"/>
        </w:rPr>
        <w:t>Authors have contributed equally to this publication.</w:t>
      </w:r>
    </w:p>
    <w:p w14:paraId="1DFF273A" w14:textId="77777777" w:rsidR="00D6333F" w:rsidRDefault="00D6333F" w:rsidP="00B63501">
      <w:pPr>
        <w:pStyle w:val="Heading1"/>
        <w:spacing w:line="480" w:lineRule="auto"/>
        <w:jc w:val="both"/>
      </w:pPr>
      <w:r>
        <w:t>Abstract</w:t>
      </w:r>
    </w:p>
    <w:p w14:paraId="609092C4" w14:textId="3E33C0F4" w:rsidR="00D6333F" w:rsidRPr="00783958" w:rsidRDefault="009A7DFD" w:rsidP="00B63501">
      <w:pPr>
        <w:spacing w:line="480" w:lineRule="auto"/>
        <w:jc w:val="both"/>
        <w:rPr>
          <w:sz w:val="24"/>
        </w:rPr>
      </w:pPr>
      <w:r w:rsidRPr="00783958">
        <w:rPr>
          <w:sz w:val="24"/>
        </w:rPr>
        <w:t xml:space="preserve">How does the variation </w:t>
      </w:r>
      <w:r w:rsidR="008231B5" w:rsidRPr="00783958">
        <w:rPr>
          <w:sz w:val="24"/>
        </w:rPr>
        <w:t xml:space="preserve">in the </w:t>
      </w:r>
      <w:r w:rsidR="00C32D74">
        <w:rPr>
          <w:sz w:val="24"/>
        </w:rPr>
        <w:t>ionic nature</w:t>
      </w:r>
      <w:r w:rsidR="00C32D74" w:rsidRPr="00783958">
        <w:rPr>
          <w:sz w:val="24"/>
        </w:rPr>
        <w:t xml:space="preserve"> </w:t>
      </w:r>
      <w:r w:rsidR="008231B5" w:rsidRPr="00783958">
        <w:rPr>
          <w:sz w:val="24"/>
        </w:rPr>
        <w:t xml:space="preserve">of ionic liquids (ILs) </w:t>
      </w:r>
      <w:r w:rsidRPr="00783958">
        <w:rPr>
          <w:sz w:val="24"/>
        </w:rPr>
        <w:t xml:space="preserve">affect their </w:t>
      </w:r>
      <w:r w:rsidR="002233AA" w:rsidRPr="00783958">
        <w:rPr>
          <w:sz w:val="24"/>
        </w:rPr>
        <w:t>antimicrobial properties</w:t>
      </w:r>
      <w:r w:rsidRPr="00783958">
        <w:rPr>
          <w:sz w:val="24"/>
        </w:rPr>
        <w:t>?</w:t>
      </w:r>
      <w:r w:rsidR="002233AA" w:rsidRPr="00783958">
        <w:rPr>
          <w:sz w:val="24"/>
        </w:rPr>
        <w:t xml:space="preserve"> </w:t>
      </w:r>
      <w:r w:rsidR="008231B5" w:rsidRPr="00783958">
        <w:rPr>
          <w:sz w:val="24"/>
        </w:rPr>
        <w:t xml:space="preserve">To answer this question with a direct connection to the </w:t>
      </w:r>
      <w:r w:rsidR="00692973" w:rsidRPr="00783958">
        <w:rPr>
          <w:sz w:val="24"/>
        </w:rPr>
        <w:t xml:space="preserve">molecular structure </w:t>
      </w:r>
      <w:r w:rsidR="008231B5" w:rsidRPr="00783958">
        <w:rPr>
          <w:sz w:val="24"/>
        </w:rPr>
        <w:t xml:space="preserve">of ILs </w:t>
      </w:r>
      <w:r w:rsidR="003516E0" w:rsidRPr="00783958">
        <w:rPr>
          <w:sz w:val="24"/>
        </w:rPr>
        <w:t xml:space="preserve">is </w:t>
      </w:r>
      <w:r w:rsidR="00692973" w:rsidRPr="00783958">
        <w:rPr>
          <w:sz w:val="24"/>
        </w:rPr>
        <w:t xml:space="preserve">integral for the design of new </w:t>
      </w:r>
      <w:r w:rsidR="00082227" w:rsidRPr="00783958">
        <w:rPr>
          <w:sz w:val="24"/>
        </w:rPr>
        <w:t xml:space="preserve">task specific </w:t>
      </w:r>
      <w:r w:rsidR="00AC028E" w:rsidRPr="00783958">
        <w:rPr>
          <w:sz w:val="24"/>
        </w:rPr>
        <w:t>ILs</w:t>
      </w:r>
      <w:r w:rsidR="00692973" w:rsidRPr="00783958">
        <w:rPr>
          <w:sz w:val="24"/>
        </w:rPr>
        <w:t xml:space="preserve">. </w:t>
      </w:r>
      <w:r w:rsidR="008231B5" w:rsidRPr="00783958">
        <w:rPr>
          <w:sz w:val="24"/>
        </w:rPr>
        <w:t xml:space="preserve">The effect of </w:t>
      </w:r>
      <w:r w:rsidR="00C32D74">
        <w:rPr>
          <w:sz w:val="24"/>
        </w:rPr>
        <w:t>ionic nature</w:t>
      </w:r>
      <w:r w:rsidR="00C32D74" w:rsidRPr="00783958">
        <w:rPr>
          <w:sz w:val="24"/>
        </w:rPr>
        <w:t xml:space="preserve"> </w:t>
      </w:r>
      <w:r w:rsidR="008231B5" w:rsidRPr="00783958">
        <w:rPr>
          <w:sz w:val="24"/>
        </w:rPr>
        <w:t>can be investigated through a comparison between analogous aprotic and protic ILs. However, w</w:t>
      </w:r>
      <w:r w:rsidR="00692973" w:rsidRPr="00783958">
        <w:rPr>
          <w:sz w:val="24"/>
        </w:rPr>
        <w:t>hile there have been e</w:t>
      </w:r>
      <w:r w:rsidR="002233AA" w:rsidRPr="00783958">
        <w:rPr>
          <w:sz w:val="24"/>
        </w:rPr>
        <w:t>xtensive studies on the toxicology</w:t>
      </w:r>
      <w:r w:rsidR="00692973" w:rsidRPr="00783958">
        <w:rPr>
          <w:sz w:val="24"/>
        </w:rPr>
        <w:t xml:space="preserve"> of both aprotic and protic </w:t>
      </w:r>
      <w:r w:rsidR="00AC028E" w:rsidRPr="00783958">
        <w:rPr>
          <w:sz w:val="24"/>
        </w:rPr>
        <w:t>ILs</w:t>
      </w:r>
      <w:r w:rsidR="00692973" w:rsidRPr="00783958">
        <w:rPr>
          <w:sz w:val="24"/>
        </w:rPr>
        <w:t>, the number of different structures and procedures employed makes quantitative comparison impossible</w:t>
      </w:r>
      <w:r w:rsidR="00236DB3" w:rsidRPr="00783958">
        <w:rPr>
          <w:sz w:val="24"/>
        </w:rPr>
        <w:t xml:space="preserve">. </w:t>
      </w:r>
      <w:r w:rsidR="000351D8" w:rsidRPr="00783958">
        <w:rPr>
          <w:sz w:val="24"/>
        </w:rPr>
        <w:t xml:space="preserve">To address this, </w:t>
      </w:r>
      <w:r w:rsidR="00692973" w:rsidRPr="00783958">
        <w:rPr>
          <w:sz w:val="24"/>
        </w:rPr>
        <w:t xml:space="preserve">a series of analogous </w:t>
      </w:r>
      <w:r w:rsidR="0048605E" w:rsidRPr="00783958">
        <w:rPr>
          <w:i/>
          <w:sz w:val="24"/>
        </w:rPr>
        <w:t>N,N,N-</w:t>
      </w:r>
      <w:r w:rsidR="0048605E" w:rsidRPr="00783958">
        <w:rPr>
          <w:sz w:val="24"/>
        </w:rPr>
        <w:t>trimethylethanolammonium</w:t>
      </w:r>
      <w:r w:rsidR="001A153F" w:rsidRPr="00783958">
        <w:rPr>
          <w:sz w:val="24"/>
        </w:rPr>
        <w:t xml:space="preserve"> </w:t>
      </w:r>
      <w:r w:rsidR="0048605E" w:rsidRPr="00783958">
        <w:rPr>
          <w:sz w:val="24"/>
        </w:rPr>
        <w:t>(</w:t>
      </w:r>
      <w:r w:rsidR="00692973" w:rsidRPr="00783958">
        <w:rPr>
          <w:sz w:val="24"/>
        </w:rPr>
        <w:t>cholinium</w:t>
      </w:r>
      <w:r w:rsidR="0048605E" w:rsidRPr="00783958">
        <w:rPr>
          <w:sz w:val="24"/>
        </w:rPr>
        <w:t xml:space="preserve">) </w:t>
      </w:r>
      <w:r w:rsidR="00692973" w:rsidRPr="00783958">
        <w:rPr>
          <w:sz w:val="24"/>
        </w:rPr>
        <w:t xml:space="preserve">derived aprotic </w:t>
      </w:r>
      <w:r w:rsidR="00AC028E" w:rsidRPr="00783958">
        <w:rPr>
          <w:sz w:val="24"/>
        </w:rPr>
        <w:t>ILs</w:t>
      </w:r>
      <w:r w:rsidR="00692973" w:rsidRPr="00783958">
        <w:rPr>
          <w:sz w:val="24"/>
        </w:rPr>
        <w:t xml:space="preserve"> (AILs) and </w:t>
      </w:r>
      <w:r w:rsidR="00A17663" w:rsidRPr="00783958">
        <w:rPr>
          <w:i/>
          <w:sz w:val="24"/>
        </w:rPr>
        <w:t>N,N-</w:t>
      </w:r>
      <w:r w:rsidR="00692973" w:rsidRPr="00783958">
        <w:rPr>
          <w:sz w:val="24"/>
        </w:rPr>
        <w:t>dimethylethanolammonium</w:t>
      </w:r>
      <w:r w:rsidR="0048605E" w:rsidRPr="00783958">
        <w:rPr>
          <w:sz w:val="24"/>
        </w:rPr>
        <w:t xml:space="preserve"> </w:t>
      </w:r>
      <w:r w:rsidR="00692973" w:rsidRPr="00783958">
        <w:rPr>
          <w:sz w:val="24"/>
        </w:rPr>
        <w:t xml:space="preserve">derived protic </w:t>
      </w:r>
      <w:r w:rsidR="00AC028E" w:rsidRPr="00783958">
        <w:rPr>
          <w:sz w:val="24"/>
        </w:rPr>
        <w:t>ILs</w:t>
      </w:r>
      <w:r w:rsidR="00692973" w:rsidRPr="00783958">
        <w:rPr>
          <w:sz w:val="24"/>
        </w:rPr>
        <w:t xml:space="preserve"> (PILs) with</w:t>
      </w:r>
      <w:r w:rsidR="009A3223" w:rsidRPr="00783958">
        <w:rPr>
          <w:sz w:val="24"/>
        </w:rPr>
        <w:t xml:space="preserve"> acetate, hexanoate</w:t>
      </w:r>
      <w:r w:rsidR="00DC090B" w:rsidRPr="00783958">
        <w:rPr>
          <w:sz w:val="24"/>
        </w:rPr>
        <w:t>, D,L-mandelate</w:t>
      </w:r>
      <w:r w:rsidR="009A3223" w:rsidRPr="00783958">
        <w:rPr>
          <w:sz w:val="24"/>
        </w:rPr>
        <w:t xml:space="preserve"> and 3-ethoxypropionate anions</w:t>
      </w:r>
      <w:r w:rsidR="00692973" w:rsidRPr="00783958">
        <w:rPr>
          <w:sz w:val="24"/>
        </w:rPr>
        <w:t xml:space="preserve"> </w:t>
      </w:r>
      <w:r w:rsidR="000351D8" w:rsidRPr="00783958">
        <w:rPr>
          <w:sz w:val="24"/>
        </w:rPr>
        <w:t>were prepared and characterised</w:t>
      </w:r>
      <w:r w:rsidR="00082227" w:rsidRPr="00783958">
        <w:rPr>
          <w:sz w:val="24"/>
        </w:rPr>
        <w:t>. All ILs were subsequently screened for antimicrobial activity</w:t>
      </w:r>
      <w:r w:rsidR="00692973" w:rsidRPr="00783958">
        <w:rPr>
          <w:sz w:val="24"/>
        </w:rPr>
        <w:t xml:space="preserve"> against </w:t>
      </w:r>
      <w:r w:rsidR="00FE5756" w:rsidRPr="00783958">
        <w:rPr>
          <w:sz w:val="24"/>
        </w:rPr>
        <w:t>eight</w:t>
      </w:r>
      <w:r w:rsidR="00AC028E" w:rsidRPr="00783958">
        <w:rPr>
          <w:rFonts w:cs="Times New Roman"/>
          <w:sz w:val="24"/>
          <w:szCs w:val="24"/>
        </w:rPr>
        <w:t xml:space="preserve"> </w:t>
      </w:r>
      <w:r w:rsidR="00AC028E" w:rsidRPr="00783958">
        <w:rPr>
          <w:rFonts w:cs="Times New Roman"/>
          <w:sz w:val="24"/>
          <w:szCs w:val="24"/>
        </w:rPr>
        <w:lastRenderedPageBreak/>
        <w:t xml:space="preserve">bacterial and twelve fungi </w:t>
      </w:r>
      <w:r w:rsidR="00082227" w:rsidRPr="00783958">
        <w:rPr>
          <w:rFonts w:cs="Times New Roman"/>
          <w:sz w:val="24"/>
          <w:szCs w:val="24"/>
        </w:rPr>
        <w:t>strains</w:t>
      </w:r>
      <w:r w:rsidR="00692973" w:rsidRPr="00783958">
        <w:rPr>
          <w:sz w:val="24"/>
        </w:rPr>
        <w:t xml:space="preserve">. </w:t>
      </w:r>
      <w:r w:rsidR="00FE5756" w:rsidRPr="00783958">
        <w:rPr>
          <w:sz w:val="24"/>
        </w:rPr>
        <w:t>F</w:t>
      </w:r>
      <w:r w:rsidR="003C5816" w:rsidRPr="00783958">
        <w:rPr>
          <w:sz w:val="24"/>
        </w:rPr>
        <w:t xml:space="preserve">rom the antimicrobial </w:t>
      </w:r>
      <w:r w:rsidR="00304E47" w:rsidRPr="00783958">
        <w:rPr>
          <w:sz w:val="24"/>
        </w:rPr>
        <w:t xml:space="preserve">activity </w:t>
      </w:r>
      <w:r w:rsidR="003C5816" w:rsidRPr="00783958">
        <w:rPr>
          <w:sz w:val="24"/>
        </w:rPr>
        <w:t>screening</w:t>
      </w:r>
      <w:r w:rsidR="000351D8" w:rsidRPr="00783958">
        <w:rPr>
          <w:sz w:val="24"/>
        </w:rPr>
        <w:t>,</w:t>
      </w:r>
      <w:r w:rsidR="00FE5756" w:rsidRPr="00783958">
        <w:rPr>
          <w:sz w:val="24"/>
        </w:rPr>
        <w:t xml:space="preserve"> little difference </w:t>
      </w:r>
      <w:r w:rsidR="000351D8" w:rsidRPr="00783958">
        <w:rPr>
          <w:sz w:val="24"/>
        </w:rPr>
        <w:t xml:space="preserve">was found </w:t>
      </w:r>
      <w:r w:rsidR="00FE5756" w:rsidRPr="00783958">
        <w:rPr>
          <w:sz w:val="24"/>
        </w:rPr>
        <w:t>between the toxicities of AILs and PILs with shorter chains terminating in hydroxyl functional groups</w:t>
      </w:r>
      <w:r w:rsidR="001A153F" w:rsidRPr="00783958">
        <w:rPr>
          <w:sz w:val="24"/>
        </w:rPr>
        <w:t xml:space="preserve"> (e.g</w:t>
      </w:r>
      <w:r w:rsidR="009A3223" w:rsidRPr="00783958">
        <w:rPr>
          <w:sz w:val="24"/>
        </w:rPr>
        <w:t xml:space="preserve"> cholinium </w:t>
      </w:r>
      <w:r w:rsidR="0085085F" w:rsidRPr="00783958">
        <w:rPr>
          <w:sz w:val="24"/>
        </w:rPr>
        <w:t>hexano</w:t>
      </w:r>
      <w:r w:rsidR="009A3223" w:rsidRPr="00783958">
        <w:rPr>
          <w:sz w:val="24"/>
        </w:rPr>
        <w:t xml:space="preserve">ate and </w:t>
      </w:r>
      <w:r w:rsidR="009A3223" w:rsidRPr="00783958">
        <w:rPr>
          <w:i/>
          <w:sz w:val="24"/>
        </w:rPr>
        <w:t>N,N</w:t>
      </w:r>
      <w:r w:rsidR="009A3223" w:rsidRPr="00783958">
        <w:rPr>
          <w:sz w:val="24"/>
        </w:rPr>
        <w:t xml:space="preserve">-dimethylethanolammonium </w:t>
      </w:r>
      <w:r w:rsidR="0085085F" w:rsidRPr="00783958">
        <w:rPr>
          <w:sz w:val="24"/>
        </w:rPr>
        <w:t>hexano</w:t>
      </w:r>
      <w:r w:rsidR="009A3223" w:rsidRPr="00783958">
        <w:rPr>
          <w:sz w:val="24"/>
        </w:rPr>
        <w:t>ate</w:t>
      </w:r>
      <w:r w:rsidR="001A153F" w:rsidRPr="00783958">
        <w:rPr>
          <w:sz w:val="24"/>
        </w:rPr>
        <w:t>)</w:t>
      </w:r>
      <w:r w:rsidR="000351D8" w:rsidRPr="00783958">
        <w:rPr>
          <w:sz w:val="24"/>
        </w:rPr>
        <w:t>. V</w:t>
      </w:r>
      <w:r w:rsidR="00615A7D" w:rsidRPr="00783958">
        <w:rPr>
          <w:sz w:val="24"/>
        </w:rPr>
        <w:t>ariations betw</w:t>
      </w:r>
      <w:r w:rsidR="000351D8" w:rsidRPr="00783958">
        <w:rPr>
          <w:sz w:val="24"/>
        </w:rPr>
        <w:t>een anion structure demonstrated</w:t>
      </w:r>
      <w:r w:rsidR="00615A7D" w:rsidRPr="00783958">
        <w:rPr>
          <w:sz w:val="24"/>
        </w:rPr>
        <w:t xml:space="preserve"> slightly higher toxicities for more lipophilic anions. </w:t>
      </w:r>
      <w:r w:rsidR="003C5816" w:rsidRPr="00783958">
        <w:rPr>
          <w:sz w:val="24"/>
        </w:rPr>
        <w:t xml:space="preserve">Antimicrobial </w:t>
      </w:r>
      <w:r w:rsidR="00D038BB" w:rsidRPr="00783958">
        <w:rPr>
          <w:sz w:val="24"/>
        </w:rPr>
        <w:t>activities</w:t>
      </w:r>
      <w:r w:rsidR="001A153F" w:rsidRPr="00783958">
        <w:rPr>
          <w:sz w:val="24"/>
        </w:rPr>
        <w:t xml:space="preserve"> </w:t>
      </w:r>
      <w:r w:rsidR="000351D8" w:rsidRPr="00783958">
        <w:rPr>
          <w:sz w:val="24"/>
        </w:rPr>
        <w:t>were</w:t>
      </w:r>
      <w:r w:rsidR="003C5816" w:rsidRPr="00783958">
        <w:rPr>
          <w:sz w:val="24"/>
        </w:rPr>
        <w:t xml:space="preserve"> found to significantly increase f</w:t>
      </w:r>
      <w:r w:rsidR="00615A7D" w:rsidRPr="00783958">
        <w:rPr>
          <w:sz w:val="24"/>
        </w:rPr>
        <w:t>or ILs with a lon</w:t>
      </w:r>
      <w:r w:rsidR="003C5816" w:rsidRPr="00783958">
        <w:rPr>
          <w:sz w:val="24"/>
        </w:rPr>
        <w:t>g ether chain functional groups</w:t>
      </w:r>
      <w:r w:rsidR="00D038BB" w:rsidRPr="00783958">
        <w:rPr>
          <w:sz w:val="24"/>
        </w:rPr>
        <w:t xml:space="preserve"> in the cation</w:t>
      </w:r>
      <w:r w:rsidR="000351D8" w:rsidRPr="00783958">
        <w:rPr>
          <w:sz w:val="24"/>
        </w:rPr>
        <w:t>,</w:t>
      </w:r>
      <w:r w:rsidR="00615A7D" w:rsidRPr="00783958">
        <w:rPr>
          <w:sz w:val="24"/>
        </w:rPr>
        <w:t xml:space="preserve"> due to the </w:t>
      </w:r>
      <w:r w:rsidR="00115DB8" w:rsidRPr="00783958">
        <w:rPr>
          <w:sz w:val="24"/>
        </w:rPr>
        <w:t xml:space="preserve">enhanced </w:t>
      </w:r>
      <w:r w:rsidR="00615A7D" w:rsidRPr="00783958">
        <w:rPr>
          <w:sz w:val="24"/>
        </w:rPr>
        <w:t xml:space="preserve">surfactant </w:t>
      </w:r>
      <w:r w:rsidR="00115DB8" w:rsidRPr="00783958">
        <w:rPr>
          <w:sz w:val="24"/>
        </w:rPr>
        <w:t>properties</w:t>
      </w:r>
      <w:r w:rsidR="00615A7D" w:rsidRPr="00783958">
        <w:rPr>
          <w:sz w:val="24"/>
        </w:rPr>
        <w:t xml:space="preserve"> of these long chain cations. </w:t>
      </w:r>
      <w:r w:rsidR="00006728" w:rsidRPr="00783958">
        <w:rPr>
          <w:sz w:val="24"/>
        </w:rPr>
        <w:t>The importance of toxicity screening of analogous series</w:t>
      </w:r>
      <w:r w:rsidR="001A153F" w:rsidRPr="00783958">
        <w:rPr>
          <w:sz w:val="24"/>
        </w:rPr>
        <w:t xml:space="preserve"> </w:t>
      </w:r>
      <w:r w:rsidR="00006728" w:rsidRPr="00783958">
        <w:rPr>
          <w:sz w:val="24"/>
        </w:rPr>
        <w:t>of</w:t>
      </w:r>
      <w:r w:rsidR="001A153F" w:rsidRPr="00783958">
        <w:rPr>
          <w:sz w:val="24"/>
        </w:rPr>
        <w:t xml:space="preserve"> </w:t>
      </w:r>
      <w:r w:rsidR="00006728" w:rsidRPr="00783958">
        <w:rPr>
          <w:sz w:val="24"/>
        </w:rPr>
        <w:t>AILs and PILs as part of a future comprehensive</w:t>
      </w:r>
      <w:r w:rsidR="00183BC7" w:rsidRPr="00783958">
        <w:rPr>
          <w:sz w:val="24"/>
        </w:rPr>
        <w:t xml:space="preserve"> biodegradation </w:t>
      </w:r>
      <w:r w:rsidR="00006728" w:rsidRPr="00783958">
        <w:rPr>
          <w:sz w:val="24"/>
        </w:rPr>
        <w:t>analysis</w:t>
      </w:r>
      <w:r w:rsidR="00183BC7" w:rsidRPr="00783958">
        <w:rPr>
          <w:sz w:val="24"/>
        </w:rPr>
        <w:t xml:space="preserve"> has </w:t>
      </w:r>
      <w:r w:rsidR="00006728" w:rsidRPr="00783958">
        <w:rPr>
          <w:sz w:val="24"/>
        </w:rPr>
        <w:t xml:space="preserve">also </w:t>
      </w:r>
      <w:r w:rsidR="00183BC7" w:rsidRPr="00783958">
        <w:rPr>
          <w:sz w:val="24"/>
        </w:rPr>
        <w:t xml:space="preserve">been </w:t>
      </w:r>
      <w:r w:rsidR="003C7757" w:rsidRPr="00783958">
        <w:rPr>
          <w:sz w:val="24"/>
        </w:rPr>
        <w:t>proposed</w:t>
      </w:r>
      <w:r w:rsidR="008948D1" w:rsidRPr="00783958">
        <w:rPr>
          <w:sz w:val="24"/>
        </w:rPr>
        <w:t xml:space="preserve"> </w:t>
      </w:r>
      <w:r w:rsidR="00183BC7" w:rsidRPr="00783958">
        <w:rPr>
          <w:sz w:val="24"/>
        </w:rPr>
        <w:t>based on</w:t>
      </w:r>
      <w:r w:rsidR="008948D1" w:rsidRPr="00783958">
        <w:rPr>
          <w:sz w:val="24"/>
        </w:rPr>
        <w:t xml:space="preserve"> postulated</w:t>
      </w:r>
      <w:r w:rsidR="00183BC7" w:rsidRPr="00783958">
        <w:rPr>
          <w:sz w:val="24"/>
        </w:rPr>
        <w:t xml:space="preserve"> </w:t>
      </w:r>
      <w:r w:rsidR="008948D1" w:rsidRPr="00783958">
        <w:rPr>
          <w:sz w:val="24"/>
        </w:rPr>
        <w:t>IL breakdown pathways</w:t>
      </w:r>
      <w:r w:rsidR="00183BC7" w:rsidRPr="00783958">
        <w:rPr>
          <w:sz w:val="24"/>
        </w:rPr>
        <w:t>.</w:t>
      </w:r>
    </w:p>
    <w:p w14:paraId="5F727269" w14:textId="1DE581F1" w:rsidR="00490861" w:rsidRPr="00783958" w:rsidRDefault="00490861" w:rsidP="00490861">
      <w:pPr>
        <w:spacing w:line="480" w:lineRule="auto"/>
        <w:rPr>
          <w:b/>
          <w:sz w:val="24"/>
        </w:rPr>
      </w:pPr>
      <w:r w:rsidRPr="00783958">
        <w:rPr>
          <w:b/>
          <w:sz w:val="24"/>
        </w:rPr>
        <w:t>Abstract Graphic</w:t>
      </w:r>
    </w:p>
    <w:p w14:paraId="2DBF1650" w14:textId="6F003CC1" w:rsidR="00490861" w:rsidRDefault="0059473A" w:rsidP="00490861">
      <w:pPr>
        <w:spacing w:line="480" w:lineRule="auto"/>
        <w:rPr>
          <w:b/>
        </w:rPr>
      </w:pPr>
      <w:r>
        <w:rPr>
          <w:b/>
          <w:noProof/>
          <w:lang w:eastAsia="en-GB"/>
        </w:rPr>
        <w:drawing>
          <wp:inline distT="0" distB="0" distL="0" distR="0" wp14:anchorId="7727A61B" wp14:editId="07874D98">
            <wp:extent cx="3195044" cy="1800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al abstract.png"/>
                    <pic:cNvPicPr/>
                  </pic:nvPicPr>
                  <pic:blipFill rotWithShape="1">
                    <a:blip r:embed="rId8" cstate="print">
                      <a:extLst>
                        <a:ext uri="{28A0092B-C50C-407E-A947-70E740481C1C}">
                          <a14:useLocalDpi xmlns:a14="http://schemas.microsoft.com/office/drawing/2010/main" val="0"/>
                        </a:ext>
                      </a:extLst>
                    </a:blip>
                    <a:srcRect t="14804" b="45367"/>
                    <a:stretch/>
                  </pic:blipFill>
                  <pic:spPr bwMode="auto">
                    <a:xfrm>
                      <a:off x="0" y="0"/>
                      <a:ext cx="3195044" cy="1800000"/>
                    </a:xfrm>
                    <a:prstGeom prst="rect">
                      <a:avLst/>
                    </a:prstGeom>
                    <a:ln>
                      <a:noFill/>
                    </a:ln>
                    <a:extLst>
                      <a:ext uri="{53640926-AAD7-44D8-BBD7-CCE9431645EC}">
                        <a14:shadowObscured xmlns:a14="http://schemas.microsoft.com/office/drawing/2010/main"/>
                      </a:ext>
                    </a:extLst>
                  </pic:spPr>
                </pic:pic>
              </a:graphicData>
            </a:graphic>
          </wp:inline>
        </w:drawing>
      </w:r>
    </w:p>
    <w:p w14:paraId="2C781070" w14:textId="77777777" w:rsidR="000D6E57" w:rsidRPr="00783958" w:rsidRDefault="00490861" w:rsidP="00490861">
      <w:pPr>
        <w:spacing w:line="480" w:lineRule="auto"/>
        <w:rPr>
          <w:b/>
          <w:sz w:val="24"/>
        </w:rPr>
      </w:pPr>
      <w:r w:rsidRPr="00783958">
        <w:rPr>
          <w:b/>
          <w:sz w:val="24"/>
        </w:rPr>
        <w:t>Synopsis</w:t>
      </w:r>
      <w:r w:rsidR="001A50C6" w:rsidRPr="00783958">
        <w:rPr>
          <w:b/>
          <w:sz w:val="24"/>
        </w:rPr>
        <w:t xml:space="preserve"> </w:t>
      </w:r>
    </w:p>
    <w:p w14:paraId="4C49DD23" w14:textId="10302CCC" w:rsidR="0057405D" w:rsidRPr="00783958" w:rsidRDefault="001A50C6" w:rsidP="00490861">
      <w:pPr>
        <w:spacing w:line="480" w:lineRule="auto"/>
        <w:rPr>
          <w:b/>
          <w:sz w:val="24"/>
        </w:rPr>
      </w:pPr>
      <w:r w:rsidRPr="00783958">
        <w:rPr>
          <w:sz w:val="24"/>
        </w:rPr>
        <w:t xml:space="preserve">The </w:t>
      </w:r>
      <w:r w:rsidR="000D6E57" w:rsidRPr="00783958">
        <w:rPr>
          <w:sz w:val="24"/>
        </w:rPr>
        <w:t xml:space="preserve">antimicrobial </w:t>
      </w:r>
      <w:r w:rsidRPr="00783958">
        <w:rPr>
          <w:sz w:val="24"/>
        </w:rPr>
        <w:t xml:space="preserve">activity of an analogous series of aprotic and protic ionic </w:t>
      </w:r>
      <w:r w:rsidR="000D6E57" w:rsidRPr="00783958">
        <w:rPr>
          <w:sz w:val="24"/>
        </w:rPr>
        <w:t>liquids have</w:t>
      </w:r>
      <w:r w:rsidRPr="00783958">
        <w:rPr>
          <w:sz w:val="24"/>
        </w:rPr>
        <w:t xml:space="preserve"> been </w:t>
      </w:r>
      <w:r w:rsidR="000D6E57" w:rsidRPr="00783958">
        <w:rPr>
          <w:sz w:val="24"/>
        </w:rPr>
        <w:t xml:space="preserve">analysed with the aim of understanding how the variation of their ionic nature relates to their molecular structure. This information is integral for the design of new </w:t>
      </w:r>
      <w:r w:rsidR="00006728" w:rsidRPr="00783958">
        <w:rPr>
          <w:sz w:val="24"/>
        </w:rPr>
        <w:t xml:space="preserve">safer </w:t>
      </w:r>
      <w:r w:rsidR="000D6E57" w:rsidRPr="00783958">
        <w:rPr>
          <w:sz w:val="24"/>
        </w:rPr>
        <w:t>task specific ILs.</w:t>
      </w:r>
    </w:p>
    <w:p w14:paraId="2D829442" w14:textId="5C6498DA" w:rsidR="000D6E57" w:rsidRPr="00783958" w:rsidRDefault="00490861" w:rsidP="00490861">
      <w:pPr>
        <w:spacing w:line="480" w:lineRule="auto"/>
        <w:rPr>
          <w:sz w:val="24"/>
        </w:rPr>
      </w:pPr>
      <w:r w:rsidRPr="00783958">
        <w:rPr>
          <w:b/>
          <w:sz w:val="24"/>
        </w:rPr>
        <w:t>Keywords</w:t>
      </w:r>
    </w:p>
    <w:p w14:paraId="3B08B9D2" w14:textId="160F0FD7" w:rsidR="00490861" w:rsidRPr="00783958" w:rsidRDefault="00CD3FF5" w:rsidP="00490861">
      <w:pPr>
        <w:spacing w:line="480" w:lineRule="auto"/>
        <w:rPr>
          <w:sz w:val="24"/>
        </w:rPr>
      </w:pPr>
      <w:r w:rsidRPr="00783958">
        <w:rPr>
          <w:sz w:val="24"/>
        </w:rPr>
        <w:t>Toxicology; Antimicrobial activity; Protic Ionic Liquids; Aprotic Ionic Liquids; Choline analogues;</w:t>
      </w:r>
    </w:p>
    <w:p w14:paraId="2BF9B5A3" w14:textId="77777777" w:rsidR="005539D7" w:rsidRDefault="005539D7" w:rsidP="00490861">
      <w:pPr>
        <w:spacing w:line="480" w:lineRule="auto"/>
      </w:pPr>
    </w:p>
    <w:p w14:paraId="255B59F9" w14:textId="77777777" w:rsidR="00D6333F" w:rsidRDefault="00D6333F" w:rsidP="00B63501">
      <w:pPr>
        <w:pStyle w:val="Heading1"/>
        <w:spacing w:line="480" w:lineRule="auto"/>
        <w:jc w:val="both"/>
      </w:pPr>
      <w:r>
        <w:lastRenderedPageBreak/>
        <w:t>Introduction</w:t>
      </w:r>
    </w:p>
    <w:p w14:paraId="217985DC" w14:textId="77AB9DE1" w:rsidR="000C6799" w:rsidRPr="00783958" w:rsidRDefault="00A16A67" w:rsidP="00BB7754">
      <w:pPr>
        <w:spacing w:line="480" w:lineRule="auto"/>
        <w:jc w:val="both"/>
        <w:rPr>
          <w:sz w:val="24"/>
        </w:rPr>
      </w:pPr>
      <w:r w:rsidRPr="00783958">
        <w:rPr>
          <w:sz w:val="24"/>
        </w:rPr>
        <w:t xml:space="preserve">Ionic liquids (ILs), </w:t>
      </w:r>
      <w:r w:rsidR="00115DB8" w:rsidRPr="00783958">
        <w:rPr>
          <w:sz w:val="24"/>
        </w:rPr>
        <w:t xml:space="preserve">chemicals </w:t>
      </w:r>
      <w:r w:rsidRPr="00783958">
        <w:rPr>
          <w:sz w:val="24"/>
        </w:rPr>
        <w:t xml:space="preserve">composed of ionic species which are </w:t>
      </w:r>
      <w:r w:rsidR="00183BC7" w:rsidRPr="00783958">
        <w:rPr>
          <w:sz w:val="24"/>
        </w:rPr>
        <w:t xml:space="preserve">most often </w:t>
      </w:r>
      <w:r w:rsidRPr="00783958">
        <w:rPr>
          <w:sz w:val="24"/>
        </w:rPr>
        <w:t>liquid below 100</w:t>
      </w:r>
      <w:r w:rsidRPr="00783958">
        <w:rPr>
          <w:rFonts w:cs="Times New Roman"/>
          <w:sz w:val="24"/>
        </w:rPr>
        <w:t>°</w:t>
      </w:r>
      <w:r w:rsidRPr="00783958">
        <w:rPr>
          <w:sz w:val="24"/>
        </w:rPr>
        <w:t>C</w:t>
      </w:r>
      <w:r w:rsidR="00A06E7C">
        <w:rPr>
          <w:sz w:val="24"/>
        </w:rPr>
        <w:t xml:space="preserve"> </w:t>
      </w:r>
      <w:r w:rsidR="003A0F1B">
        <w:rPr>
          <w:sz w:val="24"/>
        </w:rPr>
        <w:fldChar w:fldCharType="begin" w:fldLock="1"/>
      </w:r>
      <w:r w:rsidR="003A0F1B">
        <w:rPr>
          <w:sz w:val="24"/>
        </w:rPr>
        <w:instrText>ADDIN CSL_CITATION { "citationItems" : [ { "id" : "ITEM-1", "itemData" : { "DOI" : "10.1039/C7FD00189D", "abstract" : "In the field of ionic liquids (ILs) it has long been of fundamental interest to examine the transition from salt-in-solvent behaviour to pure liquid\u2013salt behaviour, in terms of structures and properties. At the same time, a variety of applications have beneficially employed IL\u2013solvent mixtures as media that offer an optimal set of properties. Their properties in many cases can be other than as expected on the basis of simple mixing concepts. Instead, they can reflect the distinct structural and interaction changes that occur as the mixture passes through the various stages from pure coulombic medium, to \u201cplasticised\u201d coulombic medium, into a meso-region where distinct molecular and ionic domains can co-exist. Such domains can persist to quite a high dilution into the salt-in-solvent regime and their presence manifests itself in a number of important synergistic interaction effects in diverse areas such as membrane transport and corrosion protection. Similarly, the use of ionic liquids in synthetic processes where there is a significant volume fraction of molecular species present can produce a variety of distinct and unexpected effects. The range of these salt\u2013solvent mixtures is considerably broader than just those based on ionic liquids, since there is only minor value in the pure salt being a liquid at the outset. In other words, the extensive families of organic and metal salts become candidates for study and use. Our perspective then is of an evolution of ionic liquids into a broader field of fundamental phenomena and applications. This can draw on an even larger family of tuneable salts that exhibit an exciting combination of properties when mixed with molecular liquids.", "author" : [ { "dropping-particle" : "", "family" : "MacFarlane", "given" : "Douglas R.", "non-dropping-particle" : "", "parse-names" : false, "suffix" : "" }, { "dropping-particle" : "", "family" : "Chong", "given" : "Alison L.", "non-dropping-particle" : "", "parse-names" : false, "suffix" : "" }, { "dropping-particle" : "", "family" : "Forsyth", "given" : "Maria", "non-dropping-particle" : "", "parse-names" : false, "suffix" : "" }, { "dropping-particle" : "", "family" : "Kar", "given" : "Mega", "non-dropping-particle" : "", "parse-names" : false, "suffix" : "" }, { "dropping-particle" : "", "family" : "Vijayaraghavan", "given" : "R.", "non-dropping-particle" : "", "parse-names" : false, "suffix" : "" }, { "dropping-particle" : "", "family" : "Somers", "given" : "Anthony", "non-dropping-particle" : "", "parse-names" : false, "suffix" : "" }, { "dropping-particle" : "", "family" : "Pringle", "given" : "Jennifer M.", "non-dropping-particle" : "", "parse-names" : false, "suffix" : "" } ], "container-title" : "Faraday Discussions", "id" : "ITEM-1", "issued" : { "date-parts" : [ [ "2017" ] ] }, "publisher" : "The Royal Society of Chemistry", "title" : "New dimensions in salt\u2013solvent mixtures: a 4th evolution of ionic liquids", "type" : "article-journal" }, "uris" : [ "http://www.mendeley.com/documents/?uuid=6a0190c7-2e3b-324e-a586-e82b252d198e" ] } ], "mendeley" : { "formattedCitation" : "(MacFarlane et al., 2017)", "plainTextFormattedCitation" : "(MacFarlane et al., 2017)", "previouslyFormattedCitation" : "(MacFarlane et al., 2017)" }, "properties" : { "noteIndex" : 3 }, "schema" : "https://github.com/citation-style-language/schema/raw/master/csl-citation.json" }</w:instrText>
      </w:r>
      <w:r w:rsidR="003A0F1B">
        <w:rPr>
          <w:sz w:val="24"/>
        </w:rPr>
        <w:fldChar w:fldCharType="separate"/>
      </w:r>
      <w:r w:rsidR="003A0F1B" w:rsidRPr="003A0F1B">
        <w:rPr>
          <w:noProof/>
          <w:sz w:val="24"/>
        </w:rPr>
        <w:t>(MacFarlane et al., 2017)</w:t>
      </w:r>
      <w:r w:rsidR="003A0F1B">
        <w:rPr>
          <w:sz w:val="24"/>
        </w:rPr>
        <w:fldChar w:fldCharType="end"/>
      </w:r>
      <w:r w:rsidR="00A06E7C">
        <w:rPr>
          <w:sz w:val="24"/>
        </w:rPr>
        <w:t>,</w:t>
      </w:r>
      <w:r w:rsidRPr="00783958">
        <w:rPr>
          <w:sz w:val="24"/>
        </w:rPr>
        <w:t xml:space="preserve"> continue to be widely researched</w:t>
      </w:r>
      <w:r w:rsidR="00FD0902" w:rsidRPr="00783958">
        <w:rPr>
          <w:sz w:val="24"/>
        </w:rPr>
        <w:t xml:space="preserve"> </w:t>
      </w:r>
      <w:r w:rsidR="00F87645" w:rsidRPr="00783958">
        <w:rPr>
          <w:sz w:val="24"/>
        </w:rPr>
        <w:fldChar w:fldCharType="begin" w:fldLock="1"/>
      </w:r>
      <w:r w:rsidR="009012E7" w:rsidRPr="00783958">
        <w:rPr>
          <w:sz w:val="24"/>
        </w:rPr>
        <w:instrText>ADDIN CSL_CITATION { "citationItems" : [ { "id" : "ITEM-1", "itemData" : { "DOI" : "10.1021/cr1003248", "ISBN" : "0009-2665", "ISSN" : "1520-6890", "PMID" : "21469639", "author" : [ { "dropping-particle" : "", "family" : "Hallett", "given" : "Jason P", "non-dropping-particle" : "", "parse-names" : false, "suffix" : "" }, { "dropping-particle" : "", "family" : "Welton", "given" : "Tom", "non-dropping-particle" : "", "parse-names" : false, "suffix" : "" } ], "container-title" : "Chemical Reviews", "id" : "ITEM-1", "issued" : { "date-parts" : [ [ "2011" ] ] }, "page" : "3508-3576", "title" : "Room-Temperature Ionic Liquids. Solvents for Synthesis and Catalysis. 2", "type" : "article-journal", "volume" : "111" }, "uris" : [ "http://www.mendeley.com/documents/?uuid=5b8fbdf1-a2b4-49b3-9b02-2a07c4436b31" ] }, { "id" : "ITEM-2", "itemData" : { "DOI" : "10.1039/C1FD00112D", "abstract" : "An overview of the field of low-melting ionic liquids is given from its inception in 1886 through to the present time. The subject is divided into an introductory section that summarizes the early history of the field, and differentiates its sub-sections, before addressing matters judged of some interest in \u201cpre-surge\u201d and \u201cpost-surge\u201d stages of its development, focusing on physicochemical as opposed to the prolific synthetic and industrial aspects in which the author has no competence. We give a final section specifically to protic ionic liquids, which we consider to have particular scientific potential.", "author" : [ { "dropping-particle" : "", "family" : "Austen Angell", "given" : "C.", "non-dropping-particle" : "", "parse-names" : false, "suffix" : "" }, { "dropping-particle" : "", "family" : "Ansari", "given" : "Younes", "non-dropping-particle" : "", "parse-names" : false, "suffix" : "" }, { "dropping-particle" : "", "family" : "Zhao", "given" : "Zuofeng", "non-dropping-particle" : "", "parse-names" : false, "suffix" : "" } ], "container-title" : "Faraday Discuss.", "id" : "ITEM-2", "issue" : "0", "issued" : { "date-parts" : [ [ "2012" ] ] }, "page" : "9-27", "publisher" : "The Royal Society of Chemistry", "title" : "Ionic Liquids: Past, present and future", "type" : "article-journal", "volume" : "154" }, "uris" : [ "http://www.mendeley.com/documents/?uuid=06359c02-3178-3925-bd69-871e2c23e889" ] }, { "id" : "ITEM-3", "itemData" : { "DOI" : "10.1021/acs.chemrev.5b00158", "ISBN" : "0009-2665", "ISSN" : "15206890", "PMID" : "26426209", "author" : [ { "dropping-particle" : "", "family" : "Greaves", "given" : "Tamar L", "non-dropping-particle" : "", "parse-names" : false, "suffix" : "" }, { "dropping-particle" : "", "family" : "Drummond", "given" : "Calum J", "non-dropping-particle" : "", "parse-names" : false, "suffix" : "" } ], "container-title" : "Chemical Reviews", "id" : "ITEM-3", "issue" : "20", "issued" : { "date-parts" : [ [ "2015" ] ] }, "page" : "11379-11448", "title" : "Protic Ionic Liquids: Evolving Structure-Property Relationships and Expanding Applications", "type" : "article", "volume" : "115" }, "uris" : [ "http://www.mendeley.com/documents/?uuid=d16d8f48-ecfb-4ac6-9af4-e41bcba7a4f7" ] } ], "mendeley" : { "formattedCitation" : "(Austen Angell et al., 2012; Greaves and Drummond, 2015; Hallett and Welton, 2011)", "plainTextFormattedCitation" : "(Austen Angell et al., 2012; Greaves and Drummond, 2015; Hallett and Welton, 2011)", "previouslyFormattedCitation" : "(Austen Angell et al., 2012; Greaves and Drummond, 2015; Hallett and Welton, 2011)" }, "properties" : { "noteIndex" : 0 }, "schema" : "https://github.com/citation-style-language/schema/raw/master/csl-citation.json" }</w:instrText>
      </w:r>
      <w:r w:rsidR="00F87645" w:rsidRPr="00783958">
        <w:rPr>
          <w:sz w:val="24"/>
        </w:rPr>
        <w:fldChar w:fldCharType="separate"/>
      </w:r>
      <w:r w:rsidR="001D7427" w:rsidRPr="00783958">
        <w:rPr>
          <w:noProof/>
          <w:sz w:val="24"/>
        </w:rPr>
        <w:t>(Austen Angell et al., 2012; Greaves and Drummond, 2015; Hallett and Welton, 2011)</w:t>
      </w:r>
      <w:r w:rsidR="00F87645" w:rsidRPr="00783958">
        <w:rPr>
          <w:sz w:val="24"/>
        </w:rPr>
        <w:fldChar w:fldCharType="end"/>
      </w:r>
      <w:r w:rsidR="00DF10A9" w:rsidRPr="00783958">
        <w:rPr>
          <w:sz w:val="24"/>
        </w:rPr>
        <w:t>.</w:t>
      </w:r>
      <w:r w:rsidR="000C6799" w:rsidRPr="00783958">
        <w:rPr>
          <w:sz w:val="24"/>
        </w:rPr>
        <w:t xml:space="preserve"> The classifications of ILs can be refined further </w:t>
      </w:r>
      <w:r w:rsidR="008231B5" w:rsidRPr="00783958">
        <w:rPr>
          <w:sz w:val="24"/>
        </w:rPr>
        <w:t xml:space="preserve">by considering </w:t>
      </w:r>
      <w:r w:rsidR="0075662C" w:rsidRPr="00783958">
        <w:rPr>
          <w:sz w:val="24"/>
        </w:rPr>
        <w:t>their ionic nature, such as</w:t>
      </w:r>
      <w:r w:rsidR="000C6799" w:rsidRPr="00783958">
        <w:rPr>
          <w:sz w:val="24"/>
        </w:rPr>
        <w:t xml:space="preserve"> aprotic ionic liquids (AILs) </w:t>
      </w:r>
      <w:r w:rsidR="00C96478" w:rsidRPr="00783958">
        <w:rPr>
          <w:sz w:val="24"/>
        </w:rPr>
        <w:t>typically formed through the Menshutkin</w:t>
      </w:r>
      <w:r w:rsidR="0086070E" w:rsidRPr="00783958">
        <w:rPr>
          <w:sz w:val="24"/>
        </w:rPr>
        <w:t xml:space="preserve"> type</w:t>
      </w:r>
      <w:r w:rsidR="00C96478" w:rsidRPr="00783958">
        <w:rPr>
          <w:sz w:val="24"/>
        </w:rPr>
        <w:t xml:space="preserve"> reaction</w:t>
      </w:r>
      <w:r w:rsidR="0086070E" w:rsidRPr="00783958">
        <w:rPr>
          <w:sz w:val="24"/>
        </w:rPr>
        <w:t>s</w:t>
      </w:r>
      <w:r w:rsidR="00FF4E79" w:rsidRPr="00783958">
        <w:rPr>
          <w:sz w:val="24"/>
        </w:rPr>
        <w:t xml:space="preserve"> </w:t>
      </w:r>
      <w:r w:rsidR="00FF4E79" w:rsidRPr="00783958">
        <w:rPr>
          <w:sz w:val="24"/>
        </w:rPr>
        <w:fldChar w:fldCharType="begin" w:fldLock="1"/>
      </w:r>
      <w:r w:rsidR="009012E7" w:rsidRPr="00783958">
        <w:rPr>
          <w:sz w:val="24"/>
        </w:rPr>
        <w:instrText>ADDIN CSL_CITATION { "citationItems" : [ { "id" : "ITEM-1", "itemData" : { "DOI" : "10.1002/9780470638859", "ISBN" : "9780470638859", "author" : [ { "dropping-particle" : "", "family" : "Wang", "given" : "Zerong", "non-dropping-particle" : "", "parse-names" : false, "suffix" : "" } ], "id" : "ITEM-1", "issued" : { "date-parts" : [ [ "2010", "9", "15" ] ] }, "number-of-pages" : "1013-1016", "publisher" : "John Wiley &amp; Sons, Inc.", "publisher-place" : "Hoboken, NJ, USA", "title" : "Comprehensive Organic Name Reactions and Reagents, Vol. 1", "type" : "book" }, "uris" : [ "http://www.mendeley.com/documents/?uuid=58cd6f8f-be96-38ee-bc43-a70aaa194169" ] } ], "mendeley" : { "formattedCitation" : "(Wang, 2010)", "plainTextFormattedCitation" : "(Wang, 2010)", "previouslyFormattedCitation" : "(Wang, 2010)" }, "properties" : { "noteIndex" : 0 }, "schema" : "https://github.com/citation-style-language/schema/raw/master/csl-citation.json" }</w:instrText>
      </w:r>
      <w:r w:rsidR="00FF4E79" w:rsidRPr="00783958">
        <w:rPr>
          <w:sz w:val="24"/>
        </w:rPr>
        <w:fldChar w:fldCharType="separate"/>
      </w:r>
      <w:r w:rsidR="001D7427" w:rsidRPr="00783958">
        <w:rPr>
          <w:noProof/>
          <w:sz w:val="24"/>
        </w:rPr>
        <w:t>(Wang, 2010)</w:t>
      </w:r>
      <w:r w:rsidR="00FF4E79" w:rsidRPr="00783958">
        <w:rPr>
          <w:sz w:val="24"/>
        </w:rPr>
        <w:fldChar w:fldCharType="end"/>
      </w:r>
      <w:r w:rsidR="00BB7754" w:rsidRPr="00783958">
        <w:rPr>
          <w:sz w:val="24"/>
        </w:rPr>
        <w:t xml:space="preserve"> </w:t>
      </w:r>
      <w:r w:rsidR="0075662C" w:rsidRPr="00783958">
        <w:rPr>
          <w:sz w:val="24"/>
        </w:rPr>
        <w:t xml:space="preserve">and </w:t>
      </w:r>
      <w:r w:rsidR="000C6799" w:rsidRPr="00783958">
        <w:rPr>
          <w:sz w:val="24"/>
        </w:rPr>
        <w:t xml:space="preserve">protic ionic liquids (PILs) </w:t>
      </w:r>
      <w:r w:rsidR="0075662C" w:rsidRPr="00783958">
        <w:rPr>
          <w:sz w:val="24"/>
        </w:rPr>
        <w:t>formed from the</w:t>
      </w:r>
      <w:r w:rsidR="000C6799" w:rsidRPr="00783958">
        <w:rPr>
          <w:sz w:val="24"/>
        </w:rPr>
        <w:t xml:space="preserve"> proton </w:t>
      </w:r>
      <w:r w:rsidR="0075662C" w:rsidRPr="00783958">
        <w:rPr>
          <w:sz w:val="24"/>
        </w:rPr>
        <w:t>transfer reaction</w:t>
      </w:r>
      <w:r w:rsidR="000C6799" w:rsidRPr="00783958">
        <w:rPr>
          <w:sz w:val="24"/>
        </w:rPr>
        <w:t xml:space="preserve"> between a Br</w:t>
      </w:r>
      <w:r w:rsidR="000C6799" w:rsidRPr="00783958">
        <w:rPr>
          <w:rFonts w:cs="Times New Roman"/>
          <w:sz w:val="24"/>
        </w:rPr>
        <w:t>ø</w:t>
      </w:r>
      <w:r w:rsidR="0075662C" w:rsidRPr="00783958">
        <w:rPr>
          <w:sz w:val="24"/>
        </w:rPr>
        <w:t xml:space="preserve">nsted acid and a suitable base. </w:t>
      </w:r>
      <w:r w:rsidR="00C96109" w:rsidRPr="00783958">
        <w:rPr>
          <w:sz w:val="24"/>
        </w:rPr>
        <w:t>Particular properties of b</w:t>
      </w:r>
      <w:r w:rsidR="0075662C" w:rsidRPr="00783958">
        <w:rPr>
          <w:sz w:val="24"/>
        </w:rPr>
        <w:t xml:space="preserve">oth aprotic and protic </w:t>
      </w:r>
      <w:r w:rsidR="000913D6" w:rsidRPr="00783958">
        <w:rPr>
          <w:sz w:val="24"/>
        </w:rPr>
        <w:t>ILs can</w:t>
      </w:r>
      <w:r w:rsidR="00C96109" w:rsidRPr="00783958">
        <w:rPr>
          <w:sz w:val="24"/>
        </w:rPr>
        <w:t xml:space="preserve"> be altered</w:t>
      </w:r>
      <w:r w:rsidR="0075662C" w:rsidRPr="00783958">
        <w:rPr>
          <w:sz w:val="24"/>
        </w:rPr>
        <w:t>, such as solvation environment and thermal stability</w:t>
      </w:r>
      <w:r w:rsidR="00C96109" w:rsidRPr="00783958">
        <w:rPr>
          <w:sz w:val="24"/>
        </w:rPr>
        <w:t>,</w:t>
      </w:r>
      <w:r w:rsidR="0075662C" w:rsidRPr="00783958">
        <w:rPr>
          <w:sz w:val="24"/>
        </w:rPr>
        <w:t xml:space="preserve"> by modification of either anion or cation.</w:t>
      </w:r>
      <w:r w:rsidR="0091130B" w:rsidRPr="00783958">
        <w:rPr>
          <w:sz w:val="24"/>
        </w:rPr>
        <w:t xml:space="preserve"> ILs have been showcased in numerous applications to date, including biomass processing and extraction</w:t>
      </w:r>
      <w:r w:rsidR="00DF10A9" w:rsidRPr="00783958">
        <w:rPr>
          <w:sz w:val="24"/>
        </w:rPr>
        <w:t xml:space="preserve"> </w:t>
      </w:r>
      <w:r w:rsidR="00C87EFC" w:rsidRPr="00783958">
        <w:rPr>
          <w:sz w:val="24"/>
        </w:rPr>
        <w:fldChar w:fldCharType="begin" w:fldLock="1"/>
      </w:r>
      <w:r w:rsidR="00036654">
        <w:rPr>
          <w:sz w:val="24"/>
        </w:rPr>
        <w:instrText>ADDIN CSL_CITATION { "citationItems" : [ { "id" : "ITEM-1", "itemData" : { "DOI" : "10.1021/jf071692e", "ISBN" : "0021-8561", "ISSN" : "00218561", "PMID" : "17907779", "abstract" : "The present paper demonstrates that both hardwoods and softwoods are readily soluble in various imidazolium-based ionic liquids (ILs) under gentle conditions. More specifically, a variety of ionic liquids can only partially dissolve wood chips, whereas ionic liquids such as 1-butyl-3-methylimidazolium chloride and 1-allyl-3-methylimidazolium chloride have good solvating power for Norway spruce sawdust and Norway spruce and Southern pine thermomechanical pulp (TMP) fibers. Despite the fact that the obtained solutions were not fully clear, these ionic liquids provided solutions which permitted the complete acetylation of the wood. Alternatively, transparent amber solutions of wood could be obtained when the dissolution of the same lignocellulosic samples was attempted in 1-benzyl-3-methylimidazolium chloride. This realization was based on a designed augmented interaction of the aromatic character of the cation of the ionic liquid with the lignin in the wood. After dissolution, wood can be regenerated as an amorphous mixture of its original components. The cellulose of the regenerated wood can be efficiently digested to glucose by a cellulase enzymatic hydrolysis treatment. Furthermore, completely acetylated wood was found to be readily soluble in chloroform, allowing, for the first time, detailed proton nuclear magnetic resonance (NMR) spectra and NMR diffusion measurements to be made. It was thus demonstrated that the dissolution of wood in ionic liquids now offers a variety of new possibilities for its structural and macromolecular characterization, without the prior isolation of its individual components. Furthermore, considering the relatively wide solubility and compatibility of ionic liquids with many organic or inorganic functional chemicals or polymers, it is envisaged that this research could create a variety of new strategies for converting abundant woody biomass to valuable biofuels, chemicals, and novel functional composite biomaterials.", "author" : [ { "dropping-particle" : "", "family" : "Kilpel\u00e4inen", "given" : "Ilkka", "non-dropping-particle" : "", "parse-names" : false, "suffix" : "" }, { "dropping-particle" : "", "family" : "Xie", "given" : "Haibo", "non-dropping-particle" : "", "parse-names" : false, "suffix" : "" }, { "dropping-particle" : "", "family" : "King", "given" : "Alistair", "non-dropping-particle" : "", "parse-names" : false, "suffix" : "" }, { "dropping-particle" : "", "family" : "Granstrom", "given" : "Mari", "non-dropping-particle" : "", "parse-names" : false, "suffix" : "" }, { "dropping-particle" : "", "family" : "Heikkinen", "given" : "Sami", "non-dropping-particle" : "", "parse-names" : false, "suffix" : "" }, { "dropping-particle" : "", "family" : "Argyropoulos", "given" : "Dimitris S.", "non-dropping-particle" : "", "parse-names" : false, "suffix" : "" } ], "container-title" : "Journal of Agricultural and Food Chemistry", "id" : "ITEM-1", "issue" : "22", "issued" : { "date-parts" : [ [ "2007", "10" ] ] }, "page" : "9142-9148", "publisher" : "American Chemical Society", "title" : "Dissolution of wood in ionic liquids", "type" : "article-journal", "volume" : "55" }, "uris" : [ "http://www.mendeley.com/documents/?uuid=7c5a31c2-6727-4fad-803f-094327f12013" ] }, { "id" : "ITEM-2", "itemData" : { "DOI" : "10.1039/c2cs15311d", "ISBN" : "0306-0012", "PMID" : "22266483", "abstract" : "Utilization of natural polymers has attracted increasing attention because of the consumption and over-exploitation of non-renewable resources, such as coal and oil. The development of green processing of cellulose, the most abundant biorenewable material on Earth, is urgent from the viewpoints of both sustainability and environmental protection. The discovery of the dissolution of cellulose in ionic liquids (ILs, salts which melt below 100 \u00b0C) provides new opportunities for the processing of this biopolymer, however, many fundamental and practical questions need to be answered in order to determine if this will ultimately be a green or sustainable strategy. In this critical review, the open fundamental questions regarding the interactions of cellulose with both the IL cations and anions in the dissolution process are discussed. Investigations have shown that the interactions between the anion and cellulose play an important role in the solvation of cellulose, however, opinions on the role of the cation are conflicting. Some researchers have concluded that the cations are hydrogen bonding to this biopolymer, while others suggest they are not. Our review of the available data has led us to urge the use of more chemical units of solubility, such as 'g cellulose per mole of IL' or 'mol IL per mol hydroxyl in cellulose' to provide more consistency in data reporting and more insight into the dissolution mechanism. This review will also assess the greenness and sustainability of IL processing of biomass, where it would seem that the choices of cation and anion are critical not only to the science of the dissolution, but to the ultimate 'greenness' of any process (142 references).", "author" : [ { "dropping-particle" : "", "family" : "Wang", "given" : "Hui", "non-dropping-particle" : "", "parse-names" : false, "suffix" : "" }, { "dropping-particle" : "", "family" : "Gurau", "given" : "Gabriela", "non-dropping-particle" : "", "parse-names" : false, "suffix" : "" }, { "dropping-particle" : "", "family" : "Rogers", "given" : "Robin D.", "non-dropping-particle" : "", "parse-names" : false, "suffix" : "" } ], "container-title" : "Chemical Society Reviews", "id" : "ITEM-2", "issue" : "4", "issued" : { "date-parts" : [ [ "2012" ] ] }, "page" : "1519-1537", "title" : "Ionic liquid processing of cellulose", "type" : "article-journal", "volume" : "41" }, "uris" : [ "http://www.mendeley.com/documents/?uuid=52979f08-508a-4e63-8887-2fd4719bd9b6" ] }, { "id" : "ITEM-3", "itemData" : { "DOI" : "10.1021/sc500229a", "ISSN" : "21680485", "abstract" : "Feathers, a form of keratin, are available in large quantities as a waste in many countries. They could be a potential source of polyamides if suitable methods for the dissolution and regeneration of the keratin were developed. A series of distillable N,N-dimethylethanolammonium cation-based protic ionic liquids (PILs) have been investigated in this work for use as processing solvents for this material. N,N-dimethylethanolammonium formate ([DMEA][HCOO]) is shown to dissolve keratin to an extent of 150 mg per gram of solvent. Recovery of the regenerated keratin material is easily achieved by the addition of methanol. We also demonstrate distillation and recovery of the ionic liquid from the dissolved keratin.\\nFeathers, a form of keratin, are available in large quantities as a waste in many countries. They could be a potential source of polyamides if suitable methods for the dissolution and regeneration of the keratin were developed. A series of distillable N,N-dimethylethanolammonium cation-based protic ionic liquids (PILs) have been investigated in this work for use as processing solvents for this material. N,N-dimethylethanolammonium formate ([DMEA][HCOO]) is shown to dissolve keratin to an extent of 150 mg per gram of solvent. Recovery of the regenerated keratin material is easily achieved by the addition of methanol. We also demonstrate distillation and recovery of the ionic liquid from the dissolved keratin.", "author" : [ { "dropping-particle" : "", "family" : "Idris", "given" : "Azila", "non-dropping-particle" : "", "parse-names" : false, "suffix" : "" }, { "dropping-particle" : "", "family" : "Vijayaraghavan", "given" : "R.", "non-dropping-particle" : "", "parse-names" : false, "suffix" : "" }, { "dropping-particle" : "", "family" : "Patti", "given" : "A. F.", "non-dropping-particle" : "", "parse-names" : false, "suffix" : "" }, { "dropping-particle" : "", "family" : "Macfarlane", "given" : "D. R.", "non-dropping-particle" : "", "parse-names" : false, "suffix" : "" } ], "container-title" : "ACS Sustainable Chemistry and Engineering", "id" : "ITEM-3", "issue" : "7", "issued" : { "date-parts" : [ [ "2014" ] ] }, "page" : "1888-1894", "title" : "Distillable protic ionic liquids for keratin dissolution and recovery", "type" : "article-journal", "volume" : "2" }, "uris" : [ "http://www.mendeley.com/documents/?uuid=8dfed9db-ce30-473f-bd55-6f0ca6fde92f" ] }, { "id" : "ITEM-4", "itemData" : { "DOI" : "10.1039/c3gc41742e", "ISBN" : "1463-9262; 1463-9270", "ISSN" : "1463-9262", "abstract" : "The application of the protic ionic liquid 1-butylimidazolium hydrogen sulfate in the deconstruction (aka pretreatment) and fractionation of lignocellulosic biomass has been investigated. A cellulose rich pulp and a lignin fraction were produced. The pulp was subjected to enzymatic saccharification which allowed recovery of up to 90% of the glucan as fermentable glucose. The influence of the solution acidity on the deconstruction of Miscanthus giganteus was examined by varying the 1-butylimidazole to sulfuric acid ratio. Increased acidity led to shorter pretreatment times and resulted in reduced hemicellulose content in the pulp. Addition of water to the ionic liquid resulted in enhanced saccharification yields. The ability to tune acidity through the use of protic ionic liquids offers a significant advantage in flexibility over dialkylimidazolium analogues. \u00a9 2014 The Royal Society of Chemistry.", "author" : [ { "dropping-particle" : "", "family" : "Verd\u00eda", "given" : "Pedro", "non-dropping-particle" : "", "parse-names" : false, "suffix" : "" }, { "dropping-particle" : "", "family" : "Brandt", "given" : "Agnieszka", "non-dropping-particle" : "", "parse-names" : false, "suffix" : "" }, { "dropping-particle" : "", "family" : "Hallett", "given" : "Jason P.", "non-dropping-particle" : "", "parse-names" : false, "suffix" : "" }, { "dropping-particle" : "", "family" : "Ray", "given" : "Michael J.", "non-dropping-particle" : "", "parse-names" : false, "suffix" : "" }, { "dropping-particle" : "", "family" : "Welton", "given" : "Tom", "non-dropping-particle" : "", "parse-names" : false, "suffix" : "" } ], "container-title" : "Green Chemistry", "id" : "ITEM-4", "issue" : "3", "issued" : { "date-parts" : [ [ "2014" ] ] }, "page" : "1617-1627", "title" : "Fractionation of lignocellulosic biomass with the ionic liquid 1-butylimidazolium hydrogen sulfate", "type" : "article-journal", "volume" : "16" }, "uris" : [ "http://www.mendeley.com/documents/?uuid=8ee021d5-55f0-4882-bdb7-63562de8a192" ] } ], "mendeley" : { "formattedCitation" : "(Idris et al., 2014; Kilpel\u00e4inen et al., 2007; Verd\u00eda et al., 2014; Wang et al., 2012)", "plainTextFormattedCitation" : "(Idris et al., 2014; Kilpel\u00e4inen et al., 2007; Verd\u00eda et al., 2014; Wang et al., 2012)", "previouslyFormattedCitation" : "(Idris et al., 2014; Kilpel\u00e4inen et al., 2007; Verd\u00eda et al., 2014; Wang et al., 2012)" }, "properties" : { "noteIndex" : 0 }, "schema" : "https://github.com/citation-style-language/schema/raw/master/csl-citation.json" }</w:instrText>
      </w:r>
      <w:r w:rsidR="00C87EFC" w:rsidRPr="00783958">
        <w:rPr>
          <w:sz w:val="24"/>
        </w:rPr>
        <w:fldChar w:fldCharType="separate"/>
      </w:r>
      <w:r w:rsidR="001D7427" w:rsidRPr="00783958">
        <w:rPr>
          <w:noProof/>
          <w:sz w:val="24"/>
        </w:rPr>
        <w:t>(Idris et al., 2014; Kilpeläinen et al., 2007; Verdía et al., 2014; Wang et al., 2012)</w:t>
      </w:r>
      <w:r w:rsidR="00C87EFC" w:rsidRPr="00783958">
        <w:rPr>
          <w:sz w:val="24"/>
        </w:rPr>
        <w:fldChar w:fldCharType="end"/>
      </w:r>
      <w:r w:rsidR="00DF10A9" w:rsidRPr="00783958">
        <w:rPr>
          <w:sz w:val="24"/>
        </w:rPr>
        <w:t>,</w:t>
      </w:r>
      <w:r w:rsidR="0091130B" w:rsidRPr="00783958">
        <w:rPr>
          <w:sz w:val="24"/>
        </w:rPr>
        <w:t xml:space="preserve"> catalysis</w:t>
      </w:r>
      <w:r w:rsidR="00183BC7" w:rsidRPr="00783958">
        <w:rPr>
          <w:sz w:val="24"/>
          <w:vertAlign w:val="superscript"/>
        </w:rPr>
        <w:t xml:space="preserve"> </w:t>
      </w:r>
      <w:r w:rsidR="00C87EFC" w:rsidRPr="00783958">
        <w:rPr>
          <w:sz w:val="24"/>
          <w:vertAlign w:val="superscript"/>
        </w:rPr>
        <w:fldChar w:fldCharType="begin" w:fldLock="1"/>
      </w:r>
      <w:r w:rsidR="00036654">
        <w:rPr>
          <w:sz w:val="24"/>
          <w:vertAlign w:val="superscript"/>
        </w:rPr>
        <w:instrText>ADDIN CSL_CITATION { "citationItems" : [ { "id" : "ITEM-1", "itemData" : { "DOI" : "10.1039/b107270f", "ISBN" : "1359-7345", "ISSN" : "13597345", "PMID" : "12239988", "abstract" : "The chemical industry is under considerable pressure to replace many of the volatile organic compounds (VOCs) that are currently used as solvents in organic synthesis. The toxic and/or hazardous properties of many solvents, notably chlorinated hydrocarbons, combined with serious environmental issues, such as atmospheric emissions and contamination of aqueous effluents is making their use prohibitive. This is an important driving force in the quest for novel reaction media. Curzons and coworkers, for example, recently noted that rigorous management of solvent use is likely to result in the greatest improvement towards greener processes for the manufacture of pharmaceutical intermediates. The current emphasis on novel reaction media is also motivated by the need for efficient methods for recycling homogeneous catalysts. The key to waste minimisation in chemicals manufacture is the widespread substitution of classical \u2018stoichiometric\u2019\\r\\nsyntheses by atom efficient, catalytic alternatives. In the context of homogeneous catalysis, efficient recycling of the catalyst is a conditio sine qua non for economically and environmentally attractive processes. Motivated by one or both of the above issues much attention has been devoted to homogeneous catalysis in aqueous biphasic and fluorous biphasic systems as well as in supercritical carbon dioxide. Similarly, the use of ionic liquids as novel reaction media may offer a convenient solution to both the solvent emission and the catalyst recycling problem.", "author" : [ { "dropping-particle" : "", "family" : "Sheldon", "given" : "Roger", "non-dropping-particle" : "", "parse-names" : false, "suffix" : "" } ], "container-title" : "Chemical Communications", "id" : "ITEM-1", "issue" : "23", "issued" : { "date-parts" : [ [ "2001", "11", "22" ] ] }, "page" : "2399-2407", "publisher" : "The Royal Society of Chemistry", "title" : "Catalytic reactions in ionic liquids", "type" : "article-journal", "volume" : "3" }, "uris" : [ "http://www.mendeley.com/documents/?uuid=6cc4daf9-6b5e-3890-b094-05a64ccb0814" ] }, { "id" : "ITEM-2", "itemData" : { "DOI" : "10.1016/j.tet.2003.11.063", "ISBN" : "0040-4020", "ISSN" : "00404020", "abstract" : "The opioid oxycodone was produced from codeine, using a combination of chemical and biological catalysis. The use of novel functionalized ionic liquids permitted this reaction to be performed in a single solvent. \u00a9 2003 Published by Elsevier Ltd.", "author" : [ { "dropping-particle" : "", "family" : "Walker", "given" : "Adam J", "non-dropping-particle" : "", "parse-names" : false, "suffix" : "" }, { "dropping-particle" : "", "family" : "Bruce", "given" : "Neil C", "non-dropping-particle" : "", "parse-names" : false, "suffix" : "" } ], "container-title" : "Tetrahedron", "id" : "ITEM-2", "issue" : "3", "issued" : { "date-parts" : [ [ "2004" ] ] }, "page" : "561-568", "title" : "Combined biological and chemical catalysis in the preparation of oxycodone", "type" : "article-journal", "volume" : "60" }, "uris" : [ "http://www.mendeley.com/documents/?uuid=938b36b8-38cf-30af-bdfb-5b8b903f7157" ] }, { "id" : "ITEM-3", "itemData" : { "DOI" : "10.1039/b410467f", "ISBN" : "1359-7345", "PMID" : "15543284", "abstract" : "Functionalized, hydrogen-bonding ionic liquids have been successfully evaluated as media for the performance of cofactor-dependent enzyme catalysed oxidations; the effects of incorporating hydroxyl groups into both the cation and anion have been studied and the dependence of activity upon water content has been evaluated.", "author" : [ { "dropping-particle" : "", "family" : "Walker", "given" : "Adam J", "non-dropping-particle" : "", "parse-names" : false, "suffix" : "" }, { "dropping-particle" : "", "family" : "Bruce", "given" : "Neil C", "non-dropping-particle" : "", "parse-names" : false, "suffix" : "" } ], "container-title" : "Chem. Commun.", "id" : "ITEM-3", "issue" : "22", "issued" : { "date-parts" : [ [ "2004" ] ] }, "page" : "2570-2571", "title" : "Cofactor-dependent enzyme catalysis in functionalized ionic solvents.", "type" : "article-journal", "volume" : "1" }, "uris" : [ "http://www.mendeley.com/documents/?uuid=826f2068-e60f-4a21-9309-be2bbcdb7308" ] }, { "id" : "ITEM-4", "itemData" : { "DOI" : "10.1016/S0360-0564(05)49003-3", "ISBN" : "012007849X", "ISSN" : "03600564", "PMID" : "17518502", "abstract" : "Ionic liquids, salts with melting points less than about 100??C, present a wide range of properties for applications as catalysts, and there has been a spate of research recently concerned with catalytic applications of low-temperature ionic liquids. These typically consist of an organic cationic component with one or multiple heteroatoms, such as N, P, or S, and an inorganic or organic anion. The inertness of many ionic liquids toward most known catalysts makes them superior to water as solvents for catalysts, and from an environmental point of view, their low vapor pressures make them attractive as replacements for organic solvents. Other unique properties of ionic liquids, including the high thermal stability, broad ranges of temperatures over which they are liquids, the tunablity of their acidities, and their excellent retention of polar or charged catalysts make them appealing media for a broad range of catalytic applications. Reusable catalyst-ionic liquid systems make possible facile catalyst-product separation, providing economic incentives for the development of such systems for new processes and as replacements for the existing ones. ?? 2006 Elsevier Inc. All rights reserved.", "author" : [ { "dropping-particle" : "", "family" : "Parvulescu", "given" : "Vasile I", "non-dropping-particle" : "", "parse-names" : false, "suffix" : "" }, { "dropping-particle" : "", "family" : "Hardacre", "given" : "Christopher", "non-dropping-particle" : "", "parse-names" : false, "suffix" : "" } ], "container-title" : "Chemical Reviews", "id" : "ITEM-4", "issued" : { "date-parts" : [ [ "2007" ] ] }, "page" : "2615-2665", "publisher" : "American Chemical Society", "title" : "Catalysis in Ionic Liquids", "type" : "article-journal", "volume" : "107" }, "uris" : [ "http://www.mendeley.com/documents/?uuid=5e0548d3-3e26-3271-a2fd-7e6a093e287a" ] }, { "id" : "ITEM-5", "itemData" : { "DOI" : "10.1002/chem.201601940", "ISSN" : "15213765", "PMID" : "27383560", "abstract" : "In this Minireview, the state of the art in the use of ionic liquids (ILs) and deep eutectic solvents (DESs) as alternative reaction media for biocatalytic processes and biomass conversion is presented. Initial, proof-of-concept studies, more than a decade ago, involved first-generation ILs based on dialkylimidazolium cations and non-coordinating anions, such as tetrafluoroborate and hexafluorophosphate. More recently, emphasis has switched to more environmentally acceptable second-generation ILs comprising cations, which are designed to be compatible with enzymes and, in many cases are derived from readily available, renewable resources, such as cholinium salts. Protic ionic liquids (PILs), prepared simply by mixing inexpensive amines and acids, are particularly attractive from both an environmental and economic viewpoint. DESs, prepared by mixing inexpensive salts with, preferably renewable, hydrogen-bond donors such as glycerol and amino acids, have also proved suitable reaction media for biocatalytic conversions. A broad range of enzymes can be used in ILs, PILs and DESs, for example lipases in biodiesel production. These neoteric solvents are of particular interest, however, as reaction media for biocatalytic conversions of substrates that have limited solubility in common organic solvents, such as carbohydrates, nucleosides, steroids and polysaccharides. This has culminated in the recent focus of attention on their use as (co)solvents in the pretreatment and saccharification of lignocellulose as the initial steps in the conversion of second-generation renewable biomass into biofuels and chemicals. They can similarly be used as reaction media in subsequent conversions of hexoses and pentoses into platform chemicals.", "author" : [ { "dropping-particle" : "", "family" : "Sheldon", "given" : "Roger A.", "non-dropping-particle" : "", "parse-names" : false, "suffix" : "" } ], "container-title" : "Chemistry - A European Journal", "id" : "ITEM-5", "issue" : "37", "issued" : { "date-parts" : [ [ "2016", "9", "5" ] ] }, "page" : "12984-12999", "title" : "Biocatalysis and Biomass Conversion in Alternative Reaction Media", "type" : "article-journal", "volume" : "22" }, "uris" : [ "http://www.mendeley.com/documents/?uuid=9e61e8a5-0dad-3935-b59b-62f3834d8e0a" ] } ], "mendeley" : { "formattedCitation" : "(Parvulescu and Hardacre, 2007; Sheldon, 2001, 2016, Walker and Bruce, 2004a, 2004b)", "plainTextFormattedCitation" : "(Parvulescu and Hardacre, 2007; Sheldon, 2001, 2016, Walker and Bruce, 2004a, 2004b)", "previouslyFormattedCitation" : "(Parvulescu and Hardacre, 2007; Sheldon, 2001, 2016, Walker and Bruce, 2004a, 2004b)" }, "properties" : { "noteIndex" : 0 }, "schema" : "https://github.com/citation-style-language/schema/raw/master/csl-citation.json" }</w:instrText>
      </w:r>
      <w:r w:rsidR="00C87EFC" w:rsidRPr="00783958">
        <w:rPr>
          <w:sz w:val="24"/>
          <w:vertAlign w:val="superscript"/>
        </w:rPr>
        <w:fldChar w:fldCharType="separate"/>
      </w:r>
      <w:r w:rsidR="001D7427" w:rsidRPr="00783958">
        <w:rPr>
          <w:noProof/>
          <w:sz w:val="24"/>
        </w:rPr>
        <w:t>(Parvulescu and Hardacre, 2007; Sheldon, 2001, 2016, Walker and Bruce, 2004a, 2004b)</w:t>
      </w:r>
      <w:r w:rsidR="00C87EFC" w:rsidRPr="00783958">
        <w:rPr>
          <w:sz w:val="24"/>
          <w:vertAlign w:val="superscript"/>
        </w:rPr>
        <w:fldChar w:fldCharType="end"/>
      </w:r>
      <w:r w:rsidR="00183BC7" w:rsidRPr="00783958">
        <w:rPr>
          <w:sz w:val="24"/>
        </w:rPr>
        <w:t>,</w:t>
      </w:r>
      <w:r w:rsidR="0091130B" w:rsidRPr="00783958">
        <w:rPr>
          <w:sz w:val="24"/>
        </w:rPr>
        <w:t xml:space="preserve">  </w:t>
      </w:r>
      <w:r w:rsidR="00C87EFC" w:rsidRPr="00783958">
        <w:rPr>
          <w:sz w:val="24"/>
        </w:rPr>
        <w:t>pharmacology</w:t>
      </w:r>
      <w:r w:rsidR="00183BC7" w:rsidRPr="00783958">
        <w:rPr>
          <w:sz w:val="24"/>
        </w:rPr>
        <w:t xml:space="preserve">  </w:t>
      </w:r>
      <w:r w:rsidR="00C87EFC" w:rsidRPr="00783958">
        <w:rPr>
          <w:sz w:val="24"/>
        </w:rPr>
        <w:fldChar w:fldCharType="begin" w:fldLock="1"/>
      </w:r>
      <w:r w:rsidR="00036654">
        <w:rPr>
          <w:sz w:val="24"/>
        </w:rPr>
        <w:instrText>ADDIN CSL_CITATION { "citationItems" : [ { "id" : "ITEM-1", "itemData" : { "DOI" : "10.1039/c1fd00071c", "ISBN" : "1359-6640", "ISSN" : "1359-6640", "abstract" : "A series of new protic compds. based on active pharmaceutical ingredients was prepd. and characterized. Some of the salts synthesized produced ionic liqs., while others that were assocd. with rigid mol. structures tended to produce high m.ps. The protonic behavior of these compds. was found to be a major determinant of their properties. Indicator studies, FT-IR-ATR and transport properties (Walden plot) were used to probe the extent of proton transfer and ion assocn. in these ionic liqs. While proton transfer was shown to have taken place in all cases, the Walden plot indicated strong ion assocn. in the primary amine based examples due to hydrogen bonding. This was further explored by the crystal structure detn. of related compds., which showed that extended hydrogen bonded clusters tend to form in these salts. These clusters may dictate membrane transport properties of these compds. in vivo. The synthesis of the target compds. was achieved using tricyclo[3.3.1.13,7]decan-1-amine (amantadine), benzoic acid, salicylic acid, 2,5-dihydroxybenzoic acid (gentisic acid), 2-heptanamine (tuaminooheptane), 1-pyrrolidineethanol as starting materials. The title compds. thus formed included 2-heptanamine benzoate (1:1), 2-heptanamine benzoate (1:2) dibenzoate, tricyclo[3.3.1.13,7]decan-1-amine benzoate (1:1), 1-pyrrolidineethanol benzoate (1:1) and related substances. [on SciFinder(R)]", "author" : [ { "dropping-particle" : "", "family" : "Stoimenovski", "given" : "Jelena", "non-dropping-particle" : "", "parse-names" : false, "suffix" : "" }, { "dropping-particle" : "", "family" : "Dean", "given" : "Pamela M", "non-dropping-particle" : "", "parse-names" : false, "suffix" : "" }, { "dropping-particle" : "", "family" : "Izgorodina", "given" : "Ekaterina I", "non-dropping-particle" : "", "parse-names" : false, "suffix" : "" }, { "dropping-particle" : "", "family" : "MacFarlane", "given" : "Douglas R.", "non-dropping-particle" : "", "parse-names" : false, "suffix" : "" } ], "container-title" : "Faraday Discussions", "id" : "ITEM-1", "issued" : { "date-parts" : [ [ "2012" ] ] }, "page" : "335-352", "title" : "Protic pharmaceutical ionic liquids and solids: Aspects of protonics", "type" : "article-journal", "volume" : "154" }, "uris" : [ "http://www.mendeley.com/documents/?uuid=b9bd50f8-22b3-4c8b-ae2a-455e529b271d" ] }, { "id" : "ITEM-2", "itemData" : { "DOI" : "10.1039/c4cc02021a", "ISBN" : "1364-548X (Electronic)\\r1359-7345 (Linking)", "ISSN" : "1364-548X", "PMID" : "24830849", "abstract" : "As highlighted by the recent ChemComm web themed issue on ionic liquids, this field continues to develop beyond the concept of interesting new solvents for application in the greening of the chemical industry. Here some current research trends in the field will be discussed which show that ionic liquids research is still aimed squarely at solving major societal issues by taking advantage of new fundamental understanding of the nature of these salts in their low temperature liquid state. This article discusses current research trends in applications of ionic liquids to energy, materials, and medicines to provide some insight into the directions, motivations, challenges, and successes being achieved with ionic liquids today.", "author" : [ { "dropping-particle" : "", "family" : "Smiglak", "given" : "M.", "non-dropping-particle" : "", "parse-names" : false, "suffix" : "" }, { "dropping-particle" : "", "family" : "Pringle", "given" : "J.M. M.", "non-dropping-particle" : "", "parse-names" : false, "suffix" : "" }, { "dropping-particle" : "", "family" : "Lu", "given" : "X.", "non-dropping-particle" : "", "parse-names" : false, "suffix" : "" }, { "dropping-particle" : "", "family" : "Han", "given" : "L.", "non-dropping-particle" : "", "parse-names" : false, "suffix" : "" }, { "dropping-particle" : "", "family" : "Zhang", "given" : "S.", "non-dropping-particle" : "", "parse-names" : false, "suffix" : "" }, { "dropping-particle" : "", "family" : "Gao", "given" : "H.", "non-dropping-particle" : "", "parse-names" : false, "suffix" : "" }, { "dropping-particle" : "", "family" : "MacFarlane", "given" : "D. R.", "non-dropping-particle" : "", "parse-names" : false, "suffix" : "" }, { "dropping-particle" : "", "family" : "Rogers", "given" : "R. D.", "non-dropping-particle" : "", "parse-names" : false, "suffix" : "" } ], "container-title" : "Chemical Communications", "id" : "ITEM-2", "issue" : "66", "issued" : { "date-parts" : [ [ "2014", "5", "16" ] ] }, "page" : "asap", "publisher" : "The Royal Society of Chemistry", "title" : "Ionic liquids for energy, materials, and medicine.", "type" : "article-journal", "volume" : "50" }, "uris" : [ "http://www.mendeley.com/documents/?uuid=3237a435-4dea-4d46-8bf1-fb2e58f5f79c" ] } ], "mendeley" : { "formattedCitation" : "(Smiglak et al., 2014; Stoimenovski et al., 2012)", "plainTextFormattedCitation" : "(Smiglak et al., 2014; Stoimenovski et al., 2012)", "previouslyFormattedCitation" : "(Smiglak et al., 2014; Stoimenovski et al., 2012)" }, "properties" : { "noteIndex" : 0 }, "schema" : "https://github.com/citation-style-language/schema/raw/master/csl-citation.json" }</w:instrText>
      </w:r>
      <w:r w:rsidR="00C87EFC" w:rsidRPr="00783958">
        <w:rPr>
          <w:sz w:val="24"/>
        </w:rPr>
        <w:fldChar w:fldCharType="separate"/>
      </w:r>
      <w:r w:rsidR="001D7427" w:rsidRPr="00783958">
        <w:rPr>
          <w:noProof/>
          <w:sz w:val="24"/>
        </w:rPr>
        <w:t>(Smiglak et al., 2014; Stoimenovski et al., 2012)</w:t>
      </w:r>
      <w:r w:rsidR="00C87EFC" w:rsidRPr="00783958">
        <w:rPr>
          <w:sz w:val="24"/>
        </w:rPr>
        <w:fldChar w:fldCharType="end"/>
      </w:r>
      <w:r w:rsidR="00C87EFC" w:rsidRPr="00783958">
        <w:rPr>
          <w:sz w:val="24"/>
        </w:rPr>
        <w:t xml:space="preserve"> </w:t>
      </w:r>
      <w:r w:rsidR="0091130B" w:rsidRPr="00783958">
        <w:rPr>
          <w:sz w:val="24"/>
        </w:rPr>
        <w:t xml:space="preserve">and </w:t>
      </w:r>
      <w:r w:rsidR="00C87EFC" w:rsidRPr="00783958">
        <w:rPr>
          <w:sz w:val="24"/>
        </w:rPr>
        <w:t>electrochemistry</w:t>
      </w:r>
      <w:r w:rsidR="00183BC7" w:rsidRPr="00783958">
        <w:rPr>
          <w:sz w:val="24"/>
        </w:rPr>
        <w:t xml:space="preserve"> </w:t>
      </w:r>
      <w:r w:rsidR="00C87EFC" w:rsidRPr="00783958">
        <w:rPr>
          <w:sz w:val="24"/>
        </w:rPr>
        <w:fldChar w:fldCharType="begin" w:fldLock="1"/>
      </w:r>
      <w:r w:rsidR="00036654">
        <w:rPr>
          <w:sz w:val="24"/>
        </w:rPr>
        <w:instrText>ADDIN CSL_CITATION { "citationItems" : [ { "id" : "ITEM-1", "itemData" : { "DOI" : "10.1126/science.1090287", "ISBN" : "1095-9203 (Electronic)\\r0036-8075 (Linking)", "ISSN" : "0036-8075", "PMID" : "14564002", "abstract" : "Aqueous solutions are generally assumed to be superior electrolytic conductors because of the unique dielectric and fluid properties of water. We show that their conductivities can be matched by liquid electrolytes that contain no solvent. These are proton transfer salts that are liquid at ambient temperature. The high conductivities are due to the high fluidity and ionicity rather than some sort of Grotthus mechanism, although in certain cases a mobile proton population may make a non-negligible contribution. The highest conductivities have been obtained when both cations and anions contain protons. At 25 degrees C, values of &gt;150 millisiemens per centimeter (mS x cm(-1)) appear possible; at 100 degrees C, 470 mS x cm(-1) has been measured. Because of the combination of high ionicity and proton exchange kinetics with low vapor pressure, the systems we describe also make excellent fuel cell electrolytes.", "author" : [ { "dropping-particle" : "", "family" : "Xu", "given" : "Wu", "non-dropping-particle" : "", "parse-names" : false, "suffix" : "" }, { "dropping-particle" : "", "family" : "Angell", "given" : "C. Austen", "non-dropping-particle" : "", "parse-names" : false, "suffix" : "" } ], "container-title" : "Science", "id" : "ITEM-1", "issue" : "5644", "issued" : { "date-parts" : [ [ "2003" ] ] }, "page" : "422-425", "title" : "Solvent-free electrolytes with aqueous solution-like conductivities", "type" : "article-journal", "volume" : "302" }, "uris" : [ "http://www.mendeley.com/documents/?uuid=55d56490-b615-36e9-810c-5ce92a57954f" ] }, { "id" : "ITEM-2", "itemData" : { "DOI" : "10.1021/ar7000952", "ISBN" : "0001-4842 (Print)", "ISSN" : "00014842", "PMID" : "17941700", "abstract" : "Many ionic liquids offer a range of properties that make them attractive to the field of electrochemistry; indeed it was electrochemical research and applications that ushered in the modern era of interest in ionic liquids. In parallel with this, a variety of electrochemical devices including solar cells, high energy density batteries, fuel cells, and supercapacitors have become of intense interest as part of various proposed solutions to improve sustainability of energy supply in our societies. Much of our work over the last ten years has been motivated by such applications. Here we summarize the role of ionic liquids in these devices and the insights that the research provides for the broader field of interest of these fascinating liquids.", "author" : [ { "dropping-particle" : "", "family" : "Macfarlane", "given" : "Douglas R.", "non-dropping-particle" : "", "parse-names" : false, "suffix" : "" }, { "dropping-particle" : "", "family" : "Forsyth", "given" : "Maria", "non-dropping-particle" : "", "parse-names" : false, "suffix" : "" }, { "dropping-particle" : "", "family" : "Howlett", "given" : "Patrick C.", "non-dropping-particle" : "", "parse-names" : false, "suffix" : "" }, { "dropping-particle" : "", "family" : "Pringle", "given" : "Jennifer M.", "non-dropping-particle" : "", "parse-names" : false, "suffix" : "" }, { "dropping-particle" : "", "family" : "Sun", "given" : "Jiazeng", "non-dropping-particle" : "", "parse-names" : false, "suffix" : "" }, { "dropping-particle" : "", "family" : "Annat", "given" : "Gary", "non-dropping-particle" : "", "parse-names" : false, "suffix" : "" }, { "dropping-particle" : "", "family" : "Neil", "given" : "Wayne", "non-dropping-particle" : "", "parse-names" : false, "suffix" : "" }, { "dropping-particle" : "", "family" : "Izgorodina", "given" : "Ekaterina I.", "non-dropping-particle" : "", "parse-names" : false, "suffix" : "" } ], "container-title" : "Accounts of Chemical Research", "id" : "ITEM-2", "issue" : "11", "issued" : { "date-parts" : [ [ "2007", "11" ] ] }, "page" : "1165-1173", "publisher" : "American Chemical Society", "title" : "Ionic liquids in electrochemical devices and processes: Managing interfacial electrochemistry", "type" : "article-journal", "volume" : "40" }, "uris" : [ "http://www.mendeley.com/documents/?uuid=fa70955e-3f3e-31a7-a495-486507b9e68c" ] }, { "id" : "ITEM-3", "itemData" : { "DOI" : "10.1038/nmat2448", "ISBN" : "1476-1122", "ISSN" : "1476-1122", "PMID" : "19629083", "abstract" : "Ionic liquids are room-temperature molten salts, composed mostly of organic ions that may undergo almost unlimited structural variations. This review covers the newest aspects of ionic liquids in applications where their ion conductivity is exploited; as electrochemical solvents for metal/semiconductor electrodeposition, and as batteries and fuel cells where conventional media, organic solvents (in batteries) or water (in polymer-electrolyte-membrane fuel cells), fail. Biology and biomimetic processes in ionic liquids are also discussed. In these decidedly different materials, some enzymes show activity that is not exhibited in more traditional systems, creating huge potential for bioinspired catalysis and biofuel cells. Our goal in this review is to survey the recent key developments and issues within ionic-liquid research in these areas. As well as informing materials scientists, we hope to generate interest in the wider community and encourage others to make use of ionic liquids in tackling scientific challenges.", "author" : [ { "dropping-particle" : "", "family" : "Armand", "given" : "Michel", "non-dropping-particle" : "", "parse-names" : false, "suffix" : "" }, { "dropping-particle" : "", "family" : "Endres", "given" : "Frank", "non-dropping-particle" : "", "parse-names" : false, "suffix" : "" }, { "dropping-particle" : "", "family" : "MacFarlane", "given" : "Douglas R.", "non-dropping-particle" : "", "parse-names" : false, "suffix" : "" }, { "dropping-particle" : "", "family" : "Ohno", "given" : "Hiroyuki", "non-dropping-particle" : "", "parse-names" : false, "suffix" : "" }, { "dropping-particle" : "", "family" : "Scrosati", "given" : "Bruno", "non-dropping-particle" : "", "parse-names" : false, "suffix" : "" } ], "container-title" : "Nature materials", "id" : "ITEM-3", "issue" : "8", "issued" : { "date-parts" : [ [ "2009", "8", "24" ] ] }, "page" : "621-629", "publisher" : "Nature Publishing Group", "title" : "Ionic-liquid materials for the electrochemical challenges of the future.", "type" : "article-journal", "volume" : "8" }, "uris" : [ "http://www.mendeley.com/documents/?uuid=45d286da-3bbc-3940-ac78-5c4f4776f9bd" ] }, { "id" : "ITEM-4", "itemData" : { "abstract" : "Ionic liquids offer a unique suite of properties that make them important candidates for a number of energy related applications. Cation\u2013anion combinations that exhibit low volatility coupled with high electrochemical and thermal stability, as well as ionic conductivity, create the possibility of designing ideal electrolytes for batteries, super-capacitors, actuators, dye sensitised solar cells and thermo-electrochemical cells. In the field of water splitting to produce hydrogen they have been used to synthesize some of the best performing water oxidation catalysts and some members of the protic ionic liquid family co-catalyse an unusual, very high energy efficiency water oxidation process. As fuel cell electrolytes, the high proton conductivity of some of the protic ionic liquid family offers the potential of fuel cells operating in the optimum temperature region above 100 C. Beyond electrochemical applications, the low vapour pressure of these liquids, along with their ability to offer tuneable functionality, also makes them ideal as CO 2 absorbents for post-combustion CO 2 capture. Similarly, the tuneable phase properties of the many members of this large family of salts are also allowing the creation of phase-change thermal energy storage materials having melting points tuned to the application. This perspective article provides an overview of these developing energy related applications of ionic liquids and offers some thoughts on the emerging challenges and opportunities.", "author" : [ { "dropping-particle" : "", "family" : "Macfarlane", "given" : "Douglas R", "non-dropping-particle" : "", "parse-names" : false, "suffix" : "" }, { "dropping-particle" : "", "family" : "Tachikawa", "given" : "Naoki", "non-dropping-particle" : "", "parse-names" : false, "suffix" : "" }, { "dropping-particle" : "", "family" : "Forsyth", "given" : "Maria", "non-dropping-particle" : "", "parse-names" : false, "suffix" : "" }, { "dropping-particle" : "", "family" : "Pringle", "given" : "Jennifer M", "non-dropping-particle" : "", "parse-names" : false, "suffix" : "" }, { "dropping-particle" : "", "family" : "Howlett", "given" : "Patrick C", "non-dropping-particle" : "", "parse-names" : false, "suffix" : "" }, { "dropping-particle" : "", "family" : "Elliott", "given" : "Gloria D", "non-dropping-particle" : "", "parse-names" : false, "suffix" : "" }, { "dropping-particle" : "", "family" : "Davis", "given" : "James H", "non-dropping-particle" : "", "parse-names" : false, "suffix" : "" }, { "dropping-particle" : "", "family" : "Watanabe", "given" : "Masayoshi", "non-dropping-particle" : "", "parse-names" : false, "suffix" : "" }, { "dropping-particle" : "", "family" : "Simon", "given" : "Patrice", "non-dropping-particle" : "", "parse-names" : false, "suffix" : "" }, { "dropping-particle" : "", "family" : "Angell", "given" : "C. Austen", "non-dropping-particle" : "", "parse-names" : false, "suffix" : "" } ], "container-title" : "Energy &amp; Environmental Science", "id" : "ITEM-4", "issue" : "1", "issued" : { "date-parts" : [ [ "2014" ] ] }, "page" : "232-250", "title" : "Energy applications of ionic liquids", "type" : "article-journal", "volume" : "7" }, "uris" : [ "http://www.mendeley.com/documents/?uuid=10ebc4b5-eb13-3b01-8ad8-22f80b20b06a" ] } ], "mendeley" : { "formattedCitation" : "(Armand et al., 2009; Macfarlane et al., 2014, 2007; Xu and Angell, 2003)", "plainTextFormattedCitation" : "(Armand et al., 2009; Macfarlane et al., 2014, 2007; Xu and Angell, 2003)", "previouslyFormattedCitation" : "(Armand et al., 2009; Macfarlane et al., 2014, 2007; Xu and Angell, 2003)" }, "properties" : { "noteIndex" : 0 }, "schema" : "https://github.com/citation-style-language/schema/raw/master/csl-citation.json" }</w:instrText>
      </w:r>
      <w:r w:rsidR="00C87EFC" w:rsidRPr="00783958">
        <w:rPr>
          <w:sz w:val="24"/>
        </w:rPr>
        <w:fldChar w:fldCharType="separate"/>
      </w:r>
      <w:r w:rsidR="001D7427" w:rsidRPr="00783958">
        <w:rPr>
          <w:noProof/>
          <w:sz w:val="24"/>
        </w:rPr>
        <w:t>(Armand et al., 2009; Macfarlane et al., 2014, 2007; Xu and Angell, 2003)</w:t>
      </w:r>
      <w:r w:rsidR="00C87EFC" w:rsidRPr="00783958">
        <w:rPr>
          <w:sz w:val="24"/>
        </w:rPr>
        <w:fldChar w:fldCharType="end"/>
      </w:r>
      <w:r w:rsidR="00183BC7" w:rsidRPr="00783958">
        <w:rPr>
          <w:sz w:val="24"/>
        </w:rPr>
        <w:t>.</w:t>
      </w:r>
      <w:r w:rsidR="0091130B" w:rsidRPr="00783958">
        <w:rPr>
          <w:sz w:val="24"/>
        </w:rPr>
        <w:t xml:space="preserve">  </w:t>
      </w:r>
    </w:p>
    <w:p w14:paraId="5F8EC65D" w14:textId="0950FE1C" w:rsidR="00D26E8A" w:rsidRPr="00783958" w:rsidRDefault="00123586" w:rsidP="00B63501">
      <w:pPr>
        <w:spacing w:line="480" w:lineRule="auto"/>
        <w:jc w:val="both"/>
        <w:rPr>
          <w:sz w:val="24"/>
        </w:rPr>
      </w:pPr>
      <w:r w:rsidRPr="00783958">
        <w:rPr>
          <w:sz w:val="24"/>
        </w:rPr>
        <w:t xml:space="preserve">With the </w:t>
      </w:r>
      <w:r w:rsidR="00F07B9B" w:rsidRPr="00783958">
        <w:rPr>
          <w:sz w:val="24"/>
        </w:rPr>
        <w:t>increased popularity</w:t>
      </w:r>
      <w:r w:rsidRPr="00783958">
        <w:rPr>
          <w:sz w:val="24"/>
        </w:rPr>
        <w:t xml:space="preserve"> of IL research, </w:t>
      </w:r>
      <w:r w:rsidR="0082262B" w:rsidRPr="00783958">
        <w:rPr>
          <w:sz w:val="24"/>
        </w:rPr>
        <w:t xml:space="preserve">many questions have been raised about the wider implications of using these materials, </w:t>
      </w:r>
      <w:r w:rsidR="00F87645" w:rsidRPr="00783958">
        <w:rPr>
          <w:sz w:val="24"/>
        </w:rPr>
        <w:t>particularly for</w:t>
      </w:r>
      <w:r w:rsidR="0082262B" w:rsidRPr="00783958">
        <w:rPr>
          <w:sz w:val="24"/>
        </w:rPr>
        <w:t xml:space="preserve"> </w:t>
      </w:r>
      <w:r w:rsidR="00F87645" w:rsidRPr="00783958">
        <w:rPr>
          <w:sz w:val="24"/>
        </w:rPr>
        <w:t xml:space="preserve">the </w:t>
      </w:r>
      <w:r w:rsidR="0082262B" w:rsidRPr="00783958">
        <w:rPr>
          <w:sz w:val="24"/>
        </w:rPr>
        <w:t xml:space="preserve">replacement of </w:t>
      </w:r>
      <w:r w:rsidR="00813A0D" w:rsidRPr="00783958">
        <w:rPr>
          <w:sz w:val="24"/>
        </w:rPr>
        <w:t xml:space="preserve">traditional solvents </w:t>
      </w:r>
      <w:r w:rsidR="00C96109" w:rsidRPr="00783958">
        <w:rPr>
          <w:sz w:val="24"/>
        </w:rPr>
        <w:t xml:space="preserve">with ILs </w:t>
      </w:r>
      <w:r w:rsidR="00813A0D" w:rsidRPr="00783958">
        <w:rPr>
          <w:sz w:val="24"/>
        </w:rPr>
        <w:t xml:space="preserve">in chemical and biological processes. Understanding the hazards </w:t>
      </w:r>
      <w:r w:rsidR="00342775" w:rsidRPr="00783958">
        <w:rPr>
          <w:sz w:val="24"/>
        </w:rPr>
        <w:t xml:space="preserve">that </w:t>
      </w:r>
      <w:r w:rsidR="00813A0D" w:rsidRPr="00783958">
        <w:rPr>
          <w:sz w:val="24"/>
        </w:rPr>
        <w:t xml:space="preserve">these materials pose to both humans and the environment has become </w:t>
      </w:r>
      <w:r w:rsidR="0021765B" w:rsidRPr="00783958">
        <w:rPr>
          <w:sz w:val="24"/>
        </w:rPr>
        <w:t xml:space="preserve">a </w:t>
      </w:r>
      <w:r w:rsidR="00813A0D" w:rsidRPr="00783958">
        <w:rPr>
          <w:sz w:val="24"/>
        </w:rPr>
        <w:t xml:space="preserve">topic of considerable research. </w:t>
      </w:r>
      <w:r w:rsidR="005301E2" w:rsidRPr="00783958">
        <w:rPr>
          <w:sz w:val="24"/>
        </w:rPr>
        <w:t xml:space="preserve">To date, there has been </w:t>
      </w:r>
      <w:r w:rsidR="00130B22" w:rsidRPr="00783958">
        <w:rPr>
          <w:sz w:val="24"/>
        </w:rPr>
        <w:t xml:space="preserve">extensive </w:t>
      </w:r>
      <w:r w:rsidR="005301E2" w:rsidRPr="00783958">
        <w:rPr>
          <w:sz w:val="24"/>
        </w:rPr>
        <w:t xml:space="preserve">research on </w:t>
      </w:r>
      <w:r w:rsidR="0021765B" w:rsidRPr="00783958">
        <w:rPr>
          <w:sz w:val="24"/>
        </w:rPr>
        <w:t xml:space="preserve">IL </w:t>
      </w:r>
      <w:r w:rsidR="005301E2" w:rsidRPr="00783958">
        <w:rPr>
          <w:sz w:val="24"/>
        </w:rPr>
        <w:t>toxicity</w:t>
      </w:r>
      <w:r w:rsidR="00183BC7" w:rsidRPr="00783958">
        <w:rPr>
          <w:sz w:val="24"/>
        </w:rPr>
        <w:t xml:space="preserve"> </w:t>
      </w:r>
      <w:r w:rsidR="00C87EFC" w:rsidRPr="00783958">
        <w:rPr>
          <w:sz w:val="24"/>
        </w:rPr>
        <w:fldChar w:fldCharType="begin" w:fldLock="1"/>
      </w:r>
      <w:r w:rsidR="009012E7" w:rsidRPr="00783958">
        <w:rPr>
          <w:sz w:val="24"/>
        </w:rPr>
        <w:instrText>ADDIN CSL_CITATION { "citationItems" : [ { "id" : "ITEM-1", "itemData" : { "DOI" : "10.1002/clen.200600015", "ISBN" : "1863-0669", "ISSN" : "18630650", "abstract" : "The dramatic growth in ionic liquid research over the past decade has resulted in the development of a huge number of novel ionic liquids, as well as many associated applications. The perceived environmentally friendly nature of ionic liquids, which results from their negligible vapor pressure, is now under scrutiny since although they will not evaporate into air, it is not possible to guarantee that they will never enter the environment. Toxicity research studies including ecotoxicity, have recently received broad attention and the commonly accepted notion that ionic liquids have low toxicity has been shown to be incorrect. This review attempts to highlight the progress of ionic liquid toxicity research, as well as the development of degradable and bio-renewable ionic liquids.", "author" : [ { "dropping-particle" : "", "family" : "Zhao", "given" : "Dongbin", "non-dropping-particle" : "", "parse-names" : false, "suffix" : "" }, { "dropping-particle" : "", "family" : "Liao", "given" : "Yongcheng", "non-dropping-particle" : "", "parse-names" : false, "suffix" : "" }, { "dropping-particle" : "", "family" : "Zhang", "given" : "Ziding D.", "non-dropping-particle" : "", "parse-names" : false, "suffix" : "" } ], "container-title" : "Clean - Soil, Air, Water", "id" : "ITEM-1", "issue" : "1", "issued" : { "date-parts" : [ [ "2007" ] ] }, "page" : "42-48", "title" : "Toxicity of ionic liquids", "type" : "article-journal", "volume" : "35" }, "uris" : [ "http://www.mendeley.com/documents/?uuid=34da4503-97ef-4e88-b488-dd56ea8cb7e9" ] }, { "id" : "ITEM-2", "itemData" : { "DOI" : "10.1039/c004968a", "ISBN" : "0306-0012", "ISSN" : "0306-0012", "PMID" : "21116514", "abstract" : "Ionic liquids were initially proposed as replacements for conventional organic solvents; however, their chemistry has developed remarkably and offers unexpected opportunities in numerous fields, ranging from electrochemistry to biology. As a consequence of ionic liquids advancing towards potential and actual applications, a comprehensive determination of their environmental, health and safety impact is now required. This critical review aims to present an overview of the current understanding of the toxicity and environmental impact of the principal ionic liquid groups, and highlights some emerging concerns. Each cation type is considered separately, examining the significance of the biological data, and identifying the most critical questions, some yet unresolved. The need for more, and more detailed, studies is highlighted (176 references).", "author" : [ { "dropping-particle" : "", "family" : "Petkovic", "given" : "M", "non-dropping-particle" : "", "parse-names" : false, "suffix" : "" }, { "dropping-particle" : "", "family" : "Seddon", "given" : "K R", "non-dropping-particle" : "", "parse-names" : false, "suffix" : "" }, { "dropping-particle" : "", "family" : "Rebelo", "given" : "L P N", "non-dropping-particle" : "", "parse-names" : false, "suffix" : "" }, { "dropping-particle" : "", "family" : "Pereira", "given" : "C S", "non-dropping-particle" : "", "parse-names" : false, "suffix" : "" } ], "container-title" : "Chemical Society Reviews", "id" : "ITEM-2", "issue" : "3", "issued" : { "date-parts" : [ [ "2011" ] ] }, "page" : "1383-1403", "title" : "Ionic liquids: a pathway to environmental acceptability", "type" : "article-journal", "volume" : "40" }, "uris" : [ "http://www.mendeley.com/documents/?uuid=e716ec1d-6cfe-4cea-82aa-2850682b731a" ] }, { "id" : "ITEM-3", "itemData" : { "DOI" : "10.1002/cssc.201300459", "ISBN" : "1864-564X", "ISSN" : "18645631", "PMID" : "24399804", "abstract" : "Rapid progress in the field of ionic liquids in recent decades led to\\nthe development of many outstanding energy-conversion processes,\\ncatalytic systems, synthetic procedures, and important practical\\napplications. Task-specific optimization emerged as a sharpening stone\\nfor the fine-tuning of structure of ionic liquids, which resulted in\\nunprecedented efficiency at the molecular level. Ionic-liquid systems\\nshowed promising opportunities in the development of green and\\nsustainable technologies; however, the chemical nature of ionic liquids\\nis not intrinsically green. Many ionic liquids were found to be toxic or\\neven highly toxic towards cells and living organisms. In this Review, we\\nshow that biological activity and cytotoxicity of ionic liquids\\ndramatically depend on the nature of a biological system. An ionic\\nliquid may be not toxic for particular cells or organisms, but may\\ndemonstrate high toxicity towards another target present in the\\nenvironment. Thus, a careful selection of biological activity data is a\\nmust for the correct assessment of chemical technologies involving ionic\\nliquids. In addition to the direct biological activity (immediate\\nresponse), several indirect effects and aftereffects are of primary\\nimportance. The following principal factors were revealed to modulate\\ntoxicity of ionic liquids: i) length of an alkyl chain in the cation;\\nii) degree of functionalization in the side chain of the cation; iii)\\nanion nature; iv) cation nature; and v) mutual influence of anion and\\ncation.", "author" : [ { "dropping-particle" : "", "family" : "Egorova", "given" : "Ksenia S.", "non-dropping-particle" : "", "parse-names" : false, "suffix" : "" }, { "dropping-particle" : "", "family" : "Ananikov", "given" : "Valentine P.", "non-dropping-particle" : "", "parse-names" : false, "suffix" : "" } ], "container-title" : "ChemSusChem", "id" : "ITEM-3", "issue" : "2", "issued" : { "date-parts" : [ [ "2014", "2" ] ] }, "page" : "336-360", "publisher" : "WILEY\u2010VCH Verlag", "title" : "Toxicity of ionic liquids: Eco(cyto)activity as complicated, but unavoidable parameter for task-specific optimization", "type" : "article", "volume" : "7" }, "uris" : [ "http://www.mendeley.com/documents/?uuid=53a96ebf-72fe-3622-a484-936a1abcfb15" ] }, { "id" : "ITEM-4", "itemData" : { "DOI" : "10.1021/acs.est.5b03123", "ISSN" : "15205851", "PMID" : "26445034", "abstract" : "Ionic liquids (ILs) comprise mostly of organic salts with negligible vapor pressure and low flammability that are proposed as replacements for volatile solvents. ILs have been promoted as \"green\" solvents and widely investigated for their various applications. Although the utility of these chemicals is unquestionable, their toxic effects have attracted great attention. In order to manage their potential hazards and design environmentally benign ILs, understanding their environmental behavior, fate and effects is important. In this review, environmentally relevant issues of ILs, including their environmental application, environmental behavior and toxicity are addressed. In addition, also presented are the influence of ILs on the environmental fate and toxicity of other coexisting contaminants, important routes for designing nontoxic ILs and the techniques that might be adopted for the removal of ILs.", "author" : [ { "dropping-particle" : "", "family" : "Amde", "given" : "Meseret", "non-dropping-particle" : "", "parse-names" : false, "suffix" : "" }, { "dropping-particle" : "", "family" : "Liu", "given" : "Jing Fu", "non-dropping-particle" : "", "parse-names" : false, "suffix" : "" }, { "dropping-particle" : "", "family" : "Pang", "given" : "Long", "non-dropping-particle" : "", "parse-names" : false, "suffix" : "" } ], "container-title" : "Environmental Science and Technology", "id" : "ITEM-4", "issue" : "21", "issued" : { "date-parts" : [ [ "2015", "11", "3" ] ] }, "page" : "12611-12627", "publisher" : "American Chemical Society", "title" : "Environmental Application, Fate, Effects, and Concerns of Ionic Liquids: A Review", "type" : "article", "volume" : "49" }, "uris" : [ "http://www.mendeley.com/documents/?uuid=1aaa844d-3aa2-351a-9100-c896dd620305" ] } ], "mendeley" : { "formattedCitation" : "(Amde et al., 2015; Egorova and Ananikov, 2014; Petkovic et al., 2011; Zhao et al., 2007)", "plainTextFormattedCitation" : "(Amde et al., 2015; Egorova and Ananikov, 2014; Petkovic et al., 2011; Zhao et al., 2007)", "previouslyFormattedCitation" : "(Amde et al., 2015; Egorova and Ananikov, 2014; Petkovic et al., 2011; Zhao et al., 2007)" }, "properties" : { "noteIndex" : 0 }, "schema" : "https://github.com/citation-style-language/schema/raw/master/csl-citation.json" }</w:instrText>
      </w:r>
      <w:r w:rsidR="00C87EFC" w:rsidRPr="00783958">
        <w:rPr>
          <w:sz w:val="24"/>
        </w:rPr>
        <w:fldChar w:fldCharType="separate"/>
      </w:r>
      <w:r w:rsidR="001D7427" w:rsidRPr="00783958">
        <w:rPr>
          <w:noProof/>
          <w:sz w:val="24"/>
        </w:rPr>
        <w:t>(Amde et al., 2015; Egorova and Ananikov, 2014; Petkovic et al., 2011; Zhao et al., 2007)</w:t>
      </w:r>
      <w:r w:rsidR="00C87EFC" w:rsidRPr="00783958">
        <w:rPr>
          <w:sz w:val="24"/>
        </w:rPr>
        <w:fldChar w:fldCharType="end"/>
      </w:r>
      <w:r w:rsidR="00DF10A9" w:rsidRPr="00783958">
        <w:rPr>
          <w:sz w:val="24"/>
        </w:rPr>
        <w:t>,</w:t>
      </w:r>
      <w:r w:rsidR="00C87EFC" w:rsidRPr="00783958">
        <w:rPr>
          <w:sz w:val="24"/>
        </w:rPr>
        <w:t xml:space="preserve"> </w:t>
      </w:r>
      <w:r w:rsidR="005301E2" w:rsidRPr="00783958">
        <w:rPr>
          <w:sz w:val="24"/>
        </w:rPr>
        <w:t xml:space="preserve"> biodegradability</w:t>
      </w:r>
      <w:r w:rsidR="00183BC7" w:rsidRPr="00783958">
        <w:rPr>
          <w:sz w:val="24"/>
        </w:rPr>
        <w:t xml:space="preserve"> </w:t>
      </w:r>
      <w:r w:rsidR="00C87EFC" w:rsidRPr="00783958">
        <w:rPr>
          <w:sz w:val="24"/>
        </w:rPr>
        <w:fldChar w:fldCharType="begin" w:fldLock="1"/>
      </w:r>
      <w:r w:rsidR="00036654">
        <w:rPr>
          <w:sz w:val="24"/>
        </w:rPr>
        <w:instrText>ADDIN CSL_CITATION { "citationItems" : [ { "id" : "ITEM-1", "itemData" : { "DOI" : "10.1039/b817717c", "ISBN" : "0306-0012", "ISSN" : "1460-4744", "PMID" : "20111784", "abstract" : "Ionic liquids are highly polar solvents with negligible vapour pressure and low flammability that offer a potentially \"green\" alternative to volatile organic compounds (VOCs). However in order to confidently label this class of solvents as \"green\", their affect on the environment must be thoroughly examined. As a result various toxicity, ecotoxicity and biodegradation studies have been carried out on ionic liquids. Although toxicity evaluations of ionic liquids have been widely reported in the literature, biodegradation data are comparatively scarce. In this tutorial review we present an overview of studies into the biodegradability of ionic liquids, including the various methods of biodegradation assessment, trends observed for structurally related ionic liquids, and applications of biodegradable ionic liquids in synthetic chemistry.", "author" : [ { "dropping-particle" : "", "family" : "Coleman", "given" : "Deborah", "non-dropping-particle" : "", "parse-names" : false, "suffix" : "" }, { "dropping-particle" : "", "family" : "Gathergood", "given" : "Nicholas", "non-dropping-particle" : "", "parse-names" : false, "suffix" : "" } ], "container-title" : "Chemical Society reviews", "id" : "ITEM-1", "issue" : "2", "issued" : { "date-parts" : [ [ "2010" ] ] }, "page" : "600-637", "title" : "Biodegradation studies of ionic liquids.", "type" : "article-journal", "volume" : "39" }, "uris" : [ "http://www.mendeley.com/documents/?uuid=85e8b468-efc4-4da2-b795-7f0e4efecced" ] }, { "id" : "ITEM-2", "itemData" : { "DOI" : "10.1039/c5cs00444f", "ISBN" : "0306-0012", "ISSN" : "1460-4744", "PMID" : "26239761", "abstract" : "The importance of biodegradation data as part of the design of safer chemicals is presented using ionic liquids (ILs) as a model study. Structural features that promote/impede IL biodegradation, IL design strategies, methods of biodegradation analysis, properties of IL/surfactant derivatives and computational methods of predicting biodegradation are discussed. The importance of metabolite studies as part of biodegradation assays is highlighted. The relevance of applying the lessons learned developing biodegradable ILs to other chemical classes is proposed. A comprehensive appendix of IL biodegradation data published since 2010 (\u223c300 ILs) has been compiled.", "author" : [ { "dropping-particle" : "", "family" : "Jordan", "given" : "Andrew", "non-dropping-particle" : "", "parse-names" : false, "suffix" : "" }, { "dropping-particle" : "", "family" : "Gathergood", "given" : "Nicholas", "non-dropping-particle" : "", "parse-names" : false, "suffix" : "" } ], "container-title" : "Chemical Society reviews", "id" : "ITEM-2", "issue" : "22", "issued" : { "date-parts" : [ [ "2015" ] ] }, "page" : "8200-8237", "title" : "Biodegradation of ionic liquids - a critical review.", "type" : "article-journal", "volume" : "44" }, "uris" : [ "http://www.mendeley.com/documents/?uuid=af4e0b6e-b1d5-4ec0-a6be-e6a3b39cc38f" ] } ], "mendeley" : { "formattedCitation" : "(Coleman and Gathergood, 2010; Jordan and Gathergood, 2015)", "plainTextFormattedCitation" : "(Coleman and Gathergood, 2010; Jordan and Gathergood, 2015)", "previouslyFormattedCitation" : "(Coleman and Gathergood, 2010; Jordan and Gathergood, 2015)" }, "properties" : { "noteIndex" : 0 }, "schema" : "https://github.com/citation-style-language/schema/raw/master/csl-citation.json" }</w:instrText>
      </w:r>
      <w:r w:rsidR="00C87EFC" w:rsidRPr="00783958">
        <w:rPr>
          <w:sz w:val="24"/>
        </w:rPr>
        <w:fldChar w:fldCharType="separate"/>
      </w:r>
      <w:r w:rsidR="001D7427" w:rsidRPr="00783958">
        <w:rPr>
          <w:noProof/>
          <w:sz w:val="24"/>
        </w:rPr>
        <w:t>(Coleman and Gathergood, 2010; Jordan and Gathergood, 2015)</w:t>
      </w:r>
      <w:r w:rsidR="00C87EFC" w:rsidRPr="00783958">
        <w:rPr>
          <w:sz w:val="24"/>
        </w:rPr>
        <w:fldChar w:fldCharType="end"/>
      </w:r>
      <w:r w:rsidR="005301E2" w:rsidRPr="00783958">
        <w:rPr>
          <w:sz w:val="24"/>
        </w:rPr>
        <w:t xml:space="preserve"> and to a lesser extent mutagenicity</w:t>
      </w:r>
      <w:r w:rsidR="00183BC7" w:rsidRPr="00783958">
        <w:rPr>
          <w:sz w:val="24"/>
        </w:rPr>
        <w:t xml:space="preserve"> </w:t>
      </w:r>
      <w:r w:rsidR="0011284C" w:rsidRPr="00783958">
        <w:rPr>
          <w:sz w:val="24"/>
        </w:rPr>
        <w:fldChar w:fldCharType="begin" w:fldLock="1"/>
      </w:r>
      <w:r w:rsidR="009012E7" w:rsidRPr="00783958">
        <w:rPr>
          <w:sz w:val="24"/>
        </w:rPr>
        <w:instrText>ADDIN CSL_CITATION { "citationItems" : [ { "id" : "ITEM-1", "itemData" : { "DOI" : "10.1039/B602418A", "ISBN" : "1463-9262", "ISSN" : "1463-9262", "abstract" : "Recent interest in ionic liquids as green replacements for volatile organic solvents has led to an abundance of rapid toxicity testing to provide guidelines for safe designer engineering and synthesis. While toxicity tests have provided a wealth of information{,} no studies to our knowledge have investigated the mutagenicity of ionic liquids{,} which should be just as important for design guidelines. Here we present the results of the United States Environmental Protection Agency (US EPA) Ames Test for mutagenicity using strains TA98 and TA100 to ten ionic liquids. These include compounds with imidazolium{,} pyridinium and quaternary ammonium cations. Tests with these bacteria provide information on the ability of a chemical to cause frameshift and missense mutations{,} respectively{,} and can be related to higher organism carcinogenicity. Our test results indicated that none of the ten compounds tested met the US EPA criteria for mutagenicity. Two of the imidazolium cation ionic liquids indicated tendencies toward mutagenicity{,} but only at the highest doses.", "author" : [ { "dropping-particle" : "", "family" : "Docherty", "given" : "Kathryn M.", "non-dropping-particle" : "", "parse-names" : false, "suffix" : "" }, { "dropping-particle" : "", "family" : "Hebbeler", "given" : "Susanne Z.", "non-dropping-particle" : "", "parse-names" : false, "suffix" : "" }, { "dropping-particle" : "", "family" : "Kulpa, Jr.", "given" : "Charles F.", "non-dropping-particle" : "", "parse-names" : false, "suffix" : "" } ], "container-title" : "Green Chem.", "id" : "ITEM-1", "issue" : "6", "issued" : { "date-parts" : [ [ "2006" ] ] }, "page" : "560-567", "publisher" : "The Royal Society of Chemistry", "title" : "An assessment of ionic liquid mutagenicity using the Ames Test", "type" : "article-journal", "volume" : "8" }, "uris" : [ "http://www.mendeley.com/documents/?uuid=6473b36c-c7bb-3631-b296-f9cc076f309f" ] }, { "id" : "ITEM-2", "itemData" : { "DOI" : "10.1186/s40508-015-0044-3", "ISSN" : "2043-7129", "author" : [ { "dropping-particle" : "", "family" : "Reid", "given" : "Joshua E. S. J.", "non-dropping-particle" : "", "parse-names" : false, "suffix" : "" }, { "dropping-particle" : "", "family" : "Sullivan", "given" : "Neil", "non-dropping-particle" : "", "parse-names" : false, "suffix" : "" }, { "dropping-particle" : "", "family" : "Swift", "given" : "Lorna", "non-dropping-particle" : "", "parse-names" : false, "suffix" : "" }, { "dropping-particle" : "", "family" : "Hembury", "given" : "Guy A.", "non-dropping-particle" : "", "parse-names" : false, "suffix" : "" }, { "dropping-particle" : "", "family" : "Shimizu", "given" : "Seishi", "non-dropping-particle" : "", "parse-names" : false, "suffix" : "" }, { "dropping-particle" : "", "family" : "Walker", "given" : "Adam J.", "non-dropping-particle" : "", "parse-names" : false, "suffix" : "" } ], "container-title" : "Sustainable Chemical Processes", "id" : "ITEM-2", "issue" : "1", "issued" : { "date-parts" : [ [ "2015" ] ] }, "page" : "17", "publisher" : "Springer International Publishing", "title" : "Assessing the mutagenicity of protic ionic liquids using the mini Ames test", "type" : "article-journal", "volume" : "3" }, "uris" : [ "http://www.mendeley.com/documents/?uuid=252640d3-f16c-471f-838d-16ad91136a4d" ] } ], "mendeley" : { "formattedCitation" : "(Docherty et al., 2006; Reid et al., 2015)", "plainTextFormattedCitation" : "(Docherty et al., 2006; Reid et al., 2015)", "previouslyFormattedCitation" : "(Docherty et al., 2006; Reid et al., 2015)" }, "properties" : { "noteIndex" : 0 }, "schema" : "https://github.com/citation-style-language/schema/raw/master/csl-citation.json" }</w:instrText>
      </w:r>
      <w:r w:rsidR="0011284C" w:rsidRPr="00783958">
        <w:rPr>
          <w:sz w:val="24"/>
        </w:rPr>
        <w:fldChar w:fldCharType="separate"/>
      </w:r>
      <w:r w:rsidR="001D7427" w:rsidRPr="00783958">
        <w:rPr>
          <w:noProof/>
          <w:sz w:val="24"/>
        </w:rPr>
        <w:t>(Docherty et al., 2006; Reid et al., 2015)</w:t>
      </w:r>
      <w:r w:rsidR="0011284C" w:rsidRPr="00783958">
        <w:rPr>
          <w:sz w:val="24"/>
        </w:rPr>
        <w:fldChar w:fldCharType="end"/>
      </w:r>
      <w:r w:rsidR="00882BB8" w:rsidRPr="00783958">
        <w:rPr>
          <w:sz w:val="24"/>
        </w:rPr>
        <w:t>,</w:t>
      </w:r>
      <w:r w:rsidR="0011284C" w:rsidRPr="00783958">
        <w:rPr>
          <w:sz w:val="24"/>
        </w:rPr>
        <w:t xml:space="preserve"> </w:t>
      </w:r>
      <w:r w:rsidR="007B34BB" w:rsidRPr="00783958">
        <w:rPr>
          <w:sz w:val="24"/>
        </w:rPr>
        <w:t>with much more attention focused on aprotic ILs rather than protic ILs</w:t>
      </w:r>
      <w:r w:rsidR="005301E2" w:rsidRPr="00783958">
        <w:rPr>
          <w:sz w:val="24"/>
        </w:rPr>
        <w:t xml:space="preserve">. It has been made apparent that </w:t>
      </w:r>
      <w:r w:rsidR="00F87645" w:rsidRPr="00783958">
        <w:rPr>
          <w:sz w:val="24"/>
        </w:rPr>
        <w:t>numerous</w:t>
      </w:r>
      <w:r w:rsidR="005301E2" w:rsidRPr="00783958">
        <w:rPr>
          <w:sz w:val="24"/>
        </w:rPr>
        <w:t xml:space="preserve"> IL structures commonly </w:t>
      </w:r>
      <w:r w:rsidR="00006728" w:rsidRPr="00783958">
        <w:rPr>
          <w:sz w:val="24"/>
        </w:rPr>
        <w:t xml:space="preserve">designed </w:t>
      </w:r>
      <w:r w:rsidR="005301E2" w:rsidRPr="00783958">
        <w:rPr>
          <w:sz w:val="24"/>
        </w:rPr>
        <w:t xml:space="preserve">as potential candidates as replacement solvents are highly toxic and/or </w:t>
      </w:r>
      <w:r w:rsidR="00006728" w:rsidRPr="00783958">
        <w:rPr>
          <w:sz w:val="24"/>
        </w:rPr>
        <w:t xml:space="preserve">do not pass standardised ISO and OECD </w:t>
      </w:r>
      <w:r w:rsidR="005301E2" w:rsidRPr="00783958">
        <w:rPr>
          <w:sz w:val="24"/>
        </w:rPr>
        <w:t>biodegrada</w:t>
      </w:r>
      <w:r w:rsidR="00006728" w:rsidRPr="00783958">
        <w:rPr>
          <w:sz w:val="24"/>
        </w:rPr>
        <w:t>tion tests</w:t>
      </w:r>
      <w:r w:rsidR="00DF10A9" w:rsidRPr="00783958">
        <w:rPr>
          <w:sz w:val="24"/>
        </w:rPr>
        <w:t xml:space="preserve"> </w:t>
      </w:r>
      <w:r w:rsidR="00F30812" w:rsidRPr="00783958">
        <w:rPr>
          <w:sz w:val="24"/>
        </w:rPr>
        <w:fldChar w:fldCharType="begin" w:fldLock="1"/>
      </w:r>
      <w:r w:rsidR="009012E7" w:rsidRPr="00783958">
        <w:rPr>
          <w:sz w:val="24"/>
        </w:rPr>
        <w:instrText>ADDIN CSL_CITATION { "citationItems" : [ { "id" : "ITEM-1", "itemData" : { "DOI" : "10.1039/b419172b", "ISBN" : "1463-9262", "ISSN" : "1463-9262", "abstract" : "Ionic liquids (ILs) are novel organic salts with a wide liquid range that have enormous potential for industrial use as \u2018\u2018green\u2019\u2019 chemicals. Varying the cationic and anionic components can alter IL properties and toxicities. Before the likely industrial release of ILs into the environment, it is necessary to determine their toxic and antimicrobial properties. As a measure of microbial toxicity of imidazolium and pyridinium ILs with varying alkyl chain lengths, we investigated Vibrio fischeri using the Microtox method. An increase in alkyl group chain length as well as an increase in the number of alkyl groups substituted on the cation ring corresponded with an increase in toxicity. Varying the anion identity did not significantly alter toxicity. We then examined the antimicrobial effects of 1000 ppm of butyl-, hexyl- and octyl- imidazolium and pyridinium bromide ILs on the growth of a group of microorganisms representing a variety of physiological and respiratory capabilities. In general, hexyl- and octyl- imidazolium and pyridinium bromides had significant antimicrobial activity to pure cultures of Escherichia coli, Staphylococcus aureus, Bacillus subtilis, Pseudomonas fluorescens and Saccharomyces cerevisiae. Butyl-imidazolium and pyridinium bromides were less antimicrobial than ILs with longer alkyl chain lengths to all microorganisms examined. However, the most significant antimicrobial activity was observed in tests with B. subtilis. This research provides toxicity and antimicrobial information about ILs, prior to their widespread use and release. This type of proactive approach can aid in the prevention of pollution, and avoid costs of future clean-up, and provide information about the \u2018\u2018green\u2019\u2019 nature of practical industrial solvents.", "author" : [ { "dropping-particle" : "", "family" : "Docherty", "given" : "Kathryn M.", "non-dropping-particle" : "", "parse-names" : false, "suffix" : "" }, { "dropping-particle" : "", "family" : "Kulpa, Jr.", "given" : "Charles F.", "non-dropping-particle" : "", "parse-names" : false, "suffix" : "" } ], "container-title" : "Green Chemistry", "id" : "ITEM-1", "issue" : "4", "issued" : { "date-parts" : [ [ "2005" ] ] }, "page" : "185", "title" : "Toxicity and antimicrobial activity of imidazolium and pyridinium ionic liquids", "type" : "article-journal", "volume" : "7" }, "uris" : [ "http://www.mendeley.com/documents/?uuid=6e1929a8-0380-458f-8d28-b952d57b8fde" ] }, { "id" : "ITEM-2", "itemData" : { "DOI" : "10.1897/03-635.1", "ISSN" : "0730-7268", "author" : [ { "dropping-particle" : "", "family" : "Bernot", "given" : "Randall J.", "non-dropping-particle" : "", "parse-names" : false, "suffix" : "" }, { "dropping-particle" : "", "family" : "Brueseke", "given" : "Michael A.", "non-dropping-particle" : "", "parse-names" : false, "suffix" : "" }, { "dropping-particle" : "", "family" : "Evans-White", "given" : "Michelle A.", "non-dropping-particle" : "", "parse-names" : false, "suffix" : "" }, { "dropping-particle" : "", "family" : "Lamberti", "given" : "Gary A.", "non-dropping-particle" : "", "parse-names" : false, "suffix" : "" } ], "container-title" : "Environmental Toxicology and Chemistry", "id" : "ITEM-2", "issue" : "1", "issued" : { "date-parts" : [ [ "2005" ] ] }, "page" : "87", "title" : "Acute and Chronic Toxicity of Imidazolium-Based Ionic Liquids on Daphnia Magna", "type" : "article-journal", "volume" : "24" }, "uris" : [ "http://www.mendeley.com/documents/?uuid=e2503c61-9a3f-40ac-93f5-01745e09633d" ] }, { "id" : "ITEM-3", "itemData" : { "DOI" : "10.1021/op060048i", "ISBN" : "1083-6160", "ISSN" : "10836160", "abstract" : "Ecotoxicological tests, using OECD standard methods on some ionic liquids, have revealed that several have very high toxicity towards freshwater algae and the freshwater invertebrate Daphnia magna (\u223c104-106 times more ecotoxic than methanol for the worse cases). In addition these compounds show high levels of toxicity to the microorganisms responsible for biodeg- radation in the environment. These materials have a significant potential to damage the aquatic ecosystem if released into water. We conclude that considerable care should be exercised in the choice of ionic liquids to be used in chemical processes at design stage and that contamination of aqueous effluent streams by these materials should be avoided wherever practicable.", "author" : [ { "dropping-particle" : "", "family" : "Wells", "given" : "Andrew S.", "non-dropping-particle" : "", "parse-names" : false, "suffix" : "" }, { "dropping-particle" : "", "family" : "Coombe", "given" : "Vyvyan T.", "non-dropping-particle" : "", "parse-names" : false, "suffix" : "" } ], "container-title" : "Organic Process Research and Development", "id" : "ITEM-3", "issue" : "4", "issued" : { "date-parts" : [ [ "2006" ] ] }, "page" : "794-798", "publisher" : "American Chemical Society", "title" : "On the freshwater ecotoxicity and biodegradation properties of some common ionic liquids", "type" : "article-journal", "volume" : "10" }, "uris" : [ "http://www.mendeley.com/documents/?uuid=5f99b16c-980a-38b2-86b7-769142609c04" ] }, { "id" : "ITEM-4", "itemData" : { "DOI" : "10.1016/j.jhazmat.2007.10.079", "ISBN" : "0304-3894", "ISSN" : "03043894", "PMID" : "18063302", "abstract" : "Several bioassays have been carried out to analyze the toxicity and biodegradability of several imidazolium ionic liquids (ILs) in aqueous phase. The synthetized compounds consist of an imidazolium cation with two alkyl substituents in positions 3 (R1) and 1 (R2) and a counter-ion. The alkyl substituent R1 has been fixed as a methyl group and the effect of the alkyl chain length (C1-C8) of the other substituent (R2) has been tested. Moreover, the influence of diverse counter-ions A- (Cl-, PF6, XSO4\n-) has been analyzed. Acute toxicity and EC50 values of each compound in the aqueous solution have been determined by using the Microtox?? standard procedure. Biodegradability of IL has been determined by measuring BOD5 of aqueous samples containing IL and/or d-glucose and the IL residual content and/or d-glucose concentration after this assay. The viability of the microorganisms used in the BOD5 has been related to the ATP in the samples, measured by a bioluminescence assay. All the ILs tested were not biodegradable in the considered conditions. Besides, it was found that the shorter the chain length of side chain R2, the lower the toxic effect is. On the contrary, the anion has a little effect on the IL toxicity. ?? 2007 Elsevier B.V. All rights reserved.", "author" : [ { "dropping-particle" : "", "family" : "Romero", "given" : "A.", "non-dropping-particle" : "", "parse-names" : false, "suffix" : "" }, { "dropping-particle" : "", "family" : "Santos", "given" : "A.", "non-dropping-particle" : "", "parse-names" : false, "suffix" : "" }, { "dropping-particle" : "", "family" : "Tojo", "given" : "J.", "non-dropping-particle" : "", "parse-names" : false, "suffix" : "" }, { "dropping-particle" : "", "family" : "Rodr\u00edguez", "given" : "A.", "non-dropping-particle" : "", "parse-names" : false, "suffix" : "" } ], "container-title" : "Journal of Hazardous Materials", "id" : "ITEM-4", "issue" : "1", "issued" : { "date-parts" : [ [ "2008" ] ] }, "page" : "268-273", "title" : "Toxicity and biodegradability of imidazolium ionic liquids", "type" : "article-journal", "volume" : "151" }, "uris" : [ "http://www.mendeley.com/documents/?uuid=00b5c56c-687d-4eee-80ac-ca7efcee9e8a" ] } ], "mendeley" : { "formattedCitation" : "(Bernot et al., 2005; Docherty and Kulpa, Jr., 2005; Romero et al., 2008; Wells and Coombe, 2006)", "plainTextFormattedCitation" : "(Bernot et al., 2005; Docherty and Kulpa, Jr., 2005; Romero et al., 2008; Wells and Coombe, 2006)", "previouslyFormattedCitation" : "(Bernot et al., 2005; Docherty and Kulpa, Jr., 2005; Romero et al., 2008; Wells and Coombe, 2006)" }, "properties" : { "noteIndex" : 0 }, "schema" : "https://github.com/citation-style-language/schema/raw/master/csl-citation.json" }</w:instrText>
      </w:r>
      <w:r w:rsidR="00F30812" w:rsidRPr="00783958">
        <w:rPr>
          <w:sz w:val="24"/>
        </w:rPr>
        <w:fldChar w:fldCharType="separate"/>
      </w:r>
      <w:r w:rsidR="001D7427" w:rsidRPr="00783958">
        <w:rPr>
          <w:noProof/>
          <w:sz w:val="24"/>
        </w:rPr>
        <w:t xml:space="preserve">(Bernot et al., 2005; Docherty </w:t>
      </w:r>
      <w:r w:rsidR="001D7427" w:rsidRPr="00783958">
        <w:rPr>
          <w:noProof/>
          <w:sz w:val="24"/>
        </w:rPr>
        <w:lastRenderedPageBreak/>
        <w:t>and Kulpa, Jr., 2005; Romero et al., 2008; Wells and Coombe, 2006)</w:t>
      </w:r>
      <w:r w:rsidR="00F30812" w:rsidRPr="00783958">
        <w:rPr>
          <w:sz w:val="24"/>
        </w:rPr>
        <w:fldChar w:fldCharType="end"/>
      </w:r>
      <w:r w:rsidR="00882BB8" w:rsidRPr="00783958">
        <w:rPr>
          <w:sz w:val="24"/>
        </w:rPr>
        <w:t>.</w:t>
      </w:r>
      <w:r w:rsidR="00F30812" w:rsidRPr="00783958">
        <w:rPr>
          <w:sz w:val="24"/>
        </w:rPr>
        <w:t xml:space="preserve"> </w:t>
      </w:r>
      <w:r w:rsidR="005272E2" w:rsidRPr="00783958">
        <w:rPr>
          <w:sz w:val="24"/>
        </w:rPr>
        <w:t xml:space="preserve">In response to this, </w:t>
      </w:r>
      <w:r w:rsidR="0021765B" w:rsidRPr="00783958">
        <w:rPr>
          <w:sz w:val="24"/>
        </w:rPr>
        <w:t xml:space="preserve">a </w:t>
      </w:r>
      <w:r w:rsidR="005272E2" w:rsidRPr="00783958">
        <w:rPr>
          <w:sz w:val="24"/>
        </w:rPr>
        <w:t>selection of new</w:t>
      </w:r>
      <w:r w:rsidR="0021765B" w:rsidRPr="00783958">
        <w:rPr>
          <w:sz w:val="24"/>
        </w:rPr>
        <w:t xml:space="preserve"> IL</w:t>
      </w:r>
      <w:r w:rsidR="005272E2" w:rsidRPr="00783958">
        <w:rPr>
          <w:sz w:val="24"/>
        </w:rPr>
        <w:t xml:space="preserve"> structures which have low </w:t>
      </w:r>
      <w:r w:rsidR="00006728" w:rsidRPr="00783958">
        <w:rPr>
          <w:sz w:val="24"/>
        </w:rPr>
        <w:t xml:space="preserve">microbial </w:t>
      </w:r>
      <w:r w:rsidR="005272E2" w:rsidRPr="00783958">
        <w:rPr>
          <w:sz w:val="24"/>
        </w:rPr>
        <w:t>toxicity and</w:t>
      </w:r>
      <w:r w:rsidR="00006728" w:rsidRPr="00783958">
        <w:rPr>
          <w:sz w:val="24"/>
        </w:rPr>
        <w:t>/or</w:t>
      </w:r>
      <w:r w:rsidR="005272E2" w:rsidRPr="00783958">
        <w:rPr>
          <w:sz w:val="24"/>
        </w:rPr>
        <w:t xml:space="preserve"> are readily biodegradable </w:t>
      </w:r>
      <w:r w:rsidR="001E6BBC" w:rsidRPr="00783958">
        <w:rPr>
          <w:sz w:val="24"/>
        </w:rPr>
        <w:t xml:space="preserve">have been </w:t>
      </w:r>
      <w:r w:rsidR="004473B7" w:rsidRPr="00783958">
        <w:rPr>
          <w:sz w:val="24"/>
        </w:rPr>
        <w:t xml:space="preserve">successfully applied as </w:t>
      </w:r>
      <w:r w:rsidR="00006728" w:rsidRPr="00783958">
        <w:rPr>
          <w:sz w:val="24"/>
        </w:rPr>
        <w:t>catalysts</w:t>
      </w:r>
      <w:r w:rsidR="00882BB8" w:rsidRPr="00783958">
        <w:rPr>
          <w:sz w:val="24"/>
        </w:rPr>
        <w:t xml:space="preserve"> </w:t>
      </w:r>
      <w:r w:rsidR="000F20B4" w:rsidRPr="00783958">
        <w:rPr>
          <w:sz w:val="24"/>
        </w:rPr>
        <w:fldChar w:fldCharType="begin" w:fldLock="1"/>
      </w:r>
      <w:r w:rsidR="009012E7" w:rsidRPr="00783958">
        <w:rPr>
          <w:sz w:val="24"/>
        </w:rPr>
        <w:instrText>ADDIN CSL_CITATION { "citationItems" : [ { "id" : "ITEM-1", "itemData" : { "DOI" : "10.1039/c3cc41588k", "ISBN" : "1359-7345", "ISSN" : "1364-548X", "PMID" : "23646348", "abstract" : "The ability of triazolium salts to serve as a precatalyst for both an acid and a powerful base/nucleophile (controlled by additives) has been exploited in a process characterised by a unique in situ catalyst modification strategy.", "author" : [ { "dropping-particle" : "", "family" : "Myles", "given" : "Lauren", "non-dropping-particle" : "", "parse-names" : false, "suffix" : "" }, { "dropping-particle" : "", "family" : "Gathergood", "given" : "Nicholas", "non-dropping-particle" : "", "parse-names" : false, "suffix" : "" }, { "dropping-particle" : "", "family" : "Connon", "given" : "Stephen J.", "non-dropping-particle" : "", "parse-names" : false, "suffix" : "" } ], "container-title" : "Chemical communications", "id" : "ITEM-1", "issue" : "46", "issued" : { "date-parts" : [ [ "2013" ] ] }, "page" : "5316-8", "publisher" : "The Royal Society of Chemistry", "title" : "The catalytic versatility of low toxicity dialkyltriazolium salts: in situ modification facilitates diametrically opposed catalysis modes in one pot.", "type" : "article-journal", "volume" : "49" }, "uris" : [ "http://www.mendeley.com/documents/?uuid=e2b90a56-d8d8-3b73-8e4c-c076cc614ccb" ] }, { "id" : "ITEM-2", "itemData" : { "DOI" : "10.1039/c3ra43785j", "abstract" : "Chiral ionic liquids (CILs) tetrabutylammonium-(S)-prolinate, tetrabutylammonium-(R)-prolinate and tetrabutylammonium trans-4-hydroxy-(S)-prolinate were investigated as chiral additives in the Pd-catalyzed enantioselective hydrogenation of \u03b1,\u03b2-unsaturated ketones. These CILs were easily prepared in one step from the aminoacid and tetrabutylammonium hydroxide and characterized (NMR, IR, optical rotation, elemental analysis, DSC, viscosity, decomposition temperature). The research strategy was to assess the antimicrobial toxicity (&amp;gt;20 strains) and biodegradability (OECD 301D) of the CILs at the same time as undertaking the asymmetric catalysis study. The Pd-catalyzed enantioselective hydrogenation of the carbon\u2013carbon double bond of \u03b1,\u03b2-unsaturated ketones under mild conditions (room temperature, 1 atm of H2) in different solvents with CILs present. The best results were obtained in i-PrOH after 18 hours of reaction with a i-PrOH/IL ratio of 5. While all three CILs have low antimicrobial toxicity to a wide range of bacteria and fungi, tetrabutylammonium-(S)-prolinate, tetrabutylammonium-(R)-prolinate and tetrabutylammonium trans-4-hydroxy-(S)-prolinate did not pass the Closed Bottle biodegradation test.", "author" : [ { "dropping-particle" : "", "family" : "Ferlin", "given" : "Nad\u00e8ge", "non-dropping-particle" : "", "parse-names" : false, "suffix" : "" }, { "dropping-particle" : "", "family" : "Courty", "given" : "Matthieu", "non-dropping-particle" : "", "parse-names" : false, "suffix" : "" }, { "dropping-particle" : "", "family" : "Nhien", "given" : "Albert Nguyen", "non-dropping-particle" : "Van", "parse-names" : false, "suffix" : "" }, { "dropping-particle" : "", "family" : "Gatard", "given" : "Sylvain", "non-dropping-particle" : "", "parse-names" : false, "suffix" : "" }, { "dropping-particle" : "", "family" : "Pour", "given" : "Milan", "non-dropping-particle" : "", "parse-names" : false, "suffix" : "" }, { "dropping-particle" : "", "family" : "Quilty", "given" : "Brid", "non-dropping-particle" : "", "parse-names" : false, "suffix" : "" }, { "dropping-particle" : "", "family" : "Ghavre", "given" : "Mukund", "non-dropping-particle" : "", "parse-names" : false, "suffix" : "" }, { "dropping-particle" : "", "family" : "Hai\u00df", "given" : "Annette", "non-dropping-particle" : "", "parse-names" : false, "suffix" : "" }, { "dropping-particle" : "", "family" : "K\u00fcmmerer", "given" : "Klaus", "non-dropping-particle" : "", "parse-names" : false, "suffix" : "" }, { "dropping-particle" : "", "family" : "Gathergood", "given" : "Nicholas", "non-dropping-particle" : "", "parse-names" : false, "suffix" : "" }, { "dropping-particle" : "", "family" : "Bouquillon", "given" : "Sandrine", "non-dropping-particle" : "", "parse-names" : false, "suffix" : "" } ], "container-title" : "RSC Advances", "id" : "ITEM-2", "issue" : "48", "issued" : { "date-parts" : [ [ "2013" ] ] }, "page" : "26241", "publisher" : "The Royal Society of Chemistry", "title" : "Tetrabutylammonium prolinate-based ionic liquids: a combined asymmetric catalysis, antimicrobial toxicity and biodegradation assessment", "type" : "article-journal", "volume" : "3" }, "uris" : [ "http://www.mendeley.com/documents/?uuid=b6f8abda-be92-36c1-8764-34238ae5ad34" ] }, { "id" : "ITEM-3", "itemData" : { "DOI" : "10.1039/c3gc40975a", "ISBN" : "1463-9262", "ISSN" : "1463-9262", "abstract" : "Catalysts which have low antimicrobial toxicity and are aprotic, yet which can act as Bronsted acidic catalysts in the presence of protic additives have been developed. The catalysts are recyclable, considerably more active (i.e. can be used at 10-50 times lower loadings) and of broader scope than their antecedent generation.", "author" : [ { "dropping-particle" : "", "family" : "Myles", "given" : "Lauren", "non-dropping-particle" : "", "parse-names" : false, "suffix" : "" }, { "dropping-particle" : "", "family" : "Gore", "given" : "Rohitkumar G.", "non-dropping-particle" : "", "parse-names" : false, "suffix" : "" }, { "dropping-particle" : "", "family" : "Gathergood", "given" : "Nicholas", "non-dropping-particle" : "", "parse-names" : false, "suffix" : "" }, { "dropping-particle" : "", "family" : "Connon", "given" : "Stephen J.", "non-dropping-particle" : "", "parse-names" : false, "suffix" : "" } ], "container-title" : "Green Chemistry", "id" : "ITEM-3", "issue" : "10", "issued" : { "date-parts" : [ [ "2013" ] ] }, "page" : "2740", "publisher" : "The Royal Society of Chemistry", "title" : "A new generation of aprotic yet Br\u00f8nsted acidic imidazolium salts: low toxicity, high recyclability and greatly improved activity", "type" : "article-journal", "volume" : "15" }, "uris" : [ "http://www.mendeley.com/documents/?uuid=6e4e4e32-4aa2-3e3f-b7d8-a548b6c39004" ] } ], "mendeley" : { "formattedCitation" : "(Ferlin et al., 2013b; Myles et al., 2013a, 2013b)", "plainTextFormattedCitation" : "(Ferlin et al., 2013b; Myles et al., 2013a, 2013b)", "previouslyFormattedCitation" : "(Ferlin et al., 2013b; Myles et al., 2013a, 2013b)" }, "properties" : { "noteIndex" : 0 }, "schema" : "https://github.com/citation-style-language/schema/raw/master/csl-citation.json" }</w:instrText>
      </w:r>
      <w:r w:rsidR="000F20B4" w:rsidRPr="00783958">
        <w:rPr>
          <w:sz w:val="24"/>
        </w:rPr>
        <w:fldChar w:fldCharType="separate"/>
      </w:r>
      <w:r w:rsidR="001D7427" w:rsidRPr="00783958">
        <w:rPr>
          <w:noProof/>
          <w:sz w:val="24"/>
        </w:rPr>
        <w:t>(Ferlin et al., 2013b; Myles et al., 2013a, 2013b)</w:t>
      </w:r>
      <w:r w:rsidR="000F20B4" w:rsidRPr="00783958">
        <w:rPr>
          <w:sz w:val="24"/>
        </w:rPr>
        <w:fldChar w:fldCharType="end"/>
      </w:r>
      <w:r w:rsidR="00882BB8" w:rsidRPr="00783958">
        <w:rPr>
          <w:sz w:val="24"/>
        </w:rPr>
        <w:t>,</w:t>
      </w:r>
      <w:r w:rsidR="001E6BBC" w:rsidRPr="00783958">
        <w:rPr>
          <w:sz w:val="24"/>
        </w:rPr>
        <w:t xml:space="preserve"> electrolytes for dye-sensitised solar cells</w:t>
      </w:r>
      <w:r w:rsidR="00882BB8" w:rsidRPr="00783958">
        <w:rPr>
          <w:sz w:val="24"/>
        </w:rPr>
        <w:t xml:space="preserve"> </w:t>
      </w:r>
      <w:r w:rsidR="000F20B4" w:rsidRPr="00783958">
        <w:rPr>
          <w:sz w:val="24"/>
        </w:rPr>
        <w:fldChar w:fldCharType="begin" w:fldLock="1"/>
      </w:r>
      <w:r w:rsidR="009012E7" w:rsidRPr="00783958">
        <w:rPr>
          <w:sz w:val="24"/>
        </w:rPr>
        <w:instrText>ADDIN CSL_CITATION { "citationItems" : [ { "id" : "ITEM-1", "itemData" : { "DOI" : "10.1039/c3gc42393j", "ISBN" : "1463-9262", "ISSN" : "1463-9262", "abstract" : "Novel solvent free task specific ionic liq. (TSIL) electrolytes for dye sensitized solar cells (DSSC) were synthesized and tested. Of great concern is the replacement of low-moderate toxicity second generation ILs, with high toxicity third generation TSILs. As most 1-butyl-3-methylimidazolium (Bmim) and esp. 1-ethyl-3-methylimidazolium (Emim) based ILs have low toxicity, the designing of replacement TSILs of comparable toxicity is a challenge. Structural features of TSIL investigated herein were incorporation of heteroatoms into the side chain of imidazolium cations (i.e. ether, ester and amide) and anion (bromide, iodide, and triflimide [NTf2]). Preliminary toxicity screening against 20 microorganisms (8 bacteria and 12 fungi) found that all ILs, imidazolium salts, N-butylbenzimidazole (NBB) and guanidinium thiocyanate (GNCS) do not exhibit high antimicrobial toxicity. However NBB and a pentyl ester substituted IL displayed moderate toxicity to several strains of bacteria and fungi. Further toxicity testing to establish IC50 values shows several novel TSIL compds. and imidazolium salts are in fact less toxic to microorganisms (e.g. bacteria) than commonly used 1-ethyl-3-methylimidazolium iodide (EmimI) and 1,3-dimethylimidazolium iodide (DmimI). We have demonstrated that the presence of ether and either ester or amide groups in the structure of the cation of the TSIL and imidazolium salts reduces antimicrobial toxicity, which is consistent with the lowering of the lipophilicity of ILs. Iodide and bromide analogs have lower toxicity than the NTf2 examples in this study. The DSSC performance using these \"greener\" ILs in place of the std. EmimI compare quite favorably. Two low antibacterial toxicity iodide examples exhibit photocurrents of 9.27 mA cm-2 and 8.85 mA cm-2, resp., achieving promising efficiencies of 3.39% and 3.31%, resp. (EmimI = 4.94%). DSSC performance is further improved by 15% min. to 66% max., depending on IL chosen, by the presence of small amts. of moisture and DSSCs employing a low antibacterial toxicity iodide TSIL or imidazolium salt can surpass the performance of dry EmimI. Of note the DSSC contg. TSIL NTf2 examples, performed poorly compared to the halide analogs, with the outcome that the most toxic TSILs under investigation are also the least preferred based on performance. [on SciFinder(R)]", "author" : [ { "dropping-particle" : "", "family" : "Ghavre", "given" : "Mukund", "non-dropping-particle" : "", "parse-names" : false, "suffix" : "" }, { "dropping-particle" : "", "family" : "Byrne", "given" : "Owen", "non-dropping-particle" : "", "parse-names" : false, "suffix" : "" }, { "dropping-particle" : "", "family" : "Altes", "given" : "Lena", "non-dropping-particle" : "", "parse-names" : false, "suffix" : "" }, { "dropping-particle" : "", "family" : "Surolia", "given" : "Praveen K.", "non-dropping-particle" : "", "parse-names" : false, "suffix" : "" }, { "dropping-particle" : "", "family" : "Spulak", "given" : "Marcel", "non-dropping-particle" : "", "parse-names" : false, "suffix" : "" }, { "dropping-particle" : "", "family" : "Quilty", "given" : "Brid", "non-dropping-particle" : "", "parse-names" : false, "suffix" : "" }, { "dropping-particle" : "", "family" : "Thampi", "given" : "K. Ravindranathan", "non-dropping-particle" : "", "parse-names" : false, "suffix" : "" }, { "dropping-particle" : "", "family" : "Gathergood", "given" : "Nicholas", "non-dropping-particle" : "", "parse-names" : false, "suffix" : "" } ], "container-title" : "Green Chemistry", "id" : "ITEM-1", "issue" : "4", "issued" : { "date-parts" : [ [ "2014" ] ] }, "page" : "2252-2265", "publisher" : "The Royal Society of Chemistry", "title" : "Low toxicity functionalised imidazolium salts for task specific ionic liquid electrolytes in dye-sensitized solar cells: a step towards less hazardous energy production", "type" : "article-journal", "volume" : "16" }, "uris" : [ "http://www.mendeley.com/documents/?uuid=e0fd7467-3d2d-309d-9b78-1ead26939258" ] } ], "mendeley" : { "formattedCitation" : "(Ghavre et al., 2014)", "plainTextFormattedCitation" : "(Ghavre et al., 2014)", "previouslyFormattedCitation" : "(Ghavre et al., 2014)" }, "properties" : { "noteIndex" : 0 }, "schema" : "https://github.com/citation-style-language/schema/raw/master/csl-citation.json" }</w:instrText>
      </w:r>
      <w:r w:rsidR="000F20B4" w:rsidRPr="00783958">
        <w:rPr>
          <w:sz w:val="24"/>
        </w:rPr>
        <w:fldChar w:fldCharType="separate"/>
      </w:r>
      <w:r w:rsidR="001D7427" w:rsidRPr="00783958">
        <w:rPr>
          <w:noProof/>
          <w:sz w:val="24"/>
        </w:rPr>
        <w:t>(Ghavre et al., 2014)</w:t>
      </w:r>
      <w:r w:rsidR="000F20B4" w:rsidRPr="00783958">
        <w:rPr>
          <w:sz w:val="24"/>
        </w:rPr>
        <w:fldChar w:fldCharType="end"/>
      </w:r>
      <w:r w:rsidR="001E6BBC" w:rsidRPr="00783958">
        <w:rPr>
          <w:sz w:val="24"/>
        </w:rPr>
        <w:t xml:space="preserve"> and </w:t>
      </w:r>
      <w:r w:rsidR="004473B7" w:rsidRPr="00783958">
        <w:rPr>
          <w:sz w:val="24"/>
        </w:rPr>
        <w:t xml:space="preserve">solvents for </w:t>
      </w:r>
      <w:r w:rsidR="001E6BBC" w:rsidRPr="00783958">
        <w:rPr>
          <w:sz w:val="24"/>
        </w:rPr>
        <w:t>biomass processing</w:t>
      </w:r>
      <w:r w:rsidR="00882BB8" w:rsidRPr="00783958">
        <w:rPr>
          <w:sz w:val="24"/>
        </w:rPr>
        <w:t xml:space="preserve"> </w:t>
      </w:r>
      <w:r w:rsidR="0045714F" w:rsidRPr="00783958">
        <w:rPr>
          <w:sz w:val="24"/>
        </w:rPr>
        <w:fldChar w:fldCharType="begin" w:fldLock="1"/>
      </w:r>
      <w:r w:rsidR="009012E7" w:rsidRPr="00783958">
        <w:rPr>
          <w:sz w:val="24"/>
        </w:rPr>
        <w:instrText>ADDIN CSL_CITATION { "citationItems" : [ { "id" : "ITEM-1", "itemData" : { "DOI" : "10.1039/b922553f", "ISBN" : "1463-9262", "ISSN" : "1463-9262", "abstract" : "Classically, the best attempts to separate suberin from cork biopolymers have resulted in low efficiency; here, we report a class of biocompatible and biodegradable cholinium-based ionic liquids, the cholinium alkanoates, which show a highly efficient and specific dissolution of the suberin domains from cork biopolymers.", "author" : [ { "dropping-particle" : "", "family" : "Garcia", "given" : "Helga", "non-dropping-particle" : "", "parse-names" : false, "suffix" : "" }, { "dropping-particle" : "", "family" : "Ferreira", "given" : "Rui", "non-dropping-particle" : "", "parse-names" : false, "suffix" : "" }, { "dropping-particle" : "", "family" : "Petkovic", "given" : "Marija", "non-dropping-particle" : "", "parse-names" : false, "suffix" : "" }, { "dropping-particle" : "", "family" : "Ferguson", "given" : "Jamie L.", "non-dropping-particle" : "", "parse-names" : false, "suffix" : "" }, { "dropping-particle" : "", "family" : "Leit\u00e3o", "given" : "Maria C.", "non-dropping-particle" : "", "parse-names" : false, "suffix" : "" }, { "dropping-particle" : "", "family" : "Gunaratne", "given" : "H. Q. Nimal", "non-dropping-particle" : "", "parse-names" : false, "suffix" : "" }, { "dropping-particle" : "", "family" : "Seddon", "given" : "Kenneth R.", "non-dropping-particle" : "", "parse-names" : false, "suffix" : "" }, { "dropping-particle" : "", "family" : "Rebelo", "given" : "Lu\u00eds Paulo N.", "non-dropping-particle" : "", "parse-names" : false, "suffix" : "" }, { "dropping-particle" : "", "family" : "Silva Pereira", "given" : "Cristina", "non-dropping-particle" : "", "parse-names" : false, "suffix" : "" } ], "container-title" : "Green Chemistry", "id" : "ITEM-1", "issue" : "3", "issued" : { "date-parts" : [ [ "2010" ] ] }, "page" : "367", "title" : "Dissolution of cork biopolymers in biocompatible ionic liquids", "type" : "article-journal", "volume" : "12" }, "uris" : [ "http://www.mendeley.com/documents/?uuid=91f12d79-fd4f-4ea3-84c2-3a5eaad35d04" ] }, { "id" : "ITEM-2", "itemData" : { "DOI" : "10.1021/sc300172v", "ISBN" : "2168-0485", "ISSN" : "21680485", "PMID" : "15991970", "abstract" : "In this work, sugar cane bagasse pretreatment by renewable cholinium amino acids ionic liquids ([Ch] [AA] ILs) and subsequent enzymatic hydrolysis of the residues were conducted. Six ILs tested were found to be effective for sugar cane bagasse pretreatment. Upon pretreatment using these ILs, the enzymatic digestion of this lignocellulosic biomass was improved significantly due to extensive delignification. The IL cholinium lysine ([Ch][Lys]) displayed excellent pretreatment efficiency with sugar cane bagasse of Various sizes as the substrates. The addition of water into [Ch] [Lys] did not exert a negative effect on pretreatment effectiveness, although the delignification capacity of the IL decreased. The sugar yields of 80% for glucose and 84% for xylose were obtained in the enzymatic hydrolysis after the sugar cane bagasse without size reduction was pretreated with a biomass loading of 5 wt % by 50 g 50% [Ch][Lys]-water mixture at 90 degrees C for 6 h. A simple and atom-economic preparation approach to ILs was successfully developed for lignocellulosic biomass pretreatment, which may significantly reduce ILs costs, and the reactant contaminations in the IL-water mixture had no detrimental effect on the pretreatment efficiency.", "author" : [ { "dropping-particle" : "", "family" : "Hou", "given" : "Xue Dan", "non-dropping-particle" : "", "parse-names" : false, "suffix" : "" }, { "dropping-particle" : "", "family" : "Li", "given" : "Ning", "non-dropping-particle" : "", "parse-names" : false, "suffix" : "" }, { "dropping-particle" : "", "family" : "Zong", "given" : "Min Hua", "non-dropping-particle" : "", "parse-names" : false, "suffix" : "" } ], "container-title" : "ACS Sustainable Chemistry and Engineering", "id" : "ITEM-2", "issue" : "5", "issued" : { "date-parts" : [ [ "2013", "5", "6" ] ] }, "page" : "519-526", "publisher" : "American Chemical Society", "title" : "Facile and simple pretreatment of sugar cane bagasse without size reduction using renewable ionic liquidswater mixtures", "type" : "article-journal", "volume" : "1" }, "uris" : [ "http://www.mendeley.com/documents/?uuid=28d7ae80-c46f-3cd9-816f-ffdb947df571" ] }, { "id" : "ITEM-3", "itemData" : { "DOI" : "10.1016/j.biortech.2015.05.064", "ISBN" : "1873-2976 (Electronic)\\r0960-8524 (Linking)", "ISSN" : "18732976", "PMID" : "26026293", "abstract" : "Pretreatment of lignocelluloses is a key step in the biorefinery for production of biofuels and valuable platform chemicals. In this work, various lignocelluloses were pretreated using cholinium ionic liquids (ILs) that are wholly composed of biomaterials, and fractionated into carbohydrate-rich materials (CRMs) and lignin-rich materials (LRMs). Cholinium ILs were found to be effective pretreatment solvents for grass lignocelluloses as well as eucalyptus, resulting in significant improvements in the glucose yields (58-75%) in subsequent enzymatic hydrolysis, while they were inefficient to make pine susceptible to biodegradation. Approximately 46% of lignin in native rice straw was fractionated as LRM after pretreatment using cholinium argininate ([Ch][Arg]). [Ch][Arg] showed excellent recyclability, and the total recovery was as high as 75% after reused for 8 cycles. Besides, rice straw pretreated by the recycled IL remained highly digestible, and good glucose yields (63-75%) were achieved after its enzymatic hydrolysis.", "author" : [ { "dropping-particle" : "", "family" : "An", "given" : "Yan Xia", "non-dropping-particle" : "", "parse-names" : false, "suffix" : "" }, { "dropping-particle" : "", "family" : "Zong", "given" : "Min Hua", "non-dropping-particle" : "", "parse-names" : false, "suffix" : "" }, { "dropping-particle" : "", "family" : "Wu", "given" : "Hong", "non-dropping-particle" : "", "parse-names" : false, "suffix" : "" }, { "dropping-particle" : "", "family" : "Li", "given" : "Ning", "non-dropping-particle" : "", "parse-names" : false, "suffix" : "" } ], "container-title" : "Bioresource Technology", "id" : "ITEM-3", "issued" : { "date-parts" : [ [ "2015" ] ] }, "page" : "165-171", "title" : "Pretreatment of lignocellulosic biomass with renewable cholinium ionic liquids: Biomass fractionation, enzymatic digestion and ionic liquid reuse", "type" : "article-journal", "volume" : "192" }, "uris" : [ "http://www.mendeley.com/documents/?uuid=2b705c1d-0a9e-377b-8553-d4f2f5789bf1" ] }, { "id" : "ITEM-4", "itemData" : { "DOI" : "10.1186/s13068-015-0299-7", "ISSN" : "1754-6834", "abstract" : "Microbial lipid is a potential raw material for large-scale biodiesel production and lignocellulosic hydrolysate has been considered as promising low-cost substrate for lipid fermentation. Lignocellulosic biomass needs to be pretreated before enzymatic hydrolysis, and biocompatible cholinium ionic liquids (ILs) have been demonstrated to be highly efficient for pretreatment. However, the impact of these ILs residues in hydrolysates on downstream biotransformation remains unknown. Therefore, the influence of three typical cholinium ILs on the lipid production by Trichosporon fermentans was first investigated. The cell growth of T. fermentans was stimulated in the presence of cholinium lysine ([Ch][Lys]) and cholinium serine ([Ch][Ser]), while the lipid accumulation was inhibited by [Ch][Lys]) and [Ch][Ser]. Both cell growth and lipid accumulation of T. fermentans were inhibited in the presence of cholinium acetate ([Ch][OAc]). Despite the reduction in lipid content, the lipid production by T. fermentans was improved in the presence of low concentrations of [Ch][Lys] (\u226430 mM) and [Ch][Ser] (\u226420 mM) due to the remarkable increase of biomass. It was found that cholinium cation had minor influence on lipid production. However, the anions of [Ch][Lys] and [Ch][Ser] could be assimilated as nitrogen source by T. fermentans and the reduced C/N ratio accounts for the inhibition of lipid accumulation, which could be alleviated by improving C/N ratio of medium. In addition, the anion of [Ch][OAc] could be metabolized by T. fermentans, leading to a rapid alkaline-pH shift and strong inhibition of lipid production. And this inhibitory effect on lipid production could be significantly reduced by controlling culture pH. The anions of [Ch][Lys], [Ch][Ser] and [Ch][OAc] play an important role in affecting the cell growth and lipid accumulation of T. fermentans, and the inhibition of these three ILs on lipid production can be alleviated by careful fermentation condition control. Hence, T. fermentans is a promising strain for microbial lipid production from cholinium ILs-pretreated lignocellulosic hydrolysates.", "author" : [ { "dropping-particle" : "", "family" : "Liu", "given" : "Liping", "non-dropping-particle" : "", "parse-names" : false, "suffix" : "" }, { "dropping-particle" : "", "family" : "Hu", "given" : "Yang", "non-dropping-particle" : "", "parse-names" : false, "suffix" : "" }, { "dropping-particle" : "", "family" : "Wen", "given" : "Peng", "non-dropping-particle" : "", "parse-names" : false, "suffix" : "" }, { "dropping-particle" : "", "family" : "Li", "given" : "Ning", "non-dropping-particle" : "", "parse-names" : false, "suffix" : "" }, { "dropping-particle" : "", "family" : "Zong", "given" : "Min-hua", "non-dropping-particle" : "", "parse-names" : false, "suffix" : "" }, { "dropping-particle" : "", "family" : "Ou-Yang", "given" : "Beining", "non-dropping-particle" : "", "parse-names" : false, "suffix" : "" }, { "dropping-particle" : "", "family" : "Wu", "given" : "Hong", "non-dropping-particle" : "", "parse-names" : false, "suffix" : "" } ], "container-title" : "Biotechnology for Biofuels", "id" : "ITEM-4", "issue" : "1", "issued" : { "date-parts" : [ [ "2015", "12", "15" ] ] }, "page" : "119", "publisher" : "BioMed Central", "title" : "Evaluating the effects of biocompatible cholinium ionic liquids on microbial lipid production by Trichosporon fermentans", "type" : "article-journal", "volume" : "8" }, "uris" : [ "http://www.mendeley.com/documents/?uuid=43a6fea3-5f06-3c08-bb34-ca60f062324d" ] } ], "mendeley" : { "formattedCitation" : "(An et al., 2015; Garcia et al., 2010; Hou et al., 2013a; Liu et al., 2015)", "plainTextFormattedCitation" : "(An et al., 2015; Garcia et al., 2010; Hou et al., 2013a; Liu et al., 2015)", "previouslyFormattedCitation" : "(An et al., 2015; Garcia et al., 2010; Hou et al., 2013a; Liu et al., 2015)" }, "properties" : { "noteIndex" : 0 }, "schema" : "https://github.com/citation-style-language/schema/raw/master/csl-citation.json" }</w:instrText>
      </w:r>
      <w:r w:rsidR="0045714F" w:rsidRPr="00783958">
        <w:rPr>
          <w:sz w:val="24"/>
        </w:rPr>
        <w:fldChar w:fldCharType="separate"/>
      </w:r>
      <w:r w:rsidR="001D7427" w:rsidRPr="00783958">
        <w:rPr>
          <w:noProof/>
          <w:sz w:val="24"/>
        </w:rPr>
        <w:t>(An et al., 2015; Garcia et al., 2010; Hou et al., 2013a; Liu et al., 2015)</w:t>
      </w:r>
      <w:r w:rsidR="0045714F" w:rsidRPr="00783958">
        <w:rPr>
          <w:sz w:val="24"/>
        </w:rPr>
        <w:fldChar w:fldCharType="end"/>
      </w:r>
      <w:r w:rsidR="00882BB8" w:rsidRPr="00783958">
        <w:rPr>
          <w:sz w:val="24"/>
        </w:rPr>
        <w:t>.</w:t>
      </w:r>
      <w:r w:rsidR="007352DF" w:rsidRPr="00783958">
        <w:rPr>
          <w:sz w:val="24"/>
        </w:rPr>
        <w:t xml:space="preserve"> IL</w:t>
      </w:r>
      <w:r w:rsidR="00F45F0C" w:rsidRPr="00783958">
        <w:rPr>
          <w:sz w:val="24"/>
        </w:rPr>
        <w:t xml:space="preserve"> toxicity is intrinsically linked to biodegradation and </w:t>
      </w:r>
      <w:r w:rsidR="00A06E7C">
        <w:rPr>
          <w:sz w:val="24"/>
        </w:rPr>
        <w:t xml:space="preserve">undertaking </w:t>
      </w:r>
      <w:r w:rsidR="00F45F0C" w:rsidRPr="00783958">
        <w:rPr>
          <w:sz w:val="24"/>
        </w:rPr>
        <w:t>preliminary toxicity screening of ILs</w:t>
      </w:r>
      <w:r w:rsidR="007352DF" w:rsidRPr="00783958">
        <w:rPr>
          <w:sz w:val="24"/>
        </w:rPr>
        <w:t xml:space="preserve"> before biodegradation studies has been recommended by our group previously </w:t>
      </w:r>
      <w:r w:rsidR="00D038BB" w:rsidRPr="00783958">
        <w:rPr>
          <w:sz w:val="24"/>
        </w:rPr>
        <w:fldChar w:fldCharType="begin" w:fldLock="1"/>
      </w:r>
      <w:r w:rsidR="00D038BB" w:rsidRPr="00783958">
        <w:rPr>
          <w:sz w:val="24"/>
        </w:rPr>
        <w:instrText>ADDIN CSL_CITATION { "citationItems" : [ { "id" : "ITEM-1", "itemData" : { "DOI" : "10.1039/c3cc41588k", "ISBN" : "1359-7345", "ISSN" : "1364-548X", "PMID" : "23646348", "abstract" : "The ability of triazolium salts to serve as a precatalyst for both an acid and a powerful base/nucleophile (controlled by additives) has been exploited in a process characterised by a unique in situ catalyst modification strategy.", "author" : [ { "dropping-particle" : "", "family" : "Myles", "given" : "Lauren", "non-dropping-particle" : "", "parse-names" : false, "suffix" : "" }, { "dropping-particle" : "", "family" : "Gathergood", "given" : "Nicholas", "non-dropping-particle" : "", "parse-names" : false, "suffix" : "" }, { "dropping-particle" : "", "family" : "Connon", "given" : "Stephen J.", "non-dropping-particle" : "", "parse-names" : false, "suffix" : "" } ], "container-title" : "Chemical communications", "id" : "ITEM-1", "issue" : "46", "issued" : { "date-parts" : [ [ "2013" ] ] }, "page" : "5316-8", "publisher" : "The Royal Society of Chemistry", "title" : "The catalytic versatility of low toxicity dialkyltriazolium salts: in situ modification facilitates diametrically opposed catalysis modes in one pot.", "type" : "article-journal", "volume" : "49" }, "uris" : [ "http://www.mendeley.com/documents/?uuid=e2b90a56-d8d8-3b73-8e4c-c076cc614ccb" ] }, { "id" : "ITEM-2", "itemData" : { "DOI" : "10.1039/c3ra43785j", "abstract" : "Chiral ionic liquids (CILs) tetrabutylammonium-(S)-prolinate, tetrabutylammonium-(R)-prolinate and tetrabutylammonium trans-4-hydroxy-(S)-prolinate were investigated as chiral additives in the Pd-catalyzed enantioselective hydrogenation of \u03b1,\u03b2-unsaturated ketones. These CILs were easily prepared in one step from the aminoacid and tetrabutylammonium hydroxide and characterized (NMR, IR, optical rotation, elemental analysis, DSC, viscosity, decomposition temperature). The research strategy was to assess the antimicrobial toxicity (&amp;gt;20 strains) and biodegradability (OECD 301D) of the CILs at the same time as undertaking the asymmetric catalysis study. The Pd-catalyzed enantioselective hydrogenation of the carbon\u2013carbon double bond of \u03b1,\u03b2-unsaturated ketones under mild conditions (room temperature, 1 atm of H2) in different solvents with CILs present. The best results were obtained in i-PrOH after 18 hours of reaction with a i-PrOH/IL ratio of 5. While all three CILs have low antimicrobial toxicity to a wide range of bacteria and fungi, tetrabutylammonium-(S)-prolinate, tetrabutylammonium-(R)-prolinate and tetrabutylammonium trans-4-hydroxy-(S)-prolinate did not pass the Closed Bottle biodegradation test.", "author" : [ { "dropping-particle" : "", "family" : "Ferlin", "given" : "Nad\u00e8ge", "non-dropping-particle" : "", "parse-names" : false, "suffix" : "" }, { "dropping-particle" : "", "family" : "Courty", "given" : "Matthieu", "non-dropping-particle" : "", "parse-names" : false, "suffix" : "" }, { "dropping-particle" : "", "family" : "Nhien", "given" : "Albert Nguyen", "non-dropping-particle" : "Van", "parse-names" : false, "suffix" : "" }, { "dropping-particle" : "", "family" : "Gatard", "given" : "Sylvain", "non-dropping-particle" : "", "parse-names" : false, "suffix" : "" }, { "dropping-particle" : "", "family" : "Pour", "given" : "Milan", "non-dropping-particle" : "", "parse-names" : false, "suffix" : "" }, { "dropping-particle" : "", "family" : "Quilty", "given" : "Brid", "non-dropping-particle" : "", "parse-names" : false, "suffix" : "" }, { "dropping-particle" : "", "family" : "Ghavre", "given" : "Mukund", "non-dropping-particle" : "", "parse-names" : false, "suffix" : "" }, { "dropping-particle" : "", "family" : "Hai\u00df", "given" : "Annette", "non-dropping-particle" : "", "parse-names" : false, "suffix" : "" }, { "dropping-particle" : "", "family" : "K\u00fcmmerer", "given" : "Klaus", "non-dropping-particle" : "", "parse-names" : false, "suffix" : "" }, { "dropping-particle" : "", "family" : "Gathergood", "given" : "Nicholas", "non-dropping-particle" : "", "parse-names" : false, "suffix" : "" }, { "dropping-particle" : "", "family" : "Bouquillon", "given" : "Sandrine", "non-dropping-particle" : "", "parse-names" : false, "suffix" : "" } ], "container-title" : "RSC Advances", "id" : "ITEM-2", "issue" : "48", "issued" : { "date-parts" : [ [ "2013" ] ] }, "page" : "26241", "publisher" : "The Royal Society of Chemistry", "title" : "Tetrabutylammonium prolinate-based ionic liquids: a combined asymmetric catalysis, antimicrobial toxicity and biodegradation assessment", "type" : "article-journal", "volume" : "3" }, "uris" : [ "http://www.mendeley.com/documents/?uuid=b6f8abda-be92-36c1-8764-34238ae5ad34" ] }, { "id" : "ITEM-3", "itemData" : { "DOI" : "10.1039/c3gc40975a", "ISBN" : "1463-9262", "ISSN" : "1463-9262", "abstract" : "Catalysts which have low antimicrobial toxicity and are aprotic, yet which can act as Bronsted acidic catalysts in the presence of protic additives have been developed. The catalysts are recyclable, considerably more active (i.e. can be used at 10-50 times lower loadings) and of broader scope than their antecedent generation.", "author" : [ { "dropping-particle" : "", "family" : "Myles", "given" : "Lauren", "non-dropping-particle" : "", "parse-names" : false, "suffix" : "" }, { "dropping-particle" : "", "family" : "Gore", "given" : "Rohitkumar G.", "non-dropping-particle" : "", "parse-names" : false, "suffix" : "" }, { "dropping-particle" : "", "family" : "Gathergood", "given" : "Nicholas", "non-dropping-particle" : "", "parse-names" : false, "suffix" : "" }, { "dropping-particle" : "", "family" : "Connon", "given" : "Stephen J.", "non-dropping-particle" : "", "parse-names" : false, "suffix" : "" } ], "container-title" : "Green Chemistry", "id" : "ITEM-3", "issue" : "10", "issued" : { "date-parts" : [ [ "2013" ] ] }, "page" : "2740", "publisher" : "The Royal Society of Chemistry", "title" : "A new generation of aprotic yet Br\u00f8nsted acidic imidazolium salts: low toxicity, high recyclability and greatly improved activity", "type" : "article-journal", "volume" : "15" }, "uris" : [ "http://www.mendeley.com/documents/?uuid=6e4e4e32-4aa2-3e3f-b7d8-a548b6c39004" ] }, { "id" : "ITEM-4", "itemData" : { "DOI" : "10.1039/C6GC00415F", "ISSN" : "1463-9262", "author" : [ { "dropping-particle" : "", "family" : "Jordan", "given" : "Andrew", "non-dropping-particle" : "", "parse-names" : false, "suffix" : "" }, { "dropping-particle" : "", "family" : "Hai\u00df", "given" : "Annette", "non-dropping-particle" : "", "parse-names" : false, "suffix" : "" }, { "dropping-particle" : "", "family" : "Spulak", "given" : "Marcel", "non-dropping-particle" : "", "parse-names" : false, "suffix" : "" }, { "dropping-particle" : "", "family" : "Karpichev", "given" : "Yevgen", "non-dropping-particle" : "", "parse-names" : false, "suffix" : "" }, { "dropping-particle" : "", "family" : "K\u00fcmmerer", "given" : "Klaus", "non-dropping-particle" : "", "parse-names" : false, "suffix" : "" }, { "dropping-particle" : "", "family" : "Gathergood", "given" : "Nicholas", "non-dropping-particle" : "", "parse-names" : false, "suffix" : "" } ], "container-title" : "Green Chem.", "id" : "ITEM-4", "issue" : "16", "issued" : { "date-parts" : [ [ "2016" ] ] }, "page" : "4374-4392", "title" : "Synthesis of a series of amino acid derived ionic liquids and tertiary amines: green chemistry metrics including microbial toxicity and preliminary biodegradation data analysis", "type" : "article-journal", "volume" : "18" }, "uris" : [ "http://www.mendeley.com/documents/?uuid=11cf2fc4-a782-4384-8c16-8710083a20a6" ] }, { "id" : "ITEM-5", "itemData" : { "DOI" : "10.1039/C6GC00417B", "ISSN" : "1463-9262", "abstract" : "Over the past few decades ionic liquids (ILs) are increasingly seen as an important building block of green chemistry because of their specific properties as solvents, such as their potential for high recyclability, low volatility, low flammability, low toxicity, and their potential for synthesis from renewable resources. However, avoiding persistent or toxic cation/anion fragments is also urgently needed. In the best case they should be fully mineralizable by microorganisms after their release into the aquatic environment. The fragments fostering this can be determined by biodegradation studies, and the employment of identified readily biodegradable building blocks presents an innovation in the targeted design of green environmentally friendly ILs. The aim of this study was to improve the data-platform for the design of completely mineralizable ILs. Therefore the ready biodegradability of seven phenylalanine-based ILs and three non-ionic related compounds was investigated with a modified Closed Bottle test based on OECD guideline 301D. Liquid chromatography combined with high-resolution mass spectrometry (LC-HRMS) analysis was used to identify the chemical structures of products resulting from incomplete biodegradation and transformation. Two kinds of degradation pathways were observed: the hydrolysis of an ethyl ester group or the hydrolysis of an amide bond and biodegradation of the released phenylalanine ethyl ester. Both degradation pathways resulted in persistent transformation products (TPs) with the exception of IL (4), a pyridinium substituted phenylalanine derived IL and the non-ionic deanol derivative (2a). IL (4) was ultimately biodegraded in the CBT after 42 days without leaving any TP. The biodegradation of compound (2a) was 78% after 42 days but resulted in a TP, which was readily biodegradable in a further CBT after a lag phase of 3 weeks, respectively. Even if both compounds were not \u201creadily biodegradable\u201d in the sense of the OECD guideline, particularly IL (4) can be proposed as a basic structure for sustainable and green ILs (benign by design) with the aim of optimizing its degradation rate further.", "author" : [ { "dropping-particle" : "", "family" : "Hai\u00df", "given" : "Annette", "non-dropping-particle" : "", "parse-names" : false, "suffix" : "" }, { "dropping-particle" : "", "family" : "Jordan", "given" : "Andrew", "non-dropping-particle" : "", "parse-names" : false, "suffix" : "" }, { "dropping-particle" : "", "family" : "Westphal", "given" : "Janin", "non-dropping-particle" : "", "parse-names" : false, "suffix" : "" }, { "dropping-particle" : "", "family" : "Logunova", "given" : "Evgenia", "non-dropping-particle" : "", "parse-names" : false, "suffix" : "" }, { "dropping-particle" : "", "family" : "Gathergood", "given" : "Nicholas", "non-dropping-particle" : "", "parse-names" : false, "suffix" : "" }, { "dropping-particle" : "", "family" : "K\u00fcmmerer", "given" : "Klaus", "non-dropping-particle" : "", "parse-names" : false, "suffix" : "" } ], "container-title" : "Green Chem.", "id" : "ITEM-5", "issue" : "16", "issued" : { "date-parts" : [ [ "2016" ] ] }, "page" : "4361-4373", "publisher" : "The Royal Society of Chemistry", "title" : "On the way to greener ionic liquids: identification of a fully mineralizable phenylalanine-based ionic liquid", "type" : "article-journal", "volume" : "18" }, "uris" : [ "http://www.mendeley.com/documents/?uuid=f17f3e93-a48b-3221-8eb2-a0740fb07f76" ] }, { "id" : "ITEM-6", "itemData" : { "DOI" : "10.1039/C6RA25562K", "abstract" : "A series of ten ionic liquids (ILs) was synthesised from the renewable resource mandelic acid. The ILs showed low antimicrobial activity towards the thirteen bacterial and twelve fungal strains they were screened against. A general trend of increasing bacterial toxicity in the order methyl ester &amp;lt; ethyl ester &amp;lt; n-butyl ester/amide was observed. IL biodegradability was evaluated using the Closed Bottle test (OECD 301D). Biodegradation increased in the order of increasing alkyl chain length for the ester ILs (methyl &amp;lt; ethyl &amp;lt; n-butyl). Despite none of the ILs presenting as readily biodegradable (&amp;gt;60% in 28 days), a series of biodegradation transformation products has been proposed based on the degradation of the ester/amide alkyl chain. This data has allowed for an assessment of the effect of IL structural features on toxicity and biodegradation, particularly allowing for a comparison to earlier work where additional oxygen atoms were present to facilitate biodegradation and attenuate toxicity. The mandelic acid derived ILs did not pass the Closed Bottle test (OECD 301D) and can be included in the rules of thumb for the design of biodegradable ILs.", "author" : [ { "dropping-particle" : "", "family" : "Prydderch", "given" : "Hannah", "non-dropping-particle" : "", "parse-names" : false, "suffix" : "" }, { "dropping-particle" : "", "family" : "Hai\u03b2", "given" : "Annette", "non-dropping-particle" : "", "parse-names" : false, "suffix" : "" }, { "dropping-particle" : "", "family" : "Spulak", "given" : "Marcel", "non-dropping-particle" : "", "parse-names" : false, "suffix" : "" }, { "dropping-particle" : "", "family" : "Quilty", "given" : "Brid", "non-dropping-particle" : "", "parse-names" : false, "suffix" : "" }, { "dropping-particle" : "", "family" : "K\u00fcmmerer", "given" : "Klaus", "non-dropping-particle" : "", "parse-names" : false, "suffix" : "" }, { "dropping-particle" : "", "family" : "Heise", "given" : "Andreas", "non-dropping-particle" : "", "parse-names" : false, "suffix" : "" }, { "dropping-particle" : "", "family" : "Gathergood", "given" : "Nicholas", "non-dropping-particle" : "", "parse-names" : false, "suffix" : "" } ], "container-title" : "RSC Adv.", "id" : "ITEM-6", "issue" : "4", "issued" : { "date-parts" : [ [ "2017" ] ] }, "page" : "2115-2126", "publisher" : "The Royal Society of Chemistry", "title" : "Mandelic acid derived ionic liquids: synthesis, toxicity and biodegradability", "type" : "article-journal", "volume" : "7" }, "uris" : [ "http://www.mendeley.com/documents/?uuid=2557d5a9-508f-3379-b497-c5953e293364" ] } ], "mendeley" : { "formattedCitation" : "(Ferlin et al., 2013b; Hai\u00df et al., 2016; Jordan et al., 2016; Myles et al., 2013a, 2013b; Prydderch et al., 2017)", "plainTextFormattedCitation" : "(Ferlin et al., 2013b; Hai\u00df et al., 2016; Jordan et al., 2016; Myles et al., 2013a, 2013b; Prydderch et al., 2017)", "previouslyFormattedCitation" : "(Ferlin et al., 2013b; Hai\u00df et al., 2016; Jordan et al., 2016; Myles et al., 2013a, 2013b; Prydderch et al., 2017)" }, "properties" : { "noteIndex" : 0 }, "schema" : "https://github.com/citation-style-language/schema/raw/master/csl-citation.json" }</w:instrText>
      </w:r>
      <w:r w:rsidR="00D038BB" w:rsidRPr="00783958">
        <w:rPr>
          <w:sz w:val="24"/>
        </w:rPr>
        <w:fldChar w:fldCharType="separate"/>
      </w:r>
      <w:r w:rsidR="00D038BB" w:rsidRPr="00783958">
        <w:rPr>
          <w:noProof/>
          <w:sz w:val="24"/>
        </w:rPr>
        <w:t>(Ferlin et al., 2013b; Haiß et al., 2016; Jordan et al., 2016; Myles et al., 2013a, 2013b; Prydderch et al., 2017)</w:t>
      </w:r>
      <w:r w:rsidR="00D038BB" w:rsidRPr="00783958">
        <w:rPr>
          <w:sz w:val="24"/>
        </w:rPr>
        <w:fldChar w:fldCharType="end"/>
      </w:r>
      <w:r w:rsidR="00882BB8" w:rsidRPr="00783958">
        <w:rPr>
          <w:sz w:val="24"/>
        </w:rPr>
        <w:t>.</w:t>
      </w:r>
      <w:r w:rsidR="00666AB8" w:rsidRPr="00783958">
        <w:rPr>
          <w:sz w:val="24"/>
        </w:rPr>
        <w:t xml:space="preserve"> Thus, understanding how molecular structure influences </w:t>
      </w:r>
      <w:r w:rsidR="00882BB8" w:rsidRPr="00783958">
        <w:rPr>
          <w:sz w:val="24"/>
        </w:rPr>
        <w:t>IL</w:t>
      </w:r>
      <w:r w:rsidR="00666AB8" w:rsidRPr="00783958">
        <w:rPr>
          <w:sz w:val="24"/>
        </w:rPr>
        <w:t xml:space="preserve"> microtoxicity can be considered the first step in assessing their potential hazards.</w:t>
      </w:r>
    </w:p>
    <w:p w14:paraId="6B61BC34" w14:textId="4C011655" w:rsidR="00457D54" w:rsidRPr="00783958" w:rsidRDefault="00D26E8A" w:rsidP="00B63501">
      <w:pPr>
        <w:spacing w:line="480" w:lineRule="auto"/>
        <w:jc w:val="both"/>
        <w:rPr>
          <w:sz w:val="24"/>
        </w:rPr>
      </w:pPr>
      <w:r w:rsidRPr="00783958">
        <w:rPr>
          <w:sz w:val="24"/>
        </w:rPr>
        <w:t>A feature of ILs that</w:t>
      </w:r>
      <w:r w:rsidR="00DD6F36" w:rsidRPr="00783958">
        <w:rPr>
          <w:sz w:val="24"/>
        </w:rPr>
        <w:t xml:space="preserve"> exhibit low environmental hazard</w:t>
      </w:r>
      <w:r w:rsidR="00F07B9B" w:rsidRPr="00783958">
        <w:rPr>
          <w:sz w:val="24"/>
        </w:rPr>
        <w:t xml:space="preserve"> </w:t>
      </w:r>
      <w:r w:rsidR="003C7E89" w:rsidRPr="00783958">
        <w:rPr>
          <w:sz w:val="24"/>
        </w:rPr>
        <w:t>wa</w:t>
      </w:r>
      <w:r w:rsidR="00F07B9B" w:rsidRPr="00783958">
        <w:rPr>
          <w:sz w:val="24"/>
        </w:rPr>
        <w:t>s the presence of</w:t>
      </w:r>
      <w:r w:rsidR="00EE097C" w:rsidRPr="00783958">
        <w:rPr>
          <w:sz w:val="24"/>
        </w:rPr>
        <w:t xml:space="preserve"> </w:t>
      </w:r>
      <w:r w:rsidRPr="00783958">
        <w:rPr>
          <w:sz w:val="24"/>
        </w:rPr>
        <w:t xml:space="preserve">non-heterocyclic ammonium cations. </w:t>
      </w:r>
      <w:r w:rsidR="00E7210E" w:rsidRPr="00783958">
        <w:rPr>
          <w:sz w:val="24"/>
        </w:rPr>
        <w:t>Common structures for ammonium AILs screened include tetrabutylammon</w:t>
      </w:r>
      <w:r w:rsidR="00EE097C" w:rsidRPr="00783958">
        <w:rPr>
          <w:sz w:val="24"/>
        </w:rPr>
        <w:t>ium</w:t>
      </w:r>
      <w:r w:rsidR="00565358" w:rsidRPr="00783958">
        <w:rPr>
          <w:sz w:val="24"/>
        </w:rPr>
        <w:t xml:space="preserve"> </w:t>
      </w:r>
      <w:r w:rsidR="00924DB7" w:rsidRPr="00783958">
        <w:rPr>
          <w:sz w:val="24"/>
        </w:rPr>
        <w:fldChar w:fldCharType="begin" w:fldLock="1"/>
      </w:r>
      <w:r w:rsidR="009012E7" w:rsidRPr="00783958">
        <w:rPr>
          <w:sz w:val="24"/>
        </w:rPr>
        <w:instrText>ADDIN CSL_CITATION { "citationItems" : [ { "id" : "ITEM-1", "itemData" : { "DOI" : "10.1016/j.tet.2013.05.054", "ISBN" : "0040-4020", "ISSN" : "00404020", "abstract" : "Ionic liquids with natural organic derived anions (l-lactate, l-tartrate, malonate, succinate, l-malate, pyruvate, d-glucuronate, d-galacturonate) were easily prepared from tetrabutylammonium hydroxide and an excess of the corresponding acid with good yields. Their characterization was realized through classical NMR, IR, and elemental analysis techniques; their viscosity and TGA (thermogravimetric analysis) parameters were also determined. These ionic liquids showed good performance and recyclability in the selective catalytic hydrogenation of 1,5-cyclooctadiene (1,5-COD) into cyclooctene (COD) at room temperature under atmospheric H2 pressure. Antimicrobial toxicity assays toward a large panel of bacteria and fungi strains were also completed and biodegradation studies (Closed Bottle test, 28 days) were also performed. \u00a9 2013 Elsevier Ltd. All rights reserved.", "author" : [ { "dropping-particle" : "", "family" : "Ferlin", "given" : "Nad\u00e8ge", "non-dropping-particle" : "", "parse-names" : false, "suffix" : "" }, { "dropping-particle" : "", "family" : "Courty", "given" : "Matthieu", "non-dropping-particle" : "", "parse-names" : false, "suffix" : "" }, { "dropping-particle" : "", "family" : "Gatard", "given" : "Sylvain", "non-dropping-particle" : "", "parse-names" : false, "suffix" : "" }, { "dropping-particle" : "", "family" : "Spulak", "given" : "Marcel", "non-dropping-particle" : "", "parse-names" : false, "suffix" : "" }, { "dropping-particle" : "", "family" : "Quilty", "given" : "Brid", "non-dropping-particle" : "", "parse-names" : false, "suffix" : "" }, { "dropping-particle" : "", "family" : "Beadham", "given" : "Ian", "non-dropping-particle" : "", "parse-names" : false, "suffix" : "" }, { "dropping-particle" : "", "family" : "Ghavre", "given" : "Mukund", "non-dropping-particle" : "", "parse-names" : false, "suffix" : "" }, { "dropping-particle" : "", "family" : "Hai\u00df", "given" : "Annette", "non-dropping-particle" : "", "parse-names" : false, "suffix" : "" }, { "dropping-particle" : "", "family" : "K\u00fcmmerer", "given" : "Klaus", "non-dropping-particle" : "", "parse-names" : false, "suffix" : "" }, { "dropping-particle" : "", "family" : "Gathergood", "given" : "Nicholas", "non-dropping-particle" : "", "parse-names" : false, "suffix" : "" }, { "dropping-particle" : "", "family" : "Bouquillon", "given" : "Sandrine", "non-dropping-particle" : "", "parse-names" : false, "suffix" : "" } ], "container-title" : "Tetrahedron", "id" : "ITEM-1", "issue" : "30", "issued" : { "date-parts" : [ [ "2013" ] ] }, "page" : "6150-6161", "title" : "Biomass derived ionic liquids: Synthesis from natural organic acids, characterization, toxicity, biodegradation and use as solvents for catalytic hydrogenation processes", "type" : "article-journal", "volume" : "69" }, "uris" : [ "http://www.mendeley.com/documents/?uuid=3c688610-c83f-4543-99f8-18aeeb99a880" ] }, { "id" : "ITEM-2", "itemData" : { "DOI" : "10.1039/c3ra43785j", "abstract" : "Chiral ionic liquids (CILs) tetrabutylammonium-(S)-prolinate, tetrabutylammonium-(R)-prolinate and tetrabutylammonium trans-4-hydroxy-(S)-prolinate were investigated as chiral additives in the Pd-catalyzed enantioselective hydrogenation of \u03b1,\u03b2-unsaturated ketones. These CILs were easily prepared in one step from the aminoacid and tetrabutylammonium hydroxide and characterized (NMR, IR, optical rotation, elemental analysis, DSC, viscosity, decomposition temperature). The research strategy was to assess the antimicrobial toxicity (&amp;gt;20 strains) and biodegradability (OECD 301D) of the CILs at the same time as undertaking the asymmetric catalysis study. The Pd-catalyzed enantioselective hydrogenation of the carbon\u2013carbon double bond of \u03b1,\u03b2-unsaturated ketones under mild conditions (room temperature, 1 atm of H2) in different solvents with CILs present. The best results were obtained in i-PrOH after 18 hours of reaction with a i-PrOH/IL ratio of 5. While all three CILs have low antimicrobial toxicity to a wide range of bacteria and fungi, tetrabutylammonium-(S)-prolinate, tetrabutylammonium-(R)-prolinate and tetrabutylammonium trans-4-hydroxy-(S)-prolinate did not pass the Closed Bottle biodegradation test.", "author" : [ { "dropping-particle" : "", "family" : "Ferlin", "given" : "Nad\u00e8ge", "non-dropping-particle" : "", "parse-names" : false, "suffix" : "" }, { "dropping-particle" : "", "family" : "Courty", "given" : "Matthieu", "non-dropping-particle" : "", "parse-names" : false, "suffix" : "" }, { "dropping-particle" : "", "family" : "Nhien", "given" : "Albert Nguyen", "non-dropping-particle" : "Van", "parse-names" : false, "suffix" : "" }, { "dropping-particle" : "", "family" : "Gatard", "given" : "Sylvain", "non-dropping-particle" : "", "parse-names" : false, "suffix" : "" }, { "dropping-particle" : "", "family" : "Pour", "given" : "Milan", "non-dropping-particle" : "", "parse-names" : false, "suffix" : "" }, { "dropping-particle" : "", "family" : "Quilty", "given" : "Brid", "non-dropping-particle" : "", "parse-names" : false, "suffix" : "" }, { "dropping-particle" : "", "family" : "Ghavre", "given" : "Mukund", "non-dropping-particle" : "", "parse-names" : false, "suffix" : "" }, { "dropping-particle" : "", "family" : "Hai\u00df", "given" : "Annette", "non-dropping-particle" : "", "parse-names" : false, "suffix" : "" }, { "dropping-particle" : "", "family" : "K\u00fcmmerer", "given" : "Klaus", "non-dropping-particle" : "", "parse-names" : false, "suffix" : "" }, { "dropping-particle" : "", "family" : "Gathergood", "given" : "Nicholas", "non-dropping-particle" : "", "parse-names" : false, "suffix" : "" }, { "dropping-particle" : "", "family" : "Bouquillon", "given" : "Sandrine", "non-dropping-particle" : "", "parse-names" : false, "suffix" : "" } ], "container-title" : "RSC Advances", "id" : "ITEM-2", "issue" : "48", "issued" : { "date-parts" : [ [ "2013" ] ] }, "page" : "26241", "publisher" : "The Royal Society of Chemistry", "title" : "Tetrabutylammonium prolinate-based ionic liquids: a combined asymmetric catalysis, antimicrobial toxicity and biodegradation assessment", "type" : "article-journal", "volume" : "3" }, "uris" : [ "http://www.mendeley.com/documents/?uuid=b6f8abda-be92-36c1-8764-34238ae5ad34" ] } ], "mendeley" : { "formattedCitation" : "(Ferlin et al., 2013a, 2013b)", "plainTextFormattedCitation" : "(Ferlin et al., 2013a, 2013b)", "previouslyFormattedCitation" : "(Ferlin et al., 2013a, 2013b)" }, "properties" : { "noteIndex" : 0 }, "schema" : "https://github.com/citation-style-language/schema/raw/master/csl-citation.json" }</w:instrText>
      </w:r>
      <w:r w:rsidR="00924DB7" w:rsidRPr="00783958">
        <w:rPr>
          <w:sz w:val="24"/>
        </w:rPr>
        <w:fldChar w:fldCharType="separate"/>
      </w:r>
      <w:r w:rsidR="001D7427" w:rsidRPr="00783958">
        <w:rPr>
          <w:noProof/>
          <w:sz w:val="24"/>
        </w:rPr>
        <w:t>(Ferlin et al., 2013a, 2013b)</w:t>
      </w:r>
      <w:r w:rsidR="00924DB7" w:rsidRPr="00783958">
        <w:rPr>
          <w:sz w:val="24"/>
        </w:rPr>
        <w:fldChar w:fldCharType="end"/>
      </w:r>
      <w:r w:rsidR="00346684" w:rsidRPr="00783958">
        <w:rPr>
          <w:sz w:val="24"/>
        </w:rPr>
        <w:t xml:space="preserve"> </w:t>
      </w:r>
      <w:r w:rsidR="00E7210E" w:rsidRPr="00783958">
        <w:rPr>
          <w:sz w:val="24"/>
        </w:rPr>
        <w:t xml:space="preserve">and </w:t>
      </w:r>
      <w:r w:rsidR="00A17663" w:rsidRPr="00783958">
        <w:rPr>
          <w:sz w:val="24"/>
        </w:rPr>
        <w:t>cholinium (</w:t>
      </w:r>
      <w:r w:rsidR="00A17663" w:rsidRPr="00783958">
        <w:rPr>
          <w:i/>
          <w:sz w:val="24"/>
        </w:rPr>
        <w:t>N,N,N-</w:t>
      </w:r>
      <w:r w:rsidR="00A17663" w:rsidRPr="00783958">
        <w:rPr>
          <w:sz w:val="24"/>
        </w:rPr>
        <w:t>trimethylethanolammonium)</w:t>
      </w:r>
      <w:r w:rsidR="00565358" w:rsidRPr="00783958">
        <w:rPr>
          <w:sz w:val="24"/>
        </w:rPr>
        <w:t xml:space="preserve"> </w:t>
      </w:r>
      <w:r w:rsidR="00565358" w:rsidRPr="00783958">
        <w:rPr>
          <w:sz w:val="24"/>
        </w:rPr>
        <w:fldChar w:fldCharType="begin" w:fldLock="1"/>
      </w:r>
      <w:r w:rsidR="00036654">
        <w:rPr>
          <w:sz w:val="24"/>
        </w:rPr>
        <w:instrText>ADDIN CSL_CITATION { "citationItems" : [ { "id" : "ITEM-1", "itemData" : { "DOI" : "10.1371/journal.pone.0059145", "ISBN" : "2009017211001", "ISSN" : "19326203", "PMID" : "23554985", "abstract" : "Cholinium amino acid ionic liquids ([Ch][AA] ILs), which are wholly composed of renewable biomaterials, have recently been demonstrated to have very promising properties for applications in organic synthesis and biomass pretreatment. In this work, the toxicity of these ILs toward enzymes and bacteria was assessed, and the effect of the anion on these properties is discussed. The inhibitory potentials of this type of ILs to acetylcholinesterase were weaker approximately an order of magnitude than the traditional IL 1-butyl-3-methylimidazolium tetrafluoroborate. Additionally, the [Ch][AA] ILs displayed low toxicity toward the bacteria tested. Furthermore, the biodegradability of the [Ch][AA] ILs was evaluated via the closed bottle and CO(2) headspace tests using wastewater microorganisms. All the ILs were classified as 'readily biodegradable' based on their high levels of mineralization (62-87%). The presence of extra carboxyl or amide groups on the amino acid side chain rendered the ILs significantly more susceptible to microbial breakdown. In addition, for most of the [Ch][AA] ILs, low toxicity correlated with good biodegradability. The low toxicity and high biodegradability of these novel [Ch][AA] make them promising candidates for use as environmentally friendly solvents in large-scale applications.", "author" : [ { "dropping-particle" : "", "family" : "Hou", "given" : "Xue Dan", "non-dropping-particle" : "", "parse-names" : false, "suffix" : "" }, { "dropping-particle" : "", "family" : "Liu", "given" : "Qiu Ping", "non-dropping-particle" : "", "parse-names" : false, "suffix" : "" }, { "dropping-particle" : "", "family" : "Smith", "given" : "Thomas J.", "non-dropping-particle" : "", "parse-names" : false, "suffix" : "" }, { "dropping-particle" : "", "family" : "Li", "given" : "Ning", "non-dropping-particle" : "", "parse-names" : false, "suffix" : "" }, { "dropping-particle" : "", "family" : "Zong", "given" : "Min-Hua", "non-dropping-particle" : "", "parse-names" : false, "suffix" : "" } ], "container-title" : "PLoS ONE", "id" : "ITEM-1", "issue" : "3", "issued" : { "date-parts" : [ [ "2013" ] ] }, "page" : "e59145", "title" : "Evaluation of Toxicity and Biodegradability of Cholinium Amino Acids Ionic Liquids", "type" : "article-journal", "volume" : "8" }, "uris" : [ "http://www.mendeley.com/documents/?uuid=f5e3c931-a492-4cbb-952c-7b4702a4a099" ] } ], "mendeley" : { "formattedCitation" : "(Hou et al., 2013b)", "plainTextFormattedCitation" : "(Hou et al., 2013b)", "previouslyFormattedCitation" : "(Hou et al., 2013b)" }, "properties" : { "noteIndex" : 0 }, "schema" : "https://github.com/citation-style-language/schema/raw/master/csl-citation.json" }</w:instrText>
      </w:r>
      <w:r w:rsidR="00565358" w:rsidRPr="00783958">
        <w:rPr>
          <w:sz w:val="24"/>
        </w:rPr>
        <w:fldChar w:fldCharType="separate"/>
      </w:r>
      <w:r w:rsidR="001D7427" w:rsidRPr="00783958">
        <w:rPr>
          <w:noProof/>
          <w:sz w:val="24"/>
        </w:rPr>
        <w:t>(Hou et al., 2013b)</w:t>
      </w:r>
      <w:r w:rsidR="00565358" w:rsidRPr="00783958">
        <w:rPr>
          <w:sz w:val="24"/>
        </w:rPr>
        <w:fldChar w:fldCharType="end"/>
      </w:r>
      <w:r w:rsidR="00E7210E" w:rsidRPr="00783958">
        <w:rPr>
          <w:sz w:val="24"/>
        </w:rPr>
        <w:t xml:space="preserve">, the latter </w:t>
      </w:r>
      <w:r w:rsidR="000913D6" w:rsidRPr="00783958">
        <w:rPr>
          <w:sz w:val="24"/>
        </w:rPr>
        <w:t xml:space="preserve">being of particular interest </w:t>
      </w:r>
      <w:r w:rsidR="00E7210E" w:rsidRPr="00783958">
        <w:rPr>
          <w:sz w:val="24"/>
        </w:rPr>
        <w:t>due to its occurrence in many natural systems</w:t>
      </w:r>
      <w:r w:rsidR="00A06E7C">
        <w:rPr>
          <w:sz w:val="24"/>
        </w:rPr>
        <w:t>.</w:t>
      </w:r>
      <w:r w:rsidR="00E7210E" w:rsidRPr="00783958">
        <w:rPr>
          <w:sz w:val="24"/>
        </w:rPr>
        <w:t xml:space="preserve"> </w:t>
      </w:r>
      <w:r w:rsidR="00565358" w:rsidRPr="00783958">
        <w:rPr>
          <w:sz w:val="24"/>
        </w:rPr>
        <w:t xml:space="preserve"> </w:t>
      </w:r>
      <w:r w:rsidR="0076406D" w:rsidRPr="00783958">
        <w:rPr>
          <w:sz w:val="24"/>
        </w:rPr>
        <w:t xml:space="preserve">For example, the </w:t>
      </w:r>
      <w:r w:rsidR="00565358" w:rsidRPr="00783958">
        <w:rPr>
          <w:sz w:val="24"/>
        </w:rPr>
        <w:t>c</w:t>
      </w:r>
      <w:r w:rsidR="0076406D" w:rsidRPr="00783958">
        <w:rPr>
          <w:sz w:val="24"/>
        </w:rPr>
        <w:t>ytotoxicities of cholinium acetate</w:t>
      </w:r>
      <w:r w:rsidR="00D038BB" w:rsidRPr="00783958">
        <w:rPr>
          <w:sz w:val="24"/>
        </w:rPr>
        <w:t xml:space="preserve"> </w:t>
      </w:r>
      <w:r w:rsidR="0076406D" w:rsidRPr="00783958">
        <w:rPr>
          <w:sz w:val="24"/>
        </w:rPr>
        <w:t xml:space="preserve"> and 1-ethyl-3-methylimidazolium acetate were assessed</w:t>
      </w:r>
      <w:r w:rsidR="00EE097C" w:rsidRPr="00783958">
        <w:rPr>
          <w:sz w:val="24"/>
        </w:rPr>
        <w:t xml:space="preserve"> by evaluating </w:t>
      </w:r>
      <w:r w:rsidR="0076406D" w:rsidRPr="00783958">
        <w:rPr>
          <w:sz w:val="24"/>
        </w:rPr>
        <w:t xml:space="preserve">the </w:t>
      </w:r>
      <w:r w:rsidR="00C646CF" w:rsidRPr="00783958">
        <w:rPr>
          <w:sz w:val="24"/>
        </w:rPr>
        <w:t>effective concentration at 50% population depletion (</w:t>
      </w:r>
      <w:r w:rsidR="0076406D" w:rsidRPr="00783958">
        <w:rPr>
          <w:sz w:val="24"/>
        </w:rPr>
        <w:t>EC</w:t>
      </w:r>
      <w:r w:rsidR="0076406D" w:rsidRPr="00783958">
        <w:rPr>
          <w:sz w:val="24"/>
          <w:vertAlign w:val="subscript"/>
        </w:rPr>
        <w:t>50</w:t>
      </w:r>
      <w:r w:rsidR="00C646CF" w:rsidRPr="00783958">
        <w:rPr>
          <w:sz w:val="24"/>
        </w:rPr>
        <w:t>)</w:t>
      </w:r>
      <w:r w:rsidR="0076406D" w:rsidRPr="00783958">
        <w:rPr>
          <w:sz w:val="24"/>
        </w:rPr>
        <w:t xml:space="preserve"> </w:t>
      </w:r>
      <w:r w:rsidR="00210695" w:rsidRPr="00783958">
        <w:rPr>
          <w:sz w:val="24"/>
        </w:rPr>
        <w:t>tow</w:t>
      </w:r>
      <w:r w:rsidR="00776867" w:rsidRPr="00783958">
        <w:rPr>
          <w:sz w:val="24"/>
        </w:rPr>
        <w:t>a</w:t>
      </w:r>
      <w:r w:rsidR="00210695" w:rsidRPr="00783958">
        <w:rPr>
          <w:sz w:val="24"/>
        </w:rPr>
        <w:t>rds</w:t>
      </w:r>
      <w:r w:rsidR="0076406D" w:rsidRPr="00783958">
        <w:rPr>
          <w:sz w:val="24"/>
        </w:rPr>
        <w:t xml:space="preserve"> </w:t>
      </w:r>
      <w:r w:rsidR="0076406D" w:rsidRPr="00783958">
        <w:rPr>
          <w:i/>
          <w:sz w:val="24"/>
        </w:rPr>
        <w:t>Saccharomyces cerevisiae</w:t>
      </w:r>
      <w:r w:rsidR="0076406D" w:rsidRPr="00783958">
        <w:rPr>
          <w:sz w:val="24"/>
        </w:rPr>
        <w:t xml:space="preserve"> MT8-1 at different doses</w:t>
      </w:r>
      <w:r w:rsidR="00DF10A9" w:rsidRPr="00783958">
        <w:rPr>
          <w:sz w:val="24"/>
        </w:rPr>
        <w:t xml:space="preserve"> </w:t>
      </w:r>
      <w:r w:rsidR="0045714F" w:rsidRPr="00783958">
        <w:rPr>
          <w:sz w:val="24"/>
        </w:rPr>
        <w:fldChar w:fldCharType="begin" w:fldLock="1"/>
      </w:r>
      <w:r w:rsidR="009012E7" w:rsidRPr="00783958">
        <w:rPr>
          <w:sz w:val="24"/>
        </w:rPr>
        <w:instrText>ADDIN CSL_CITATION { "citationItems" : [ { "id" : "ITEM-1", "itemData" : { "DOI" : "10.1016/j.bej.2012.11.012", "ISBN" : "1369-703X", "ISSN" : "1369703X", "abstract" : "The present study is the first report demonstrating that ionic liquids consisting of cholinium cations and linear carboxylate anions ([Ch][CA] ILs) can be used for pretreatment of lignocellulosic materials to enhance subsequent enzymatic saccharification. Six variants of [Ch][CA] ILs were systematically prepared by combining cholinium cations with linear monocarboxylate anions ([CnH2n+1-COO]-, n=0-2) or dicarboxylate anions ([HOOC-CnH2n+1-COO]-, n=0-2). These [Ch][CA] ILs were analyzed for their toxicity to yeast cell growth and their ability to pretreat kenaf powder for subsequent enzymatic saccharification. When assayed against yeast growth, the EC50 for choline acetate ([Ch][OAc]) was 510mM, almost one order of magnitude higher than that for 1-ethyl-3-methylimidazolium acetate ([Emim][OAc]). The cellulose saccharification ratio after pretreatment at 110\u00b0C for 16h with [Ch][OAc] (100.6%) was almost comparable with that after pretreatment with [Emim][OAc]. Therefore, [Ch][OAc] is a biocompatible alternative to [Emim][OAc] for lignocellulosic material pretreatment. \u00a9 2012 Elsevier B.V.", "author" : [ { "dropping-particle" : "", "family" : "Ninomiya", "given" : "Kazuaki", "non-dropping-particle" : "", "parse-names" : false, "suffix" : "" }, { "dropping-particle" : "", "family" : "Yamauchi", "given" : "Takashi", "non-dropping-particle" : "", "parse-names" : false, "suffix" : "" }, { "dropping-particle" : "", "family" : "Kobayashi", "given" : "Masafumi", "non-dropping-particle" : "", "parse-names" : false, "suffix" : "" }, { "dropping-particle" : "", "family" : "Ogino", "given" : "Chiaki", "non-dropping-particle" : "", "parse-names" : false, "suffix" : "" }, { "dropping-particle" : "", "family" : "Shimizu", "given" : "Nobuaki", "non-dropping-particle" : "", "parse-names" : false, "suffix" : "" }, { "dropping-particle" : "", "family" : "Takahashi", "given" : "Kenji", "non-dropping-particle" : "", "parse-names" : false, "suffix" : "" } ], "container-title" : "Biochemical Engineering Journal", "id" : "ITEM-1", "issued" : { "date-parts" : [ [ "2013" ] ] }, "page" : "25-29", "title" : "Cholinium carboxylate ionic liquids for pretreatment of lignocellulosic materials to enhance subsequent enzymatic saccharification", "type" : "article-journal", "volume" : "71" }, "uris" : [ "http://www.mendeley.com/documents/?uuid=392dcf2b-f20b-4af2-9ea5-7987cc5a2f70" ] } ], "mendeley" : { "formattedCitation" : "(Ninomiya et al., 2013)", "plainTextFormattedCitation" : "(Ninomiya et al., 2013)", "previouslyFormattedCitation" : "(Ninomiya et al., 2013)" }, "properties" : { "noteIndex" : 0 }, "schema" : "https://github.com/citation-style-language/schema/raw/master/csl-citation.json" }</w:instrText>
      </w:r>
      <w:r w:rsidR="0045714F" w:rsidRPr="00783958">
        <w:rPr>
          <w:sz w:val="24"/>
        </w:rPr>
        <w:fldChar w:fldCharType="separate"/>
      </w:r>
      <w:r w:rsidR="001D7427" w:rsidRPr="00783958">
        <w:rPr>
          <w:noProof/>
          <w:sz w:val="24"/>
        </w:rPr>
        <w:t>(Ninomiya et al., 2013)</w:t>
      </w:r>
      <w:r w:rsidR="0045714F" w:rsidRPr="00783958">
        <w:rPr>
          <w:sz w:val="24"/>
        </w:rPr>
        <w:fldChar w:fldCharType="end"/>
      </w:r>
      <w:r w:rsidR="00565358" w:rsidRPr="00783958">
        <w:rPr>
          <w:sz w:val="24"/>
        </w:rPr>
        <w:t>.</w:t>
      </w:r>
      <w:r w:rsidR="0076406D" w:rsidRPr="00783958">
        <w:rPr>
          <w:sz w:val="24"/>
        </w:rPr>
        <w:t xml:space="preserve"> The EC</w:t>
      </w:r>
      <w:r w:rsidR="0076406D" w:rsidRPr="00783958">
        <w:rPr>
          <w:sz w:val="24"/>
          <w:vertAlign w:val="subscript"/>
        </w:rPr>
        <w:t>50</w:t>
      </w:r>
      <w:r w:rsidR="0076406D" w:rsidRPr="00783958">
        <w:rPr>
          <w:sz w:val="24"/>
        </w:rPr>
        <w:t xml:space="preserve"> value for cholinium acetate</w:t>
      </w:r>
      <w:r w:rsidR="00D038BB" w:rsidRPr="00783958">
        <w:rPr>
          <w:sz w:val="24"/>
        </w:rPr>
        <w:t xml:space="preserve"> (510 mM)</w:t>
      </w:r>
      <w:r w:rsidR="0076406D" w:rsidRPr="00783958">
        <w:rPr>
          <w:sz w:val="24"/>
        </w:rPr>
        <w:t xml:space="preserve"> was almost an order of magnitude greater than that of 1-ethyl-3-methylimidazolium acetate</w:t>
      </w:r>
      <w:r w:rsidR="00D038BB" w:rsidRPr="00783958">
        <w:rPr>
          <w:sz w:val="24"/>
        </w:rPr>
        <w:t xml:space="preserve"> (73 mM)</w:t>
      </w:r>
      <w:r w:rsidR="0076406D" w:rsidRPr="00783958">
        <w:rPr>
          <w:sz w:val="24"/>
        </w:rPr>
        <w:t xml:space="preserve">, showcasing the stark contrast in biocompatibility of the two cation structures. </w:t>
      </w:r>
    </w:p>
    <w:p w14:paraId="32149B8E" w14:textId="05D74C84" w:rsidR="00D900EB" w:rsidRPr="00783958" w:rsidRDefault="00686285" w:rsidP="00B63501">
      <w:pPr>
        <w:spacing w:line="480" w:lineRule="auto"/>
        <w:jc w:val="both"/>
        <w:rPr>
          <w:sz w:val="24"/>
          <w:szCs w:val="20"/>
        </w:rPr>
      </w:pPr>
      <w:r w:rsidRPr="00783958">
        <w:rPr>
          <w:sz w:val="24"/>
        </w:rPr>
        <w:t xml:space="preserve">The effect of microbial toxicity on </w:t>
      </w:r>
      <w:r w:rsidR="00682133" w:rsidRPr="00783958">
        <w:rPr>
          <w:sz w:val="24"/>
        </w:rPr>
        <w:t xml:space="preserve">the </w:t>
      </w:r>
      <w:r w:rsidRPr="00783958">
        <w:rPr>
          <w:sz w:val="24"/>
        </w:rPr>
        <w:t>resulting biodegradability of cholinium ILs has been shown elsewhere</w:t>
      </w:r>
      <w:r w:rsidR="00EE097C" w:rsidRPr="00783958">
        <w:rPr>
          <w:sz w:val="24"/>
        </w:rPr>
        <w:t>.</w:t>
      </w:r>
      <w:r w:rsidRPr="00783958">
        <w:rPr>
          <w:sz w:val="24"/>
        </w:rPr>
        <w:t xml:space="preserve"> </w:t>
      </w:r>
      <w:r w:rsidR="0063093A" w:rsidRPr="00783958">
        <w:rPr>
          <w:sz w:val="24"/>
        </w:rPr>
        <w:t>Three</w:t>
      </w:r>
      <w:r w:rsidR="009A7D9D" w:rsidRPr="00783958">
        <w:rPr>
          <w:sz w:val="24"/>
        </w:rPr>
        <w:t xml:space="preserve"> ILs featuring the methylsulfonate anion and the quaternary ammonium cations cholinium, </w:t>
      </w:r>
      <w:r w:rsidR="009A7D9D" w:rsidRPr="00783958">
        <w:rPr>
          <w:i/>
          <w:sz w:val="24"/>
        </w:rPr>
        <w:t>N,N,N</w:t>
      </w:r>
      <w:r w:rsidR="009A7D9D" w:rsidRPr="00783958">
        <w:rPr>
          <w:sz w:val="24"/>
        </w:rPr>
        <w:t xml:space="preserve">-trimethylbutylammonium and </w:t>
      </w:r>
      <w:r w:rsidR="009A7D9D" w:rsidRPr="00783958">
        <w:rPr>
          <w:i/>
          <w:sz w:val="24"/>
        </w:rPr>
        <w:t>N,N,N</w:t>
      </w:r>
      <w:r w:rsidR="009A7D9D" w:rsidRPr="00783958">
        <w:rPr>
          <w:sz w:val="24"/>
        </w:rPr>
        <w:t>-trimethyl-2-methoxyethylammonium were assessed for their toxicity and biodegradability</w:t>
      </w:r>
      <w:r w:rsidR="00682133" w:rsidRPr="00783958">
        <w:rPr>
          <w:sz w:val="24"/>
        </w:rPr>
        <w:t xml:space="preserve"> </w:t>
      </w:r>
      <w:r w:rsidR="003979AE" w:rsidRPr="00783958">
        <w:rPr>
          <w:sz w:val="24"/>
        </w:rPr>
        <w:fldChar w:fldCharType="begin" w:fldLock="1"/>
      </w:r>
      <w:r w:rsidR="009012E7" w:rsidRPr="00783958">
        <w:rPr>
          <w:sz w:val="24"/>
        </w:rPr>
        <w:instrText>ADDIN CSL_CITATION { "citationItems" : [ { "id" : "ITEM-1", "itemData" : { "DOI" : "10.1016/j.chemosphere.2012.05.102", "ISBN" : "0045-6535", "ISSN" : "00456535", "PMID" : "22749125", "abstract" : "This paper reports on the (eco)toxicity and biodegradability of ionic liquids considered for application as lubricants or lubrication additives. Ammonium- and pyrrolidinium-based cations combined with methylsulphate, methylsulphonate and/or (CF3SO2)2N- anions were investigated in tests to determine their aquatic toxicity using water fleas Daphnia magna, green algae Selenastrum capricornutum and marine bacteria (Vibrio fischeri). Additional test systems with an isolated enzyme (acetylcholinesterase) and isolated leukaemia cells from rats (IPC-81) were used to assess the biological activity of the ionic liquids. These compounds generally exhibit low acute toxicity and biological activity. Their biodegradability was screened according to OECD test procedures 301 B and 301 F. For choline and methoxy-choline ionic liquids ready biodegradability was observed within 5 or 10d, respectively. Some of the compounds selected have a considerable potential to contribute to the development of more sustainable products and processes. ?? 2012 Elsevier Ltd.", "author" : [ { "dropping-particle" : "", "family" : "Stolte", "given" : "Stefan", "non-dropping-particle" : "", "parse-names" : false, "suffix" : "" }, { "dropping-particle" : "", "family" : "Steudte", "given" : "Stephanie", "non-dropping-particle" : "", "parse-names" : false, "suffix" : "" }, { "dropping-particle" : "", "family" : "Areitioaurtena", "given" : "Olatz", "non-dropping-particle" : "", "parse-names" : false, "suffix" : "" }, { "dropping-particle" : "", "family" : "Pagano", "given" : "Francesco", "non-dropping-particle" : "", "parse-names" : false, "suffix" : "" }, { "dropping-particle" : "", "family" : "Th\u00f6ming", "given" : "Jorg", "non-dropping-particle" : "", "parse-names" : false, "suffix" : "" }, { "dropping-particle" : "", "family" : "Stepnowski", "given" : "Piotr", "non-dropping-particle" : "", "parse-names" : false, "suffix" : "" }, { "dropping-particle" : "", "family" : "Igartua", "given" : "Amaya", "non-dropping-particle" : "", "parse-names" : false, "suffix" : "" } ], "container-title" : "Chemosphere", "id" : "ITEM-1", "issue" : "9", "issued" : { "date-parts" : [ [ "2012" ] ] }, "page" : "1135-1141", "title" : "Ionic liquids as lubricants or lubrication additives: An ecotoxicity and biodegradability assessment", "type" : "article-journal", "volume" : "89" }, "uris" : [ "http://www.mendeley.com/documents/?uuid=97cdb16b-17a9-4ffa-9ff2-229ac0d141b1" ] } ], "mendeley" : { "formattedCitation" : "(Stolte et al., 2012)", "plainTextFormattedCitation" : "(Stolte et al., 2012)", "previouslyFormattedCitation" : "(Stolte et al., 2012)" }, "properties" : { "noteIndex" : 0 }, "schema" : "https://github.com/citation-style-language/schema/raw/master/csl-citation.json" }</w:instrText>
      </w:r>
      <w:r w:rsidR="003979AE" w:rsidRPr="00783958">
        <w:rPr>
          <w:sz w:val="24"/>
        </w:rPr>
        <w:fldChar w:fldCharType="separate"/>
      </w:r>
      <w:r w:rsidR="001D7427" w:rsidRPr="00783958">
        <w:rPr>
          <w:noProof/>
          <w:sz w:val="24"/>
        </w:rPr>
        <w:t>(Stolte et al., 2012)</w:t>
      </w:r>
      <w:r w:rsidR="003979AE" w:rsidRPr="00783958">
        <w:rPr>
          <w:sz w:val="24"/>
        </w:rPr>
        <w:fldChar w:fldCharType="end"/>
      </w:r>
      <w:r w:rsidR="00682133" w:rsidRPr="00783958">
        <w:rPr>
          <w:sz w:val="24"/>
        </w:rPr>
        <w:t>.</w:t>
      </w:r>
      <w:r w:rsidR="009A7D9D" w:rsidRPr="00783958">
        <w:rPr>
          <w:sz w:val="24"/>
        </w:rPr>
        <w:t xml:space="preserve"> </w:t>
      </w:r>
      <w:r w:rsidRPr="00783958">
        <w:rPr>
          <w:sz w:val="24"/>
        </w:rPr>
        <w:t>The biodegradability</w:t>
      </w:r>
      <w:r w:rsidR="00A3433A">
        <w:rPr>
          <w:sz w:val="24"/>
        </w:rPr>
        <w:t xml:space="preserve"> testing</w:t>
      </w:r>
      <w:r w:rsidRPr="00783958">
        <w:rPr>
          <w:sz w:val="24"/>
        </w:rPr>
        <w:t xml:space="preserve">, </w:t>
      </w:r>
      <w:r w:rsidR="00A3433A">
        <w:rPr>
          <w:sz w:val="24"/>
        </w:rPr>
        <w:t>carried out</w:t>
      </w:r>
      <w:r w:rsidRPr="00783958">
        <w:rPr>
          <w:sz w:val="24"/>
        </w:rPr>
        <w:t xml:space="preserve"> by CO</w:t>
      </w:r>
      <w:r w:rsidRPr="00783958">
        <w:rPr>
          <w:sz w:val="24"/>
          <w:vertAlign w:val="subscript"/>
        </w:rPr>
        <w:t>2</w:t>
      </w:r>
      <w:r w:rsidRPr="00783958">
        <w:rPr>
          <w:sz w:val="24"/>
        </w:rPr>
        <w:t xml:space="preserve"> evolution (OECD 301B) and O</w:t>
      </w:r>
      <w:r w:rsidRPr="00783958">
        <w:rPr>
          <w:sz w:val="24"/>
          <w:vertAlign w:val="subscript"/>
        </w:rPr>
        <w:t>2</w:t>
      </w:r>
      <w:r w:rsidRPr="00783958">
        <w:rPr>
          <w:sz w:val="24"/>
        </w:rPr>
        <w:t xml:space="preserve"> </w:t>
      </w:r>
      <w:r w:rsidRPr="00783958">
        <w:rPr>
          <w:sz w:val="24"/>
        </w:rPr>
        <w:lastRenderedPageBreak/>
        <w:t xml:space="preserve">consumption (OECD 301F), found that the cholinium and </w:t>
      </w:r>
      <w:r w:rsidRPr="00783958">
        <w:rPr>
          <w:i/>
          <w:sz w:val="24"/>
        </w:rPr>
        <w:t>N,N,N</w:t>
      </w:r>
      <w:r w:rsidRPr="00783958">
        <w:rPr>
          <w:sz w:val="24"/>
        </w:rPr>
        <w:t>-trimethylbutylammonium ILs were readily biodegradable</w:t>
      </w:r>
      <w:r w:rsidR="00682133" w:rsidRPr="00783958">
        <w:rPr>
          <w:sz w:val="24"/>
        </w:rPr>
        <w:t xml:space="preserve"> (&gt; 60% degradation over 28 days)</w:t>
      </w:r>
      <w:r w:rsidRPr="00783958">
        <w:rPr>
          <w:sz w:val="24"/>
        </w:rPr>
        <w:t xml:space="preserve">, whereas the </w:t>
      </w:r>
      <w:r w:rsidRPr="00783958">
        <w:rPr>
          <w:i/>
          <w:sz w:val="24"/>
        </w:rPr>
        <w:t>N,N,N</w:t>
      </w:r>
      <w:r w:rsidRPr="00783958">
        <w:rPr>
          <w:sz w:val="24"/>
        </w:rPr>
        <w:t xml:space="preserve">-trimethyl-2-methoxyethylammonium IL was not readily biodegradable. This </w:t>
      </w:r>
      <w:r w:rsidR="00B829EB" w:rsidRPr="00783958">
        <w:rPr>
          <w:sz w:val="24"/>
        </w:rPr>
        <w:t xml:space="preserve">could be </w:t>
      </w:r>
      <w:r w:rsidR="00A3433A">
        <w:rPr>
          <w:sz w:val="24"/>
        </w:rPr>
        <w:t xml:space="preserve">considered </w:t>
      </w:r>
      <w:r w:rsidR="00B829EB" w:rsidRPr="00783958">
        <w:rPr>
          <w:sz w:val="24"/>
        </w:rPr>
        <w:t>consistent with</w:t>
      </w:r>
      <w:r w:rsidRPr="00783958">
        <w:rPr>
          <w:sz w:val="24"/>
        </w:rPr>
        <w:t xml:space="preserve"> the</w:t>
      </w:r>
      <w:r w:rsidR="00B829EB" w:rsidRPr="00783958">
        <w:rPr>
          <w:sz w:val="24"/>
        </w:rPr>
        <w:t xml:space="preserve"> </w:t>
      </w:r>
      <w:r w:rsidRPr="00783958">
        <w:rPr>
          <w:sz w:val="24"/>
        </w:rPr>
        <w:t>decreased EC</w:t>
      </w:r>
      <w:r w:rsidRPr="00783958">
        <w:rPr>
          <w:sz w:val="24"/>
          <w:vertAlign w:val="subscript"/>
        </w:rPr>
        <w:t>50</w:t>
      </w:r>
      <w:r w:rsidRPr="00783958">
        <w:rPr>
          <w:sz w:val="24"/>
        </w:rPr>
        <w:t xml:space="preserve"> value towards </w:t>
      </w:r>
      <w:r w:rsidRPr="00783958">
        <w:rPr>
          <w:i/>
          <w:sz w:val="24"/>
        </w:rPr>
        <w:t>Daphnia magna</w:t>
      </w:r>
      <w:r w:rsidRPr="00783958">
        <w:rPr>
          <w:sz w:val="24"/>
        </w:rPr>
        <w:t xml:space="preserve"> of the </w:t>
      </w:r>
      <w:r w:rsidRPr="00783958">
        <w:rPr>
          <w:i/>
          <w:sz w:val="24"/>
        </w:rPr>
        <w:t>N,N,N</w:t>
      </w:r>
      <w:r w:rsidRPr="00783958">
        <w:rPr>
          <w:sz w:val="24"/>
        </w:rPr>
        <w:t>-trimethyl-2-methoxyethylammonium IL</w:t>
      </w:r>
      <w:r w:rsidR="003B490A" w:rsidRPr="00783958">
        <w:rPr>
          <w:sz w:val="24"/>
        </w:rPr>
        <w:t xml:space="preserve"> (EC</w:t>
      </w:r>
      <w:r w:rsidR="003B490A" w:rsidRPr="00783958">
        <w:rPr>
          <w:sz w:val="24"/>
          <w:vertAlign w:val="subscript"/>
        </w:rPr>
        <w:t>50</w:t>
      </w:r>
      <w:r w:rsidR="003B490A" w:rsidRPr="00783958">
        <w:rPr>
          <w:sz w:val="24"/>
        </w:rPr>
        <w:t xml:space="preserve"> 8 mg L</w:t>
      </w:r>
      <w:r w:rsidR="003B490A" w:rsidRPr="00783958">
        <w:rPr>
          <w:sz w:val="24"/>
          <w:vertAlign w:val="superscript"/>
        </w:rPr>
        <w:t>-1</w:t>
      </w:r>
      <w:r w:rsidR="003B490A" w:rsidRPr="00783958">
        <w:rPr>
          <w:rFonts w:asciiTheme="majorHAnsi" w:hAnsiTheme="majorHAnsi" w:cstheme="majorHAnsi"/>
          <w:sz w:val="24"/>
        </w:rPr>
        <w:t>)</w:t>
      </w:r>
      <w:r w:rsidR="00A3433A">
        <w:rPr>
          <w:rFonts w:asciiTheme="majorHAnsi" w:hAnsiTheme="majorHAnsi" w:cstheme="majorHAnsi"/>
          <w:sz w:val="24"/>
        </w:rPr>
        <w:t>,</w:t>
      </w:r>
      <w:r w:rsidRPr="00783958">
        <w:rPr>
          <w:sz w:val="24"/>
        </w:rPr>
        <w:t xml:space="preserve"> in comparison to the cholinium and </w:t>
      </w:r>
      <w:r w:rsidRPr="00783958">
        <w:rPr>
          <w:i/>
          <w:sz w:val="24"/>
        </w:rPr>
        <w:t>N,N,N</w:t>
      </w:r>
      <w:r w:rsidRPr="00783958">
        <w:rPr>
          <w:sz w:val="24"/>
        </w:rPr>
        <w:t>-trimethylbutylammonium ILs</w:t>
      </w:r>
      <w:r w:rsidR="00A3433A">
        <w:rPr>
          <w:sz w:val="24"/>
        </w:rPr>
        <w:t xml:space="preserve"> which presented with higher </w:t>
      </w:r>
      <w:r w:rsidR="00B829EB" w:rsidRPr="00783958">
        <w:rPr>
          <w:sz w:val="24"/>
        </w:rPr>
        <w:t xml:space="preserve"> </w:t>
      </w:r>
      <w:r w:rsidR="00A3433A" w:rsidRPr="00783958">
        <w:rPr>
          <w:sz w:val="24"/>
        </w:rPr>
        <w:t>EC</w:t>
      </w:r>
      <w:r w:rsidR="00A3433A" w:rsidRPr="00783958">
        <w:rPr>
          <w:sz w:val="24"/>
          <w:vertAlign w:val="subscript"/>
        </w:rPr>
        <w:t>50</w:t>
      </w:r>
      <w:r w:rsidR="00A3433A" w:rsidRPr="00783958">
        <w:rPr>
          <w:sz w:val="24"/>
        </w:rPr>
        <w:t xml:space="preserve"> value</w:t>
      </w:r>
      <w:r w:rsidR="00A3433A">
        <w:rPr>
          <w:sz w:val="24"/>
        </w:rPr>
        <w:t xml:space="preserve">s </w:t>
      </w:r>
      <w:r w:rsidR="00B829EB" w:rsidRPr="00783958">
        <w:rPr>
          <w:sz w:val="24"/>
        </w:rPr>
        <w:t>(EC</w:t>
      </w:r>
      <w:r w:rsidR="00B829EB" w:rsidRPr="00783958">
        <w:rPr>
          <w:sz w:val="24"/>
          <w:vertAlign w:val="subscript"/>
        </w:rPr>
        <w:t xml:space="preserve">50 </w:t>
      </w:r>
      <w:r w:rsidR="00B829EB" w:rsidRPr="00783958">
        <w:rPr>
          <w:sz w:val="24"/>
        </w:rPr>
        <w:t>&gt;100 mg L</w:t>
      </w:r>
      <w:r w:rsidR="00B829EB" w:rsidRPr="00783958">
        <w:rPr>
          <w:sz w:val="24"/>
          <w:vertAlign w:val="superscript"/>
        </w:rPr>
        <w:t>-1</w:t>
      </w:r>
      <w:r w:rsidR="00B829EB" w:rsidRPr="00783958">
        <w:rPr>
          <w:sz w:val="24"/>
        </w:rPr>
        <w:t xml:space="preserve"> and EC</w:t>
      </w:r>
      <w:r w:rsidR="00B829EB" w:rsidRPr="00783958">
        <w:rPr>
          <w:sz w:val="24"/>
          <w:vertAlign w:val="subscript"/>
        </w:rPr>
        <w:t>50</w:t>
      </w:r>
      <w:r w:rsidR="00B829EB" w:rsidRPr="00783958">
        <w:rPr>
          <w:sz w:val="24"/>
        </w:rPr>
        <w:t xml:space="preserve"> 14 mg L</w:t>
      </w:r>
      <w:r w:rsidR="00B829EB" w:rsidRPr="00783958">
        <w:rPr>
          <w:sz w:val="24"/>
          <w:vertAlign w:val="superscript"/>
        </w:rPr>
        <w:t>-1</w:t>
      </w:r>
      <w:r w:rsidR="00B829EB" w:rsidRPr="00783958">
        <w:rPr>
          <w:sz w:val="24"/>
        </w:rPr>
        <w:t>, respectively)</w:t>
      </w:r>
      <w:r w:rsidRPr="00783958">
        <w:rPr>
          <w:sz w:val="24"/>
        </w:rPr>
        <w:t>. However</w:t>
      </w:r>
      <w:r w:rsidR="0076406D" w:rsidRPr="00783958">
        <w:rPr>
          <w:sz w:val="24"/>
        </w:rPr>
        <w:t>,</w:t>
      </w:r>
      <w:r w:rsidRPr="00783958">
        <w:rPr>
          <w:sz w:val="24"/>
        </w:rPr>
        <w:t xml:space="preserve"> </w:t>
      </w:r>
      <w:r w:rsidR="009A7D9D" w:rsidRPr="00783958">
        <w:rPr>
          <w:sz w:val="24"/>
        </w:rPr>
        <w:t>all three ILs shared</w:t>
      </w:r>
      <w:r w:rsidR="00130B22" w:rsidRPr="00783958">
        <w:rPr>
          <w:sz w:val="24"/>
        </w:rPr>
        <w:t xml:space="preserve"> </w:t>
      </w:r>
      <w:r w:rsidR="009A7D9D" w:rsidRPr="00783958">
        <w:rPr>
          <w:sz w:val="24"/>
        </w:rPr>
        <w:t>EC</w:t>
      </w:r>
      <w:r w:rsidR="009A7D9D" w:rsidRPr="00783958">
        <w:rPr>
          <w:sz w:val="24"/>
          <w:vertAlign w:val="subscript"/>
        </w:rPr>
        <w:t>50</w:t>
      </w:r>
      <w:r w:rsidR="009A7D9D" w:rsidRPr="00783958">
        <w:rPr>
          <w:sz w:val="24"/>
        </w:rPr>
        <w:t xml:space="preserve"> values of </w:t>
      </w:r>
      <w:r w:rsidR="0063093A" w:rsidRPr="00783958">
        <w:rPr>
          <w:sz w:val="24"/>
        </w:rPr>
        <w:t xml:space="preserve">the </w:t>
      </w:r>
      <w:r w:rsidR="009A7D9D" w:rsidRPr="00783958">
        <w:rPr>
          <w:sz w:val="24"/>
        </w:rPr>
        <w:t xml:space="preserve">maximum tested concentrations towards IPC-81, </w:t>
      </w:r>
      <w:r w:rsidR="009A7D9D" w:rsidRPr="00783958">
        <w:rPr>
          <w:i/>
          <w:sz w:val="24"/>
        </w:rPr>
        <w:t xml:space="preserve">Vibrio fischeri </w:t>
      </w:r>
      <w:r w:rsidR="009A7D9D" w:rsidRPr="00783958">
        <w:rPr>
          <w:sz w:val="24"/>
        </w:rPr>
        <w:t xml:space="preserve">and </w:t>
      </w:r>
      <w:r w:rsidR="009A7D9D" w:rsidRPr="00783958">
        <w:rPr>
          <w:i/>
          <w:sz w:val="24"/>
        </w:rPr>
        <w:t>Selenastrum capricornutum</w:t>
      </w:r>
      <w:r w:rsidRPr="00783958">
        <w:rPr>
          <w:sz w:val="24"/>
        </w:rPr>
        <w:t>, h</w:t>
      </w:r>
      <w:r w:rsidR="006C4DC4" w:rsidRPr="00783958">
        <w:rPr>
          <w:sz w:val="24"/>
        </w:rPr>
        <w:t xml:space="preserve">ighlighting that toxicities of ILs vary significantly between </w:t>
      </w:r>
      <w:r w:rsidR="00682133" w:rsidRPr="00783958">
        <w:rPr>
          <w:sz w:val="24"/>
        </w:rPr>
        <w:t xml:space="preserve">different </w:t>
      </w:r>
      <w:r w:rsidR="006C4DC4" w:rsidRPr="00783958">
        <w:rPr>
          <w:sz w:val="24"/>
        </w:rPr>
        <w:t>microbial strains</w:t>
      </w:r>
      <w:r w:rsidR="0076406D" w:rsidRPr="00783958">
        <w:rPr>
          <w:sz w:val="24"/>
        </w:rPr>
        <w:t xml:space="preserve"> and </w:t>
      </w:r>
      <w:r w:rsidR="00C95E8E" w:rsidRPr="00783958">
        <w:rPr>
          <w:sz w:val="24"/>
        </w:rPr>
        <w:t xml:space="preserve">that </w:t>
      </w:r>
      <w:r w:rsidR="00C110F5" w:rsidRPr="00783958">
        <w:rPr>
          <w:sz w:val="24"/>
        </w:rPr>
        <w:t xml:space="preserve">the connection between </w:t>
      </w:r>
      <w:r w:rsidR="00C95E8E" w:rsidRPr="00783958">
        <w:rPr>
          <w:sz w:val="24"/>
        </w:rPr>
        <w:t xml:space="preserve">IL toxicity </w:t>
      </w:r>
      <w:r w:rsidR="00C110F5" w:rsidRPr="00783958">
        <w:rPr>
          <w:sz w:val="24"/>
        </w:rPr>
        <w:t xml:space="preserve">and biodegradability </w:t>
      </w:r>
      <w:r w:rsidR="00A3433A">
        <w:rPr>
          <w:sz w:val="24"/>
        </w:rPr>
        <w:t xml:space="preserve">is </w:t>
      </w:r>
      <w:r w:rsidR="00C110F5" w:rsidRPr="00783958">
        <w:rPr>
          <w:sz w:val="24"/>
        </w:rPr>
        <w:t>complex</w:t>
      </w:r>
      <w:r w:rsidR="00A3433A">
        <w:rPr>
          <w:sz w:val="24"/>
        </w:rPr>
        <w:t xml:space="preserve"> and</w:t>
      </w:r>
      <w:r w:rsidR="00C110F5" w:rsidRPr="00783958">
        <w:rPr>
          <w:sz w:val="24"/>
        </w:rPr>
        <w:t xml:space="preserve"> </w:t>
      </w:r>
      <w:r w:rsidR="00A3433A" w:rsidRPr="00783958">
        <w:rPr>
          <w:sz w:val="24"/>
        </w:rPr>
        <w:t>requir</w:t>
      </w:r>
      <w:r w:rsidR="00A3433A">
        <w:rPr>
          <w:sz w:val="24"/>
        </w:rPr>
        <w:t>es</w:t>
      </w:r>
      <w:r w:rsidR="00A3433A" w:rsidRPr="00783958">
        <w:rPr>
          <w:sz w:val="24"/>
        </w:rPr>
        <w:t xml:space="preserve"> </w:t>
      </w:r>
      <w:r w:rsidR="00C110F5" w:rsidRPr="00783958">
        <w:rPr>
          <w:sz w:val="24"/>
        </w:rPr>
        <w:t>comprehensive</w:t>
      </w:r>
      <w:r w:rsidR="00CD7558" w:rsidRPr="00783958">
        <w:rPr>
          <w:sz w:val="24"/>
        </w:rPr>
        <w:t xml:space="preserve"> independent</w:t>
      </w:r>
      <w:r w:rsidR="00C110F5" w:rsidRPr="00783958">
        <w:rPr>
          <w:sz w:val="24"/>
        </w:rPr>
        <w:t xml:space="preserve"> assessment of both characteristics</w:t>
      </w:r>
      <w:r w:rsidR="009A7D9D" w:rsidRPr="00783958">
        <w:rPr>
          <w:sz w:val="24"/>
        </w:rPr>
        <w:t>. The cytotoxicity</w:t>
      </w:r>
      <w:r w:rsidR="00C646CF" w:rsidRPr="00783958">
        <w:rPr>
          <w:sz w:val="24"/>
        </w:rPr>
        <w:t>, as quantified by the concentration required for 50% inhibition</w:t>
      </w:r>
      <w:r w:rsidR="009A7D9D" w:rsidRPr="00783958">
        <w:rPr>
          <w:sz w:val="24"/>
        </w:rPr>
        <w:t xml:space="preserve"> (IC</w:t>
      </w:r>
      <w:r w:rsidR="009A7D9D" w:rsidRPr="00783958">
        <w:rPr>
          <w:sz w:val="24"/>
          <w:vertAlign w:val="subscript"/>
        </w:rPr>
        <w:t>50</w:t>
      </w:r>
      <w:r w:rsidR="009A7D9D" w:rsidRPr="00783958">
        <w:rPr>
          <w:sz w:val="24"/>
        </w:rPr>
        <w:t>)</w:t>
      </w:r>
      <w:r w:rsidR="00C646CF" w:rsidRPr="00783958">
        <w:rPr>
          <w:sz w:val="24"/>
        </w:rPr>
        <w:t>,</w:t>
      </w:r>
      <w:r w:rsidR="009A7D9D" w:rsidRPr="00783958">
        <w:rPr>
          <w:sz w:val="24"/>
        </w:rPr>
        <w:t xml:space="preserve"> of a series of cholinium carboxylate </w:t>
      </w:r>
      <w:r w:rsidR="0063093A" w:rsidRPr="00783958">
        <w:rPr>
          <w:sz w:val="24"/>
        </w:rPr>
        <w:t>ILs</w:t>
      </w:r>
      <w:r w:rsidR="00F07B9B" w:rsidRPr="00783958">
        <w:rPr>
          <w:sz w:val="24"/>
        </w:rPr>
        <w:t xml:space="preserve"> </w:t>
      </w:r>
      <w:r w:rsidR="009A7D9D" w:rsidRPr="00783958">
        <w:rPr>
          <w:sz w:val="24"/>
        </w:rPr>
        <w:t xml:space="preserve">were determined using the human breast cancer cell line, MCF-7. These results included cholinium acetate and cholinium hexanoate, which were both found to have </w:t>
      </w:r>
      <w:r w:rsidR="007352DF" w:rsidRPr="00783958">
        <w:rPr>
          <w:sz w:val="24"/>
        </w:rPr>
        <w:t xml:space="preserve">similar </w:t>
      </w:r>
      <w:r w:rsidR="009A7D9D" w:rsidRPr="00783958">
        <w:rPr>
          <w:sz w:val="24"/>
        </w:rPr>
        <w:t>IC</w:t>
      </w:r>
      <w:r w:rsidR="009A7D9D" w:rsidRPr="00783958">
        <w:rPr>
          <w:sz w:val="24"/>
          <w:vertAlign w:val="subscript"/>
        </w:rPr>
        <w:t>50</w:t>
      </w:r>
      <w:r w:rsidR="009A7D9D" w:rsidRPr="00783958">
        <w:rPr>
          <w:sz w:val="24"/>
        </w:rPr>
        <w:t xml:space="preserve"> values of 10.5</w:t>
      </w:r>
      <w:r w:rsidR="007352DF" w:rsidRPr="00783958">
        <w:rPr>
          <w:sz w:val="24"/>
        </w:rPr>
        <w:t xml:space="preserve"> </w:t>
      </w:r>
      <w:r w:rsidR="009A7D9D" w:rsidRPr="00783958">
        <w:rPr>
          <w:sz w:val="24"/>
        </w:rPr>
        <w:t>mM and 14.6</w:t>
      </w:r>
      <w:r w:rsidR="007352DF" w:rsidRPr="00783958">
        <w:rPr>
          <w:sz w:val="24"/>
        </w:rPr>
        <w:t xml:space="preserve"> </w:t>
      </w:r>
      <w:r w:rsidR="009A7D9D" w:rsidRPr="00783958">
        <w:rPr>
          <w:sz w:val="24"/>
        </w:rPr>
        <w:t>mM, respectively</w:t>
      </w:r>
      <w:r w:rsidR="00682133" w:rsidRPr="00783958">
        <w:rPr>
          <w:sz w:val="24"/>
        </w:rPr>
        <w:t xml:space="preserve"> </w:t>
      </w:r>
      <w:r w:rsidR="003979AE" w:rsidRPr="00783958">
        <w:rPr>
          <w:sz w:val="24"/>
        </w:rPr>
        <w:fldChar w:fldCharType="begin" w:fldLock="1"/>
      </w:r>
      <w:r w:rsidR="009012E7" w:rsidRPr="00783958">
        <w:rPr>
          <w:sz w:val="24"/>
        </w:rPr>
        <w:instrText>ADDIN CSL_CITATION { "citationItems" : [ { "id" : "ITEM-1", "itemData" : { "abstract" : "A series of choline carboxylate ionic liquids (ILs) have been synthesized by neutralization of choline hydroxide solution with acetic, propanoic, butanoic, pivalic, and hexanoic acids. The salts so obtained were characterized by NMR spectroscopy, thermal methods, and elemental analysis. Key physical properties (density, viscosity, and refractive index) were measured for the propanoate, butanoate, and hexanoate salts at temperatures from (293.15 to 353.15) K. The densities were used to estimate the molecular volumes, standard entropies, crystal lattice energies, and thermal expansion coefficients. All five choline carboxylates were found to have cytotoxicities (IC50 values) above 10 mM toward the human breast cancer cell line, MCF-7, indicating they are much less toxic than common imidazolium-based ILs.", "author" : [ { "dropping-particle" : "", "family" : "Muhammad", "given" : "Nawshad", "non-dropping-particle" : "", "parse-names" : false, "suffix" : "" }, { "dropping-particle" : "", "family" : "Hossain", "given" : "M Ismail", "non-dropping-particle" : "", "parse-names" : false, "suffix" : "" }, { "dropping-particle" : "", "family" : "Man", "given" : "Zakaria", "non-dropping-particle" : "", "parse-names" : false, "suffix" : "" }, { "dropping-particle" : "", "family" : "El-harbawi", "given" : "Mohanad", "non-dropping-particle" : "", "parse-names" : false, "suffix" : "" }, { "dropping-particle" : "", "family" : "Bustam", "given" : "M Azmi", "non-dropping-particle" : "", "parse-names" : false, "suffix" : "" }, { "dropping-particle" : "", "family" : "Noaman", "given" : "Yousr Abdulhadi", "non-dropping-particle" : "", "parse-names" : false, "suffix" : "" }, { "dropping-particle" : "", "family" : "Banu", "given" : "Noorjahan", "non-dropping-particle" : "", "parse-names" : false, "suffix" : "" }, { "dropping-particle" : "", "family" : "Alitheen", "given" : "Mohamed", "non-dropping-particle" : "", "parse-names" : false, "suffix" : "" }, { "dropping-particle" : "", "family" : "Ng", "given" : "Mei Kee", "non-dropping-particle" : "", "parse-names" : false, "suffix" : "" }, { "dropping-particle" : "", "family" : "Hefter", "given" : "Glenn", "non-dropping-particle" : "", "parse-names" : false, "suffix" : "" }, { "dropping-particle" : "", "family" : "Yin", "given" : "Chun-yang", "non-dropping-particle" : "", "parse-names" : false, "suffix" : "" } ], "container-title" : "Journal of Chemical &amp; Engineering Data", "id" : "ITEM-1", "issued" : { "date-parts" : [ [ "2012" ] ] }, "page" : "2191-2196", "title" : "Synthesis and Physical Properties of Choline Carboxylate Ionic Liquids", "type" : "article-journal", "volume" : "57" }, "uris" : [ "http://www.mendeley.com/documents/?uuid=3db36cc1-8be2-4410-bd33-a1bfccbe4eac" ] } ], "mendeley" : { "formattedCitation" : "(Muhammad et al., 2012)", "plainTextFormattedCitation" : "(Muhammad et al., 2012)", "previouslyFormattedCitation" : "(Muhammad et al., 2012)" }, "properties" : { "noteIndex" : 0 }, "schema" : "https://github.com/citation-style-language/schema/raw/master/csl-citation.json" }</w:instrText>
      </w:r>
      <w:r w:rsidR="003979AE" w:rsidRPr="00783958">
        <w:rPr>
          <w:sz w:val="24"/>
        </w:rPr>
        <w:fldChar w:fldCharType="separate"/>
      </w:r>
      <w:r w:rsidR="001D7427" w:rsidRPr="00783958">
        <w:rPr>
          <w:noProof/>
          <w:sz w:val="24"/>
        </w:rPr>
        <w:t>(Muhammad et al., 2012)</w:t>
      </w:r>
      <w:r w:rsidR="003979AE" w:rsidRPr="00783958">
        <w:rPr>
          <w:sz w:val="24"/>
        </w:rPr>
        <w:fldChar w:fldCharType="end"/>
      </w:r>
      <w:r w:rsidR="00682133" w:rsidRPr="00783958">
        <w:rPr>
          <w:sz w:val="24"/>
        </w:rPr>
        <w:t>.</w:t>
      </w:r>
      <w:r w:rsidR="009A7D9D" w:rsidRPr="00783958">
        <w:rPr>
          <w:sz w:val="24"/>
        </w:rPr>
        <w:t xml:space="preserve"> </w:t>
      </w:r>
      <w:r w:rsidR="002546DF" w:rsidRPr="00783958">
        <w:rPr>
          <w:sz w:val="24"/>
        </w:rPr>
        <w:t>In a separate study, the same two cholinium carboxylate ILs were part of a series of ILs screened for their</w:t>
      </w:r>
      <w:r w:rsidR="009A7D9D" w:rsidRPr="00783958">
        <w:rPr>
          <w:sz w:val="24"/>
        </w:rPr>
        <w:t xml:space="preserve"> biodegradability in the presence of </w:t>
      </w:r>
      <w:r w:rsidR="009A7D9D" w:rsidRPr="00783958">
        <w:rPr>
          <w:i/>
          <w:sz w:val="24"/>
        </w:rPr>
        <w:t>Penicillium</w:t>
      </w:r>
      <w:r w:rsidR="009A7D9D" w:rsidRPr="00783958">
        <w:rPr>
          <w:sz w:val="24"/>
        </w:rPr>
        <w:t xml:space="preserve"> </w:t>
      </w:r>
      <w:r w:rsidR="009A7D9D" w:rsidRPr="00783958">
        <w:rPr>
          <w:i/>
          <w:sz w:val="24"/>
        </w:rPr>
        <w:t xml:space="preserve">corylophilum </w:t>
      </w:r>
      <w:r w:rsidR="009A7D9D" w:rsidRPr="00783958">
        <w:rPr>
          <w:sz w:val="24"/>
        </w:rPr>
        <w:t>cultures</w:t>
      </w:r>
      <w:r w:rsidR="00682133" w:rsidRPr="00783958">
        <w:rPr>
          <w:sz w:val="24"/>
        </w:rPr>
        <w:t xml:space="preserve"> </w:t>
      </w:r>
      <w:r w:rsidR="003979AE" w:rsidRPr="00783958">
        <w:rPr>
          <w:sz w:val="24"/>
        </w:rPr>
        <w:fldChar w:fldCharType="begin" w:fldLock="1"/>
      </w:r>
      <w:r w:rsidR="009012E7" w:rsidRPr="00783958">
        <w:rPr>
          <w:sz w:val="24"/>
        </w:rPr>
        <w:instrText>ADDIN CSL_CITATION { "citationItems" : [ { "id" : "ITEM-1", "itemData" : { "DOI" : "10.1039/b823225c", "ISBN" : "1463-9262", "ISSN" : "1463-9262", "abstract" : "In this work, the toxicol. assessment towards filamentous fungi (Penicillium sp.) as model eukaryotic organisms of sixteen ionic liqs. (contg. an imidazolium, pyridinium, or cholinium cation) is presented. Amongst these fungi are members which show much higher tolerance towards ionic liqs. than any other microorganism so far studied. Furthermore, guided by the paradigm that the choice of an ionic liq. as catalyst can alter the outcome of a given chem. reaction, the ability of ionic liqs. to alter the metabolic profile in fungi was studied. The metabolic footprint, as investigated by electrospray ionisation mass spectrometry, revealed that fungal cultures respond to specific ionic liqs. by changing their cell biochem., resulting in an altered pattern of secondary metabolites. [on SciFinder(R)]", "author" : [ { "dropping-particle" : "", "family" : "Petkovic", "given" : "M.", "non-dropping-particle" : "", "parse-names" : false, "suffix" : "" }, { "dropping-particle" : "", "family" : "Ferguson", "given" : "J.", "non-dropping-particle" : "", "parse-names" : false, "suffix" : "" }, { "dropping-particle" : "", "family" : "Bohn", "given" : "A.", "non-dropping-particle" : "", "parse-names" : false, "suffix" : "" }, { "dropping-particle" : "", "family" : "Trindade", "given" : "J.", "non-dropping-particle" : "", "parse-names" : false, "suffix" : "" }, { "dropping-particle" : "", "family" : "Martins", "given" : "I.", "non-dropping-particle" : "", "parse-names" : false, "suffix" : "" }, { "dropping-particle" : "", "family" : "Carvalho", "given" : "M. B.", "non-dropping-particle" : "", "parse-names" : false, "suffix" : "" }, { "dropping-particle" : "", "family" : "Leit\u00e3o", "given" : "M. C.", "non-dropping-particle" : "", "parse-names" : false, "suffix" : "" }, { "dropping-particle" : "", "family" : "Rodrigues", "given" : "C.", "non-dropping-particle" : "", "parse-names" : false, "suffix" : "" }, { "dropping-particle" : "", "family" : "Garcia", "given" : "H.", "non-dropping-particle" : "", "parse-names" : false, "suffix" : "" }, { "dropping-particle" : "", "family" : "Ferreira", "given" : "R.", "non-dropping-particle" : "", "parse-names" : false, "suffix" : "" }, { "dropping-particle" : "", "family" : "Seddon", "given" : "K. R.", "non-dropping-particle" : "", "parse-names" : false, "suffix" : "" }, { "dropping-particle" : "", "family" : "Rebelo", "given" : "L. P. N.", "non-dropping-particle" : "", "parse-names" : false, "suffix" : "" }, { "dropping-particle" : "", "family" : "Silva Pereira", "given" : "C.", "non-dropping-particle" : "", "parse-names" : false, "suffix" : "" } ], "container-title" : "Green Chemistry", "id" : "ITEM-1", "issue" : "6", "issued" : { "date-parts" : [ [ "2009" ] ] }, "page" : "889", "title" : "Exploring fungal activity in the presence of ionic liquids", "type" : "article-journal", "volume" : "11" }, "uris" : [ "http://www.mendeley.com/documents/?uuid=dc0b3255-a52e-4a76-9680-be46f9808797" ] } ], "mendeley" : { "formattedCitation" : "(Petkovic et al., 2009)", "plainTextFormattedCitation" : "(Petkovic et al., 2009)", "previouslyFormattedCitation" : "(Petkovic et al., 2009)" }, "properties" : { "noteIndex" : 0 }, "schema" : "https://github.com/citation-style-language/schema/raw/master/csl-citation.json" }</w:instrText>
      </w:r>
      <w:r w:rsidR="003979AE" w:rsidRPr="00783958">
        <w:rPr>
          <w:sz w:val="24"/>
        </w:rPr>
        <w:fldChar w:fldCharType="separate"/>
      </w:r>
      <w:r w:rsidR="001D7427" w:rsidRPr="00783958">
        <w:rPr>
          <w:noProof/>
          <w:sz w:val="24"/>
        </w:rPr>
        <w:t>(Petkovic et al., 2009)</w:t>
      </w:r>
      <w:r w:rsidR="003979AE" w:rsidRPr="00783958">
        <w:rPr>
          <w:sz w:val="24"/>
        </w:rPr>
        <w:fldChar w:fldCharType="end"/>
      </w:r>
      <w:r w:rsidR="00682133" w:rsidRPr="00783958">
        <w:rPr>
          <w:sz w:val="24"/>
        </w:rPr>
        <w:t>.</w:t>
      </w:r>
      <w:r w:rsidR="009A7D9D" w:rsidRPr="00783958">
        <w:rPr>
          <w:sz w:val="24"/>
          <w:vertAlign w:val="superscript"/>
        </w:rPr>
        <w:t xml:space="preserve"> </w:t>
      </w:r>
      <w:r w:rsidR="00A3433A">
        <w:rPr>
          <w:sz w:val="24"/>
        </w:rPr>
        <w:t>T</w:t>
      </w:r>
      <w:r w:rsidR="0072461D">
        <w:rPr>
          <w:sz w:val="24"/>
        </w:rPr>
        <w:t>he</w:t>
      </w:r>
      <w:r w:rsidR="00A3433A" w:rsidRPr="00783958">
        <w:rPr>
          <w:sz w:val="24"/>
        </w:rPr>
        <w:t xml:space="preserve"> </w:t>
      </w:r>
      <w:r w:rsidR="009A7D9D" w:rsidRPr="00783958">
        <w:rPr>
          <w:sz w:val="24"/>
        </w:rPr>
        <w:t xml:space="preserve">results suggested that cholinium ILs featuring longer alkyl chains (e.g. butanoate, hexanoate) on the anion </w:t>
      </w:r>
      <w:r w:rsidR="003C7E89" w:rsidRPr="00783958">
        <w:rPr>
          <w:sz w:val="24"/>
        </w:rPr>
        <w:t xml:space="preserve">were </w:t>
      </w:r>
      <w:r w:rsidR="009A7D9D" w:rsidRPr="00783958">
        <w:rPr>
          <w:sz w:val="24"/>
        </w:rPr>
        <w:t xml:space="preserve">more readily biodegradable than shorter alkyl chains (e.g. acetate, formate) on the anion. </w:t>
      </w:r>
      <w:r w:rsidR="002546DF" w:rsidRPr="00783958">
        <w:rPr>
          <w:sz w:val="24"/>
        </w:rPr>
        <w:t xml:space="preserve">This could be rationalised by </w:t>
      </w:r>
      <w:r w:rsidR="00C95E8E" w:rsidRPr="00783958">
        <w:rPr>
          <w:sz w:val="24"/>
        </w:rPr>
        <w:t xml:space="preserve">the </w:t>
      </w:r>
      <w:r w:rsidR="002546DF" w:rsidRPr="00783958">
        <w:rPr>
          <w:sz w:val="24"/>
        </w:rPr>
        <w:t xml:space="preserve">observed increased toxicity </w:t>
      </w:r>
      <w:r w:rsidR="00B829EB" w:rsidRPr="00783958">
        <w:rPr>
          <w:sz w:val="24"/>
        </w:rPr>
        <w:t xml:space="preserve">towards filamentous fungi </w:t>
      </w:r>
      <w:r w:rsidR="002546DF" w:rsidRPr="00783958">
        <w:rPr>
          <w:sz w:val="24"/>
        </w:rPr>
        <w:t>of the cholinium acetate IL with respec</w:t>
      </w:r>
      <w:r w:rsidR="00C95E8E" w:rsidRPr="00783958">
        <w:rPr>
          <w:sz w:val="24"/>
        </w:rPr>
        <w:t>t to the cholinium hexanoate IL.</w:t>
      </w:r>
      <w:r w:rsidR="002546DF" w:rsidRPr="00783958">
        <w:rPr>
          <w:sz w:val="24"/>
        </w:rPr>
        <w:t xml:space="preserve"> </w:t>
      </w:r>
      <w:r w:rsidR="00C95E8E" w:rsidRPr="00783958">
        <w:rPr>
          <w:sz w:val="24"/>
        </w:rPr>
        <w:t>H</w:t>
      </w:r>
      <w:r w:rsidR="002546DF" w:rsidRPr="00783958">
        <w:rPr>
          <w:sz w:val="24"/>
        </w:rPr>
        <w:t xml:space="preserve">owever, </w:t>
      </w:r>
      <w:r w:rsidR="00C95E8E" w:rsidRPr="00783958">
        <w:rPr>
          <w:sz w:val="24"/>
        </w:rPr>
        <w:t xml:space="preserve">the dose variations between the biodegradation and toxicity test procedures </w:t>
      </w:r>
      <w:r w:rsidR="007352DF" w:rsidRPr="00783958">
        <w:rPr>
          <w:sz w:val="24"/>
        </w:rPr>
        <w:t>means</w:t>
      </w:r>
      <w:r w:rsidR="00342775" w:rsidRPr="00783958">
        <w:rPr>
          <w:sz w:val="24"/>
        </w:rPr>
        <w:t xml:space="preserve"> </w:t>
      </w:r>
      <w:r w:rsidR="009A7D9D" w:rsidRPr="00783958">
        <w:rPr>
          <w:sz w:val="24"/>
        </w:rPr>
        <w:t xml:space="preserve">quantitative comparison of </w:t>
      </w:r>
      <w:r w:rsidR="00CD7558" w:rsidRPr="00783958">
        <w:rPr>
          <w:sz w:val="24"/>
        </w:rPr>
        <w:t xml:space="preserve">the effect of </w:t>
      </w:r>
      <w:r w:rsidR="009A7D9D" w:rsidRPr="00783958">
        <w:rPr>
          <w:sz w:val="24"/>
        </w:rPr>
        <w:t xml:space="preserve">alkyl chain length </w:t>
      </w:r>
      <w:r w:rsidR="00593603">
        <w:rPr>
          <w:sz w:val="24"/>
        </w:rPr>
        <w:t>i</w:t>
      </w:r>
      <w:r w:rsidR="00593603" w:rsidRPr="00783958">
        <w:rPr>
          <w:sz w:val="24"/>
        </w:rPr>
        <w:t xml:space="preserve">s </w:t>
      </w:r>
      <w:r w:rsidR="007352DF" w:rsidRPr="00783958">
        <w:rPr>
          <w:sz w:val="24"/>
        </w:rPr>
        <w:t xml:space="preserve">not </w:t>
      </w:r>
      <w:r w:rsidR="009A7D9D" w:rsidRPr="00783958">
        <w:rPr>
          <w:sz w:val="24"/>
        </w:rPr>
        <w:t xml:space="preserve">possible. </w:t>
      </w:r>
      <w:r w:rsidR="00D900EB" w:rsidRPr="00783958">
        <w:rPr>
          <w:sz w:val="24"/>
        </w:rPr>
        <w:t xml:space="preserve">A recent article has brought into question the benign aspects of Choline ILs, </w:t>
      </w:r>
      <w:r w:rsidR="00355E65" w:rsidRPr="00783958">
        <w:rPr>
          <w:sz w:val="24"/>
        </w:rPr>
        <w:t xml:space="preserve">where </w:t>
      </w:r>
      <w:r w:rsidR="00D900EB" w:rsidRPr="00783958">
        <w:rPr>
          <w:sz w:val="24"/>
        </w:rPr>
        <w:t xml:space="preserve">a number of ILs </w:t>
      </w:r>
      <w:r w:rsidR="00355E65" w:rsidRPr="00783958">
        <w:rPr>
          <w:sz w:val="24"/>
        </w:rPr>
        <w:t xml:space="preserve">containing the </w:t>
      </w:r>
      <w:r w:rsidR="00D900EB" w:rsidRPr="00783958">
        <w:rPr>
          <w:sz w:val="24"/>
        </w:rPr>
        <w:t xml:space="preserve">choline cation </w:t>
      </w:r>
      <w:r w:rsidR="00355E65" w:rsidRPr="00783958">
        <w:rPr>
          <w:sz w:val="24"/>
        </w:rPr>
        <w:t xml:space="preserve">where shown </w:t>
      </w:r>
      <w:r w:rsidR="00510709" w:rsidRPr="00783958">
        <w:rPr>
          <w:sz w:val="24"/>
          <w:szCs w:val="20"/>
        </w:rPr>
        <w:t>to exhibit</w:t>
      </w:r>
      <w:r w:rsidR="00D900EB" w:rsidRPr="00783958">
        <w:rPr>
          <w:sz w:val="24"/>
          <w:szCs w:val="20"/>
        </w:rPr>
        <w:t xml:space="preserve"> greater toxicities than molecular </w:t>
      </w:r>
      <w:r w:rsidR="00D900EB" w:rsidRPr="00783958">
        <w:rPr>
          <w:sz w:val="24"/>
          <w:szCs w:val="20"/>
        </w:rPr>
        <w:lastRenderedPageBreak/>
        <w:t>solvents</w:t>
      </w:r>
      <w:r w:rsidR="00DF10A9" w:rsidRPr="00783958">
        <w:rPr>
          <w:sz w:val="24"/>
          <w:szCs w:val="20"/>
        </w:rPr>
        <w:t xml:space="preserve"> </w:t>
      </w:r>
      <w:r w:rsidR="0045714F" w:rsidRPr="00783958">
        <w:rPr>
          <w:sz w:val="24"/>
          <w:szCs w:val="20"/>
        </w:rPr>
        <w:fldChar w:fldCharType="begin" w:fldLock="1"/>
      </w:r>
      <w:r w:rsidR="009012E7" w:rsidRPr="00783958">
        <w:rPr>
          <w:sz w:val="24"/>
          <w:szCs w:val="20"/>
        </w:rPr>
        <w:instrText>ADDIN CSL_CITATION { "citationItems" : [ { "id" : "ITEM-1", "itemData" : { "DOI" : "10.1039/C5GC01129A", "ISBN" : "1463-9262", "ISSN" : "1463-9262", "abstract" : "Ionic liquids (ILs) are innovative solvents that can be tuned for their specific application through the selection, or functionalization, of the cation and the anion. Although the cation has been assumed as the main driver of toxicity, the importance of the anion must not be underestimated. This study considers a series of cholinium based ILs aiming at assessing the effects of the functionalization of the cation and the anion on their ecotoxicity. These effects were assessed using three biological models, the microalgae Raphidocelis subcapitata, the macrophyte Lemna minor and the cladoceran Daphnia magna, representing aquatic ecosystems, a major putative recipient of ILs due to their high water solubility. Since the toxicity trends fluctuated depending on the biological model, the results were integrated with previous data through a species sensitivity distribution approach in an attempt to provide a useful safety variable for the design of eco-friendlier ILs. The results reported here challenge some heuristic rules previously proposed for the design of ILs, in particular in what concerns the side-chain effect for the cholinium ILs, and the notion that cholinium-based ILs are inherently safe and less environmentally hazardous than most conventional solvents. Moreover, it was confirmed that structural changes in the ILs promote differences in toxicity highlighting the importance of the role of the anion in their toxicity. Different biological systems yielded different toxicity trends across the IL series tested, also distinct from previous data retrieved with the bacteria V. fischeri; such a novel integration effort challenges the suitability of establishing structure-ecotoxicity relationships for cholinium-based IL design. Overall, this study reinforces the need to perform complete ecotoxicological characterisation before assuming ILs as suitable, environmentally compatible, alternative solvents. \u00a9 The Royal Society of Chemistry.", "author" : [ { "dropping-particle" : "", "family" : "Santos", "given" : "J.I.a I.", "non-dropping-particle" : "", "parse-names" : false, "suffix" : "" }, { "dropping-particle" : "", "family" : "Gon\u00e7alves", "given" : "A. M. M.", "non-dropping-particle" : "", "parse-names" : false, "suffix" : "" }, { "dropping-particle" : "", "family" : "Pereira", "given" : "J.L.a L.", "non-dropping-particle" : "", "parse-names" : false, "suffix" : "" }, { "dropping-particle" : "", "family" : "Figueiredo", "given" : "B. F. H. T.", "non-dropping-particle" : "", "parse-names" : false, "suffix" : "" }, { "dropping-particle" : "", "family" : "e Silva", "given" : "F. A.", "non-dropping-particle" : "", "parse-names" : false, "suffix" : "" }, { "dropping-particle" : "", "family" : "Coutinho", "given" : "J. A. P.", "non-dropping-particle" : "", "parse-names" : false, "suffix" : "" }, { "dropping-particle" : "", "family" : "Ventura", "given" : "S. P. M.", "non-dropping-particle" : "", "parse-names" : false, "suffix" : "" }, { "dropping-particle" : "", "family" : "Gon\u00e7alves", "given" : "F.", "non-dropping-particle" : "", "parse-names" : false, "suffix" : "" } ], "container-title" : "Green Chem.", "id" : "ITEM-1", "issue" : "9", "issued" : { "date-parts" : [ [ "2015" ] ] }, "page" : "4657-4668", "publisher" : "Royal Society of Chemistry", "title" : "Environmental safety of cholinium-based ionic liquids: assessing structure\u2013ecotoxicity relationships", "type" : "article-journal", "volume" : "17" }, "uris" : [ "http://www.mendeley.com/documents/?uuid=91ef41bd-172d-456f-a961-5725beead560" ] } ], "mendeley" : { "formattedCitation" : "(Santos et al., 2015)", "plainTextFormattedCitation" : "(Santos et al., 2015)", "previouslyFormattedCitation" : "(Santos et al., 2015)" }, "properties" : { "noteIndex" : 0 }, "schema" : "https://github.com/citation-style-language/schema/raw/master/csl-citation.json" }</w:instrText>
      </w:r>
      <w:r w:rsidR="0045714F" w:rsidRPr="00783958">
        <w:rPr>
          <w:sz w:val="24"/>
          <w:szCs w:val="20"/>
        </w:rPr>
        <w:fldChar w:fldCharType="separate"/>
      </w:r>
      <w:r w:rsidR="001D7427" w:rsidRPr="00783958">
        <w:rPr>
          <w:noProof/>
          <w:sz w:val="24"/>
          <w:szCs w:val="20"/>
        </w:rPr>
        <w:t>(Santos et al., 2015)</w:t>
      </w:r>
      <w:r w:rsidR="0045714F" w:rsidRPr="00783958">
        <w:rPr>
          <w:sz w:val="24"/>
          <w:szCs w:val="20"/>
        </w:rPr>
        <w:fldChar w:fldCharType="end"/>
      </w:r>
      <w:r w:rsidR="00CD7558" w:rsidRPr="00783958">
        <w:rPr>
          <w:sz w:val="24"/>
          <w:szCs w:val="20"/>
        </w:rPr>
        <w:t>.</w:t>
      </w:r>
      <w:r w:rsidR="00B60AE9" w:rsidRPr="00783958">
        <w:rPr>
          <w:sz w:val="24"/>
          <w:szCs w:val="20"/>
        </w:rPr>
        <w:t xml:space="preserve"> The same study also </w:t>
      </w:r>
      <w:r w:rsidR="00355E65" w:rsidRPr="00783958">
        <w:rPr>
          <w:sz w:val="24"/>
          <w:szCs w:val="20"/>
        </w:rPr>
        <w:t xml:space="preserve">questions the suitability of using </w:t>
      </w:r>
      <w:r w:rsidR="00B60AE9" w:rsidRPr="00783958">
        <w:rPr>
          <w:sz w:val="24"/>
          <w:szCs w:val="20"/>
        </w:rPr>
        <w:t>the conclusions drawn from the results of single tests to define potential ecological hazard</w:t>
      </w:r>
      <w:r w:rsidR="00137A4A" w:rsidRPr="00783958">
        <w:rPr>
          <w:sz w:val="24"/>
          <w:szCs w:val="20"/>
        </w:rPr>
        <w:t>s</w:t>
      </w:r>
      <w:r w:rsidR="00C95E8E" w:rsidRPr="00783958">
        <w:rPr>
          <w:sz w:val="24"/>
          <w:szCs w:val="20"/>
        </w:rPr>
        <w:t>,</w:t>
      </w:r>
      <w:r w:rsidR="00B60AE9" w:rsidRPr="00783958">
        <w:rPr>
          <w:sz w:val="24"/>
          <w:szCs w:val="20"/>
        </w:rPr>
        <w:t xml:space="preserve"> </w:t>
      </w:r>
      <w:r w:rsidR="00510709" w:rsidRPr="00783958">
        <w:rPr>
          <w:sz w:val="24"/>
          <w:szCs w:val="20"/>
        </w:rPr>
        <w:t>and cautions</w:t>
      </w:r>
      <w:r w:rsidR="00137A4A" w:rsidRPr="00783958">
        <w:rPr>
          <w:sz w:val="24"/>
          <w:szCs w:val="20"/>
        </w:rPr>
        <w:t xml:space="preserve"> the use of</w:t>
      </w:r>
      <w:r w:rsidR="002A7C2C" w:rsidRPr="00783958">
        <w:rPr>
          <w:sz w:val="24"/>
          <w:szCs w:val="20"/>
        </w:rPr>
        <w:t xml:space="preserve"> quantitative structure activity relationships</w:t>
      </w:r>
      <w:r w:rsidR="00137A4A" w:rsidRPr="00783958">
        <w:rPr>
          <w:sz w:val="24"/>
          <w:szCs w:val="20"/>
        </w:rPr>
        <w:t xml:space="preserve"> </w:t>
      </w:r>
      <w:r w:rsidR="002A7C2C" w:rsidRPr="00783958">
        <w:rPr>
          <w:sz w:val="24"/>
          <w:szCs w:val="20"/>
        </w:rPr>
        <w:t>(</w:t>
      </w:r>
      <w:r w:rsidR="00B60AE9" w:rsidRPr="00783958">
        <w:rPr>
          <w:sz w:val="24"/>
          <w:szCs w:val="20"/>
        </w:rPr>
        <w:t>QSAR</w:t>
      </w:r>
      <w:r w:rsidR="002A7C2C" w:rsidRPr="00783958">
        <w:rPr>
          <w:sz w:val="24"/>
          <w:szCs w:val="20"/>
        </w:rPr>
        <w:t>s)</w:t>
      </w:r>
      <w:r w:rsidR="00B60AE9" w:rsidRPr="00783958">
        <w:rPr>
          <w:sz w:val="24"/>
          <w:szCs w:val="20"/>
        </w:rPr>
        <w:t xml:space="preserve"> </w:t>
      </w:r>
      <w:r w:rsidR="00137A4A" w:rsidRPr="00783958">
        <w:rPr>
          <w:sz w:val="24"/>
          <w:szCs w:val="20"/>
        </w:rPr>
        <w:t>with IL</w:t>
      </w:r>
      <w:r w:rsidR="00B60AE9" w:rsidRPr="00783958">
        <w:rPr>
          <w:sz w:val="24"/>
          <w:szCs w:val="20"/>
        </w:rPr>
        <w:t xml:space="preserve"> toxicity</w:t>
      </w:r>
      <w:r w:rsidR="00137A4A" w:rsidRPr="00783958">
        <w:rPr>
          <w:sz w:val="24"/>
          <w:szCs w:val="20"/>
        </w:rPr>
        <w:t>.</w:t>
      </w:r>
      <w:r w:rsidR="00B60AE9" w:rsidRPr="00783958">
        <w:rPr>
          <w:sz w:val="24"/>
          <w:szCs w:val="20"/>
        </w:rPr>
        <w:t xml:space="preserve"> </w:t>
      </w:r>
    </w:p>
    <w:p w14:paraId="778AD82E" w14:textId="1E27B73C" w:rsidR="00B704A7" w:rsidRPr="00783958" w:rsidRDefault="00FD1F78" w:rsidP="00B63501">
      <w:pPr>
        <w:spacing w:line="480" w:lineRule="auto"/>
        <w:jc w:val="both"/>
        <w:rPr>
          <w:sz w:val="24"/>
          <w:szCs w:val="20"/>
        </w:rPr>
      </w:pPr>
      <w:r w:rsidRPr="00783958">
        <w:rPr>
          <w:sz w:val="24"/>
          <w:szCs w:val="20"/>
        </w:rPr>
        <w:t xml:space="preserve">As for PILs, cation structures vary between primary, secondary and tertiary ammonium cations typically with either alkyl or hydroxyl functional groups. </w:t>
      </w:r>
      <w:r w:rsidR="00765D9A" w:rsidRPr="00783958">
        <w:rPr>
          <w:sz w:val="24"/>
          <w:szCs w:val="20"/>
        </w:rPr>
        <w:t xml:space="preserve">While there </w:t>
      </w:r>
      <w:r w:rsidR="006627FE" w:rsidRPr="00783958">
        <w:rPr>
          <w:sz w:val="24"/>
          <w:szCs w:val="20"/>
        </w:rPr>
        <w:t xml:space="preserve">was </w:t>
      </w:r>
      <w:r w:rsidR="00765D9A" w:rsidRPr="00783958">
        <w:rPr>
          <w:sz w:val="24"/>
          <w:szCs w:val="20"/>
        </w:rPr>
        <w:t>a wide selection of anions paired with aprotic cations</w:t>
      </w:r>
      <w:r w:rsidR="00DC48CD" w:rsidRPr="00783958">
        <w:rPr>
          <w:sz w:val="24"/>
          <w:szCs w:val="20"/>
        </w:rPr>
        <w:t xml:space="preserve"> in these studies</w:t>
      </w:r>
      <w:r w:rsidR="00CD7558" w:rsidRPr="00783958">
        <w:rPr>
          <w:sz w:val="24"/>
          <w:szCs w:val="20"/>
        </w:rPr>
        <w:t xml:space="preserve"> </w:t>
      </w:r>
      <w:r w:rsidR="0045714F" w:rsidRPr="00783958">
        <w:rPr>
          <w:sz w:val="24"/>
          <w:szCs w:val="20"/>
        </w:rPr>
        <w:fldChar w:fldCharType="begin" w:fldLock="1"/>
      </w:r>
      <w:r w:rsidR="009012E7" w:rsidRPr="00783958">
        <w:rPr>
          <w:sz w:val="24"/>
          <w:szCs w:val="20"/>
        </w:rPr>
        <w:instrText>ADDIN CSL_CITATION { "citationItems" : [ { "id" : "ITEM-1", "itemData" : { "DOI" : "10.1039/b823225c", "ISBN" : "1463-9262", "ISSN" : "1463-9262", "abstract" : "In this work, the toxicol. assessment towards filamentous fungi (Penicillium sp.) as model eukaryotic organisms of sixteen ionic liqs. (contg. an imidazolium, pyridinium, or cholinium cation) is presented. Amongst these fungi are members which show much higher tolerance towards ionic liqs. than any other microorganism so far studied. Furthermore, guided by the paradigm that the choice of an ionic liq. as catalyst can alter the outcome of a given chem. reaction, the ability of ionic liqs. to alter the metabolic profile in fungi was studied. The metabolic footprint, as investigated by electrospray ionisation mass spectrometry, revealed that fungal cultures respond to specific ionic liqs. by changing their cell biochem., resulting in an altered pattern of secondary metabolites. [on SciFinder(R)]", "author" : [ { "dropping-particle" : "", "family" : "Petkovic", "given" : "M.", "non-dropping-particle" : "", "parse-names" : false, "suffix" : "" }, { "dropping-particle" : "", "family" : "Ferguson", "given" : "J.", "non-dropping-particle" : "", "parse-names" : false, "suffix" : "" }, { "dropping-particle" : "", "family" : "Bohn", "given" : "A.", "non-dropping-particle" : "", "parse-names" : false, "suffix" : "" }, { "dropping-particle" : "", "family" : "Trindade", "given" : "J.", "non-dropping-particle" : "", "parse-names" : false, "suffix" : "" }, { "dropping-particle" : "", "family" : "Martins", "given" : "I.", "non-dropping-particle" : "", "parse-names" : false, "suffix" : "" }, { "dropping-particle" : "", "family" : "Carvalho", "given" : "M. B.", "non-dropping-particle" : "", "parse-names" : false, "suffix" : "" }, { "dropping-particle" : "", "family" : "Leit\u00e3o", "given" : "M. C.", "non-dropping-particle" : "", "parse-names" : false, "suffix" : "" }, { "dropping-particle" : "", "family" : "Rodrigues", "given" : "C.", "non-dropping-particle" : "", "parse-names" : false, "suffix" : "" }, { "dropping-particle" : "", "family" : "Garcia", "given" : "H.", "non-dropping-particle" : "", "parse-names" : false, "suffix" : "" }, { "dropping-particle" : "", "family" : "Ferreira", "given" : "R.", "non-dropping-particle" : "", "parse-names" : false, "suffix" : "" }, { "dropping-particle" : "", "family" : "Seddon", "given" : "K. R.", "non-dropping-particle" : "", "parse-names" : false, "suffix" : "" }, { "dropping-particle" : "", "family" : "Rebelo", "given" : "L. P. N.", "non-dropping-particle" : "", "parse-names" : false, "suffix" : "" }, { "dropping-particle" : "", "family" : "Silva Pereira", "given" : "C.", "non-dropping-particle" : "", "parse-names" : false, "suffix" : "" } ], "container-title" : "Green Chemistry", "id" : "ITEM-1", "issue" : "6", "issued" : { "date-parts" : [ [ "2009" ] ] }, "page" : "889", "title" : "Exploring fungal activity in the presence of ionic liquids", "type" : "article-journal", "volume" : "11" }, "uris" : [ "http://www.mendeley.com/documents/?uuid=dc0b3255-a52e-4a76-9680-be46f9808797" ] } ], "mendeley" : { "formattedCitation" : "(Petkovic et al., 2009)", "plainTextFormattedCitation" : "(Petkovic et al., 2009)", "previouslyFormattedCitation" : "(Petkovic et al., 2009)" }, "properties" : { "noteIndex" : 0 }, "schema" : "https://github.com/citation-style-language/schema/raw/master/csl-citation.json" }</w:instrText>
      </w:r>
      <w:r w:rsidR="0045714F" w:rsidRPr="00783958">
        <w:rPr>
          <w:sz w:val="24"/>
          <w:szCs w:val="20"/>
        </w:rPr>
        <w:fldChar w:fldCharType="separate"/>
      </w:r>
      <w:r w:rsidR="001D7427" w:rsidRPr="00783958">
        <w:rPr>
          <w:noProof/>
          <w:sz w:val="24"/>
          <w:szCs w:val="20"/>
        </w:rPr>
        <w:t>(Petkovic et al., 2009)</w:t>
      </w:r>
      <w:r w:rsidR="0045714F" w:rsidRPr="00783958">
        <w:rPr>
          <w:sz w:val="24"/>
          <w:szCs w:val="20"/>
        </w:rPr>
        <w:fldChar w:fldCharType="end"/>
      </w:r>
      <w:r w:rsidR="00CD7558" w:rsidRPr="00783958">
        <w:rPr>
          <w:sz w:val="24"/>
          <w:szCs w:val="20"/>
        </w:rPr>
        <w:t>,</w:t>
      </w:r>
      <w:r w:rsidR="00765D9A" w:rsidRPr="00783958">
        <w:rPr>
          <w:sz w:val="24"/>
          <w:szCs w:val="20"/>
        </w:rPr>
        <w:t xml:space="preserve"> typically only carboxylate anions </w:t>
      </w:r>
      <w:r w:rsidR="006627FE" w:rsidRPr="00783958">
        <w:rPr>
          <w:sz w:val="24"/>
          <w:szCs w:val="20"/>
        </w:rPr>
        <w:t>we</w:t>
      </w:r>
      <w:r w:rsidR="00765D9A" w:rsidRPr="00783958">
        <w:rPr>
          <w:sz w:val="24"/>
          <w:szCs w:val="20"/>
        </w:rPr>
        <w:t>re paired with protic cations</w:t>
      </w:r>
      <w:r w:rsidR="0072461D">
        <w:rPr>
          <w:sz w:val="24"/>
          <w:szCs w:val="20"/>
        </w:rPr>
        <w:t xml:space="preserve"> for the study of PILs</w:t>
      </w:r>
      <w:r w:rsidR="00765D9A" w:rsidRPr="00783958">
        <w:rPr>
          <w:sz w:val="24"/>
          <w:szCs w:val="20"/>
        </w:rPr>
        <w:t>.</w:t>
      </w:r>
      <w:r w:rsidR="0008295B" w:rsidRPr="00783958">
        <w:rPr>
          <w:sz w:val="24"/>
          <w:szCs w:val="20"/>
        </w:rPr>
        <w:t xml:space="preserve"> Numerous different </w:t>
      </w:r>
      <w:r w:rsidR="00CD7558" w:rsidRPr="00783958">
        <w:rPr>
          <w:sz w:val="24"/>
          <w:szCs w:val="20"/>
        </w:rPr>
        <w:t xml:space="preserve">procedures for </w:t>
      </w:r>
      <w:r w:rsidR="0039141B" w:rsidRPr="00783958">
        <w:rPr>
          <w:sz w:val="24"/>
          <w:szCs w:val="20"/>
        </w:rPr>
        <w:t>screening the</w:t>
      </w:r>
      <w:r w:rsidR="0008295B" w:rsidRPr="00783958">
        <w:rPr>
          <w:sz w:val="24"/>
          <w:szCs w:val="20"/>
        </w:rPr>
        <w:t xml:space="preserve"> </w:t>
      </w:r>
      <w:r w:rsidR="000A41D9" w:rsidRPr="00783958">
        <w:rPr>
          <w:sz w:val="24"/>
          <w:szCs w:val="20"/>
        </w:rPr>
        <w:t xml:space="preserve">microbial </w:t>
      </w:r>
      <w:r w:rsidR="0008295B" w:rsidRPr="00783958">
        <w:rPr>
          <w:sz w:val="24"/>
          <w:szCs w:val="20"/>
        </w:rPr>
        <w:t>toxicity of ammonium PILs have been undertaken in recent years</w:t>
      </w:r>
      <w:r w:rsidR="0072461D">
        <w:rPr>
          <w:sz w:val="24"/>
          <w:szCs w:val="20"/>
        </w:rPr>
        <w:t xml:space="preserve"> (v</w:t>
      </w:r>
      <w:r w:rsidR="0072461D" w:rsidRPr="002348B8">
        <w:rPr>
          <w:sz w:val="24"/>
          <w:szCs w:val="20"/>
        </w:rPr>
        <w:t>ide infra</w:t>
      </w:r>
      <w:r w:rsidR="0072461D">
        <w:rPr>
          <w:sz w:val="24"/>
          <w:szCs w:val="20"/>
        </w:rPr>
        <w:t>)</w:t>
      </w:r>
      <w:r w:rsidR="0008295B" w:rsidRPr="00783958">
        <w:rPr>
          <w:sz w:val="24"/>
          <w:szCs w:val="20"/>
        </w:rPr>
        <w:t>.</w:t>
      </w:r>
    </w:p>
    <w:p w14:paraId="156B57EA" w14:textId="74AD490B" w:rsidR="00B704A7" w:rsidRPr="00783958" w:rsidRDefault="009A7D9D" w:rsidP="00705019">
      <w:pPr>
        <w:spacing w:line="480" w:lineRule="auto"/>
        <w:jc w:val="both"/>
        <w:rPr>
          <w:sz w:val="24"/>
          <w:szCs w:val="20"/>
        </w:rPr>
      </w:pPr>
      <w:r w:rsidRPr="00783958">
        <w:rPr>
          <w:sz w:val="24"/>
          <w:szCs w:val="20"/>
        </w:rPr>
        <w:t xml:space="preserve">Eight PILs featuring either formate or acetate anions paired with primary, secondary or tertiary ammonium cations with 2-hydroxyethyl functional groups were screened for antimicrobial </w:t>
      </w:r>
      <w:r w:rsidR="00DC48CD" w:rsidRPr="00783958">
        <w:rPr>
          <w:sz w:val="24"/>
          <w:szCs w:val="20"/>
        </w:rPr>
        <w:t>activity</w:t>
      </w:r>
      <w:r w:rsidR="00956436" w:rsidRPr="00783958">
        <w:rPr>
          <w:sz w:val="24"/>
          <w:szCs w:val="20"/>
        </w:rPr>
        <w:t xml:space="preserve"> based on the well diffusion method</w:t>
      </w:r>
      <w:r w:rsidR="0039141B" w:rsidRPr="00783958">
        <w:rPr>
          <w:sz w:val="24"/>
          <w:szCs w:val="20"/>
        </w:rPr>
        <w:t xml:space="preserve"> </w:t>
      </w:r>
      <w:r w:rsidR="00686E57" w:rsidRPr="00783958">
        <w:rPr>
          <w:sz w:val="24"/>
          <w:szCs w:val="20"/>
        </w:rPr>
        <w:fldChar w:fldCharType="begin" w:fldLock="1"/>
      </w:r>
      <w:r w:rsidR="009012E7" w:rsidRPr="00783958">
        <w:rPr>
          <w:sz w:val="24"/>
          <w:szCs w:val="20"/>
        </w:rPr>
        <w:instrText>ADDIN CSL_CITATION { "citationItems" : [ { "id" : "ITEM-1", "itemData" : { "DOI" : "10.1016/j.chemosphere.2011.02.048", "ISSN" : "00456535", "PMID" : "21421256", "abstract" : "Eight hydroxylammonium-based room temperature ionic liquids (ILs) have been synthesized by acid-base neutralization of ethanolamines with organic acids. The ILs were characterized by infrared and nuclear magnetic resonance spectroscopies and elemental analysis. Their anti-microbial activities were determined using the well-diffusion method. All eight ILs were toxic to Staphylococcus aureus, while 2-hydroxyethylammonium lactate and 2-hydroxy-N-(2-hydroxyethyl)-N-methylethanaminium acetate showed high anti-microbial activity against a wide range of human pathogens. ?? 2011.", "author" : [ { "dropping-particle" : "", "family" : "Ismail Hossain", "given" : "M.", "non-dropping-particle" : "", "parse-names" : false, "suffix" : "" }, { "dropping-particle" : "", "family" : "El-Harbawi", "given" : "Mohanad", "non-dropping-particle" : "", "parse-names" : false, "suffix" : "" }, { "dropping-particle" : "", "family" : "Noaman", "given" : "Yousr Abdulhadi", "non-dropping-particle" : "", "parse-names" : false, "suffix" : "" }, { "dropping-particle" : "", "family" : "Bustam", "given" : "Mohd Azmi B", "non-dropping-particle" : "", "parse-names" : false, "suffix" : "" }, { "dropping-particle" : "", "family" : "Alitheen", "given" : "Noorjahan Banu Mohamed", "non-dropping-particle" : "", "parse-names" : false, "suffix" : "" }, { "dropping-particle" : "", "family" : "Affandi", "given" : "Nor Azrin", "non-dropping-particle" : "", "parse-names" : false, "suffix" : "" }, { "dropping-particle" : "", "family" : "Hefter", "given" : "Glenn", "non-dropping-particle" : "", "parse-names" : false, "suffix" : "" }, { "dropping-particle" : "", "family" : "Yin", "given" : "Chun Yang", "non-dropping-particle" : "", "parse-names" : false, "suffix" : "" } ], "container-title" : "Chemosphere", "id" : "ITEM-1", "issue" : "1", "issued" : { "date-parts" : [ [ "2011" ] ] }, "page" : "101-104", "publisher" : "Elsevier Ltd", "title" : "Synthesis and anti-microbial activity of hydroxylammonium ionic liquids", "type" : "article-journal", "volume" : "84" }, "uris" : [ "http://www.mendeley.com/documents/?uuid=9b2b7108-6915-4113-8ca9-791217425e15" ] } ], "mendeley" : { "formattedCitation" : "(Ismail Hossain et al., 2011)", "plainTextFormattedCitation" : "(Ismail Hossain et al., 2011)", "previouslyFormattedCitation" : "(Ismail Hossain et al., 2011)" }, "properties" : { "noteIndex" : 0 }, "schema" : "https://github.com/citation-style-language/schema/raw/master/csl-citation.json" }</w:instrText>
      </w:r>
      <w:r w:rsidR="00686E57" w:rsidRPr="00783958">
        <w:rPr>
          <w:sz w:val="24"/>
          <w:szCs w:val="20"/>
        </w:rPr>
        <w:fldChar w:fldCharType="separate"/>
      </w:r>
      <w:r w:rsidR="001D7427" w:rsidRPr="00783958">
        <w:rPr>
          <w:noProof/>
          <w:sz w:val="24"/>
          <w:szCs w:val="20"/>
        </w:rPr>
        <w:t>(Ismail Hossain et al., 2011)</w:t>
      </w:r>
      <w:r w:rsidR="00686E57" w:rsidRPr="00783958">
        <w:rPr>
          <w:sz w:val="24"/>
          <w:szCs w:val="20"/>
        </w:rPr>
        <w:fldChar w:fldCharType="end"/>
      </w:r>
      <w:r w:rsidR="0039141B" w:rsidRPr="00783958">
        <w:rPr>
          <w:sz w:val="24"/>
          <w:szCs w:val="20"/>
        </w:rPr>
        <w:t>.</w:t>
      </w:r>
      <w:r w:rsidR="00884755" w:rsidRPr="00783958">
        <w:rPr>
          <w:sz w:val="24"/>
          <w:szCs w:val="20"/>
        </w:rPr>
        <w:t xml:space="preserve"> </w:t>
      </w:r>
      <w:r w:rsidRPr="00783958">
        <w:rPr>
          <w:sz w:val="24"/>
          <w:szCs w:val="20"/>
        </w:rPr>
        <w:t xml:space="preserve">All eight PILs from this study </w:t>
      </w:r>
      <w:r w:rsidR="00DC48CD" w:rsidRPr="00783958">
        <w:rPr>
          <w:sz w:val="24"/>
          <w:szCs w:val="20"/>
        </w:rPr>
        <w:t xml:space="preserve">displayed </w:t>
      </w:r>
      <w:r w:rsidRPr="00783958">
        <w:rPr>
          <w:sz w:val="24"/>
          <w:szCs w:val="20"/>
        </w:rPr>
        <w:t>some degree of antimicrobial behaviour</w:t>
      </w:r>
      <w:r w:rsidR="00DD1726" w:rsidRPr="00783958">
        <w:rPr>
          <w:sz w:val="24"/>
          <w:szCs w:val="20"/>
        </w:rPr>
        <w:t>,</w:t>
      </w:r>
      <w:r w:rsidRPr="00783958">
        <w:rPr>
          <w:sz w:val="24"/>
          <w:szCs w:val="20"/>
        </w:rPr>
        <w:t xml:space="preserve"> in particular with the </w:t>
      </w:r>
      <w:r w:rsidRPr="00783958">
        <w:rPr>
          <w:i/>
          <w:sz w:val="24"/>
          <w:szCs w:val="20"/>
        </w:rPr>
        <w:t>Staphylococcus aureus</w:t>
      </w:r>
      <w:r w:rsidRPr="00783958">
        <w:rPr>
          <w:sz w:val="24"/>
          <w:szCs w:val="20"/>
        </w:rPr>
        <w:t xml:space="preserve"> </w:t>
      </w:r>
      <w:r w:rsidR="00884755" w:rsidRPr="00783958">
        <w:rPr>
          <w:sz w:val="24"/>
          <w:szCs w:val="20"/>
        </w:rPr>
        <w:t>strain;</w:t>
      </w:r>
      <w:r w:rsidR="00DD1726" w:rsidRPr="00783958">
        <w:rPr>
          <w:sz w:val="24"/>
          <w:szCs w:val="20"/>
        </w:rPr>
        <w:t xml:space="preserve"> however</w:t>
      </w:r>
      <w:r w:rsidR="00884755" w:rsidRPr="00783958">
        <w:rPr>
          <w:sz w:val="24"/>
          <w:szCs w:val="20"/>
        </w:rPr>
        <w:t>,</w:t>
      </w:r>
      <w:r w:rsidRPr="00783958">
        <w:rPr>
          <w:sz w:val="24"/>
          <w:szCs w:val="20"/>
        </w:rPr>
        <w:t xml:space="preserve"> all showed either equal or </w:t>
      </w:r>
      <w:r w:rsidR="00DC48CD" w:rsidRPr="00783958">
        <w:rPr>
          <w:sz w:val="24"/>
          <w:szCs w:val="20"/>
        </w:rPr>
        <w:t xml:space="preserve">less </w:t>
      </w:r>
      <w:r w:rsidR="00DD1726" w:rsidRPr="00783958">
        <w:rPr>
          <w:sz w:val="24"/>
          <w:szCs w:val="20"/>
        </w:rPr>
        <w:t>inhibition than</w:t>
      </w:r>
      <w:r w:rsidRPr="00783958">
        <w:rPr>
          <w:sz w:val="24"/>
          <w:szCs w:val="20"/>
        </w:rPr>
        <w:t xml:space="preserve"> the control antibiotic Gentamicin. Around the same time, a separate study </w:t>
      </w:r>
      <w:r w:rsidR="00DC48CD" w:rsidRPr="00783958">
        <w:rPr>
          <w:sz w:val="24"/>
          <w:szCs w:val="20"/>
        </w:rPr>
        <w:t xml:space="preserve">investigated </w:t>
      </w:r>
      <w:r w:rsidRPr="00783958">
        <w:rPr>
          <w:sz w:val="24"/>
          <w:szCs w:val="20"/>
        </w:rPr>
        <w:t xml:space="preserve">the antimicrobial activity of seven PILs, including </w:t>
      </w:r>
      <w:r w:rsidR="00DC48CD" w:rsidRPr="00783958">
        <w:rPr>
          <w:sz w:val="24"/>
          <w:szCs w:val="20"/>
        </w:rPr>
        <w:t>three</w:t>
      </w:r>
      <w:r w:rsidRPr="00783958">
        <w:rPr>
          <w:sz w:val="24"/>
          <w:szCs w:val="20"/>
        </w:rPr>
        <w:t xml:space="preserve"> from the previously mentioned study, with </w:t>
      </w:r>
      <w:r w:rsidRPr="00783958">
        <w:rPr>
          <w:i/>
          <w:sz w:val="24"/>
          <w:szCs w:val="20"/>
        </w:rPr>
        <w:t>S</w:t>
      </w:r>
      <w:r w:rsidR="0024712D" w:rsidRPr="00783958">
        <w:rPr>
          <w:i/>
          <w:sz w:val="24"/>
          <w:szCs w:val="20"/>
        </w:rPr>
        <w:t>.</w:t>
      </w:r>
      <w:r w:rsidRPr="00783958">
        <w:rPr>
          <w:i/>
          <w:sz w:val="24"/>
          <w:szCs w:val="20"/>
        </w:rPr>
        <w:t xml:space="preserve"> aureus </w:t>
      </w:r>
      <w:r w:rsidRPr="00783958">
        <w:rPr>
          <w:sz w:val="24"/>
          <w:szCs w:val="20"/>
        </w:rPr>
        <w:t xml:space="preserve">and </w:t>
      </w:r>
      <w:r w:rsidRPr="00783958">
        <w:rPr>
          <w:i/>
          <w:sz w:val="24"/>
          <w:szCs w:val="20"/>
        </w:rPr>
        <w:t>Escherichia coli</w:t>
      </w:r>
      <w:r w:rsidRPr="00783958">
        <w:rPr>
          <w:sz w:val="24"/>
          <w:szCs w:val="20"/>
        </w:rPr>
        <w:t>.</w:t>
      </w:r>
      <w:r w:rsidR="00956436" w:rsidRPr="00783958">
        <w:rPr>
          <w:rStyle w:val="EndnoteReference"/>
          <w:sz w:val="24"/>
          <w:szCs w:val="20"/>
        </w:rPr>
        <w:t xml:space="preserve"> </w:t>
      </w:r>
      <w:r w:rsidR="00686E57" w:rsidRPr="00783958">
        <w:rPr>
          <w:sz w:val="24"/>
          <w:szCs w:val="20"/>
        </w:rPr>
        <w:fldChar w:fldCharType="begin" w:fldLock="1"/>
      </w:r>
      <w:r w:rsidR="009012E7" w:rsidRPr="00783958">
        <w:rPr>
          <w:sz w:val="24"/>
          <w:szCs w:val="20"/>
        </w:rPr>
        <w:instrText>ADDIN CSL_CITATION { "citationItems" : [ { "id" : "ITEM-1", "itemData" : { "ISBN" : "1005-9040", "ISSN" : "1005-9040", "abstract" : "The anti-microbial activities of seven protic ionic liquids(ILs) against Escherichia coli and Staphylococcus aureus were studied by a micro-calorimetric method at 310 K. The bacterial growth rate constants were determined based on the bacterial growth power-time curves, and minimum biocidal concentrations were estimated. The results indicate that the protic ILs studied show inhibitory activities on the bacteria, implying a potential eco-toxicity to the microorganisms in the water system. Moreover, the inhibition effect of ionic liquids is related to the structure of the cation and anion of protic ILs. This type of proactive approach could aid in the assessment of the greenness of ILs to be used in the future.", "author" : [ { "dropping-particle" : "", "family" : "Ding", "given" : "Y J", "non-dropping-particle" : "", "parse-names" : false, "suffix" : "" }, { "dropping-particle" : "", "family" : "Nie", "given" : "Y", "non-dropping-particle" : "", "parse-names" : false, "suffix" : "" }, { "dropping-particle" : "", "family" : "Yu", "given" : "Y", "non-dropping-particle" : "", "parse-names" : false, "suffix" : "" } ], "container-title" : "Chemical Research in Chinese Universities", "id" : "ITEM-1", "issue" : "4", "issued" : { "date-parts" : [ [ "2011" ] ] }, "page" : "651-654", "title" : "Anti-microbial Activities of Protic Ionic Liquids Studied with Microcalorimetry Method", "type" : "article-journal", "volume" : "27" }, "uris" : [ "http://www.mendeley.com/documents/?uuid=8dd0776b-8b58-4a63-8c6c-1d67a9cabefb" ] } ], "mendeley" : { "formattedCitation" : "(Ding et al., 2011)", "plainTextFormattedCitation" : "(Ding et al., 2011)", "previouslyFormattedCitation" : "(Ding et al., 2011)" }, "properties" : { "noteIndex" : 0 }, "schema" : "https://github.com/citation-style-language/schema/raw/master/csl-citation.json" }</w:instrText>
      </w:r>
      <w:r w:rsidR="00686E57" w:rsidRPr="00783958">
        <w:rPr>
          <w:sz w:val="24"/>
          <w:szCs w:val="20"/>
        </w:rPr>
        <w:fldChar w:fldCharType="separate"/>
      </w:r>
      <w:r w:rsidR="001D7427" w:rsidRPr="00783958">
        <w:rPr>
          <w:noProof/>
          <w:sz w:val="24"/>
          <w:szCs w:val="20"/>
        </w:rPr>
        <w:t>(Ding et al., 2011)</w:t>
      </w:r>
      <w:r w:rsidR="00686E57" w:rsidRPr="00783958">
        <w:rPr>
          <w:sz w:val="24"/>
          <w:szCs w:val="20"/>
        </w:rPr>
        <w:fldChar w:fldCharType="end"/>
      </w:r>
      <w:r w:rsidR="0039141B" w:rsidRPr="00783958">
        <w:rPr>
          <w:sz w:val="24"/>
          <w:szCs w:val="20"/>
        </w:rPr>
        <w:t>.</w:t>
      </w:r>
      <w:r w:rsidRPr="00783958">
        <w:rPr>
          <w:sz w:val="24"/>
          <w:szCs w:val="20"/>
        </w:rPr>
        <w:t xml:space="preserve"> </w:t>
      </w:r>
      <w:r w:rsidR="00884755" w:rsidRPr="00783958">
        <w:rPr>
          <w:sz w:val="24"/>
          <w:szCs w:val="20"/>
        </w:rPr>
        <w:t>M</w:t>
      </w:r>
      <w:r w:rsidRPr="00783958">
        <w:rPr>
          <w:sz w:val="24"/>
          <w:szCs w:val="20"/>
        </w:rPr>
        <w:t xml:space="preserve">icrocalorimetry </w:t>
      </w:r>
      <w:r w:rsidR="00884755" w:rsidRPr="00783958">
        <w:rPr>
          <w:sz w:val="24"/>
          <w:szCs w:val="20"/>
        </w:rPr>
        <w:t xml:space="preserve">was utilised </w:t>
      </w:r>
      <w:r w:rsidRPr="00783958">
        <w:rPr>
          <w:sz w:val="24"/>
          <w:szCs w:val="20"/>
        </w:rPr>
        <w:t>to measure the growth rate constants for systems with</w:t>
      </w:r>
      <w:r w:rsidR="00087104" w:rsidRPr="00783958">
        <w:rPr>
          <w:sz w:val="24"/>
          <w:szCs w:val="20"/>
        </w:rPr>
        <w:t xml:space="preserve"> varying concentrations of PILs. The</w:t>
      </w:r>
      <w:r w:rsidRPr="00783958">
        <w:rPr>
          <w:sz w:val="24"/>
          <w:szCs w:val="20"/>
        </w:rPr>
        <w:t xml:space="preserve"> minimum biocidal concentrations (MBC) </w:t>
      </w:r>
      <w:r w:rsidR="000A41D9" w:rsidRPr="00783958">
        <w:rPr>
          <w:sz w:val="24"/>
          <w:szCs w:val="20"/>
        </w:rPr>
        <w:t xml:space="preserve">calculated for </w:t>
      </w:r>
      <w:r w:rsidRPr="00783958">
        <w:rPr>
          <w:sz w:val="24"/>
          <w:szCs w:val="20"/>
        </w:rPr>
        <w:t>each PIL</w:t>
      </w:r>
      <w:r w:rsidR="00087104" w:rsidRPr="00783958">
        <w:rPr>
          <w:sz w:val="24"/>
          <w:szCs w:val="20"/>
        </w:rPr>
        <w:t xml:space="preserve"> show</w:t>
      </w:r>
      <w:r w:rsidR="00A4191E" w:rsidRPr="00783958">
        <w:rPr>
          <w:sz w:val="24"/>
          <w:szCs w:val="20"/>
        </w:rPr>
        <w:t>ed</w:t>
      </w:r>
      <w:r w:rsidR="00087104" w:rsidRPr="00783958">
        <w:rPr>
          <w:sz w:val="24"/>
          <w:szCs w:val="20"/>
        </w:rPr>
        <w:t xml:space="preserve"> </w:t>
      </w:r>
      <w:r w:rsidRPr="00783958">
        <w:rPr>
          <w:sz w:val="24"/>
          <w:szCs w:val="20"/>
        </w:rPr>
        <w:t xml:space="preserve">similar trends to the aforementioned study. </w:t>
      </w:r>
      <w:r w:rsidR="00A4191E" w:rsidRPr="00783958">
        <w:rPr>
          <w:sz w:val="24"/>
          <w:szCs w:val="20"/>
        </w:rPr>
        <w:t>In addition, f</w:t>
      </w:r>
      <w:r w:rsidRPr="00783958">
        <w:rPr>
          <w:sz w:val="24"/>
          <w:szCs w:val="20"/>
        </w:rPr>
        <w:t>our PILs based on combinations of 2-hydroxyethyl functionalised amines (including</w:t>
      </w:r>
      <w:r w:rsidR="002103C3" w:rsidRPr="00783958">
        <w:rPr>
          <w:sz w:val="24"/>
          <w:szCs w:val="20"/>
        </w:rPr>
        <w:t xml:space="preserve"> the tertiary amine</w:t>
      </w:r>
      <w:r w:rsidRPr="00783958">
        <w:rPr>
          <w:sz w:val="24"/>
          <w:szCs w:val="20"/>
        </w:rPr>
        <w:t xml:space="preserve"> </w:t>
      </w:r>
      <w:r w:rsidRPr="00783958">
        <w:rPr>
          <w:i/>
          <w:sz w:val="24"/>
          <w:szCs w:val="20"/>
        </w:rPr>
        <w:t>N,N</w:t>
      </w:r>
      <w:r w:rsidRPr="00783958">
        <w:rPr>
          <w:sz w:val="24"/>
          <w:szCs w:val="20"/>
        </w:rPr>
        <w:t>-dimethylethan</w:t>
      </w:r>
      <w:r w:rsidR="0008295B" w:rsidRPr="00783958">
        <w:rPr>
          <w:sz w:val="24"/>
          <w:szCs w:val="20"/>
        </w:rPr>
        <w:t>ol</w:t>
      </w:r>
      <w:r w:rsidRPr="00783958">
        <w:rPr>
          <w:sz w:val="24"/>
          <w:szCs w:val="20"/>
        </w:rPr>
        <w:t>amine) with 2-(</w:t>
      </w:r>
      <w:r w:rsidR="00DC48CD" w:rsidRPr="00783958">
        <w:rPr>
          <w:sz w:val="24"/>
          <w:szCs w:val="20"/>
        </w:rPr>
        <w:t>a</w:t>
      </w:r>
      <w:r w:rsidRPr="00783958">
        <w:rPr>
          <w:sz w:val="24"/>
          <w:szCs w:val="20"/>
        </w:rPr>
        <w:t xml:space="preserve">cetyloxy)benzoic acid were screened as potential </w:t>
      </w:r>
      <w:r w:rsidR="00087104" w:rsidRPr="00783958">
        <w:rPr>
          <w:sz w:val="24"/>
          <w:szCs w:val="20"/>
        </w:rPr>
        <w:t>water soluble</w:t>
      </w:r>
      <w:r w:rsidR="0008295B" w:rsidRPr="00783958">
        <w:rPr>
          <w:sz w:val="24"/>
          <w:szCs w:val="20"/>
        </w:rPr>
        <w:t xml:space="preserve"> </w:t>
      </w:r>
      <w:r w:rsidRPr="00783958">
        <w:rPr>
          <w:sz w:val="24"/>
          <w:szCs w:val="20"/>
        </w:rPr>
        <w:t xml:space="preserve">liquid </w:t>
      </w:r>
      <w:r w:rsidR="0008295B" w:rsidRPr="00783958">
        <w:rPr>
          <w:sz w:val="24"/>
          <w:szCs w:val="20"/>
        </w:rPr>
        <w:t xml:space="preserve">forms of </w:t>
      </w:r>
      <w:r w:rsidRPr="00783958">
        <w:rPr>
          <w:sz w:val="24"/>
          <w:szCs w:val="20"/>
        </w:rPr>
        <w:t>aspirin</w:t>
      </w:r>
      <w:r w:rsidR="0039141B" w:rsidRPr="00783958">
        <w:rPr>
          <w:sz w:val="24"/>
          <w:szCs w:val="20"/>
        </w:rPr>
        <w:t xml:space="preserve"> </w:t>
      </w:r>
      <w:r w:rsidR="00686E57" w:rsidRPr="00783958">
        <w:rPr>
          <w:sz w:val="24"/>
          <w:szCs w:val="20"/>
        </w:rPr>
        <w:fldChar w:fldCharType="begin" w:fldLock="1"/>
      </w:r>
      <w:r w:rsidR="00036654">
        <w:rPr>
          <w:sz w:val="24"/>
          <w:szCs w:val="20"/>
        </w:rPr>
        <w:instrText>ADDIN CSL_CITATION { "citationItems" : [ { "id" : "ITEM-1", "itemData" : { "DOI" : "10.1007/s11172-012-0172-9", "ISSN" : "10665285", "author" : [ { "dropping-particle" : "", "family" : "Adamovich", "given" : "S. N.", "non-dropping-particle" : "", "parse-names" : false, "suffix" : "" }, { "dropping-particle" : "", "family" : "Mirskov", "given" : "R. G.", "non-dropping-particle" : "", "parse-names" : false, "suffix" : "" }, { "dropping-particle" : "", "family" : "Mirskova", "given" : "A. N.", "non-dropping-particle" : "", "parse-names" : false, "suffix" : "" }, { "dropping-particle" : "", "family" : "Voronkov", "given" : "M. G.", "non-dropping-particle" : "", "parse-names" : false, "suffix" : "" } ], "container-title" : "Russian Chemical Bulletin", "id" : "ITEM-1", "issued" : { "date-parts" : [ [ "2012", "6", "16" ] ] }, "page" : "1260-1261", "publisher" : "Springer US", "title" : "Biologically active protic (2-hydroxyethyl)ammonium ionic liquids. Liquid aspirin", "type" : "article-journal", "volume" : "61" }, "uris" : [ "http://www.mendeley.com/documents/?uuid=c5e78d4c-6002-30ce-a569-44fe658d1d1c" ] } ], "mendeley" : { "formattedCitation" : "(Adamovich et al., 2012)", "plainTextFormattedCitation" : "(Adamovich et al., 2012)", "previouslyFormattedCitation" : "(Adamovich et al., 2012)" }, "properties" : { "noteIndex" : 0 }, "schema" : "https://github.com/citation-style-language/schema/raw/master/csl-citation.json" }</w:instrText>
      </w:r>
      <w:r w:rsidR="00686E57" w:rsidRPr="00783958">
        <w:rPr>
          <w:sz w:val="24"/>
          <w:szCs w:val="20"/>
        </w:rPr>
        <w:fldChar w:fldCharType="separate"/>
      </w:r>
      <w:r w:rsidR="001D7427" w:rsidRPr="00783958">
        <w:rPr>
          <w:noProof/>
          <w:sz w:val="24"/>
          <w:szCs w:val="20"/>
        </w:rPr>
        <w:t>(Adamovich et al., 2012)</w:t>
      </w:r>
      <w:r w:rsidR="00686E57" w:rsidRPr="00783958">
        <w:rPr>
          <w:sz w:val="24"/>
          <w:szCs w:val="20"/>
        </w:rPr>
        <w:fldChar w:fldCharType="end"/>
      </w:r>
      <w:r w:rsidR="0039141B" w:rsidRPr="00783958">
        <w:rPr>
          <w:sz w:val="24"/>
          <w:szCs w:val="20"/>
        </w:rPr>
        <w:t>.</w:t>
      </w:r>
      <w:r w:rsidRPr="00783958">
        <w:rPr>
          <w:sz w:val="24"/>
          <w:szCs w:val="20"/>
        </w:rPr>
        <w:t xml:space="preserve"> All four PILs were found to have</w:t>
      </w:r>
      <w:r w:rsidR="00DC48CD" w:rsidRPr="00783958">
        <w:rPr>
          <w:sz w:val="24"/>
          <w:szCs w:val="20"/>
        </w:rPr>
        <w:t xml:space="preserve"> </w:t>
      </w:r>
      <w:r w:rsidRPr="00783958">
        <w:rPr>
          <w:sz w:val="24"/>
          <w:szCs w:val="20"/>
        </w:rPr>
        <w:t xml:space="preserve">low toxicity compared </w:t>
      </w:r>
      <w:r w:rsidR="00DA3DA9">
        <w:rPr>
          <w:sz w:val="24"/>
          <w:szCs w:val="20"/>
        </w:rPr>
        <w:t xml:space="preserve">to </w:t>
      </w:r>
      <w:r w:rsidRPr="00783958">
        <w:rPr>
          <w:sz w:val="24"/>
          <w:szCs w:val="20"/>
        </w:rPr>
        <w:t>peritoneal LD</w:t>
      </w:r>
      <w:r w:rsidRPr="00783958">
        <w:rPr>
          <w:sz w:val="24"/>
          <w:szCs w:val="20"/>
          <w:vertAlign w:val="subscript"/>
        </w:rPr>
        <w:t>50</w:t>
      </w:r>
      <w:r w:rsidR="00EB43F4" w:rsidRPr="00EB43F4">
        <w:rPr>
          <w:sz w:val="24"/>
          <w:szCs w:val="20"/>
        </w:rPr>
        <w:t>,</w:t>
      </w:r>
      <w:r w:rsidR="00EB43F4">
        <w:rPr>
          <w:sz w:val="24"/>
          <w:szCs w:val="20"/>
          <w:vertAlign w:val="subscript"/>
        </w:rPr>
        <w:t xml:space="preserve"> </w:t>
      </w:r>
      <w:r w:rsidR="00133491">
        <w:rPr>
          <w:sz w:val="24"/>
          <w:szCs w:val="20"/>
        </w:rPr>
        <w:t>the</w:t>
      </w:r>
      <w:r w:rsidR="002348B8">
        <w:rPr>
          <w:sz w:val="24"/>
          <w:szCs w:val="20"/>
        </w:rPr>
        <w:t xml:space="preserve"> lethal dose of a substance to kill 50% of a test population,</w:t>
      </w:r>
      <w:r w:rsidRPr="00783958">
        <w:rPr>
          <w:sz w:val="24"/>
          <w:szCs w:val="20"/>
        </w:rPr>
        <w:t xml:space="preserve"> of albino mice </w:t>
      </w:r>
      <w:r w:rsidR="00DA3DA9">
        <w:rPr>
          <w:sz w:val="24"/>
          <w:szCs w:val="20"/>
        </w:rPr>
        <w:t>(</w:t>
      </w:r>
      <w:r w:rsidRPr="00783958">
        <w:rPr>
          <w:sz w:val="24"/>
          <w:szCs w:val="20"/>
        </w:rPr>
        <w:t>2000 mg kg</w:t>
      </w:r>
      <w:r w:rsidRPr="00783958">
        <w:rPr>
          <w:sz w:val="24"/>
          <w:szCs w:val="20"/>
          <w:vertAlign w:val="superscript"/>
        </w:rPr>
        <w:t>-1</w:t>
      </w:r>
      <w:r w:rsidRPr="00783958">
        <w:rPr>
          <w:sz w:val="24"/>
          <w:szCs w:val="20"/>
        </w:rPr>
        <w:t xml:space="preserve"> for all PILs compared to 1430 mg kg</w:t>
      </w:r>
      <w:r w:rsidRPr="00783958">
        <w:rPr>
          <w:sz w:val="24"/>
          <w:szCs w:val="20"/>
          <w:vertAlign w:val="superscript"/>
        </w:rPr>
        <w:t>-1</w:t>
      </w:r>
      <w:r w:rsidRPr="00783958">
        <w:rPr>
          <w:sz w:val="24"/>
          <w:szCs w:val="20"/>
        </w:rPr>
        <w:t xml:space="preserve"> for aspirin)</w:t>
      </w:r>
      <w:r w:rsidR="002A7C2C" w:rsidRPr="00783958">
        <w:rPr>
          <w:sz w:val="24"/>
          <w:szCs w:val="20"/>
        </w:rPr>
        <w:t>.</w:t>
      </w:r>
      <w:r w:rsidR="00705019" w:rsidRPr="00783958">
        <w:rPr>
          <w:sz w:val="24"/>
          <w:szCs w:val="20"/>
        </w:rPr>
        <w:t xml:space="preserve"> </w:t>
      </w:r>
      <w:r w:rsidR="000A41D9" w:rsidRPr="00783958">
        <w:rPr>
          <w:sz w:val="24"/>
          <w:szCs w:val="20"/>
        </w:rPr>
        <w:t xml:space="preserve">A recent study showed that </w:t>
      </w:r>
      <w:r w:rsidR="000A41D9" w:rsidRPr="00783958">
        <w:rPr>
          <w:sz w:val="24"/>
          <w:szCs w:val="20"/>
        </w:rPr>
        <w:lastRenderedPageBreak/>
        <w:t xml:space="preserve">four secondary ammonium carboxylate PILs exhibited some degree of antimicrobial and antifungal properties, as determined using growth inhibition analysis with a variety of test cultures (e.g. </w:t>
      </w:r>
      <w:r w:rsidR="000A41D9" w:rsidRPr="00783958">
        <w:rPr>
          <w:i/>
          <w:sz w:val="24"/>
          <w:szCs w:val="20"/>
        </w:rPr>
        <w:t xml:space="preserve">S. aureus, E. coli, </w:t>
      </w:r>
      <w:r w:rsidR="000A41D9" w:rsidRPr="00783958">
        <w:rPr>
          <w:sz w:val="24"/>
          <w:szCs w:val="20"/>
        </w:rPr>
        <w:t xml:space="preserve">and </w:t>
      </w:r>
      <w:r w:rsidR="000A41D9" w:rsidRPr="00783958">
        <w:rPr>
          <w:i/>
          <w:sz w:val="24"/>
          <w:szCs w:val="20"/>
        </w:rPr>
        <w:t>C. albicans</w:t>
      </w:r>
      <w:r w:rsidR="000A41D9" w:rsidRPr="00783958">
        <w:rPr>
          <w:sz w:val="24"/>
          <w:szCs w:val="20"/>
        </w:rPr>
        <w:t xml:space="preserve">) </w:t>
      </w:r>
      <w:r w:rsidR="000A41D9" w:rsidRPr="00783958">
        <w:rPr>
          <w:sz w:val="24"/>
          <w:szCs w:val="20"/>
        </w:rPr>
        <w:fldChar w:fldCharType="begin" w:fldLock="1"/>
      </w:r>
      <w:r w:rsidR="000A41D9" w:rsidRPr="00783958">
        <w:rPr>
          <w:sz w:val="24"/>
          <w:szCs w:val="20"/>
        </w:rPr>
        <w:instrText>ADDIN CSL_CITATION { "citationItems" : [ { "id" : "ITEM-1", "itemData" : { "DOI" : "10.1016/j.chemosphere.2015.11.016", "ISSN" : "18791298", "PMID" : "26796340", "abstract" : "Ionic liquids (ILs) are often claimed to be \"environmentally friendly\" compounds however, the knowledge of their potential toxicity towards different organisms and trophic levels is still limited, in particular when protic ionic liquids (PILs) are addressed. This study aims to evaluate the toxicity against various microorganisms and the biodegradability of four PILs namely, N-methyl-2-hydroxyethylammonium acetate, m-2-HEAA; N-methyl-2-hydroxyethylammonium propionate, m-2-HEAPr; N-methyl-2-hydroxyethylammonium butyrate, m-2-HEAB; and N-methyl-2-hydroxyethylammonium pentanoate, m-2-HEAP. The antimicrobial activity was determined against the two bacteria, Sthaplylococcus aureus ATCC-6533 and Escherichia coli CCT-0355; the yeast Candida albicans ATCC-76645; and the fungi Fusarium sp. LM03. The toxicity of all PILs was tested against the aquatic luminescent marine bacterium Vibrio fischeri using the Microtox\u00ae test. The impact of the PILs was also studied regarding their effect on lettuce seeds (Lactuta sativa). The biodegradability of these PILs was evaluated using the ratio between the biochemical oxygen demand (BOD) and the chemical oxygen demand (COD). The results show that, in general, the elongation of the alkyl chain tends to increase the negative impact of the PILs towards the organisms and biological systems under study. According to these results, m-2-HEAA and m-2-HEAP are the less and most toxic PILs studied in this work, respectively. Additionally, all the PILs have demonstrated low biodegradability.", "author" : [ { "dropping-particle" : "", "family" : "Oliveira", "given" : "Maria V S", "non-dropping-particle" : "", "parse-names" : false, "suffix" : "" }, { "dropping-particle" : "", "family" : "Vidal", "given" : "Bruna T.", "non-dropping-particle" : "", "parse-names" : false, "suffix" : "" }, { "dropping-particle" : "", "family" : "Melo", "given" : "Claudia M.", "non-dropping-particle" : "", "parse-names" : false, "suffix" : "" }, { "dropping-particle" : "", "family" : "Miranda", "given" : "Rita de C M", "non-dropping-particle" : "de", "parse-names" : false, "suffix" : "" }, { "dropping-particle" : "", "family" : "Soares", "given" : "Cleide M F", "non-dropping-particle" : "", "parse-names" : false, "suffix" : "" }, { "dropping-particle" : "", "family" : "Coutinho", "given" : "Jo\u00e3o A P", "non-dropping-particle" : "", "parse-names" : false, "suffix" : "" }, { "dropping-particle" : "", "family" : "Ventura", "given" : "S\u00f3nia P M", "non-dropping-particle" : "", "parse-names" : false, "suffix" : "" }, { "dropping-particle" : "", "family" : "Mattedi", "given" : "Silvana", "non-dropping-particle" : "", "parse-names" : false, "suffix" : "" }, { "dropping-particle" : "", "family" : "Lima", "given" : "\u00c1lvaro S.", "non-dropping-particle" : "", "parse-names" : false, "suffix" : "" } ], "container-title" : "Chemosphere", "id" : "ITEM-1", "issued" : { "date-parts" : [ [ "2016" ] ] }, "page" : "460-466", "title" : "(Eco)toxicity and biodegradability of protic ionic liquids", "type" : "article-journal", "volume" : "147" }, "uris" : [ "http://www.mendeley.com/documents/?uuid=961e0833-3732-4414-8ffa-9eb3c9fb6feb" ] } ], "mendeley" : { "formattedCitation" : "(Oliveira et al., 2016)", "plainTextFormattedCitation" : "(Oliveira et al., 2016)", "previouslyFormattedCitation" : "(Oliveira et al., 2016)" }, "properties" : { "noteIndex" : 0 }, "schema" : "https://github.com/citation-style-language/schema/raw/master/csl-citation.json" }</w:instrText>
      </w:r>
      <w:r w:rsidR="000A41D9" w:rsidRPr="00783958">
        <w:rPr>
          <w:sz w:val="24"/>
          <w:szCs w:val="20"/>
        </w:rPr>
        <w:fldChar w:fldCharType="separate"/>
      </w:r>
      <w:r w:rsidR="000A41D9" w:rsidRPr="00783958">
        <w:rPr>
          <w:noProof/>
          <w:sz w:val="24"/>
          <w:szCs w:val="20"/>
        </w:rPr>
        <w:t>(Oliveira et al., 2016)</w:t>
      </w:r>
      <w:r w:rsidR="000A41D9" w:rsidRPr="00783958">
        <w:rPr>
          <w:sz w:val="24"/>
          <w:szCs w:val="20"/>
        </w:rPr>
        <w:fldChar w:fldCharType="end"/>
      </w:r>
      <w:r w:rsidR="000A41D9" w:rsidRPr="00783958">
        <w:rPr>
          <w:sz w:val="24"/>
          <w:szCs w:val="20"/>
        </w:rPr>
        <w:t xml:space="preserve">. In the same study the biodegradability of the studied PILs, as determined from oxygen consumption, found none of the PILs to be readily biodegradable. </w:t>
      </w:r>
      <w:r w:rsidR="0008295B" w:rsidRPr="00783958">
        <w:rPr>
          <w:sz w:val="24"/>
          <w:szCs w:val="20"/>
        </w:rPr>
        <w:t>These results so far suggest that PILs prepared from primary or secondary amines</w:t>
      </w:r>
      <w:r w:rsidR="001D0D2E" w:rsidRPr="00783958">
        <w:rPr>
          <w:sz w:val="24"/>
          <w:szCs w:val="20"/>
        </w:rPr>
        <w:t xml:space="preserve"> and aliphatic carboxylic acids</w:t>
      </w:r>
      <w:r w:rsidR="0008295B" w:rsidRPr="00783958">
        <w:rPr>
          <w:sz w:val="24"/>
          <w:szCs w:val="20"/>
        </w:rPr>
        <w:t xml:space="preserve"> </w:t>
      </w:r>
      <w:r w:rsidR="002103C3" w:rsidRPr="00783958">
        <w:rPr>
          <w:sz w:val="24"/>
          <w:szCs w:val="20"/>
        </w:rPr>
        <w:t xml:space="preserve">can </w:t>
      </w:r>
      <w:r w:rsidR="0008295B" w:rsidRPr="00783958">
        <w:rPr>
          <w:sz w:val="24"/>
          <w:szCs w:val="20"/>
        </w:rPr>
        <w:t xml:space="preserve">exhibit </w:t>
      </w:r>
      <w:r w:rsidR="00DC090B" w:rsidRPr="00783958">
        <w:rPr>
          <w:sz w:val="24"/>
          <w:szCs w:val="20"/>
        </w:rPr>
        <w:t xml:space="preserve">varying </w:t>
      </w:r>
      <w:r w:rsidR="0008295B" w:rsidRPr="00783958">
        <w:rPr>
          <w:sz w:val="24"/>
          <w:szCs w:val="20"/>
        </w:rPr>
        <w:t>degree</w:t>
      </w:r>
      <w:r w:rsidR="00DC090B" w:rsidRPr="00783958">
        <w:rPr>
          <w:sz w:val="24"/>
          <w:szCs w:val="20"/>
        </w:rPr>
        <w:t>s</w:t>
      </w:r>
      <w:r w:rsidR="0008295B" w:rsidRPr="00783958">
        <w:rPr>
          <w:sz w:val="24"/>
          <w:szCs w:val="20"/>
        </w:rPr>
        <w:t xml:space="preserve"> of</w:t>
      </w:r>
      <w:r w:rsidR="000A41D9" w:rsidRPr="00783958">
        <w:rPr>
          <w:sz w:val="24"/>
          <w:szCs w:val="20"/>
        </w:rPr>
        <w:t xml:space="preserve"> microbial</w:t>
      </w:r>
      <w:r w:rsidR="00DC090B" w:rsidRPr="00783958">
        <w:rPr>
          <w:sz w:val="24"/>
          <w:szCs w:val="20"/>
        </w:rPr>
        <w:t xml:space="preserve"> and ecological</w:t>
      </w:r>
      <w:r w:rsidR="0008295B" w:rsidRPr="00783958">
        <w:rPr>
          <w:sz w:val="24"/>
          <w:szCs w:val="20"/>
        </w:rPr>
        <w:t xml:space="preserve"> toxicity</w:t>
      </w:r>
      <w:r w:rsidR="000A41D9" w:rsidRPr="00783958">
        <w:rPr>
          <w:sz w:val="24"/>
          <w:szCs w:val="20"/>
        </w:rPr>
        <w:t xml:space="preserve">, depending on the anions they </w:t>
      </w:r>
      <w:r w:rsidR="003C7E89" w:rsidRPr="00783958">
        <w:rPr>
          <w:sz w:val="24"/>
          <w:szCs w:val="20"/>
        </w:rPr>
        <w:t xml:space="preserve">were </w:t>
      </w:r>
      <w:r w:rsidR="000A41D9" w:rsidRPr="00783958">
        <w:rPr>
          <w:sz w:val="24"/>
          <w:szCs w:val="20"/>
        </w:rPr>
        <w:t xml:space="preserve">paired with and the microbial strains that </w:t>
      </w:r>
      <w:r w:rsidR="006627FE" w:rsidRPr="00783958">
        <w:rPr>
          <w:sz w:val="24"/>
          <w:szCs w:val="20"/>
        </w:rPr>
        <w:t xml:space="preserve">were </w:t>
      </w:r>
      <w:r w:rsidR="000A41D9" w:rsidRPr="00783958">
        <w:rPr>
          <w:sz w:val="24"/>
          <w:szCs w:val="20"/>
        </w:rPr>
        <w:t>studied</w:t>
      </w:r>
      <w:r w:rsidR="00DA3DA9">
        <w:rPr>
          <w:sz w:val="24"/>
          <w:szCs w:val="20"/>
        </w:rPr>
        <w:t xml:space="preserve"> </w:t>
      </w:r>
      <w:r w:rsidR="00DC090B" w:rsidRPr="00783958">
        <w:rPr>
          <w:sz w:val="24"/>
          <w:szCs w:val="20"/>
        </w:rPr>
        <w:fldChar w:fldCharType="begin" w:fldLock="1"/>
      </w:r>
      <w:r w:rsidR="004B0425" w:rsidRPr="00783958">
        <w:rPr>
          <w:sz w:val="24"/>
          <w:szCs w:val="20"/>
        </w:rPr>
        <w:instrText>ADDIN CSL_CITATION { "citationItems" : [ { "id" : "ITEM-1", "itemData" : { "DOI" : "10.1016/j.molliq.2016.09.086", "ISSN" : "01677322", "abstract" : "In this work sixteen hydroxyl ammonium Protic Ionic Liquids derived from a proton transfer reaction between four different substituted amines and four different low molecular weight aliphatic and alicyclic carboxylic acids have been synthesized. The synthesized PILs were structurally characterized by NMR and FT-IR spectroscopy whereas two of their more important physicochemical properties namely viscosity and glass transition temperature (Tg) were evaluated. The effect of alkyl chain length and substitution on the anionic and cationic component of the PILs scaffold has been discussed for the studied properties. It seems that Tg values are mainly affected by the carboxylate anion structure whereas viscosity is controlled mainly by the structural features of the cationic part of the PILs. In order to estimate their environmental impact and reinforce their ???green??? character, biodegradation studies, as well as toxicity evaluation experiments have also been conducted. The synthesized PILs can be confidently labelled as green considering that they are not toxic or present low toxicity to the nauplii of the brine shrimp A. salina whereas they show biodegradability levels between 41???64%, according to the manometric respirometric method which measures the biological oxygen demand (BOD5) by microorganisms in order to degrade PILs via bio-oxidation in five days.", "author" : [ { "dropping-particle" : "", "family" : "Tzani", "given" : "Andromachi", "non-dropping-particle" : "", "parse-names" : false, "suffix" : "" }, { "dropping-particle" : "", "family" : "Elmaloglou", "given" : "Marianthi", "non-dropping-particle" : "", "parse-names" : false, "suffix" : "" }, { "dropping-particle" : "", "family" : "Kyriazis", "given" : "Charalampos", "non-dropping-particle" : "", "parse-names" : false, "suffix" : "" }, { "dropping-particle" : "", "family" : "Aravopoulou", "given" : "Dionysia", "non-dropping-particle" : "", "parse-names" : false, "suffix" : "" }, { "dropping-particle" : "", "family" : "Kleidas", "given" : "Ioannis", "non-dropping-particle" : "", "parse-names" : false, "suffix" : "" }, { "dropping-particle" : "", "family" : "Papadopoulos", "given" : "Achilleas", "non-dropping-particle" : "", "parse-names" : false, "suffix" : "" }, { "dropping-particle" : "", "family" : "Ioannou", "given" : "Efstathia", "non-dropping-particle" : "", "parse-names" : false, "suffix" : "" }, { "dropping-particle" : "", "family" : "Kyritsis", "given" : "Apostolos", "non-dropping-particle" : "", "parse-names" : false, "suffix" : "" }, { "dropping-particle" : "", "family" : "Voutsas", "given" : "Epaminondas", "non-dropping-particle" : "", "parse-names" : false, "suffix" : "" }, { "dropping-particle" : "", "family" : "Detsi", "given" : "Anastasia", "non-dropping-particle" : "", "parse-names" : false, "suffix" : "" } ], "container-title" : "Journal of Molecular Liquids", "id" : "ITEM-1", "issued" : { "date-parts" : [ [ "2016" ] ] }, "page" : "366-376", "title" : "Synthesis and structure-properties relationship studies of biodegradable hydroxylammonium-based protic ionic liquids", "type" : "article-journal", "volume" : "224" }, "uris" : [ "http://www.mendeley.com/documents/?uuid=30f983da-4215-34f3-87b7-e2d2ed302b47" ] } ], "mendeley" : { "formattedCitation" : "(Tzani et al., 2016)", "plainTextFormattedCitation" : "(Tzani et al., 2016)", "previouslyFormattedCitation" : "(Tzani et al., 2016)" }, "properties" : { "noteIndex" : 0 }, "schema" : "https://github.com/citation-style-language/schema/raw/master/csl-citation.json" }</w:instrText>
      </w:r>
      <w:r w:rsidR="00DC090B" w:rsidRPr="00783958">
        <w:rPr>
          <w:sz w:val="24"/>
          <w:szCs w:val="20"/>
        </w:rPr>
        <w:fldChar w:fldCharType="separate"/>
      </w:r>
      <w:r w:rsidR="00DC090B" w:rsidRPr="00783958">
        <w:rPr>
          <w:noProof/>
          <w:sz w:val="24"/>
          <w:szCs w:val="20"/>
        </w:rPr>
        <w:t>(Tzani et al., 2016)</w:t>
      </w:r>
      <w:r w:rsidR="00DC090B" w:rsidRPr="00783958">
        <w:rPr>
          <w:sz w:val="24"/>
          <w:szCs w:val="20"/>
        </w:rPr>
        <w:fldChar w:fldCharType="end"/>
      </w:r>
      <w:r w:rsidR="00DA3DA9">
        <w:rPr>
          <w:sz w:val="24"/>
          <w:szCs w:val="20"/>
        </w:rPr>
        <w:t>.</w:t>
      </w:r>
    </w:p>
    <w:p w14:paraId="779F0BA8" w14:textId="7B09922A" w:rsidR="008231B5" w:rsidRPr="00783958" w:rsidRDefault="00A4191E" w:rsidP="0057405D">
      <w:pPr>
        <w:spacing w:before="240" w:line="480" w:lineRule="auto"/>
        <w:jc w:val="both"/>
        <w:rPr>
          <w:rFonts w:cs="Times New Roman"/>
          <w:sz w:val="24"/>
        </w:rPr>
      </w:pPr>
      <w:r w:rsidRPr="00783958">
        <w:rPr>
          <w:sz w:val="24"/>
        </w:rPr>
        <w:t>O</w:t>
      </w:r>
      <w:r w:rsidR="00552693" w:rsidRPr="00783958">
        <w:rPr>
          <w:sz w:val="24"/>
        </w:rPr>
        <w:t>f the</w:t>
      </w:r>
      <w:r w:rsidRPr="00783958">
        <w:rPr>
          <w:sz w:val="24"/>
        </w:rPr>
        <w:t>se</w:t>
      </w:r>
      <w:r w:rsidR="00552693" w:rsidRPr="00783958">
        <w:rPr>
          <w:sz w:val="24"/>
        </w:rPr>
        <w:t xml:space="preserve"> two classes of ionic liquid, </w:t>
      </w:r>
      <w:r w:rsidR="00E629A3" w:rsidRPr="00783958">
        <w:rPr>
          <w:sz w:val="24"/>
        </w:rPr>
        <w:t xml:space="preserve">AILs and PILs, </w:t>
      </w:r>
      <w:r w:rsidR="007352DF" w:rsidRPr="00783958">
        <w:rPr>
          <w:sz w:val="24"/>
        </w:rPr>
        <w:t xml:space="preserve">is it possible to state that </w:t>
      </w:r>
      <w:r w:rsidRPr="00783958">
        <w:rPr>
          <w:sz w:val="24"/>
        </w:rPr>
        <w:t xml:space="preserve">either </w:t>
      </w:r>
      <w:r w:rsidR="00552693" w:rsidRPr="00783958">
        <w:rPr>
          <w:sz w:val="24"/>
        </w:rPr>
        <w:t>be considered more environmentally benign</w:t>
      </w:r>
      <w:r w:rsidRPr="00783958">
        <w:rPr>
          <w:sz w:val="24"/>
        </w:rPr>
        <w:t xml:space="preserve"> than the other</w:t>
      </w:r>
      <w:r w:rsidR="00552693" w:rsidRPr="00783958">
        <w:rPr>
          <w:sz w:val="24"/>
        </w:rPr>
        <w:t xml:space="preserve">? Despite the extensive research on </w:t>
      </w:r>
      <w:r w:rsidR="007352DF" w:rsidRPr="00783958">
        <w:rPr>
          <w:sz w:val="24"/>
        </w:rPr>
        <w:t>AILs and PILs</w:t>
      </w:r>
      <w:r w:rsidR="00552693" w:rsidRPr="00783958">
        <w:rPr>
          <w:sz w:val="24"/>
        </w:rPr>
        <w:t xml:space="preserve">, there </w:t>
      </w:r>
      <w:r w:rsidR="004F4342">
        <w:rPr>
          <w:sz w:val="24"/>
        </w:rPr>
        <w:t>i</w:t>
      </w:r>
      <w:r w:rsidR="004F4342" w:rsidRPr="00783958">
        <w:rPr>
          <w:sz w:val="24"/>
        </w:rPr>
        <w:t>s</w:t>
      </w:r>
      <w:r w:rsidR="006627FE" w:rsidRPr="00783958">
        <w:rPr>
          <w:sz w:val="24"/>
        </w:rPr>
        <w:t xml:space="preserve"> </w:t>
      </w:r>
      <w:r w:rsidR="00552693" w:rsidRPr="00783958">
        <w:rPr>
          <w:sz w:val="24"/>
        </w:rPr>
        <w:t xml:space="preserve">little data available to quantitatively compare these characteristics between </w:t>
      </w:r>
      <w:r w:rsidR="007352DF" w:rsidRPr="00783958">
        <w:rPr>
          <w:sz w:val="24"/>
        </w:rPr>
        <w:t>these ILs</w:t>
      </w:r>
      <w:r w:rsidR="00E629A3" w:rsidRPr="00783958">
        <w:rPr>
          <w:sz w:val="24"/>
        </w:rPr>
        <w:t xml:space="preserve"> </w:t>
      </w:r>
      <w:r w:rsidR="00686E57" w:rsidRPr="00783958">
        <w:rPr>
          <w:sz w:val="24"/>
        </w:rPr>
        <w:fldChar w:fldCharType="begin" w:fldLock="1"/>
      </w:r>
      <w:r w:rsidR="009012E7" w:rsidRPr="00783958">
        <w:rPr>
          <w:sz w:val="24"/>
        </w:rPr>
        <w:instrText>ADDIN CSL_CITATION { "citationItems" : [ { "id" : "ITEM-1", "itemData" : { "DOI" : "10.1016/j.chemosphere.2014.02.043", "ISSN" : "18791298", "PMID" : "24630250", "abstract" : "Ionic liquids (ILs) are a fairly new and very promising group of compounds with a vast variety of possible structures and uses. They are considered to be potentially \"green\", but their impact on the environment tends to be neglected or not studied enough, especially when it comes to terrestrial ecotoxicity, where there are very few studies performed to date. This work presents a comparative study of the terrestrial ecotoxicity of selected representatives of two ILs groups: a new family of protic ILs (derived from aliphatic amines and organic acids) and some frequently used aprotic ILs (substituted imidazolium and piridinium chlorides). Toxicity of the ILs towards three terrestrial plant species (Allium cepa, Lolium perenne and Raphanus sativus) and soil microorganisms involved in carbon and nitrogen transformation was analyzed. Protic ILs have shown no toxic effect in most of the tests performed. The EC50 values for aprotic ILs are various orders of magnitude lower than the ones for protic ILs in all of the tests. The most toxic ILs are the most complex ones in both of the analyzed groups. Protic ILs seem to have a potential for biodegradation in soil, while aprotic ILs exhibit inhibitory effects towards the carbon transforming microbiota. These findings indicate that protic ILs can be considered as less toxic and safer for the terrestrial environment than the aprotic ILs. ?? 2014 Elsevier Ltd.", "author" : [ { "dropping-particle" : "", "family" : "Peric", "given" : "Brezana", "non-dropping-particle" : "", "parse-names" : false, "suffix" : "" }, { "dropping-particle" : "", "family" : "Sierra", "given" : "Jordi", "non-dropping-particle" : "", "parse-names" : false, "suffix" : "" }, { "dropping-particle" : "", "family" : "Mart\u00ed", "given" : "Esther", "non-dropping-particle" : "", "parse-names" : false, "suffix" : "" }, { "dropping-particle" : "", "family" : "Crua\u00f1as", "given" : "Robert", "non-dropping-particle" : "", "parse-names" : false, "suffix" : "" }, { "dropping-particle" : "", "family" : "Garau", "given" : "Maria Antonia", "non-dropping-particle" : "", "parse-names" : false, "suffix" : "" } ], "container-title" : "Chemosphere", "id" : "ITEM-1", "issued" : { "date-parts" : [ [ "2014" ] ] }, "page" : "418-425", "publisher" : "Elsevier Ltd", "title" : "A comparative study of the terrestrial ecotoxicity of selected protic and aprotic ionic liquids", "type" : "article-journal", "volume" : "108" }, "uris" : [ "http://www.mendeley.com/documents/?uuid=36894950-200a-4a8e-b98a-b757098a13bc" ] } ], "mendeley" : { "formattedCitation" : "(Peric et al., 2014)", "plainTextFormattedCitation" : "(Peric et al., 2014)", "previouslyFormattedCitation" : "(Peric et al., 2014)" }, "properties" : { "noteIndex" : 0 }, "schema" : "https://github.com/citation-style-language/schema/raw/master/csl-citation.json" }</w:instrText>
      </w:r>
      <w:r w:rsidR="00686E57" w:rsidRPr="00783958">
        <w:rPr>
          <w:sz w:val="24"/>
        </w:rPr>
        <w:fldChar w:fldCharType="separate"/>
      </w:r>
      <w:r w:rsidR="001D7427" w:rsidRPr="00783958">
        <w:rPr>
          <w:noProof/>
          <w:sz w:val="24"/>
        </w:rPr>
        <w:t>(Peric et al., 2014)</w:t>
      </w:r>
      <w:r w:rsidR="00686E57" w:rsidRPr="00783958">
        <w:rPr>
          <w:sz w:val="24"/>
        </w:rPr>
        <w:fldChar w:fldCharType="end"/>
      </w:r>
      <w:r w:rsidR="00E629A3" w:rsidRPr="00783958">
        <w:rPr>
          <w:sz w:val="24"/>
        </w:rPr>
        <w:t>.</w:t>
      </w:r>
      <w:r w:rsidR="00552693" w:rsidRPr="00783958">
        <w:rPr>
          <w:sz w:val="24"/>
        </w:rPr>
        <w:t xml:space="preserve"> By not comparing the toxicology </w:t>
      </w:r>
      <w:r w:rsidR="00D23A64" w:rsidRPr="00783958">
        <w:rPr>
          <w:sz w:val="24"/>
        </w:rPr>
        <w:t>(</w:t>
      </w:r>
      <w:r w:rsidR="00552693" w:rsidRPr="00783958">
        <w:rPr>
          <w:sz w:val="24"/>
        </w:rPr>
        <w:t>and biodegradation</w:t>
      </w:r>
      <w:r w:rsidR="00D23A64" w:rsidRPr="00783958">
        <w:rPr>
          <w:sz w:val="24"/>
        </w:rPr>
        <w:t>)</w:t>
      </w:r>
      <w:r w:rsidR="00552693" w:rsidRPr="00783958">
        <w:rPr>
          <w:sz w:val="24"/>
        </w:rPr>
        <w:t xml:space="preserve"> of </w:t>
      </w:r>
      <w:r w:rsidR="00E629A3" w:rsidRPr="00783958">
        <w:rPr>
          <w:sz w:val="24"/>
        </w:rPr>
        <w:t xml:space="preserve">PILs </w:t>
      </w:r>
      <w:r w:rsidR="00552693" w:rsidRPr="00783958">
        <w:rPr>
          <w:sz w:val="24"/>
        </w:rPr>
        <w:t xml:space="preserve">and </w:t>
      </w:r>
      <w:r w:rsidR="00E629A3" w:rsidRPr="00783958">
        <w:rPr>
          <w:sz w:val="24"/>
        </w:rPr>
        <w:t>AILs</w:t>
      </w:r>
      <w:r w:rsidR="00552693" w:rsidRPr="00783958">
        <w:rPr>
          <w:sz w:val="24"/>
        </w:rPr>
        <w:t xml:space="preserve"> with </w:t>
      </w:r>
      <w:r w:rsidR="009D78E6" w:rsidRPr="00783958">
        <w:rPr>
          <w:sz w:val="24"/>
        </w:rPr>
        <w:t xml:space="preserve">analogous </w:t>
      </w:r>
      <w:r w:rsidR="00552693" w:rsidRPr="00783958">
        <w:rPr>
          <w:sz w:val="24"/>
        </w:rPr>
        <w:t xml:space="preserve">structures, we lack </w:t>
      </w:r>
      <w:r w:rsidR="00B704A7" w:rsidRPr="00783958">
        <w:rPr>
          <w:sz w:val="24"/>
        </w:rPr>
        <w:t xml:space="preserve">systematic </w:t>
      </w:r>
      <w:r w:rsidR="00552693" w:rsidRPr="00783958">
        <w:rPr>
          <w:sz w:val="24"/>
        </w:rPr>
        <w:t xml:space="preserve">insight into how the </w:t>
      </w:r>
      <w:r w:rsidR="006A6783">
        <w:rPr>
          <w:sz w:val="24"/>
        </w:rPr>
        <w:t xml:space="preserve">ionic </w:t>
      </w:r>
      <w:r w:rsidR="00552693" w:rsidRPr="00783958">
        <w:rPr>
          <w:sz w:val="24"/>
        </w:rPr>
        <w:t xml:space="preserve">nature of </w:t>
      </w:r>
      <w:r w:rsidR="006A6783">
        <w:rPr>
          <w:sz w:val="24"/>
        </w:rPr>
        <w:t xml:space="preserve">an </w:t>
      </w:r>
      <w:r w:rsidR="00552693" w:rsidRPr="00783958">
        <w:rPr>
          <w:sz w:val="24"/>
        </w:rPr>
        <w:t xml:space="preserve">IL affects the </w:t>
      </w:r>
      <w:r w:rsidR="0090245A" w:rsidRPr="00783958">
        <w:rPr>
          <w:sz w:val="24"/>
        </w:rPr>
        <w:t>toxicology</w:t>
      </w:r>
      <w:r w:rsidR="00552693" w:rsidRPr="00783958">
        <w:rPr>
          <w:sz w:val="24"/>
        </w:rPr>
        <w:t xml:space="preserve">. </w:t>
      </w:r>
      <w:r w:rsidR="00F14BD4" w:rsidRPr="00783958">
        <w:rPr>
          <w:sz w:val="24"/>
        </w:rPr>
        <w:t xml:space="preserve">We hypothesise that </w:t>
      </w:r>
      <w:r w:rsidR="00715F57" w:rsidRPr="00783958">
        <w:rPr>
          <w:sz w:val="24"/>
        </w:rPr>
        <w:t xml:space="preserve">the </w:t>
      </w:r>
      <w:r w:rsidR="00F14BD4" w:rsidRPr="00783958">
        <w:rPr>
          <w:sz w:val="24"/>
        </w:rPr>
        <w:t xml:space="preserve">variation </w:t>
      </w:r>
      <w:r w:rsidR="00715F57" w:rsidRPr="00783958">
        <w:rPr>
          <w:sz w:val="24"/>
        </w:rPr>
        <w:t>in</w:t>
      </w:r>
      <w:r w:rsidR="00F14BD4" w:rsidRPr="00783958">
        <w:rPr>
          <w:sz w:val="24"/>
        </w:rPr>
        <w:t xml:space="preserve"> ionic nature will influence the biocompatibility of the resulting ILs. </w:t>
      </w:r>
      <w:r w:rsidR="00F14BD4" w:rsidRPr="00783958">
        <w:rPr>
          <w:rFonts w:cs="Times New Roman"/>
          <w:sz w:val="24"/>
        </w:rPr>
        <w:t xml:space="preserve">In general, ionic species will travel slower through cell walls </w:t>
      </w:r>
      <w:r w:rsidR="001C5962" w:rsidRPr="00783958">
        <w:rPr>
          <w:rFonts w:cs="Times New Roman"/>
          <w:sz w:val="24"/>
        </w:rPr>
        <w:t xml:space="preserve">in the absence of active uptake mechanisms </w:t>
      </w:r>
      <w:r w:rsidR="00F14BD4" w:rsidRPr="00783958">
        <w:rPr>
          <w:rFonts w:cs="Times New Roman"/>
          <w:sz w:val="24"/>
        </w:rPr>
        <w:t>than neutral species of similar sizes</w:t>
      </w:r>
      <w:r w:rsidR="00E629A3" w:rsidRPr="00783958">
        <w:rPr>
          <w:rFonts w:cs="Times New Roman"/>
          <w:sz w:val="24"/>
        </w:rPr>
        <w:t xml:space="preserve"> </w:t>
      </w:r>
      <w:r w:rsidR="00352BE1" w:rsidRPr="00783958">
        <w:rPr>
          <w:rFonts w:cs="Times New Roman"/>
          <w:sz w:val="24"/>
        </w:rPr>
        <w:fldChar w:fldCharType="begin" w:fldLock="1"/>
      </w:r>
      <w:r w:rsidR="00B704A7" w:rsidRPr="00783958">
        <w:rPr>
          <w:rFonts w:cs="Times New Roman"/>
          <w:sz w:val="24"/>
        </w:rPr>
        <w:instrText>ADDIN CSL_CITATION { "citationItems" : [ { "id" : "ITEM-1", "itemData" : { "DOI" : "10.1080/10629369908033224", "ISSN" : "1062936X", "PMID" : "10674293", "abstract" : "Carboxylic acids have been conspicuously absent from the quantitative structure activity relationship (QSAR) literature. This study investigated the aquatic toxicity (log(IGC;,)) of selected mono- and di-carboxylic acids and their sodium, or disodium salts, tested in the Teirahymmena population growth assay. The relationship between log(1GC;d) and hydro- phobicity as described by thc I-octanol water partition coefficient (log K,,,$ revealed a distinct sub-class. The relationship [log(IGC&amp; ) = 0.27(log K,,,) - 0.68; II = 16, r- = 0.943, s = 0.07. i F = 233. Pr &gt; F = O.OOOl] was derived for mono-carboxylic acids. The QSAR [log(IGC;d) = 0.19(logKO,,) - 0.66; IZ = 9, r2 = 0.951, s = 0.08, F= 135, Pr &gt; F= O.OOOl] was generated for the di-carboxylic acids. Regression analysis of data for the monosodium carboxylic acid salts yielded the model, log(1GC;;) = 0.60(logKO,,,) + 0.58; n = 4. rz = 0.932, s 0.19. F = 41.2. Pr &gt;F= 0.008. Values for the ionization constant (pK,) and the energy of the lowest unoccupied molecular orbital (ELUMO) do not vary within the sub-class for saturated acids. Moreover. pK,, and ELUMo did not describe differences in toxicity between sub-classes of saturated aliphatic carboxylic acids and salts. However. these descriptors did vary for unsaturated acids. Inclusion of unsaturated acids afforded the derivation of a global response- surFdce for all aliphatic carboxylic acids, log(1GC;d) = 0.25(logK,,,.) - 0.13(E~\"~o) - 0.54; n = 34, r' = 0.850, s = 0.138, F = 87.9, Pr &gt; F = 0.0001. Outliers to the response-surface included small molecules that provided 2-positions in which the molecule could potentially undergo electrophilic attacked and other more large. hydrophobic molecules", "author" : [ { "dropping-particle" : "", "family" : "Seward", "given" : "J. R.", "non-dropping-particle" : "", "parse-names" : false, "suffix" : "" }, { "dropping-particle" : "", "family" : "Schultz", "given" : "T. W.", "non-dropping-particle" : "", "parse-names" : false, "suffix" : "" } ], "container-title" : "SAR and QSAR in Environmental Research", "id" : "ITEM-1", "issue" : "6", "issued" : { "date-parts" : [ [ "1999", "12" ] ] }, "page" : "557-567", "title" : "QSAR Analyses of the Toxicity of Aliphatic Carboxylic Acids and Salts to Tetrahymena Pyriformis", "type" : "article-journal", "volume" : "10" }, "uris" : [ "http://www.mendeley.com/documents/?uuid=307beaa0-2200-47c1-9f83-3e84c0fe02e3" ] } ], "mendeley" : { "formattedCitation" : "(Seward and Schultz, 1999)", "plainTextFormattedCitation" : "(Seward and Schultz, 1999)", "previouslyFormattedCitation" : "(Seward and Schultz, 1999)" }, "properties" : { "noteIndex" : 0 }, "schema" : "https://github.com/citation-style-language/schema/raw/master/csl-citation.json" }</w:instrText>
      </w:r>
      <w:r w:rsidR="00352BE1" w:rsidRPr="00783958">
        <w:rPr>
          <w:rFonts w:cs="Times New Roman"/>
          <w:sz w:val="24"/>
        </w:rPr>
        <w:fldChar w:fldCharType="separate"/>
      </w:r>
      <w:r w:rsidR="001D7427" w:rsidRPr="00783958">
        <w:rPr>
          <w:rFonts w:cs="Times New Roman"/>
          <w:noProof/>
          <w:sz w:val="24"/>
        </w:rPr>
        <w:t>(Seward and Schultz, 1999)</w:t>
      </w:r>
      <w:r w:rsidR="00352BE1" w:rsidRPr="00783958">
        <w:rPr>
          <w:rFonts w:cs="Times New Roman"/>
          <w:sz w:val="24"/>
        </w:rPr>
        <w:fldChar w:fldCharType="end"/>
      </w:r>
      <w:r w:rsidR="00E629A3" w:rsidRPr="00783958">
        <w:rPr>
          <w:rFonts w:cs="Times New Roman"/>
          <w:sz w:val="24"/>
        </w:rPr>
        <w:t>.</w:t>
      </w:r>
      <w:r w:rsidR="00F14BD4" w:rsidRPr="00783958">
        <w:rPr>
          <w:rFonts w:cs="Times New Roman"/>
          <w:sz w:val="24"/>
        </w:rPr>
        <w:t xml:space="preserve"> Protic ILs are often regarded as having less ionic character than their aprotic counterparts</w:t>
      </w:r>
      <w:r w:rsidR="00715F57" w:rsidRPr="00783958">
        <w:rPr>
          <w:rFonts w:cs="Times New Roman"/>
          <w:sz w:val="24"/>
        </w:rPr>
        <w:t>,</w:t>
      </w:r>
      <w:r w:rsidR="00F14BD4" w:rsidRPr="00783958">
        <w:rPr>
          <w:rFonts w:cs="Times New Roman"/>
          <w:sz w:val="24"/>
        </w:rPr>
        <w:t xml:space="preserve"> due to the proton transfer equilibrium that results in neutral species</w:t>
      </w:r>
      <w:r w:rsidR="00F87645" w:rsidRPr="00783958">
        <w:rPr>
          <w:rFonts w:cs="Times New Roman"/>
          <w:sz w:val="24"/>
        </w:rPr>
        <w:t>, as well as strong ion-ion interactions through anion-cation hydrogen bonding interactions</w:t>
      </w:r>
      <w:r w:rsidR="00DF10A9" w:rsidRPr="00783958">
        <w:rPr>
          <w:rFonts w:cs="Times New Roman"/>
          <w:sz w:val="24"/>
        </w:rPr>
        <w:t xml:space="preserve"> </w:t>
      </w:r>
      <w:r w:rsidR="00DF10A9" w:rsidRPr="00783958">
        <w:rPr>
          <w:rFonts w:cs="Times New Roman"/>
          <w:sz w:val="24"/>
        </w:rPr>
        <w:fldChar w:fldCharType="begin" w:fldLock="1"/>
      </w:r>
      <w:r w:rsidR="00EE1963">
        <w:rPr>
          <w:rFonts w:cs="Times New Roman"/>
          <w:sz w:val="24"/>
        </w:rPr>
        <w:instrText>ADDIN CSL_CITATION { "citationItems" : [ { "id" : "ITEM-1", "itemData" : { "DOI" : "10.1039/C1FD00112D", "abstract" : "An overview of the field of low-melting ionic liquids is given from its inception in 1886 through to the present time. The subject is divided into an introductory section that summarizes the early history of the field, and differentiates its sub-sections, before addressing matters judged of some interest in \u201cpre-surge\u201d and \u201cpost-surge\u201d stages of its development, focusing on physicochemical as opposed to the prolific synthetic and industrial aspects in which the author has no competence. We give a final section specifically to protic ionic liquids, which we consider to have particular scientific potential.", "author" : [ { "dropping-particle" : "", "family" : "Austen Angell", "given" : "C.", "non-dropping-particle" : "", "parse-names" : false, "suffix" : "" }, { "dropping-particle" : "", "family" : "Ansari", "given" : "Younes", "non-dropping-particle" : "", "parse-names" : false, "suffix" : "" }, { "dropping-particle" : "", "family" : "Zhao", "given" : "Zuofeng", "non-dropping-particle" : "", "parse-names" : false, "suffix" : "" } ], "container-title" : "Faraday Discuss.", "id" : "ITEM-1", "issue" : "0", "issued" : { "date-parts" : [ [ "2012" ] ] }, "page" : "9-27", "publisher" : "The Royal Society of Chemistry", "title" : "Ionic Liquids: Past, present and future", "type" : "article-journal", "volume" : "154" }, "uris" : [ "http://www.mendeley.com/documents/?uuid=06359c02-3178-3925-bd69-871e2c23e889" ] }, { "id" : "ITEM-2", "itemData" : { "DOI" : "10.1021/acs.chemrev.5b00158", "ISBN" : "0009-2665", "ISSN" : "15206890", "PMID" : "26426209", "author" : [ { "dropping-particle" : "", "family" : "Greaves", "given" : "Tamar L", "non-dropping-particle" : "", "parse-names" : false, "suffix" : "" }, { "dropping-particle" : "", "family" : "Drummond", "given" : "Calum J", "non-dropping-particle" : "", "parse-names" : false, "suffix" : "" } ], "container-title" : "Chemical Reviews", "id" : "ITEM-2", "issue" : "20", "issued" : { "date-parts" : [ [ "2015" ] ] }, "page" : "11379-11448", "title" : "Protic Ionic Liquids: Evolving Structure-Property Relationships and Expanding Applications", "type" : "article", "volume" : "115" }, "uris" : [ "http://www.mendeley.com/documents/?uuid=d16d8f48-ecfb-4ac6-9af4-e41bcba7a4f7" ] }, { "id" : "ITEM-3", "itemData" : { "DOI" : "10.1039/C7CP05076C", "abstract" : "Ionicity of protic ionic liquids are significantly affected by additional functionality, thereby influencing solvation properties.", "author" : [ { "dropping-particle" : "", "family" : "Reid", "given" : "Joshua E. S. J.", "non-dropping-particle" : "", "parse-names" : false, "suffix" : "" }, { "dropping-particle" : "", "family" : "Bernardes", "given" : "Carlos E. S.", "non-dropping-particle" : "", "parse-names" : false, "suffix" : "" }, { "dropping-particle" : "", "family" : "Agapito", "given" : "Filipe", "non-dropping-particle" : "", "parse-names" : false, "suffix" : "" }, { "dropping-particle" : "", "family" : "Martins", "given" : "Filomena", "non-dropping-particle" : "", "parse-names" : false, "suffix" : "" }, { "dropping-particle" : "", "family" : "Shimizu", "given" : "Seishi", "non-dropping-particle" : "", "parse-names" : false, "suffix" : "" }, { "dropping-particle" : "", "family" : "Minas da Piedade", "given" : "Manuel E.", "non-dropping-particle" : "", "parse-names" : false, "suffix" : "" }, { "dropping-particle" : "", "family" : "Walker", "given" : "Adam J.", "non-dropping-particle" : "", "parse-names" : false, "suffix" : "" } ], "container-title" : "Physical Chemistry Chemical Physics", "id" : "ITEM-3", "issue" : "41", "issued" : { "date-parts" : [ [ "2017", "10", "25" ] ] }, "page" : "28133-28138", "publisher" : "The Royal Society of Chemistry", "title" : "Structure-property relationships in protic ionic liquids: a study of solvent-solvent and solvent-solute interactions", "type" : "article-journal", "volume" : "19" }, "uris" : [ "http://www.mendeley.com/documents/?uuid=8059cb65-4216-45c3-96ac-3d4adfcc4885" ] } ], "mendeley" : { "formattedCitation" : "(Austen Angell et al., 2012; Greaves and Drummond, 2015; Reid et al., 2017b)", "plainTextFormattedCitation" : "(Austen Angell et al., 2012; Greaves and Drummond, 2015; Reid et al., 2017b)", "previouslyFormattedCitation" : "(Austen Angell et al., 2012; Greaves and Drummond, 2015; Reid et al., 2017b)" }, "properties" : { "noteIndex" : 0 }, "schema" : "https://github.com/citation-style-language/schema/raw/master/csl-citation.json" }</w:instrText>
      </w:r>
      <w:r w:rsidR="00DF10A9" w:rsidRPr="00783958">
        <w:rPr>
          <w:rFonts w:cs="Times New Roman"/>
          <w:sz w:val="24"/>
        </w:rPr>
        <w:fldChar w:fldCharType="separate"/>
      </w:r>
      <w:r w:rsidR="00EE1963" w:rsidRPr="00EE1963">
        <w:rPr>
          <w:rFonts w:cs="Times New Roman"/>
          <w:noProof/>
          <w:sz w:val="24"/>
        </w:rPr>
        <w:t>(Austen Angell et al., 2012; Greaves and Drummond, 2015; Reid et al., 2017b)</w:t>
      </w:r>
      <w:r w:rsidR="00DF10A9" w:rsidRPr="00783958">
        <w:rPr>
          <w:rFonts w:cs="Times New Roman"/>
          <w:sz w:val="24"/>
        </w:rPr>
        <w:fldChar w:fldCharType="end"/>
      </w:r>
      <w:r w:rsidR="00F14BD4" w:rsidRPr="00783958">
        <w:rPr>
          <w:rFonts w:cs="Times New Roman"/>
          <w:sz w:val="24"/>
        </w:rPr>
        <w:t xml:space="preserve">. This fundamental difference in the molecular interactions between aprotic and protic ILs </w:t>
      </w:r>
      <w:r w:rsidR="00B704A7" w:rsidRPr="00783958">
        <w:rPr>
          <w:rFonts w:cs="Times New Roman"/>
          <w:sz w:val="24"/>
        </w:rPr>
        <w:fldChar w:fldCharType="begin" w:fldLock="1"/>
      </w:r>
      <w:r w:rsidR="00EE1963">
        <w:rPr>
          <w:rFonts w:cs="Times New Roman"/>
          <w:sz w:val="24"/>
        </w:rPr>
        <w:instrText>ADDIN CSL_CITATION { "citationItems" : [ { "id" : "ITEM-1", "itemData" : { "DOI" : "10.1021/acs.jpcb.6b10562", "ISSN" : "1520-6106", "abstract" : "The sensitivity of ionic liquids (ILs) to water affects their physical and chemical properties, even at relatively low concentrations, yet the structural thermodynamics of protic IL\u2013 (PIL\u2212) water systems at low water concentrations still remains unclear. Using the rigorous Kirkwood\u2013Buff theory of solutions, which can quantify the interactions between species in IL\u2013water systems solely from thermodynamic data, we have shown the following: (1) Between analogous protic and aprotic ILs (AILs), the AIL cholinium bis(trifluoromethanesulfonyl)imide ([Ch][NTf2]) shows stronger interactions with water at low water concentrations, with the analogous PIL N,N-dimethylethanolammonium bis(trifluoromethanesulfonyl)imide ([DMEtA][NTf2]) having stronger water\u2013ion interactions at higher water contents, despite water\u2013ion interactions weakening with increasing water content in both systems. (2) Water has little effect on the average ion\u2013ion interactions in both protic and aprotic ILs, aside from the AIL [Ch][NTf2], which sho...", "author" : [ { "dropping-particle" : "", "family" : "Reid", "given" : "Joshua E. S. J.", "non-dropping-particle" : "", "parse-names" : false, "suffix" : "" }, { "dropping-particle" : "", "family" : "Gammons", "given" : "Richard J.", "non-dropping-particle" : "", "parse-names" : false, "suffix" : "" }, { "dropping-particle" : "", "family" : "Slattery", "given" : "John M.", "non-dropping-particle" : "", "parse-names" : false, "suffix" : "" }, { "dropping-particle" : "", "family" : "Walker", "given" : "Adam J.", "non-dropping-particle" : "", "parse-names" : false, "suffix" : "" }, { "dropping-particle" : "", "family" : "Shimizu", "given" : "Seishi", "non-dropping-particle" : "", "parse-names" : false, "suffix" : "" } ], "container-title" : "The Journal of Physical Chemistry B", "id" : "ITEM-1", "issue" : "3", "issued" : { "date-parts" : [ [ "2017", "1", "26" ] ] }, "page" : "599-609", "publisher" : "American Chemical Society", "title" : "Interactions in Water\u2013Ionic Liquid Mixtures: Comparing Protic and Aprotic Systems", "type" : "article-journal", "volume" : "121" }, "uris" : [ "http://www.mendeley.com/documents/?uuid=57304b44-7dda-341b-9b29-ddd75b5e7cc1" ] } ], "mendeley" : { "formattedCitation" : "(Reid et al., 2017c)", "plainTextFormattedCitation" : "(Reid et al., 2017c)", "previouslyFormattedCitation" : "(Reid et al., 2017c)" }, "properties" : { "noteIndex" : 0 }, "schema" : "https://github.com/citation-style-language/schema/raw/master/csl-citation.json" }</w:instrText>
      </w:r>
      <w:r w:rsidR="00B704A7" w:rsidRPr="00783958">
        <w:rPr>
          <w:rFonts w:cs="Times New Roman"/>
          <w:sz w:val="24"/>
        </w:rPr>
        <w:fldChar w:fldCharType="separate"/>
      </w:r>
      <w:r w:rsidR="00EE1963" w:rsidRPr="00EE1963">
        <w:rPr>
          <w:rFonts w:cs="Times New Roman"/>
          <w:noProof/>
          <w:sz w:val="24"/>
        </w:rPr>
        <w:t>(Reid et al., 2017c)</w:t>
      </w:r>
      <w:r w:rsidR="00B704A7" w:rsidRPr="00783958">
        <w:rPr>
          <w:rFonts w:cs="Times New Roman"/>
          <w:sz w:val="24"/>
        </w:rPr>
        <w:fldChar w:fldCharType="end"/>
      </w:r>
      <w:r w:rsidR="00B704A7" w:rsidRPr="00783958">
        <w:rPr>
          <w:rFonts w:cs="Times New Roman"/>
          <w:sz w:val="24"/>
        </w:rPr>
        <w:t xml:space="preserve"> </w:t>
      </w:r>
      <w:r w:rsidR="00F14BD4" w:rsidRPr="00783958">
        <w:rPr>
          <w:rFonts w:cs="Times New Roman"/>
          <w:sz w:val="24"/>
        </w:rPr>
        <w:t xml:space="preserve">has significant implications on the use of QSARs </w:t>
      </w:r>
      <w:r w:rsidR="001C5962" w:rsidRPr="00783958">
        <w:rPr>
          <w:rFonts w:cs="Times New Roman"/>
          <w:sz w:val="24"/>
        </w:rPr>
        <w:t>for PIL</w:t>
      </w:r>
      <w:r w:rsidR="00A37AC4" w:rsidRPr="00783958">
        <w:rPr>
          <w:rFonts w:cs="Times New Roman"/>
          <w:sz w:val="24"/>
        </w:rPr>
        <w:t>s</w:t>
      </w:r>
      <w:r w:rsidR="001C5962" w:rsidRPr="00783958">
        <w:rPr>
          <w:rFonts w:cs="Times New Roman"/>
          <w:sz w:val="24"/>
        </w:rPr>
        <w:t xml:space="preserve"> and </w:t>
      </w:r>
      <w:r w:rsidR="00181DEF" w:rsidRPr="00783958">
        <w:rPr>
          <w:rFonts w:cs="Times New Roman"/>
          <w:sz w:val="24"/>
        </w:rPr>
        <w:t>AIL</w:t>
      </w:r>
      <w:r w:rsidR="00A37AC4" w:rsidRPr="00783958">
        <w:rPr>
          <w:rFonts w:cs="Times New Roman"/>
          <w:sz w:val="24"/>
        </w:rPr>
        <w:t>s</w:t>
      </w:r>
      <w:r w:rsidR="001C5962" w:rsidRPr="00783958">
        <w:rPr>
          <w:rFonts w:cs="Times New Roman"/>
          <w:sz w:val="24"/>
        </w:rPr>
        <w:t xml:space="preserve"> by not </w:t>
      </w:r>
      <w:r w:rsidR="00F14BD4" w:rsidRPr="00783958">
        <w:rPr>
          <w:rFonts w:cs="Times New Roman"/>
          <w:sz w:val="24"/>
        </w:rPr>
        <w:t xml:space="preserve">compensating for the difference in ionic nature. </w:t>
      </w:r>
    </w:p>
    <w:p w14:paraId="2FE51F3C" w14:textId="3BFE5909" w:rsidR="00E1100D" w:rsidRPr="00783958" w:rsidRDefault="00552693" w:rsidP="0057405D">
      <w:pPr>
        <w:spacing w:before="240" w:line="480" w:lineRule="auto"/>
        <w:jc w:val="both"/>
        <w:rPr>
          <w:rFonts w:cs="Times New Roman"/>
          <w:sz w:val="24"/>
        </w:rPr>
      </w:pPr>
      <w:r w:rsidRPr="00783958">
        <w:rPr>
          <w:sz w:val="24"/>
        </w:rPr>
        <w:lastRenderedPageBreak/>
        <w:t xml:space="preserve">To address this, </w:t>
      </w:r>
      <w:r w:rsidR="003516E0" w:rsidRPr="00783958">
        <w:rPr>
          <w:sz w:val="24"/>
        </w:rPr>
        <w:t>twelve</w:t>
      </w:r>
      <w:r w:rsidRPr="00783958">
        <w:rPr>
          <w:sz w:val="24"/>
        </w:rPr>
        <w:t xml:space="preserve"> aprotic and</w:t>
      </w:r>
      <w:r w:rsidR="003516E0" w:rsidRPr="00783958">
        <w:rPr>
          <w:sz w:val="24"/>
        </w:rPr>
        <w:t xml:space="preserve"> twelve</w:t>
      </w:r>
      <w:r w:rsidRPr="00783958">
        <w:rPr>
          <w:sz w:val="24"/>
        </w:rPr>
        <w:t xml:space="preserve"> protic </w:t>
      </w:r>
      <w:r w:rsidR="003516E0" w:rsidRPr="00783958">
        <w:rPr>
          <w:sz w:val="24"/>
        </w:rPr>
        <w:t>ILs</w:t>
      </w:r>
      <w:r w:rsidRPr="00783958">
        <w:rPr>
          <w:sz w:val="24"/>
        </w:rPr>
        <w:t xml:space="preserve"> </w:t>
      </w:r>
      <w:r w:rsidR="00643565" w:rsidRPr="00783958">
        <w:rPr>
          <w:sz w:val="24"/>
        </w:rPr>
        <w:t>(</w:t>
      </w:r>
      <w:r w:rsidR="00643565" w:rsidRPr="00783958">
        <w:rPr>
          <w:b/>
          <w:sz w:val="24"/>
        </w:rPr>
        <w:t>1</w:t>
      </w:r>
      <w:r w:rsidR="00FC0426" w:rsidRPr="00783958">
        <w:rPr>
          <w:b/>
          <w:sz w:val="24"/>
        </w:rPr>
        <w:t>a</w:t>
      </w:r>
      <w:r w:rsidR="00643565" w:rsidRPr="00783958">
        <w:rPr>
          <w:b/>
          <w:sz w:val="24"/>
        </w:rPr>
        <w:t>-</w:t>
      </w:r>
      <w:r w:rsidR="00FC0426" w:rsidRPr="00783958">
        <w:rPr>
          <w:b/>
          <w:sz w:val="24"/>
        </w:rPr>
        <w:t>6d</w:t>
      </w:r>
      <w:r w:rsidR="00643565" w:rsidRPr="00783958">
        <w:rPr>
          <w:sz w:val="24"/>
        </w:rPr>
        <w:t xml:space="preserve">) </w:t>
      </w:r>
      <w:r w:rsidRPr="00783958">
        <w:rPr>
          <w:sz w:val="24"/>
        </w:rPr>
        <w:t>with analogous cation and anion structure</w:t>
      </w:r>
      <w:r w:rsidR="003516E0" w:rsidRPr="00783958">
        <w:rPr>
          <w:sz w:val="24"/>
        </w:rPr>
        <w:t xml:space="preserve"> </w:t>
      </w:r>
      <w:r w:rsidR="00EC0027" w:rsidRPr="00783958">
        <w:rPr>
          <w:sz w:val="24"/>
        </w:rPr>
        <w:t>were</w:t>
      </w:r>
      <w:r w:rsidR="003516E0" w:rsidRPr="00783958">
        <w:rPr>
          <w:sz w:val="24"/>
        </w:rPr>
        <w:t xml:space="preserve"> </w:t>
      </w:r>
      <w:r w:rsidR="00EC0027" w:rsidRPr="00783958">
        <w:rPr>
          <w:sz w:val="24"/>
        </w:rPr>
        <w:t>synthesised</w:t>
      </w:r>
      <w:r w:rsidR="003516E0" w:rsidRPr="00783958">
        <w:rPr>
          <w:sz w:val="24"/>
        </w:rPr>
        <w:t xml:space="preserve"> for</w:t>
      </w:r>
      <w:r w:rsidRPr="00783958">
        <w:rPr>
          <w:sz w:val="24"/>
        </w:rPr>
        <w:t xml:space="preserve"> </w:t>
      </w:r>
      <w:r w:rsidR="00970249" w:rsidRPr="00783958">
        <w:rPr>
          <w:sz w:val="24"/>
        </w:rPr>
        <w:t xml:space="preserve">identical </w:t>
      </w:r>
      <w:r w:rsidR="00A960A0" w:rsidRPr="00783958">
        <w:rPr>
          <w:sz w:val="24"/>
        </w:rPr>
        <w:t>micro</w:t>
      </w:r>
      <w:r w:rsidR="00970249" w:rsidRPr="00783958">
        <w:rPr>
          <w:sz w:val="24"/>
        </w:rPr>
        <w:t>toxicity and biodegradation screening</w:t>
      </w:r>
      <w:r w:rsidR="00210695" w:rsidRPr="00783958">
        <w:rPr>
          <w:sz w:val="24"/>
        </w:rPr>
        <w:t xml:space="preserve"> (Table 1)</w:t>
      </w:r>
      <w:r w:rsidR="00970249" w:rsidRPr="00783958">
        <w:rPr>
          <w:sz w:val="24"/>
        </w:rPr>
        <w:t>.</w:t>
      </w:r>
      <w:r w:rsidRPr="00783958">
        <w:rPr>
          <w:sz w:val="24"/>
        </w:rPr>
        <w:t xml:space="preserve"> By selecting AILs derived from cholinium cation</w:t>
      </w:r>
      <w:r w:rsidR="00EC0027" w:rsidRPr="00783958">
        <w:rPr>
          <w:sz w:val="24"/>
        </w:rPr>
        <w:t>s</w:t>
      </w:r>
      <w:r w:rsidR="00996361" w:rsidRPr="00783958">
        <w:rPr>
          <w:sz w:val="24"/>
        </w:rPr>
        <w:t xml:space="preserve"> ([Ch</w:t>
      </w:r>
      <w:r w:rsidR="00CA74D1" w:rsidRPr="00783958">
        <w:rPr>
          <w:sz w:val="24"/>
        </w:rPr>
        <w:t>]</w:t>
      </w:r>
      <w:r w:rsidR="00064F20" w:rsidRPr="00783958">
        <w:rPr>
          <w:sz w:val="24"/>
        </w:rPr>
        <w:t xml:space="preserve"> </w:t>
      </w:r>
      <w:r w:rsidR="00064F20" w:rsidRPr="00783958">
        <w:rPr>
          <w:b/>
          <w:sz w:val="24"/>
        </w:rPr>
        <w:t>1</w:t>
      </w:r>
      <w:r w:rsidR="00FC0426" w:rsidRPr="00783958">
        <w:rPr>
          <w:b/>
          <w:sz w:val="24"/>
        </w:rPr>
        <w:t>a-d</w:t>
      </w:r>
      <w:r w:rsidR="00996361" w:rsidRPr="00783958">
        <w:rPr>
          <w:sz w:val="24"/>
        </w:rPr>
        <w:t>)</w:t>
      </w:r>
      <w:r w:rsidRPr="00783958">
        <w:rPr>
          <w:sz w:val="24"/>
        </w:rPr>
        <w:t xml:space="preserve"> and PILs derived from </w:t>
      </w:r>
      <w:r w:rsidRPr="00783958">
        <w:rPr>
          <w:i/>
          <w:sz w:val="24"/>
        </w:rPr>
        <w:t>N,N</w:t>
      </w:r>
      <w:r w:rsidRPr="00783958">
        <w:rPr>
          <w:sz w:val="24"/>
        </w:rPr>
        <w:t>-dimethylethanolammonium cation</w:t>
      </w:r>
      <w:r w:rsidR="00EC0027" w:rsidRPr="00783958">
        <w:rPr>
          <w:sz w:val="24"/>
        </w:rPr>
        <w:t>s</w:t>
      </w:r>
      <w:r w:rsidR="00996361" w:rsidRPr="00783958">
        <w:rPr>
          <w:sz w:val="24"/>
        </w:rPr>
        <w:t xml:space="preserve"> ([DMEtAH</w:t>
      </w:r>
      <w:r w:rsidR="00CA74D1" w:rsidRPr="00783958">
        <w:rPr>
          <w:sz w:val="24"/>
        </w:rPr>
        <w:t>]</w:t>
      </w:r>
      <w:r w:rsidR="00064F20" w:rsidRPr="00783958">
        <w:rPr>
          <w:sz w:val="24"/>
        </w:rPr>
        <w:t xml:space="preserve"> </w:t>
      </w:r>
      <w:r w:rsidR="00D1454F" w:rsidRPr="00783958">
        <w:rPr>
          <w:b/>
          <w:sz w:val="24"/>
        </w:rPr>
        <w:t>4</w:t>
      </w:r>
      <w:r w:rsidR="00FC0426" w:rsidRPr="00783958">
        <w:rPr>
          <w:b/>
          <w:sz w:val="24"/>
        </w:rPr>
        <w:t>a-d</w:t>
      </w:r>
      <w:r w:rsidR="00996361" w:rsidRPr="00783958">
        <w:rPr>
          <w:sz w:val="24"/>
        </w:rPr>
        <w:t>)</w:t>
      </w:r>
      <w:r w:rsidR="001C5962" w:rsidRPr="00783958">
        <w:rPr>
          <w:sz w:val="24"/>
        </w:rPr>
        <w:t>,</w:t>
      </w:r>
      <w:r w:rsidRPr="00783958">
        <w:rPr>
          <w:sz w:val="24"/>
        </w:rPr>
        <w:t xml:space="preserve"> the </w:t>
      </w:r>
      <w:r w:rsidR="004954AC" w:rsidRPr="00783958">
        <w:rPr>
          <w:sz w:val="24"/>
        </w:rPr>
        <w:t xml:space="preserve">structures can be considered analogous and allow for </w:t>
      </w:r>
      <w:r w:rsidR="00EC0027" w:rsidRPr="00783958">
        <w:rPr>
          <w:sz w:val="24"/>
        </w:rPr>
        <w:t xml:space="preserve">the </w:t>
      </w:r>
      <w:r w:rsidR="004954AC" w:rsidRPr="00783958">
        <w:rPr>
          <w:sz w:val="24"/>
        </w:rPr>
        <w:t>assessment of ionic nature and cation functionality in parallel.</w:t>
      </w:r>
      <w:r w:rsidR="00551A3C" w:rsidRPr="00783958">
        <w:rPr>
          <w:sz w:val="24"/>
        </w:rPr>
        <w:t xml:space="preserve"> We also</w:t>
      </w:r>
      <w:r w:rsidR="0038574A">
        <w:rPr>
          <w:sz w:val="24"/>
        </w:rPr>
        <w:t xml:space="preserve"> further</w:t>
      </w:r>
      <w:r w:rsidR="00551A3C" w:rsidRPr="00783958">
        <w:rPr>
          <w:sz w:val="24"/>
        </w:rPr>
        <w:t xml:space="preserve"> explore the effects of cation functionality by modifying the hydroxyl functional group to either a 2-(2-hydroxyethoxy)ethyl-</w:t>
      </w:r>
      <w:r w:rsidR="00064F20" w:rsidRPr="00783958">
        <w:rPr>
          <w:sz w:val="24"/>
        </w:rPr>
        <w:t xml:space="preserve"> (cations </w:t>
      </w:r>
      <w:r w:rsidR="00D1454F" w:rsidRPr="00783958">
        <w:rPr>
          <w:b/>
          <w:sz w:val="24"/>
        </w:rPr>
        <w:t>2</w:t>
      </w:r>
      <w:r w:rsidR="00FC0426" w:rsidRPr="00783958">
        <w:rPr>
          <w:b/>
          <w:sz w:val="24"/>
        </w:rPr>
        <w:t>a-d</w:t>
      </w:r>
      <w:r w:rsidR="00064F20" w:rsidRPr="00783958">
        <w:rPr>
          <w:b/>
          <w:sz w:val="24"/>
        </w:rPr>
        <w:t xml:space="preserve"> </w:t>
      </w:r>
      <w:r w:rsidR="00064F20" w:rsidRPr="00783958">
        <w:rPr>
          <w:sz w:val="24"/>
        </w:rPr>
        <w:t xml:space="preserve">and </w:t>
      </w:r>
      <w:r w:rsidR="00D1454F" w:rsidRPr="00783958">
        <w:rPr>
          <w:b/>
          <w:sz w:val="24"/>
        </w:rPr>
        <w:t>5</w:t>
      </w:r>
      <w:r w:rsidR="00FC0426" w:rsidRPr="00783958">
        <w:rPr>
          <w:b/>
          <w:sz w:val="24"/>
        </w:rPr>
        <w:t>a-d</w:t>
      </w:r>
      <w:r w:rsidR="00064F20" w:rsidRPr="00783958">
        <w:rPr>
          <w:sz w:val="24"/>
        </w:rPr>
        <w:t>)</w:t>
      </w:r>
      <w:r w:rsidR="00551A3C" w:rsidRPr="00783958">
        <w:rPr>
          <w:sz w:val="24"/>
        </w:rPr>
        <w:t xml:space="preserve"> or a 2-(2-</w:t>
      </w:r>
      <w:r w:rsidR="003C7757" w:rsidRPr="00783958">
        <w:rPr>
          <w:sz w:val="24"/>
        </w:rPr>
        <w:t>e</w:t>
      </w:r>
      <w:r w:rsidR="00551A3C" w:rsidRPr="00783958">
        <w:rPr>
          <w:sz w:val="24"/>
        </w:rPr>
        <w:t>thoxyethoxy)ethyl-</w:t>
      </w:r>
      <w:r w:rsidR="00064F20" w:rsidRPr="00783958">
        <w:rPr>
          <w:sz w:val="24"/>
        </w:rPr>
        <w:t xml:space="preserve"> (cations </w:t>
      </w:r>
      <w:r w:rsidR="00D1454F" w:rsidRPr="00783958">
        <w:rPr>
          <w:b/>
          <w:sz w:val="24"/>
        </w:rPr>
        <w:t>3</w:t>
      </w:r>
      <w:r w:rsidR="00FC0426" w:rsidRPr="00783958">
        <w:rPr>
          <w:b/>
          <w:sz w:val="24"/>
        </w:rPr>
        <w:t>a-d</w:t>
      </w:r>
      <w:r w:rsidR="00064F20" w:rsidRPr="00783958">
        <w:rPr>
          <w:b/>
          <w:sz w:val="24"/>
        </w:rPr>
        <w:t xml:space="preserve"> </w:t>
      </w:r>
      <w:r w:rsidR="00064F20" w:rsidRPr="00783958">
        <w:rPr>
          <w:sz w:val="24"/>
        </w:rPr>
        <w:t xml:space="preserve">and </w:t>
      </w:r>
      <w:r w:rsidR="00064F20" w:rsidRPr="00783958">
        <w:rPr>
          <w:b/>
          <w:sz w:val="24"/>
        </w:rPr>
        <w:t>6</w:t>
      </w:r>
      <w:r w:rsidR="00FC0426" w:rsidRPr="00783958">
        <w:rPr>
          <w:b/>
          <w:sz w:val="24"/>
        </w:rPr>
        <w:t>a-d</w:t>
      </w:r>
      <w:r w:rsidR="00D1454F" w:rsidRPr="00783958">
        <w:rPr>
          <w:b/>
          <w:sz w:val="24"/>
        </w:rPr>
        <w:t>)</w:t>
      </w:r>
      <w:r w:rsidR="00551A3C" w:rsidRPr="00783958">
        <w:rPr>
          <w:sz w:val="24"/>
        </w:rPr>
        <w:t xml:space="preserve"> functional group.</w:t>
      </w:r>
      <w:r w:rsidR="004954AC" w:rsidRPr="00783958">
        <w:rPr>
          <w:sz w:val="24"/>
        </w:rPr>
        <w:t xml:space="preserve"> A selection of carboxylate anion</w:t>
      </w:r>
      <w:r w:rsidR="001C5962" w:rsidRPr="00783958">
        <w:rPr>
          <w:sz w:val="24"/>
        </w:rPr>
        <w:t>s with varying functionality have</w:t>
      </w:r>
      <w:r w:rsidR="004954AC" w:rsidRPr="00783958">
        <w:rPr>
          <w:sz w:val="24"/>
        </w:rPr>
        <w:t xml:space="preserve"> been used to study</w:t>
      </w:r>
      <w:r w:rsidR="00EC0027" w:rsidRPr="00783958">
        <w:rPr>
          <w:sz w:val="24"/>
        </w:rPr>
        <w:t xml:space="preserve"> the</w:t>
      </w:r>
      <w:r w:rsidR="004954AC" w:rsidRPr="00783958">
        <w:rPr>
          <w:sz w:val="24"/>
        </w:rPr>
        <w:t xml:space="preserve"> effects of anion structure</w:t>
      </w:r>
      <w:r w:rsidR="00D1454F" w:rsidRPr="00783958">
        <w:rPr>
          <w:sz w:val="24"/>
        </w:rPr>
        <w:t xml:space="preserve">; acetate </w:t>
      </w:r>
      <w:r w:rsidR="00FC0426" w:rsidRPr="00783958">
        <w:rPr>
          <w:sz w:val="24"/>
        </w:rPr>
        <w:t>(</w:t>
      </w:r>
      <w:r w:rsidR="00FC0426" w:rsidRPr="00783958">
        <w:rPr>
          <w:b/>
          <w:sz w:val="24"/>
        </w:rPr>
        <w:t>1a</w:t>
      </w:r>
      <w:r w:rsidR="00FC0426" w:rsidRPr="00783958">
        <w:rPr>
          <w:sz w:val="24"/>
        </w:rPr>
        <w:t>-</w:t>
      </w:r>
      <w:r w:rsidR="00FC0426" w:rsidRPr="00783958">
        <w:rPr>
          <w:b/>
          <w:sz w:val="24"/>
        </w:rPr>
        <w:t>6a</w:t>
      </w:r>
      <w:r w:rsidR="00FC0426" w:rsidRPr="00783958">
        <w:rPr>
          <w:sz w:val="24"/>
        </w:rPr>
        <w:t>)</w:t>
      </w:r>
      <w:r w:rsidR="00D1454F" w:rsidRPr="00783958">
        <w:rPr>
          <w:sz w:val="24"/>
        </w:rPr>
        <w:t xml:space="preserve">, hexanoate, </w:t>
      </w:r>
      <w:r w:rsidR="00FC0426" w:rsidRPr="00783958">
        <w:rPr>
          <w:sz w:val="24"/>
        </w:rPr>
        <w:t>(</w:t>
      </w:r>
      <w:r w:rsidR="00FC0426" w:rsidRPr="00783958">
        <w:rPr>
          <w:b/>
          <w:sz w:val="24"/>
        </w:rPr>
        <w:t>1b</w:t>
      </w:r>
      <w:r w:rsidR="00FC0426" w:rsidRPr="00783958">
        <w:rPr>
          <w:sz w:val="24"/>
        </w:rPr>
        <w:t>-</w:t>
      </w:r>
      <w:r w:rsidR="00FC0426" w:rsidRPr="00783958">
        <w:rPr>
          <w:b/>
          <w:sz w:val="24"/>
        </w:rPr>
        <w:t>6b</w:t>
      </w:r>
      <w:r w:rsidR="00FC0426" w:rsidRPr="00783958">
        <w:rPr>
          <w:sz w:val="24"/>
        </w:rPr>
        <w:t>)</w:t>
      </w:r>
      <w:r w:rsidR="00D1454F" w:rsidRPr="00783958">
        <w:rPr>
          <w:sz w:val="24"/>
        </w:rPr>
        <w:t xml:space="preserve"> </w:t>
      </w:r>
      <w:r w:rsidR="00C638FE" w:rsidRPr="00783958">
        <w:rPr>
          <w:smallCaps/>
          <w:sz w:val="24"/>
        </w:rPr>
        <w:t>d,l</w:t>
      </w:r>
      <w:r w:rsidR="00C638FE" w:rsidRPr="00783958">
        <w:rPr>
          <w:sz w:val="24"/>
        </w:rPr>
        <w:t>-</w:t>
      </w:r>
      <w:r w:rsidR="00D1454F" w:rsidRPr="00783958">
        <w:rPr>
          <w:sz w:val="24"/>
        </w:rPr>
        <w:t xml:space="preserve">mandelate </w:t>
      </w:r>
      <w:r w:rsidR="00FC0426" w:rsidRPr="00783958">
        <w:rPr>
          <w:sz w:val="24"/>
        </w:rPr>
        <w:t>(</w:t>
      </w:r>
      <w:r w:rsidR="00FC0426" w:rsidRPr="00783958">
        <w:rPr>
          <w:b/>
          <w:sz w:val="24"/>
        </w:rPr>
        <w:t>1c</w:t>
      </w:r>
      <w:r w:rsidR="00FC0426" w:rsidRPr="00783958">
        <w:rPr>
          <w:sz w:val="24"/>
        </w:rPr>
        <w:t>-</w:t>
      </w:r>
      <w:r w:rsidR="00FC0426" w:rsidRPr="00783958">
        <w:rPr>
          <w:b/>
          <w:sz w:val="24"/>
        </w:rPr>
        <w:t>6c</w:t>
      </w:r>
      <w:r w:rsidR="00FC0426" w:rsidRPr="00783958">
        <w:rPr>
          <w:sz w:val="24"/>
        </w:rPr>
        <w:t>)</w:t>
      </w:r>
      <w:r w:rsidR="00D1454F" w:rsidRPr="00783958">
        <w:rPr>
          <w:sz w:val="24"/>
        </w:rPr>
        <w:t xml:space="preserve"> and 3-ethoxypropionate </w:t>
      </w:r>
      <w:r w:rsidR="00FC0426" w:rsidRPr="00783958">
        <w:rPr>
          <w:sz w:val="24"/>
        </w:rPr>
        <w:t>(</w:t>
      </w:r>
      <w:r w:rsidR="00FC0426" w:rsidRPr="00783958">
        <w:rPr>
          <w:b/>
          <w:sz w:val="24"/>
        </w:rPr>
        <w:t>1d</w:t>
      </w:r>
      <w:r w:rsidR="00FC0426" w:rsidRPr="00783958">
        <w:rPr>
          <w:sz w:val="24"/>
        </w:rPr>
        <w:t>-</w:t>
      </w:r>
      <w:r w:rsidR="00FC0426" w:rsidRPr="00783958">
        <w:rPr>
          <w:b/>
          <w:sz w:val="24"/>
        </w:rPr>
        <w:t>6d</w:t>
      </w:r>
      <w:r w:rsidR="00FC0426" w:rsidRPr="00783958">
        <w:rPr>
          <w:sz w:val="24"/>
        </w:rPr>
        <w:t>)</w:t>
      </w:r>
      <w:r w:rsidR="00557FBE">
        <w:rPr>
          <w:sz w:val="24"/>
        </w:rPr>
        <w:t xml:space="preserve"> anions</w:t>
      </w:r>
      <w:r w:rsidR="004954AC" w:rsidRPr="00783958">
        <w:rPr>
          <w:sz w:val="24"/>
        </w:rPr>
        <w:t xml:space="preserve">. </w:t>
      </w:r>
    </w:p>
    <w:p w14:paraId="0B667C9F" w14:textId="28007EEC" w:rsidR="00C638FE" w:rsidRPr="00783958" w:rsidRDefault="00C638FE" w:rsidP="002C4701">
      <w:pPr>
        <w:spacing w:line="360" w:lineRule="auto"/>
        <w:rPr>
          <w:sz w:val="24"/>
        </w:rPr>
      </w:pPr>
      <w:r w:rsidRPr="00783958">
        <w:rPr>
          <w:b/>
          <w:sz w:val="24"/>
        </w:rPr>
        <w:t>Table 1</w:t>
      </w:r>
      <w:r w:rsidRPr="00783958">
        <w:rPr>
          <w:sz w:val="24"/>
        </w:rPr>
        <w:t xml:space="preserve"> Structures of the various cation and anion structures of the APILs (</w:t>
      </w:r>
      <w:r w:rsidRPr="00783958">
        <w:rPr>
          <w:b/>
          <w:sz w:val="24"/>
        </w:rPr>
        <w:t>1</w:t>
      </w:r>
      <w:r w:rsidR="00D23A64" w:rsidRPr="00783958">
        <w:rPr>
          <w:b/>
          <w:sz w:val="24"/>
        </w:rPr>
        <w:t>a</w:t>
      </w:r>
      <w:r w:rsidRPr="00783958">
        <w:rPr>
          <w:rFonts w:cs="Times New Roman"/>
          <w:b/>
          <w:sz w:val="24"/>
        </w:rPr>
        <w:t>–</w:t>
      </w:r>
      <w:r w:rsidR="00D23A64" w:rsidRPr="00783958">
        <w:rPr>
          <w:b/>
          <w:sz w:val="24"/>
        </w:rPr>
        <w:t>3d</w:t>
      </w:r>
      <w:r w:rsidRPr="00783958">
        <w:rPr>
          <w:sz w:val="24"/>
        </w:rPr>
        <w:t>) and PILs (</w:t>
      </w:r>
      <w:r w:rsidR="00D23A64" w:rsidRPr="00783958">
        <w:rPr>
          <w:b/>
          <w:sz w:val="24"/>
        </w:rPr>
        <w:t>4a</w:t>
      </w:r>
      <w:r w:rsidRPr="00783958">
        <w:rPr>
          <w:rFonts w:cs="Times New Roman"/>
          <w:b/>
          <w:sz w:val="24"/>
        </w:rPr>
        <w:t>–</w:t>
      </w:r>
      <w:r w:rsidR="00D23A64" w:rsidRPr="00783958">
        <w:rPr>
          <w:b/>
          <w:sz w:val="24"/>
        </w:rPr>
        <w:t>6d</w:t>
      </w:r>
      <w:r w:rsidRPr="00783958">
        <w:rPr>
          <w:sz w:val="24"/>
        </w:rPr>
        <w:t xml:space="preserve">) in this study. </w:t>
      </w:r>
    </w:p>
    <w:tbl>
      <w:tblPr>
        <w:tblStyle w:val="TableGrid1"/>
        <w:tblW w:w="8526" w:type="dxa"/>
        <w:jc w:val="center"/>
        <w:tblLook w:val="04A0" w:firstRow="1" w:lastRow="0" w:firstColumn="1" w:lastColumn="0" w:noHBand="0" w:noVBand="1"/>
      </w:tblPr>
      <w:tblGrid>
        <w:gridCol w:w="2268"/>
        <w:gridCol w:w="993"/>
        <w:gridCol w:w="1833"/>
        <w:gridCol w:w="1599"/>
        <w:gridCol w:w="1833"/>
      </w:tblGrid>
      <w:tr w:rsidR="00C638FE" w:rsidRPr="003F5FB4" w14:paraId="03A2BE3E" w14:textId="77777777" w:rsidTr="006771CF">
        <w:trPr>
          <w:trHeight w:val="1567"/>
          <w:jc w:val="center"/>
        </w:trPr>
        <w:tc>
          <w:tcPr>
            <w:tcW w:w="2268" w:type="dxa"/>
            <w:tcBorders>
              <w:left w:val="nil"/>
              <w:bottom w:val="single" w:sz="4" w:space="0" w:color="auto"/>
              <w:right w:val="nil"/>
            </w:tcBorders>
            <w:vAlign w:val="center"/>
          </w:tcPr>
          <w:p w14:paraId="4C047391" w14:textId="77777777" w:rsidR="001D7427" w:rsidRPr="00064F20" w:rsidRDefault="001D7427" w:rsidP="002C4701">
            <w:pPr>
              <w:jc w:val="center"/>
              <w:rPr>
                <w:rFonts w:asciiTheme="majorHAnsi" w:eastAsia="Calibri" w:hAnsiTheme="majorHAnsi" w:cstheme="majorHAnsi"/>
                <w:b/>
                <w:szCs w:val="20"/>
              </w:rPr>
            </w:pPr>
          </w:p>
        </w:tc>
        <w:tc>
          <w:tcPr>
            <w:tcW w:w="993" w:type="dxa"/>
            <w:tcBorders>
              <w:top w:val="single" w:sz="4" w:space="0" w:color="auto"/>
              <w:left w:val="nil"/>
              <w:bottom w:val="single" w:sz="4" w:space="0" w:color="auto"/>
              <w:right w:val="nil"/>
            </w:tcBorders>
            <w:vAlign w:val="center"/>
          </w:tcPr>
          <w:p w14:paraId="61D25AB0"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583" w:dyaOrig="554" w14:anchorId="22580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8.45pt" o:ole="">
                  <v:imagedata r:id="rId9" o:title=""/>
                </v:shape>
                <o:OLEObject Type="Embed" ProgID="ChemDraw.Document.6.0" ShapeID="_x0000_i1025" DrawAspect="Content" ObjectID="_1571716192" r:id="rId10"/>
              </w:object>
            </w:r>
          </w:p>
          <w:p w14:paraId="6691DA87" w14:textId="77777777" w:rsidR="00E048C4" w:rsidRDefault="00E048C4" w:rsidP="00C638FE">
            <w:pPr>
              <w:jc w:val="center"/>
              <w:rPr>
                <w:rFonts w:asciiTheme="majorHAnsi" w:eastAsia="Calibri" w:hAnsiTheme="majorHAnsi" w:cstheme="majorHAnsi"/>
                <w:b/>
                <w:szCs w:val="20"/>
              </w:rPr>
            </w:pPr>
          </w:p>
          <w:p w14:paraId="3918E24C" w14:textId="77777777" w:rsidR="00E048C4" w:rsidRPr="006771CF" w:rsidRDefault="00E048C4" w:rsidP="00C638FE">
            <w:pPr>
              <w:jc w:val="center"/>
              <w:rPr>
                <w:rFonts w:asciiTheme="majorHAnsi" w:eastAsia="Calibri" w:hAnsiTheme="majorHAnsi" w:cstheme="majorHAnsi"/>
                <w:b/>
                <w:sz w:val="6"/>
                <w:szCs w:val="6"/>
              </w:rPr>
            </w:pPr>
          </w:p>
          <w:p w14:paraId="5DEE0A0C" w14:textId="593D46D3" w:rsidR="001D7427" w:rsidRPr="00064F20" w:rsidRDefault="004F65D2" w:rsidP="006771CF">
            <w:pPr>
              <w:rPr>
                <w:rFonts w:asciiTheme="majorHAnsi" w:eastAsia="Calibri" w:hAnsiTheme="majorHAnsi" w:cstheme="majorHAnsi"/>
                <w:b/>
                <w:szCs w:val="20"/>
              </w:rPr>
            </w:pPr>
            <w:r>
              <w:rPr>
                <w:rFonts w:asciiTheme="majorHAnsi" w:eastAsia="Calibri" w:hAnsiTheme="majorHAnsi" w:cstheme="majorHAnsi"/>
                <w:b/>
                <w:szCs w:val="20"/>
              </w:rPr>
              <w:t>[OAc]</w:t>
            </w:r>
            <w:r w:rsidR="00E048C4">
              <w:rPr>
                <w:rFonts w:asciiTheme="majorHAnsi" w:eastAsia="Calibri" w:hAnsiTheme="majorHAnsi" w:cstheme="majorHAnsi"/>
                <w:b/>
                <w:szCs w:val="20"/>
              </w:rPr>
              <w:t>,a</w:t>
            </w:r>
          </w:p>
        </w:tc>
        <w:tc>
          <w:tcPr>
            <w:tcW w:w="1833" w:type="dxa"/>
            <w:tcBorders>
              <w:top w:val="single" w:sz="4" w:space="0" w:color="auto"/>
              <w:left w:val="nil"/>
              <w:bottom w:val="single" w:sz="4" w:space="0" w:color="auto"/>
              <w:right w:val="nil"/>
            </w:tcBorders>
            <w:vAlign w:val="center"/>
          </w:tcPr>
          <w:p w14:paraId="7AD595A3" w14:textId="77777777" w:rsidR="00E048C4"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429" w:dyaOrig="554" w14:anchorId="26704F2F">
                <v:shape id="_x0000_i1026" type="#_x0000_t75" style="width:71.15pt;height:28.45pt" o:ole="">
                  <v:imagedata r:id="rId11" o:title=""/>
                </v:shape>
                <o:OLEObject Type="Embed" ProgID="ChemDraw.Document.6.0" ShapeID="_x0000_i1026" DrawAspect="Content" ObjectID="_1571716193" r:id="rId12"/>
              </w:object>
            </w:r>
            <w:r>
              <w:rPr>
                <w:rFonts w:asciiTheme="majorHAnsi" w:eastAsia="Calibri" w:hAnsiTheme="majorHAnsi" w:cstheme="majorHAnsi"/>
                <w:b/>
                <w:szCs w:val="20"/>
              </w:rPr>
              <w:t xml:space="preserve"> </w:t>
            </w:r>
          </w:p>
          <w:p w14:paraId="4EDBEFF8" w14:textId="77777777" w:rsidR="00E048C4" w:rsidRDefault="00E048C4" w:rsidP="00C638FE">
            <w:pPr>
              <w:jc w:val="center"/>
              <w:rPr>
                <w:rFonts w:asciiTheme="majorHAnsi" w:eastAsia="Calibri" w:hAnsiTheme="majorHAnsi" w:cstheme="majorHAnsi"/>
                <w:b/>
                <w:szCs w:val="20"/>
              </w:rPr>
            </w:pPr>
          </w:p>
          <w:p w14:paraId="3829DD3B" w14:textId="77777777" w:rsidR="00E048C4" w:rsidRPr="006771CF" w:rsidRDefault="00E048C4" w:rsidP="00C638FE">
            <w:pPr>
              <w:jc w:val="center"/>
              <w:rPr>
                <w:rFonts w:asciiTheme="majorHAnsi" w:eastAsia="Calibri" w:hAnsiTheme="majorHAnsi" w:cstheme="majorHAnsi"/>
                <w:b/>
                <w:sz w:val="6"/>
                <w:szCs w:val="4"/>
              </w:rPr>
            </w:pPr>
          </w:p>
          <w:p w14:paraId="10044EB8" w14:textId="6EDA7C35" w:rsidR="001D7427" w:rsidRPr="00064F20" w:rsidRDefault="001D7427" w:rsidP="00C638FE">
            <w:pPr>
              <w:jc w:val="center"/>
              <w:rPr>
                <w:rFonts w:asciiTheme="majorHAnsi" w:eastAsia="Calibri" w:hAnsiTheme="majorHAnsi" w:cstheme="majorHAnsi"/>
                <w:b/>
                <w:szCs w:val="20"/>
              </w:rPr>
            </w:pPr>
            <w:r>
              <w:rPr>
                <w:rFonts w:asciiTheme="majorHAnsi" w:eastAsia="Calibri" w:hAnsiTheme="majorHAnsi" w:cstheme="majorHAnsi"/>
                <w:b/>
                <w:szCs w:val="20"/>
              </w:rPr>
              <w:t>[Hx]</w:t>
            </w:r>
            <w:r w:rsidR="00E048C4">
              <w:rPr>
                <w:rFonts w:asciiTheme="majorHAnsi" w:eastAsia="Calibri" w:hAnsiTheme="majorHAnsi" w:cstheme="majorHAnsi"/>
                <w:b/>
                <w:szCs w:val="20"/>
              </w:rPr>
              <w:t>,b</w:t>
            </w:r>
          </w:p>
        </w:tc>
        <w:tc>
          <w:tcPr>
            <w:tcW w:w="1599" w:type="dxa"/>
            <w:tcBorders>
              <w:top w:val="single" w:sz="4" w:space="0" w:color="auto"/>
              <w:left w:val="nil"/>
              <w:bottom w:val="single" w:sz="4" w:space="0" w:color="auto"/>
              <w:right w:val="nil"/>
            </w:tcBorders>
            <w:vAlign w:val="center"/>
          </w:tcPr>
          <w:p w14:paraId="104CB2F3" w14:textId="1BE14173" w:rsidR="001D7427" w:rsidRPr="00064F20" w:rsidRDefault="00C638FE"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219" w:dyaOrig="864" w14:anchorId="3D9A8AF3">
                <v:shape id="_x0000_i1027" type="#_x0000_t75" style="width:60.3pt;height:43.55pt" o:ole="">
                  <v:imagedata r:id="rId13" o:title=""/>
                </v:shape>
                <o:OLEObject Type="Embed" ProgID="ChemDraw.Document.6.0" ShapeID="_x0000_i1027" DrawAspect="Content" ObjectID="_1571716194" r:id="rId14"/>
              </w:object>
            </w:r>
            <w:r w:rsidR="001D7427">
              <w:rPr>
                <w:rFonts w:asciiTheme="majorHAnsi" w:eastAsia="Calibri" w:hAnsiTheme="majorHAnsi" w:cstheme="majorHAnsi"/>
                <w:b/>
                <w:szCs w:val="20"/>
              </w:rPr>
              <w:t>[Md]</w:t>
            </w:r>
            <w:r w:rsidR="00E048C4">
              <w:rPr>
                <w:rFonts w:asciiTheme="majorHAnsi" w:eastAsia="Calibri" w:hAnsiTheme="majorHAnsi" w:cstheme="majorHAnsi"/>
                <w:b/>
                <w:szCs w:val="20"/>
              </w:rPr>
              <w:t>,c</w:t>
            </w:r>
          </w:p>
        </w:tc>
        <w:tc>
          <w:tcPr>
            <w:tcW w:w="1833" w:type="dxa"/>
            <w:tcBorders>
              <w:top w:val="single" w:sz="4" w:space="0" w:color="auto"/>
              <w:left w:val="nil"/>
              <w:bottom w:val="single" w:sz="4" w:space="0" w:color="auto"/>
              <w:right w:val="nil"/>
            </w:tcBorders>
            <w:vAlign w:val="center"/>
          </w:tcPr>
          <w:p w14:paraId="3E899C47" w14:textId="77777777" w:rsidR="00E048C4"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429" w:dyaOrig="554" w14:anchorId="6CD1740D">
                <v:shape id="_x0000_i1028" type="#_x0000_t75" style="width:71.15pt;height:28.45pt" o:ole="">
                  <v:imagedata r:id="rId15" o:title=""/>
                </v:shape>
                <o:OLEObject Type="Embed" ProgID="ChemDraw.Document.6.0" ShapeID="_x0000_i1028" DrawAspect="Content" ObjectID="_1571716195" r:id="rId16"/>
              </w:object>
            </w:r>
            <w:r>
              <w:rPr>
                <w:rFonts w:asciiTheme="majorHAnsi" w:eastAsia="Calibri" w:hAnsiTheme="majorHAnsi" w:cstheme="majorHAnsi"/>
                <w:b/>
                <w:szCs w:val="20"/>
              </w:rPr>
              <w:t xml:space="preserve"> </w:t>
            </w:r>
          </w:p>
          <w:p w14:paraId="06675289" w14:textId="77777777" w:rsidR="00E048C4" w:rsidRDefault="00E048C4" w:rsidP="00C638FE">
            <w:pPr>
              <w:jc w:val="center"/>
              <w:rPr>
                <w:rFonts w:asciiTheme="majorHAnsi" w:eastAsia="Calibri" w:hAnsiTheme="majorHAnsi" w:cstheme="majorHAnsi"/>
                <w:b/>
                <w:szCs w:val="20"/>
              </w:rPr>
            </w:pPr>
          </w:p>
          <w:p w14:paraId="0AAE4A7D" w14:textId="77777777" w:rsidR="00E048C4" w:rsidRPr="006771CF" w:rsidRDefault="00E048C4" w:rsidP="00C638FE">
            <w:pPr>
              <w:jc w:val="center"/>
              <w:rPr>
                <w:rFonts w:asciiTheme="majorHAnsi" w:eastAsia="Calibri" w:hAnsiTheme="majorHAnsi" w:cstheme="majorHAnsi"/>
                <w:b/>
                <w:sz w:val="6"/>
                <w:szCs w:val="6"/>
              </w:rPr>
            </w:pPr>
          </w:p>
          <w:p w14:paraId="6979E067" w14:textId="403D3000" w:rsidR="001D7427" w:rsidRPr="00064F20" w:rsidRDefault="001D7427" w:rsidP="00C638FE">
            <w:pPr>
              <w:jc w:val="center"/>
              <w:rPr>
                <w:rFonts w:asciiTheme="majorHAnsi" w:eastAsia="Calibri" w:hAnsiTheme="majorHAnsi" w:cstheme="majorHAnsi"/>
                <w:b/>
                <w:szCs w:val="20"/>
              </w:rPr>
            </w:pPr>
            <w:r>
              <w:rPr>
                <w:rFonts w:asciiTheme="majorHAnsi" w:eastAsia="Calibri" w:hAnsiTheme="majorHAnsi" w:cstheme="majorHAnsi"/>
                <w:b/>
                <w:szCs w:val="20"/>
              </w:rPr>
              <w:t>[EtOPr]</w:t>
            </w:r>
            <w:r w:rsidR="00E048C4">
              <w:rPr>
                <w:rFonts w:asciiTheme="majorHAnsi" w:eastAsia="Calibri" w:hAnsiTheme="majorHAnsi" w:cstheme="majorHAnsi"/>
                <w:b/>
                <w:szCs w:val="20"/>
              </w:rPr>
              <w:t>,d</w:t>
            </w:r>
          </w:p>
        </w:tc>
      </w:tr>
      <w:tr w:rsidR="00C638FE" w:rsidRPr="003F5FB4" w14:paraId="24A8904A" w14:textId="77777777" w:rsidTr="001B73A2">
        <w:trPr>
          <w:trHeight w:val="164"/>
          <w:jc w:val="center"/>
        </w:trPr>
        <w:tc>
          <w:tcPr>
            <w:tcW w:w="2268" w:type="dxa"/>
            <w:tcBorders>
              <w:top w:val="single" w:sz="4" w:space="0" w:color="auto"/>
              <w:left w:val="nil"/>
              <w:bottom w:val="single" w:sz="4" w:space="0" w:color="auto"/>
              <w:right w:val="nil"/>
            </w:tcBorders>
            <w:shd w:val="clear" w:color="auto" w:fill="FFFFFF" w:themeFill="background1"/>
            <w:vAlign w:val="center"/>
          </w:tcPr>
          <w:p w14:paraId="1568F671"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074" w:dyaOrig="495" w14:anchorId="3A5E0684">
                <v:shape id="_x0000_i1029" type="#_x0000_t75" style="width:53.6pt;height:25.95pt" o:ole="">
                  <v:imagedata r:id="rId17" o:title=""/>
                </v:shape>
                <o:OLEObject Type="Embed" ProgID="ChemDraw.Document.6.0" ShapeID="_x0000_i1029" DrawAspect="Content" ObjectID="_1571716196" r:id="rId18"/>
              </w:object>
            </w:r>
          </w:p>
          <w:p w14:paraId="76C2FD14" w14:textId="63273838" w:rsidR="001D7427" w:rsidRPr="00BF1B18" w:rsidRDefault="001D7427" w:rsidP="00C638FE">
            <w:pPr>
              <w:jc w:val="center"/>
              <w:rPr>
                <w:rFonts w:asciiTheme="majorHAnsi" w:eastAsia="Calibri" w:hAnsiTheme="majorHAnsi" w:cstheme="majorHAnsi"/>
                <w:b/>
                <w:szCs w:val="20"/>
              </w:rPr>
            </w:pPr>
            <w:r>
              <w:rPr>
                <w:rFonts w:asciiTheme="majorHAnsi" w:eastAsia="Calibri" w:hAnsiTheme="majorHAnsi" w:cstheme="majorHAnsi"/>
                <w:b/>
                <w:szCs w:val="20"/>
              </w:rPr>
              <w:t>[Ch]</w:t>
            </w:r>
            <w:r w:rsidR="001266F2">
              <w:rPr>
                <w:rFonts w:asciiTheme="majorHAnsi" w:eastAsia="Calibri" w:hAnsiTheme="majorHAnsi" w:cstheme="majorHAnsi"/>
                <w:b/>
                <w:szCs w:val="20"/>
              </w:rPr>
              <w:t>, 1</w:t>
            </w:r>
          </w:p>
        </w:tc>
        <w:tc>
          <w:tcPr>
            <w:tcW w:w="993" w:type="dxa"/>
            <w:tcBorders>
              <w:top w:val="single" w:sz="4" w:space="0" w:color="auto"/>
              <w:left w:val="nil"/>
              <w:bottom w:val="single" w:sz="4" w:space="0" w:color="auto"/>
              <w:right w:val="nil"/>
            </w:tcBorders>
            <w:shd w:val="clear" w:color="auto" w:fill="FFFFFF" w:themeFill="background1"/>
            <w:vAlign w:val="center"/>
          </w:tcPr>
          <w:p w14:paraId="3173D2AA" w14:textId="7049E366"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1a</w:t>
            </w:r>
          </w:p>
        </w:tc>
        <w:tc>
          <w:tcPr>
            <w:tcW w:w="1833" w:type="dxa"/>
            <w:tcBorders>
              <w:top w:val="single" w:sz="4" w:space="0" w:color="auto"/>
              <w:left w:val="nil"/>
              <w:bottom w:val="single" w:sz="4" w:space="0" w:color="auto"/>
              <w:right w:val="nil"/>
            </w:tcBorders>
            <w:shd w:val="clear" w:color="auto" w:fill="FFFFFF" w:themeFill="background1"/>
            <w:vAlign w:val="center"/>
          </w:tcPr>
          <w:p w14:paraId="43659AE6" w14:textId="5DA5A222"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1b</w:t>
            </w:r>
          </w:p>
        </w:tc>
        <w:tc>
          <w:tcPr>
            <w:tcW w:w="1599" w:type="dxa"/>
            <w:tcBorders>
              <w:top w:val="single" w:sz="4" w:space="0" w:color="auto"/>
              <w:left w:val="nil"/>
              <w:bottom w:val="single" w:sz="4" w:space="0" w:color="auto"/>
              <w:right w:val="nil"/>
            </w:tcBorders>
            <w:shd w:val="clear" w:color="auto" w:fill="FFFFFF" w:themeFill="background1"/>
            <w:vAlign w:val="center"/>
          </w:tcPr>
          <w:p w14:paraId="2BF44CE9" w14:textId="3649E9B7"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1c</w:t>
            </w:r>
          </w:p>
        </w:tc>
        <w:tc>
          <w:tcPr>
            <w:tcW w:w="1833" w:type="dxa"/>
            <w:tcBorders>
              <w:top w:val="single" w:sz="4" w:space="0" w:color="auto"/>
              <w:left w:val="nil"/>
              <w:bottom w:val="single" w:sz="4" w:space="0" w:color="auto"/>
              <w:right w:val="nil"/>
            </w:tcBorders>
            <w:shd w:val="clear" w:color="auto" w:fill="FFFFFF" w:themeFill="background1"/>
            <w:vAlign w:val="center"/>
          </w:tcPr>
          <w:p w14:paraId="56375AF0" w14:textId="4C97D285"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1d</w:t>
            </w:r>
          </w:p>
        </w:tc>
      </w:tr>
      <w:tr w:rsidR="00C638FE" w:rsidRPr="003F5FB4" w14:paraId="71CD33FA" w14:textId="77777777" w:rsidTr="001B73A2">
        <w:trPr>
          <w:trHeight w:val="164"/>
          <w:jc w:val="center"/>
        </w:trPr>
        <w:tc>
          <w:tcPr>
            <w:tcW w:w="2268" w:type="dxa"/>
            <w:tcBorders>
              <w:top w:val="single" w:sz="4" w:space="0" w:color="auto"/>
              <w:left w:val="nil"/>
              <w:bottom w:val="single" w:sz="4" w:space="0" w:color="auto"/>
              <w:right w:val="nil"/>
            </w:tcBorders>
            <w:shd w:val="clear" w:color="auto" w:fill="FFFFFF" w:themeFill="background1"/>
            <w:vAlign w:val="center"/>
          </w:tcPr>
          <w:p w14:paraId="71B43E52"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709" w:dyaOrig="493" w14:anchorId="442CD018">
                <v:shape id="_x0000_i1030" type="#_x0000_t75" style="width:84.55pt;height:25.95pt" o:ole="">
                  <v:imagedata r:id="rId19" o:title=""/>
                </v:shape>
                <o:OLEObject Type="Embed" ProgID="ChemDraw.Document.6.0" ShapeID="_x0000_i1030" DrawAspect="Content" ObjectID="_1571716197" r:id="rId20"/>
              </w:object>
            </w:r>
          </w:p>
          <w:p w14:paraId="2AC7CF05" w14:textId="69686C0E" w:rsidR="001D7427" w:rsidRPr="00BF1B18" w:rsidRDefault="001D7427" w:rsidP="00C638FE">
            <w:pPr>
              <w:jc w:val="center"/>
              <w:rPr>
                <w:rFonts w:asciiTheme="majorHAnsi" w:eastAsia="Calibri" w:hAnsiTheme="majorHAnsi" w:cstheme="majorHAnsi"/>
                <w:b/>
                <w:szCs w:val="20"/>
              </w:rPr>
            </w:pPr>
            <w:r>
              <w:rPr>
                <w:rFonts w:asciiTheme="majorHAnsi" w:eastAsia="Calibri" w:hAnsiTheme="majorHAnsi" w:cstheme="majorHAnsi"/>
                <w:b/>
                <w:szCs w:val="20"/>
              </w:rPr>
              <w:t>[TMHEEA]</w:t>
            </w:r>
            <w:r w:rsidR="001266F2">
              <w:rPr>
                <w:rFonts w:asciiTheme="majorHAnsi" w:eastAsia="Calibri" w:hAnsiTheme="majorHAnsi" w:cstheme="majorHAnsi"/>
                <w:b/>
                <w:szCs w:val="20"/>
              </w:rPr>
              <w:t>, 2</w:t>
            </w:r>
          </w:p>
        </w:tc>
        <w:tc>
          <w:tcPr>
            <w:tcW w:w="993" w:type="dxa"/>
            <w:tcBorders>
              <w:top w:val="single" w:sz="4" w:space="0" w:color="auto"/>
              <w:left w:val="nil"/>
              <w:bottom w:val="single" w:sz="4" w:space="0" w:color="auto"/>
              <w:right w:val="nil"/>
            </w:tcBorders>
            <w:shd w:val="clear" w:color="auto" w:fill="FFFFFF" w:themeFill="background1"/>
            <w:vAlign w:val="center"/>
          </w:tcPr>
          <w:p w14:paraId="4E5DB6C7" w14:textId="38FAF073"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2a</w:t>
            </w:r>
          </w:p>
        </w:tc>
        <w:tc>
          <w:tcPr>
            <w:tcW w:w="1833" w:type="dxa"/>
            <w:tcBorders>
              <w:top w:val="single" w:sz="4" w:space="0" w:color="auto"/>
              <w:left w:val="nil"/>
              <w:bottom w:val="single" w:sz="4" w:space="0" w:color="auto"/>
              <w:right w:val="nil"/>
            </w:tcBorders>
            <w:shd w:val="clear" w:color="auto" w:fill="FFFFFF" w:themeFill="background1"/>
            <w:vAlign w:val="center"/>
          </w:tcPr>
          <w:p w14:paraId="7C39C077" w14:textId="0DE7313D"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2b</w:t>
            </w:r>
          </w:p>
        </w:tc>
        <w:tc>
          <w:tcPr>
            <w:tcW w:w="1599" w:type="dxa"/>
            <w:tcBorders>
              <w:top w:val="single" w:sz="4" w:space="0" w:color="auto"/>
              <w:left w:val="nil"/>
              <w:bottom w:val="single" w:sz="4" w:space="0" w:color="auto"/>
              <w:right w:val="nil"/>
            </w:tcBorders>
            <w:shd w:val="clear" w:color="auto" w:fill="FFFFFF" w:themeFill="background1"/>
            <w:vAlign w:val="center"/>
          </w:tcPr>
          <w:p w14:paraId="4E997CB5" w14:textId="7958B33E"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2c</w:t>
            </w:r>
          </w:p>
        </w:tc>
        <w:tc>
          <w:tcPr>
            <w:tcW w:w="1833" w:type="dxa"/>
            <w:tcBorders>
              <w:top w:val="single" w:sz="4" w:space="0" w:color="auto"/>
              <w:left w:val="nil"/>
              <w:bottom w:val="single" w:sz="4" w:space="0" w:color="auto"/>
              <w:right w:val="nil"/>
            </w:tcBorders>
            <w:shd w:val="clear" w:color="auto" w:fill="FFFFFF" w:themeFill="background1"/>
            <w:vAlign w:val="center"/>
          </w:tcPr>
          <w:p w14:paraId="7151FFBF" w14:textId="5AE159AB"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2d</w:t>
            </w:r>
          </w:p>
        </w:tc>
      </w:tr>
      <w:tr w:rsidR="00C638FE" w:rsidRPr="003F5FB4" w14:paraId="1D48C7C5" w14:textId="77777777" w:rsidTr="001B73A2">
        <w:trPr>
          <w:trHeight w:val="164"/>
          <w:jc w:val="center"/>
        </w:trPr>
        <w:tc>
          <w:tcPr>
            <w:tcW w:w="2268" w:type="dxa"/>
            <w:tcBorders>
              <w:top w:val="single" w:sz="4" w:space="0" w:color="auto"/>
              <w:left w:val="nil"/>
              <w:bottom w:val="single" w:sz="4" w:space="0" w:color="auto"/>
              <w:right w:val="nil"/>
            </w:tcBorders>
            <w:shd w:val="clear" w:color="auto" w:fill="FFFFFF" w:themeFill="background1"/>
            <w:vAlign w:val="center"/>
          </w:tcPr>
          <w:p w14:paraId="684FE5BE"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976" w:dyaOrig="492" w14:anchorId="0637EFE8">
                <v:shape id="_x0000_i1031" type="#_x0000_t75" style="width:97.95pt;height:25.95pt" o:ole="">
                  <v:imagedata r:id="rId21" o:title=""/>
                </v:shape>
                <o:OLEObject Type="Embed" ProgID="ChemDraw.Document.6.0" ShapeID="_x0000_i1031" DrawAspect="Content" ObjectID="_1571716198" r:id="rId22"/>
              </w:object>
            </w:r>
          </w:p>
          <w:p w14:paraId="5C2DA7D4" w14:textId="5DE3AE32" w:rsidR="001D7427" w:rsidRPr="00776867" w:rsidRDefault="001D7427" w:rsidP="00C638FE">
            <w:pPr>
              <w:jc w:val="center"/>
              <w:rPr>
                <w:rFonts w:asciiTheme="majorHAnsi" w:eastAsia="Calibri" w:hAnsiTheme="majorHAnsi" w:cstheme="majorHAnsi"/>
                <w:b/>
                <w:szCs w:val="20"/>
                <w:vertAlign w:val="superscript"/>
              </w:rPr>
            </w:pPr>
            <w:r>
              <w:rPr>
                <w:rFonts w:asciiTheme="majorHAnsi" w:eastAsia="Calibri" w:hAnsiTheme="majorHAnsi" w:cstheme="majorHAnsi"/>
                <w:b/>
                <w:szCs w:val="20"/>
              </w:rPr>
              <w:t>[TMEEEA]</w:t>
            </w:r>
            <w:r w:rsidR="001266F2">
              <w:rPr>
                <w:rFonts w:asciiTheme="majorHAnsi" w:eastAsia="Calibri" w:hAnsiTheme="majorHAnsi" w:cstheme="majorHAnsi"/>
                <w:b/>
                <w:szCs w:val="20"/>
              </w:rPr>
              <w:t>, 3</w:t>
            </w:r>
          </w:p>
        </w:tc>
        <w:tc>
          <w:tcPr>
            <w:tcW w:w="993" w:type="dxa"/>
            <w:tcBorders>
              <w:top w:val="single" w:sz="4" w:space="0" w:color="auto"/>
              <w:left w:val="nil"/>
              <w:bottom w:val="single" w:sz="4" w:space="0" w:color="auto"/>
              <w:right w:val="nil"/>
            </w:tcBorders>
            <w:shd w:val="clear" w:color="auto" w:fill="FFFFFF" w:themeFill="background1"/>
            <w:vAlign w:val="center"/>
          </w:tcPr>
          <w:p w14:paraId="5E8C48E1" w14:textId="4F04C231"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3a</w:t>
            </w:r>
          </w:p>
        </w:tc>
        <w:tc>
          <w:tcPr>
            <w:tcW w:w="1833" w:type="dxa"/>
            <w:tcBorders>
              <w:top w:val="single" w:sz="4" w:space="0" w:color="auto"/>
              <w:left w:val="nil"/>
              <w:bottom w:val="single" w:sz="4" w:space="0" w:color="auto"/>
              <w:right w:val="nil"/>
            </w:tcBorders>
            <w:shd w:val="clear" w:color="auto" w:fill="FFFFFF" w:themeFill="background1"/>
            <w:vAlign w:val="center"/>
          </w:tcPr>
          <w:p w14:paraId="46D4C9E9" w14:textId="049AC39F"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3b</w:t>
            </w:r>
          </w:p>
        </w:tc>
        <w:tc>
          <w:tcPr>
            <w:tcW w:w="1599" w:type="dxa"/>
            <w:tcBorders>
              <w:top w:val="single" w:sz="4" w:space="0" w:color="auto"/>
              <w:left w:val="nil"/>
              <w:bottom w:val="single" w:sz="4" w:space="0" w:color="auto"/>
              <w:right w:val="nil"/>
            </w:tcBorders>
            <w:shd w:val="clear" w:color="auto" w:fill="FFFFFF" w:themeFill="background1"/>
            <w:vAlign w:val="center"/>
          </w:tcPr>
          <w:p w14:paraId="6C52D83E" w14:textId="404F5ADE"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3c</w:t>
            </w:r>
          </w:p>
        </w:tc>
        <w:tc>
          <w:tcPr>
            <w:tcW w:w="1833" w:type="dxa"/>
            <w:tcBorders>
              <w:top w:val="single" w:sz="4" w:space="0" w:color="auto"/>
              <w:left w:val="nil"/>
              <w:bottom w:val="single" w:sz="4" w:space="0" w:color="auto"/>
              <w:right w:val="nil"/>
            </w:tcBorders>
            <w:shd w:val="clear" w:color="auto" w:fill="FFFFFF" w:themeFill="background1"/>
            <w:vAlign w:val="center"/>
          </w:tcPr>
          <w:p w14:paraId="413EB23E" w14:textId="3F5DC1A7"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3d</w:t>
            </w:r>
          </w:p>
        </w:tc>
      </w:tr>
      <w:tr w:rsidR="00C638FE" w:rsidRPr="003F5FB4" w14:paraId="7EB45CE0" w14:textId="77777777" w:rsidTr="001B73A2">
        <w:trPr>
          <w:trHeight w:val="164"/>
          <w:jc w:val="center"/>
        </w:trPr>
        <w:tc>
          <w:tcPr>
            <w:tcW w:w="2268" w:type="dxa"/>
            <w:tcBorders>
              <w:top w:val="single" w:sz="4" w:space="0" w:color="auto"/>
              <w:left w:val="nil"/>
              <w:bottom w:val="single" w:sz="4" w:space="0" w:color="auto"/>
              <w:right w:val="nil"/>
            </w:tcBorders>
            <w:shd w:val="clear" w:color="auto" w:fill="FFFFFF" w:themeFill="background1"/>
            <w:vAlign w:val="center"/>
          </w:tcPr>
          <w:p w14:paraId="0C24A2D7"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074" w:dyaOrig="495" w14:anchorId="2AFB39D3">
                <v:shape id="_x0000_i1032" type="#_x0000_t75" style="width:53.6pt;height:25.95pt" o:ole="">
                  <v:imagedata r:id="rId23" o:title=""/>
                </v:shape>
                <o:OLEObject Type="Embed" ProgID="ChemDraw.Document.6.0" ShapeID="_x0000_i1032" DrawAspect="Content" ObjectID="_1571716199" r:id="rId24"/>
              </w:object>
            </w:r>
          </w:p>
          <w:p w14:paraId="7487D683" w14:textId="351F74CD" w:rsidR="001D7427" w:rsidRPr="00776867" w:rsidRDefault="001D7427" w:rsidP="00C638FE">
            <w:pPr>
              <w:jc w:val="center"/>
              <w:rPr>
                <w:rFonts w:asciiTheme="majorHAnsi" w:eastAsia="Calibri" w:hAnsiTheme="majorHAnsi" w:cstheme="majorHAnsi"/>
                <w:b/>
                <w:szCs w:val="20"/>
                <w:vertAlign w:val="superscript"/>
              </w:rPr>
            </w:pPr>
            <w:r>
              <w:rPr>
                <w:rFonts w:asciiTheme="majorHAnsi" w:eastAsia="Calibri" w:hAnsiTheme="majorHAnsi" w:cstheme="majorHAnsi"/>
                <w:b/>
                <w:szCs w:val="20"/>
              </w:rPr>
              <w:t>[DMEtAH]</w:t>
            </w:r>
            <w:r w:rsidR="001266F2">
              <w:rPr>
                <w:rFonts w:asciiTheme="majorHAnsi" w:eastAsia="Calibri" w:hAnsiTheme="majorHAnsi" w:cstheme="majorHAnsi"/>
                <w:b/>
                <w:szCs w:val="20"/>
              </w:rPr>
              <w:t>, 4</w:t>
            </w:r>
          </w:p>
        </w:tc>
        <w:tc>
          <w:tcPr>
            <w:tcW w:w="993" w:type="dxa"/>
            <w:tcBorders>
              <w:top w:val="single" w:sz="4" w:space="0" w:color="auto"/>
              <w:left w:val="nil"/>
              <w:bottom w:val="single" w:sz="4" w:space="0" w:color="auto"/>
              <w:right w:val="nil"/>
            </w:tcBorders>
            <w:shd w:val="clear" w:color="auto" w:fill="FFFFFF" w:themeFill="background1"/>
            <w:vAlign w:val="center"/>
          </w:tcPr>
          <w:p w14:paraId="1A3D5993" w14:textId="0D36A1AC"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4a</w:t>
            </w:r>
          </w:p>
        </w:tc>
        <w:tc>
          <w:tcPr>
            <w:tcW w:w="1833" w:type="dxa"/>
            <w:tcBorders>
              <w:top w:val="single" w:sz="4" w:space="0" w:color="auto"/>
              <w:left w:val="nil"/>
              <w:bottom w:val="single" w:sz="4" w:space="0" w:color="auto"/>
              <w:right w:val="nil"/>
            </w:tcBorders>
            <w:shd w:val="clear" w:color="auto" w:fill="FFFFFF" w:themeFill="background1"/>
            <w:vAlign w:val="center"/>
          </w:tcPr>
          <w:p w14:paraId="3EA22B27" w14:textId="03E4EDE6"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4b</w:t>
            </w:r>
          </w:p>
        </w:tc>
        <w:tc>
          <w:tcPr>
            <w:tcW w:w="1599" w:type="dxa"/>
            <w:tcBorders>
              <w:top w:val="single" w:sz="4" w:space="0" w:color="auto"/>
              <w:left w:val="nil"/>
              <w:bottom w:val="single" w:sz="4" w:space="0" w:color="auto"/>
              <w:right w:val="nil"/>
            </w:tcBorders>
            <w:shd w:val="clear" w:color="auto" w:fill="FFFFFF" w:themeFill="background1"/>
            <w:vAlign w:val="center"/>
          </w:tcPr>
          <w:p w14:paraId="6E5E4D55" w14:textId="00873CB1"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4c</w:t>
            </w:r>
          </w:p>
        </w:tc>
        <w:tc>
          <w:tcPr>
            <w:tcW w:w="1833" w:type="dxa"/>
            <w:tcBorders>
              <w:top w:val="single" w:sz="4" w:space="0" w:color="auto"/>
              <w:left w:val="nil"/>
              <w:bottom w:val="single" w:sz="4" w:space="0" w:color="auto"/>
              <w:right w:val="nil"/>
            </w:tcBorders>
            <w:shd w:val="clear" w:color="auto" w:fill="FFFFFF" w:themeFill="background1"/>
            <w:vAlign w:val="center"/>
          </w:tcPr>
          <w:p w14:paraId="32C9B1BD" w14:textId="5F300540"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4d</w:t>
            </w:r>
          </w:p>
        </w:tc>
      </w:tr>
      <w:tr w:rsidR="00C638FE" w:rsidRPr="003F5FB4" w14:paraId="2ED89C48" w14:textId="77777777" w:rsidTr="001B73A2">
        <w:trPr>
          <w:trHeight w:val="164"/>
          <w:jc w:val="center"/>
        </w:trPr>
        <w:tc>
          <w:tcPr>
            <w:tcW w:w="2268" w:type="dxa"/>
            <w:tcBorders>
              <w:top w:val="single" w:sz="4" w:space="0" w:color="auto"/>
              <w:left w:val="nil"/>
              <w:bottom w:val="single" w:sz="4" w:space="0" w:color="auto"/>
              <w:right w:val="nil"/>
            </w:tcBorders>
            <w:shd w:val="clear" w:color="auto" w:fill="FFFFFF" w:themeFill="background1"/>
            <w:vAlign w:val="center"/>
          </w:tcPr>
          <w:p w14:paraId="685BE692"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707" w:dyaOrig="493" w14:anchorId="02E62361">
                <v:shape id="_x0000_i1033" type="#_x0000_t75" style="width:84.55pt;height:25.95pt" o:ole="">
                  <v:imagedata r:id="rId25" o:title=""/>
                </v:shape>
                <o:OLEObject Type="Embed" ProgID="ChemDraw.Document.6.0" ShapeID="_x0000_i1033" DrawAspect="Content" ObjectID="_1571716200" r:id="rId26"/>
              </w:object>
            </w:r>
          </w:p>
          <w:p w14:paraId="28A97024" w14:textId="0192DDAE" w:rsidR="001D7427" w:rsidRPr="00BF1B18" w:rsidRDefault="001D7427" w:rsidP="00C638FE">
            <w:pPr>
              <w:jc w:val="center"/>
              <w:rPr>
                <w:rFonts w:asciiTheme="majorHAnsi" w:eastAsia="Calibri" w:hAnsiTheme="majorHAnsi" w:cstheme="majorHAnsi"/>
                <w:b/>
                <w:szCs w:val="20"/>
              </w:rPr>
            </w:pPr>
            <w:r>
              <w:rPr>
                <w:rFonts w:asciiTheme="majorHAnsi" w:eastAsia="Calibri" w:hAnsiTheme="majorHAnsi" w:cstheme="majorHAnsi"/>
                <w:b/>
                <w:szCs w:val="20"/>
              </w:rPr>
              <w:t>[DMHEEAH]</w:t>
            </w:r>
            <w:r w:rsidR="001266F2">
              <w:rPr>
                <w:rFonts w:asciiTheme="majorHAnsi" w:eastAsia="Calibri" w:hAnsiTheme="majorHAnsi" w:cstheme="majorHAnsi"/>
                <w:b/>
                <w:szCs w:val="20"/>
              </w:rPr>
              <w:t>, 5</w:t>
            </w:r>
          </w:p>
        </w:tc>
        <w:tc>
          <w:tcPr>
            <w:tcW w:w="993" w:type="dxa"/>
            <w:tcBorders>
              <w:top w:val="single" w:sz="4" w:space="0" w:color="auto"/>
              <w:left w:val="nil"/>
              <w:bottom w:val="single" w:sz="4" w:space="0" w:color="auto"/>
              <w:right w:val="nil"/>
            </w:tcBorders>
            <w:shd w:val="clear" w:color="auto" w:fill="FFFFFF" w:themeFill="background1"/>
            <w:vAlign w:val="center"/>
          </w:tcPr>
          <w:p w14:paraId="073FEDA6" w14:textId="3559275A"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5a</w:t>
            </w:r>
          </w:p>
        </w:tc>
        <w:tc>
          <w:tcPr>
            <w:tcW w:w="1833" w:type="dxa"/>
            <w:tcBorders>
              <w:top w:val="single" w:sz="4" w:space="0" w:color="auto"/>
              <w:left w:val="nil"/>
              <w:bottom w:val="single" w:sz="4" w:space="0" w:color="auto"/>
              <w:right w:val="nil"/>
            </w:tcBorders>
            <w:shd w:val="clear" w:color="auto" w:fill="FFFFFF" w:themeFill="background1"/>
            <w:vAlign w:val="center"/>
          </w:tcPr>
          <w:p w14:paraId="3A8CA13E" w14:textId="38476B48"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5b</w:t>
            </w:r>
          </w:p>
        </w:tc>
        <w:tc>
          <w:tcPr>
            <w:tcW w:w="1599" w:type="dxa"/>
            <w:tcBorders>
              <w:top w:val="single" w:sz="4" w:space="0" w:color="auto"/>
              <w:left w:val="nil"/>
              <w:bottom w:val="single" w:sz="4" w:space="0" w:color="auto"/>
              <w:right w:val="nil"/>
            </w:tcBorders>
            <w:shd w:val="clear" w:color="auto" w:fill="FFFFFF" w:themeFill="background1"/>
            <w:vAlign w:val="center"/>
          </w:tcPr>
          <w:p w14:paraId="40129A3F" w14:textId="26EB7CDA"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5c</w:t>
            </w:r>
          </w:p>
        </w:tc>
        <w:tc>
          <w:tcPr>
            <w:tcW w:w="1833" w:type="dxa"/>
            <w:tcBorders>
              <w:top w:val="single" w:sz="4" w:space="0" w:color="auto"/>
              <w:left w:val="nil"/>
              <w:bottom w:val="single" w:sz="4" w:space="0" w:color="auto"/>
              <w:right w:val="nil"/>
            </w:tcBorders>
            <w:shd w:val="clear" w:color="auto" w:fill="FFFFFF" w:themeFill="background1"/>
            <w:vAlign w:val="center"/>
          </w:tcPr>
          <w:p w14:paraId="24B42ABF" w14:textId="33218CEA"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5d</w:t>
            </w:r>
          </w:p>
        </w:tc>
      </w:tr>
      <w:tr w:rsidR="00C638FE" w:rsidRPr="003F5FB4" w14:paraId="623475EC" w14:textId="77777777" w:rsidTr="001B73A2">
        <w:trPr>
          <w:trHeight w:val="164"/>
          <w:jc w:val="center"/>
        </w:trPr>
        <w:tc>
          <w:tcPr>
            <w:tcW w:w="2268" w:type="dxa"/>
            <w:tcBorders>
              <w:top w:val="single" w:sz="4" w:space="0" w:color="auto"/>
              <w:left w:val="nil"/>
              <w:bottom w:val="single" w:sz="4" w:space="0" w:color="auto"/>
              <w:right w:val="nil"/>
            </w:tcBorders>
            <w:shd w:val="clear" w:color="auto" w:fill="FFFFFF" w:themeFill="background1"/>
            <w:vAlign w:val="center"/>
          </w:tcPr>
          <w:p w14:paraId="46F04727" w14:textId="77777777" w:rsidR="001D7427" w:rsidRDefault="001D7427" w:rsidP="00C638FE">
            <w:pPr>
              <w:jc w:val="center"/>
              <w:rPr>
                <w:rFonts w:asciiTheme="majorHAnsi" w:eastAsia="Calibri" w:hAnsiTheme="majorHAnsi" w:cstheme="majorHAnsi"/>
                <w:b/>
                <w:szCs w:val="20"/>
              </w:rPr>
            </w:pPr>
            <w:r w:rsidRPr="00D1454F">
              <w:rPr>
                <w:rFonts w:asciiTheme="majorHAnsi" w:eastAsia="Calibri" w:hAnsiTheme="majorHAnsi" w:cstheme="majorHAnsi"/>
                <w:b/>
                <w:szCs w:val="20"/>
              </w:rPr>
              <w:object w:dxaOrig="1979" w:dyaOrig="492" w14:anchorId="51E7FDE7">
                <v:shape id="_x0000_i1034" type="#_x0000_t75" style="width:97.95pt;height:25.95pt" o:ole="">
                  <v:imagedata r:id="rId27" o:title=""/>
                </v:shape>
                <o:OLEObject Type="Embed" ProgID="ChemDraw.Document.6.0" ShapeID="_x0000_i1034" DrawAspect="Content" ObjectID="_1571716201" r:id="rId28"/>
              </w:object>
            </w:r>
          </w:p>
          <w:p w14:paraId="0AE68A93" w14:textId="6294A0A1" w:rsidR="001D7427" w:rsidRPr="00BF1B18" w:rsidRDefault="001D7427" w:rsidP="00C638FE">
            <w:pPr>
              <w:jc w:val="center"/>
              <w:rPr>
                <w:rFonts w:asciiTheme="majorHAnsi" w:eastAsia="Calibri" w:hAnsiTheme="majorHAnsi" w:cstheme="majorHAnsi"/>
                <w:b/>
                <w:szCs w:val="20"/>
              </w:rPr>
            </w:pPr>
            <w:r>
              <w:rPr>
                <w:rFonts w:asciiTheme="majorHAnsi" w:eastAsia="Calibri" w:hAnsiTheme="majorHAnsi" w:cstheme="majorHAnsi"/>
                <w:b/>
                <w:szCs w:val="20"/>
              </w:rPr>
              <w:t>[DMEEEAH]</w:t>
            </w:r>
            <w:r w:rsidR="001266F2">
              <w:rPr>
                <w:rFonts w:asciiTheme="majorHAnsi" w:eastAsia="Calibri" w:hAnsiTheme="majorHAnsi" w:cstheme="majorHAnsi"/>
                <w:b/>
                <w:szCs w:val="20"/>
              </w:rPr>
              <w:t>, 6</w:t>
            </w:r>
          </w:p>
        </w:tc>
        <w:tc>
          <w:tcPr>
            <w:tcW w:w="993" w:type="dxa"/>
            <w:tcBorders>
              <w:top w:val="single" w:sz="4" w:space="0" w:color="auto"/>
              <w:left w:val="nil"/>
              <w:bottom w:val="single" w:sz="4" w:space="0" w:color="auto"/>
              <w:right w:val="nil"/>
            </w:tcBorders>
            <w:shd w:val="clear" w:color="auto" w:fill="FFFFFF" w:themeFill="background1"/>
            <w:vAlign w:val="center"/>
          </w:tcPr>
          <w:p w14:paraId="495ECFFD" w14:textId="74D951F3"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6a</w:t>
            </w:r>
          </w:p>
        </w:tc>
        <w:tc>
          <w:tcPr>
            <w:tcW w:w="1833" w:type="dxa"/>
            <w:tcBorders>
              <w:top w:val="single" w:sz="4" w:space="0" w:color="auto"/>
              <w:left w:val="nil"/>
              <w:bottom w:val="single" w:sz="4" w:space="0" w:color="auto"/>
              <w:right w:val="nil"/>
            </w:tcBorders>
            <w:shd w:val="clear" w:color="auto" w:fill="FFFFFF" w:themeFill="background1"/>
            <w:vAlign w:val="center"/>
          </w:tcPr>
          <w:p w14:paraId="555E0BA7" w14:textId="5029DDA0"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6b</w:t>
            </w:r>
          </w:p>
        </w:tc>
        <w:tc>
          <w:tcPr>
            <w:tcW w:w="1599" w:type="dxa"/>
            <w:tcBorders>
              <w:top w:val="single" w:sz="4" w:space="0" w:color="auto"/>
              <w:left w:val="nil"/>
              <w:bottom w:val="single" w:sz="4" w:space="0" w:color="auto"/>
              <w:right w:val="nil"/>
            </w:tcBorders>
            <w:shd w:val="clear" w:color="auto" w:fill="FFFFFF" w:themeFill="background1"/>
            <w:vAlign w:val="center"/>
          </w:tcPr>
          <w:p w14:paraId="13F1F158" w14:textId="712810D3"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6c</w:t>
            </w:r>
          </w:p>
        </w:tc>
        <w:tc>
          <w:tcPr>
            <w:tcW w:w="1833" w:type="dxa"/>
            <w:tcBorders>
              <w:top w:val="single" w:sz="4" w:space="0" w:color="auto"/>
              <w:left w:val="nil"/>
              <w:bottom w:val="single" w:sz="4" w:space="0" w:color="auto"/>
              <w:right w:val="nil"/>
            </w:tcBorders>
            <w:shd w:val="clear" w:color="auto" w:fill="FFFFFF" w:themeFill="background1"/>
            <w:vAlign w:val="center"/>
          </w:tcPr>
          <w:p w14:paraId="43C4711E" w14:textId="291A565B" w:rsidR="001D7427" w:rsidRPr="006771CF" w:rsidRDefault="00D23A64" w:rsidP="00C638FE">
            <w:pPr>
              <w:jc w:val="center"/>
              <w:rPr>
                <w:rFonts w:asciiTheme="majorHAnsi" w:eastAsia="Calibri" w:hAnsiTheme="majorHAnsi" w:cstheme="majorHAnsi"/>
                <w:b/>
                <w:sz w:val="22"/>
                <w:szCs w:val="20"/>
              </w:rPr>
            </w:pPr>
            <w:r w:rsidRPr="006771CF">
              <w:rPr>
                <w:rFonts w:asciiTheme="majorHAnsi" w:eastAsia="Calibri" w:hAnsiTheme="majorHAnsi" w:cstheme="majorHAnsi"/>
                <w:b/>
                <w:sz w:val="22"/>
                <w:szCs w:val="20"/>
              </w:rPr>
              <w:t>6d</w:t>
            </w:r>
          </w:p>
        </w:tc>
      </w:tr>
    </w:tbl>
    <w:p w14:paraId="4D49FCF6" w14:textId="2A7A4FF2" w:rsidR="00296FF2" w:rsidRDefault="00296FF2">
      <w:pPr>
        <w:rPr>
          <w:rFonts w:eastAsiaTheme="majorEastAsia" w:cstheme="majorBidi"/>
          <w:b/>
          <w:sz w:val="32"/>
          <w:szCs w:val="32"/>
        </w:rPr>
      </w:pPr>
      <w:r>
        <w:br w:type="page"/>
      </w:r>
    </w:p>
    <w:p w14:paraId="79A8DCEF" w14:textId="3A469CA8" w:rsidR="00D2586B" w:rsidRDefault="009012E7" w:rsidP="00D2586B">
      <w:pPr>
        <w:pStyle w:val="Heading1"/>
        <w:jc w:val="both"/>
      </w:pPr>
      <w:r>
        <w:lastRenderedPageBreak/>
        <w:t>Materials and Methods</w:t>
      </w:r>
    </w:p>
    <w:p w14:paraId="11F7C85F" w14:textId="77777777" w:rsidR="00D2586B" w:rsidRPr="00D2586B" w:rsidRDefault="00D2586B" w:rsidP="00D2586B"/>
    <w:p w14:paraId="72954F5D" w14:textId="1198B632" w:rsidR="00156B52" w:rsidRDefault="00D2586B" w:rsidP="00D2586B">
      <w:pPr>
        <w:pStyle w:val="Heading2"/>
      </w:pPr>
      <w:r>
        <w:t>Synthesis</w:t>
      </w:r>
    </w:p>
    <w:p w14:paraId="34E3A59C" w14:textId="77777777" w:rsidR="003C21C7" w:rsidRPr="003C21C7" w:rsidRDefault="003C21C7" w:rsidP="003C21C7"/>
    <w:p w14:paraId="6A28ED42" w14:textId="17F5D0F1" w:rsidR="00156B52" w:rsidRPr="00783958" w:rsidRDefault="00A010A9" w:rsidP="00002B06">
      <w:pPr>
        <w:spacing w:line="480" w:lineRule="auto"/>
        <w:jc w:val="both"/>
        <w:rPr>
          <w:sz w:val="24"/>
          <w:szCs w:val="24"/>
        </w:rPr>
      </w:pPr>
      <w:r>
        <w:rPr>
          <w:sz w:val="24"/>
          <w:szCs w:val="24"/>
        </w:rPr>
        <w:t xml:space="preserve">All </w:t>
      </w:r>
      <w:r w:rsidR="00181DEF" w:rsidRPr="00783958">
        <w:rPr>
          <w:sz w:val="24"/>
          <w:szCs w:val="24"/>
        </w:rPr>
        <w:t>AILs (</w:t>
      </w:r>
      <w:r w:rsidR="00181DEF" w:rsidRPr="00783958">
        <w:rPr>
          <w:b/>
          <w:sz w:val="24"/>
          <w:szCs w:val="24"/>
        </w:rPr>
        <w:t>1</w:t>
      </w:r>
      <w:r w:rsidR="00FC0426" w:rsidRPr="00783958">
        <w:rPr>
          <w:b/>
          <w:sz w:val="24"/>
          <w:szCs w:val="24"/>
        </w:rPr>
        <w:t>a</w:t>
      </w:r>
      <w:r w:rsidR="00181DEF" w:rsidRPr="00783958">
        <w:rPr>
          <w:b/>
          <w:sz w:val="24"/>
          <w:szCs w:val="24"/>
        </w:rPr>
        <w:t>-</w:t>
      </w:r>
      <w:r w:rsidR="00FC0426" w:rsidRPr="00783958">
        <w:rPr>
          <w:b/>
          <w:sz w:val="24"/>
          <w:szCs w:val="24"/>
        </w:rPr>
        <w:t>3d</w:t>
      </w:r>
      <w:r w:rsidR="00181DEF" w:rsidRPr="00783958">
        <w:rPr>
          <w:sz w:val="24"/>
          <w:szCs w:val="24"/>
        </w:rPr>
        <w:t>)</w:t>
      </w:r>
      <w:r w:rsidR="00181DEF" w:rsidRPr="00783958">
        <w:rPr>
          <w:b/>
          <w:sz w:val="24"/>
          <w:szCs w:val="24"/>
        </w:rPr>
        <w:t xml:space="preserve"> </w:t>
      </w:r>
      <w:r w:rsidR="00181DEF" w:rsidRPr="00783958">
        <w:rPr>
          <w:sz w:val="24"/>
          <w:szCs w:val="24"/>
        </w:rPr>
        <w:t>were prepared according to a modified version of the literature procedure</w:t>
      </w:r>
      <w:r w:rsidR="00002B06" w:rsidRPr="00783958">
        <w:rPr>
          <w:sz w:val="24"/>
          <w:szCs w:val="24"/>
        </w:rPr>
        <w:t xml:space="preserve">s </w:t>
      </w:r>
      <w:r w:rsidR="00181DEF" w:rsidRPr="00783958">
        <w:rPr>
          <w:sz w:val="24"/>
          <w:szCs w:val="24"/>
        </w:rPr>
        <w:t xml:space="preserve"> </w:t>
      </w:r>
      <w:r w:rsidR="00181DEF" w:rsidRPr="00783958">
        <w:rPr>
          <w:sz w:val="24"/>
          <w:szCs w:val="24"/>
        </w:rPr>
        <w:fldChar w:fldCharType="begin" w:fldLock="1"/>
      </w:r>
      <w:r w:rsidR="009012E7" w:rsidRPr="00783958">
        <w:rPr>
          <w:sz w:val="24"/>
          <w:szCs w:val="24"/>
        </w:rPr>
        <w:instrText>ADDIN CSL_CITATION { "citationItems" : [ { "id" : "ITEM-1", "itemData" : { "DOI" : "10.1039/b706571j", "ISBN" : "1463-9262", "ISSN" : "1463-9262", "abstract" : "Ionic liquids composed solely by biomaterials, in particular a choline cation combined with propionate, tiglate, hydrogen succinate amd hydrogen maleate, were obtained as room temperature ionic liquids withs strong hydrogen bonding characteristics.", "author" : [ { "dropping-particle" : "", "family" : "Fukaya", "given" : "Yukinobu", "non-dropping-particle" : "", "parse-names" : false, "suffix" : "" }, { "dropping-particle" : "", "family" : "Iizuka", "given" : "Yoshiki", "non-dropping-particle" : "", "parse-names" : false, "suffix" : "" }, { "dropping-particle" : "", "family" : "Sekikawa", "given" : "Kenta", "non-dropping-particle" : "", "parse-names" : false, "suffix" : "" }, { "dropping-particle" : "", "family" : "Ohno", "given" : "Hiroyuki", "non-dropping-particle" : "", "parse-names" : false, "suffix" : "" } ], "container-title" : "Green Chemistry", "id" : "ITEM-1", "issue" : "11", "issued" : { "date-parts" : [ [ "2007" ] ] }, "page" : "1155-1157", "title" : "Bio ionic liquids: room temperature ionic liquids composed wholly of biomaterials", "type" : "article-journal", "volume" : "9" }, "uris" : [ "http://www.mendeley.com/documents/?uuid=7efa9082-64fb-4e7e-be46-6ef1e060f0c1" ] }, { "id" : "ITEM-2", "itemData" : { "DOI" : "10.3390/molecules17044007", "ISBN" : "1420-3049 (Electronic)\\r1420-3049 (Linking)", "ISSN" : "14203049", "PMID" : "22469595", "abstract" : "A broad and simple method permitted halide ions in quaternary heteroaromatic and ammonium salts to be exchanged for a variety of anions using an anion exchange resin (A\u2212 form) in non-aqueous media. The anion loading of the AER (OH\u2212 form) was examined using two different anion sources, acids or ammonium salts, and changing the polarity of the solvents. The AER (A\u2212 form) method in organic solvents was then applied to several quaternary heteroaromatic salts and ILs, and the anion exchange proceeded in excellent to quantitative yields, concomitantly removing halide impurities. Relying on the hydrophobicity of the targeted ion pair for the counteranion swap, organic solvents with variable polarity were used, such as CH3OH, CH3CN and the dipolar nonhydroxylic solvent mixture CH3CN:CH2Cl2 (3:7) and the anion exchange was equally successful with both lipophilic cations and anions.", "author" : [ { "dropping-particle" : "", "family" : "Alcalde", "given" : "Ermitas", "non-dropping-particle" : "", "parse-names" : false, "suffix" : "" }, { "dropping-particle" : "", "family" : "Dinar\u00e8s", "given" : "Immaculada", "non-dropping-particle" : "", "parse-names" : false, "suffix" : "" }, { "dropping-particle" : "", "family" : "Ib\u00e1\u00f1ez", "given" : "Anna", "non-dropping-particle" : "", "parse-names" : false, "suffix" : "" }, { "dropping-particle" : "", "family" : "Mesquida", "given" : "Neus", "non-dropping-particle" : "", "parse-names" : false, "suffix" : "" } ], "container-title" : "Molecules", "id" : "ITEM-2", "issue" : "4", "issued" : { "date-parts" : [ [ "2012" ] ] }, "page" : "4007-4027", "title" : "A simple halide-to-anion exchange method for heteroaromatic salts and ionic liquids", "type" : "article-journal", "volume" : "17" }, "uris" : [ "http://www.mendeley.com/documents/?uuid=03e1a350-e116-4bbd-94b2-955ae931616c" ] } ], "mendeley" : { "formattedCitation" : "(Alcalde et al., 2012; Fukaya et al., 2007)", "plainTextFormattedCitation" : "(Alcalde et al., 2012; Fukaya et al., 2007)", "previouslyFormattedCitation" : "(Alcalde et al., 2012; Fukaya et al., 2007)" }, "properties" : { "noteIndex" : 0 }, "schema" : "https://github.com/citation-style-language/schema/raw/master/csl-citation.json" }</w:instrText>
      </w:r>
      <w:r w:rsidR="00181DEF" w:rsidRPr="00783958">
        <w:rPr>
          <w:sz w:val="24"/>
          <w:szCs w:val="24"/>
        </w:rPr>
        <w:fldChar w:fldCharType="separate"/>
      </w:r>
      <w:r w:rsidR="001D7427" w:rsidRPr="00783958">
        <w:rPr>
          <w:noProof/>
          <w:sz w:val="24"/>
          <w:szCs w:val="24"/>
        </w:rPr>
        <w:t>(Alcalde et al., 2012; Fukaya et al., 2007)</w:t>
      </w:r>
      <w:r w:rsidR="00181DEF" w:rsidRPr="00783958">
        <w:rPr>
          <w:sz w:val="24"/>
          <w:szCs w:val="24"/>
        </w:rPr>
        <w:fldChar w:fldCharType="end"/>
      </w:r>
      <w:r w:rsidR="00002B06" w:rsidRPr="00783958">
        <w:rPr>
          <w:sz w:val="24"/>
          <w:szCs w:val="24"/>
        </w:rPr>
        <w:t>.</w:t>
      </w:r>
      <w:r w:rsidR="00181DEF" w:rsidRPr="00783958">
        <w:rPr>
          <w:sz w:val="24"/>
          <w:szCs w:val="24"/>
        </w:rPr>
        <w:t xml:space="preserve"> </w:t>
      </w:r>
      <w:r>
        <w:rPr>
          <w:sz w:val="24"/>
          <w:szCs w:val="24"/>
        </w:rPr>
        <w:t xml:space="preserve">All </w:t>
      </w:r>
      <w:r w:rsidR="00181DEF" w:rsidRPr="00783958">
        <w:rPr>
          <w:sz w:val="24"/>
          <w:szCs w:val="24"/>
        </w:rPr>
        <w:t>PILs (</w:t>
      </w:r>
      <w:r w:rsidR="00A960A0" w:rsidRPr="00783958">
        <w:rPr>
          <w:b/>
          <w:sz w:val="24"/>
          <w:szCs w:val="24"/>
        </w:rPr>
        <w:t>4a</w:t>
      </w:r>
      <w:r w:rsidR="00181DEF" w:rsidRPr="00783958">
        <w:rPr>
          <w:b/>
          <w:sz w:val="24"/>
          <w:szCs w:val="24"/>
        </w:rPr>
        <w:t>-</w:t>
      </w:r>
      <w:r w:rsidR="00FC0426" w:rsidRPr="00783958">
        <w:rPr>
          <w:b/>
          <w:sz w:val="24"/>
          <w:szCs w:val="24"/>
        </w:rPr>
        <w:t>6d</w:t>
      </w:r>
      <w:r w:rsidR="00181DEF" w:rsidRPr="00783958">
        <w:rPr>
          <w:sz w:val="24"/>
          <w:szCs w:val="24"/>
        </w:rPr>
        <w:t>) were prepared according to the synthesis procedure of Walker</w:t>
      </w:r>
      <w:r w:rsidR="00002B06" w:rsidRPr="00783958">
        <w:rPr>
          <w:sz w:val="24"/>
          <w:szCs w:val="24"/>
        </w:rPr>
        <w:t xml:space="preserve"> </w:t>
      </w:r>
      <w:r w:rsidR="00181DEF" w:rsidRPr="00783958">
        <w:rPr>
          <w:sz w:val="24"/>
          <w:szCs w:val="24"/>
        </w:rPr>
        <w:fldChar w:fldCharType="begin" w:fldLock="1"/>
      </w:r>
      <w:r w:rsidR="00036654">
        <w:rPr>
          <w:sz w:val="24"/>
          <w:szCs w:val="24"/>
        </w:rPr>
        <w:instrText>ADDIN CSL_CITATION { "citationItems" : [ { "id" : "ITEM-1", "itemData" : { "abstract" : "The present invention relates to ionic liquid comprising an anion and a cation wherein the cation is a primary, secondary or tertiary ammonium ion containing a protonated nitrogen atom.", "author" : [ { "dropping-particle" : "", "family" : "Walker", "given" : "Adam J", "non-dropping-particle" : "", "parse-names" : false, "suffix" : "" } ], "container-title" : "Eur. Pat. 1 805 131", "id" : "ITEM-1", "issued" : { "date-parts" : [ [ "2004" ] ] }, "number" : "EP1805131", "title" : "Ionic liquids comprising nitrogen containing cations", "type" : "patent" }, "uris" : [ "http://www.mendeley.com/documents/?uuid=586c3151-d5b9-4465-8bf6-6dc0ada50e0e" ] } ], "mendeley" : { "formattedCitation" : "(Walker, 2004)", "plainTextFormattedCitation" : "(Walker, 2004)", "previouslyFormattedCitation" : "(Walker, 2004)" }, "properties" : { "noteIndex" : 0 }, "schema" : "https://github.com/citation-style-language/schema/raw/master/csl-citation.json" }</w:instrText>
      </w:r>
      <w:r w:rsidR="00181DEF" w:rsidRPr="00783958">
        <w:rPr>
          <w:sz w:val="24"/>
          <w:szCs w:val="24"/>
        </w:rPr>
        <w:fldChar w:fldCharType="separate"/>
      </w:r>
      <w:r w:rsidR="001D7427" w:rsidRPr="00783958">
        <w:rPr>
          <w:noProof/>
          <w:sz w:val="24"/>
          <w:szCs w:val="24"/>
        </w:rPr>
        <w:t>(Walker, 2004)</w:t>
      </w:r>
      <w:r w:rsidR="00181DEF" w:rsidRPr="00783958">
        <w:rPr>
          <w:sz w:val="24"/>
          <w:szCs w:val="24"/>
        </w:rPr>
        <w:fldChar w:fldCharType="end"/>
      </w:r>
      <w:r w:rsidR="00181DEF" w:rsidRPr="00783958">
        <w:rPr>
          <w:sz w:val="24"/>
          <w:szCs w:val="24"/>
        </w:rPr>
        <w:t>.</w:t>
      </w:r>
      <w:r w:rsidR="00002B06" w:rsidRPr="00783958">
        <w:rPr>
          <w:sz w:val="24"/>
          <w:szCs w:val="24"/>
        </w:rPr>
        <w:t xml:space="preserve"> </w:t>
      </w:r>
      <w:r w:rsidR="00C638FE" w:rsidRPr="00783958">
        <w:rPr>
          <w:sz w:val="24"/>
          <w:szCs w:val="24"/>
        </w:rPr>
        <w:t>The precursor amine</w:t>
      </w:r>
      <w:r w:rsidR="0041176C" w:rsidRPr="00783958">
        <w:rPr>
          <w:sz w:val="24"/>
          <w:szCs w:val="24"/>
        </w:rPr>
        <w:t xml:space="preserve"> </w:t>
      </w:r>
      <w:r w:rsidR="00C638FE" w:rsidRPr="00783958">
        <w:rPr>
          <w:sz w:val="24"/>
          <w:szCs w:val="24"/>
        </w:rPr>
        <w:t xml:space="preserve">to the ILs with either cation </w:t>
      </w:r>
      <w:r w:rsidR="00FC0426" w:rsidRPr="00783958">
        <w:rPr>
          <w:rFonts w:asciiTheme="majorHAnsi" w:eastAsia="Calibri" w:hAnsiTheme="majorHAnsi" w:cstheme="majorHAnsi"/>
          <w:sz w:val="24"/>
          <w:szCs w:val="24"/>
        </w:rPr>
        <w:t>[TMEEEA]</w:t>
      </w:r>
      <w:r w:rsidR="00C638FE" w:rsidRPr="00783958">
        <w:rPr>
          <w:b/>
          <w:sz w:val="24"/>
          <w:szCs w:val="24"/>
        </w:rPr>
        <w:t xml:space="preserve"> </w:t>
      </w:r>
      <w:r w:rsidR="00C638FE" w:rsidRPr="00783958">
        <w:rPr>
          <w:sz w:val="24"/>
          <w:szCs w:val="24"/>
        </w:rPr>
        <w:t xml:space="preserve">or </w:t>
      </w:r>
      <w:r w:rsidR="00FC0426" w:rsidRPr="00783958">
        <w:rPr>
          <w:rFonts w:asciiTheme="majorHAnsi" w:eastAsia="Calibri" w:hAnsiTheme="majorHAnsi" w:cstheme="majorHAnsi"/>
          <w:sz w:val="24"/>
          <w:szCs w:val="24"/>
        </w:rPr>
        <w:t>[DMEEEAH]</w:t>
      </w:r>
      <w:r w:rsidR="00C638FE" w:rsidRPr="00783958">
        <w:rPr>
          <w:sz w:val="24"/>
          <w:szCs w:val="24"/>
        </w:rPr>
        <w:t>, 2-(2-</w:t>
      </w:r>
      <w:r w:rsidR="0041176C" w:rsidRPr="00783958">
        <w:rPr>
          <w:sz w:val="24"/>
          <w:szCs w:val="24"/>
        </w:rPr>
        <w:t>e</w:t>
      </w:r>
      <w:r w:rsidR="00C638FE" w:rsidRPr="00783958">
        <w:rPr>
          <w:sz w:val="24"/>
          <w:szCs w:val="24"/>
        </w:rPr>
        <w:t>thoxyethoxy)-</w:t>
      </w:r>
      <w:r w:rsidR="00C638FE" w:rsidRPr="00783958">
        <w:rPr>
          <w:i/>
          <w:sz w:val="24"/>
          <w:szCs w:val="24"/>
        </w:rPr>
        <w:t>N,N</w:t>
      </w:r>
      <w:r w:rsidR="00C638FE" w:rsidRPr="00783958">
        <w:rPr>
          <w:sz w:val="24"/>
          <w:szCs w:val="24"/>
        </w:rPr>
        <w:t xml:space="preserve">-dimethylethan-1-amine, was prepared according to a modified version of the literature procedure </w:t>
      </w:r>
      <w:r w:rsidR="00C638FE" w:rsidRPr="00783958">
        <w:rPr>
          <w:sz w:val="24"/>
          <w:szCs w:val="24"/>
        </w:rPr>
        <w:fldChar w:fldCharType="begin" w:fldLock="1"/>
      </w:r>
      <w:r w:rsidR="009012E7" w:rsidRPr="00783958">
        <w:rPr>
          <w:sz w:val="24"/>
          <w:szCs w:val="24"/>
        </w:rPr>
        <w:instrText>ADDIN CSL_CITATION { "citationItems" : [ { "id" : "ITEM-1", "itemData" : { "abstract" : "A method for the production of 2-(N,N-dialkylamino)-ethoxy compounds involves reacting 2-(N,N-dialkylamino)-ethanols with alkyl chloride or alkoxyethyl chloride in presence of alkali metal hydroxide and a phase transfer catalyst. A method for the production of 2-(N,N- dialkylamino)-ethoxy compounds of formula (R1&gt;)2N-CH2CH2-OR2&gt; (I) involves reacting the corresponding 2-(N,N-dialkylamino)-ethanols (II) with alkyl chlorides or alkoxyethyl chlorides of formula Cl-R2&gt; (III) in presence of an aqueous solution of alkali metal hydroxide (IV) and a phase transfer catalyst (V). R1&gt;saturated linear 1-6C alkyl; R2&gt;saturated, linear or branched 3-6C alkyl or an alkylethoxy group of formula -CH2CH2OR3&gt;; R3&gt;saturated linear or optionally branched 1-6C alkyl.", "author" : [ { "dropping-particle" : "", "family" : "Bodmann", "given" : "Kerstin", "non-dropping-particle" : "", "parse-names" : false, "suffix" : "" }, { "dropping-particle" : "", "family" : "Manuela", "given" : "Imig", "non-dropping-particle" : "", "parse-names" : false, "suffix" : "" } ], "id" : "ITEM-1", "issued" : { "date-parts" : [ [ "2005" ] ] }, "number" : "EP1520849 (A1)", "title" : "Process for the preparation of 2-(n,n-dialkylamino)-ethoxy compounds", "type" : "patent" }, "uris" : [ "http://www.mendeley.com/documents/?uuid=a8497ab7-b51c-4d89-9272-16584c4f0156" ] } ], "mendeley" : { "formattedCitation" : "(Bodmann and Manuela, 2005)", "plainTextFormattedCitation" : "(Bodmann and Manuela, 2005)", "previouslyFormattedCitation" : "(Bodmann and Manuela, 2005)" }, "properties" : { "noteIndex" : 0 }, "schema" : "https://github.com/citation-style-language/schema/raw/master/csl-citation.json" }</w:instrText>
      </w:r>
      <w:r w:rsidR="00C638FE" w:rsidRPr="00783958">
        <w:rPr>
          <w:sz w:val="24"/>
          <w:szCs w:val="24"/>
        </w:rPr>
        <w:fldChar w:fldCharType="separate"/>
      </w:r>
      <w:r w:rsidR="00C638FE" w:rsidRPr="00783958">
        <w:rPr>
          <w:noProof/>
          <w:sz w:val="24"/>
          <w:szCs w:val="24"/>
        </w:rPr>
        <w:t>(Bodmann and Manuela, 2005)</w:t>
      </w:r>
      <w:r w:rsidR="00C638FE" w:rsidRPr="00783958">
        <w:rPr>
          <w:sz w:val="24"/>
          <w:szCs w:val="24"/>
        </w:rPr>
        <w:fldChar w:fldCharType="end"/>
      </w:r>
      <w:r w:rsidR="00C638FE" w:rsidRPr="00783958">
        <w:rPr>
          <w:sz w:val="24"/>
          <w:szCs w:val="24"/>
        </w:rPr>
        <w:t>.</w:t>
      </w:r>
      <w:r w:rsidR="0041176C" w:rsidRPr="00783958">
        <w:rPr>
          <w:sz w:val="24"/>
          <w:szCs w:val="24"/>
        </w:rPr>
        <w:t xml:space="preserve"> </w:t>
      </w:r>
      <w:r w:rsidR="000760EC">
        <w:rPr>
          <w:sz w:val="24"/>
          <w:szCs w:val="24"/>
        </w:rPr>
        <w:t>Precursor i</w:t>
      </w:r>
      <w:r w:rsidR="0041176C" w:rsidRPr="00783958">
        <w:rPr>
          <w:sz w:val="24"/>
          <w:szCs w:val="24"/>
        </w:rPr>
        <w:t xml:space="preserve">odide ILs </w:t>
      </w:r>
      <w:r w:rsidR="0041176C" w:rsidRPr="00783958">
        <w:rPr>
          <w:rFonts w:asciiTheme="minorHAnsi" w:eastAsia="Times New Roman" w:hAnsiTheme="minorHAnsi"/>
          <w:sz w:val="24"/>
          <w:szCs w:val="24"/>
        </w:rPr>
        <w:t>2-(2-hydroxyethoxy)-</w:t>
      </w:r>
      <w:r w:rsidR="0041176C" w:rsidRPr="00783958">
        <w:rPr>
          <w:rFonts w:asciiTheme="minorHAnsi" w:eastAsia="Times New Roman" w:hAnsiTheme="minorHAnsi"/>
          <w:i/>
          <w:sz w:val="24"/>
          <w:szCs w:val="24"/>
        </w:rPr>
        <w:t>N,N,N</w:t>
      </w:r>
      <w:r w:rsidR="0041176C" w:rsidRPr="00783958">
        <w:rPr>
          <w:rFonts w:asciiTheme="minorHAnsi" w:eastAsia="Times New Roman" w:hAnsiTheme="minorHAnsi"/>
          <w:sz w:val="24"/>
          <w:szCs w:val="24"/>
        </w:rPr>
        <w:t>-trimethylethan-1-aminium iodide</w:t>
      </w:r>
      <w:r w:rsidR="0041176C" w:rsidRPr="00783958">
        <w:rPr>
          <w:sz w:val="24"/>
          <w:szCs w:val="24"/>
        </w:rPr>
        <w:t xml:space="preserve"> and </w:t>
      </w:r>
      <w:r w:rsidR="0041176C" w:rsidRPr="00783958">
        <w:rPr>
          <w:rFonts w:asciiTheme="minorHAnsi" w:eastAsia="Times New Roman" w:hAnsiTheme="minorHAnsi"/>
          <w:sz w:val="24"/>
          <w:szCs w:val="24"/>
        </w:rPr>
        <w:t>2-(2-ethoxyethoxy)-</w:t>
      </w:r>
      <w:r w:rsidR="0041176C" w:rsidRPr="00783958">
        <w:rPr>
          <w:rFonts w:asciiTheme="minorHAnsi" w:eastAsia="Times New Roman" w:hAnsiTheme="minorHAnsi"/>
          <w:i/>
          <w:sz w:val="24"/>
          <w:szCs w:val="24"/>
        </w:rPr>
        <w:t>N,N,N</w:t>
      </w:r>
      <w:r w:rsidR="0041176C" w:rsidRPr="00783958">
        <w:rPr>
          <w:rFonts w:asciiTheme="minorHAnsi" w:eastAsia="Times New Roman" w:hAnsiTheme="minorHAnsi"/>
          <w:sz w:val="24"/>
          <w:szCs w:val="24"/>
        </w:rPr>
        <w:t xml:space="preserve">-trimethylethan-1-aminium iodide were prepared according to </w:t>
      </w:r>
      <w:r w:rsidR="009012E7" w:rsidRPr="00783958">
        <w:rPr>
          <w:rFonts w:asciiTheme="minorHAnsi" w:eastAsia="Times New Roman" w:hAnsiTheme="minorHAnsi"/>
          <w:sz w:val="24"/>
          <w:szCs w:val="24"/>
        </w:rPr>
        <w:t xml:space="preserve">a modified version of </w:t>
      </w:r>
      <w:r w:rsidR="0041176C" w:rsidRPr="00783958">
        <w:rPr>
          <w:rFonts w:asciiTheme="minorHAnsi" w:eastAsia="Times New Roman" w:hAnsiTheme="minorHAnsi"/>
          <w:sz w:val="24"/>
          <w:szCs w:val="24"/>
        </w:rPr>
        <w:t>the</w:t>
      </w:r>
      <w:r w:rsidR="009012E7" w:rsidRPr="00783958">
        <w:rPr>
          <w:rFonts w:asciiTheme="minorHAnsi" w:eastAsia="Times New Roman" w:hAnsiTheme="minorHAnsi"/>
          <w:sz w:val="24"/>
          <w:szCs w:val="24"/>
        </w:rPr>
        <w:t xml:space="preserve"> literature</w:t>
      </w:r>
      <w:r w:rsidR="0041176C" w:rsidRPr="00783958">
        <w:rPr>
          <w:rFonts w:asciiTheme="minorHAnsi" w:eastAsia="Times New Roman" w:hAnsiTheme="minorHAnsi"/>
          <w:sz w:val="24"/>
          <w:szCs w:val="24"/>
        </w:rPr>
        <w:t xml:space="preserve"> </w:t>
      </w:r>
      <w:r w:rsidR="00676FF9" w:rsidRPr="00783958">
        <w:rPr>
          <w:rFonts w:asciiTheme="minorHAnsi" w:eastAsia="Times New Roman" w:hAnsiTheme="minorHAnsi"/>
          <w:sz w:val="24"/>
          <w:szCs w:val="24"/>
        </w:rPr>
        <w:t>procedure</w:t>
      </w:r>
      <w:r w:rsidR="00356DD0" w:rsidRPr="00783958">
        <w:rPr>
          <w:rFonts w:asciiTheme="minorHAnsi" w:eastAsia="Times New Roman" w:hAnsiTheme="minorHAnsi"/>
          <w:sz w:val="24"/>
          <w:szCs w:val="24"/>
        </w:rPr>
        <w:t>s</w:t>
      </w:r>
      <w:r w:rsidR="00783958">
        <w:rPr>
          <w:rFonts w:asciiTheme="minorHAnsi" w:eastAsia="Times New Roman" w:hAnsiTheme="minorHAnsi"/>
          <w:sz w:val="24"/>
          <w:szCs w:val="24"/>
        </w:rPr>
        <w:t xml:space="preserve"> </w:t>
      </w:r>
      <w:r w:rsidR="009012E7" w:rsidRPr="00783958">
        <w:rPr>
          <w:rFonts w:asciiTheme="minorHAnsi" w:eastAsia="Times New Roman" w:hAnsiTheme="minorHAnsi"/>
          <w:sz w:val="24"/>
          <w:szCs w:val="24"/>
        </w:rPr>
        <w:fldChar w:fldCharType="begin" w:fldLock="1"/>
      </w:r>
      <w:r w:rsidR="00B704A7" w:rsidRPr="00783958">
        <w:rPr>
          <w:rFonts w:asciiTheme="minorHAnsi" w:eastAsia="Times New Roman" w:hAnsiTheme="minorHAnsi"/>
          <w:sz w:val="24"/>
          <w:szCs w:val="24"/>
        </w:rPr>
        <w:instrText>ADDIN CSL_CITATION { "citationItems" : [ { "id" : "ITEM-1", "itemData" : { "DOI" : "10.1021/cr1003248", "ISBN" : "0009-2665", "ISSN" : "1520-6890", "PMID" : "21469639", "author" : [ { "dropping-particle" : "", "family" : "Hallett", "given" : "Jason P", "non-dropping-particle" : "", "parse-names" : false, "suffix" : "" }, { "dropping-particle" : "", "family" : "Welton", "given" : "Tom", "non-dropping-particle" : "", "parse-names" : false, "suffix" : "" } ], "container-title" : "Chemical Reviews", "id" : "ITEM-1", "issued" : { "date-parts" : [ [ "2011" ] ] }, "page" : "3508-3576", "title" : "Room-Temperature Ionic Liquids. Solvents for Synthesis and Catalysis. 2", "type" : "article-journal", "volume" : "111" }, "uris" : [ "http://www.mendeley.com/documents/?uuid=5b8fbdf1-a2b4-49b3-9b02-2a07c4436b31" ] }, { "id" : "ITEM-2", "itemData" : { "DOI" : "10.1039/C6RA25562K", "abstract" : "A series of ten ionic liquids (ILs) was synthesised from the renewable resource mandelic acid. The ILs showed low antimicrobial activity towards the thirteen bacterial and twelve fungal strains they were screened against. A general trend of increasing bacterial toxicity in the order methyl ester &amp;lt; ethyl ester &amp;lt; n-butyl ester/amide was observed. IL biodegradability was evaluated using the Closed Bottle test (OECD 301D). Biodegradation increased in the order of increasing alkyl chain length for the ester ILs (methyl &amp;lt; ethyl &amp;lt; n-butyl). Despite none of the ILs presenting as readily biodegradable (&amp;gt;60% in 28 days), a series of biodegradation transformation products has been proposed based on the degradation of the ester/amide alkyl chain. This data has allowed for an assessment of the effect of IL structural features on toxicity and biodegradation, particularly allowing for a comparison to earlier work where additional oxygen atoms were present to facilitate biodegradation and attenuate toxicity. The mandelic acid derived ILs did not pass the Closed Bottle test (OECD 301D) and can be included in the rules of thumb for the design of biodegradable ILs.", "author" : [ { "dropping-particle" : "", "family" : "Prydderch", "given" : "Hannah", "non-dropping-particle" : "", "parse-names" : false, "suffix" : "" }, { "dropping-particle" : "", "family" : "Hai\u03b2", "given" : "Annette", "non-dropping-particle" : "", "parse-names" : false, "suffix" : "" }, { "dropping-particle" : "", "family" : "Spulak", "given" : "Marcel", "non-dropping-particle" : "", "parse-names" : false, "suffix" : "" }, { "dropping-particle" : "", "family" : "Quilty", "given" : "Brid", "non-dropping-particle" : "", "parse-names" : false, "suffix" : "" }, { "dropping-particle" : "", "family" : "K\u00fcmmerer", "given" : "Klaus", "non-dropping-particle" : "", "parse-names" : false, "suffix" : "" }, { "dropping-particle" : "", "family" : "Heise", "given" : "Andreas", "non-dropping-particle" : "", "parse-names" : false, "suffix" : "" }, { "dropping-particle" : "", "family" : "Gathergood", "given" : "Nicholas", "non-dropping-particle" : "", "parse-names" : false, "suffix" : "" } ], "container-title" : "RSC Adv.", "id" : "ITEM-2", "issue" : "4", "issued" : { "date-parts" : [ [ "2017" ] ] }, "page" : "2115-2126", "publisher" : "The Royal Society of Chemistry", "title" : "Mandelic acid derived ionic liquids: synthesis, toxicity and biodegradability", "type" : "article-journal", "volume" : "7" }, "uris" : [ "http://www.mendeley.com/documents/?uuid=2557d5a9-508f-3379-b497-c5953e293364" ] } ], "mendeley" : { "formattedCitation" : "(Hallett and Welton, 2011; Prydderch et al., 2017)", "plainTextFormattedCitation" : "(Hallett and Welton, 2011; Prydderch et al., 2017)", "previouslyFormattedCitation" : "(Hallett and Welton, 2011; Prydderch et al., 2017)" }, "properties" : { "noteIndex" : 0 }, "schema" : "https://github.com/citation-style-language/schema/raw/master/csl-citation.json" }</w:instrText>
      </w:r>
      <w:r w:rsidR="009012E7" w:rsidRPr="00783958">
        <w:rPr>
          <w:rFonts w:asciiTheme="minorHAnsi" w:eastAsia="Times New Roman" w:hAnsiTheme="minorHAnsi"/>
          <w:sz w:val="24"/>
          <w:szCs w:val="24"/>
        </w:rPr>
        <w:fldChar w:fldCharType="separate"/>
      </w:r>
      <w:r w:rsidR="009012E7" w:rsidRPr="00783958">
        <w:rPr>
          <w:rFonts w:asciiTheme="minorHAnsi" w:eastAsia="Times New Roman" w:hAnsiTheme="minorHAnsi"/>
          <w:noProof/>
          <w:sz w:val="24"/>
          <w:szCs w:val="24"/>
        </w:rPr>
        <w:t>(Hallett and Welton, 2011; Prydderch et al., 2017)</w:t>
      </w:r>
      <w:r w:rsidR="009012E7" w:rsidRPr="00783958">
        <w:rPr>
          <w:rFonts w:asciiTheme="minorHAnsi" w:eastAsia="Times New Roman" w:hAnsiTheme="minorHAnsi"/>
          <w:sz w:val="24"/>
          <w:szCs w:val="24"/>
        </w:rPr>
        <w:fldChar w:fldCharType="end"/>
      </w:r>
      <w:r w:rsidR="00676FF9" w:rsidRPr="00783958">
        <w:rPr>
          <w:rFonts w:asciiTheme="minorHAnsi" w:eastAsia="Times New Roman" w:hAnsiTheme="minorHAnsi"/>
          <w:sz w:val="24"/>
          <w:szCs w:val="24"/>
        </w:rPr>
        <w:t>.</w:t>
      </w:r>
      <w:r w:rsidR="0041176C" w:rsidRPr="00783958">
        <w:rPr>
          <w:sz w:val="24"/>
          <w:szCs w:val="24"/>
        </w:rPr>
        <w:t xml:space="preserve"> See supporting information for full </w:t>
      </w:r>
      <w:r w:rsidRPr="00783958">
        <w:rPr>
          <w:sz w:val="24"/>
          <w:szCs w:val="24"/>
        </w:rPr>
        <w:t>synthe</w:t>
      </w:r>
      <w:r>
        <w:rPr>
          <w:sz w:val="24"/>
          <w:szCs w:val="24"/>
        </w:rPr>
        <w:t>tic</w:t>
      </w:r>
      <w:r w:rsidRPr="00783958">
        <w:rPr>
          <w:sz w:val="24"/>
          <w:szCs w:val="24"/>
        </w:rPr>
        <w:t xml:space="preserve"> </w:t>
      </w:r>
      <w:r w:rsidR="0041176C" w:rsidRPr="00783958">
        <w:rPr>
          <w:sz w:val="24"/>
          <w:szCs w:val="24"/>
        </w:rPr>
        <w:t>procedures</w:t>
      </w:r>
      <w:r w:rsidR="00676FF9" w:rsidRPr="00783958">
        <w:rPr>
          <w:sz w:val="24"/>
          <w:szCs w:val="24"/>
        </w:rPr>
        <w:t xml:space="preserve"> and compound characterisation. </w:t>
      </w:r>
    </w:p>
    <w:p w14:paraId="1CAA9086" w14:textId="7B981900" w:rsidR="006068DF" w:rsidRPr="00783958" w:rsidRDefault="00F24185" w:rsidP="00783958">
      <w:pPr>
        <w:pStyle w:val="Heading1"/>
      </w:pPr>
      <w:bookmarkStart w:id="1" w:name="_Toc473715437"/>
      <w:r w:rsidRPr="00783958">
        <w:t>Micro</w:t>
      </w:r>
      <w:r w:rsidR="00261A69" w:rsidRPr="00783958">
        <w:t>bial t</w:t>
      </w:r>
      <w:r w:rsidR="006068DF" w:rsidRPr="00783958">
        <w:t xml:space="preserve">oxicology </w:t>
      </w:r>
      <w:r w:rsidR="00261A69" w:rsidRPr="00783958">
        <w:t>a</w:t>
      </w:r>
      <w:r w:rsidR="006068DF" w:rsidRPr="00783958">
        <w:t>ssessment</w:t>
      </w:r>
      <w:bookmarkEnd w:id="1"/>
    </w:p>
    <w:p w14:paraId="567718FB" w14:textId="6E263958" w:rsidR="006068DF" w:rsidRPr="00783958" w:rsidRDefault="006068DF" w:rsidP="00852EB8">
      <w:pPr>
        <w:rPr>
          <w:sz w:val="24"/>
          <w:szCs w:val="24"/>
        </w:rPr>
      </w:pPr>
    </w:p>
    <w:p w14:paraId="61B4617F" w14:textId="7E045F0C" w:rsidR="00627CB3" w:rsidRPr="00783958" w:rsidRDefault="006068DF" w:rsidP="00D2586B">
      <w:pPr>
        <w:spacing w:line="480" w:lineRule="auto"/>
        <w:jc w:val="both"/>
        <w:rPr>
          <w:sz w:val="24"/>
          <w:szCs w:val="24"/>
        </w:rPr>
      </w:pPr>
      <w:r w:rsidRPr="00783958">
        <w:rPr>
          <w:sz w:val="24"/>
          <w:szCs w:val="24"/>
        </w:rPr>
        <w:t xml:space="preserve">The </w:t>
      </w:r>
      <w:r w:rsidRPr="00783958">
        <w:rPr>
          <w:i/>
          <w:sz w:val="24"/>
          <w:szCs w:val="24"/>
        </w:rPr>
        <w:t>in vitro</w:t>
      </w:r>
      <w:r w:rsidRPr="00783958">
        <w:rPr>
          <w:sz w:val="24"/>
          <w:szCs w:val="24"/>
        </w:rPr>
        <w:t xml:space="preserve"> microtoxicity of the 24 ILs </w:t>
      </w:r>
      <w:r w:rsidR="00C638FE" w:rsidRPr="00783958">
        <w:rPr>
          <w:sz w:val="24"/>
          <w:szCs w:val="24"/>
        </w:rPr>
        <w:t>(</w:t>
      </w:r>
      <w:r w:rsidR="00FC0426" w:rsidRPr="00783958">
        <w:rPr>
          <w:b/>
          <w:sz w:val="24"/>
          <w:szCs w:val="24"/>
        </w:rPr>
        <w:t>1a</w:t>
      </w:r>
      <w:r w:rsidR="00C638FE" w:rsidRPr="00783958">
        <w:rPr>
          <w:rFonts w:cs="Times New Roman"/>
          <w:b/>
          <w:sz w:val="24"/>
          <w:szCs w:val="24"/>
        </w:rPr>
        <w:t>–</w:t>
      </w:r>
      <w:r w:rsidR="00FC0426" w:rsidRPr="00783958">
        <w:rPr>
          <w:b/>
          <w:sz w:val="24"/>
          <w:szCs w:val="24"/>
        </w:rPr>
        <w:t>6d</w:t>
      </w:r>
      <w:r w:rsidR="00C638FE" w:rsidRPr="00783958">
        <w:rPr>
          <w:sz w:val="24"/>
          <w:szCs w:val="24"/>
        </w:rPr>
        <w:t xml:space="preserve">) </w:t>
      </w:r>
      <w:r w:rsidRPr="00783958">
        <w:rPr>
          <w:sz w:val="24"/>
          <w:szCs w:val="24"/>
        </w:rPr>
        <w:t xml:space="preserve">was assessed against eight </w:t>
      </w:r>
      <w:r w:rsidR="00A960A0" w:rsidRPr="00783958">
        <w:rPr>
          <w:sz w:val="24"/>
          <w:szCs w:val="24"/>
        </w:rPr>
        <w:t>bacteri</w:t>
      </w:r>
      <w:r w:rsidRPr="00783958">
        <w:rPr>
          <w:sz w:val="24"/>
          <w:szCs w:val="24"/>
        </w:rPr>
        <w:t xml:space="preserve">al strains </w:t>
      </w:r>
      <w:r w:rsidR="00811FDD" w:rsidRPr="00783958">
        <w:rPr>
          <w:sz w:val="24"/>
          <w:szCs w:val="24"/>
        </w:rPr>
        <w:t xml:space="preserve">(SA: </w:t>
      </w:r>
      <w:r w:rsidR="00811FDD" w:rsidRPr="00783958">
        <w:rPr>
          <w:i/>
          <w:sz w:val="24"/>
          <w:szCs w:val="24"/>
        </w:rPr>
        <w:t>Staphylococcus aureus</w:t>
      </w:r>
      <w:r w:rsidR="00811FDD" w:rsidRPr="00783958">
        <w:rPr>
          <w:sz w:val="24"/>
          <w:szCs w:val="24"/>
        </w:rPr>
        <w:t xml:space="preserve"> ATTC 6538, MRSA: </w:t>
      </w:r>
      <w:r w:rsidR="00811FDD" w:rsidRPr="00783958">
        <w:rPr>
          <w:i/>
          <w:sz w:val="24"/>
          <w:szCs w:val="24"/>
        </w:rPr>
        <w:t>Staphylococcus aureus</w:t>
      </w:r>
      <w:r w:rsidR="00811FDD" w:rsidRPr="00783958">
        <w:rPr>
          <w:sz w:val="24"/>
          <w:szCs w:val="24"/>
        </w:rPr>
        <w:t xml:space="preserve"> MRSA HK5996/08, SE: </w:t>
      </w:r>
      <w:r w:rsidR="00811FDD" w:rsidRPr="00783958">
        <w:rPr>
          <w:i/>
          <w:sz w:val="24"/>
          <w:szCs w:val="24"/>
        </w:rPr>
        <w:t>Staphylococcus epidermidis</w:t>
      </w:r>
      <w:r w:rsidR="00811FDD" w:rsidRPr="00783958">
        <w:rPr>
          <w:sz w:val="24"/>
          <w:szCs w:val="24"/>
        </w:rPr>
        <w:t xml:space="preserve"> HK6966/08, EF: </w:t>
      </w:r>
      <w:r w:rsidR="00811FDD" w:rsidRPr="00783958">
        <w:rPr>
          <w:i/>
          <w:sz w:val="24"/>
          <w:szCs w:val="24"/>
        </w:rPr>
        <w:t>Enterococcus sp.</w:t>
      </w:r>
      <w:r w:rsidR="00811FDD" w:rsidRPr="00783958">
        <w:rPr>
          <w:sz w:val="24"/>
          <w:szCs w:val="24"/>
        </w:rPr>
        <w:t xml:space="preserve"> HK14365/08, EC: </w:t>
      </w:r>
      <w:r w:rsidR="00811FDD" w:rsidRPr="00783958">
        <w:rPr>
          <w:i/>
          <w:sz w:val="24"/>
          <w:szCs w:val="24"/>
        </w:rPr>
        <w:t>Escherichia coli</w:t>
      </w:r>
      <w:r w:rsidR="00811FDD" w:rsidRPr="00783958">
        <w:rPr>
          <w:sz w:val="24"/>
          <w:szCs w:val="24"/>
        </w:rPr>
        <w:t xml:space="preserve"> ATTC 8739, KP: </w:t>
      </w:r>
      <w:r w:rsidR="00811FDD" w:rsidRPr="00783958">
        <w:rPr>
          <w:i/>
          <w:sz w:val="24"/>
          <w:szCs w:val="24"/>
        </w:rPr>
        <w:t>Klebsiella pneumoniae</w:t>
      </w:r>
      <w:r w:rsidR="00811FDD" w:rsidRPr="00783958">
        <w:rPr>
          <w:sz w:val="24"/>
          <w:szCs w:val="24"/>
        </w:rPr>
        <w:t xml:space="preserve"> HK11750/08, KP-E: </w:t>
      </w:r>
      <w:r w:rsidR="00811FDD" w:rsidRPr="00783958">
        <w:rPr>
          <w:i/>
          <w:sz w:val="24"/>
          <w:szCs w:val="24"/>
        </w:rPr>
        <w:t>Klebsiella pneumoniae ESBL</w:t>
      </w:r>
      <w:r w:rsidR="00811FDD" w:rsidRPr="00783958">
        <w:rPr>
          <w:sz w:val="24"/>
          <w:szCs w:val="24"/>
        </w:rPr>
        <w:t xml:space="preserve"> HK14368/08, and PA: </w:t>
      </w:r>
      <w:r w:rsidR="00811FDD" w:rsidRPr="00783958">
        <w:rPr>
          <w:i/>
          <w:sz w:val="24"/>
          <w:szCs w:val="24"/>
        </w:rPr>
        <w:t>Pseudomonas aeruginosa</w:t>
      </w:r>
      <w:r w:rsidR="00811FDD" w:rsidRPr="00783958">
        <w:rPr>
          <w:sz w:val="24"/>
          <w:szCs w:val="24"/>
        </w:rPr>
        <w:t xml:space="preserve"> ATTC 9027) </w:t>
      </w:r>
      <w:r w:rsidRPr="00783958">
        <w:rPr>
          <w:sz w:val="24"/>
          <w:szCs w:val="24"/>
        </w:rPr>
        <w:t>and twelve fungal strains</w:t>
      </w:r>
      <w:r w:rsidR="00811FDD" w:rsidRPr="00783958">
        <w:rPr>
          <w:rFonts w:cs="Times New Roman"/>
          <w:sz w:val="24"/>
          <w:szCs w:val="24"/>
          <w:vertAlign w:val="superscript"/>
        </w:rPr>
        <w:t xml:space="preserve"> </w:t>
      </w:r>
      <w:r w:rsidR="00811FDD" w:rsidRPr="00783958">
        <w:rPr>
          <w:sz w:val="24"/>
          <w:szCs w:val="24"/>
        </w:rPr>
        <w:t>(</w:t>
      </w:r>
      <w:r w:rsidR="00811FDD" w:rsidRPr="00783958">
        <w:rPr>
          <w:rFonts w:cs="Times New Roman"/>
          <w:sz w:val="24"/>
          <w:szCs w:val="24"/>
        </w:rPr>
        <w:t xml:space="preserve">CA1: </w:t>
      </w:r>
      <w:r w:rsidR="00811FDD" w:rsidRPr="00783958">
        <w:rPr>
          <w:rFonts w:cs="Times New Roman"/>
          <w:i/>
          <w:sz w:val="24"/>
          <w:szCs w:val="24"/>
        </w:rPr>
        <w:t>Candida albicans</w:t>
      </w:r>
      <w:r w:rsidR="00811FDD" w:rsidRPr="00783958">
        <w:rPr>
          <w:rFonts w:cs="Times New Roman"/>
          <w:sz w:val="24"/>
          <w:szCs w:val="24"/>
        </w:rPr>
        <w:t xml:space="preserve"> ATCC 44859, CA2: </w:t>
      </w:r>
      <w:r w:rsidR="00811FDD" w:rsidRPr="00783958">
        <w:rPr>
          <w:rFonts w:cs="Times New Roman"/>
          <w:i/>
          <w:sz w:val="24"/>
          <w:szCs w:val="24"/>
        </w:rPr>
        <w:t>Candida albicans</w:t>
      </w:r>
      <w:r w:rsidR="00811FDD" w:rsidRPr="00783958">
        <w:rPr>
          <w:rFonts w:cs="Times New Roman"/>
          <w:sz w:val="24"/>
          <w:szCs w:val="24"/>
        </w:rPr>
        <w:t xml:space="preserve"> ATCC 90028, CP: </w:t>
      </w:r>
      <w:r w:rsidR="00811FDD" w:rsidRPr="00783958">
        <w:rPr>
          <w:rFonts w:cs="Times New Roman"/>
          <w:i/>
          <w:sz w:val="24"/>
          <w:szCs w:val="24"/>
        </w:rPr>
        <w:t>Candida parapsilosis</w:t>
      </w:r>
      <w:r w:rsidR="00811FDD" w:rsidRPr="00783958">
        <w:rPr>
          <w:rFonts w:cs="Times New Roman"/>
          <w:sz w:val="24"/>
          <w:szCs w:val="24"/>
        </w:rPr>
        <w:t xml:space="preserve"> ATCC 22019, CK1: </w:t>
      </w:r>
      <w:r w:rsidR="00811FDD" w:rsidRPr="00783958">
        <w:rPr>
          <w:rFonts w:cs="Times New Roman"/>
          <w:i/>
          <w:sz w:val="24"/>
          <w:szCs w:val="24"/>
        </w:rPr>
        <w:t>Candida krusei</w:t>
      </w:r>
      <w:r w:rsidR="00811FDD" w:rsidRPr="00783958">
        <w:rPr>
          <w:rFonts w:cs="Times New Roman"/>
          <w:sz w:val="24"/>
          <w:szCs w:val="24"/>
        </w:rPr>
        <w:t xml:space="preserve"> ATCC 6258, CK2: </w:t>
      </w:r>
      <w:r w:rsidR="00811FDD" w:rsidRPr="00783958">
        <w:rPr>
          <w:rFonts w:cs="Times New Roman"/>
          <w:i/>
          <w:sz w:val="24"/>
          <w:szCs w:val="24"/>
        </w:rPr>
        <w:t>Candida krusei</w:t>
      </w:r>
      <w:r w:rsidR="00811FDD" w:rsidRPr="00783958">
        <w:rPr>
          <w:rFonts w:cs="Times New Roman"/>
          <w:sz w:val="24"/>
          <w:szCs w:val="24"/>
        </w:rPr>
        <w:t xml:space="preserve"> E28, CT: </w:t>
      </w:r>
      <w:r w:rsidR="00811FDD" w:rsidRPr="00783958">
        <w:rPr>
          <w:rFonts w:cs="Times New Roman"/>
          <w:i/>
          <w:sz w:val="24"/>
          <w:szCs w:val="24"/>
        </w:rPr>
        <w:t>Candida tropicalis</w:t>
      </w:r>
      <w:r w:rsidR="00811FDD" w:rsidRPr="00783958">
        <w:rPr>
          <w:rFonts w:cs="Times New Roman"/>
          <w:sz w:val="24"/>
          <w:szCs w:val="24"/>
        </w:rPr>
        <w:t xml:space="preserve"> 156, CG: </w:t>
      </w:r>
      <w:r w:rsidR="00811FDD" w:rsidRPr="00783958">
        <w:rPr>
          <w:rFonts w:cs="Times New Roman"/>
          <w:i/>
          <w:sz w:val="24"/>
          <w:szCs w:val="24"/>
        </w:rPr>
        <w:t>Candida glabrata</w:t>
      </w:r>
      <w:r w:rsidR="00811FDD" w:rsidRPr="00783958">
        <w:rPr>
          <w:rFonts w:cs="Times New Roman"/>
          <w:sz w:val="24"/>
          <w:szCs w:val="24"/>
        </w:rPr>
        <w:t xml:space="preserve"> 20/I, CL: </w:t>
      </w:r>
      <w:r w:rsidR="00811FDD" w:rsidRPr="00783958">
        <w:rPr>
          <w:rFonts w:cs="Times New Roman"/>
          <w:i/>
          <w:sz w:val="24"/>
          <w:szCs w:val="24"/>
        </w:rPr>
        <w:t>Candida lusitaniae</w:t>
      </w:r>
      <w:r w:rsidR="00811FDD" w:rsidRPr="00783958">
        <w:rPr>
          <w:rFonts w:cs="Times New Roman"/>
          <w:sz w:val="24"/>
          <w:szCs w:val="24"/>
        </w:rPr>
        <w:t xml:space="preserve"> 2446/I, TA: </w:t>
      </w:r>
      <w:r w:rsidR="00811FDD" w:rsidRPr="00783958">
        <w:rPr>
          <w:rFonts w:cs="Times New Roman"/>
          <w:i/>
          <w:sz w:val="24"/>
          <w:szCs w:val="24"/>
        </w:rPr>
        <w:t>Trichosporon asahii</w:t>
      </w:r>
      <w:r w:rsidR="00811FDD" w:rsidRPr="00783958">
        <w:rPr>
          <w:rFonts w:cs="Times New Roman"/>
          <w:sz w:val="24"/>
          <w:szCs w:val="24"/>
        </w:rPr>
        <w:t xml:space="preserve"> 1188, AF: </w:t>
      </w:r>
      <w:r w:rsidR="00811FDD" w:rsidRPr="00783958">
        <w:rPr>
          <w:rFonts w:cs="Times New Roman"/>
          <w:i/>
          <w:sz w:val="24"/>
          <w:szCs w:val="24"/>
        </w:rPr>
        <w:t>Aspergillus fumigatus</w:t>
      </w:r>
      <w:r w:rsidR="00811FDD" w:rsidRPr="00783958">
        <w:rPr>
          <w:rFonts w:cs="Times New Roman"/>
          <w:sz w:val="24"/>
          <w:szCs w:val="24"/>
        </w:rPr>
        <w:t xml:space="preserve"> 231, AC: </w:t>
      </w:r>
      <w:r w:rsidR="00811FDD" w:rsidRPr="00783958">
        <w:rPr>
          <w:rFonts w:cs="Times New Roman"/>
          <w:i/>
          <w:sz w:val="24"/>
          <w:szCs w:val="24"/>
        </w:rPr>
        <w:t>Absidia corymbifera</w:t>
      </w:r>
      <w:r w:rsidR="00811FDD" w:rsidRPr="00783958">
        <w:rPr>
          <w:rFonts w:cs="Times New Roman"/>
          <w:sz w:val="24"/>
          <w:szCs w:val="24"/>
        </w:rPr>
        <w:t xml:space="preserve"> 272, TM: </w:t>
      </w:r>
      <w:r w:rsidR="00811FDD" w:rsidRPr="00783958">
        <w:rPr>
          <w:rFonts w:cs="Times New Roman"/>
          <w:i/>
          <w:sz w:val="24"/>
          <w:szCs w:val="24"/>
        </w:rPr>
        <w:t>Trichophyton mentagrophytes</w:t>
      </w:r>
      <w:r w:rsidR="00811FDD" w:rsidRPr="00783958">
        <w:rPr>
          <w:rFonts w:cs="Times New Roman"/>
          <w:sz w:val="24"/>
          <w:szCs w:val="24"/>
        </w:rPr>
        <w:t xml:space="preserve"> 445) </w:t>
      </w:r>
      <w:r w:rsidR="00811FDD" w:rsidRPr="00783958">
        <w:rPr>
          <w:sz w:val="24"/>
          <w:szCs w:val="24"/>
        </w:rPr>
        <w:t xml:space="preserve">using </w:t>
      </w:r>
      <w:r w:rsidRPr="00783958">
        <w:rPr>
          <w:sz w:val="24"/>
          <w:szCs w:val="24"/>
        </w:rPr>
        <w:t xml:space="preserve">the procedure </w:t>
      </w:r>
      <w:r w:rsidR="00811FDD" w:rsidRPr="00783958">
        <w:rPr>
          <w:sz w:val="24"/>
          <w:szCs w:val="24"/>
        </w:rPr>
        <w:t>fol</w:t>
      </w:r>
      <w:r w:rsidR="00DC090B" w:rsidRPr="00783958">
        <w:rPr>
          <w:sz w:val="24"/>
          <w:szCs w:val="24"/>
        </w:rPr>
        <w:t>l</w:t>
      </w:r>
      <w:r w:rsidR="00811FDD" w:rsidRPr="00783958">
        <w:rPr>
          <w:sz w:val="24"/>
          <w:szCs w:val="24"/>
        </w:rPr>
        <w:t xml:space="preserve">owed </w:t>
      </w:r>
      <w:r w:rsidRPr="00783958">
        <w:rPr>
          <w:sz w:val="24"/>
          <w:szCs w:val="24"/>
        </w:rPr>
        <w:t xml:space="preserve">by Jordan </w:t>
      </w:r>
      <w:r w:rsidRPr="00783958">
        <w:rPr>
          <w:i/>
          <w:sz w:val="24"/>
          <w:szCs w:val="24"/>
        </w:rPr>
        <w:t xml:space="preserve">et al </w:t>
      </w:r>
      <w:r w:rsidRPr="00783958">
        <w:rPr>
          <w:sz w:val="24"/>
          <w:szCs w:val="24"/>
        </w:rPr>
        <w:fldChar w:fldCharType="begin" w:fldLock="1"/>
      </w:r>
      <w:r w:rsidRPr="00783958">
        <w:rPr>
          <w:sz w:val="24"/>
          <w:szCs w:val="24"/>
        </w:rPr>
        <w:instrText>ADDIN CSL_CITATION { "citationItems" : [ { "id" : "ITEM-1", "itemData" : { "DOI" : "10.1039/C6GC00415F", "ISSN" : "1463-9262", "author" : [ { "dropping-particle" : "", "family" : "Jordan", "given" : "Andrew", "non-dropping-particle" : "", "parse-names" : false, "suffix" : "" }, { "dropping-particle" : "", "family" : "Hai\u00df", "given" : "Annette", "non-dropping-particle" : "", "parse-names" : false, "suffix" : "" }, { "dropping-particle" : "", "family" : "Spulak", "given" : "Marcel", "non-dropping-particle" : "", "parse-names" : false, "suffix" : "" }, { "dropping-particle" : "", "family" : "Karpichev", "given" : "Yevgen", "non-dropping-particle" : "", "parse-names" : false, "suffix" : "" }, { "dropping-particle" : "", "family" : "K\u00fcmmerer", "given" : "Klaus", "non-dropping-particle" : "", "parse-names" : false, "suffix" : "" }, { "dropping-particle" : "", "family" : "Gathergood", "given" : "Nicholas", "non-dropping-particle" : "", "parse-names" : false, "suffix" : "" } ], "container-title" : "Green Chem.", "id" : "ITEM-1", "issue" : "16", "issued" : { "date-parts" : [ [ "2016" ] ] }, "page" : "4374-4392", "title" : "Synthesis of a series of amino acid derived ionic liquids and tertiary amines: green chemistry metrics including microbial toxicity and preliminary biodegradation data analysis", "type" : "article-journal", "volume" : "18" }, "uris" : [ "http://www.mendeley.com/documents/?uuid=11cf2fc4-a782-4384-8c16-8710083a20a6" ] } ], "mendeley" : { "formattedCitation" : "(Jordan et al., 2016)", "plainTextFormattedCitation" : "(Jordan et al., 2016)", "previouslyFormattedCitation" : "(Jordan et al., 2016)" }, "properties" : { "noteIndex" : 0 }, "schema" : "https://github.com/citation-style-language/schema/raw/master/csl-citation.json" }</w:instrText>
      </w:r>
      <w:r w:rsidRPr="00783958">
        <w:rPr>
          <w:sz w:val="24"/>
          <w:szCs w:val="24"/>
        </w:rPr>
        <w:fldChar w:fldCharType="separate"/>
      </w:r>
      <w:r w:rsidRPr="00783958">
        <w:rPr>
          <w:noProof/>
          <w:sz w:val="24"/>
          <w:szCs w:val="24"/>
        </w:rPr>
        <w:t>(Jordan et al., 2016)</w:t>
      </w:r>
      <w:r w:rsidRPr="00783958">
        <w:rPr>
          <w:sz w:val="24"/>
          <w:szCs w:val="24"/>
        </w:rPr>
        <w:fldChar w:fldCharType="end"/>
      </w:r>
      <w:r w:rsidRPr="00783958">
        <w:rPr>
          <w:sz w:val="24"/>
          <w:szCs w:val="24"/>
        </w:rPr>
        <w:t xml:space="preserve">. </w:t>
      </w:r>
      <w:bookmarkStart w:id="2" w:name="_Hlk497214901"/>
      <w:bookmarkStart w:id="3" w:name="_Hlk497469955"/>
      <w:r w:rsidR="002871A1">
        <w:rPr>
          <w:sz w:val="24"/>
          <w:szCs w:val="24"/>
        </w:rPr>
        <w:t>Full p</w:t>
      </w:r>
      <w:r w:rsidR="00975045">
        <w:rPr>
          <w:sz w:val="24"/>
          <w:szCs w:val="24"/>
        </w:rPr>
        <w:t>rocedur</w:t>
      </w:r>
      <w:r w:rsidR="002871A1">
        <w:rPr>
          <w:sz w:val="24"/>
          <w:szCs w:val="24"/>
        </w:rPr>
        <w:t>al</w:t>
      </w:r>
      <w:r w:rsidR="004C1A35">
        <w:rPr>
          <w:sz w:val="24"/>
          <w:szCs w:val="24"/>
        </w:rPr>
        <w:t xml:space="preserve"> </w:t>
      </w:r>
      <w:bookmarkEnd w:id="2"/>
      <w:r w:rsidR="004C1A35">
        <w:rPr>
          <w:sz w:val="24"/>
          <w:szCs w:val="24"/>
        </w:rPr>
        <w:t xml:space="preserve">details of </w:t>
      </w:r>
      <w:r w:rsidR="002871A1">
        <w:rPr>
          <w:sz w:val="24"/>
          <w:szCs w:val="24"/>
        </w:rPr>
        <w:t xml:space="preserve">the </w:t>
      </w:r>
      <w:r w:rsidR="004C1A35">
        <w:rPr>
          <w:sz w:val="24"/>
          <w:szCs w:val="24"/>
        </w:rPr>
        <w:lastRenderedPageBreak/>
        <w:t>bacterial and fungal microtoxicity assessment can be found in the supporting information of this manuscript.</w:t>
      </w:r>
      <w:bookmarkEnd w:id="3"/>
    </w:p>
    <w:p w14:paraId="466FFEDC" w14:textId="6EFBCEA1" w:rsidR="00740720" w:rsidRDefault="002C4701" w:rsidP="0057405D">
      <w:pPr>
        <w:pStyle w:val="Heading1"/>
      </w:pPr>
      <w:r>
        <w:t>Results and Discussion</w:t>
      </w:r>
    </w:p>
    <w:p w14:paraId="4D32E289" w14:textId="77777777" w:rsidR="0057405D" w:rsidRPr="0057405D" w:rsidRDefault="0057405D" w:rsidP="0057405D"/>
    <w:p w14:paraId="566DC9F8" w14:textId="193EA653" w:rsidR="004C5315" w:rsidRPr="00783958" w:rsidRDefault="004C5315" w:rsidP="0057405D">
      <w:pPr>
        <w:spacing w:line="480" w:lineRule="auto"/>
        <w:jc w:val="both"/>
        <w:rPr>
          <w:sz w:val="24"/>
        </w:rPr>
      </w:pPr>
      <w:r w:rsidRPr="00783958">
        <w:rPr>
          <w:sz w:val="24"/>
        </w:rPr>
        <w:t xml:space="preserve">To assist with visualising the microtoxicity data, we have used a colour scheme in all results tables which corresponds to the test results in general. </w:t>
      </w:r>
      <w:bookmarkStart w:id="4" w:name="_Hlk497295200"/>
      <w:r w:rsidRPr="00783958">
        <w:rPr>
          <w:sz w:val="24"/>
        </w:rPr>
        <w:t>Results shaded green indicate minimum inhibition concentrations (MICs) greater than the maximum screening concentration of 2000</w:t>
      </w:r>
      <w:r w:rsidRPr="00783958">
        <w:rPr>
          <w:rFonts w:asciiTheme="majorHAnsi" w:hAnsiTheme="majorHAnsi" w:cstheme="majorHAnsi"/>
          <w:sz w:val="24"/>
        </w:rPr>
        <w:t xml:space="preserve"> μM,</w:t>
      </w:r>
      <w:r w:rsidRPr="00783958">
        <w:rPr>
          <w:sz w:val="24"/>
        </w:rPr>
        <w:t xml:space="preserve"> results shaded yellow indicat</w:t>
      </w:r>
      <w:r w:rsidR="009140CA" w:rsidRPr="00783958">
        <w:rPr>
          <w:sz w:val="24"/>
        </w:rPr>
        <w:t>e</w:t>
      </w:r>
      <w:r w:rsidRPr="00783958">
        <w:rPr>
          <w:sz w:val="24"/>
        </w:rPr>
        <w:t xml:space="preserve"> a</w:t>
      </w:r>
      <w:r w:rsidR="009140CA" w:rsidRPr="00783958">
        <w:rPr>
          <w:sz w:val="24"/>
        </w:rPr>
        <w:t xml:space="preserve"> moderate toxicity </w:t>
      </w:r>
      <w:r w:rsidR="00356DD0" w:rsidRPr="00783958">
        <w:rPr>
          <w:sz w:val="24"/>
        </w:rPr>
        <w:t xml:space="preserve">MIC which was </w:t>
      </w:r>
      <w:r w:rsidR="009140CA" w:rsidRPr="00783958">
        <w:rPr>
          <w:sz w:val="24"/>
        </w:rPr>
        <w:t>in the range 500</w:t>
      </w:r>
      <w:r w:rsidR="002871A1">
        <w:rPr>
          <w:rFonts w:cs="Times New Roman"/>
          <w:sz w:val="24"/>
        </w:rPr>
        <w:t>–</w:t>
      </w:r>
      <w:r w:rsidR="009140CA" w:rsidRPr="00783958">
        <w:rPr>
          <w:sz w:val="24"/>
        </w:rPr>
        <w:t xml:space="preserve">2000 </w:t>
      </w:r>
      <w:r w:rsidR="009140CA" w:rsidRPr="00783958">
        <w:rPr>
          <w:rFonts w:asciiTheme="majorHAnsi" w:hAnsiTheme="majorHAnsi" w:cstheme="majorHAnsi"/>
          <w:sz w:val="24"/>
        </w:rPr>
        <w:t>μM</w:t>
      </w:r>
      <w:r w:rsidRPr="00783958">
        <w:rPr>
          <w:sz w:val="24"/>
        </w:rPr>
        <w:t>, and results shaded red indicat</w:t>
      </w:r>
      <w:r w:rsidR="0057405D" w:rsidRPr="00783958">
        <w:rPr>
          <w:sz w:val="24"/>
        </w:rPr>
        <w:t>e</w:t>
      </w:r>
      <w:r w:rsidRPr="00783958">
        <w:rPr>
          <w:sz w:val="24"/>
        </w:rPr>
        <w:t xml:space="preserve"> high </w:t>
      </w:r>
      <w:r w:rsidR="009140CA" w:rsidRPr="00783958">
        <w:rPr>
          <w:sz w:val="24"/>
        </w:rPr>
        <w:t xml:space="preserve">microbial </w:t>
      </w:r>
      <w:r w:rsidRPr="00783958">
        <w:rPr>
          <w:sz w:val="24"/>
        </w:rPr>
        <w:t>toxicities as inferred from low MICs</w:t>
      </w:r>
      <w:r w:rsidR="009140CA" w:rsidRPr="00783958">
        <w:rPr>
          <w:sz w:val="24"/>
        </w:rPr>
        <w:t xml:space="preserve"> in the range 7.8</w:t>
      </w:r>
      <w:r w:rsidR="002871A1">
        <w:rPr>
          <w:rFonts w:cs="Times New Roman"/>
          <w:sz w:val="24"/>
        </w:rPr>
        <w:t>–</w:t>
      </w:r>
      <w:r w:rsidR="009140CA" w:rsidRPr="00783958">
        <w:rPr>
          <w:sz w:val="24"/>
        </w:rPr>
        <w:t xml:space="preserve">250 </w:t>
      </w:r>
      <w:r w:rsidR="009140CA" w:rsidRPr="00783958">
        <w:rPr>
          <w:rFonts w:asciiTheme="majorHAnsi" w:hAnsiTheme="majorHAnsi" w:cstheme="majorHAnsi"/>
          <w:sz w:val="24"/>
        </w:rPr>
        <w:t>μM</w:t>
      </w:r>
      <w:r w:rsidR="009140CA" w:rsidRPr="00783958">
        <w:rPr>
          <w:sz w:val="24"/>
        </w:rPr>
        <w:t>.</w:t>
      </w:r>
      <w:bookmarkEnd w:id="4"/>
      <w:r w:rsidR="009140CA" w:rsidRPr="00783958">
        <w:rPr>
          <w:sz w:val="24"/>
        </w:rPr>
        <w:t xml:space="preserve"> ILs with high</w:t>
      </w:r>
      <w:r w:rsidRPr="00783958">
        <w:rPr>
          <w:sz w:val="24"/>
        </w:rPr>
        <w:t xml:space="preserve"> antimicrobial or antifungal activity</w:t>
      </w:r>
      <w:r w:rsidR="00BE5705" w:rsidRPr="00783958">
        <w:rPr>
          <w:sz w:val="24"/>
        </w:rPr>
        <w:t xml:space="preserve"> </w:t>
      </w:r>
      <w:r w:rsidR="009140CA" w:rsidRPr="00783958">
        <w:rPr>
          <w:sz w:val="24"/>
        </w:rPr>
        <w:t>may</w:t>
      </w:r>
      <w:r w:rsidR="00BE5705" w:rsidRPr="00783958">
        <w:rPr>
          <w:sz w:val="24"/>
        </w:rPr>
        <w:t xml:space="preserve"> fail </w:t>
      </w:r>
      <w:r w:rsidR="009140CA" w:rsidRPr="00783958">
        <w:rPr>
          <w:sz w:val="24"/>
        </w:rPr>
        <w:t xml:space="preserve">future </w:t>
      </w:r>
      <w:r w:rsidR="00BE5705" w:rsidRPr="00783958">
        <w:rPr>
          <w:sz w:val="24"/>
        </w:rPr>
        <w:t>biodegradation studies</w:t>
      </w:r>
      <w:r w:rsidR="009140CA" w:rsidRPr="00783958">
        <w:rPr>
          <w:sz w:val="24"/>
        </w:rPr>
        <w:t xml:space="preserve"> due to this adverse biocidal property.</w:t>
      </w:r>
      <w:r w:rsidR="003F6B3B">
        <w:rPr>
          <w:sz w:val="24"/>
        </w:rPr>
        <w:t xml:space="preserve"> </w:t>
      </w:r>
      <w:r w:rsidR="003F6B3B" w:rsidRPr="003F6B3B">
        <w:rPr>
          <w:sz w:val="24"/>
        </w:rPr>
        <w:t>For readers who are colour blind, versions of the data tables featuring a greyscale highlighting scheme can be found in the supporting information of this manuscript.</w:t>
      </w:r>
      <w:r w:rsidR="00DA505E">
        <w:rPr>
          <w:sz w:val="24"/>
        </w:rPr>
        <w:t xml:space="preserve"> </w:t>
      </w:r>
      <w:bookmarkStart w:id="5" w:name="_Hlk497295807"/>
      <w:r w:rsidR="00C85C5C">
        <w:rPr>
          <w:sz w:val="24"/>
        </w:rPr>
        <w:t xml:space="preserve">Of the 24 ILs studied, eight exhibited MICs greater than the maximum screening concentration towards all microbial strains studied. This result does not </w:t>
      </w:r>
      <w:r w:rsidR="002871A1">
        <w:rPr>
          <w:sz w:val="24"/>
        </w:rPr>
        <w:t>classify</w:t>
      </w:r>
      <w:r w:rsidR="00C85C5C">
        <w:rPr>
          <w:sz w:val="24"/>
        </w:rPr>
        <w:t xml:space="preserve"> these ILs </w:t>
      </w:r>
      <w:r w:rsidR="002871A1">
        <w:rPr>
          <w:sz w:val="24"/>
        </w:rPr>
        <w:t>as</w:t>
      </w:r>
      <w:r w:rsidR="00C85C5C">
        <w:rPr>
          <w:sz w:val="24"/>
        </w:rPr>
        <w:t xml:space="preserve"> non-toxic, but rather </w:t>
      </w:r>
      <w:r w:rsidR="002871A1">
        <w:rPr>
          <w:sz w:val="24"/>
        </w:rPr>
        <w:t xml:space="preserve">highlights </w:t>
      </w:r>
      <w:r w:rsidR="00C85C5C">
        <w:rPr>
          <w:sz w:val="24"/>
        </w:rPr>
        <w:t>that they do not exhibit acute microtroxicity.</w:t>
      </w:r>
      <w:bookmarkEnd w:id="5"/>
    </w:p>
    <w:p w14:paraId="51911669" w14:textId="5216032D" w:rsidR="00740720" w:rsidRDefault="004A3A28" w:rsidP="0057405D">
      <w:pPr>
        <w:pStyle w:val="Heading2"/>
      </w:pPr>
      <w:r w:rsidRPr="00204CCF">
        <w:t>Anti</w:t>
      </w:r>
      <w:r w:rsidR="00A960A0">
        <w:t>bacter</w:t>
      </w:r>
      <w:r w:rsidRPr="00204CCF">
        <w:t xml:space="preserve">ial </w:t>
      </w:r>
      <w:r w:rsidR="00261A69">
        <w:t>a</w:t>
      </w:r>
      <w:r w:rsidR="00304E47">
        <w:t xml:space="preserve">ctivity </w:t>
      </w:r>
      <w:r w:rsidRPr="00204CCF">
        <w:t>screening</w:t>
      </w:r>
    </w:p>
    <w:p w14:paraId="342978C3" w14:textId="77777777" w:rsidR="0057405D" w:rsidRPr="0057405D" w:rsidRDefault="0057405D" w:rsidP="0057405D"/>
    <w:p w14:paraId="52E17D35" w14:textId="3BBDD80E" w:rsidR="005E4860" w:rsidRPr="00783958" w:rsidRDefault="001A7888" w:rsidP="009012E7">
      <w:pPr>
        <w:spacing w:line="480" w:lineRule="auto"/>
        <w:jc w:val="both"/>
        <w:rPr>
          <w:rFonts w:cs="Times New Roman"/>
          <w:sz w:val="24"/>
        </w:rPr>
      </w:pPr>
      <w:r w:rsidRPr="00783958">
        <w:rPr>
          <w:sz w:val="24"/>
        </w:rPr>
        <w:t xml:space="preserve">For most </w:t>
      </w:r>
      <w:r w:rsidR="00D65CF6" w:rsidRPr="00783958">
        <w:rPr>
          <w:sz w:val="24"/>
        </w:rPr>
        <w:t xml:space="preserve">of the </w:t>
      </w:r>
      <w:r w:rsidRPr="00783958">
        <w:rPr>
          <w:sz w:val="24"/>
        </w:rPr>
        <w:t xml:space="preserve">ILs derived from either the </w:t>
      </w:r>
      <w:r w:rsidR="00B426ED" w:rsidRPr="00783958">
        <w:rPr>
          <w:sz w:val="24"/>
        </w:rPr>
        <w:t xml:space="preserve">[Ch] </w:t>
      </w:r>
      <w:r w:rsidR="00EC00EB" w:rsidRPr="00783958">
        <w:rPr>
          <w:sz w:val="24"/>
        </w:rPr>
        <w:t>(</w:t>
      </w:r>
      <w:r w:rsidR="00EC00EB" w:rsidRPr="00783958">
        <w:rPr>
          <w:b/>
          <w:sz w:val="24"/>
        </w:rPr>
        <w:t>1a-d</w:t>
      </w:r>
      <w:r w:rsidR="00EC00EB" w:rsidRPr="00783958">
        <w:rPr>
          <w:sz w:val="24"/>
        </w:rPr>
        <w:t xml:space="preserve">) </w:t>
      </w:r>
      <w:r w:rsidR="00CD0C6F" w:rsidRPr="00783958">
        <w:rPr>
          <w:sz w:val="24"/>
        </w:rPr>
        <w:t xml:space="preserve">or </w:t>
      </w:r>
      <w:r w:rsidR="003301F8" w:rsidRPr="00783958">
        <w:rPr>
          <w:sz w:val="24"/>
        </w:rPr>
        <w:t>[</w:t>
      </w:r>
      <w:r w:rsidR="00B426ED" w:rsidRPr="00783958">
        <w:rPr>
          <w:sz w:val="24"/>
        </w:rPr>
        <w:t>DME</w:t>
      </w:r>
      <w:r w:rsidR="0043685A" w:rsidRPr="00783958">
        <w:rPr>
          <w:sz w:val="24"/>
        </w:rPr>
        <w:t>t</w:t>
      </w:r>
      <w:r w:rsidR="00B426ED" w:rsidRPr="00783958">
        <w:rPr>
          <w:sz w:val="24"/>
        </w:rPr>
        <w:t>A</w:t>
      </w:r>
      <w:r w:rsidR="0043685A" w:rsidRPr="00783958">
        <w:rPr>
          <w:sz w:val="24"/>
        </w:rPr>
        <w:t>H</w:t>
      </w:r>
      <w:r w:rsidR="003301F8" w:rsidRPr="00783958">
        <w:rPr>
          <w:sz w:val="24"/>
        </w:rPr>
        <w:t>]</w:t>
      </w:r>
      <w:r w:rsidRPr="00783958">
        <w:rPr>
          <w:sz w:val="24"/>
        </w:rPr>
        <w:t xml:space="preserve"> cation</w:t>
      </w:r>
      <w:r w:rsidR="00EC00EB" w:rsidRPr="00783958">
        <w:rPr>
          <w:sz w:val="24"/>
        </w:rPr>
        <w:t xml:space="preserve"> (</w:t>
      </w:r>
      <w:r w:rsidR="00EC00EB" w:rsidRPr="00783958">
        <w:rPr>
          <w:b/>
          <w:sz w:val="24"/>
        </w:rPr>
        <w:t>4a-d</w:t>
      </w:r>
      <w:r w:rsidR="00EC00EB" w:rsidRPr="00783958">
        <w:rPr>
          <w:sz w:val="24"/>
        </w:rPr>
        <w:t>)</w:t>
      </w:r>
      <w:r w:rsidRPr="00783958">
        <w:rPr>
          <w:sz w:val="24"/>
        </w:rPr>
        <w:t xml:space="preserve">, high toxicities </w:t>
      </w:r>
      <w:r w:rsidR="00D65CF6" w:rsidRPr="00783958">
        <w:rPr>
          <w:sz w:val="24"/>
        </w:rPr>
        <w:t>were</w:t>
      </w:r>
      <w:r w:rsidRPr="00783958">
        <w:rPr>
          <w:sz w:val="24"/>
        </w:rPr>
        <w:t xml:space="preserve"> not </w:t>
      </w:r>
      <w:r w:rsidR="00D65CF6" w:rsidRPr="00783958">
        <w:rPr>
          <w:sz w:val="24"/>
        </w:rPr>
        <w:t>observed with</w:t>
      </w:r>
      <w:r w:rsidRPr="00783958">
        <w:rPr>
          <w:sz w:val="24"/>
        </w:rPr>
        <w:t xml:space="preserve"> </w:t>
      </w:r>
      <w:r w:rsidR="000100E6" w:rsidRPr="00783958">
        <w:rPr>
          <w:sz w:val="24"/>
        </w:rPr>
        <w:t>MICs</w:t>
      </w:r>
      <w:r w:rsidRPr="00783958">
        <w:rPr>
          <w:sz w:val="24"/>
        </w:rPr>
        <w:t xml:space="preserve"> greater than the maxim</w:t>
      </w:r>
      <w:r w:rsidR="003301F8" w:rsidRPr="00783958">
        <w:rPr>
          <w:sz w:val="24"/>
        </w:rPr>
        <w:t>um screening concentration of 2000</w:t>
      </w:r>
      <w:r w:rsidR="00D65CF6" w:rsidRPr="00783958">
        <w:rPr>
          <w:sz w:val="24"/>
        </w:rPr>
        <w:t> </w:t>
      </w:r>
      <w:r w:rsidR="001E5DB9" w:rsidRPr="00783958">
        <w:rPr>
          <w:rFonts w:cs="Times New Roman"/>
          <w:sz w:val="24"/>
        </w:rPr>
        <w:t>μ</w:t>
      </w:r>
      <w:r w:rsidR="001E5DB9" w:rsidRPr="00783958">
        <w:rPr>
          <w:sz w:val="24"/>
        </w:rPr>
        <w:t>M</w:t>
      </w:r>
      <w:r w:rsidR="00EC00EB" w:rsidRPr="00783958">
        <w:rPr>
          <w:sz w:val="24"/>
        </w:rPr>
        <w:t xml:space="preserve"> for all </w:t>
      </w:r>
      <w:r w:rsidR="00916CA6">
        <w:rPr>
          <w:sz w:val="24"/>
        </w:rPr>
        <w:t>eight</w:t>
      </w:r>
      <w:r w:rsidR="00916CA6" w:rsidRPr="00783958">
        <w:rPr>
          <w:sz w:val="24"/>
        </w:rPr>
        <w:t xml:space="preserve"> </w:t>
      </w:r>
      <w:r w:rsidR="00EC00EB" w:rsidRPr="00783958">
        <w:rPr>
          <w:sz w:val="24"/>
        </w:rPr>
        <w:t>strains</w:t>
      </w:r>
      <w:r w:rsidR="00356DD0" w:rsidRPr="00783958">
        <w:rPr>
          <w:sz w:val="24"/>
        </w:rPr>
        <w:t xml:space="preserve"> (Table 2)</w:t>
      </w:r>
      <w:r w:rsidR="001E5DB9" w:rsidRPr="00783958">
        <w:rPr>
          <w:sz w:val="24"/>
        </w:rPr>
        <w:t>.</w:t>
      </w:r>
      <w:r w:rsidRPr="00783958">
        <w:rPr>
          <w:sz w:val="24"/>
        </w:rPr>
        <w:t xml:space="preserve"> The only exceptions </w:t>
      </w:r>
      <w:r w:rsidR="00D65CF6" w:rsidRPr="00783958">
        <w:rPr>
          <w:sz w:val="24"/>
        </w:rPr>
        <w:t>were</w:t>
      </w:r>
      <w:r w:rsidRPr="00783958">
        <w:rPr>
          <w:sz w:val="24"/>
        </w:rPr>
        <w:t xml:space="preserve"> for </w:t>
      </w:r>
      <w:r w:rsidR="00355934" w:rsidRPr="00783958">
        <w:rPr>
          <w:rFonts w:cs="Times New Roman"/>
          <w:b/>
          <w:sz w:val="24"/>
        </w:rPr>
        <w:t>1</w:t>
      </w:r>
      <w:r w:rsidR="009140CA" w:rsidRPr="00783958">
        <w:rPr>
          <w:rFonts w:cs="Times New Roman"/>
          <w:b/>
          <w:sz w:val="24"/>
        </w:rPr>
        <w:t>a</w:t>
      </w:r>
      <w:r w:rsidR="00355934" w:rsidRPr="00783958">
        <w:rPr>
          <w:rFonts w:cs="Times New Roman"/>
          <w:b/>
          <w:sz w:val="24"/>
        </w:rPr>
        <w:t xml:space="preserve"> </w:t>
      </w:r>
      <w:r w:rsidR="00355934" w:rsidRPr="00783958">
        <w:rPr>
          <w:rFonts w:cs="Times New Roman"/>
          <w:sz w:val="24"/>
        </w:rPr>
        <w:t>(</w:t>
      </w:r>
      <w:r w:rsidR="009140CA" w:rsidRPr="00783958">
        <w:rPr>
          <w:rFonts w:cs="Times New Roman"/>
          <w:sz w:val="24"/>
        </w:rPr>
        <w:t>IC</w:t>
      </w:r>
      <w:r w:rsidR="009140CA" w:rsidRPr="00783958">
        <w:rPr>
          <w:rFonts w:cs="Times New Roman"/>
          <w:sz w:val="24"/>
          <w:vertAlign w:val="subscript"/>
        </w:rPr>
        <w:t>95</w:t>
      </w:r>
      <w:r w:rsidR="009140CA" w:rsidRPr="00783958">
        <w:rPr>
          <w:rFonts w:cs="Times New Roman"/>
          <w:sz w:val="24"/>
        </w:rPr>
        <w:t xml:space="preserve"> </w:t>
      </w:r>
      <w:r w:rsidR="00355934" w:rsidRPr="00783958">
        <w:rPr>
          <w:rFonts w:cs="Times New Roman"/>
          <w:sz w:val="24"/>
        </w:rPr>
        <w:t>1000 μM, SE, 48</w:t>
      </w:r>
      <w:r w:rsidR="00916CA6">
        <w:rPr>
          <w:rFonts w:cs="Times New Roman"/>
          <w:sz w:val="24"/>
        </w:rPr>
        <w:t> </w:t>
      </w:r>
      <w:r w:rsidR="00355934" w:rsidRPr="00783958">
        <w:rPr>
          <w:rFonts w:cs="Times New Roman"/>
          <w:sz w:val="24"/>
        </w:rPr>
        <w:t xml:space="preserve">h; </w:t>
      </w:r>
      <w:r w:rsidR="009140CA" w:rsidRPr="00783958">
        <w:rPr>
          <w:rFonts w:cs="Times New Roman"/>
          <w:sz w:val="24"/>
        </w:rPr>
        <w:t>IC</w:t>
      </w:r>
      <w:r w:rsidR="009140CA" w:rsidRPr="00783958">
        <w:rPr>
          <w:rFonts w:cs="Times New Roman"/>
          <w:sz w:val="24"/>
          <w:vertAlign w:val="subscript"/>
        </w:rPr>
        <w:t>95</w:t>
      </w:r>
      <w:r w:rsidR="00EC00EB" w:rsidRPr="00783958">
        <w:rPr>
          <w:rFonts w:cs="Times New Roman"/>
          <w:sz w:val="24"/>
          <w:vertAlign w:val="subscript"/>
        </w:rPr>
        <w:t xml:space="preserve"> </w:t>
      </w:r>
      <w:r w:rsidR="00355934" w:rsidRPr="00783958">
        <w:rPr>
          <w:rFonts w:cs="Times New Roman"/>
          <w:sz w:val="24"/>
        </w:rPr>
        <w:t xml:space="preserve">2000 μM, EF, 48 h) and </w:t>
      </w:r>
      <w:r w:rsidR="009140CA" w:rsidRPr="00783958">
        <w:rPr>
          <w:b/>
          <w:sz w:val="24"/>
        </w:rPr>
        <w:t>4d</w:t>
      </w:r>
      <w:r w:rsidR="00355934" w:rsidRPr="00783958">
        <w:rPr>
          <w:b/>
          <w:sz w:val="24"/>
        </w:rPr>
        <w:t xml:space="preserve"> </w:t>
      </w:r>
      <w:r w:rsidRPr="00783958">
        <w:rPr>
          <w:sz w:val="24"/>
        </w:rPr>
        <w:t>(</w:t>
      </w:r>
      <w:r w:rsidR="009140CA" w:rsidRPr="00783958">
        <w:rPr>
          <w:rFonts w:cs="Times New Roman"/>
          <w:sz w:val="24"/>
        </w:rPr>
        <w:t>IC</w:t>
      </w:r>
      <w:r w:rsidR="009140CA" w:rsidRPr="00783958">
        <w:rPr>
          <w:rFonts w:cs="Times New Roman"/>
          <w:sz w:val="24"/>
          <w:vertAlign w:val="subscript"/>
        </w:rPr>
        <w:t>95</w:t>
      </w:r>
      <w:r w:rsidR="00EC00EB" w:rsidRPr="00783958">
        <w:rPr>
          <w:rFonts w:cs="Times New Roman"/>
          <w:sz w:val="24"/>
          <w:vertAlign w:val="subscript"/>
        </w:rPr>
        <w:t xml:space="preserve"> </w:t>
      </w:r>
      <w:r w:rsidRPr="00783958">
        <w:rPr>
          <w:sz w:val="24"/>
        </w:rPr>
        <w:t>1000</w:t>
      </w:r>
      <w:r w:rsidR="00D65CF6" w:rsidRPr="00783958">
        <w:rPr>
          <w:sz w:val="24"/>
        </w:rPr>
        <w:t> </w:t>
      </w:r>
      <w:r w:rsidRPr="00783958">
        <w:rPr>
          <w:rFonts w:cs="Times New Roman"/>
          <w:sz w:val="24"/>
        </w:rPr>
        <w:t>μ</w:t>
      </w:r>
      <w:r w:rsidR="00D65CF6" w:rsidRPr="00783958">
        <w:rPr>
          <w:rFonts w:cs="Times New Roman"/>
          <w:sz w:val="24"/>
        </w:rPr>
        <w:t>M</w:t>
      </w:r>
      <w:r w:rsidRPr="00783958">
        <w:rPr>
          <w:rFonts w:cs="Times New Roman"/>
          <w:sz w:val="24"/>
        </w:rPr>
        <w:t>, SE, 48</w:t>
      </w:r>
      <w:r w:rsidR="000977E7" w:rsidRPr="00783958">
        <w:rPr>
          <w:rFonts w:cs="Times New Roman"/>
          <w:sz w:val="24"/>
        </w:rPr>
        <w:t> </w:t>
      </w:r>
      <w:r w:rsidR="00D65CF6" w:rsidRPr="00783958">
        <w:rPr>
          <w:rFonts w:cs="Times New Roman"/>
          <w:sz w:val="24"/>
        </w:rPr>
        <w:t>h</w:t>
      </w:r>
      <w:r w:rsidR="001B4FBD" w:rsidRPr="00783958">
        <w:rPr>
          <w:rFonts w:cs="Times New Roman"/>
          <w:sz w:val="24"/>
        </w:rPr>
        <w:t>)</w:t>
      </w:r>
      <w:r w:rsidRPr="00783958">
        <w:rPr>
          <w:rFonts w:cs="Times New Roman"/>
          <w:sz w:val="24"/>
        </w:rPr>
        <w:t>.</w:t>
      </w:r>
      <w:r w:rsidR="00A94F9B" w:rsidRPr="00783958">
        <w:rPr>
          <w:rFonts w:cs="Times New Roman"/>
          <w:sz w:val="24"/>
        </w:rPr>
        <w:t xml:space="preserve"> In addition, </w:t>
      </w:r>
      <w:r w:rsidR="00EC00EB" w:rsidRPr="00783958">
        <w:rPr>
          <w:rFonts w:cs="Times New Roman"/>
          <w:sz w:val="24"/>
        </w:rPr>
        <w:t xml:space="preserve">four </w:t>
      </w:r>
      <w:r w:rsidR="00A94F9B" w:rsidRPr="00783958">
        <w:rPr>
          <w:sz w:val="24"/>
        </w:rPr>
        <w:t xml:space="preserve">ILs </w:t>
      </w:r>
      <w:r w:rsidR="00EC00EB" w:rsidRPr="00783958">
        <w:rPr>
          <w:sz w:val="24"/>
        </w:rPr>
        <w:t>(</w:t>
      </w:r>
      <w:r w:rsidR="000B007C" w:rsidRPr="00783958">
        <w:rPr>
          <w:b/>
          <w:sz w:val="24"/>
        </w:rPr>
        <w:t>2c</w:t>
      </w:r>
      <w:r w:rsidR="000B007C" w:rsidRPr="00783958">
        <w:rPr>
          <w:sz w:val="24"/>
        </w:rPr>
        <w:t xml:space="preserve">, </w:t>
      </w:r>
      <w:r w:rsidR="000B007C" w:rsidRPr="00783958">
        <w:rPr>
          <w:b/>
          <w:sz w:val="24"/>
        </w:rPr>
        <w:t>2d</w:t>
      </w:r>
      <w:r w:rsidR="000B007C" w:rsidRPr="00783958">
        <w:rPr>
          <w:sz w:val="24"/>
        </w:rPr>
        <w:t xml:space="preserve">, </w:t>
      </w:r>
      <w:r w:rsidR="000B007C" w:rsidRPr="00783958">
        <w:rPr>
          <w:b/>
          <w:sz w:val="24"/>
        </w:rPr>
        <w:t>5b</w:t>
      </w:r>
      <w:r w:rsidR="000B007C" w:rsidRPr="00783958">
        <w:rPr>
          <w:sz w:val="24"/>
        </w:rPr>
        <w:t xml:space="preserve"> and </w:t>
      </w:r>
      <w:r w:rsidR="000B007C" w:rsidRPr="00783958">
        <w:rPr>
          <w:b/>
          <w:sz w:val="24"/>
        </w:rPr>
        <w:t>5d</w:t>
      </w:r>
      <w:r w:rsidR="000B007C" w:rsidRPr="00783958">
        <w:rPr>
          <w:sz w:val="24"/>
        </w:rPr>
        <w:t>) from</w:t>
      </w:r>
      <w:r w:rsidR="00A94F9B" w:rsidRPr="00783958">
        <w:rPr>
          <w:sz w:val="24"/>
        </w:rPr>
        <w:t xml:space="preserve"> the </w:t>
      </w:r>
      <w:r w:rsidR="00EC00EB" w:rsidRPr="00783958">
        <w:rPr>
          <w:sz w:val="24"/>
        </w:rPr>
        <w:t>[TMHEEA] (</w:t>
      </w:r>
      <w:r w:rsidR="00EC00EB" w:rsidRPr="00783958">
        <w:rPr>
          <w:b/>
          <w:sz w:val="24"/>
        </w:rPr>
        <w:t>2a-d</w:t>
      </w:r>
      <w:r w:rsidR="00EC00EB" w:rsidRPr="00783958">
        <w:rPr>
          <w:sz w:val="24"/>
        </w:rPr>
        <w:t>) and [</w:t>
      </w:r>
      <w:r w:rsidR="006549B2" w:rsidRPr="00783958">
        <w:rPr>
          <w:sz w:val="24"/>
        </w:rPr>
        <w:t>DM</w:t>
      </w:r>
      <w:r w:rsidR="002E6E02" w:rsidRPr="00783958">
        <w:rPr>
          <w:sz w:val="24"/>
        </w:rPr>
        <w:t>H</w:t>
      </w:r>
      <w:r w:rsidR="006549B2" w:rsidRPr="00783958">
        <w:rPr>
          <w:sz w:val="24"/>
        </w:rPr>
        <w:t>EEA</w:t>
      </w:r>
      <w:r w:rsidR="002E6E02" w:rsidRPr="00783958">
        <w:rPr>
          <w:sz w:val="24"/>
        </w:rPr>
        <w:t>H</w:t>
      </w:r>
      <w:r w:rsidR="00EC00EB" w:rsidRPr="00783958">
        <w:rPr>
          <w:sz w:val="24"/>
        </w:rPr>
        <w:t>]</w:t>
      </w:r>
      <w:r w:rsidR="006549B2" w:rsidRPr="00783958">
        <w:rPr>
          <w:sz w:val="24"/>
        </w:rPr>
        <w:t xml:space="preserve"> </w:t>
      </w:r>
      <w:r w:rsidR="00EC00EB" w:rsidRPr="00783958">
        <w:rPr>
          <w:sz w:val="24"/>
        </w:rPr>
        <w:t>(</w:t>
      </w:r>
      <w:r w:rsidR="00EC00EB" w:rsidRPr="00783958">
        <w:rPr>
          <w:b/>
          <w:sz w:val="24"/>
        </w:rPr>
        <w:t>5a-d</w:t>
      </w:r>
      <w:r w:rsidR="00EC00EB" w:rsidRPr="00783958">
        <w:rPr>
          <w:sz w:val="24"/>
        </w:rPr>
        <w:t xml:space="preserve">) </w:t>
      </w:r>
      <w:r w:rsidR="009C67BF" w:rsidRPr="00783958">
        <w:rPr>
          <w:sz w:val="24"/>
        </w:rPr>
        <w:t>cation</w:t>
      </w:r>
      <w:r w:rsidR="000B007C" w:rsidRPr="00783958">
        <w:rPr>
          <w:sz w:val="24"/>
        </w:rPr>
        <w:t xml:space="preserve"> series</w:t>
      </w:r>
      <w:r w:rsidR="00A94F9B" w:rsidRPr="00783958">
        <w:rPr>
          <w:sz w:val="24"/>
        </w:rPr>
        <w:t>,</w:t>
      </w:r>
      <w:r w:rsidR="009C67BF" w:rsidRPr="00783958">
        <w:rPr>
          <w:sz w:val="24"/>
        </w:rPr>
        <w:t xml:space="preserve"> </w:t>
      </w:r>
      <w:r w:rsidR="00D65CF6" w:rsidRPr="00783958">
        <w:rPr>
          <w:sz w:val="24"/>
        </w:rPr>
        <w:t>were</w:t>
      </w:r>
      <w:r w:rsidR="009C67BF" w:rsidRPr="00783958">
        <w:rPr>
          <w:sz w:val="24"/>
        </w:rPr>
        <w:t xml:space="preserve"> also found to have MIC</w:t>
      </w:r>
      <w:r w:rsidR="00D65CF6" w:rsidRPr="00783958">
        <w:rPr>
          <w:sz w:val="24"/>
        </w:rPr>
        <w:t>s</w:t>
      </w:r>
      <w:r w:rsidR="009C67BF" w:rsidRPr="00783958">
        <w:rPr>
          <w:sz w:val="24"/>
        </w:rPr>
        <w:t xml:space="preserve"> greater than the maximum screening concentration</w:t>
      </w:r>
      <w:r w:rsidR="00356DD0" w:rsidRPr="00783958">
        <w:rPr>
          <w:sz w:val="24"/>
        </w:rPr>
        <w:t xml:space="preserve"> (Table 3</w:t>
      </w:r>
      <w:r w:rsidR="005B5144" w:rsidRPr="00783958">
        <w:rPr>
          <w:sz w:val="24"/>
        </w:rPr>
        <w:t>).</w:t>
      </w:r>
    </w:p>
    <w:p w14:paraId="4FC86AD4" w14:textId="77777777" w:rsidR="00296FF2" w:rsidRDefault="00296FF2" w:rsidP="00296FF2">
      <w:pPr>
        <w:spacing w:line="360" w:lineRule="auto"/>
        <w:jc w:val="both"/>
        <w:rPr>
          <w:rFonts w:cs="Times New Roman"/>
          <w:b/>
        </w:rPr>
      </w:pPr>
    </w:p>
    <w:p w14:paraId="56B719A9" w14:textId="774A0A76" w:rsidR="00296FF2" w:rsidRPr="00783958" w:rsidRDefault="00296FF2" w:rsidP="00296FF2">
      <w:pPr>
        <w:spacing w:line="480" w:lineRule="auto"/>
        <w:jc w:val="both"/>
        <w:rPr>
          <w:rFonts w:cs="Times New Roman"/>
          <w:sz w:val="24"/>
        </w:rPr>
      </w:pPr>
      <w:r w:rsidRPr="00783958">
        <w:rPr>
          <w:sz w:val="24"/>
        </w:rPr>
        <w:lastRenderedPageBreak/>
        <w:t xml:space="preserve">However, there were four ILs with MICs equal to or less than 2000 </w:t>
      </w:r>
      <w:r w:rsidRPr="00783958">
        <w:rPr>
          <w:rFonts w:cs="Times New Roman"/>
          <w:sz w:val="24"/>
        </w:rPr>
        <w:t>µ</w:t>
      </w:r>
      <w:r w:rsidRPr="00783958">
        <w:rPr>
          <w:sz w:val="24"/>
        </w:rPr>
        <w:t xml:space="preserve">M in the antibacterial activity screening. This was slightly more toxic when compared to ILs </w:t>
      </w:r>
      <w:r w:rsidRPr="00783958">
        <w:rPr>
          <w:b/>
          <w:sz w:val="24"/>
        </w:rPr>
        <w:t>1a-d</w:t>
      </w:r>
      <w:r w:rsidRPr="00783958">
        <w:rPr>
          <w:sz w:val="24"/>
        </w:rPr>
        <w:t xml:space="preserve">, and </w:t>
      </w:r>
      <w:r w:rsidRPr="00783958">
        <w:rPr>
          <w:b/>
          <w:sz w:val="24"/>
        </w:rPr>
        <w:t>4a-d</w:t>
      </w:r>
      <w:r w:rsidRPr="00783958">
        <w:rPr>
          <w:sz w:val="24"/>
        </w:rPr>
        <w:t xml:space="preserve"> with [Ch] or [DMEtAH] cations. Specifically, this includes </w:t>
      </w:r>
      <w:r w:rsidRPr="00783958">
        <w:rPr>
          <w:b/>
          <w:sz w:val="24"/>
        </w:rPr>
        <w:t>5a</w:t>
      </w:r>
      <w:r w:rsidRPr="00783958">
        <w:rPr>
          <w:sz w:val="24"/>
        </w:rPr>
        <w:t xml:space="preserve"> (</w:t>
      </w:r>
      <w:r w:rsidRPr="00783958">
        <w:rPr>
          <w:rFonts w:cs="Times New Roman"/>
          <w:sz w:val="24"/>
        </w:rPr>
        <w:t>IC</w:t>
      </w:r>
      <w:r w:rsidRPr="00783958">
        <w:rPr>
          <w:rFonts w:cs="Times New Roman"/>
          <w:sz w:val="24"/>
          <w:vertAlign w:val="subscript"/>
        </w:rPr>
        <w:t xml:space="preserve">95 </w:t>
      </w:r>
      <w:r w:rsidRPr="00783958">
        <w:rPr>
          <w:sz w:val="24"/>
        </w:rPr>
        <w:t xml:space="preserve">= 1000 </w:t>
      </w:r>
      <w:r w:rsidRPr="00783958">
        <w:rPr>
          <w:rFonts w:cs="Times New Roman"/>
          <w:sz w:val="24"/>
        </w:rPr>
        <w:t xml:space="preserve">μM, SE, 48 h), </w:t>
      </w:r>
      <w:r w:rsidRPr="00783958">
        <w:rPr>
          <w:rFonts w:cs="Times New Roman"/>
          <w:b/>
          <w:sz w:val="24"/>
        </w:rPr>
        <w:t>5d</w:t>
      </w:r>
      <w:r w:rsidRPr="00783958">
        <w:rPr>
          <w:rFonts w:cs="Times New Roman"/>
          <w:sz w:val="24"/>
        </w:rPr>
        <w:t xml:space="preserve"> (IC</w:t>
      </w:r>
      <w:r w:rsidRPr="00783958">
        <w:rPr>
          <w:rFonts w:cs="Times New Roman"/>
          <w:sz w:val="24"/>
          <w:vertAlign w:val="subscript"/>
        </w:rPr>
        <w:t xml:space="preserve">95 </w:t>
      </w:r>
      <w:r w:rsidRPr="00783958">
        <w:rPr>
          <w:rFonts w:cs="Times New Roman"/>
          <w:sz w:val="24"/>
        </w:rPr>
        <w:t xml:space="preserve">= 1000 μM, SE, 48 h), </w:t>
      </w:r>
      <w:r w:rsidRPr="00783958">
        <w:rPr>
          <w:rFonts w:cs="Times New Roman"/>
          <w:b/>
          <w:sz w:val="24"/>
        </w:rPr>
        <w:t>2a</w:t>
      </w:r>
      <w:r w:rsidRPr="00783958">
        <w:rPr>
          <w:rFonts w:cs="Times New Roman"/>
          <w:sz w:val="24"/>
        </w:rPr>
        <w:t xml:space="preserve"> (IC</w:t>
      </w:r>
      <w:r w:rsidRPr="00783958">
        <w:rPr>
          <w:rFonts w:cs="Times New Roman"/>
          <w:sz w:val="24"/>
          <w:vertAlign w:val="subscript"/>
        </w:rPr>
        <w:t xml:space="preserve">95 </w:t>
      </w:r>
      <w:r w:rsidRPr="00783958">
        <w:rPr>
          <w:rFonts w:cs="Times New Roman"/>
          <w:sz w:val="24"/>
        </w:rPr>
        <w:t>= 250 μM, SE, 48 h; IC</w:t>
      </w:r>
      <w:r w:rsidRPr="00783958">
        <w:rPr>
          <w:rFonts w:cs="Times New Roman"/>
          <w:sz w:val="24"/>
          <w:vertAlign w:val="subscript"/>
        </w:rPr>
        <w:t xml:space="preserve">95 </w:t>
      </w:r>
      <w:r w:rsidRPr="00783958">
        <w:rPr>
          <w:rFonts w:cs="Times New Roman"/>
          <w:sz w:val="24"/>
        </w:rPr>
        <w:t xml:space="preserve">= 2000 μM, EC, 48 h) and </w:t>
      </w:r>
      <w:r w:rsidRPr="00783958">
        <w:rPr>
          <w:rFonts w:cs="Times New Roman"/>
          <w:b/>
          <w:sz w:val="24"/>
        </w:rPr>
        <w:t>2b</w:t>
      </w:r>
      <w:r w:rsidRPr="00783958">
        <w:rPr>
          <w:rFonts w:cs="Times New Roman"/>
          <w:sz w:val="24"/>
        </w:rPr>
        <w:t xml:space="preserve"> (IC</w:t>
      </w:r>
      <w:r w:rsidRPr="00783958">
        <w:rPr>
          <w:rFonts w:cs="Times New Roman"/>
          <w:sz w:val="24"/>
          <w:vertAlign w:val="subscript"/>
        </w:rPr>
        <w:t xml:space="preserve">95 </w:t>
      </w:r>
      <w:r w:rsidRPr="00783958">
        <w:rPr>
          <w:rFonts w:cs="Times New Roman"/>
          <w:sz w:val="24"/>
        </w:rPr>
        <w:t>= 2000 μM, MRSA, 48 h; IC</w:t>
      </w:r>
      <w:r w:rsidRPr="00783958">
        <w:rPr>
          <w:rFonts w:cs="Times New Roman"/>
          <w:sz w:val="24"/>
          <w:vertAlign w:val="subscript"/>
        </w:rPr>
        <w:t xml:space="preserve">95 </w:t>
      </w:r>
      <w:r w:rsidRPr="00783958">
        <w:rPr>
          <w:rFonts w:cs="Times New Roman"/>
          <w:sz w:val="24"/>
        </w:rPr>
        <w:t>= 250 μM, SE, 48 h; IC</w:t>
      </w:r>
      <w:r w:rsidRPr="00783958">
        <w:rPr>
          <w:rFonts w:cs="Times New Roman"/>
          <w:sz w:val="24"/>
          <w:vertAlign w:val="subscript"/>
        </w:rPr>
        <w:t xml:space="preserve">95 </w:t>
      </w:r>
      <w:r w:rsidRPr="00783958">
        <w:rPr>
          <w:rFonts w:cs="Times New Roman"/>
          <w:sz w:val="24"/>
        </w:rPr>
        <w:t>= 250 μM, EC, 48 h). While there were isolated instances where antibacterial activity was greater, i.e. for one class of IL with the 2-(2-hydroxyethoxy)ethyl functional group over another, there were no extended trends of toxicity with cation ionic nature.</w:t>
      </w:r>
    </w:p>
    <w:p w14:paraId="6E594E21" w14:textId="5B287379" w:rsidR="006068DF" w:rsidRPr="00783958" w:rsidRDefault="006068DF" w:rsidP="009012E7">
      <w:pPr>
        <w:spacing w:line="360" w:lineRule="auto"/>
        <w:jc w:val="both"/>
        <w:rPr>
          <w:rFonts w:cs="Times New Roman"/>
          <w:sz w:val="24"/>
        </w:rPr>
      </w:pPr>
      <w:r w:rsidRPr="00783958">
        <w:rPr>
          <w:rFonts w:cs="Times New Roman"/>
          <w:b/>
          <w:sz w:val="24"/>
        </w:rPr>
        <w:t xml:space="preserve">Table </w:t>
      </w:r>
      <w:r w:rsidR="00356DD0" w:rsidRPr="00783958">
        <w:rPr>
          <w:rFonts w:cs="Times New Roman"/>
          <w:b/>
          <w:sz w:val="24"/>
        </w:rPr>
        <w:t>2</w:t>
      </w:r>
      <w:r w:rsidR="00356DD0" w:rsidRPr="00783958">
        <w:rPr>
          <w:rFonts w:cs="Times New Roman"/>
          <w:sz w:val="24"/>
        </w:rPr>
        <w:t xml:space="preserve"> </w:t>
      </w:r>
      <w:r w:rsidR="009140CA" w:rsidRPr="00783958">
        <w:rPr>
          <w:rFonts w:cs="Times New Roman"/>
          <w:sz w:val="24"/>
        </w:rPr>
        <w:t xml:space="preserve">Antibacterial </w:t>
      </w:r>
      <w:r w:rsidR="00F80ED2" w:rsidRPr="00783958">
        <w:rPr>
          <w:rFonts w:cs="Times New Roman"/>
          <w:sz w:val="24"/>
        </w:rPr>
        <w:t xml:space="preserve">activity </w:t>
      </w:r>
      <w:r w:rsidRPr="00783958">
        <w:rPr>
          <w:rFonts w:cs="Times New Roman"/>
          <w:sz w:val="24"/>
        </w:rPr>
        <w:t>screening results for the [Ch] AILs (</w:t>
      </w:r>
      <w:r w:rsidRPr="00783958">
        <w:rPr>
          <w:rFonts w:cs="Times New Roman"/>
          <w:b/>
          <w:sz w:val="24"/>
        </w:rPr>
        <w:t>1</w:t>
      </w:r>
      <w:r w:rsidR="009140CA" w:rsidRPr="00783958">
        <w:rPr>
          <w:rFonts w:cs="Times New Roman"/>
          <w:b/>
          <w:sz w:val="24"/>
        </w:rPr>
        <w:t>a</w:t>
      </w:r>
      <w:r w:rsidRPr="00783958">
        <w:rPr>
          <w:rFonts w:cs="Times New Roman"/>
          <w:b/>
          <w:sz w:val="24"/>
        </w:rPr>
        <w:t>–1</w:t>
      </w:r>
      <w:r w:rsidR="009140CA" w:rsidRPr="00783958">
        <w:rPr>
          <w:rFonts w:cs="Times New Roman"/>
          <w:b/>
          <w:sz w:val="24"/>
        </w:rPr>
        <w:t>d</w:t>
      </w:r>
      <w:r w:rsidRPr="00783958">
        <w:rPr>
          <w:rFonts w:cs="Times New Roman"/>
          <w:sz w:val="24"/>
        </w:rPr>
        <w:t>) and the [DMEtAH] PILs (</w:t>
      </w:r>
      <w:r w:rsidR="009140CA" w:rsidRPr="00783958">
        <w:rPr>
          <w:rFonts w:cs="Times New Roman"/>
          <w:b/>
          <w:sz w:val="24"/>
        </w:rPr>
        <w:t>4a</w:t>
      </w:r>
      <w:r w:rsidRPr="00783958">
        <w:rPr>
          <w:rFonts w:cs="Times New Roman"/>
          <w:b/>
          <w:sz w:val="24"/>
        </w:rPr>
        <w:t>–</w:t>
      </w:r>
      <w:r w:rsidR="009140CA" w:rsidRPr="00783958">
        <w:rPr>
          <w:rFonts w:cs="Times New Roman"/>
          <w:b/>
          <w:sz w:val="24"/>
        </w:rPr>
        <w:t>4d</w:t>
      </w:r>
      <w:r w:rsidRPr="00783958">
        <w:rPr>
          <w:rFonts w:cs="Times New Roman"/>
          <w:sz w:val="24"/>
        </w:rPr>
        <w:t>) (MIC, IC</w:t>
      </w:r>
      <w:r w:rsidR="0057405D" w:rsidRPr="00783958">
        <w:rPr>
          <w:rFonts w:cs="Times New Roman"/>
          <w:sz w:val="24"/>
          <w:vertAlign w:val="subscript"/>
        </w:rPr>
        <w:t>95</w:t>
      </w:r>
      <w:r w:rsidRPr="00783958">
        <w:rPr>
          <w:rFonts w:cs="Times New Roman"/>
          <w:sz w:val="24"/>
        </w:rPr>
        <w:t>)</w:t>
      </w:r>
    </w:p>
    <w:tbl>
      <w:tblPr>
        <w:tblW w:w="5546" w:type="dxa"/>
        <w:jc w:val="center"/>
        <w:tblLook w:val="04A0" w:firstRow="1" w:lastRow="0" w:firstColumn="1" w:lastColumn="0" w:noHBand="0" w:noVBand="1"/>
      </w:tblPr>
      <w:tblGrid>
        <w:gridCol w:w="964"/>
        <w:gridCol w:w="964"/>
        <w:gridCol w:w="1242"/>
        <w:gridCol w:w="1242"/>
        <w:gridCol w:w="1134"/>
      </w:tblGrid>
      <w:tr w:rsidR="000977E7" w:rsidRPr="00CE0852" w14:paraId="0AA38B0A" w14:textId="77777777" w:rsidTr="00F80ED2">
        <w:trPr>
          <w:trHeight w:val="300"/>
          <w:jc w:val="center"/>
        </w:trPr>
        <w:tc>
          <w:tcPr>
            <w:tcW w:w="964" w:type="dxa"/>
            <w:vMerge w:val="restart"/>
            <w:tcBorders>
              <w:top w:val="single" w:sz="4" w:space="0" w:color="auto"/>
              <w:left w:val="nil"/>
              <w:bottom w:val="single" w:sz="4" w:space="0" w:color="auto"/>
              <w:right w:val="nil"/>
            </w:tcBorders>
            <w:shd w:val="clear" w:color="000000" w:fill="FFFFFF"/>
            <w:noWrap/>
            <w:vAlign w:val="center"/>
            <w:hideMark/>
          </w:tcPr>
          <w:p w14:paraId="4037E1E5" w14:textId="4429D9CB" w:rsidR="000977E7" w:rsidRPr="005A6F82" w:rsidRDefault="000977E7" w:rsidP="009012E7">
            <w:pPr>
              <w:spacing w:after="0" w:line="240" w:lineRule="auto"/>
              <w:jc w:val="center"/>
              <w:rPr>
                <w:rFonts w:asciiTheme="majorHAnsi" w:eastAsia="Times New Roman" w:hAnsiTheme="majorHAnsi" w:cstheme="majorHAnsi"/>
                <w:b/>
                <w:color w:val="000000"/>
                <w:szCs w:val="20"/>
                <w:lang w:eastAsia="en-GB"/>
              </w:rPr>
            </w:pPr>
            <w:r w:rsidRPr="005A6F82">
              <w:rPr>
                <w:rFonts w:asciiTheme="majorHAnsi" w:eastAsia="Times New Roman" w:hAnsiTheme="majorHAnsi" w:cstheme="majorHAnsi"/>
                <w:b/>
                <w:color w:val="000000"/>
                <w:szCs w:val="20"/>
                <w:lang w:eastAsia="en-GB"/>
              </w:rPr>
              <w:t>Strain</w:t>
            </w:r>
            <w:r w:rsidRPr="005A6F82">
              <w:rPr>
                <w:rFonts w:asciiTheme="majorHAnsi" w:eastAsia="Times New Roman" w:hAnsiTheme="majorHAnsi" w:cstheme="majorHAnsi"/>
                <w:b/>
                <w:color w:val="000000"/>
                <w:szCs w:val="20"/>
                <w:vertAlign w:val="superscript"/>
                <w:lang w:eastAsia="en-GB"/>
              </w:rPr>
              <w:t>a</w:t>
            </w:r>
          </w:p>
        </w:tc>
        <w:tc>
          <w:tcPr>
            <w:tcW w:w="964" w:type="dxa"/>
            <w:vMerge w:val="restart"/>
            <w:tcBorders>
              <w:top w:val="single" w:sz="4" w:space="0" w:color="auto"/>
              <w:left w:val="nil"/>
              <w:bottom w:val="single" w:sz="4" w:space="0" w:color="auto"/>
              <w:right w:val="nil"/>
            </w:tcBorders>
            <w:shd w:val="clear" w:color="000000" w:fill="FFFFFF"/>
            <w:noWrap/>
            <w:vAlign w:val="center"/>
            <w:hideMark/>
          </w:tcPr>
          <w:p w14:paraId="3AE1E4CF" w14:textId="1AAB996E" w:rsidR="000977E7" w:rsidRPr="005A6F82" w:rsidRDefault="000977E7" w:rsidP="009012E7">
            <w:pPr>
              <w:spacing w:after="0" w:line="240" w:lineRule="auto"/>
              <w:jc w:val="center"/>
              <w:rPr>
                <w:rFonts w:asciiTheme="majorHAnsi" w:eastAsia="Times New Roman" w:hAnsiTheme="majorHAnsi" w:cstheme="majorHAnsi"/>
                <w:b/>
                <w:color w:val="000000"/>
                <w:szCs w:val="20"/>
                <w:lang w:eastAsia="en-GB"/>
              </w:rPr>
            </w:pPr>
            <w:r w:rsidRPr="005A6F82">
              <w:rPr>
                <w:rFonts w:asciiTheme="majorHAnsi" w:eastAsia="Times New Roman" w:hAnsiTheme="majorHAnsi" w:cstheme="majorHAnsi"/>
                <w:b/>
                <w:color w:val="000000"/>
                <w:szCs w:val="20"/>
                <w:lang w:eastAsia="en-GB"/>
              </w:rPr>
              <w:t>Time (h)</w:t>
            </w:r>
          </w:p>
        </w:tc>
        <w:tc>
          <w:tcPr>
            <w:tcW w:w="3618" w:type="dxa"/>
            <w:gridSpan w:val="3"/>
            <w:tcBorders>
              <w:top w:val="single" w:sz="4" w:space="0" w:color="auto"/>
              <w:left w:val="nil"/>
              <w:bottom w:val="single" w:sz="4" w:space="0" w:color="auto"/>
              <w:right w:val="nil"/>
            </w:tcBorders>
            <w:shd w:val="clear" w:color="000000" w:fill="FFFFFF"/>
            <w:noWrap/>
            <w:vAlign w:val="center"/>
            <w:hideMark/>
          </w:tcPr>
          <w:p w14:paraId="19A5D9DC" w14:textId="492C47F3" w:rsidR="000977E7" w:rsidRPr="005A6F82" w:rsidRDefault="000977E7" w:rsidP="009012E7">
            <w:pPr>
              <w:spacing w:after="0" w:line="240" w:lineRule="auto"/>
              <w:jc w:val="center"/>
              <w:rPr>
                <w:rFonts w:asciiTheme="majorHAnsi" w:eastAsia="Times New Roman" w:hAnsiTheme="majorHAnsi" w:cstheme="majorHAnsi"/>
                <w:b/>
                <w:color w:val="000000"/>
                <w:szCs w:val="20"/>
                <w:lang w:eastAsia="en-GB"/>
              </w:rPr>
            </w:pPr>
            <w:r w:rsidRPr="005A6F82">
              <w:rPr>
                <w:rFonts w:asciiTheme="majorHAnsi" w:eastAsia="Times New Roman" w:hAnsiTheme="majorHAnsi" w:cstheme="majorHAnsi"/>
                <w:b/>
                <w:color w:val="000000"/>
                <w:szCs w:val="20"/>
                <w:lang w:eastAsia="en-GB"/>
              </w:rPr>
              <w:t>IL MIC (</w:t>
            </w:r>
            <w:r w:rsidR="00F80ED2" w:rsidRPr="0085085F">
              <w:rPr>
                <w:rFonts w:cs="Times New Roman"/>
                <w:b/>
              </w:rPr>
              <w:t>IC</w:t>
            </w:r>
            <w:r w:rsidR="00F80ED2" w:rsidRPr="0085085F">
              <w:rPr>
                <w:rFonts w:cs="Times New Roman"/>
                <w:b/>
                <w:vertAlign w:val="subscript"/>
              </w:rPr>
              <w:t>95,</w:t>
            </w:r>
            <w:r w:rsidR="00F80ED2">
              <w:rPr>
                <w:rFonts w:cs="Times New Roman"/>
                <w:vertAlign w:val="subscript"/>
              </w:rPr>
              <w:t xml:space="preserve"> </w:t>
            </w:r>
            <w:r w:rsidRPr="005A6F82">
              <w:rPr>
                <w:rFonts w:asciiTheme="majorHAnsi" w:eastAsia="Times New Roman" w:hAnsiTheme="majorHAnsi" w:cstheme="majorHAnsi"/>
                <w:b/>
                <w:color w:val="000000"/>
                <w:szCs w:val="20"/>
                <w:lang w:eastAsia="en-GB"/>
              </w:rPr>
              <w:t>μM)</w:t>
            </w:r>
          </w:p>
        </w:tc>
      </w:tr>
      <w:tr w:rsidR="009140CA" w:rsidRPr="00CE0852" w14:paraId="509E0824" w14:textId="77777777" w:rsidTr="0085085F">
        <w:trPr>
          <w:trHeight w:val="345"/>
          <w:jc w:val="center"/>
        </w:trPr>
        <w:tc>
          <w:tcPr>
            <w:tcW w:w="964" w:type="dxa"/>
            <w:vMerge/>
            <w:tcBorders>
              <w:left w:val="nil"/>
              <w:bottom w:val="single" w:sz="4" w:space="0" w:color="auto"/>
              <w:right w:val="nil"/>
            </w:tcBorders>
            <w:shd w:val="clear" w:color="000000" w:fill="FFFFFF"/>
            <w:noWrap/>
            <w:vAlign w:val="center"/>
            <w:hideMark/>
          </w:tcPr>
          <w:p w14:paraId="3F19C85D" w14:textId="758A0218"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p>
        </w:tc>
        <w:tc>
          <w:tcPr>
            <w:tcW w:w="964" w:type="dxa"/>
            <w:vMerge/>
            <w:tcBorders>
              <w:left w:val="nil"/>
              <w:bottom w:val="single" w:sz="4" w:space="0" w:color="auto"/>
              <w:right w:val="nil"/>
            </w:tcBorders>
            <w:shd w:val="clear" w:color="000000" w:fill="FFFFFF"/>
            <w:noWrap/>
            <w:vAlign w:val="center"/>
            <w:hideMark/>
          </w:tcPr>
          <w:p w14:paraId="5B28676F" w14:textId="3F17C38B"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p>
        </w:tc>
        <w:tc>
          <w:tcPr>
            <w:tcW w:w="1242" w:type="dxa"/>
            <w:tcBorders>
              <w:top w:val="single" w:sz="4" w:space="0" w:color="auto"/>
              <w:left w:val="nil"/>
              <w:bottom w:val="single" w:sz="4" w:space="0" w:color="auto"/>
              <w:right w:val="nil"/>
            </w:tcBorders>
            <w:shd w:val="clear" w:color="000000" w:fill="FFFFFF"/>
            <w:noWrap/>
            <w:vAlign w:val="center"/>
          </w:tcPr>
          <w:p w14:paraId="3814EA63" w14:textId="39E2DD79"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1</w:t>
            </w:r>
            <w:r>
              <w:rPr>
                <w:rFonts w:asciiTheme="majorHAnsi" w:eastAsia="Times New Roman" w:hAnsiTheme="majorHAnsi" w:cstheme="majorHAnsi"/>
                <w:b/>
                <w:bCs/>
                <w:color w:val="000000"/>
                <w:szCs w:val="20"/>
                <w:lang w:eastAsia="en-GB"/>
              </w:rPr>
              <w:t>a</w:t>
            </w:r>
          </w:p>
        </w:tc>
        <w:tc>
          <w:tcPr>
            <w:tcW w:w="1242" w:type="dxa"/>
            <w:tcBorders>
              <w:top w:val="single" w:sz="4" w:space="0" w:color="auto"/>
              <w:left w:val="nil"/>
              <w:bottom w:val="single" w:sz="4" w:space="0" w:color="auto"/>
              <w:right w:val="nil"/>
            </w:tcBorders>
            <w:shd w:val="clear" w:color="000000" w:fill="FFFFFF"/>
            <w:noWrap/>
            <w:vAlign w:val="center"/>
          </w:tcPr>
          <w:p w14:paraId="4D687A05" w14:textId="77777777" w:rsidR="009140CA" w:rsidRDefault="009140CA" w:rsidP="009140CA">
            <w:pPr>
              <w:spacing w:after="0" w:line="240" w:lineRule="auto"/>
              <w:jc w:val="center"/>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1b-1d,</w:t>
            </w:r>
          </w:p>
          <w:p w14:paraId="1570A25F" w14:textId="4F572FBE" w:rsidR="009140CA" w:rsidRPr="00CE0852" w:rsidRDefault="009140CA">
            <w:pPr>
              <w:spacing w:after="0" w:line="240" w:lineRule="auto"/>
              <w:jc w:val="center"/>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4a-4c</w:t>
            </w:r>
          </w:p>
        </w:tc>
        <w:tc>
          <w:tcPr>
            <w:tcW w:w="1134" w:type="dxa"/>
            <w:tcBorders>
              <w:top w:val="single" w:sz="4" w:space="0" w:color="auto"/>
              <w:left w:val="nil"/>
              <w:bottom w:val="single" w:sz="4" w:space="0" w:color="auto"/>
              <w:right w:val="nil"/>
            </w:tcBorders>
            <w:shd w:val="clear" w:color="000000" w:fill="FFFFFF"/>
            <w:noWrap/>
            <w:vAlign w:val="center"/>
            <w:hideMark/>
          </w:tcPr>
          <w:p w14:paraId="1D11D827" w14:textId="7E093064"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4d</w:t>
            </w:r>
          </w:p>
        </w:tc>
      </w:tr>
      <w:tr w:rsidR="009140CA" w:rsidRPr="00CE0852" w14:paraId="27CD7CA1"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59AB1ADA" w14:textId="3C1DE6A3"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SA</w:t>
            </w:r>
          </w:p>
        </w:tc>
        <w:tc>
          <w:tcPr>
            <w:tcW w:w="964" w:type="dxa"/>
            <w:tcBorders>
              <w:top w:val="single" w:sz="4" w:space="0" w:color="auto"/>
              <w:left w:val="nil"/>
              <w:bottom w:val="nil"/>
              <w:right w:val="nil"/>
            </w:tcBorders>
            <w:shd w:val="clear" w:color="000000" w:fill="FFFFFF"/>
            <w:noWrap/>
            <w:vAlign w:val="center"/>
            <w:hideMark/>
          </w:tcPr>
          <w:p w14:paraId="14320BDE"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000000" w:fill="C6EFCE"/>
            <w:noWrap/>
            <w:vAlign w:val="center"/>
          </w:tcPr>
          <w:p w14:paraId="5EFE01FD" w14:textId="560C68F6"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single" w:sz="4" w:space="0" w:color="auto"/>
              <w:left w:val="nil"/>
              <w:bottom w:val="nil"/>
              <w:right w:val="nil"/>
            </w:tcBorders>
            <w:shd w:val="clear" w:color="000000" w:fill="C6EFCE"/>
            <w:noWrap/>
            <w:vAlign w:val="center"/>
          </w:tcPr>
          <w:p w14:paraId="519F258B" w14:textId="3523921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61702F25"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40B9D03C"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1132EC55" w14:textId="454F0346"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69A12310"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000000" w:fill="C6EFCE"/>
            <w:noWrap/>
            <w:vAlign w:val="center"/>
          </w:tcPr>
          <w:p w14:paraId="65CB00C4" w14:textId="30A85C5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nil"/>
              <w:left w:val="nil"/>
              <w:bottom w:val="single" w:sz="4" w:space="0" w:color="auto"/>
              <w:right w:val="nil"/>
            </w:tcBorders>
            <w:shd w:val="clear" w:color="000000" w:fill="C6EFCE"/>
            <w:noWrap/>
            <w:vAlign w:val="center"/>
          </w:tcPr>
          <w:p w14:paraId="37E944E2" w14:textId="45EB433B"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0B04583D"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1301C08D"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337670DA" w14:textId="77777777"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MRSA</w:t>
            </w:r>
          </w:p>
        </w:tc>
        <w:tc>
          <w:tcPr>
            <w:tcW w:w="964" w:type="dxa"/>
            <w:tcBorders>
              <w:top w:val="single" w:sz="4" w:space="0" w:color="auto"/>
              <w:left w:val="nil"/>
              <w:bottom w:val="nil"/>
              <w:right w:val="nil"/>
            </w:tcBorders>
            <w:shd w:val="clear" w:color="000000" w:fill="FFFFFF"/>
            <w:noWrap/>
            <w:vAlign w:val="center"/>
            <w:hideMark/>
          </w:tcPr>
          <w:p w14:paraId="61D439FA"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000000" w:fill="C6EFCE"/>
            <w:noWrap/>
            <w:vAlign w:val="center"/>
          </w:tcPr>
          <w:p w14:paraId="25C12368" w14:textId="6D7F0F2A"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single" w:sz="4" w:space="0" w:color="auto"/>
              <w:left w:val="nil"/>
              <w:bottom w:val="nil"/>
              <w:right w:val="nil"/>
            </w:tcBorders>
            <w:shd w:val="clear" w:color="auto" w:fill="C6EFCE"/>
            <w:noWrap/>
            <w:vAlign w:val="center"/>
          </w:tcPr>
          <w:p w14:paraId="7D7822B8" w14:textId="3E75AB34"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04D8FA2A"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68C3093D"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4544A9E7" w14:textId="033D7FE2"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7636E419"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000000" w:fill="C6EFCE"/>
            <w:noWrap/>
            <w:vAlign w:val="center"/>
          </w:tcPr>
          <w:p w14:paraId="32D9837A" w14:textId="4335C7ED"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nil"/>
              <w:left w:val="nil"/>
              <w:bottom w:val="single" w:sz="4" w:space="0" w:color="auto"/>
              <w:right w:val="nil"/>
            </w:tcBorders>
            <w:shd w:val="clear" w:color="auto" w:fill="C6EFCE"/>
            <w:noWrap/>
            <w:vAlign w:val="center"/>
          </w:tcPr>
          <w:p w14:paraId="5D95A47A" w14:textId="0143A75E"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50D3CF42"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F80ED2" w:rsidRPr="00CE0852" w14:paraId="2F880F03"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1D466971" w14:textId="77777777" w:rsidR="00F80ED2" w:rsidRPr="00CE0852" w:rsidRDefault="00F80ED2" w:rsidP="00F80ED2">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SE</w:t>
            </w:r>
          </w:p>
        </w:tc>
        <w:tc>
          <w:tcPr>
            <w:tcW w:w="964" w:type="dxa"/>
            <w:tcBorders>
              <w:top w:val="single" w:sz="4" w:space="0" w:color="auto"/>
              <w:left w:val="nil"/>
              <w:bottom w:val="nil"/>
              <w:right w:val="nil"/>
            </w:tcBorders>
            <w:shd w:val="clear" w:color="000000" w:fill="FFFFFF"/>
            <w:noWrap/>
            <w:vAlign w:val="center"/>
            <w:hideMark/>
          </w:tcPr>
          <w:p w14:paraId="3147C654" w14:textId="77777777" w:rsidR="00F80ED2" w:rsidRPr="00CE0852" w:rsidRDefault="00F80ED2" w:rsidP="00F80ED2">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auto" w:fill="FFEB9C"/>
            <w:noWrap/>
            <w:vAlign w:val="center"/>
          </w:tcPr>
          <w:p w14:paraId="299059C9" w14:textId="1B787394" w:rsidR="00F80ED2" w:rsidRPr="00CE0852" w:rsidRDefault="00F80ED2" w:rsidP="00F80ED2">
            <w:pPr>
              <w:spacing w:after="0" w:line="240" w:lineRule="auto"/>
              <w:jc w:val="center"/>
              <w:rPr>
                <w:rFonts w:asciiTheme="majorHAnsi" w:eastAsia="Times New Roman" w:hAnsiTheme="majorHAnsi" w:cstheme="majorHAnsi"/>
                <w:color w:val="006100"/>
                <w:szCs w:val="20"/>
                <w:lang w:eastAsia="en-GB"/>
              </w:rPr>
            </w:pPr>
            <w:r w:rsidRPr="0085085F">
              <w:rPr>
                <w:rFonts w:asciiTheme="majorHAnsi" w:eastAsia="Times New Roman" w:hAnsiTheme="majorHAnsi" w:cstheme="majorHAnsi"/>
                <w:color w:val="9C6500"/>
                <w:szCs w:val="20"/>
                <w:shd w:val="clear" w:color="auto" w:fill="FFEB9C"/>
                <w:lang w:eastAsia="en-GB"/>
              </w:rPr>
              <w:t>1000</w:t>
            </w:r>
          </w:p>
        </w:tc>
        <w:tc>
          <w:tcPr>
            <w:tcW w:w="1242" w:type="dxa"/>
            <w:tcBorders>
              <w:top w:val="single" w:sz="4" w:space="0" w:color="auto"/>
              <w:left w:val="nil"/>
              <w:bottom w:val="nil"/>
              <w:right w:val="nil"/>
            </w:tcBorders>
            <w:shd w:val="clear" w:color="auto" w:fill="C6EFCE"/>
            <w:noWrap/>
            <w:vAlign w:val="center"/>
          </w:tcPr>
          <w:p w14:paraId="21D1429F" w14:textId="76F6B19B" w:rsidR="00F80ED2" w:rsidRPr="00CE0852" w:rsidRDefault="00F80ED2" w:rsidP="00F80ED2">
            <w:pPr>
              <w:spacing w:after="0" w:line="240" w:lineRule="auto"/>
              <w:jc w:val="center"/>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auto" w:fill="FFEB9C"/>
            <w:noWrap/>
            <w:vAlign w:val="center"/>
            <w:hideMark/>
          </w:tcPr>
          <w:p w14:paraId="73F595FD" w14:textId="77777777" w:rsidR="00F80ED2" w:rsidRPr="00CE0852" w:rsidRDefault="00F80ED2" w:rsidP="00F80ED2">
            <w:pPr>
              <w:spacing w:after="0" w:line="240" w:lineRule="auto"/>
              <w:jc w:val="center"/>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9C6500"/>
                <w:szCs w:val="20"/>
                <w:lang w:eastAsia="en-GB"/>
              </w:rPr>
              <w:t>1000</w:t>
            </w:r>
          </w:p>
        </w:tc>
      </w:tr>
      <w:tr w:rsidR="00F80ED2" w:rsidRPr="00CE0852" w14:paraId="03D1F905"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11B4A28F" w14:textId="695FA058" w:rsidR="00F80ED2" w:rsidRPr="00CE0852" w:rsidRDefault="00F80ED2" w:rsidP="00F80ED2">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59CD11D4" w14:textId="77777777" w:rsidR="00F80ED2" w:rsidRPr="00CE0852" w:rsidRDefault="00F80ED2" w:rsidP="00F80ED2">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auto" w:fill="FFEB9C"/>
            <w:noWrap/>
            <w:vAlign w:val="center"/>
          </w:tcPr>
          <w:p w14:paraId="2B31CF9A" w14:textId="71087F87" w:rsidR="00F80ED2" w:rsidRPr="00CE0852" w:rsidRDefault="00F80ED2" w:rsidP="00F80ED2">
            <w:pPr>
              <w:spacing w:after="0" w:line="240" w:lineRule="auto"/>
              <w:jc w:val="center"/>
              <w:rPr>
                <w:rFonts w:asciiTheme="majorHAnsi" w:eastAsia="Times New Roman" w:hAnsiTheme="majorHAnsi" w:cstheme="majorHAnsi"/>
                <w:color w:val="006100"/>
                <w:szCs w:val="20"/>
                <w:lang w:eastAsia="en-GB"/>
              </w:rPr>
            </w:pPr>
            <w:r w:rsidRPr="0085085F">
              <w:rPr>
                <w:rFonts w:asciiTheme="majorHAnsi" w:eastAsia="Times New Roman" w:hAnsiTheme="majorHAnsi" w:cstheme="majorHAnsi"/>
                <w:color w:val="9C6500"/>
                <w:szCs w:val="20"/>
                <w:shd w:val="clear" w:color="auto" w:fill="FFEB9C"/>
                <w:lang w:eastAsia="en-GB"/>
              </w:rPr>
              <w:t>1000</w:t>
            </w:r>
          </w:p>
        </w:tc>
        <w:tc>
          <w:tcPr>
            <w:tcW w:w="1242" w:type="dxa"/>
            <w:tcBorders>
              <w:top w:val="nil"/>
              <w:left w:val="nil"/>
              <w:bottom w:val="single" w:sz="4" w:space="0" w:color="auto"/>
              <w:right w:val="nil"/>
            </w:tcBorders>
            <w:shd w:val="clear" w:color="auto" w:fill="C6EFCE"/>
            <w:noWrap/>
            <w:vAlign w:val="center"/>
          </w:tcPr>
          <w:p w14:paraId="30F61BC4" w14:textId="6E115C25" w:rsidR="00F80ED2" w:rsidRPr="00CE0852" w:rsidRDefault="00F80ED2" w:rsidP="00F80ED2">
            <w:pPr>
              <w:spacing w:after="0" w:line="240" w:lineRule="auto"/>
              <w:jc w:val="center"/>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auto" w:fill="FFEB9C"/>
            <w:noWrap/>
            <w:vAlign w:val="center"/>
            <w:hideMark/>
          </w:tcPr>
          <w:p w14:paraId="6C93F95B" w14:textId="77777777" w:rsidR="00F80ED2" w:rsidRPr="00CE0852" w:rsidRDefault="00F80ED2" w:rsidP="00F80ED2">
            <w:pPr>
              <w:spacing w:after="0" w:line="240" w:lineRule="auto"/>
              <w:jc w:val="center"/>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9C6500"/>
                <w:szCs w:val="20"/>
                <w:lang w:eastAsia="en-GB"/>
              </w:rPr>
              <w:t>1000</w:t>
            </w:r>
          </w:p>
        </w:tc>
      </w:tr>
      <w:tr w:rsidR="009140CA" w:rsidRPr="00CE0852" w14:paraId="51DC5C44"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294AEA18" w14:textId="77777777"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EF</w:t>
            </w:r>
          </w:p>
        </w:tc>
        <w:tc>
          <w:tcPr>
            <w:tcW w:w="964" w:type="dxa"/>
            <w:tcBorders>
              <w:top w:val="single" w:sz="4" w:space="0" w:color="auto"/>
              <w:left w:val="nil"/>
              <w:bottom w:val="nil"/>
              <w:right w:val="nil"/>
            </w:tcBorders>
            <w:shd w:val="clear" w:color="000000" w:fill="FFFFFF"/>
            <w:noWrap/>
            <w:vAlign w:val="center"/>
            <w:hideMark/>
          </w:tcPr>
          <w:p w14:paraId="3A0353D1"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auto" w:fill="FFEB9C"/>
            <w:noWrap/>
            <w:vAlign w:val="center"/>
          </w:tcPr>
          <w:p w14:paraId="2CB33C23" w14:textId="2B08EC42"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9C6500"/>
                <w:szCs w:val="20"/>
                <w:lang w:eastAsia="en-GB"/>
              </w:rPr>
              <w:t>2000</w:t>
            </w:r>
          </w:p>
        </w:tc>
        <w:tc>
          <w:tcPr>
            <w:tcW w:w="1242" w:type="dxa"/>
            <w:tcBorders>
              <w:top w:val="single" w:sz="4" w:space="0" w:color="auto"/>
              <w:left w:val="nil"/>
              <w:bottom w:val="nil"/>
              <w:right w:val="nil"/>
            </w:tcBorders>
            <w:shd w:val="clear" w:color="auto" w:fill="C6EFCE"/>
            <w:noWrap/>
            <w:vAlign w:val="center"/>
          </w:tcPr>
          <w:p w14:paraId="7316E1EE" w14:textId="105C5A59" w:rsidR="009140CA" w:rsidRPr="00CE0852" w:rsidRDefault="009140CA" w:rsidP="009140CA">
            <w:pPr>
              <w:spacing w:after="0" w:line="240" w:lineRule="auto"/>
              <w:jc w:val="center"/>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4FE651C9"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6E07A6F5"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0DCC8B27" w14:textId="1497465C"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7B03009A"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auto" w:fill="FFEB9C"/>
            <w:noWrap/>
            <w:vAlign w:val="center"/>
          </w:tcPr>
          <w:p w14:paraId="3D3AFEF2" w14:textId="4202CEEA"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9C6500"/>
                <w:szCs w:val="20"/>
                <w:lang w:eastAsia="en-GB"/>
              </w:rPr>
              <w:t>2000</w:t>
            </w:r>
          </w:p>
        </w:tc>
        <w:tc>
          <w:tcPr>
            <w:tcW w:w="1242" w:type="dxa"/>
            <w:tcBorders>
              <w:top w:val="nil"/>
              <w:left w:val="nil"/>
              <w:bottom w:val="single" w:sz="4" w:space="0" w:color="auto"/>
              <w:right w:val="nil"/>
            </w:tcBorders>
            <w:shd w:val="clear" w:color="auto" w:fill="C6EFCE"/>
            <w:noWrap/>
            <w:vAlign w:val="center"/>
          </w:tcPr>
          <w:p w14:paraId="1B534C14" w14:textId="00C8C4E6" w:rsidR="009140CA" w:rsidRPr="00CE0852" w:rsidRDefault="009140CA" w:rsidP="009140CA">
            <w:pPr>
              <w:spacing w:after="0" w:line="240" w:lineRule="auto"/>
              <w:jc w:val="center"/>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659A5DA6"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7414B0B0"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369CF64C" w14:textId="77777777"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EC</w:t>
            </w:r>
          </w:p>
        </w:tc>
        <w:tc>
          <w:tcPr>
            <w:tcW w:w="964" w:type="dxa"/>
            <w:tcBorders>
              <w:top w:val="single" w:sz="4" w:space="0" w:color="auto"/>
              <w:left w:val="nil"/>
              <w:bottom w:val="nil"/>
              <w:right w:val="nil"/>
            </w:tcBorders>
            <w:shd w:val="clear" w:color="000000" w:fill="FFFFFF"/>
            <w:noWrap/>
            <w:vAlign w:val="center"/>
            <w:hideMark/>
          </w:tcPr>
          <w:p w14:paraId="3EA18DA9"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000000" w:fill="C6EFCE"/>
            <w:noWrap/>
            <w:vAlign w:val="center"/>
          </w:tcPr>
          <w:p w14:paraId="56C4743E" w14:textId="31364F86"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single" w:sz="4" w:space="0" w:color="auto"/>
              <w:left w:val="nil"/>
              <w:bottom w:val="nil"/>
              <w:right w:val="nil"/>
            </w:tcBorders>
            <w:shd w:val="clear" w:color="000000" w:fill="C6EFCE"/>
            <w:noWrap/>
            <w:vAlign w:val="center"/>
          </w:tcPr>
          <w:p w14:paraId="49AC6549" w14:textId="0B95825A"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75B67789"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16E43706"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58CB3BC2" w14:textId="0A73019B"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07C06A01"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000000" w:fill="C6EFCE"/>
            <w:noWrap/>
            <w:vAlign w:val="center"/>
          </w:tcPr>
          <w:p w14:paraId="7BAF6ABF" w14:textId="01B67E4B"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nil"/>
              <w:left w:val="nil"/>
              <w:bottom w:val="single" w:sz="4" w:space="0" w:color="auto"/>
              <w:right w:val="nil"/>
            </w:tcBorders>
            <w:shd w:val="clear" w:color="000000" w:fill="C6EFCE"/>
            <w:noWrap/>
            <w:vAlign w:val="center"/>
          </w:tcPr>
          <w:p w14:paraId="139F1F0B" w14:textId="5117B8EE"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5A76B3FF"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7CF7BDF2"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4C1F9E8C" w14:textId="77777777"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KP</w:t>
            </w:r>
          </w:p>
        </w:tc>
        <w:tc>
          <w:tcPr>
            <w:tcW w:w="964" w:type="dxa"/>
            <w:tcBorders>
              <w:top w:val="single" w:sz="4" w:space="0" w:color="auto"/>
              <w:left w:val="nil"/>
              <w:bottom w:val="nil"/>
              <w:right w:val="nil"/>
            </w:tcBorders>
            <w:shd w:val="clear" w:color="000000" w:fill="FFFFFF"/>
            <w:noWrap/>
            <w:vAlign w:val="center"/>
            <w:hideMark/>
          </w:tcPr>
          <w:p w14:paraId="741231A1"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000000" w:fill="C6EFCE"/>
            <w:noWrap/>
            <w:vAlign w:val="center"/>
          </w:tcPr>
          <w:p w14:paraId="7906E658" w14:textId="161E7512"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single" w:sz="4" w:space="0" w:color="auto"/>
              <w:left w:val="nil"/>
              <w:bottom w:val="nil"/>
              <w:right w:val="nil"/>
            </w:tcBorders>
            <w:shd w:val="clear" w:color="000000" w:fill="C6EFCE"/>
            <w:noWrap/>
            <w:vAlign w:val="center"/>
          </w:tcPr>
          <w:p w14:paraId="18BFBDB9" w14:textId="297DE3DF"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0EDE3083"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77E59F99"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473EDB22" w14:textId="7911440A"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516988AF"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000000" w:fill="C6EFCE"/>
            <w:noWrap/>
            <w:vAlign w:val="center"/>
          </w:tcPr>
          <w:p w14:paraId="58AD798A" w14:textId="5D9B9B8E"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nil"/>
              <w:left w:val="nil"/>
              <w:bottom w:val="single" w:sz="4" w:space="0" w:color="auto"/>
              <w:right w:val="nil"/>
            </w:tcBorders>
            <w:shd w:val="clear" w:color="000000" w:fill="C6EFCE"/>
            <w:noWrap/>
            <w:vAlign w:val="center"/>
          </w:tcPr>
          <w:p w14:paraId="121C866A" w14:textId="35AB839C"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6B5D5DD5"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41B8A9D3"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3F28AE16" w14:textId="77777777"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KP-E</w:t>
            </w:r>
          </w:p>
        </w:tc>
        <w:tc>
          <w:tcPr>
            <w:tcW w:w="964" w:type="dxa"/>
            <w:tcBorders>
              <w:top w:val="single" w:sz="4" w:space="0" w:color="auto"/>
              <w:left w:val="nil"/>
              <w:bottom w:val="nil"/>
              <w:right w:val="nil"/>
            </w:tcBorders>
            <w:shd w:val="clear" w:color="000000" w:fill="FFFFFF"/>
            <w:noWrap/>
            <w:vAlign w:val="center"/>
            <w:hideMark/>
          </w:tcPr>
          <w:p w14:paraId="16AB656D"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000000" w:fill="C6EFCE"/>
            <w:noWrap/>
            <w:vAlign w:val="center"/>
          </w:tcPr>
          <w:p w14:paraId="485EBB7F" w14:textId="0FE4B62A"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single" w:sz="4" w:space="0" w:color="auto"/>
              <w:left w:val="nil"/>
              <w:bottom w:val="nil"/>
              <w:right w:val="nil"/>
            </w:tcBorders>
            <w:shd w:val="clear" w:color="000000" w:fill="C6EFCE"/>
            <w:noWrap/>
            <w:vAlign w:val="center"/>
          </w:tcPr>
          <w:p w14:paraId="754BDA1D" w14:textId="542D2F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79FB88B6"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7CA1E7E4"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6457D94B" w14:textId="266C1E55"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193803B1"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000000" w:fill="C6EFCE"/>
            <w:noWrap/>
            <w:vAlign w:val="center"/>
          </w:tcPr>
          <w:p w14:paraId="14F250EE" w14:textId="6482C9A3"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nil"/>
              <w:left w:val="nil"/>
              <w:bottom w:val="single" w:sz="4" w:space="0" w:color="auto"/>
              <w:right w:val="nil"/>
            </w:tcBorders>
            <w:shd w:val="clear" w:color="000000" w:fill="C6EFCE"/>
            <w:noWrap/>
            <w:vAlign w:val="center"/>
          </w:tcPr>
          <w:p w14:paraId="2F1773B5" w14:textId="70FBFDF6"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31BEB7E7"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738B5E29" w14:textId="77777777" w:rsidTr="0085085F">
        <w:trPr>
          <w:trHeight w:val="300"/>
          <w:jc w:val="center"/>
        </w:trPr>
        <w:tc>
          <w:tcPr>
            <w:tcW w:w="964" w:type="dxa"/>
            <w:vMerge w:val="restart"/>
            <w:tcBorders>
              <w:top w:val="single" w:sz="4" w:space="0" w:color="auto"/>
              <w:left w:val="nil"/>
              <w:right w:val="nil"/>
            </w:tcBorders>
            <w:shd w:val="clear" w:color="000000" w:fill="FFFFFF"/>
            <w:noWrap/>
            <w:vAlign w:val="center"/>
            <w:hideMark/>
          </w:tcPr>
          <w:p w14:paraId="6A4A00E6" w14:textId="77777777"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PA</w:t>
            </w:r>
          </w:p>
        </w:tc>
        <w:tc>
          <w:tcPr>
            <w:tcW w:w="964" w:type="dxa"/>
            <w:tcBorders>
              <w:top w:val="single" w:sz="4" w:space="0" w:color="auto"/>
              <w:left w:val="nil"/>
              <w:bottom w:val="nil"/>
              <w:right w:val="nil"/>
            </w:tcBorders>
            <w:shd w:val="clear" w:color="000000" w:fill="FFFFFF"/>
            <w:noWrap/>
            <w:vAlign w:val="center"/>
            <w:hideMark/>
          </w:tcPr>
          <w:p w14:paraId="34116720"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1242" w:type="dxa"/>
            <w:tcBorders>
              <w:top w:val="single" w:sz="4" w:space="0" w:color="auto"/>
              <w:left w:val="nil"/>
              <w:bottom w:val="nil"/>
              <w:right w:val="nil"/>
            </w:tcBorders>
            <w:shd w:val="clear" w:color="000000" w:fill="C6EFCE"/>
            <w:noWrap/>
            <w:vAlign w:val="center"/>
          </w:tcPr>
          <w:p w14:paraId="1AADFBDD" w14:textId="0E4ABA6F"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single" w:sz="4" w:space="0" w:color="auto"/>
              <w:left w:val="nil"/>
              <w:bottom w:val="nil"/>
              <w:right w:val="nil"/>
            </w:tcBorders>
            <w:shd w:val="clear" w:color="000000" w:fill="C6EFCE"/>
            <w:noWrap/>
            <w:vAlign w:val="center"/>
          </w:tcPr>
          <w:p w14:paraId="1FA3FA78" w14:textId="63DEF5BC"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single" w:sz="4" w:space="0" w:color="auto"/>
              <w:left w:val="nil"/>
              <w:bottom w:val="nil"/>
              <w:right w:val="nil"/>
            </w:tcBorders>
            <w:shd w:val="clear" w:color="000000" w:fill="C6EFCE"/>
            <w:noWrap/>
            <w:vAlign w:val="center"/>
            <w:hideMark/>
          </w:tcPr>
          <w:p w14:paraId="70CC955F"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9140CA" w:rsidRPr="00CE0852" w14:paraId="662A7A51" w14:textId="77777777" w:rsidTr="0085085F">
        <w:trPr>
          <w:trHeight w:val="300"/>
          <w:jc w:val="center"/>
        </w:trPr>
        <w:tc>
          <w:tcPr>
            <w:tcW w:w="964" w:type="dxa"/>
            <w:vMerge/>
            <w:tcBorders>
              <w:left w:val="nil"/>
              <w:bottom w:val="single" w:sz="4" w:space="0" w:color="auto"/>
              <w:right w:val="nil"/>
            </w:tcBorders>
            <w:shd w:val="clear" w:color="000000" w:fill="FFFFFF"/>
            <w:noWrap/>
            <w:vAlign w:val="center"/>
            <w:hideMark/>
          </w:tcPr>
          <w:p w14:paraId="44A84674" w14:textId="1CD46F88" w:rsidR="009140CA" w:rsidRPr="00CE0852" w:rsidRDefault="009140CA" w:rsidP="009140CA">
            <w:pPr>
              <w:spacing w:after="0" w:line="240" w:lineRule="auto"/>
              <w:jc w:val="center"/>
              <w:rPr>
                <w:rFonts w:asciiTheme="majorHAnsi" w:eastAsia="Times New Roman" w:hAnsiTheme="majorHAnsi" w:cstheme="majorHAnsi"/>
                <w:b/>
                <w:bCs/>
                <w:color w:val="000000"/>
                <w:szCs w:val="20"/>
                <w:lang w:eastAsia="en-GB"/>
              </w:rPr>
            </w:pPr>
          </w:p>
        </w:tc>
        <w:tc>
          <w:tcPr>
            <w:tcW w:w="964" w:type="dxa"/>
            <w:tcBorders>
              <w:top w:val="nil"/>
              <w:left w:val="nil"/>
              <w:bottom w:val="single" w:sz="4" w:space="0" w:color="auto"/>
              <w:right w:val="nil"/>
            </w:tcBorders>
            <w:shd w:val="clear" w:color="000000" w:fill="FFFFFF"/>
            <w:noWrap/>
            <w:vAlign w:val="center"/>
            <w:hideMark/>
          </w:tcPr>
          <w:p w14:paraId="06A397DA" w14:textId="77777777" w:rsidR="009140CA" w:rsidRPr="00CE0852" w:rsidRDefault="009140CA" w:rsidP="009140CA">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1242" w:type="dxa"/>
            <w:tcBorders>
              <w:top w:val="nil"/>
              <w:left w:val="nil"/>
              <w:bottom w:val="single" w:sz="4" w:space="0" w:color="auto"/>
              <w:right w:val="nil"/>
            </w:tcBorders>
            <w:shd w:val="clear" w:color="000000" w:fill="C6EFCE"/>
            <w:noWrap/>
            <w:vAlign w:val="center"/>
          </w:tcPr>
          <w:p w14:paraId="4D053327" w14:textId="7B861D16"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242" w:type="dxa"/>
            <w:tcBorders>
              <w:top w:val="nil"/>
              <w:left w:val="nil"/>
              <w:bottom w:val="single" w:sz="4" w:space="0" w:color="auto"/>
              <w:right w:val="nil"/>
            </w:tcBorders>
            <w:shd w:val="clear" w:color="000000" w:fill="C6EFCE"/>
            <w:noWrap/>
            <w:vAlign w:val="center"/>
          </w:tcPr>
          <w:p w14:paraId="5B883868" w14:textId="6316D57E"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1134" w:type="dxa"/>
            <w:tcBorders>
              <w:top w:val="nil"/>
              <w:left w:val="nil"/>
              <w:bottom w:val="single" w:sz="4" w:space="0" w:color="auto"/>
              <w:right w:val="nil"/>
            </w:tcBorders>
            <w:shd w:val="clear" w:color="000000" w:fill="C6EFCE"/>
            <w:noWrap/>
            <w:vAlign w:val="center"/>
            <w:hideMark/>
          </w:tcPr>
          <w:p w14:paraId="13E8D470" w14:textId="77777777" w:rsidR="009140CA" w:rsidRPr="00CE0852" w:rsidRDefault="009140CA" w:rsidP="009140CA">
            <w:pPr>
              <w:spacing w:after="0" w:line="240" w:lineRule="auto"/>
              <w:jc w:val="center"/>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bl>
    <w:p w14:paraId="78E2605C" w14:textId="7F0B618F" w:rsidR="00B76CE3" w:rsidRDefault="00E10833" w:rsidP="0057405D">
      <w:pPr>
        <w:spacing w:line="360" w:lineRule="auto"/>
        <w:jc w:val="center"/>
        <w:rPr>
          <w:rFonts w:cs="Times New Roman"/>
        </w:rPr>
      </w:pPr>
      <w:r w:rsidRPr="001D7427">
        <w:rPr>
          <w:rFonts w:cs="Times New Roman"/>
          <w:vertAlign w:val="superscript"/>
        </w:rPr>
        <w:t>a</w:t>
      </w:r>
      <w:r w:rsidRPr="001D7427">
        <w:rPr>
          <w:rFonts w:cs="Times New Roman"/>
        </w:rPr>
        <w:t xml:space="preserve">SA: </w:t>
      </w:r>
      <w:r w:rsidRPr="00E10833">
        <w:rPr>
          <w:rFonts w:cs="Times New Roman"/>
          <w:i/>
        </w:rPr>
        <w:t>Staphylococcus aureus</w:t>
      </w:r>
      <w:r w:rsidRPr="001D7427">
        <w:rPr>
          <w:rFonts w:cs="Times New Roman"/>
        </w:rPr>
        <w:t xml:space="preserve"> ATTC 6538, MRSA: </w:t>
      </w:r>
      <w:r w:rsidRPr="00E10833">
        <w:rPr>
          <w:rFonts w:cs="Times New Roman"/>
          <w:i/>
        </w:rPr>
        <w:t>Staphylococcus aureus</w:t>
      </w:r>
      <w:r w:rsidRPr="001D7427">
        <w:rPr>
          <w:rFonts w:cs="Times New Roman"/>
        </w:rPr>
        <w:t xml:space="preserve"> MRSA HK5996/08, SE: </w:t>
      </w:r>
      <w:r w:rsidRPr="00E10833">
        <w:rPr>
          <w:rFonts w:cs="Times New Roman"/>
          <w:i/>
        </w:rPr>
        <w:t>Staphylococcus epidermidis</w:t>
      </w:r>
      <w:r w:rsidRPr="001D7427">
        <w:rPr>
          <w:rFonts w:cs="Times New Roman"/>
        </w:rPr>
        <w:t xml:space="preserve"> HK6966/08,</w:t>
      </w:r>
      <w:r>
        <w:rPr>
          <w:rFonts w:cs="Times New Roman"/>
        </w:rPr>
        <w:t xml:space="preserve"> </w:t>
      </w:r>
      <w:r w:rsidRPr="001D7427">
        <w:rPr>
          <w:rFonts w:cs="Times New Roman"/>
        </w:rPr>
        <w:t xml:space="preserve">EF: </w:t>
      </w:r>
      <w:r w:rsidRPr="00E10833">
        <w:rPr>
          <w:rFonts w:cs="Times New Roman"/>
          <w:i/>
        </w:rPr>
        <w:t>Enterococcus sp.</w:t>
      </w:r>
      <w:r w:rsidRPr="001D7427">
        <w:rPr>
          <w:rFonts w:cs="Times New Roman"/>
        </w:rPr>
        <w:t xml:space="preserve"> HK14365/08, EC: </w:t>
      </w:r>
      <w:r w:rsidRPr="00E10833">
        <w:rPr>
          <w:rFonts w:cs="Times New Roman"/>
          <w:i/>
        </w:rPr>
        <w:t>Escherichia coli</w:t>
      </w:r>
      <w:r>
        <w:rPr>
          <w:rFonts w:cs="Times New Roman"/>
        </w:rPr>
        <w:t xml:space="preserve"> ATTC 8739, </w:t>
      </w:r>
      <w:r w:rsidRPr="001D7427">
        <w:rPr>
          <w:rFonts w:cs="Times New Roman"/>
        </w:rPr>
        <w:t xml:space="preserve">KP: </w:t>
      </w:r>
      <w:r w:rsidRPr="00E10833">
        <w:rPr>
          <w:rFonts w:cs="Times New Roman"/>
          <w:i/>
        </w:rPr>
        <w:t>Klebsiella pneumoniae</w:t>
      </w:r>
      <w:r w:rsidRPr="001D7427">
        <w:rPr>
          <w:rFonts w:cs="Times New Roman"/>
        </w:rPr>
        <w:t xml:space="preserve"> HK11750/08, KP-E: </w:t>
      </w:r>
      <w:r w:rsidRPr="00E10833">
        <w:rPr>
          <w:rFonts w:cs="Times New Roman"/>
          <w:i/>
        </w:rPr>
        <w:t>Klebsiella pneumoniae ESBL</w:t>
      </w:r>
      <w:r w:rsidRPr="001D7427">
        <w:rPr>
          <w:rFonts w:cs="Times New Roman"/>
        </w:rPr>
        <w:t xml:space="preserve"> HK14368/08</w:t>
      </w:r>
      <w:r>
        <w:rPr>
          <w:rFonts w:cs="Times New Roman"/>
        </w:rPr>
        <w:t>,</w:t>
      </w:r>
      <w:r w:rsidRPr="00E10833">
        <w:rPr>
          <w:rFonts w:cs="Times New Roman"/>
        </w:rPr>
        <w:t xml:space="preserve"> </w:t>
      </w:r>
      <w:r w:rsidRPr="001D7427">
        <w:rPr>
          <w:rFonts w:cs="Times New Roman"/>
        </w:rPr>
        <w:t xml:space="preserve">PA: </w:t>
      </w:r>
      <w:r w:rsidRPr="00E10833">
        <w:rPr>
          <w:rFonts w:cs="Times New Roman"/>
          <w:i/>
        </w:rPr>
        <w:t>Pseudomonas aeruginosa</w:t>
      </w:r>
      <w:r w:rsidRPr="001D7427">
        <w:rPr>
          <w:rFonts w:cs="Times New Roman"/>
        </w:rPr>
        <w:t xml:space="preserve"> ATTC 9027</w:t>
      </w:r>
      <w:r>
        <w:rPr>
          <w:rFonts w:cs="Times New Roman"/>
        </w:rPr>
        <w:t>.</w:t>
      </w:r>
    </w:p>
    <w:p w14:paraId="5427AC24" w14:textId="77777777" w:rsidR="0057405D" w:rsidRPr="00783958" w:rsidRDefault="0057405D" w:rsidP="009012E7">
      <w:pPr>
        <w:spacing w:line="360" w:lineRule="auto"/>
        <w:jc w:val="both"/>
        <w:rPr>
          <w:rFonts w:cs="Times New Roman"/>
          <w:b/>
          <w:sz w:val="24"/>
        </w:rPr>
      </w:pPr>
    </w:p>
    <w:p w14:paraId="70C9BCE0" w14:textId="77777777" w:rsidR="00BA4F1D" w:rsidRPr="00783958" w:rsidRDefault="00BA4F1D" w:rsidP="00BA4F1D">
      <w:pPr>
        <w:spacing w:line="360" w:lineRule="auto"/>
        <w:jc w:val="both"/>
        <w:rPr>
          <w:rFonts w:cs="Times New Roman"/>
          <w:b/>
          <w:sz w:val="24"/>
        </w:rPr>
      </w:pPr>
      <w:r w:rsidRPr="00783958">
        <w:rPr>
          <w:rFonts w:cs="Times New Roman"/>
          <w:b/>
          <w:sz w:val="24"/>
        </w:rPr>
        <w:lastRenderedPageBreak/>
        <w:t>Table 3</w:t>
      </w:r>
      <w:r w:rsidRPr="00783958">
        <w:rPr>
          <w:rFonts w:cs="Times New Roman"/>
          <w:sz w:val="24"/>
        </w:rPr>
        <w:t xml:space="preserve"> Antibacterial activity results for the [TMHEEA] AILs (</w:t>
      </w:r>
      <w:r w:rsidRPr="00783958">
        <w:rPr>
          <w:rFonts w:cs="Times New Roman"/>
          <w:b/>
          <w:sz w:val="24"/>
        </w:rPr>
        <w:t>2a–2d</w:t>
      </w:r>
      <w:r w:rsidRPr="00783958">
        <w:rPr>
          <w:rFonts w:cs="Times New Roman"/>
          <w:sz w:val="24"/>
        </w:rPr>
        <w:t>) and the [DMHEEAH] PILs (</w:t>
      </w:r>
      <w:r w:rsidRPr="00783958">
        <w:rPr>
          <w:rFonts w:cs="Times New Roman"/>
          <w:b/>
          <w:sz w:val="24"/>
        </w:rPr>
        <w:t>5a–5d</w:t>
      </w:r>
      <w:r w:rsidRPr="00783958">
        <w:rPr>
          <w:rFonts w:cs="Times New Roman"/>
          <w:sz w:val="24"/>
        </w:rPr>
        <w:t>) (MIC, IC</w:t>
      </w:r>
      <w:r w:rsidRPr="00783958">
        <w:rPr>
          <w:rFonts w:cs="Times New Roman"/>
          <w:sz w:val="24"/>
          <w:vertAlign w:val="subscript"/>
        </w:rPr>
        <w:t>95</w:t>
      </w:r>
      <w:r w:rsidRPr="00783958">
        <w:rPr>
          <w:rFonts w:cs="Times New Roman"/>
          <w:sz w:val="24"/>
        </w:rPr>
        <w:t>)</w:t>
      </w:r>
    </w:p>
    <w:tbl>
      <w:tblPr>
        <w:tblW w:w="0" w:type="auto"/>
        <w:jc w:val="center"/>
        <w:tblLook w:val="04A0" w:firstRow="1" w:lastRow="0" w:firstColumn="1" w:lastColumn="0" w:noHBand="0" w:noVBand="1"/>
      </w:tblPr>
      <w:tblGrid>
        <w:gridCol w:w="815"/>
        <w:gridCol w:w="955"/>
        <w:gridCol w:w="729"/>
        <w:gridCol w:w="729"/>
        <w:gridCol w:w="729"/>
        <w:gridCol w:w="729"/>
        <w:gridCol w:w="729"/>
        <w:gridCol w:w="729"/>
        <w:gridCol w:w="739"/>
      </w:tblGrid>
      <w:tr w:rsidR="00BA4F1D" w:rsidRPr="001D7427" w14:paraId="6DBE3BEB" w14:textId="77777777" w:rsidTr="007F6C26">
        <w:trPr>
          <w:trHeight w:val="667"/>
          <w:jc w:val="center"/>
        </w:trPr>
        <w:tc>
          <w:tcPr>
            <w:tcW w:w="0" w:type="auto"/>
            <w:vMerge w:val="restart"/>
            <w:tcBorders>
              <w:top w:val="single" w:sz="4" w:space="0" w:color="auto"/>
              <w:left w:val="nil"/>
              <w:bottom w:val="single" w:sz="4" w:space="0" w:color="auto"/>
              <w:right w:val="nil"/>
            </w:tcBorders>
            <w:shd w:val="clear" w:color="000000" w:fill="FFFFFF"/>
            <w:noWrap/>
            <w:vAlign w:val="center"/>
            <w:hideMark/>
          </w:tcPr>
          <w:p w14:paraId="065FD125" w14:textId="77777777" w:rsidR="00BA4F1D" w:rsidRPr="005A6F82" w:rsidRDefault="00BA4F1D" w:rsidP="007F6C26">
            <w:pPr>
              <w:spacing w:after="0" w:line="240" w:lineRule="auto"/>
              <w:jc w:val="center"/>
              <w:rPr>
                <w:rFonts w:asciiTheme="majorHAnsi" w:eastAsia="Times New Roman" w:hAnsiTheme="majorHAnsi" w:cstheme="majorHAnsi"/>
                <w:b/>
                <w:color w:val="000000"/>
                <w:szCs w:val="20"/>
                <w:lang w:eastAsia="en-GB"/>
              </w:rPr>
            </w:pPr>
            <w:r w:rsidRPr="005A6F82">
              <w:rPr>
                <w:rFonts w:asciiTheme="majorHAnsi" w:eastAsia="Times New Roman" w:hAnsiTheme="majorHAnsi" w:cstheme="majorHAnsi"/>
                <w:b/>
                <w:color w:val="000000"/>
                <w:szCs w:val="20"/>
                <w:lang w:eastAsia="en-GB"/>
              </w:rPr>
              <w:t>Strain</w:t>
            </w:r>
            <w:r w:rsidRPr="005A6F82">
              <w:rPr>
                <w:rFonts w:asciiTheme="majorHAnsi" w:eastAsia="Times New Roman" w:hAnsiTheme="majorHAnsi" w:cstheme="majorHAnsi"/>
                <w:b/>
                <w:color w:val="000000"/>
                <w:szCs w:val="20"/>
                <w:vertAlign w:val="superscript"/>
                <w:lang w:eastAsia="en-GB"/>
              </w:rPr>
              <w:t>a</w:t>
            </w:r>
          </w:p>
        </w:tc>
        <w:tc>
          <w:tcPr>
            <w:tcW w:w="0" w:type="auto"/>
            <w:vMerge w:val="restart"/>
            <w:tcBorders>
              <w:top w:val="single" w:sz="4" w:space="0" w:color="auto"/>
              <w:left w:val="nil"/>
              <w:bottom w:val="single" w:sz="4" w:space="0" w:color="auto"/>
              <w:right w:val="nil"/>
            </w:tcBorders>
            <w:shd w:val="clear" w:color="000000" w:fill="FFFFFF"/>
            <w:noWrap/>
            <w:vAlign w:val="center"/>
            <w:hideMark/>
          </w:tcPr>
          <w:p w14:paraId="24E71DFC" w14:textId="77777777" w:rsidR="00BA4F1D" w:rsidRPr="005A6F82" w:rsidRDefault="00BA4F1D" w:rsidP="007F6C26">
            <w:pPr>
              <w:spacing w:after="0" w:line="240" w:lineRule="auto"/>
              <w:jc w:val="center"/>
              <w:rPr>
                <w:rFonts w:asciiTheme="majorHAnsi" w:eastAsia="Times New Roman" w:hAnsiTheme="majorHAnsi" w:cstheme="majorHAnsi"/>
                <w:b/>
                <w:color w:val="000000"/>
                <w:szCs w:val="20"/>
                <w:lang w:eastAsia="en-GB"/>
              </w:rPr>
            </w:pPr>
            <w:r w:rsidRPr="005A6F82">
              <w:rPr>
                <w:rFonts w:asciiTheme="majorHAnsi" w:eastAsia="Times New Roman" w:hAnsiTheme="majorHAnsi" w:cstheme="majorHAnsi"/>
                <w:b/>
                <w:color w:val="000000"/>
                <w:szCs w:val="20"/>
                <w:lang w:eastAsia="en-GB"/>
              </w:rPr>
              <w:t>Time (h)</w:t>
            </w:r>
          </w:p>
        </w:tc>
        <w:tc>
          <w:tcPr>
            <w:tcW w:w="0" w:type="auto"/>
            <w:tcBorders>
              <w:top w:val="single" w:sz="4" w:space="0" w:color="auto"/>
              <w:left w:val="nil"/>
              <w:bottom w:val="single" w:sz="4" w:space="0" w:color="auto"/>
              <w:right w:val="nil"/>
            </w:tcBorders>
            <w:shd w:val="clear" w:color="000000" w:fill="FFFFFF"/>
          </w:tcPr>
          <w:p w14:paraId="51760019" w14:textId="77777777" w:rsidR="00BA4F1D" w:rsidRPr="005A6F82" w:rsidRDefault="00BA4F1D" w:rsidP="007F6C26">
            <w:pPr>
              <w:spacing w:after="0" w:line="240" w:lineRule="auto"/>
              <w:jc w:val="center"/>
              <w:rPr>
                <w:rFonts w:asciiTheme="majorHAnsi" w:eastAsia="Times New Roman" w:hAnsiTheme="majorHAnsi" w:cstheme="majorHAnsi"/>
                <w:b/>
                <w:color w:val="000000"/>
                <w:szCs w:val="20"/>
                <w:lang w:eastAsia="en-GB"/>
              </w:rPr>
            </w:pPr>
          </w:p>
        </w:tc>
        <w:tc>
          <w:tcPr>
            <w:tcW w:w="0" w:type="auto"/>
            <w:gridSpan w:val="5"/>
            <w:tcBorders>
              <w:top w:val="single" w:sz="4" w:space="0" w:color="auto"/>
              <w:left w:val="nil"/>
              <w:bottom w:val="single" w:sz="4" w:space="0" w:color="auto"/>
              <w:right w:val="nil"/>
            </w:tcBorders>
            <w:shd w:val="clear" w:color="000000" w:fill="FFFFFF"/>
            <w:noWrap/>
            <w:vAlign w:val="center"/>
            <w:hideMark/>
          </w:tcPr>
          <w:p w14:paraId="36EE97B9" w14:textId="77777777" w:rsidR="00BA4F1D" w:rsidRPr="005A6F82" w:rsidRDefault="00BA4F1D" w:rsidP="007F6C26">
            <w:pPr>
              <w:spacing w:after="0" w:line="240" w:lineRule="auto"/>
              <w:jc w:val="center"/>
              <w:rPr>
                <w:rFonts w:asciiTheme="majorHAnsi" w:eastAsia="Times New Roman" w:hAnsiTheme="majorHAnsi" w:cstheme="majorHAnsi"/>
                <w:b/>
                <w:color w:val="000000"/>
                <w:szCs w:val="20"/>
                <w:lang w:eastAsia="en-GB"/>
              </w:rPr>
            </w:pPr>
            <w:r w:rsidRPr="005A6F82">
              <w:rPr>
                <w:rFonts w:asciiTheme="majorHAnsi" w:eastAsia="Times New Roman" w:hAnsiTheme="majorHAnsi" w:cstheme="majorHAnsi"/>
                <w:b/>
                <w:color w:val="000000"/>
                <w:szCs w:val="20"/>
                <w:lang w:eastAsia="en-GB"/>
              </w:rPr>
              <w:t>IL MIC (μM)</w:t>
            </w:r>
          </w:p>
        </w:tc>
        <w:tc>
          <w:tcPr>
            <w:tcW w:w="0" w:type="auto"/>
            <w:tcBorders>
              <w:top w:val="single" w:sz="4" w:space="0" w:color="auto"/>
              <w:left w:val="nil"/>
              <w:bottom w:val="single" w:sz="4" w:space="0" w:color="auto"/>
              <w:right w:val="nil"/>
            </w:tcBorders>
            <w:shd w:val="clear" w:color="000000" w:fill="FFFFFF"/>
          </w:tcPr>
          <w:p w14:paraId="7A3F6979" w14:textId="77777777" w:rsidR="00BA4F1D" w:rsidRPr="005A6F82" w:rsidRDefault="00BA4F1D" w:rsidP="007F6C26">
            <w:pPr>
              <w:spacing w:after="0" w:line="240" w:lineRule="auto"/>
              <w:jc w:val="center"/>
              <w:rPr>
                <w:rFonts w:asciiTheme="majorHAnsi" w:eastAsia="Times New Roman" w:hAnsiTheme="majorHAnsi" w:cstheme="majorHAnsi"/>
                <w:b/>
                <w:color w:val="000000"/>
                <w:szCs w:val="20"/>
                <w:lang w:eastAsia="en-GB"/>
              </w:rPr>
            </w:pPr>
          </w:p>
        </w:tc>
      </w:tr>
      <w:tr w:rsidR="00BA4F1D" w:rsidRPr="001D7427" w14:paraId="50B4FF64" w14:textId="77777777" w:rsidTr="007F6C26">
        <w:trPr>
          <w:trHeight w:val="345"/>
          <w:jc w:val="center"/>
        </w:trPr>
        <w:tc>
          <w:tcPr>
            <w:tcW w:w="0" w:type="auto"/>
            <w:vMerge/>
            <w:tcBorders>
              <w:left w:val="nil"/>
              <w:bottom w:val="single" w:sz="4" w:space="0" w:color="auto"/>
              <w:right w:val="nil"/>
            </w:tcBorders>
            <w:shd w:val="clear" w:color="000000" w:fill="FFFFFF"/>
            <w:noWrap/>
            <w:vAlign w:val="center"/>
            <w:hideMark/>
          </w:tcPr>
          <w:p w14:paraId="360D950B"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p>
        </w:tc>
        <w:tc>
          <w:tcPr>
            <w:tcW w:w="0" w:type="auto"/>
            <w:vMerge/>
            <w:tcBorders>
              <w:left w:val="nil"/>
              <w:bottom w:val="single" w:sz="4" w:space="0" w:color="auto"/>
              <w:right w:val="nil"/>
            </w:tcBorders>
            <w:shd w:val="clear" w:color="000000" w:fill="FFFFFF"/>
            <w:noWrap/>
            <w:vAlign w:val="center"/>
            <w:hideMark/>
          </w:tcPr>
          <w:p w14:paraId="421B8569"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p>
        </w:tc>
        <w:tc>
          <w:tcPr>
            <w:tcW w:w="0" w:type="auto"/>
            <w:tcBorders>
              <w:top w:val="single" w:sz="4" w:space="0" w:color="auto"/>
              <w:left w:val="nil"/>
              <w:bottom w:val="single" w:sz="4" w:space="0" w:color="auto"/>
              <w:right w:val="nil"/>
            </w:tcBorders>
            <w:shd w:val="clear" w:color="000000" w:fill="FFFFFF"/>
            <w:noWrap/>
            <w:vAlign w:val="center"/>
            <w:hideMark/>
          </w:tcPr>
          <w:p w14:paraId="34D9F2C0" w14:textId="77777777" w:rsidR="00BA4F1D" w:rsidRPr="00CE085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2a</w:t>
            </w:r>
          </w:p>
        </w:tc>
        <w:tc>
          <w:tcPr>
            <w:tcW w:w="0" w:type="auto"/>
            <w:tcBorders>
              <w:top w:val="single" w:sz="4" w:space="0" w:color="auto"/>
              <w:left w:val="nil"/>
              <w:bottom w:val="single" w:sz="4" w:space="0" w:color="auto"/>
              <w:right w:val="nil"/>
            </w:tcBorders>
            <w:shd w:val="clear" w:color="000000" w:fill="FFFFFF"/>
            <w:noWrap/>
            <w:vAlign w:val="center"/>
          </w:tcPr>
          <w:p w14:paraId="28426EEB" w14:textId="77777777" w:rsidR="00BA4F1D" w:rsidRPr="00CE085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5a</w:t>
            </w:r>
          </w:p>
        </w:tc>
        <w:tc>
          <w:tcPr>
            <w:tcW w:w="0" w:type="auto"/>
            <w:tcBorders>
              <w:top w:val="single" w:sz="4" w:space="0" w:color="auto"/>
              <w:left w:val="nil"/>
              <w:bottom w:val="single" w:sz="4" w:space="0" w:color="auto"/>
              <w:right w:val="nil"/>
            </w:tcBorders>
            <w:shd w:val="clear" w:color="000000" w:fill="FFFFFF"/>
            <w:noWrap/>
            <w:vAlign w:val="center"/>
            <w:hideMark/>
          </w:tcPr>
          <w:p w14:paraId="17A5E592" w14:textId="77777777" w:rsidR="00BA4F1D" w:rsidRPr="00CE085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2b</w:t>
            </w:r>
          </w:p>
        </w:tc>
        <w:tc>
          <w:tcPr>
            <w:tcW w:w="0" w:type="auto"/>
            <w:tcBorders>
              <w:top w:val="single" w:sz="4" w:space="0" w:color="auto"/>
              <w:left w:val="nil"/>
              <w:bottom w:val="single" w:sz="4" w:space="0" w:color="auto"/>
              <w:right w:val="nil"/>
            </w:tcBorders>
            <w:shd w:val="clear" w:color="000000" w:fill="FFFFFF"/>
            <w:vAlign w:val="center"/>
          </w:tcPr>
          <w:p w14:paraId="5264CE5B" w14:textId="77777777" w:rsidR="00BA4F1D" w:rsidRPr="00CE0852" w:rsidDel="00F80ED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5b</w:t>
            </w:r>
          </w:p>
        </w:tc>
        <w:tc>
          <w:tcPr>
            <w:tcW w:w="0" w:type="auto"/>
            <w:tcBorders>
              <w:top w:val="single" w:sz="4" w:space="0" w:color="auto"/>
              <w:left w:val="nil"/>
              <w:bottom w:val="single" w:sz="4" w:space="0" w:color="auto"/>
              <w:right w:val="nil"/>
            </w:tcBorders>
            <w:shd w:val="clear" w:color="000000" w:fill="FFFFFF"/>
            <w:noWrap/>
            <w:vAlign w:val="center"/>
          </w:tcPr>
          <w:p w14:paraId="004D5B5E" w14:textId="77777777" w:rsidR="00BA4F1D" w:rsidRPr="00CE085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2c</w:t>
            </w:r>
          </w:p>
        </w:tc>
        <w:tc>
          <w:tcPr>
            <w:tcW w:w="0" w:type="auto"/>
            <w:tcBorders>
              <w:top w:val="single" w:sz="4" w:space="0" w:color="auto"/>
              <w:left w:val="nil"/>
              <w:bottom w:val="single" w:sz="4" w:space="0" w:color="auto"/>
              <w:right w:val="nil"/>
            </w:tcBorders>
            <w:shd w:val="clear" w:color="000000" w:fill="FFFFFF"/>
            <w:noWrap/>
            <w:vAlign w:val="center"/>
            <w:hideMark/>
          </w:tcPr>
          <w:p w14:paraId="32B6E49D" w14:textId="77777777" w:rsidR="00BA4F1D" w:rsidRPr="00CE085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5c</w:t>
            </w:r>
          </w:p>
        </w:tc>
        <w:tc>
          <w:tcPr>
            <w:tcW w:w="0" w:type="auto"/>
            <w:tcBorders>
              <w:top w:val="single" w:sz="4" w:space="0" w:color="auto"/>
              <w:left w:val="nil"/>
              <w:bottom w:val="single" w:sz="4" w:space="0" w:color="auto"/>
              <w:right w:val="nil"/>
            </w:tcBorders>
            <w:shd w:val="clear" w:color="000000" w:fill="FFFFFF"/>
            <w:vAlign w:val="center"/>
          </w:tcPr>
          <w:p w14:paraId="2D6D2F1C" w14:textId="77777777" w:rsidR="00BA4F1D" w:rsidRPr="00CE0852" w:rsidDel="00F80ED2" w:rsidRDefault="00BA4F1D" w:rsidP="007F6C26">
            <w:pPr>
              <w:spacing w:after="0" w:line="240" w:lineRule="auto"/>
              <w:jc w:val="right"/>
              <w:rPr>
                <w:rFonts w:asciiTheme="majorHAnsi" w:eastAsia="Times New Roman" w:hAnsiTheme="majorHAnsi" w:cstheme="majorHAnsi"/>
                <w:b/>
                <w:bCs/>
                <w:color w:val="000000"/>
                <w:szCs w:val="20"/>
                <w:lang w:eastAsia="en-GB"/>
              </w:rPr>
            </w:pPr>
            <w:r>
              <w:rPr>
                <w:rFonts w:asciiTheme="majorHAnsi" w:eastAsia="Times New Roman" w:hAnsiTheme="majorHAnsi" w:cstheme="majorHAnsi"/>
                <w:b/>
                <w:bCs/>
                <w:color w:val="000000"/>
                <w:szCs w:val="20"/>
                <w:lang w:eastAsia="en-GB"/>
              </w:rPr>
              <w:t>2d</w:t>
            </w:r>
            <w:r w:rsidRPr="00CE0852">
              <w:rPr>
                <w:rFonts w:asciiTheme="majorHAnsi" w:eastAsia="Times New Roman" w:hAnsiTheme="majorHAnsi" w:cstheme="majorHAnsi"/>
                <w:b/>
                <w:bCs/>
                <w:color w:val="000000"/>
                <w:szCs w:val="20"/>
                <w:lang w:eastAsia="en-GB"/>
              </w:rPr>
              <w:t xml:space="preserve">, </w:t>
            </w:r>
            <w:r>
              <w:rPr>
                <w:rFonts w:asciiTheme="majorHAnsi" w:eastAsia="Times New Roman" w:hAnsiTheme="majorHAnsi" w:cstheme="majorHAnsi"/>
                <w:b/>
                <w:bCs/>
                <w:color w:val="000000"/>
                <w:szCs w:val="20"/>
                <w:lang w:eastAsia="en-GB"/>
              </w:rPr>
              <w:t>5d</w:t>
            </w:r>
          </w:p>
        </w:tc>
      </w:tr>
      <w:tr w:rsidR="00BA4F1D" w:rsidRPr="001D7427" w14:paraId="53802379"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4AB67E56"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SA</w:t>
            </w:r>
          </w:p>
        </w:tc>
        <w:tc>
          <w:tcPr>
            <w:tcW w:w="0" w:type="auto"/>
            <w:tcBorders>
              <w:top w:val="single" w:sz="4" w:space="0" w:color="auto"/>
              <w:left w:val="nil"/>
              <w:bottom w:val="nil"/>
              <w:right w:val="nil"/>
            </w:tcBorders>
            <w:shd w:val="clear" w:color="000000" w:fill="FFFFFF"/>
            <w:noWrap/>
            <w:vAlign w:val="center"/>
            <w:hideMark/>
          </w:tcPr>
          <w:p w14:paraId="56198F5E"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000000" w:fill="C6EFCE"/>
            <w:noWrap/>
            <w:vAlign w:val="center"/>
          </w:tcPr>
          <w:p w14:paraId="2D9DF918"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2069CF6F"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1647944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530FBE5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1E06981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7E05FEA0"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4706308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48FC0279"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75DDCBE5"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58E40275"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000000" w:fill="C6EFCE"/>
            <w:noWrap/>
            <w:vAlign w:val="center"/>
          </w:tcPr>
          <w:p w14:paraId="3E3F1C7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1634ED6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078399C1"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5EAE29B9"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5A838947"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0336584A"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56E5CD2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4929D228"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06F7BA5F"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MRSA</w:t>
            </w:r>
          </w:p>
        </w:tc>
        <w:tc>
          <w:tcPr>
            <w:tcW w:w="0" w:type="auto"/>
            <w:tcBorders>
              <w:top w:val="single" w:sz="4" w:space="0" w:color="auto"/>
              <w:left w:val="nil"/>
              <w:bottom w:val="nil"/>
              <w:right w:val="nil"/>
            </w:tcBorders>
            <w:shd w:val="clear" w:color="000000" w:fill="FFFFFF"/>
            <w:noWrap/>
            <w:vAlign w:val="center"/>
            <w:hideMark/>
          </w:tcPr>
          <w:p w14:paraId="68B57CE4"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000000" w:fill="C6EFCE"/>
            <w:noWrap/>
            <w:vAlign w:val="center"/>
          </w:tcPr>
          <w:p w14:paraId="15852161"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2F5E44F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FFEB9C"/>
            <w:noWrap/>
            <w:vAlign w:val="center"/>
            <w:hideMark/>
          </w:tcPr>
          <w:p w14:paraId="4E881FC1"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9C6500"/>
                <w:szCs w:val="20"/>
                <w:lang w:eastAsia="en-GB"/>
              </w:rPr>
              <w:t>2000</w:t>
            </w:r>
          </w:p>
        </w:tc>
        <w:tc>
          <w:tcPr>
            <w:tcW w:w="0" w:type="auto"/>
            <w:tcBorders>
              <w:top w:val="single" w:sz="4" w:space="0" w:color="auto"/>
              <w:left w:val="nil"/>
              <w:bottom w:val="nil"/>
              <w:right w:val="nil"/>
            </w:tcBorders>
            <w:shd w:val="clear" w:color="000000" w:fill="C6EFCE"/>
            <w:vAlign w:val="center"/>
          </w:tcPr>
          <w:p w14:paraId="57370428"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74A7529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52183F7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auto" w:fill="C6EFCE"/>
            <w:vAlign w:val="center"/>
          </w:tcPr>
          <w:p w14:paraId="0746FB78"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7C662E3D"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64701EC6"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3C596E64"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000000" w:fill="C6EFCE"/>
            <w:noWrap/>
            <w:vAlign w:val="center"/>
          </w:tcPr>
          <w:p w14:paraId="4DECD1B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113615BA"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FFEB9C"/>
            <w:noWrap/>
            <w:vAlign w:val="center"/>
            <w:hideMark/>
          </w:tcPr>
          <w:p w14:paraId="62EC358B"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9C6500"/>
                <w:szCs w:val="20"/>
                <w:lang w:eastAsia="en-GB"/>
              </w:rPr>
              <w:t>2000</w:t>
            </w:r>
          </w:p>
        </w:tc>
        <w:tc>
          <w:tcPr>
            <w:tcW w:w="0" w:type="auto"/>
            <w:tcBorders>
              <w:top w:val="nil"/>
              <w:left w:val="nil"/>
              <w:bottom w:val="single" w:sz="4" w:space="0" w:color="auto"/>
              <w:right w:val="nil"/>
            </w:tcBorders>
            <w:shd w:val="clear" w:color="000000" w:fill="C6EFCE"/>
            <w:vAlign w:val="center"/>
          </w:tcPr>
          <w:p w14:paraId="1ACEFF7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122A8C1D"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054DE3E5"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auto" w:fill="C6EFCE"/>
            <w:vAlign w:val="center"/>
          </w:tcPr>
          <w:p w14:paraId="182C73E1"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4BAB3DCA"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7708E081"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SE</w:t>
            </w:r>
          </w:p>
        </w:tc>
        <w:tc>
          <w:tcPr>
            <w:tcW w:w="0" w:type="auto"/>
            <w:tcBorders>
              <w:top w:val="single" w:sz="4" w:space="0" w:color="auto"/>
              <w:left w:val="nil"/>
              <w:bottom w:val="nil"/>
              <w:right w:val="nil"/>
            </w:tcBorders>
            <w:shd w:val="clear" w:color="000000" w:fill="FFFFFF"/>
            <w:noWrap/>
            <w:vAlign w:val="center"/>
            <w:hideMark/>
          </w:tcPr>
          <w:p w14:paraId="2A99A8EE"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auto" w:fill="FFC7CE"/>
            <w:noWrap/>
            <w:vAlign w:val="center"/>
          </w:tcPr>
          <w:p w14:paraId="63F273DF"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9C0006"/>
                <w:szCs w:val="20"/>
                <w:lang w:eastAsia="en-GB"/>
              </w:rPr>
              <w:t>250</w:t>
            </w:r>
          </w:p>
        </w:tc>
        <w:tc>
          <w:tcPr>
            <w:tcW w:w="0" w:type="auto"/>
            <w:tcBorders>
              <w:top w:val="single" w:sz="4" w:space="0" w:color="auto"/>
              <w:left w:val="nil"/>
              <w:bottom w:val="nil"/>
              <w:right w:val="nil"/>
            </w:tcBorders>
            <w:shd w:val="clear" w:color="auto" w:fill="FFEB9C"/>
            <w:noWrap/>
            <w:vAlign w:val="center"/>
          </w:tcPr>
          <w:p w14:paraId="675421CD" w14:textId="77777777" w:rsidR="00BA4F1D" w:rsidRPr="00CE0852" w:rsidRDefault="00BA4F1D" w:rsidP="007F6C26">
            <w:pPr>
              <w:spacing w:after="0" w:line="240" w:lineRule="auto"/>
              <w:jc w:val="right"/>
              <w:rPr>
                <w:rFonts w:asciiTheme="majorHAnsi" w:eastAsia="Times New Roman" w:hAnsiTheme="majorHAnsi" w:cstheme="majorHAnsi"/>
                <w:color w:val="9C0006"/>
                <w:szCs w:val="20"/>
                <w:lang w:eastAsia="en-GB"/>
              </w:rPr>
            </w:pPr>
            <w:r w:rsidRPr="00CE0852">
              <w:rPr>
                <w:rFonts w:asciiTheme="majorHAnsi" w:eastAsia="Times New Roman" w:hAnsiTheme="majorHAnsi" w:cstheme="majorHAnsi"/>
                <w:color w:val="9C6500"/>
                <w:szCs w:val="20"/>
                <w:lang w:eastAsia="en-GB"/>
              </w:rPr>
              <w:t>1000</w:t>
            </w:r>
          </w:p>
        </w:tc>
        <w:tc>
          <w:tcPr>
            <w:tcW w:w="0" w:type="auto"/>
            <w:tcBorders>
              <w:top w:val="single" w:sz="4" w:space="0" w:color="auto"/>
              <w:left w:val="nil"/>
              <w:bottom w:val="nil"/>
              <w:right w:val="nil"/>
            </w:tcBorders>
            <w:shd w:val="clear" w:color="000000" w:fill="FFC7CE"/>
            <w:noWrap/>
            <w:vAlign w:val="center"/>
            <w:hideMark/>
          </w:tcPr>
          <w:p w14:paraId="21A1B5FA" w14:textId="77777777" w:rsidR="00BA4F1D" w:rsidRPr="00CE0852" w:rsidRDefault="00BA4F1D" w:rsidP="007F6C26">
            <w:pPr>
              <w:spacing w:after="0" w:line="240" w:lineRule="auto"/>
              <w:jc w:val="right"/>
              <w:rPr>
                <w:rFonts w:asciiTheme="majorHAnsi" w:eastAsia="Times New Roman" w:hAnsiTheme="majorHAnsi" w:cstheme="majorHAnsi"/>
                <w:color w:val="9C0006"/>
                <w:szCs w:val="20"/>
                <w:lang w:eastAsia="en-GB"/>
              </w:rPr>
            </w:pPr>
            <w:r w:rsidRPr="00CE0852">
              <w:rPr>
                <w:rFonts w:asciiTheme="majorHAnsi" w:eastAsia="Times New Roman" w:hAnsiTheme="majorHAnsi" w:cstheme="majorHAnsi"/>
                <w:color w:val="9C0006"/>
                <w:szCs w:val="20"/>
                <w:lang w:eastAsia="en-GB"/>
              </w:rPr>
              <w:t>250</w:t>
            </w:r>
          </w:p>
        </w:tc>
        <w:tc>
          <w:tcPr>
            <w:tcW w:w="0" w:type="auto"/>
            <w:tcBorders>
              <w:top w:val="single" w:sz="4" w:space="0" w:color="auto"/>
              <w:left w:val="nil"/>
              <w:bottom w:val="nil"/>
              <w:right w:val="nil"/>
            </w:tcBorders>
            <w:shd w:val="clear" w:color="auto" w:fill="C6EFCE"/>
            <w:vAlign w:val="center"/>
          </w:tcPr>
          <w:p w14:paraId="53CEFF00"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auto" w:fill="C6EFCE"/>
            <w:noWrap/>
            <w:vAlign w:val="center"/>
          </w:tcPr>
          <w:p w14:paraId="47199245"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FFEB9C"/>
            <w:noWrap/>
            <w:vAlign w:val="center"/>
            <w:hideMark/>
          </w:tcPr>
          <w:p w14:paraId="3B0D30CA"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9C6500"/>
                <w:szCs w:val="20"/>
                <w:lang w:eastAsia="en-GB"/>
              </w:rPr>
              <w:t>500</w:t>
            </w:r>
          </w:p>
        </w:tc>
        <w:tc>
          <w:tcPr>
            <w:tcW w:w="0" w:type="auto"/>
            <w:tcBorders>
              <w:top w:val="single" w:sz="4" w:space="0" w:color="auto"/>
              <w:left w:val="nil"/>
              <w:bottom w:val="nil"/>
              <w:right w:val="nil"/>
            </w:tcBorders>
            <w:shd w:val="clear" w:color="auto" w:fill="C6EFCE"/>
            <w:vAlign w:val="center"/>
          </w:tcPr>
          <w:p w14:paraId="0415996B"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66E3CEA0"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036E56C3"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3B032B4A"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auto" w:fill="FFC7CE"/>
            <w:noWrap/>
            <w:vAlign w:val="center"/>
          </w:tcPr>
          <w:p w14:paraId="03A0956C"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9C0006"/>
                <w:szCs w:val="20"/>
                <w:lang w:eastAsia="en-GB"/>
              </w:rPr>
              <w:t>250</w:t>
            </w:r>
          </w:p>
        </w:tc>
        <w:tc>
          <w:tcPr>
            <w:tcW w:w="0" w:type="auto"/>
            <w:tcBorders>
              <w:top w:val="nil"/>
              <w:left w:val="nil"/>
              <w:bottom w:val="single" w:sz="4" w:space="0" w:color="auto"/>
              <w:right w:val="nil"/>
            </w:tcBorders>
            <w:shd w:val="clear" w:color="auto" w:fill="FFEB9C"/>
            <w:noWrap/>
            <w:vAlign w:val="center"/>
          </w:tcPr>
          <w:p w14:paraId="4290F40D" w14:textId="77777777" w:rsidR="00BA4F1D" w:rsidRPr="00CE0852" w:rsidRDefault="00BA4F1D" w:rsidP="007F6C26">
            <w:pPr>
              <w:spacing w:after="0" w:line="240" w:lineRule="auto"/>
              <w:jc w:val="right"/>
              <w:rPr>
                <w:rFonts w:asciiTheme="majorHAnsi" w:eastAsia="Times New Roman" w:hAnsiTheme="majorHAnsi" w:cstheme="majorHAnsi"/>
                <w:color w:val="9C0006"/>
                <w:szCs w:val="20"/>
                <w:lang w:eastAsia="en-GB"/>
              </w:rPr>
            </w:pPr>
            <w:r w:rsidRPr="00CE0852">
              <w:rPr>
                <w:rFonts w:asciiTheme="majorHAnsi" w:eastAsia="Times New Roman" w:hAnsiTheme="majorHAnsi" w:cstheme="majorHAnsi"/>
                <w:color w:val="9C6500"/>
                <w:szCs w:val="20"/>
                <w:lang w:eastAsia="en-GB"/>
              </w:rPr>
              <w:t>1000</w:t>
            </w:r>
          </w:p>
        </w:tc>
        <w:tc>
          <w:tcPr>
            <w:tcW w:w="0" w:type="auto"/>
            <w:tcBorders>
              <w:top w:val="nil"/>
              <w:left w:val="nil"/>
              <w:bottom w:val="single" w:sz="4" w:space="0" w:color="auto"/>
              <w:right w:val="nil"/>
            </w:tcBorders>
            <w:shd w:val="clear" w:color="000000" w:fill="FFC7CE"/>
            <w:noWrap/>
            <w:vAlign w:val="center"/>
            <w:hideMark/>
          </w:tcPr>
          <w:p w14:paraId="4DEF69D1" w14:textId="77777777" w:rsidR="00BA4F1D" w:rsidRPr="00CE0852" w:rsidRDefault="00BA4F1D" w:rsidP="007F6C26">
            <w:pPr>
              <w:spacing w:after="0" w:line="240" w:lineRule="auto"/>
              <w:jc w:val="right"/>
              <w:rPr>
                <w:rFonts w:asciiTheme="majorHAnsi" w:eastAsia="Times New Roman" w:hAnsiTheme="majorHAnsi" w:cstheme="majorHAnsi"/>
                <w:color w:val="9C0006"/>
                <w:szCs w:val="20"/>
                <w:lang w:eastAsia="en-GB"/>
              </w:rPr>
            </w:pPr>
            <w:r w:rsidRPr="00CE0852">
              <w:rPr>
                <w:rFonts w:asciiTheme="majorHAnsi" w:eastAsia="Times New Roman" w:hAnsiTheme="majorHAnsi" w:cstheme="majorHAnsi"/>
                <w:color w:val="9C0006"/>
                <w:szCs w:val="20"/>
                <w:lang w:eastAsia="en-GB"/>
              </w:rPr>
              <w:t>250</w:t>
            </w:r>
          </w:p>
        </w:tc>
        <w:tc>
          <w:tcPr>
            <w:tcW w:w="0" w:type="auto"/>
            <w:tcBorders>
              <w:top w:val="nil"/>
              <w:left w:val="nil"/>
              <w:bottom w:val="single" w:sz="4" w:space="0" w:color="auto"/>
              <w:right w:val="nil"/>
            </w:tcBorders>
            <w:shd w:val="clear" w:color="auto" w:fill="C6EFCE"/>
            <w:vAlign w:val="center"/>
          </w:tcPr>
          <w:p w14:paraId="74BB619F"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auto" w:fill="C6EFCE"/>
            <w:noWrap/>
            <w:vAlign w:val="center"/>
          </w:tcPr>
          <w:p w14:paraId="539D03C7"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FFEB9C"/>
            <w:noWrap/>
            <w:vAlign w:val="center"/>
            <w:hideMark/>
          </w:tcPr>
          <w:p w14:paraId="49A6BC3D"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9C6500"/>
                <w:szCs w:val="20"/>
                <w:lang w:eastAsia="en-GB"/>
              </w:rPr>
              <w:t>500</w:t>
            </w:r>
          </w:p>
        </w:tc>
        <w:tc>
          <w:tcPr>
            <w:tcW w:w="0" w:type="auto"/>
            <w:tcBorders>
              <w:top w:val="nil"/>
              <w:left w:val="nil"/>
              <w:bottom w:val="single" w:sz="4" w:space="0" w:color="auto"/>
              <w:right w:val="nil"/>
            </w:tcBorders>
            <w:shd w:val="clear" w:color="auto" w:fill="C6EFCE"/>
            <w:vAlign w:val="center"/>
          </w:tcPr>
          <w:p w14:paraId="1C904CED"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6AF4A8B9"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4C7AC89C"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EF</w:t>
            </w:r>
          </w:p>
        </w:tc>
        <w:tc>
          <w:tcPr>
            <w:tcW w:w="0" w:type="auto"/>
            <w:tcBorders>
              <w:top w:val="single" w:sz="4" w:space="0" w:color="auto"/>
              <w:left w:val="nil"/>
              <w:bottom w:val="nil"/>
              <w:right w:val="nil"/>
            </w:tcBorders>
            <w:shd w:val="clear" w:color="000000" w:fill="FFFFFF"/>
            <w:noWrap/>
            <w:vAlign w:val="center"/>
            <w:hideMark/>
          </w:tcPr>
          <w:p w14:paraId="1D6EE583"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000000" w:fill="C6EFCE"/>
            <w:noWrap/>
            <w:vAlign w:val="center"/>
          </w:tcPr>
          <w:p w14:paraId="42678817"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18DCA85C"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6433884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27FF9769"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1360508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70FE9D37"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72E2341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2B611CD3"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46F9A9BB"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72F153C1"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000000" w:fill="C6EFCE"/>
            <w:noWrap/>
            <w:vAlign w:val="center"/>
          </w:tcPr>
          <w:p w14:paraId="2F2717BD"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09C6749F"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1D74ABC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1FEE33E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104AEE02"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25996D3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09FF8A1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4B75A1A8"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479B9249"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EC</w:t>
            </w:r>
          </w:p>
        </w:tc>
        <w:tc>
          <w:tcPr>
            <w:tcW w:w="0" w:type="auto"/>
            <w:tcBorders>
              <w:top w:val="single" w:sz="4" w:space="0" w:color="auto"/>
              <w:left w:val="nil"/>
              <w:bottom w:val="nil"/>
              <w:right w:val="nil"/>
            </w:tcBorders>
            <w:shd w:val="clear" w:color="000000" w:fill="FFFFFF"/>
            <w:noWrap/>
            <w:vAlign w:val="center"/>
            <w:hideMark/>
          </w:tcPr>
          <w:p w14:paraId="3647C6DF"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auto" w:fill="FFEB9C"/>
            <w:noWrap/>
            <w:vAlign w:val="center"/>
          </w:tcPr>
          <w:p w14:paraId="7AA5365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9C6500"/>
                <w:szCs w:val="20"/>
                <w:lang w:eastAsia="en-GB"/>
              </w:rPr>
              <w:t>2000</w:t>
            </w:r>
          </w:p>
        </w:tc>
        <w:tc>
          <w:tcPr>
            <w:tcW w:w="0" w:type="auto"/>
            <w:tcBorders>
              <w:top w:val="single" w:sz="4" w:space="0" w:color="auto"/>
              <w:left w:val="nil"/>
              <w:bottom w:val="nil"/>
              <w:right w:val="nil"/>
            </w:tcBorders>
            <w:shd w:val="clear" w:color="auto" w:fill="C6EFCE"/>
            <w:noWrap/>
            <w:vAlign w:val="center"/>
          </w:tcPr>
          <w:p w14:paraId="2F23C0CA"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FFC7CE"/>
            <w:noWrap/>
            <w:vAlign w:val="center"/>
            <w:hideMark/>
          </w:tcPr>
          <w:p w14:paraId="09A7DCFA" w14:textId="77777777" w:rsidR="00BA4F1D" w:rsidRPr="00CE0852" w:rsidRDefault="00BA4F1D" w:rsidP="007F6C26">
            <w:pPr>
              <w:spacing w:after="0" w:line="240" w:lineRule="auto"/>
              <w:jc w:val="right"/>
              <w:rPr>
                <w:rFonts w:asciiTheme="majorHAnsi" w:eastAsia="Times New Roman" w:hAnsiTheme="majorHAnsi" w:cstheme="majorHAnsi"/>
                <w:color w:val="9C0006"/>
                <w:szCs w:val="20"/>
                <w:lang w:eastAsia="en-GB"/>
              </w:rPr>
            </w:pPr>
            <w:r w:rsidRPr="00CE0852">
              <w:rPr>
                <w:rFonts w:asciiTheme="majorHAnsi" w:eastAsia="Times New Roman" w:hAnsiTheme="majorHAnsi" w:cstheme="majorHAnsi"/>
                <w:color w:val="9C0006"/>
                <w:szCs w:val="20"/>
                <w:lang w:eastAsia="en-GB"/>
              </w:rPr>
              <w:t>250</w:t>
            </w:r>
          </w:p>
        </w:tc>
        <w:tc>
          <w:tcPr>
            <w:tcW w:w="0" w:type="auto"/>
            <w:tcBorders>
              <w:top w:val="single" w:sz="4" w:space="0" w:color="auto"/>
              <w:left w:val="nil"/>
              <w:bottom w:val="nil"/>
              <w:right w:val="nil"/>
            </w:tcBorders>
            <w:shd w:val="clear" w:color="000000" w:fill="C6EFCE"/>
            <w:vAlign w:val="center"/>
          </w:tcPr>
          <w:p w14:paraId="07D5234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16B67CE9"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71E2B9A1"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21F83E2A"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76F6D10E"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7AC7800C"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52883A47"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auto" w:fill="FFEB9C"/>
            <w:noWrap/>
            <w:vAlign w:val="center"/>
          </w:tcPr>
          <w:p w14:paraId="4F30A19D"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9C6500"/>
                <w:szCs w:val="20"/>
                <w:lang w:eastAsia="en-GB"/>
              </w:rPr>
              <w:t>2000</w:t>
            </w:r>
          </w:p>
        </w:tc>
        <w:tc>
          <w:tcPr>
            <w:tcW w:w="0" w:type="auto"/>
            <w:tcBorders>
              <w:top w:val="nil"/>
              <w:left w:val="nil"/>
              <w:bottom w:val="single" w:sz="4" w:space="0" w:color="auto"/>
              <w:right w:val="nil"/>
            </w:tcBorders>
            <w:shd w:val="clear" w:color="auto" w:fill="C6EFCE"/>
            <w:noWrap/>
            <w:vAlign w:val="center"/>
          </w:tcPr>
          <w:p w14:paraId="17B4EC7D" w14:textId="77777777" w:rsidR="00BA4F1D" w:rsidRPr="00CE0852" w:rsidRDefault="00BA4F1D" w:rsidP="007F6C26">
            <w:pPr>
              <w:spacing w:after="0" w:line="240" w:lineRule="auto"/>
              <w:jc w:val="right"/>
              <w:rPr>
                <w:rFonts w:asciiTheme="majorHAnsi" w:eastAsia="Times New Roman" w:hAnsiTheme="majorHAnsi" w:cstheme="majorHAnsi"/>
                <w:color w:val="9C65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FFC7CE"/>
            <w:noWrap/>
            <w:vAlign w:val="center"/>
            <w:hideMark/>
          </w:tcPr>
          <w:p w14:paraId="12E132D5" w14:textId="77777777" w:rsidR="00BA4F1D" w:rsidRPr="00CE0852" w:rsidRDefault="00BA4F1D" w:rsidP="007F6C26">
            <w:pPr>
              <w:spacing w:after="0" w:line="240" w:lineRule="auto"/>
              <w:jc w:val="right"/>
              <w:rPr>
                <w:rFonts w:asciiTheme="majorHAnsi" w:eastAsia="Times New Roman" w:hAnsiTheme="majorHAnsi" w:cstheme="majorHAnsi"/>
                <w:color w:val="9C0006"/>
                <w:szCs w:val="20"/>
                <w:lang w:eastAsia="en-GB"/>
              </w:rPr>
            </w:pPr>
            <w:r w:rsidRPr="00CE0852">
              <w:rPr>
                <w:rFonts w:asciiTheme="majorHAnsi" w:eastAsia="Times New Roman" w:hAnsiTheme="majorHAnsi" w:cstheme="majorHAnsi"/>
                <w:color w:val="9C0006"/>
                <w:szCs w:val="20"/>
                <w:lang w:eastAsia="en-GB"/>
              </w:rPr>
              <w:t>250</w:t>
            </w:r>
          </w:p>
        </w:tc>
        <w:tc>
          <w:tcPr>
            <w:tcW w:w="0" w:type="auto"/>
            <w:tcBorders>
              <w:top w:val="nil"/>
              <w:left w:val="nil"/>
              <w:bottom w:val="single" w:sz="4" w:space="0" w:color="auto"/>
              <w:right w:val="nil"/>
            </w:tcBorders>
            <w:shd w:val="clear" w:color="000000" w:fill="C6EFCE"/>
            <w:vAlign w:val="center"/>
          </w:tcPr>
          <w:p w14:paraId="6467CA6D"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7CCDA88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78C69F8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76E2D448"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31268FE1"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75BEEC83"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KP</w:t>
            </w:r>
          </w:p>
        </w:tc>
        <w:tc>
          <w:tcPr>
            <w:tcW w:w="0" w:type="auto"/>
            <w:tcBorders>
              <w:top w:val="single" w:sz="4" w:space="0" w:color="auto"/>
              <w:left w:val="nil"/>
              <w:bottom w:val="nil"/>
              <w:right w:val="nil"/>
            </w:tcBorders>
            <w:shd w:val="clear" w:color="000000" w:fill="FFFFFF"/>
            <w:noWrap/>
            <w:vAlign w:val="center"/>
            <w:hideMark/>
          </w:tcPr>
          <w:p w14:paraId="3884431E"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000000" w:fill="C6EFCE"/>
            <w:noWrap/>
            <w:vAlign w:val="center"/>
          </w:tcPr>
          <w:p w14:paraId="450FB488"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068DAF0F"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04818A4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78A25F4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082DAA9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5AF72D10"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5788AB75"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7B5E531E"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2F6A858D"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249251C2"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000000" w:fill="C6EFCE"/>
            <w:noWrap/>
            <w:vAlign w:val="center"/>
          </w:tcPr>
          <w:p w14:paraId="1C5749A8"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5BB18520"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444D075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5A1EC7CD"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69E3FCB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6A62818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6010B0DF"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6DCB7559"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6CA7AC9E"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KP-E</w:t>
            </w:r>
          </w:p>
        </w:tc>
        <w:tc>
          <w:tcPr>
            <w:tcW w:w="0" w:type="auto"/>
            <w:tcBorders>
              <w:top w:val="single" w:sz="4" w:space="0" w:color="auto"/>
              <w:left w:val="nil"/>
              <w:bottom w:val="nil"/>
              <w:right w:val="nil"/>
            </w:tcBorders>
            <w:shd w:val="clear" w:color="000000" w:fill="FFFFFF"/>
            <w:noWrap/>
            <w:vAlign w:val="center"/>
            <w:hideMark/>
          </w:tcPr>
          <w:p w14:paraId="77961A03"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000000" w:fill="C6EFCE"/>
            <w:noWrap/>
            <w:vAlign w:val="center"/>
          </w:tcPr>
          <w:p w14:paraId="5470E597"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0A24BF7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3ED27B32"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2BCCF8C5"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71705B9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7E77326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3DD6A02B"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0B5710A5"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3161CE78"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103AA43E"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000000" w:fill="C6EFCE"/>
            <w:noWrap/>
            <w:vAlign w:val="center"/>
          </w:tcPr>
          <w:p w14:paraId="34BB9F6A"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1CDF648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4120394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0C4329E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07AB17C0"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49BAE742"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2246A5E5"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4C88D963" w14:textId="77777777" w:rsidTr="007F6C26">
        <w:trPr>
          <w:trHeight w:val="300"/>
          <w:jc w:val="center"/>
        </w:trPr>
        <w:tc>
          <w:tcPr>
            <w:tcW w:w="0" w:type="auto"/>
            <w:vMerge w:val="restart"/>
            <w:tcBorders>
              <w:top w:val="single" w:sz="4" w:space="0" w:color="auto"/>
              <w:left w:val="nil"/>
              <w:right w:val="nil"/>
            </w:tcBorders>
            <w:shd w:val="clear" w:color="000000" w:fill="FFFFFF"/>
            <w:noWrap/>
            <w:vAlign w:val="center"/>
            <w:hideMark/>
          </w:tcPr>
          <w:p w14:paraId="2626443D"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r w:rsidRPr="00CE0852">
              <w:rPr>
                <w:rFonts w:asciiTheme="majorHAnsi" w:eastAsia="Times New Roman" w:hAnsiTheme="majorHAnsi" w:cstheme="majorHAnsi"/>
                <w:b/>
                <w:bCs/>
                <w:color w:val="000000"/>
                <w:szCs w:val="20"/>
                <w:lang w:eastAsia="en-GB"/>
              </w:rPr>
              <w:t>PA</w:t>
            </w:r>
          </w:p>
        </w:tc>
        <w:tc>
          <w:tcPr>
            <w:tcW w:w="0" w:type="auto"/>
            <w:tcBorders>
              <w:top w:val="single" w:sz="4" w:space="0" w:color="auto"/>
              <w:left w:val="nil"/>
              <w:bottom w:val="nil"/>
              <w:right w:val="nil"/>
            </w:tcBorders>
            <w:shd w:val="clear" w:color="000000" w:fill="FFFFFF"/>
            <w:noWrap/>
            <w:vAlign w:val="center"/>
            <w:hideMark/>
          </w:tcPr>
          <w:p w14:paraId="251497C7"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24</w:t>
            </w:r>
          </w:p>
        </w:tc>
        <w:tc>
          <w:tcPr>
            <w:tcW w:w="0" w:type="auto"/>
            <w:tcBorders>
              <w:top w:val="single" w:sz="4" w:space="0" w:color="auto"/>
              <w:left w:val="nil"/>
              <w:bottom w:val="nil"/>
              <w:right w:val="nil"/>
            </w:tcBorders>
            <w:shd w:val="clear" w:color="000000" w:fill="C6EFCE"/>
            <w:noWrap/>
            <w:vAlign w:val="center"/>
          </w:tcPr>
          <w:p w14:paraId="220F68F0"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4439892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6E4F0EA1"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69F12D8C"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tcPr>
          <w:p w14:paraId="646D45D3"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noWrap/>
            <w:vAlign w:val="center"/>
            <w:hideMark/>
          </w:tcPr>
          <w:p w14:paraId="4F1C940E"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single" w:sz="4" w:space="0" w:color="auto"/>
              <w:left w:val="nil"/>
              <w:bottom w:val="nil"/>
              <w:right w:val="nil"/>
            </w:tcBorders>
            <w:shd w:val="clear" w:color="000000" w:fill="C6EFCE"/>
            <w:vAlign w:val="center"/>
          </w:tcPr>
          <w:p w14:paraId="1668C637"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r w:rsidR="00BA4F1D" w:rsidRPr="001D7427" w14:paraId="161BD755" w14:textId="77777777" w:rsidTr="007F6C26">
        <w:trPr>
          <w:trHeight w:val="300"/>
          <w:jc w:val="center"/>
        </w:trPr>
        <w:tc>
          <w:tcPr>
            <w:tcW w:w="0" w:type="auto"/>
            <w:vMerge/>
            <w:tcBorders>
              <w:left w:val="nil"/>
              <w:bottom w:val="single" w:sz="4" w:space="0" w:color="auto"/>
              <w:right w:val="nil"/>
            </w:tcBorders>
            <w:shd w:val="clear" w:color="000000" w:fill="FFFFFF"/>
            <w:noWrap/>
            <w:vAlign w:val="center"/>
            <w:hideMark/>
          </w:tcPr>
          <w:p w14:paraId="390887A7" w14:textId="77777777" w:rsidR="00BA4F1D" w:rsidRPr="00CE0852" w:rsidRDefault="00BA4F1D" w:rsidP="007F6C26">
            <w:pPr>
              <w:spacing w:after="0" w:line="240" w:lineRule="auto"/>
              <w:jc w:val="center"/>
              <w:rPr>
                <w:rFonts w:asciiTheme="majorHAnsi" w:eastAsia="Times New Roman" w:hAnsiTheme="majorHAnsi" w:cstheme="majorHAnsi"/>
                <w:b/>
                <w:bCs/>
                <w:color w:val="000000"/>
                <w:szCs w:val="20"/>
                <w:lang w:eastAsia="en-GB"/>
              </w:rPr>
            </w:pPr>
          </w:p>
        </w:tc>
        <w:tc>
          <w:tcPr>
            <w:tcW w:w="0" w:type="auto"/>
            <w:tcBorders>
              <w:top w:val="nil"/>
              <w:left w:val="nil"/>
              <w:bottom w:val="single" w:sz="4" w:space="0" w:color="auto"/>
              <w:right w:val="nil"/>
            </w:tcBorders>
            <w:shd w:val="clear" w:color="000000" w:fill="FFFFFF"/>
            <w:noWrap/>
            <w:vAlign w:val="center"/>
            <w:hideMark/>
          </w:tcPr>
          <w:p w14:paraId="1748DF99" w14:textId="77777777" w:rsidR="00BA4F1D" w:rsidRPr="00CE0852" w:rsidRDefault="00BA4F1D" w:rsidP="007F6C26">
            <w:pPr>
              <w:spacing w:after="0" w:line="240" w:lineRule="auto"/>
              <w:jc w:val="center"/>
              <w:rPr>
                <w:rFonts w:asciiTheme="majorHAnsi" w:eastAsia="Times New Roman" w:hAnsiTheme="majorHAnsi" w:cstheme="majorHAnsi"/>
                <w:color w:val="000000"/>
                <w:szCs w:val="20"/>
                <w:lang w:eastAsia="en-GB"/>
              </w:rPr>
            </w:pPr>
            <w:r w:rsidRPr="00CE0852">
              <w:rPr>
                <w:rFonts w:asciiTheme="majorHAnsi" w:eastAsia="Times New Roman" w:hAnsiTheme="majorHAnsi" w:cstheme="majorHAnsi"/>
                <w:color w:val="000000"/>
                <w:szCs w:val="20"/>
                <w:lang w:eastAsia="en-GB"/>
              </w:rPr>
              <w:t>48</w:t>
            </w:r>
          </w:p>
        </w:tc>
        <w:tc>
          <w:tcPr>
            <w:tcW w:w="0" w:type="auto"/>
            <w:tcBorders>
              <w:top w:val="nil"/>
              <w:left w:val="nil"/>
              <w:bottom w:val="single" w:sz="4" w:space="0" w:color="auto"/>
              <w:right w:val="nil"/>
            </w:tcBorders>
            <w:shd w:val="clear" w:color="000000" w:fill="C6EFCE"/>
            <w:noWrap/>
            <w:vAlign w:val="center"/>
          </w:tcPr>
          <w:p w14:paraId="61B6A07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3636AB54"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6A5794E6"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3CF81E29"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tcPr>
          <w:p w14:paraId="15A9E63C"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noWrap/>
            <w:vAlign w:val="center"/>
            <w:hideMark/>
          </w:tcPr>
          <w:p w14:paraId="31F24F62"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c>
          <w:tcPr>
            <w:tcW w:w="0" w:type="auto"/>
            <w:tcBorders>
              <w:top w:val="nil"/>
              <w:left w:val="nil"/>
              <w:bottom w:val="single" w:sz="4" w:space="0" w:color="auto"/>
              <w:right w:val="nil"/>
            </w:tcBorders>
            <w:shd w:val="clear" w:color="000000" w:fill="C6EFCE"/>
            <w:vAlign w:val="center"/>
          </w:tcPr>
          <w:p w14:paraId="37DC364C" w14:textId="77777777" w:rsidR="00BA4F1D" w:rsidRPr="00CE0852" w:rsidRDefault="00BA4F1D" w:rsidP="007F6C26">
            <w:pPr>
              <w:spacing w:after="0" w:line="240" w:lineRule="auto"/>
              <w:jc w:val="right"/>
              <w:rPr>
                <w:rFonts w:asciiTheme="majorHAnsi" w:eastAsia="Times New Roman" w:hAnsiTheme="majorHAnsi" w:cstheme="majorHAnsi"/>
                <w:color w:val="006100"/>
                <w:szCs w:val="20"/>
                <w:lang w:eastAsia="en-GB"/>
              </w:rPr>
            </w:pPr>
            <w:r w:rsidRPr="00CE0852">
              <w:rPr>
                <w:rFonts w:asciiTheme="majorHAnsi" w:eastAsia="Times New Roman" w:hAnsiTheme="majorHAnsi" w:cstheme="majorHAnsi"/>
                <w:color w:val="006100"/>
                <w:szCs w:val="20"/>
                <w:lang w:eastAsia="en-GB"/>
              </w:rPr>
              <w:t>&gt;2000</w:t>
            </w:r>
          </w:p>
        </w:tc>
      </w:tr>
    </w:tbl>
    <w:p w14:paraId="45208390" w14:textId="77777777" w:rsidR="00BA4F1D" w:rsidRDefault="00BA4F1D" w:rsidP="00BA4F1D">
      <w:pPr>
        <w:spacing w:line="360" w:lineRule="auto"/>
        <w:jc w:val="center"/>
        <w:rPr>
          <w:rFonts w:cs="Times New Roman"/>
        </w:rPr>
      </w:pPr>
      <w:r w:rsidRPr="001D7427">
        <w:rPr>
          <w:rFonts w:cs="Times New Roman"/>
          <w:vertAlign w:val="superscript"/>
        </w:rPr>
        <w:t>a</w:t>
      </w:r>
      <w:r w:rsidRPr="001D7427">
        <w:rPr>
          <w:rFonts w:cs="Times New Roman"/>
        </w:rPr>
        <w:t xml:space="preserve">SA: </w:t>
      </w:r>
      <w:r w:rsidRPr="00E10833">
        <w:rPr>
          <w:rFonts w:cs="Times New Roman"/>
          <w:i/>
        </w:rPr>
        <w:t>S</w:t>
      </w:r>
      <w:r>
        <w:rPr>
          <w:rFonts w:cs="Times New Roman"/>
          <w:i/>
        </w:rPr>
        <w:t>.</w:t>
      </w:r>
      <w:r w:rsidRPr="00E10833">
        <w:rPr>
          <w:rFonts w:cs="Times New Roman"/>
          <w:i/>
        </w:rPr>
        <w:t xml:space="preserve"> aureus</w:t>
      </w:r>
      <w:r w:rsidRPr="001D7427">
        <w:rPr>
          <w:rFonts w:cs="Times New Roman"/>
        </w:rPr>
        <w:t xml:space="preserve"> ATTC 6538, MRSA: </w:t>
      </w:r>
      <w:r w:rsidRPr="00E10833">
        <w:rPr>
          <w:rFonts w:cs="Times New Roman"/>
          <w:i/>
        </w:rPr>
        <w:t>S</w:t>
      </w:r>
      <w:r>
        <w:rPr>
          <w:rFonts w:cs="Times New Roman"/>
          <w:i/>
        </w:rPr>
        <w:t>.</w:t>
      </w:r>
      <w:r w:rsidRPr="00E10833">
        <w:rPr>
          <w:rFonts w:cs="Times New Roman"/>
          <w:i/>
        </w:rPr>
        <w:t xml:space="preserve"> aureus</w:t>
      </w:r>
      <w:r w:rsidRPr="001D7427">
        <w:rPr>
          <w:rFonts w:cs="Times New Roman"/>
        </w:rPr>
        <w:t xml:space="preserve"> MRSA HK5996/08, SE: </w:t>
      </w:r>
      <w:r w:rsidRPr="00E10833">
        <w:rPr>
          <w:rFonts w:cs="Times New Roman"/>
          <w:i/>
        </w:rPr>
        <w:t>S</w:t>
      </w:r>
      <w:r>
        <w:rPr>
          <w:rFonts w:cs="Times New Roman"/>
          <w:i/>
        </w:rPr>
        <w:t>.</w:t>
      </w:r>
      <w:r w:rsidRPr="00E10833">
        <w:rPr>
          <w:rFonts w:cs="Times New Roman"/>
          <w:i/>
        </w:rPr>
        <w:t xml:space="preserve"> epidermidis</w:t>
      </w:r>
      <w:r w:rsidRPr="001D7427">
        <w:rPr>
          <w:rFonts w:cs="Times New Roman"/>
        </w:rPr>
        <w:t xml:space="preserve"> HK6966/08,</w:t>
      </w:r>
      <w:r>
        <w:rPr>
          <w:rFonts w:cs="Times New Roman"/>
        </w:rPr>
        <w:t xml:space="preserve"> </w:t>
      </w:r>
      <w:r w:rsidRPr="001D7427">
        <w:rPr>
          <w:rFonts w:cs="Times New Roman"/>
        </w:rPr>
        <w:t xml:space="preserve">EF: </w:t>
      </w:r>
      <w:r w:rsidRPr="00E10833">
        <w:rPr>
          <w:rFonts w:cs="Times New Roman"/>
          <w:i/>
        </w:rPr>
        <w:t>E</w:t>
      </w:r>
      <w:r>
        <w:rPr>
          <w:rFonts w:cs="Times New Roman"/>
          <w:i/>
        </w:rPr>
        <w:t>.</w:t>
      </w:r>
      <w:r w:rsidRPr="00E10833">
        <w:rPr>
          <w:rFonts w:cs="Times New Roman"/>
          <w:i/>
        </w:rPr>
        <w:t xml:space="preserve"> sp.</w:t>
      </w:r>
      <w:r w:rsidRPr="001D7427">
        <w:rPr>
          <w:rFonts w:cs="Times New Roman"/>
        </w:rPr>
        <w:t xml:space="preserve"> HK14365/08, EC: </w:t>
      </w:r>
      <w:r w:rsidRPr="00E10833">
        <w:rPr>
          <w:rFonts w:cs="Times New Roman"/>
          <w:i/>
        </w:rPr>
        <w:t>E</w:t>
      </w:r>
      <w:r>
        <w:rPr>
          <w:rFonts w:cs="Times New Roman"/>
          <w:i/>
        </w:rPr>
        <w:t xml:space="preserve">. </w:t>
      </w:r>
      <w:r w:rsidRPr="00E10833">
        <w:rPr>
          <w:rFonts w:cs="Times New Roman"/>
          <w:i/>
        </w:rPr>
        <w:t>coli</w:t>
      </w:r>
      <w:r>
        <w:rPr>
          <w:rFonts w:cs="Times New Roman"/>
        </w:rPr>
        <w:t xml:space="preserve"> ATTC 8739, </w:t>
      </w:r>
      <w:r w:rsidRPr="001D7427">
        <w:rPr>
          <w:rFonts w:cs="Times New Roman"/>
        </w:rPr>
        <w:t xml:space="preserve">KP: </w:t>
      </w:r>
      <w:r w:rsidRPr="00E10833">
        <w:rPr>
          <w:rFonts w:cs="Times New Roman"/>
          <w:i/>
        </w:rPr>
        <w:t>K</w:t>
      </w:r>
      <w:r>
        <w:rPr>
          <w:rFonts w:cs="Times New Roman"/>
          <w:i/>
        </w:rPr>
        <w:t>.</w:t>
      </w:r>
      <w:r w:rsidRPr="00E10833">
        <w:rPr>
          <w:rFonts w:cs="Times New Roman"/>
          <w:i/>
        </w:rPr>
        <w:t xml:space="preserve"> pneumoniae</w:t>
      </w:r>
      <w:r w:rsidRPr="001D7427">
        <w:rPr>
          <w:rFonts w:cs="Times New Roman"/>
        </w:rPr>
        <w:t xml:space="preserve"> HK11750/08, KP-E: </w:t>
      </w:r>
      <w:r w:rsidRPr="00E10833">
        <w:rPr>
          <w:rFonts w:cs="Times New Roman"/>
          <w:i/>
        </w:rPr>
        <w:t>K</w:t>
      </w:r>
      <w:r>
        <w:rPr>
          <w:rFonts w:cs="Times New Roman"/>
          <w:i/>
        </w:rPr>
        <w:t>.</w:t>
      </w:r>
      <w:r w:rsidRPr="00E10833">
        <w:rPr>
          <w:rFonts w:cs="Times New Roman"/>
          <w:i/>
        </w:rPr>
        <w:t xml:space="preserve"> pneumoniae ESBL</w:t>
      </w:r>
      <w:r w:rsidRPr="001D7427">
        <w:rPr>
          <w:rFonts w:cs="Times New Roman"/>
        </w:rPr>
        <w:t xml:space="preserve"> HK14368/08</w:t>
      </w:r>
      <w:r>
        <w:rPr>
          <w:rFonts w:cs="Times New Roman"/>
        </w:rPr>
        <w:t>,</w:t>
      </w:r>
      <w:r w:rsidRPr="00E10833">
        <w:rPr>
          <w:rFonts w:cs="Times New Roman"/>
        </w:rPr>
        <w:t xml:space="preserve"> </w:t>
      </w:r>
      <w:r w:rsidRPr="001D7427">
        <w:rPr>
          <w:rFonts w:cs="Times New Roman"/>
        </w:rPr>
        <w:t xml:space="preserve">PA: </w:t>
      </w:r>
      <w:r w:rsidRPr="00E10833">
        <w:rPr>
          <w:rFonts w:cs="Times New Roman"/>
          <w:i/>
        </w:rPr>
        <w:t>P</w:t>
      </w:r>
      <w:r>
        <w:rPr>
          <w:rFonts w:cs="Times New Roman"/>
          <w:i/>
        </w:rPr>
        <w:t>.</w:t>
      </w:r>
      <w:r w:rsidRPr="00E10833">
        <w:rPr>
          <w:rFonts w:cs="Times New Roman"/>
          <w:i/>
        </w:rPr>
        <w:t xml:space="preserve"> aeruginosa</w:t>
      </w:r>
      <w:r w:rsidRPr="001D7427">
        <w:rPr>
          <w:rFonts w:cs="Times New Roman"/>
        </w:rPr>
        <w:t xml:space="preserve"> ATTC 9027</w:t>
      </w:r>
      <w:r>
        <w:rPr>
          <w:rFonts w:cs="Times New Roman"/>
        </w:rPr>
        <w:t>.</w:t>
      </w:r>
    </w:p>
    <w:p w14:paraId="0D3DF607" w14:textId="1FCFB5D1" w:rsidR="00C24617" w:rsidRDefault="00296FF2" w:rsidP="00296FF2">
      <w:pPr>
        <w:spacing w:line="480" w:lineRule="auto"/>
        <w:jc w:val="both"/>
        <w:rPr>
          <w:rFonts w:cs="Times New Roman"/>
          <w:sz w:val="24"/>
        </w:rPr>
      </w:pPr>
      <w:r w:rsidRPr="00783958">
        <w:rPr>
          <w:rFonts w:cs="Times New Roman"/>
          <w:sz w:val="24"/>
        </w:rPr>
        <w:t xml:space="preserve">With the </w:t>
      </w:r>
      <w:r w:rsidRPr="00783958">
        <w:rPr>
          <w:sz w:val="24"/>
        </w:rPr>
        <w:t xml:space="preserve">2-(2-ethoxyethoxy)ethyl functionalised ILs (AILs </w:t>
      </w:r>
      <w:r w:rsidRPr="00783958">
        <w:rPr>
          <w:b/>
          <w:sz w:val="24"/>
        </w:rPr>
        <w:t>3a</w:t>
      </w:r>
      <w:r w:rsidRPr="00783958">
        <w:rPr>
          <w:rFonts w:cs="Times New Roman"/>
          <w:b/>
          <w:sz w:val="24"/>
        </w:rPr>
        <w:t>–</w:t>
      </w:r>
      <w:r w:rsidRPr="00783958">
        <w:rPr>
          <w:b/>
          <w:sz w:val="24"/>
        </w:rPr>
        <w:t xml:space="preserve">d </w:t>
      </w:r>
      <w:r w:rsidRPr="00783958">
        <w:rPr>
          <w:sz w:val="24"/>
        </w:rPr>
        <w:t xml:space="preserve">and PILs </w:t>
      </w:r>
      <w:r w:rsidRPr="00783958">
        <w:rPr>
          <w:b/>
          <w:sz w:val="24"/>
        </w:rPr>
        <w:t>6a</w:t>
      </w:r>
      <w:r w:rsidRPr="00783958">
        <w:rPr>
          <w:rFonts w:cs="Times New Roman"/>
          <w:b/>
          <w:sz w:val="24"/>
        </w:rPr>
        <w:t>–</w:t>
      </w:r>
      <w:r w:rsidRPr="00783958">
        <w:rPr>
          <w:b/>
          <w:sz w:val="24"/>
        </w:rPr>
        <w:t>d</w:t>
      </w:r>
      <w:r w:rsidRPr="00783958">
        <w:rPr>
          <w:sz w:val="24"/>
        </w:rPr>
        <w:t>) a significant decrease in the MICs to all bacterial strains for both protic and aprotic ILs was identified (Table 4).</w:t>
      </w:r>
      <w:r w:rsidRPr="00783958">
        <w:rPr>
          <w:rFonts w:cs="Times New Roman"/>
          <w:sz w:val="24"/>
        </w:rPr>
        <w:t xml:space="preserve"> These eight ILs all exhibited high bacterial toxicity towards the </w:t>
      </w:r>
      <w:r w:rsidRPr="00783958">
        <w:rPr>
          <w:rFonts w:cs="Times New Roman"/>
          <w:i/>
          <w:sz w:val="24"/>
        </w:rPr>
        <w:t>S. epidermidis</w:t>
      </w:r>
      <w:r w:rsidRPr="00783958">
        <w:rPr>
          <w:rFonts w:cs="Times New Roman"/>
          <w:sz w:val="24"/>
        </w:rPr>
        <w:t xml:space="preserve"> strain (IC</w:t>
      </w:r>
      <w:r w:rsidRPr="00783958">
        <w:rPr>
          <w:rFonts w:cs="Times New Roman"/>
          <w:sz w:val="24"/>
          <w:vertAlign w:val="subscript"/>
        </w:rPr>
        <w:t>95</w:t>
      </w:r>
      <w:r w:rsidRPr="00783958">
        <w:rPr>
          <w:rFonts w:cs="Times New Roman"/>
          <w:sz w:val="24"/>
        </w:rPr>
        <w:t xml:space="preserve"> </w:t>
      </w:r>
      <w:r w:rsidRPr="00783958">
        <w:rPr>
          <w:rFonts w:asciiTheme="majorHAnsi" w:hAnsiTheme="majorHAnsi" w:cstheme="majorHAnsi"/>
          <w:sz w:val="24"/>
        </w:rPr>
        <w:t>≤ 250 μM</w:t>
      </w:r>
      <w:r w:rsidRPr="00783958">
        <w:rPr>
          <w:rFonts w:cs="Times New Roman"/>
          <w:sz w:val="24"/>
        </w:rPr>
        <w:t xml:space="preserve">), with the PIL </w:t>
      </w:r>
      <w:r w:rsidRPr="00783958">
        <w:rPr>
          <w:rFonts w:cs="Times New Roman"/>
          <w:b/>
          <w:sz w:val="24"/>
        </w:rPr>
        <w:t>6d</w:t>
      </w:r>
      <w:r w:rsidRPr="00783958">
        <w:rPr>
          <w:rFonts w:cs="Times New Roman"/>
          <w:sz w:val="24"/>
        </w:rPr>
        <w:t xml:space="preserve"> showing the lowest MIC (IC</w:t>
      </w:r>
      <w:r w:rsidRPr="00783958">
        <w:rPr>
          <w:rFonts w:cs="Times New Roman"/>
          <w:sz w:val="24"/>
          <w:vertAlign w:val="subscript"/>
        </w:rPr>
        <w:t>95</w:t>
      </w:r>
      <w:r w:rsidRPr="00783958">
        <w:rPr>
          <w:rFonts w:cs="Times New Roman"/>
          <w:sz w:val="24"/>
        </w:rPr>
        <w:t xml:space="preserve"> = 7.8 </w:t>
      </w:r>
      <w:r w:rsidRPr="00783958">
        <w:rPr>
          <w:rFonts w:asciiTheme="majorHAnsi" w:hAnsiTheme="majorHAnsi" w:cstheme="majorHAnsi"/>
          <w:sz w:val="24"/>
        </w:rPr>
        <w:t>μM</w:t>
      </w:r>
      <w:r w:rsidRPr="00783958">
        <w:rPr>
          <w:rFonts w:cs="Times New Roman"/>
          <w:sz w:val="24"/>
        </w:rPr>
        <w:t xml:space="preserve">). In contrast, the strain most resilient to the presence of added ILs was </w:t>
      </w:r>
      <w:r w:rsidRPr="00783958">
        <w:rPr>
          <w:rFonts w:cs="Times New Roman"/>
          <w:i/>
          <w:sz w:val="24"/>
        </w:rPr>
        <w:t>P. aeruginosa</w:t>
      </w:r>
      <w:r w:rsidRPr="00783958">
        <w:rPr>
          <w:rFonts w:cs="Times New Roman"/>
          <w:sz w:val="24"/>
        </w:rPr>
        <w:t xml:space="preserve">, which gave MICs above the testing concentration for the AILs </w:t>
      </w:r>
      <w:r w:rsidRPr="00783958">
        <w:rPr>
          <w:rFonts w:cs="Times New Roman"/>
          <w:b/>
          <w:sz w:val="24"/>
        </w:rPr>
        <w:t>3a-d</w:t>
      </w:r>
      <w:r w:rsidRPr="00783958">
        <w:rPr>
          <w:rFonts w:cs="Times New Roman"/>
          <w:sz w:val="24"/>
        </w:rPr>
        <w:t xml:space="preserve"> and MICs indicating moderate antibacterial activity for the PILs </w:t>
      </w:r>
      <w:r w:rsidRPr="00783958">
        <w:rPr>
          <w:rFonts w:cs="Times New Roman"/>
          <w:b/>
          <w:sz w:val="24"/>
        </w:rPr>
        <w:t>6a-d</w:t>
      </w:r>
      <w:r w:rsidRPr="00783958">
        <w:rPr>
          <w:rFonts w:cs="Times New Roman"/>
          <w:sz w:val="24"/>
        </w:rPr>
        <w:t xml:space="preserve">. For the AILs, comparing between AIL and PIL antibacterial activity, the PILs </w:t>
      </w:r>
      <w:r w:rsidRPr="00783958">
        <w:rPr>
          <w:rFonts w:cs="Times New Roman"/>
          <w:b/>
          <w:sz w:val="24"/>
        </w:rPr>
        <w:t>6a-d</w:t>
      </w:r>
      <w:r w:rsidRPr="00783958">
        <w:rPr>
          <w:rFonts w:cs="Times New Roman"/>
          <w:sz w:val="24"/>
        </w:rPr>
        <w:t xml:space="preserve"> exhibit lower MICs than their aprotic analogues </w:t>
      </w:r>
      <w:r w:rsidRPr="00783958">
        <w:rPr>
          <w:rFonts w:cs="Times New Roman"/>
          <w:b/>
          <w:sz w:val="24"/>
        </w:rPr>
        <w:t>3a-d</w:t>
      </w:r>
      <w:r w:rsidRPr="00783958">
        <w:rPr>
          <w:rFonts w:cs="Times New Roman"/>
          <w:sz w:val="24"/>
        </w:rPr>
        <w:t>, based on a greater number of bacterial strains that exhibited MICs above screening concentrations.</w:t>
      </w:r>
    </w:p>
    <w:p w14:paraId="16EE0CE2" w14:textId="77777777" w:rsidR="005B5144" w:rsidRPr="001D7427" w:rsidRDefault="005B5144" w:rsidP="005B5144">
      <w:pPr>
        <w:spacing w:line="360" w:lineRule="auto"/>
        <w:rPr>
          <w:rFonts w:cs="Times New Roman"/>
        </w:rPr>
      </w:pPr>
    </w:p>
    <w:p w14:paraId="25295AAE" w14:textId="77777777" w:rsidR="00BA4F1D" w:rsidRPr="00783958" w:rsidRDefault="00BA4F1D" w:rsidP="00BA4F1D">
      <w:pPr>
        <w:spacing w:line="480" w:lineRule="auto"/>
        <w:jc w:val="both"/>
        <w:rPr>
          <w:rFonts w:cs="Times New Roman"/>
          <w:sz w:val="24"/>
        </w:rPr>
      </w:pPr>
      <w:r w:rsidRPr="00783958">
        <w:rPr>
          <w:rFonts w:cs="Times New Roman"/>
          <w:b/>
          <w:sz w:val="24"/>
        </w:rPr>
        <w:lastRenderedPageBreak/>
        <w:t>Table 4</w:t>
      </w:r>
      <w:r w:rsidRPr="00783958">
        <w:rPr>
          <w:rFonts w:cs="Times New Roman"/>
          <w:sz w:val="24"/>
        </w:rPr>
        <w:t xml:space="preserve"> Antibacterial screening results for the [TMEEEA] AILs (</w:t>
      </w:r>
      <w:r w:rsidRPr="00783958">
        <w:rPr>
          <w:rFonts w:cs="Times New Roman"/>
          <w:b/>
          <w:sz w:val="24"/>
        </w:rPr>
        <w:t>3a–3d</w:t>
      </w:r>
      <w:r w:rsidRPr="00783958">
        <w:rPr>
          <w:rFonts w:cs="Times New Roman"/>
          <w:sz w:val="24"/>
        </w:rPr>
        <w:t>) and the [DMEEEAH] PILs (</w:t>
      </w:r>
      <w:r w:rsidRPr="00783958">
        <w:rPr>
          <w:rFonts w:cs="Times New Roman"/>
          <w:b/>
          <w:sz w:val="24"/>
        </w:rPr>
        <w:t>6a–6d</w:t>
      </w:r>
      <w:r w:rsidRPr="00783958">
        <w:rPr>
          <w:rFonts w:cs="Times New Roman"/>
          <w:sz w:val="24"/>
        </w:rPr>
        <w:t>) (MIC, IC</w:t>
      </w:r>
      <w:r w:rsidRPr="00783958">
        <w:rPr>
          <w:rFonts w:cs="Times New Roman"/>
          <w:sz w:val="24"/>
          <w:vertAlign w:val="subscript"/>
        </w:rPr>
        <w:t>95</w:t>
      </w:r>
      <w:r w:rsidRPr="00783958">
        <w:rPr>
          <w:rFonts w:cs="Times New Roman"/>
          <w:sz w:val="24"/>
        </w:rPr>
        <w:t>)</w:t>
      </w:r>
    </w:p>
    <w:tbl>
      <w:tblPr>
        <w:tblW w:w="0" w:type="auto"/>
        <w:jc w:val="center"/>
        <w:tblLayout w:type="fixed"/>
        <w:tblLook w:val="04A0" w:firstRow="1" w:lastRow="0" w:firstColumn="1" w:lastColumn="0" w:noHBand="0" w:noVBand="1"/>
      </w:tblPr>
      <w:tblGrid>
        <w:gridCol w:w="805"/>
        <w:gridCol w:w="922"/>
        <w:gridCol w:w="729"/>
        <w:gridCol w:w="616"/>
        <w:gridCol w:w="729"/>
        <w:gridCol w:w="616"/>
        <w:gridCol w:w="729"/>
        <w:gridCol w:w="616"/>
        <w:gridCol w:w="729"/>
        <w:gridCol w:w="616"/>
      </w:tblGrid>
      <w:tr w:rsidR="00BA4F1D" w:rsidRPr="00423B49" w14:paraId="4373DB34" w14:textId="77777777" w:rsidTr="00C45DC8">
        <w:trPr>
          <w:trHeight w:val="309"/>
          <w:jc w:val="center"/>
        </w:trPr>
        <w:tc>
          <w:tcPr>
            <w:tcW w:w="805" w:type="dxa"/>
            <w:vMerge w:val="restart"/>
            <w:tcBorders>
              <w:top w:val="single" w:sz="8" w:space="0" w:color="auto"/>
              <w:left w:val="nil"/>
              <w:bottom w:val="single" w:sz="8" w:space="0" w:color="000000"/>
              <w:right w:val="nil"/>
            </w:tcBorders>
            <w:shd w:val="clear" w:color="000000" w:fill="FFFFFF"/>
            <w:noWrap/>
            <w:vAlign w:val="center"/>
            <w:hideMark/>
          </w:tcPr>
          <w:p w14:paraId="3E889DB4" w14:textId="77777777" w:rsidR="00BA4F1D" w:rsidRPr="00423B49" w:rsidRDefault="00BA4F1D" w:rsidP="00C45DC8">
            <w:pPr>
              <w:spacing w:after="0" w:line="240" w:lineRule="auto"/>
              <w:jc w:val="center"/>
              <w:rPr>
                <w:rFonts w:eastAsia="Times New Roman" w:cs="Times New Roman"/>
                <w:color w:val="000000"/>
                <w:szCs w:val="20"/>
                <w:lang w:eastAsia="en-GB"/>
              </w:rPr>
            </w:pPr>
            <w:bookmarkStart w:id="6" w:name="RANGE!B2"/>
            <w:r w:rsidRPr="00423B49">
              <w:rPr>
                <w:rFonts w:eastAsia="Times New Roman" w:cs="Times New Roman"/>
                <w:color w:val="000000"/>
                <w:szCs w:val="20"/>
                <w:lang w:eastAsia="en-GB"/>
              </w:rPr>
              <w:t>Strain</w:t>
            </w:r>
            <w:r w:rsidRPr="00423B49">
              <w:rPr>
                <w:rFonts w:eastAsia="Times New Roman" w:cs="Times New Roman"/>
                <w:color w:val="000000"/>
                <w:szCs w:val="20"/>
                <w:vertAlign w:val="superscript"/>
                <w:lang w:eastAsia="en-GB"/>
              </w:rPr>
              <w:t>a</w:t>
            </w:r>
            <w:bookmarkEnd w:id="6"/>
          </w:p>
        </w:tc>
        <w:tc>
          <w:tcPr>
            <w:tcW w:w="922" w:type="dxa"/>
            <w:vMerge w:val="restart"/>
            <w:tcBorders>
              <w:top w:val="single" w:sz="8" w:space="0" w:color="auto"/>
              <w:left w:val="nil"/>
              <w:bottom w:val="single" w:sz="8" w:space="0" w:color="000000"/>
              <w:right w:val="nil"/>
            </w:tcBorders>
            <w:shd w:val="clear" w:color="000000" w:fill="FFFFFF"/>
            <w:noWrap/>
            <w:vAlign w:val="center"/>
            <w:hideMark/>
          </w:tcPr>
          <w:p w14:paraId="1A16C9BA"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Time (h)</w:t>
            </w:r>
          </w:p>
        </w:tc>
        <w:tc>
          <w:tcPr>
            <w:tcW w:w="5380" w:type="dxa"/>
            <w:gridSpan w:val="8"/>
            <w:tcBorders>
              <w:top w:val="single" w:sz="8" w:space="0" w:color="auto"/>
              <w:left w:val="nil"/>
              <w:bottom w:val="single" w:sz="8" w:space="0" w:color="auto"/>
              <w:right w:val="nil"/>
            </w:tcBorders>
            <w:shd w:val="clear" w:color="000000" w:fill="FFFFFF"/>
            <w:noWrap/>
            <w:vAlign w:val="center"/>
            <w:hideMark/>
          </w:tcPr>
          <w:p w14:paraId="7745950C"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IL MIC (μM)</w:t>
            </w:r>
          </w:p>
        </w:tc>
      </w:tr>
      <w:tr w:rsidR="00BA4F1D" w:rsidRPr="00423B49" w14:paraId="5FE5BB59" w14:textId="77777777" w:rsidTr="00C45DC8">
        <w:trPr>
          <w:trHeight w:val="309"/>
          <w:jc w:val="center"/>
        </w:trPr>
        <w:tc>
          <w:tcPr>
            <w:tcW w:w="805" w:type="dxa"/>
            <w:vMerge/>
            <w:tcBorders>
              <w:top w:val="single" w:sz="8" w:space="0" w:color="auto"/>
              <w:left w:val="nil"/>
              <w:bottom w:val="single" w:sz="8" w:space="0" w:color="000000"/>
              <w:right w:val="nil"/>
            </w:tcBorders>
            <w:vAlign w:val="center"/>
            <w:hideMark/>
          </w:tcPr>
          <w:p w14:paraId="4EAD3ED2" w14:textId="77777777" w:rsidR="00BA4F1D" w:rsidRPr="00423B49" w:rsidRDefault="00BA4F1D" w:rsidP="00C45DC8">
            <w:pPr>
              <w:spacing w:after="0" w:line="240" w:lineRule="auto"/>
              <w:jc w:val="center"/>
              <w:rPr>
                <w:rFonts w:eastAsia="Times New Roman" w:cs="Times New Roman"/>
                <w:color w:val="000000"/>
                <w:szCs w:val="20"/>
                <w:lang w:eastAsia="en-GB"/>
              </w:rPr>
            </w:pPr>
          </w:p>
        </w:tc>
        <w:tc>
          <w:tcPr>
            <w:tcW w:w="922" w:type="dxa"/>
            <w:vMerge/>
            <w:tcBorders>
              <w:top w:val="single" w:sz="8" w:space="0" w:color="auto"/>
              <w:left w:val="nil"/>
              <w:bottom w:val="single" w:sz="8" w:space="0" w:color="000000"/>
              <w:right w:val="nil"/>
            </w:tcBorders>
            <w:vAlign w:val="center"/>
            <w:hideMark/>
          </w:tcPr>
          <w:p w14:paraId="674FCB77" w14:textId="77777777" w:rsidR="00BA4F1D" w:rsidRPr="00423B49" w:rsidRDefault="00BA4F1D" w:rsidP="00C45DC8">
            <w:pPr>
              <w:spacing w:after="0" w:line="240" w:lineRule="auto"/>
              <w:jc w:val="center"/>
              <w:rPr>
                <w:rFonts w:eastAsia="Times New Roman" w:cs="Times New Roman"/>
                <w:color w:val="000000"/>
                <w:szCs w:val="20"/>
                <w:lang w:eastAsia="en-GB"/>
              </w:rPr>
            </w:pPr>
          </w:p>
        </w:tc>
        <w:tc>
          <w:tcPr>
            <w:tcW w:w="729" w:type="dxa"/>
            <w:tcBorders>
              <w:top w:val="nil"/>
              <w:left w:val="nil"/>
              <w:bottom w:val="single" w:sz="8" w:space="0" w:color="auto"/>
              <w:right w:val="nil"/>
            </w:tcBorders>
            <w:shd w:val="clear" w:color="000000" w:fill="FFFFFF"/>
            <w:noWrap/>
            <w:vAlign w:val="center"/>
            <w:hideMark/>
          </w:tcPr>
          <w:p w14:paraId="7B3D7183"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3a</w:t>
            </w:r>
          </w:p>
        </w:tc>
        <w:tc>
          <w:tcPr>
            <w:tcW w:w="616" w:type="dxa"/>
            <w:tcBorders>
              <w:top w:val="nil"/>
              <w:left w:val="nil"/>
              <w:bottom w:val="single" w:sz="8" w:space="0" w:color="auto"/>
              <w:right w:val="nil"/>
            </w:tcBorders>
            <w:shd w:val="clear" w:color="000000" w:fill="FFFFFF"/>
            <w:noWrap/>
            <w:vAlign w:val="center"/>
            <w:hideMark/>
          </w:tcPr>
          <w:p w14:paraId="7F38B442"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6a</w:t>
            </w:r>
          </w:p>
        </w:tc>
        <w:tc>
          <w:tcPr>
            <w:tcW w:w="729" w:type="dxa"/>
            <w:tcBorders>
              <w:top w:val="nil"/>
              <w:left w:val="nil"/>
              <w:bottom w:val="single" w:sz="8" w:space="0" w:color="auto"/>
              <w:right w:val="nil"/>
            </w:tcBorders>
            <w:shd w:val="clear" w:color="000000" w:fill="FFFFFF"/>
            <w:noWrap/>
            <w:vAlign w:val="center"/>
            <w:hideMark/>
          </w:tcPr>
          <w:p w14:paraId="3D6849FA"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3b</w:t>
            </w:r>
          </w:p>
        </w:tc>
        <w:tc>
          <w:tcPr>
            <w:tcW w:w="616" w:type="dxa"/>
            <w:tcBorders>
              <w:top w:val="nil"/>
              <w:left w:val="nil"/>
              <w:bottom w:val="single" w:sz="8" w:space="0" w:color="auto"/>
              <w:right w:val="nil"/>
            </w:tcBorders>
            <w:shd w:val="clear" w:color="000000" w:fill="FFFFFF"/>
            <w:noWrap/>
            <w:vAlign w:val="center"/>
            <w:hideMark/>
          </w:tcPr>
          <w:p w14:paraId="64EADB5A"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6b</w:t>
            </w:r>
          </w:p>
        </w:tc>
        <w:tc>
          <w:tcPr>
            <w:tcW w:w="729" w:type="dxa"/>
            <w:tcBorders>
              <w:top w:val="nil"/>
              <w:left w:val="nil"/>
              <w:bottom w:val="single" w:sz="8" w:space="0" w:color="auto"/>
              <w:right w:val="nil"/>
            </w:tcBorders>
            <w:shd w:val="clear" w:color="000000" w:fill="FFFFFF"/>
            <w:noWrap/>
            <w:vAlign w:val="center"/>
            <w:hideMark/>
          </w:tcPr>
          <w:p w14:paraId="20EDFC3D"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3c</w:t>
            </w:r>
          </w:p>
        </w:tc>
        <w:tc>
          <w:tcPr>
            <w:tcW w:w="616" w:type="dxa"/>
            <w:tcBorders>
              <w:top w:val="nil"/>
              <w:left w:val="nil"/>
              <w:bottom w:val="single" w:sz="8" w:space="0" w:color="auto"/>
              <w:right w:val="nil"/>
            </w:tcBorders>
            <w:shd w:val="clear" w:color="000000" w:fill="FFFFFF"/>
            <w:noWrap/>
            <w:vAlign w:val="center"/>
            <w:hideMark/>
          </w:tcPr>
          <w:p w14:paraId="64F28341"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6c</w:t>
            </w:r>
          </w:p>
        </w:tc>
        <w:tc>
          <w:tcPr>
            <w:tcW w:w="729" w:type="dxa"/>
            <w:tcBorders>
              <w:top w:val="nil"/>
              <w:left w:val="nil"/>
              <w:bottom w:val="single" w:sz="8" w:space="0" w:color="auto"/>
              <w:right w:val="nil"/>
            </w:tcBorders>
            <w:shd w:val="clear" w:color="000000" w:fill="FFFFFF"/>
            <w:noWrap/>
            <w:vAlign w:val="center"/>
            <w:hideMark/>
          </w:tcPr>
          <w:p w14:paraId="46A23F50"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3d</w:t>
            </w:r>
          </w:p>
        </w:tc>
        <w:tc>
          <w:tcPr>
            <w:tcW w:w="616" w:type="dxa"/>
            <w:tcBorders>
              <w:top w:val="nil"/>
              <w:left w:val="nil"/>
              <w:bottom w:val="single" w:sz="8" w:space="0" w:color="auto"/>
              <w:right w:val="nil"/>
            </w:tcBorders>
            <w:shd w:val="clear" w:color="000000" w:fill="FFFFFF"/>
            <w:noWrap/>
            <w:vAlign w:val="center"/>
            <w:hideMark/>
          </w:tcPr>
          <w:p w14:paraId="5963ACB7"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6d</w:t>
            </w:r>
          </w:p>
        </w:tc>
      </w:tr>
      <w:tr w:rsidR="00BA4F1D" w:rsidRPr="00423B49" w14:paraId="197D14B3"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0B51417E"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SA</w:t>
            </w:r>
          </w:p>
        </w:tc>
        <w:tc>
          <w:tcPr>
            <w:tcW w:w="922" w:type="dxa"/>
            <w:tcBorders>
              <w:top w:val="nil"/>
              <w:left w:val="nil"/>
              <w:bottom w:val="nil"/>
              <w:right w:val="nil"/>
            </w:tcBorders>
            <w:shd w:val="clear" w:color="000000" w:fill="FFFFFF"/>
            <w:noWrap/>
            <w:vAlign w:val="center"/>
            <w:hideMark/>
          </w:tcPr>
          <w:p w14:paraId="474A316D"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FFC7CE"/>
            <w:noWrap/>
            <w:vAlign w:val="center"/>
            <w:hideMark/>
          </w:tcPr>
          <w:p w14:paraId="0456F459"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616" w:type="dxa"/>
            <w:tcBorders>
              <w:top w:val="nil"/>
              <w:left w:val="nil"/>
              <w:bottom w:val="nil"/>
              <w:right w:val="nil"/>
            </w:tcBorders>
            <w:shd w:val="clear" w:color="000000" w:fill="FFC7CE"/>
            <w:noWrap/>
            <w:vAlign w:val="center"/>
            <w:hideMark/>
          </w:tcPr>
          <w:p w14:paraId="16E8B454"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nil"/>
              <w:right w:val="nil"/>
            </w:tcBorders>
            <w:shd w:val="clear" w:color="000000" w:fill="FFEB9C"/>
            <w:noWrap/>
            <w:vAlign w:val="center"/>
            <w:hideMark/>
          </w:tcPr>
          <w:p w14:paraId="785AC49E"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616" w:type="dxa"/>
            <w:tcBorders>
              <w:top w:val="nil"/>
              <w:left w:val="nil"/>
              <w:bottom w:val="nil"/>
              <w:right w:val="nil"/>
            </w:tcBorders>
            <w:shd w:val="clear" w:color="000000" w:fill="FFC7CE"/>
            <w:noWrap/>
            <w:vAlign w:val="center"/>
            <w:hideMark/>
          </w:tcPr>
          <w:p w14:paraId="4D35D3E3"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31.3</w:t>
            </w:r>
          </w:p>
        </w:tc>
        <w:tc>
          <w:tcPr>
            <w:tcW w:w="729" w:type="dxa"/>
            <w:tcBorders>
              <w:top w:val="nil"/>
              <w:left w:val="nil"/>
              <w:bottom w:val="nil"/>
              <w:right w:val="nil"/>
            </w:tcBorders>
            <w:shd w:val="clear" w:color="000000" w:fill="FFC7CE"/>
            <w:noWrap/>
            <w:vAlign w:val="center"/>
            <w:hideMark/>
          </w:tcPr>
          <w:p w14:paraId="250E9A49"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616" w:type="dxa"/>
            <w:tcBorders>
              <w:top w:val="nil"/>
              <w:left w:val="nil"/>
              <w:bottom w:val="nil"/>
              <w:right w:val="nil"/>
            </w:tcBorders>
            <w:shd w:val="clear" w:color="000000" w:fill="FFC7CE"/>
            <w:noWrap/>
            <w:vAlign w:val="center"/>
            <w:hideMark/>
          </w:tcPr>
          <w:p w14:paraId="3C41AECC"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31.3</w:t>
            </w:r>
          </w:p>
        </w:tc>
        <w:tc>
          <w:tcPr>
            <w:tcW w:w="729" w:type="dxa"/>
            <w:tcBorders>
              <w:top w:val="nil"/>
              <w:left w:val="nil"/>
              <w:bottom w:val="nil"/>
              <w:right w:val="nil"/>
            </w:tcBorders>
            <w:shd w:val="clear" w:color="000000" w:fill="FFEB9C"/>
            <w:noWrap/>
            <w:vAlign w:val="center"/>
            <w:hideMark/>
          </w:tcPr>
          <w:p w14:paraId="3EDB9E81"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616" w:type="dxa"/>
            <w:tcBorders>
              <w:top w:val="nil"/>
              <w:left w:val="nil"/>
              <w:bottom w:val="nil"/>
              <w:right w:val="nil"/>
            </w:tcBorders>
            <w:shd w:val="clear" w:color="000000" w:fill="FFC7CE"/>
            <w:noWrap/>
            <w:vAlign w:val="center"/>
            <w:hideMark/>
          </w:tcPr>
          <w:p w14:paraId="0A5C7EE7"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15.6</w:t>
            </w:r>
          </w:p>
        </w:tc>
      </w:tr>
      <w:tr w:rsidR="00BA4F1D" w:rsidRPr="00423B49" w14:paraId="79AA1D3A" w14:textId="77777777" w:rsidTr="00C45DC8">
        <w:trPr>
          <w:trHeight w:val="309"/>
          <w:jc w:val="center"/>
        </w:trPr>
        <w:tc>
          <w:tcPr>
            <w:tcW w:w="805" w:type="dxa"/>
            <w:vMerge/>
            <w:tcBorders>
              <w:top w:val="nil"/>
              <w:left w:val="nil"/>
              <w:bottom w:val="single" w:sz="8" w:space="0" w:color="000000"/>
              <w:right w:val="nil"/>
            </w:tcBorders>
            <w:vAlign w:val="center"/>
            <w:hideMark/>
          </w:tcPr>
          <w:p w14:paraId="6E8FD404"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1EC5981D"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FFC7CE"/>
            <w:noWrap/>
            <w:vAlign w:val="center"/>
            <w:hideMark/>
          </w:tcPr>
          <w:p w14:paraId="1D69515A"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616" w:type="dxa"/>
            <w:tcBorders>
              <w:top w:val="nil"/>
              <w:left w:val="nil"/>
              <w:bottom w:val="single" w:sz="8" w:space="0" w:color="auto"/>
              <w:right w:val="nil"/>
            </w:tcBorders>
            <w:shd w:val="clear" w:color="000000" w:fill="FFC7CE"/>
            <w:noWrap/>
            <w:vAlign w:val="center"/>
            <w:hideMark/>
          </w:tcPr>
          <w:p w14:paraId="6C62A1BD"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single" w:sz="8" w:space="0" w:color="auto"/>
              <w:right w:val="nil"/>
            </w:tcBorders>
            <w:shd w:val="clear" w:color="000000" w:fill="FFEB9C"/>
            <w:noWrap/>
            <w:vAlign w:val="center"/>
            <w:hideMark/>
          </w:tcPr>
          <w:p w14:paraId="1EE3CAC5"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616" w:type="dxa"/>
            <w:tcBorders>
              <w:top w:val="nil"/>
              <w:left w:val="nil"/>
              <w:bottom w:val="single" w:sz="8" w:space="0" w:color="auto"/>
              <w:right w:val="nil"/>
            </w:tcBorders>
            <w:shd w:val="clear" w:color="000000" w:fill="FFC7CE"/>
            <w:noWrap/>
            <w:vAlign w:val="center"/>
            <w:hideMark/>
          </w:tcPr>
          <w:p w14:paraId="23E6ABD4"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31.3</w:t>
            </w:r>
          </w:p>
        </w:tc>
        <w:tc>
          <w:tcPr>
            <w:tcW w:w="729" w:type="dxa"/>
            <w:tcBorders>
              <w:top w:val="nil"/>
              <w:left w:val="nil"/>
              <w:bottom w:val="single" w:sz="8" w:space="0" w:color="auto"/>
              <w:right w:val="nil"/>
            </w:tcBorders>
            <w:shd w:val="clear" w:color="000000" w:fill="FFC7CE"/>
            <w:noWrap/>
            <w:vAlign w:val="center"/>
            <w:hideMark/>
          </w:tcPr>
          <w:p w14:paraId="635AA9B2"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616" w:type="dxa"/>
            <w:tcBorders>
              <w:top w:val="nil"/>
              <w:left w:val="nil"/>
              <w:bottom w:val="single" w:sz="8" w:space="0" w:color="auto"/>
              <w:right w:val="nil"/>
            </w:tcBorders>
            <w:shd w:val="clear" w:color="000000" w:fill="FFC7CE"/>
            <w:noWrap/>
            <w:vAlign w:val="center"/>
            <w:hideMark/>
          </w:tcPr>
          <w:p w14:paraId="282D0F05"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31.3</w:t>
            </w:r>
          </w:p>
        </w:tc>
        <w:tc>
          <w:tcPr>
            <w:tcW w:w="729" w:type="dxa"/>
            <w:tcBorders>
              <w:top w:val="nil"/>
              <w:left w:val="nil"/>
              <w:bottom w:val="single" w:sz="8" w:space="0" w:color="auto"/>
              <w:right w:val="nil"/>
            </w:tcBorders>
            <w:shd w:val="clear" w:color="000000" w:fill="FFEB9C"/>
            <w:noWrap/>
            <w:vAlign w:val="center"/>
            <w:hideMark/>
          </w:tcPr>
          <w:p w14:paraId="63A6083C"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616" w:type="dxa"/>
            <w:tcBorders>
              <w:top w:val="nil"/>
              <w:left w:val="nil"/>
              <w:bottom w:val="single" w:sz="8" w:space="0" w:color="auto"/>
              <w:right w:val="nil"/>
            </w:tcBorders>
            <w:shd w:val="clear" w:color="000000" w:fill="FFC7CE"/>
            <w:noWrap/>
            <w:vAlign w:val="center"/>
            <w:hideMark/>
          </w:tcPr>
          <w:p w14:paraId="7396C255"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15.6</w:t>
            </w:r>
          </w:p>
        </w:tc>
      </w:tr>
      <w:tr w:rsidR="00BA4F1D" w:rsidRPr="00423B49" w14:paraId="1B31CA6B"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0E303F12"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MRSA</w:t>
            </w:r>
          </w:p>
        </w:tc>
        <w:tc>
          <w:tcPr>
            <w:tcW w:w="922" w:type="dxa"/>
            <w:tcBorders>
              <w:top w:val="nil"/>
              <w:left w:val="nil"/>
              <w:bottom w:val="nil"/>
              <w:right w:val="nil"/>
            </w:tcBorders>
            <w:shd w:val="clear" w:color="000000" w:fill="FFFFFF"/>
            <w:noWrap/>
            <w:vAlign w:val="center"/>
            <w:hideMark/>
          </w:tcPr>
          <w:p w14:paraId="6BF058E6"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FFEB9C"/>
            <w:noWrap/>
            <w:vAlign w:val="center"/>
            <w:hideMark/>
          </w:tcPr>
          <w:p w14:paraId="7E8F54B4"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616" w:type="dxa"/>
            <w:tcBorders>
              <w:top w:val="nil"/>
              <w:left w:val="nil"/>
              <w:bottom w:val="nil"/>
              <w:right w:val="nil"/>
            </w:tcBorders>
            <w:shd w:val="clear" w:color="000000" w:fill="FFC7CE"/>
            <w:noWrap/>
            <w:vAlign w:val="center"/>
            <w:hideMark/>
          </w:tcPr>
          <w:p w14:paraId="5BB185FC"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nil"/>
              <w:right w:val="nil"/>
            </w:tcBorders>
            <w:shd w:val="clear" w:color="000000" w:fill="FFEB9C"/>
            <w:noWrap/>
            <w:vAlign w:val="center"/>
            <w:hideMark/>
          </w:tcPr>
          <w:p w14:paraId="446DF37B"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616" w:type="dxa"/>
            <w:tcBorders>
              <w:top w:val="nil"/>
              <w:left w:val="nil"/>
              <w:bottom w:val="nil"/>
              <w:right w:val="nil"/>
            </w:tcBorders>
            <w:shd w:val="clear" w:color="000000" w:fill="FFC7CE"/>
            <w:noWrap/>
            <w:vAlign w:val="center"/>
            <w:hideMark/>
          </w:tcPr>
          <w:p w14:paraId="492294D8"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nil"/>
              <w:right w:val="nil"/>
            </w:tcBorders>
            <w:shd w:val="clear" w:color="000000" w:fill="FFEB9C"/>
            <w:noWrap/>
            <w:vAlign w:val="center"/>
            <w:hideMark/>
          </w:tcPr>
          <w:p w14:paraId="4EB4F02B"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0E6E8953"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nil"/>
              <w:right w:val="nil"/>
            </w:tcBorders>
            <w:shd w:val="clear" w:color="000000" w:fill="FFEB9C"/>
            <w:noWrap/>
            <w:vAlign w:val="center"/>
            <w:hideMark/>
          </w:tcPr>
          <w:p w14:paraId="4196F79D"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57A6204B"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r>
      <w:tr w:rsidR="00BA4F1D" w:rsidRPr="00423B49" w14:paraId="61940AC8" w14:textId="77777777" w:rsidTr="00C45DC8">
        <w:trPr>
          <w:trHeight w:val="309"/>
          <w:jc w:val="center"/>
        </w:trPr>
        <w:tc>
          <w:tcPr>
            <w:tcW w:w="805" w:type="dxa"/>
            <w:vMerge/>
            <w:tcBorders>
              <w:top w:val="nil"/>
              <w:left w:val="nil"/>
              <w:bottom w:val="single" w:sz="8" w:space="0" w:color="000000"/>
              <w:right w:val="nil"/>
            </w:tcBorders>
            <w:vAlign w:val="center"/>
            <w:hideMark/>
          </w:tcPr>
          <w:p w14:paraId="602F374C"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0E6942F1"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FFEB9C"/>
            <w:noWrap/>
            <w:vAlign w:val="center"/>
            <w:hideMark/>
          </w:tcPr>
          <w:p w14:paraId="7739D357"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616" w:type="dxa"/>
            <w:tcBorders>
              <w:top w:val="nil"/>
              <w:left w:val="nil"/>
              <w:bottom w:val="single" w:sz="8" w:space="0" w:color="auto"/>
              <w:right w:val="nil"/>
            </w:tcBorders>
            <w:shd w:val="clear" w:color="000000" w:fill="FFC7CE"/>
            <w:noWrap/>
            <w:vAlign w:val="center"/>
            <w:hideMark/>
          </w:tcPr>
          <w:p w14:paraId="006DAEDD"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single" w:sz="8" w:space="0" w:color="auto"/>
              <w:right w:val="nil"/>
            </w:tcBorders>
            <w:shd w:val="clear" w:color="000000" w:fill="FFEB9C"/>
            <w:noWrap/>
            <w:vAlign w:val="center"/>
            <w:hideMark/>
          </w:tcPr>
          <w:p w14:paraId="0ADA0A50"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616" w:type="dxa"/>
            <w:tcBorders>
              <w:top w:val="nil"/>
              <w:left w:val="nil"/>
              <w:bottom w:val="single" w:sz="8" w:space="0" w:color="auto"/>
              <w:right w:val="nil"/>
            </w:tcBorders>
            <w:shd w:val="clear" w:color="000000" w:fill="FFC7CE"/>
            <w:noWrap/>
            <w:vAlign w:val="center"/>
            <w:hideMark/>
          </w:tcPr>
          <w:p w14:paraId="69CA511D"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single" w:sz="8" w:space="0" w:color="auto"/>
              <w:right w:val="nil"/>
            </w:tcBorders>
            <w:shd w:val="clear" w:color="000000" w:fill="FFEB9C"/>
            <w:noWrap/>
            <w:vAlign w:val="center"/>
            <w:hideMark/>
          </w:tcPr>
          <w:p w14:paraId="1196B7C4"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5E149D7D"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single" w:sz="8" w:space="0" w:color="auto"/>
              <w:right w:val="nil"/>
            </w:tcBorders>
            <w:shd w:val="clear" w:color="000000" w:fill="FFEB9C"/>
            <w:noWrap/>
            <w:vAlign w:val="center"/>
            <w:hideMark/>
          </w:tcPr>
          <w:p w14:paraId="57EAA298"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5F6C876B"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r>
      <w:tr w:rsidR="00BA4F1D" w:rsidRPr="00423B49" w14:paraId="7966B5F9"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076E7E9D"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SE</w:t>
            </w:r>
          </w:p>
        </w:tc>
        <w:tc>
          <w:tcPr>
            <w:tcW w:w="922" w:type="dxa"/>
            <w:tcBorders>
              <w:top w:val="nil"/>
              <w:left w:val="nil"/>
              <w:bottom w:val="nil"/>
              <w:right w:val="nil"/>
            </w:tcBorders>
            <w:shd w:val="clear" w:color="000000" w:fill="FFFFFF"/>
            <w:noWrap/>
            <w:vAlign w:val="center"/>
            <w:hideMark/>
          </w:tcPr>
          <w:p w14:paraId="34FC0C5A"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FFC7CE"/>
            <w:noWrap/>
            <w:vAlign w:val="center"/>
            <w:hideMark/>
          </w:tcPr>
          <w:p w14:paraId="44729ED4"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616" w:type="dxa"/>
            <w:tcBorders>
              <w:top w:val="nil"/>
              <w:left w:val="nil"/>
              <w:bottom w:val="nil"/>
              <w:right w:val="nil"/>
            </w:tcBorders>
            <w:shd w:val="clear" w:color="000000" w:fill="FFC7CE"/>
            <w:noWrap/>
            <w:vAlign w:val="center"/>
            <w:hideMark/>
          </w:tcPr>
          <w:p w14:paraId="7C440573"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nil"/>
              <w:right w:val="nil"/>
            </w:tcBorders>
            <w:shd w:val="clear" w:color="000000" w:fill="FFC7CE"/>
            <w:noWrap/>
            <w:vAlign w:val="center"/>
            <w:hideMark/>
          </w:tcPr>
          <w:p w14:paraId="58921632"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616" w:type="dxa"/>
            <w:tcBorders>
              <w:top w:val="nil"/>
              <w:left w:val="nil"/>
              <w:bottom w:val="nil"/>
              <w:right w:val="nil"/>
            </w:tcBorders>
            <w:shd w:val="clear" w:color="000000" w:fill="FFC7CE"/>
            <w:noWrap/>
            <w:vAlign w:val="center"/>
            <w:hideMark/>
          </w:tcPr>
          <w:p w14:paraId="776A5B18"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15.6</w:t>
            </w:r>
          </w:p>
        </w:tc>
        <w:tc>
          <w:tcPr>
            <w:tcW w:w="729" w:type="dxa"/>
            <w:tcBorders>
              <w:top w:val="nil"/>
              <w:left w:val="nil"/>
              <w:bottom w:val="nil"/>
              <w:right w:val="nil"/>
            </w:tcBorders>
            <w:shd w:val="clear" w:color="000000" w:fill="FFC7CE"/>
            <w:noWrap/>
            <w:vAlign w:val="center"/>
            <w:hideMark/>
          </w:tcPr>
          <w:p w14:paraId="4635AD3E"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616" w:type="dxa"/>
            <w:tcBorders>
              <w:top w:val="nil"/>
              <w:left w:val="nil"/>
              <w:bottom w:val="nil"/>
              <w:right w:val="nil"/>
            </w:tcBorders>
            <w:shd w:val="clear" w:color="000000" w:fill="FFC7CE"/>
            <w:noWrap/>
            <w:vAlign w:val="center"/>
            <w:hideMark/>
          </w:tcPr>
          <w:p w14:paraId="1443F160"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nil"/>
              <w:right w:val="nil"/>
            </w:tcBorders>
            <w:shd w:val="clear" w:color="000000" w:fill="FFC7CE"/>
            <w:noWrap/>
            <w:vAlign w:val="center"/>
            <w:hideMark/>
          </w:tcPr>
          <w:p w14:paraId="0D8FBF27"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616" w:type="dxa"/>
            <w:tcBorders>
              <w:top w:val="nil"/>
              <w:left w:val="nil"/>
              <w:bottom w:val="nil"/>
              <w:right w:val="nil"/>
            </w:tcBorders>
            <w:shd w:val="clear" w:color="000000" w:fill="FFC7CE"/>
            <w:noWrap/>
            <w:vAlign w:val="center"/>
            <w:hideMark/>
          </w:tcPr>
          <w:p w14:paraId="5EA4F563"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7.8</w:t>
            </w:r>
          </w:p>
        </w:tc>
      </w:tr>
      <w:tr w:rsidR="00BA4F1D" w:rsidRPr="00423B49" w14:paraId="631E7C38" w14:textId="77777777" w:rsidTr="00C45DC8">
        <w:trPr>
          <w:trHeight w:val="309"/>
          <w:jc w:val="center"/>
        </w:trPr>
        <w:tc>
          <w:tcPr>
            <w:tcW w:w="805" w:type="dxa"/>
            <w:vMerge/>
            <w:tcBorders>
              <w:top w:val="nil"/>
              <w:left w:val="nil"/>
              <w:bottom w:val="single" w:sz="8" w:space="0" w:color="000000"/>
              <w:right w:val="nil"/>
            </w:tcBorders>
            <w:vAlign w:val="center"/>
            <w:hideMark/>
          </w:tcPr>
          <w:p w14:paraId="745FF795"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20A9FF26"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FFC7CE"/>
            <w:noWrap/>
            <w:vAlign w:val="center"/>
            <w:hideMark/>
          </w:tcPr>
          <w:p w14:paraId="34AE1D90"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616" w:type="dxa"/>
            <w:tcBorders>
              <w:top w:val="nil"/>
              <w:left w:val="nil"/>
              <w:bottom w:val="single" w:sz="8" w:space="0" w:color="auto"/>
              <w:right w:val="nil"/>
            </w:tcBorders>
            <w:shd w:val="clear" w:color="000000" w:fill="FFC7CE"/>
            <w:noWrap/>
            <w:vAlign w:val="center"/>
            <w:hideMark/>
          </w:tcPr>
          <w:p w14:paraId="16B0DF1A"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single" w:sz="8" w:space="0" w:color="auto"/>
              <w:right w:val="nil"/>
            </w:tcBorders>
            <w:shd w:val="clear" w:color="000000" w:fill="FFC7CE"/>
            <w:noWrap/>
            <w:vAlign w:val="center"/>
            <w:hideMark/>
          </w:tcPr>
          <w:p w14:paraId="1A6BAE5B"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616" w:type="dxa"/>
            <w:tcBorders>
              <w:top w:val="nil"/>
              <w:left w:val="nil"/>
              <w:bottom w:val="single" w:sz="8" w:space="0" w:color="auto"/>
              <w:right w:val="nil"/>
            </w:tcBorders>
            <w:shd w:val="clear" w:color="000000" w:fill="FFC7CE"/>
            <w:noWrap/>
            <w:vAlign w:val="center"/>
            <w:hideMark/>
          </w:tcPr>
          <w:p w14:paraId="300C9E98"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15.6</w:t>
            </w:r>
          </w:p>
        </w:tc>
        <w:tc>
          <w:tcPr>
            <w:tcW w:w="729" w:type="dxa"/>
            <w:tcBorders>
              <w:top w:val="nil"/>
              <w:left w:val="nil"/>
              <w:bottom w:val="single" w:sz="8" w:space="0" w:color="auto"/>
              <w:right w:val="nil"/>
            </w:tcBorders>
            <w:shd w:val="clear" w:color="000000" w:fill="FFC7CE"/>
            <w:noWrap/>
            <w:vAlign w:val="center"/>
            <w:hideMark/>
          </w:tcPr>
          <w:p w14:paraId="6F2CF645"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616" w:type="dxa"/>
            <w:tcBorders>
              <w:top w:val="nil"/>
              <w:left w:val="nil"/>
              <w:bottom w:val="single" w:sz="8" w:space="0" w:color="auto"/>
              <w:right w:val="nil"/>
            </w:tcBorders>
            <w:shd w:val="clear" w:color="000000" w:fill="FFC7CE"/>
            <w:noWrap/>
            <w:vAlign w:val="center"/>
            <w:hideMark/>
          </w:tcPr>
          <w:p w14:paraId="2AF0B917"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62.5</w:t>
            </w:r>
          </w:p>
        </w:tc>
        <w:tc>
          <w:tcPr>
            <w:tcW w:w="729" w:type="dxa"/>
            <w:tcBorders>
              <w:top w:val="nil"/>
              <w:left w:val="nil"/>
              <w:bottom w:val="single" w:sz="8" w:space="0" w:color="auto"/>
              <w:right w:val="nil"/>
            </w:tcBorders>
            <w:shd w:val="clear" w:color="000000" w:fill="FFC7CE"/>
            <w:noWrap/>
            <w:vAlign w:val="center"/>
            <w:hideMark/>
          </w:tcPr>
          <w:p w14:paraId="6FF9834A"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616" w:type="dxa"/>
            <w:tcBorders>
              <w:top w:val="nil"/>
              <w:left w:val="nil"/>
              <w:bottom w:val="single" w:sz="8" w:space="0" w:color="auto"/>
              <w:right w:val="nil"/>
            </w:tcBorders>
            <w:shd w:val="clear" w:color="000000" w:fill="FFC7CE"/>
            <w:noWrap/>
            <w:vAlign w:val="center"/>
            <w:hideMark/>
          </w:tcPr>
          <w:p w14:paraId="522EA937"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7.8</w:t>
            </w:r>
          </w:p>
        </w:tc>
      </w:tr>
      <w:tr w:rsidR="00BA4F1D" w:rsidRPr="00423B49" w14:paraId="3D70C92A"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239056FF"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EF</w:t>
            </w:r>
          </w:p>
        </w:tc>
        <w:tc>
          <w:tcPr>
            <w:tcW w:w="922" w:type="dxa"/>
            <w:tcBorders>
              <w:top w:val="nil"/>
              <w:left w:val="nil"/>
              <w:bottom w:val="nil"/>
              <w:right w:val="nil"/>
            </w:tcBorders>
            <w:shd w:val="clear" w:color="000000" w:fill="FFFFFF"/>
            <w:noWrap/>
            <w:vAlign w:val="center"/>
            <w:hideMark/>
          </w:tcPr>
          <w:p w14:paraId="736648A1"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FFEB9C"/>
            <w:noWrap/>
            <w:vAlign w:val="center"/>
            <w:hideMark/>
          </w:tcPr>
          <w:p w14:paraId="35FD3A15"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4EA9F931"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nil"/>
              <w:right w:val="nil"/>
            </w:tcBorders>
            <w:shd w:val="clear" w:color="000000" w:fill="FFEB9C"/>
            <w:noWrap/>
            <w:vAlign w:val="center"/>
            <w:hideMark/>
          </w:tcPr>
          <w:p w14:paraId="69C9A42A"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77ABD784"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nil"/>
              <w:right w:val="nil"/>
            </w:tcBorders>
            <w:shd w:val="clear" w:color="000000" w:fill="FFEB9C"/>
            <w:noWrap/>
            <w:vAlign w:val="center"/>
            <w:hideMark/>
          </w:tcPr>
          <w:p w14:paraId="1677D140"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0DA3461E"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nil"/>
              <w:right w:val="nil"/>
            </w:tcBorders>
            <w:shd w:val="clear" w:color="000000" w:fill="C6EFCE"/>
            <w:noWrap/>
            <w:vAlign w:val="center"/>
            <w:hideMark/>
          </w:tcPr>
          <w:p w14:paraId="4BC59369"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C7CE"/>
            <w:noWrap/>
            <w:vAlign w:val="center"/>
            <w:hideMark/>
          </w:tcPr>
          <w:p w14:paraId="75B50AEB"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r>
      <w:tr w:rsidR="00BA4F1D" w:rsidRPr="00423B49" w14:paraId="1C01AE1E" w14:textId="77777777" w:rsidTr="00C45DC8">
        <w:trPr>
          <w:trHeight w:val="309"/>
          <w:jc w:val="center"/>
        </w:trPr>
        <w:tc>
          <w:tcPr>
            <w:tcW w:w="805" w:type="dxa"/>
            <w:vMerge/>
            <w:tcBorders>
              <w:top w:val="nil"/>
              <w:left w:val="nil"/>
              <w:bottom w:val="single" w:sz="8" w:space="0" w:color="000000"/>
              <w:right w:val="nil"/>
            </w:tcBorders>
            <w:vAlign w:val="center"/>
            <w:hideMark/>
          </w:tcPr>
          <w:p w14:paraId="2AE22A66"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4181523D"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FFEB9C"/>
            <w:noWrap/>
            <w:vAlign w:val="center"/>
            <w:hideMark/>
          </w:tcPr>
          <w:p w14:paraId="193CB711"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4947D6E6"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single" w:sz="8" w:space="0" w:color="auto"/>
              <w:right w:val="nil"/>
            </w:tcBorders>
            <w:shd w:val="clear" w:color="000000" w:fill="FFEB9C"/>
            <w:noWrap/>
            <w:vAlign w:val="center"/>
            <w:hideMark/>
          </w:tcPr>
          <w:p w14:paraId="640C1995"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3F3E55C6"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single" w:sz="8" w:space="0" w:color="auto"/>
              <w:right w:val="nil"/>
            </w:tcBorders>
            <w:shd w:val="clear" w:color="000000" w:fill="FFEB9C"/>
            <w:noWrap/>
            <w:vAlign w:val="center"/>
            <w:hideMark/>
          </w:tcPr>
          <w:p w14:paraId="556D754E"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633A0C26"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single" w:sz="8" w:space="0" w:color="auto"/>
              <w:right w:val="nil"/>
            </w:tcBorders>
            <w:shd w:val="clear" w:color="000000" w:fill="C6EFCE"/>
            <w:noWrap/>
            <w:vAlign w:val="center"/>
            <w:hideMark/>
          </w:tcPr>
          <w:p w14:paraId="44F0ED57"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C7CE"/>
            <w:noWrap/>
            <w:vAlign w:val="center"/>
            <w:hideMark/>
          </w:tcPr>
          <w:p w14:paraId="69CDECC8"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r>
      <w:tr w:rsidR="00BA4F1D" w:rsidRPr="00423B49" w14:paraId="41E27B1B"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0781793D"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EC</w:t>
            </w:r>
          </w:p>
        </w:tc>
        <w:tc>
          <w:tcPr>
            <w:tcW w:w="922" w:type="dxa"/>
            <w:tcBorders>
              <w:top w:val="nil"/>
              <w:left w:val="nil"/>
              <w:bottom w:val="nil"/>
              <w:right w:val="nil"/>
            </w:tcBorders>
            <w:shd w:val="clear" w:color="000000" w:fill="FFFFFF"/>
            <w:noWrap/>
            <w:vAlign w:val="center"/>
            <w:hideMark/>
          </w:tcPr>
          <w:p w14:paraId="0D14BF74"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FFEB9C"/>
            <w:noWrap/>
            <w:vAlign w:val="center"/>
            <w:hideMark/>
          </w:tcPr>
          <w:p w14:paraId="700171A5"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616" w:type="dxa"/>
            <w:tcBorders>
              <w:top w:val="nil"/>
              <w:left w:val="nil"/>
              <w:bottom w:val="nil"/>
              <w:right w:val="nil"/>
            </w:tcBorders>
            <w:shd w:val="clear" w:color="000000" w:fill="FFEB9C"/>
            <w:noWrap/>
            <w:vAlign w:val="center"/>
            <w:hideMark/>
          </w:tcPr>
          <w:p w14:paraId="0271C31A"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729" w:type="dxa"/>
            <w:tcBorders>
              <w:top w:val="nil"/>
              <w:left w:val="nil"/>
              <w:bottom w:val="nil"/>
              <w:right w:val="nil"/>
            </w:tcBorders>
            <w:shd w:val="clear" w:color="000000" w:fill="FFEB9C"/>
            <w:noWrap/>
            <w:vAlign w:val="center"/>
            <w:hideMark/>
          </w:tcPr>
          <w:p w14:paraId="61566F2C"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4BF3C3B4"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nil"/>
              <w:right w:val="nil"/>
            </w:tcBorders>
            <w:shd w:val="clear" w:color="000000" w:fill="FFEB9C"/>
            <w:noWrap/>
            <w:vAlign w:val="center"/>
            <w:hideMark/>
          </w:tcPr>
          <w:p w14:paraId="61A79D44"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7649217A"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nil"/>
              <w:right w:val="nil"/>
            </w:tcBorders>
            <w:shd w:val="clear" w:color="000000" w:fill="C6EFCE"/>
            <w:noWrap/>
            <w:vAlign w:val="center"/>
            <w:hideMark/>
          </w:tcPr>
          <w:p w14:paraId="6E96351C"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C7CE"/>
            <w:noWrap/>
            <w:vAlign w:val="center"/>
            <w:hideMark/>
          </w:tcPr>
          <w:p w14:paraId="138073AD"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r>
      <w:tr w:rsidR="00BA4F1D" w:rsidRPr="00423B49" w14:paraId="55B262C3" w14:textId="77777777" w:rsidTr="00C45DC8">
        <w:trPr>
          <w:trHeight w:val="309"/>
          <w:jc w:val="center"/>
        </w:trPr>
        <w:tc>
          <w:tcPr>
            <w:tcW w:w="805" w:type="dxa"/>
            <w:vMerge/>
            <w:tcBorders>
              <w:top w:val="nil"/>
              <w:left w:val="nil"/>
              <w:bottom w:val="single" w:sz="8" w:space="0" w:color="000000"/>
              <w:right w:val="nil"/>
            </w:tcBorders>
            <w:vAlign w:val="center"/>
            <w:hideMark/>
          </w:tcPr>
          <w:p w14:paraId="28998AAF"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256A272E"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FFEB9C"/>
            <w:noWrap/>
            <w:vAlign w:val="center"/>
            <w:hideMark/>
          </w:tcPr>
          <w:p w14:paraId="746DCDC0"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616" w:type="dxa"/>
            <w:tcBorders>
              <w:top w:val="nil"/>
              <w:left w:val="nil"/>
              <w:bottom w:val="single" w:sz="8" w:space="0" w:color="auto"/>
              <w:right w:val="nil"/>
            </w:tcBorders>
            <w:shd w:val="clear" w:color="000000" w:fill="FFEB9C"/>
            <w:noWrap/>
            <w:vAlign w:val="center"/>
            <w:hideMark/>
          </w:tcPr>
          <w:p w14:paraId="337B27E0"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729" w:type="dxa"/>
            <w:tcBorders>
              <w:top w:val="nil"/>
              <w:left w:val="nil"/>
              <w:bottom w:val="single" w:sz="8" w:space="0" w:color="auto"/>
              <w:right w:val="nil"/>
            </w:tcBorders>
            <w:shd w:val="clear" w:color="000000" w:fill="FFEB9C"/>
            <w:noWrap/>
            <w:vAlign w:val="center"/>
            <w:hideMark/>
          </w:tcPr>
          <w:p w14:paraId="16B59039"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4E6A97FF"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single" w:sz="8" w:space="0" w:color="auto"/>
              <w:right w:val="nil"/>
            </w:tcBorders>
            <w:shd w:val="clear" w:color="000000" w:fill="FFEB9C"/>
            <w:noWrap/>
            <w:vAlign w:val="center"/>
            <w:hideMark/>
          </w:tcPr>
          <w:p w14:paraId="6A5601CD"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00901275"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single" w:sz="8" w:space="0" w:color="auto"/>
              <w:right w:val="nil"/>
            </w:tcBorders>
            <w:shd w:val="clear" w:color="000000" w:fill="C6EFCE"/>
            <w:noWrap/>
            <w:vAlign w:val="center"/>
            <w:hideMark/>
          </w:tcPr>
          <w:p w14:paraId="3220C515"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C7CE"/>
            <w:noWrap/>
            <w:vAlign w:val="center"/>
            <w:hideMark/>
          </w:tcPr>
          <w:p w14:paraId="2E358169"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r>
      <w:tr w:rsidR="00BA4F1D" w:rsidRPr="00423B49" w14:paraId="32FCEADC"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3783AB38"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KP</w:t>
            </w:r>
          </w:p>
        </w:tc>
        <w:tc>
          <w:tcPr>
            <w:tcW w:w="922" w:type="dxa"/>
            <w:tcBorders>
              <w:top w:val="nil"/>
              <w:left w:val="nil"/>
              <w:bottom w:val="nil"/>
              <w:right w:val="nil"/>
            </w:tcBorders>
            <w:shd w:val="clear" w:color="000000" w:fill="FFFFFF"/>
            <w:noWrap/>
            <w:vAlign w:val="center"/>
            <w:hideMark/>
          </w:tcPr>
          <w:p w14:paraId="514C535E"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C6EFCE"/>
            <w:noWrap/>
            <w:vAlign w:val="center"/>
            <w:hideMark/>
          </w:tcPr>
          <w:p w14:paraId="782716AF"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EB9C"/>
            <w:noWrap/>
            <w:vAlign w:val="center"/>
            <w:hideMark/>
          </w:tcPr>
          <w:p w14:paraId="0E9E3A1A"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729" w:type="dxa"/>
            <w:tcBorders>
              <w:top w:val="nil"/>
              <w:left w:val="nil"/>
              <w:bottom w:val="nil"/>
              <w:right w:val="nil"/>
            </w:tcBorders>
            <w:shd w:val="clear" w:color="000000" w:fill="FFEB9C"/>
            <w:noWrap/>
            <w:vAlign w:val="center"/>
            <w:hideMark/>
          </w:tcPr>
          <w:p w14:paraId="6727BB1A"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EB9C"/>
            <w:noWrap/>
            <w:vAlign w:val="center"/>
            <w:hideMark/>
          </w:tcPr>
          <w:p w14:paraId="7A41D578"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729" w:type="dxa"/>
            <w:tcBorders>
              <w:top w:val="nil"/>
              <w:left w:val="nil"/>
              <w:bottom w:val="nil"/>
              <w:right w:val="nil"/>
            </w:tcBorders>
            <w:shd w:val="clear" w:color="000000" w:fill="C6EFCE"/>
            <w:noWrap/>
            <w:vAlign w:val="center"/>
            <w:hideMark/>
          </w:tcPr>
          <w:p w14:paraId="4AA7548E"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C7CE"/>
            <w:noWrap/>
            <w:vAlign w:val="center"/>
            <w:hideMark/>
          </w:tcPr>
          <w:p w14:paraId="10639E16"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nil"/>
              <w:right w:val="nil"/>
            </w:tcBorders>
            <w:shd w:val="clear" w:color="000000" w:fill="C6EFCE"/>
            <w:noWrap/>
            <w:vAlign w:val="center"/>
            <w:hideMark/>
          </w:tcPr>
          <w:p w14:paraId="58B464F1"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EB9C"/>
            <w:noWrap/>
            <w:vAlign w:val="center"/>
            <w:hideMark/>
          </w:tcPr>
          <w:p w14:paraId="1B915F2C"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r>
      <w:tr w:rsidR="00BA4F1D" w:rsidRPr="00423B49" w14:paraId="58AE8FD4" w14:textId="77777777" w:rsidTr="00C45DC8">
        <w:trPr>
          <w:trHeight w:val="309"/>
          <w:jc w:val="center"/>
        </w:trPr>
        <w:tc>
          <w:tcPr>
            <w:tcW w:w="805" w:type="dxa"/>
            <w:vMerge/>
            <w:tcBorders>
              <w:top w:val="nil"/>
              <w:left w:val="nil"/>
              <w:bottom w:val="single" w:sz="8" w:space="0" w:color="000000"/>
              <w:right w:val="nil"/>
            </w:tcBorders>
            <w:vAlign w:val="center"/>
            <w:hideMark/>
          </w:tcPr>
          <w:p w14:paraId="2BCAC587"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1D088A16"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C6EFCE"/>
            <w:noWrap/>
            <w:vAlign w:val="center"/>
            <w:hideMark/>
          </w:tcPr>
          <w:p w14:paraId="6BA630C0"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EB9C"/>
            <w:noWrap/>
            <w:vAlign w:val="center"/>
            <w:hideMark/>
          </w:tcPr>
          <w:p w14:paraId="61A92FE2"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729" w:type="dxa"/>
            <w:tcBorders>
              <w:top w:val="nil"/>
              <w:left w:val="nil"/>
              <w:bottom w:val="single" w:sz="8" w:space="0" w:color="auto"/>
              <w:right w:val="nil"/>
            </w:tcBorders>
            <w:shd w:val="clear" w:color="000000" w:fill="FFEB9C"/>
            <w:noWrap/>
            <w:vAlign w:val="center"/>
            <w:hideMark/>
          </w:tcPr>
          <w:p w14:paraId="329ECDF0"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EB9C"/>
            <w:noWrap/>
            <w:vAlign w:val="center"/>
            <w:hideMark/>
          </w:tcPr>
          <w:p w14:paraId="114F4C0E"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c>
          <w:tcPr>
            <w:tcW w:w="729" w:type="dxa"/>
            <w:tcBorders>
              <w:top w:val="nil"/>
              <w:left w:val="nil"/>
              <w:bottom w:val="single" w:sz="8" w:space="0" w:color="auto"/>
              <w:right w:val="nil"/>
            </w:tcBorders>
            <w:shd w:val="clear" w:color="000000" w:fill="C6EFCE"/>
            <w:noWrap/>
            <w:vAlign w:val="center"/>
            <w:hideMark/>
          </w:tcPr>
          <w:p w14:paraId="2A255CBA"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C7CE"/>
            <w:noWrap/>
            <w:vAlign w:val="center"/>
            <w:hideMark/>
          </w:tcPr>
          <w:p w14:paraId="7663026A"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single" w:sz="8" w:space="0" w:color="auto"/>
              <w:right w:val="nil"/>
            </w:tcBorders>
            <w:shd w:val="clear" w:color="000000" w:fill="C6EFCE"/>
            <w:noWrap/>
            <w:vAlign w:val="center"/>
            <w:hideMark/>
          </w:tcPr>
          <w:p w14:paraId="4F609B36"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EB9C"/>
            <w:noWrap/>
            <w:vAlign w:val="center"/>
            <w:hideMark/>
          </w:tcPr>
          <w:p w14:paraId="482F4673"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500</w:t>
            </w:r>
          </w:p>
        </w:tc>
      </w:tr>
      <w:tr w:rsidR="00BA4F1D" w:rsidRPr="00423B49" w14:paraId="752E39E6"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3BD0A0FE"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KP-E</w:t>
            </w:r>
          </w:p>
        </w:tc>
        <w:tc>
          <w:tcPr>
            <w:tcW w:w="922" w:type="dxa"/>
            <w:tcBorders>
              <w:top w:val="nil"/>
              <w:left w:val="nil"/>
              <w:bottom w:val="nil"/>
              <w:right w:val="nil"/>
            </w:tcBorders>
            <w:shd w:val="clear" w:color="000000" w:fill="FFFFFF"/>
            <w:noWrap/>
            <w:vAlign w:val="center"/>
            <w:hideMark/>
          </w:tcPr>
          <w:p w14:paraId="4DBCF61B"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FFEB9C"/>
            <w:noWrap/>
            <w:vAlign w:val="center"/>
            <w:hideMark/>
          </w:tcPr>
          <w:p w14:paraId="653A4EBC"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08EB75D7"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nil"/>
              <w:right w:val="nil"/>
            </w:tcBorders>
            <w:shd w:val="clear" w:color="000000" w:fill="FFEB9C"/>
            <w:noWrap/>
            <w:vAlign w:val="center"/>
            <w:hideMark/>
          </w:tcPr>
          <w:p w14:paraId="4C147007"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nil"/>
              <w:right w:val="nil"/>
            </w:tcBorders>
            <w:shd w:val="clear" w:color="000000" w:fill="FFC7CE"/>
            <w:noWrap/>
            <w:vAlign w:val="center"/>
            <w:hideMark/>
          </w:tcPr>
          <w:p w14:paraId="471A9BDA"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nil"/>
              <w:right w:val="nil"/>
            </w:tcBorders>
            <w:shd w:val="clear" w:color="000000" w:fill="C6EFCE"/>
            <w:noWrap/>
            <w:vAlign w:val="center"/>
            <w:hideMark/>
          </w:tcPr>
          <w:p w14:paraId="62D9D5D5"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C7CE"/>
            <w:noWrap/>
            <w:vAlign w:val="center"/>
            <w:hideMark/>
          </w:tcPr>
          <w:p w14:paraId="59ED2BD6"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nil"/>
              <w:right w:val="nil"/>
            </w:tcBorders>
            <w:shd w:val="clear" w:color="000000" w:fill="C6EFCE"/>
            <w:noWrap/>
            <w:vAlign w:val="center"/>
            <w:hideMark/>
          </w:tcPr>
          <w:p w14:paraId="7AB79A50"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C7CE"/>
            <w:noWrap/>
            <w:vAlign w:val="center"/>
            <w:hideMark/>
          </w:tcPr>
          <w:p w14:paraId="70A7ECA4"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r>
      <w:tr w:rsidR="00BA4F1D" w:rsidRPr="00423B49" w14:paraId="0819B881" w14:textId="77777777" w:rsidTr="00C45DC8">
        <w:trPr>
          <w:trHeight w:val="309"/>
          <w:jc w:val="center"/>
        </w:trPr>
        <w:tc>
          <w:tcPr>
            <w:tcW w:w="805" w:type="dxa"/>
            <w:vMerge/>
            <w:tcBorders>
              <w:top w:val="nil"/>
              <w:left w:val="nil"/>
              <w:bottom w:val="single" w:sz="8" w:space="0" w:color="000000"/>
              <w:right w:val="nil"/>
            </w:tcBorders>
            <w:vAlign w:val="center"/>
            <w:hideMark/>
          </w:tcPr>
          <w:p w14:paraId="0970232B"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2E01F0C7"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FFEB9C"/>
            <w:noWrap/>
            <w:vAlign w:val="center"/>
            <w:hideMark/>
          </w:tcPr>
          <w:p w14:paraId="1B7ED910"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6C59FB53"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single" w:sz="8" w:space="0" w:color="auto"/>
              <w:right w:val="nil"/>
            </w:tcBorders>
            <w:shd w:val="clear" w:color="000000" w:fill="FFEB9C"/>
            <w:noWrap/>
            <w:vAlign w:val="center"/>
            <w:hideMark/>
          </w:tcPr>
          <w:p w14:paraId="530B880D"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616" w:type="dxa"/>
            <w:tcBorders>
              <w:top w:val="nil"/>
              <w:left w:val="nil"/>
              <w:bottom w:val="single" w:sz="8" w:space="0" w:color="auto"/>
              <w:right w:val="nil"/>
            </w:tcBorders>
            <w:shd w:val="clear" w:color="000000" w:fill="FFC7CE"/>
            <w:noWrap/>
            <w:vAlign w:val="center"/>
            <w:hideMark/>
          </w:tcPr>
          <w:p w14:paraId="7C6F3FF3"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125</w:t>
            </w:r>
          </w:p>
        </w:tc>
        <w:tc>
          <w:tcPr>
            <w:tcW w:w="729" w:type="dxa"/>
            <w:tcBorders>
              <w:top w:val="nil"/>
              <w:left w:val="nil"/>
              <w:bottom w:val="single" w:sz="8" w:space="0" w:color="auto"/>
              <w:right w:val="nil"/>
            </w:tcBorders>
            <w:shd w:val="clear" w:color="000000" w:fill="C6EFCE"/>
            <w:noWrap/>
            <w:vAlign w:val="center"/>
            <w:hideMark/>
          </w:tcPr>
          <w:p w14:paraId="52F53653"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C7CE"/>
            <w:noWrap/>
            <w:vAlign w:val="center"/>
            <w:hideMark/>
          </w:tcPr>
          <w:p w14:paraId="24320178"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c>
          <w:tcPr>
            <w:tcW w:w="729" w:type="dxa"/>
            <w:tcBorders>
              <w:top w:val="nil"/>
              <w:left w:val="nil"/>
              <w:bottom w:val="single" w:sz="8" w:space="0" w:color="auto"/>
              <w:right w:val="nil"/>
            </w:tcBorders>
            <w:shd w:val="clear" w:color="000000" w:fill="C6EFCE"/>
            <w:noWrap/>
            <w:vAlign w:val="center"/>
            <w:hideMark/>
          </w:tcPr>
          <w:p w14:paraId="2D6F20FA"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C7CE"/>
            <w:noWrap/>
            <w:vAlign w:val="center"/>
            <w:hideMark/>
          </w:tcPr>
          <w:p w14:paraId="1B50DC22" w14:textId="77777777" w:rsidR="00BA4F1D" w:rsidRPr="00423B49" w:rsidRDefault="00BA4F1D" w:rsidP="00C45DC8">
            <w:pPr>
              <w:spacing w:after="0" w:line="240" w:lineRule="auto"/>
              <w:jc w:val="center"/>
              <w:rPr>
                <w:rFonts w:eastAsia="Times New Roman" w:cs="Times New Roman"/>
                <w:color w:val="9C0006"/>
                <w:szCs w:val="20"/>
                <w:lang w:eastAsia="en-GB"/>
              </w:rPr>
            </w:pPr>
            <w:r w:rsidRPr="00423B49">
              <w:rPr>
                <w:rFonts w:eastAsia="Times New Roman" w:cs="Times New Roman"/>
                <w:color w:val="9C0006"/>
                <w:szCs w:val="20"/>
                <w:lang w:eastAsia="en-GB"/>
              </w:rPr>
              <w:t>250</w:t>
            </w:r>
          </w:p>
        </w:tc>
      </w:tr>
      <w:tr w:rsidR="00BA4F1D" w:rsidRPr="00423B49" w14:paraId="058BFCDA" w14:textId="77777777" w:rsidTr="00C45DC8">
        <w:trPr>
          <w:trHeight w:val="294"/>
          <w:jc w:val="center"/>
        </w:trPr>
        <w:tc>
          <w:tcPr>
            <w:tcW w:w="805" w:type="dxa"/>
            <w:vMerge w:val="restart"/>
            <w:tcBorders>
              <w:top w:val="nil"/>
              <w:left w:val="nil"/>
              <w:bottom w:val="single" w:sz="8" w:space="0" w:color="000000"/>
              <w:right w:val="nil"/>
            </w:tcBorders>
            <w:shd w:val="clear" w:color="000000" w:fill="FFFFFF"/>
            <w:noWrap/>
            <w:vAlign w:val="center"/>
            <w:hideMark/>
          </w:tcPr>
          <w:p w14:paraId="5DC7F086" w14:textId="77777777" w:rsidR="00BA4F1D" w:rsidRPr="00423B49" w:rsidRDefault="00BA4F1D" w:rsidP="00C45DC8">
            <w:pPr>
              <w:spacing w:after="0" w:line="240" w:lineRule="auto"/>
              <w:jc w:val="center"/>
              <w:rPr>
                <w:rFonts w:eastAsia="Times New Roman" w:cs="Times New Roman"/>
                <w:b/>
                <w:bCs/>
                <w:color w:val="000000"/>
                <w:szCs w:val="20"/>
                <w:lang w:eastAsia="en-GB"/>
              </w:rPr>
            </w:pPr>
            <w:r w:rsidRPr="00423B49">
              <w:rPr>
                <w:rFonts w:eastAsia="Times New Roman" w:cs="Times New Roman"/>
                <w:b/>
                <w:bCs/>
                <w:color w:val="000000"/>
                <w:szCs w:val="20"/>
                <w:lang w:eastAsia="en-GB"/>
              </w:rPr>
              <w:t>PA</w:t>
            </w:r>
          </w:p>
        </w:tc>
        <w:tc>
          <w:tcPr>
            <w:tcW w:w="922" w:type="dxa"/>
            <w:tcBorders>
              <w:top w:val="nil"/>
              <w:left w:val="nil"/>
              <w:bottom w:val="nil"/>
              <w:right w:val="nil"/>
            </w:tcBorders>
            <w:shd w:val="clear" w:color="000000" w:fill="FFFFFF"/>
            <w:noWrap/>
            <w:vAlign w:val="center"/>
            <w:hideMark/>
          </w:tcPr>
          <w:p w14:paraId="5A631F57"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24</w:t>
            </w:r>
          </w:p>
        </w:tc>
        <w:tc>
          <w:tcPr>
            <w:tcW w:w="729" w:type="dxa"/>
            <w:tcBorders>
              <w:top w:val="nil"/>
              <w:left w:val="nil"/>
              <w:bottom w:val="nil"/>
              <w:right w:val="nil"/>
            </w:tcBorders>
            <w:shd w:val="clear" w:color="000000" w:fill="C6EFCE"/>
            <w:noWrap/>
            <w:vAlign w:val="center"/>
            <w:hideMark/>
          </w:tcPr>
          <w:p w14:paraId="27B64491"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EB9C"/>
            <w:noWrap/>
            <w:vAlign w:val="center"/>
            <w:hideMark/>
          </w:tcPr>
          <w:p w14:paraId="1671411A"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729" w:type="dxa"/>
            <w:tcBorders>
              <w:top w:val="nil"/>
              <w:left w:val="nil"/>
              <w:bottom w:val="nil"/>
              <w:right w:val="nil"/>
            </w:tcBorders>
            <w:shd w:val="clear" w:color="000000" w:fill="C6EFCE"/>
            <w:noWrap/>
            <w:vAlign w:val="center"/>
            <w:hideMark/>
          </w:tcPr>
          <w:p w14:paraId="11DB2E6E"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EB9C"/>
            <w:noWrap/>
            <w:vAlign w:val="center"/>
            <w:hideMark/>
          </w:tcPr>
          <w:p w14:paraId="2090FD57"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729" w:type="dxa"/>
            <w:tcBorders>
              <w:top w:val="nil"/>
              <w:left w:val="nil"/>
              <w:bottom w:val="nil"/>
              <w:right w:val="nil"/>
            </w:tcBorders>
            <w:shd w:val="clear" w:color="000000" w:fill="C6EFCE"/>
            <w:noWrap/>
            <w:vAlign w:val="center"/>
            <w:hideMark/>
          </w:tcPr>
          <w:p w14:paraId="7553C21A"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EB9C"/>
            <w:noWrap/>
            <w:vAlign w:val="center"/>
            <w:hideMark/>
          </w:tcPr>
          <w:p w14:paraId="294A54EF"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729" w:type="dxa"/>
            <w:tcBorders>
              <w:top w:val="nil"/>
              <w:left w:val="nil"/>
              <w:bottom w:val="nil"/>
              <w:right w:val="nil"/>
            </w:tcBorders>
            <w:shd w:val="clear" w:color="000000" w:fill="C6EFCE"/>
            <w:noWrap/>
            <w:vAlign w:val="center"/>
            <w:hideMark/>
          </w:tcPr>
          <w:p w14:paraId="23A92779"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nil"/>
              <w:right w:val="nil"/>
            </w:tcBorders>
            <w:shd w:val="clear" w:color="000000" w:fill="FFEB9C"/>
            <w:noWrap/>
            <w:vAlign w:val="center"/>
            <w:hideMark/>
          </w:tcPr>
          <w:p w14:paraId="2B5C0DD9"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r>
      <w:tr w:rsidR="00BA4F1D" w:rsidRPr="00423B49" w14:paraId="1525CF5E" w14:textId="77777777" w:rsidTr="00C45DC8">
        <w:trPr>
          <w:trHeight w:val="309"/>
          <w:jc w:val="center"/>
        </w:trPr>
        <w:tc>
          <w:tcPr>
            <w:tcW w:w="805" w:type="dxa"/>
            <w:vMerge/>
            <w:tcBorders>
              <w:top w:val="nil"/>
              <w:left w:val="nil"/>
              <w:bottom w:val="single" w:sz="8" w:space="0" w:color="000000"/>
              <w:right w:val="nil"/>
            </w:tcBorders>
            <w:vAlign w:val="center"/>
            <w:hideMark/>
          </w:tcPr>
          <w:p w14:paraId="666FE174" w14:textId="77777777" w:rsidR="00BA4F1D" w:rsidRPr="00423B49" w:rsidRDefault="00BA4F1D" w:rsidP="00C45DC8">
            <w:pPr>
              <w:spacing w:after="0" w:line="240" w:lineRule="auto"/>
              <w:jc w:val="center"/>
              <w:rPr>
                <w:rFonts w:eastAsia="Times New Roman" w:cs="Times New Roman"/>
                <w:b/>
                <w:bCs/>
                <w:color w:val="000000"/>
                <w:szCs w:val="20"/>
                <w:lang w:eastAsia="en-GB"/>
              </w:rPr>
            </w:pPr>
          </w:p>
        </w:tc>
        <w:tc>
          <w:tcPr>
            <w:tcW w:w="922" w:type="dxa"/>
            <w:tcBorders>
              <w:top w:val="nil"/>
              <w:left w:val="nil"/>
              <w:bottom w:val="single" w:sz="8" w:space="0" w:color="auto"/>
              <w:right w:val="nil"/>
            </w:tcBorders>
            <w:shd w:val="clear" w:color="000000" w:fill="FFFFFF"/>
            <w:noWrap/>
            <w:vAlign w:val="center"/>
            <w:hideMark/>
          </w:tcPr>
          <w:p w14:paraId="6D290A10" w14:textId="77777777" w:rsidR="00BA4F1D" w:rsidRPr="00423B49" w:rsidRDefault="00BA4F1D" w:rsidP="00C45DC8">
            <w:pPr>
              <w:spacing w:after="0" w:line="240" w:lineRule="auto"/>
              <w:jc w:val="center"/>
              <w:rPr>
                <w:rFonts w:eastAsia="Times New Roman" w:cs="Times New Roman"/>
                <w:color w:val="000000"/>
                <w:szCs w:val="20"/>
                <w:lang w:eastAsia="en-GB"/>
              </w:rPr>
            </w:pPr>
            <w:r w:rsidRPr="00423B49">
              <w:rPr>
                <w:rFonts w:eastAsia="Times New Roman" w:cs="Times New Roman"/>
                <w:color w:val="000000"/>
                <w:szCs w:val="20"/>
                <w:lang w:eastAsia="en-GB"/>
              </w:rPr>
              <w:t>48</w:t>
            </w:r>
          </w:p>
        </w:tc>
        <w:tc>
          <w:tcPr>
            <w:tcW w:w="729" w:type="dxa"/>
            <w:tcBorders>
              <w:top w:val="nil"/>
              <w:left w:val="nil"/>
              <w:bottom w:val="single" w:sz="8" w:space="0" w:color="auto"/>
              <w:right w:val="nil"/>
            </w:tcBorders>
            <w:shd w:val="clear" w:color="000000" w:fill="C6EFCE"/>
            <w:noWrap/>
            <w:vAlign w:val="center"/>
            <w:hideMark/>
          </w:tcPr>
          <w:p w14:paraId="5A73E95E"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EB9C"/>
            <w:noWrap/>
            <w:vAlign w:val="center"/>
            <w:hideMark/>
          </w:tcPr>
          <w:p w14:paraId="2BCCA82C"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729" w:type="dxa"/>
            <w:tcBorders>
              <w:top w:val="nil"/>
              <w:left w:val="nil"/>
              <w:bottom w:val="single" w:sz="8" w:space="0" w:color="auto"/>
              <w:right w:val="nil"/>
            </w:tcBorders>
            <w:shd w:val="clear" w:color="000000" w:fill="C6EFCE"/>
            <w:noWrap/>
            <w:vAlign w:val="center"/>
            <w:hideMark/>
          </w:tcPr>
          <w:p w14:paraId="655C5E79"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EB9C"/>
            <w:noWrap/>
            <w:vAlign w:val="center"/>
            <w:hideMark/>
          </w:tcPr>
          <w:p w14:paraId="23A13488"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2000</w:t>
            </w:r>
          </w:p>
        </w:tc>
        <w:tc>
          <w:tcPr>
            <w:tcW w:w="729" w:type="dxa"/>
            <w:tcBorders>
              <w:top w:val="nil"/>
              <w:left w:val="nil"/>
              <w:bottom w:val="single" w:sz="8" w:space="0" w:color="auto"/>
              <w:right w:val="nil"/>
            </w:tcBorders>
            <w:shd w:val="clear" w:color="000000" w:fill="C6EFCE"/>
            <w:noWrap/>
            <w:vAlign w:val="center"/>
            <w:hideMark/>
          </w:tcPr>
          <w:p w14:paraId="7A690072"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EB9C"/>
            <w:noWrap/>
            <w:vAlign w:val="center"/>
            <w:hideMark/>
          </w:tcPr>
          <w:p w14:paraId="29431AB7"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c>
          <w:tcPr>
            <w:tcW w:w="729" w:type="dxa"/>
            <w:tcBorders>
              <w:top w:val="nil"/>
              <w:left w:val="nil"/>
              <w:bottom w:val="single" w:sz="8" w:space="0" w:color="auto"/>
              <w:right w:val="nil"/>
            </w:tcBorders>
            <w:shd w:val="clear" w:color="000000" w:fill="C6EFCE"/>
            <w:noWrap/>
            <w:vAlign w:val="center"/>
            <w:hideMark/>
          </w:tcPr>
          <w:p w14:paraId="0E64975B" w14:textId="77777777" w:rsidR="00BA4F1D" w:rsidRPr="00423B49" w:rsidRDefault="00BA4F1D" w:rsidP="00C45DC8">
            <w:pPr>
              <w:spacing w:after="0" w:line="240" w:lineRule="auto"/>
              <w:jc w:val="center"/>
              <w:rPr>
                <w:rFonts w:eastAsia="Times New Roman" w:cs="Times New Roman"/>
                <w:color w:val="006100"/>
                <w:szCs w:val="20"/>
                <w:lang w:eastAsia="en-GB"/>
              </w:rPr>
            </w:pPr>
            <w:r w:rsidRPr="00423B49">
              <w:rPr>
                <w:rFonts w:eastAsia="Times New Roman" w:cs="Times New Roman"/>
                <w:color w:val="006100"/>
                <w:szCs w:val="20"/>
                <w:lang w:eastAsia="en-GB"/>
              </w:rPr>
              <w:t>&gt;2000</w:t>
            </w:r>
          </w:p>
        </w:tc>
        <w:tc>
          <w:tcPr>
            <w:tcW w:w="616" w:type="dxa"/>
            <w:tcBorders>
              <w:top w:val="nil"/>
              <w:left w:val="nil"/>
              <w:bottom w:val="single" w:sz="8" w:space="0" w:color="auto"/>
              <w:right w:val="nil"/>
            </w:tcBorders>
            <w:shd w:val="clear" w:color="000000" w:fill="FFEB9C"/>
            <w:noWrap/>
            <w:vAlign w:val="center"/>
            <w:hideMark/>
          </w:tcPr>
          <w:p w14:paraId="440F2C5D" w14:textId="77777777" w:rsidR="00BA4F1D" w:rsidRPr="00423B49" w:rsidRDefault="00BA4F1D" w:rsidP="00C45DC8">
            <w:pPr>
              <w:spacing w:after="0" w:line="240" w:lineRule="auto"/>
              <w:jc w:val="center"/>
              <w:rPr>
                <w:rFonts w:eastAsia="Times New Roman" w:cs="Times New Roman"/>
                <w:color w:val="9C5700"/>
                <w:szCs w:val="20"/>
                <w:lang w:eastAsia="en-GB"/>
              </w:rPr>
            </w:pPr>
            <w:r w:rsidRPr="00423B49">
              <w:rPr>
                <w:rFonts w:eastAsia="Times New Roman" w:cs="Times New Roman"/>
                <w:color w:val="9C5700"/>
                <w:szCs w:val="20"/>
                <w:lang w:eastAsia="en-GB"/>
              </w:rPr>
              <w:t>1000</w:t>
            </w:r>
          </w:p>
        </w:tc>
      </w:tr>
    </w:tbl>
    <w:p w14:paraId="66910BFC" w14:textId="77777777" w:rsidR="00BA4F1D" w:rsidRPr="001D7427" w:rsidRDefault="00BA4F1D" w:rsidP="00BA4F1D">
      <w:pPr>
        <w:spacing w:line="360" w:lineRule="auto"/>
        <w:jc w:val="center"/>
        <w:rPr>
          <w:rFonts w:cs="Times New Roman"/>
        </w:rPr>
      </w:pPr>
      <w:r w:rsidRPr="001D7427">
        <w:rPr>
          <w:rFonts w:cs="Times New Roman"/>
          <w:vertAlign w:val="superscript"/>
        </w:rPr>
        <w:t>a</w:t>
      </w:r>
      <w:r w:rsidRPr="001D7427">
        <w:rPr>
          <w:rFonts w:cs="Times New Roman"/>
        </w:rPr>
        <w:t xml:space="preserve">SA: </w:t>
      </w:r>
      <w:r w:rsidRPr="00E10833">
        <w:rPr>
          <w:rFonts w:cs="Times New Roman"/>
          <w:i/>
        </w:rPr>
        <w:t>S</w:t>
      </w:r>
      <w:r>
        <w:rPr>
          <w:rFonts w:cs="Times New Roman"/>
          <w:i/>
        </w:rPr>
        <w:t>.</w:t>
      </w:r>
      <w:r w:rsidRPr="00E10833">
        <w:rPr>
          <w:rFonts w:cs="Times New Roman"/>
          <w:i/>
        </w:rPr>
        <w:t xml:space="preserve"> aureus</w:t>
      </w:r>
      <w:r w:rsidRPr="001D7427">
        <w:rPr>
          <w:rFonts w:cs="Times New Roman"/>
        </w:rPr>
        <w:t xml:space="preserve"> ATTC 6538, MRSA: </w:t>
      </w:r>
      <w:r w:rsidRPr="00E10833">
        <w:rPr>
          <w:rFonts w:cs="Times New Roman"/>
          <w:i/>
        </w:rPr>
        <w:t>S</w:t>
      </w:r>
      <w:r>
        <w:rPr>
          <w:rFonts w:cs="Times New Roman"/>
          <w:i/>
        </w:rPr>
        <w:t>.</w:t>
      </w:r>
      <w:r w:rsidRPr="00E10833">
        <w:rPr>
          <w:rFonts w:cs="Times New Roman"/>
          <w:i/>
        </w:rPr>
        <w:t xml:space="preserve"> aureus</w:t>
      </w:r>
      <w:r w:rsidRPr="001D7427">
        <w:rPr>
          <w:rFonts w:cs="Times New Roman"/>
        </w:rPr>
        <w:t xml:space="preserve"> MRSA HK5996/08, SE: </w:t>
      </w:r>
      <w:r w:rsidRPr="00E10833">
        <w:rPr>
          <w:rFonts w:cs="Times New Roman"/>
          <w:i/>
        </w:rPr>
        <w:t>S</w:t>
      </w:r>
      <w:r>
        <w:rPr>
          <w:rFonts w:cs="Times New Roman"/>
          <w:i/>
        </w:rPr>
        <w:t>.</w:t>
      </w:r>
      <w:r w:rsidRPr="00E10833">
        <w:rPr>
          <w:rFonts w:cs="Times New Roman"/>
          <w:i/>
        </w:rPr>
        <w:t xml:space="preserve"> epidermidis</w:t>
      </w:r>
      <w:r w:rsidRPr="001D7427">
        <w:rPr>
          <w:rFonts w:cs="Times New Roman"/>
        </w:rPr>
        <w:t xml:space="preserve"> HK6966/08,</w:t>
      </w:r>
      <w:r>
        <w:rPr>
          <w:rFonts w:cs="Times New Roman"/>
        </w:rPr>
        <w:t xml:space="preserve"> </w:t>
      </w:r>
      <w:r w:rsidRPr="001D7427">
        <w:rPr>
          <w:rFonts w:cs="Times New Roman"/>
        </w:rPr>
        <w:t xml:space="preserve">EF: </w:t>
      </w:r>
      <w:r w:rsidRPr="00E10833">
        <w:rPr>
          <w:rFonts w:cs="Times New Roman"/>
          <w:i/>
        </w:rPr>
        <w:t>E</w:t>
      </w:r>
      <w:r>
        <w:rPr>
          <w:rFonts w:cs="Times New Roman"/>
          <w:i/>
        </w:rPr>
        <w:t>.</w:t>
      </w:r>
      <w:r w:rsidRPr="00E10833">
        <w:rPr>
          <w:rFonts w:cs="Times New Roman"/>
          <w:i/>
        </w:rPr>
        <w:t xml:space="preserve"> sp.</w:t>
      </w:r>
      <w:r w:rsidRPr="001D7427">
        <w:rPr>
          <w:rFonts w:cs="Times New Roman"/>
        </w:rPr>
        <w:t xml:space="preserve"> HK14365/08, EC: </w:t>
      </w:r>
      <w:r w:rsidRPr="00E10833">
        <w:rPr>
          <w:rFonts w:cs="Times New Roman"/>
          <w:i/>
        </w:rPr>
        <w:t>E</w:t>
      </w:r>
      <w:r>
        <w:rPr>
          <w:rFonts w:cs="Times New Roman"/>
          <w:i/>
        </w:rPr>
        <w:t xml:space="preserve">. </w:t>
      </w:r>
      <w:r w:rsidRPr="00E10833">
        <w:rPr>
          <w:rFonts w:cs="Times New Roman"/>
          <w:i/>
        </w:rPr>
        <w:t>coli</w:t>
      </w:r>
      <w:r>
        <w:rPr>
          <w:rFonts w:cs="Times New Roman"/>
        </w:rPr>
        <w:t xml:space="preserve"> ATTC 8739, </w:t>
      </w:r>
      <w:r w:rsidRPr="001D7427">
        <w:rPr>
          <w:rFonts w:cs="Times New Roman"/>
        </w:rPr>
        <w:t xml:space="preserve">KP: </w:t>
      </w:r>
      <w:r w:rsidRPr="00E10833">
        <w:rPr>
          <w:rFonts w:cs="Times New Roman"/>
          <w:i/>
        </w:rPr>
        <w:t>K</w:t>
      </w:r>
      <w:r>
        <w:rPr>
          <w:rFonts w:cs="Times New Roman"/>
          <w:i/>
        </w:rPr>
        <w:t>.</w:t>
      </w:r>
      <w:r w:rsidRPr="00E10833">
        <w:rPr>
          <w:rFonts w:cs="Times New Roman"/>
          <w:i/>
        </w:rPr>
        <w:t xml:space="preserve"> pneumoniae</w:t>
      </w:r>
      <w:r w:rsidRPr="001D7427">
        <w:rPr>
          <w:rFonts w:cs="Times New Roman"/>
        </w:rPr>
        <w:t xml:space="preserve"> HK11750/08, KP-E: </w:t>
      </w:r>
      <w:r w:rsidRPr="00E10833">
        <w:rPr>
          <w:rFonts w:cs="Times New Roman"/>
          <w:i/>
        </w:rPr>
        <w:t>K</w:t>
      </w:r>
      <w:r>
        <w:rPr>
          <w:rFonts w:cs="Times New Roman"/>
          <w:i/>
        </w:rPr>
        <w:t>.</w:t>
      </w:r>
      <w:r w:rsidRPr="00E10833">
        <w:rPr>
          <w:rFonts w:cs="Times New Roman"/>
          <w:i/>
        </w:rPr>
        <w:t xml:space="preserve"> pneumoniae ESBL</w:t>
      </w:r>
      <w:r w:rsidRPr="001D7427">
        <w:rPr>
          <w:rFonts w:cs="Times New Roman"/>
        </w:rPr>
        <w:t xml:space="preserve"> HK14368/08</w:t>
      </w:r>
      <w:r>
        <w:rPr>
          <w:rFonts w:cs="Times New Roman"/>
        </w:rPr>
        <w:t>,</w:t>
      </w:r>
      <w:r w:rsidRPr="00E10833">
        <w:rPr>
          <w:rFonts w:cs="Times New Roman"/>
        </w:rPr>
        <w:t xml:space="preserve"> </w:t>
      </w:r>
      <w:r w:rsidRPr="001D7427">
        <w:rPr>
          <w:rFonts w:cs="Times New Roman"/>
        </w:rPr>
        <w:t xml:space="preserve">PA: </w:t>
      </w:r>
      <w:r w:rsidRPr="00E10833">
        <w:rPr>
          <w:rFonts w:cs="Times New Roman"/>
          <w:i/>
        </w:rPr>
        <w:t>P</w:t>
      </w:r>
      <w:r>
        <w:rPr>
          <w:rFonts w:cs="Times New Roman"/>
          <w:i/>
        </w:rPr>
        <w:t>.</w:t>
      </w:r>
      <w:r w:rsidRPr="00E10833">
        <w:rPr>
          <w:rFonts w:cs="Times New Roman"/>
          <w:i/>
        </w:rPr>
        <w:t xml:space="preserve"> aeruginosa</w:t>
      </w:r>
      <w:r w:rsidRPr="001D7427">
        <w:rPr>
          <w:rFonts w:cs="Times New Roman"/>
        </w:rPr>
        <w:t xml:space="preserve"> ATTC 9027</w:t>
      </w:r>
      <w:r>
        <w:rPr>
          <w:rFonts w:cs="Times New Roman"/>
        </w:rPr>
        <w:t>.</w:t>
      </w:r>
    </w:p>
    <w:p w14:paraId="65CF3281" w14:textId="59FAB2CC" w:rsidR="004F65D2" w:rsidRPr="00783958" w:rsidRDefault="004F65D2" w:rsidP="009012E7">
      <w:pPr>
        <w:spacing w:line="480" w:lineRule="auto"/>
        <w:jc w:val="both"/>
        <w:rPr>
          <w:rFonts w:cs="Times New Roman"/>
          <w:sz w:val="24"/>
        </w:rPr>
      </w:pPr>
      <w:r w:rsidRPr="00783958">
        <w:rPr>
          <w:rFonts w:cs="Times New Roman"/>
          <w:sz w:val="24"/>
        </w:rPr>
        <w:t>In each class of IL, t</w:t>
      </w:r>
      <w:r w:rsidR="00906AC5" w:rsidRPr="00783958">
        <w:rPr>
          <w:rFonts w:cs="Times New Roman"/>
          <w:sz w:val="24"/>
        </w:rPr>
        <w:t xml:space="preserve">he anion </w:t>
      </w:r>
      <w:r w:rsidR="005519F7" w:rsidRPr="00783958">
        <w:rPr>
          <w:rFonts w:cs="Times New Roman"/>
          <w:sz w:val="24"/>
        </w:rPr>
        <w:t>wa</w:t>
      </w:r>
      <w:r w:rsidRPr="00783958">
        <w:rPr>
          <w:rFonts w:cs="Times New Roman"/>
          <w:sz w:val="24"/>
        </w:rPr>
        <w:t>s found to</w:t>
      </w:r>
      <w:r w:rsidR="00906AC5" w:rsidRPr="00783958">
        <w:rPr>
          <w:rFonts w:cs="Times New Roman"/>
          <w:sz w:val="24"/>
        </w:rPr>
        <w:t xml:space="preserve"> influence the </w:t>
      </w:r>
      <w:r w:rsidRPr="00783958">
        <w:rPr>
          <w:rFonts w:cs="Times New Roman"/>
          <w:sz w:val="24"/>
        </w:rPr>
        <w:t xml:space="preserve">antibacterial activity </w:t>
      </w:r>
      <w:r w:rsidR="00906AC5" w:rsidRPr="00783958">
        <w:rPr>
          <w:rFonts w:cs="Times New Roman"/>
          <w:sz w:val="24"/>
        </w:rPr>
        <w:t>of the ILs</w:t>
      </w:r>
      <w:r w:rsidR="00670CC9">
        <w:rPr>
          <w:rFonts w:cs="Times New Roman"/>
          <w:sz w:val="24"/>
        </w:rPr>
        <w:t xml:space="preserve"> in Table 4</w:t>
      </w:r>
      <w:r w:rsidRPr="00783958">
        <w:rPr>
          <w:rFonts w:cs="Times New Roman"/>
          <w:sz w:val="24"/>
        </w:rPr>
        <w:t xml:space="preserve"> </w:t>
      </w:r>
      <w:r w:rsidR="000D6141" w:rsidRPr="00783958">
        <w:rPr>
          <w:rFonts w:cs="Times New Roman"/>
          <w:sz w:val="24"/>
        </w:rPr>
        <w:t>differently</w:t>
      </w:r>
      <w:r w:rsidR="00906AC5" w:rsidRPr="00783958">
        <w:rPr>
          <w:rFonts w:cs="Times New Roman"/>
          <w:sz w:val="24"/>
        </w:rPr>
        <w:t>.</w:t>
      </w:r>
      <w:r w:rsidRPr="00783958">
        <w:rPr>
          <w:rFonts w:cs="Times New Roman"/>
          <w:sz w:val="24"/>
        </w:rPr>
        <w:t xml:space="preserve"> For AILs, the trend of observed microtoxicity follows [Et</w:t>
      </w:r>
      <w:r w:rsidR="00115DB8" w:rsidRPr="00783958">
        <w:rPr>
          <w:rFonts w:cs="Times New Roman"/>
          <w:sz w:val="24"/>
        </w:rPr>
        <w:t>O</w:t>
      </w:r>
      <w:r w:rsidRPr="00783958">
        <w:rPr>
          <w:rFonts w:cs="Times New Roman"/>
          <w:sz w:val="24"/>
        </w:rPr>
        <w:t xml:space="preserve">Pr] &lt; [Md] &lt; [Hx] </w:t>
      </w:r>
      <w:r w:rsidRPr="00783958">
        <w:rPr>
          <w:rFonts w:asciiTheme="majorHAnsi" w:hAnsiTheme="majorHAnsi" w:cstheme="majorHAnsi"/>
          <w:sz w:val="24"/>
        </w:rPr>
        <w:t>≈</w:t>
      </w:r>
      <w:r w:rsidRPr="00783958">
        <w:rPr>
          <w:rFonts w:cs="Times New Roman"/>
          <w:sz w:val="24"/>
        </w:rPr>
        <w:t xml:space="preserve"> [OAc], and for PILs the trend follows [OAc] &lt; [Hx] </w:t>
      </w:r>
      <w:r w:rsidRPr="00783958">
        <w:rPr>
          <w:rFonts w:asciiTheme="majorHAnsi" w:hAnsiTheme="majorHAnsi" w:cstheme="majorHAnsi"/>
          <w:sz w:val="24"/>
        </w:rPr>
        <w:t xml:space="preserve">≈ [Md] &lt; [EtOPr]. </w:t>
      </w:r>
      <w:r w:rsidR="00115DB8" w:rsidRPr="00783958">
        <w:rPr>
          <w:rFonts w:asciiTheme="majorHAnsi" w:hAnsiTheme="majorHAnsi" w:cstheme="majorHAnsi"/>
          <w:sz w:val="24"/>
        </w:rPr>
        <w:t>Although</w:t>
      </w:r>
      <w:r w:rsidRPr="00783958">
        <w:rPr>
          <w:rFonts w:asciiTheme="majorHAnsi" w:hAnsiTheme="majorHAnsi" w:cstheme="majorHAnsi"/>
          <w:sz w:val="24"/>
        </w:rPr>
        <w:t>, t</w:t>
      </w:r>
      <w:r w:rsidR="00A12063" w:rsidRPr="00783958">
        <w:rPr>
          <w:rFonts w:cs="Times New Roman"/>
          <w:sz w:val="24"/>
        </w:rPr>
        <w:t xml:space="preserve">he ILs </w:t>
      </w:r>
      <w:r w:rsidR="00A12063" w:rsidRPr="00783958">
        <w:rPr>
          <w:rFonts w:cs="Times New Roman"/>
          <w:b/>
          <w:sz w:val="24"/>
        </w:rPr>
        <w:t xml:space="preserve">3a </w:t>
      </w:r>
      <w:r w:rsidR="00A12063" w:rsidRPr="00783958">
        <w:rPr>
          <w:rFonts w:cs="Times New Roman"/>
          <w:sz w:val="24"/>
        </w:rPr>
        <w:t xml:space="preserve">and </w:t>
      </w:r>
      <w:r w:rsidR="00A12063" w:rsidRPr="00783958">
        <w:rPr>
          <w:rFonts w:cs="Times New Roman"/>
          <w:b/>
          <w:sz w:val="24"/>
        </w:rPr>
        <w:t>6a</w:t>
      </w:r>
      <w:r w:rsidRPr="00783958">
        <w:rPr>
          <w:rFonts w:cs="Times New Roman"/>
          <w:sz w:val="24"/>
        </w:rPr>
        <w:t>, featuring the [OAc]</w:t>
      </w:r>
      <w:r w:rsidR="00A12063" w:rsidRPr="00783958">
        <w:rPr>
          <w:rFonts w:cs="Times New Roman"/>
          <w:sz w:val="24"/>
        </w:rPr>
        <w:t xml:space="preserve"> anion</w:t>
      </w:r>
      <w:r w:rsidR="00025ADB">
        <w:rPr>
          <w:rFonts w:cs="Times New Roman"/>
          <w:sz w:val="24"/>
        </w:rPr>
        <w:t>,</w:t>
      </w:r>
      <w:r w:rsidR="00A12063" w:rsidRPr="00783958">
        <w:rPr>
          <w:rFonts w:cs="Times New Roman"/>
          <w:sz w:val="24"/>
        </w:rPr>
        <w:t xml:space="preserve"> have the most similar IC</w:t>
      </w:r>
      <w:r w:rsidR="00A12063" w:rsidRPr="00783958">
        <w:rPr>
          <w:rFonts w:cs="Times New Roman"/>
          <w:sz w:val="24"/>
          <w:vertAlign w:val="subscript"/>
        </w:rPr>
        <w:t>95</w:t>
      </w:r>
      <w:r w:rsidR="00A12063" w:rsidRPr="00783958">
        <w:rPr>
          <w:rFonts w:cs="Times New Roman"/>
          <w:sz w:val="24"/>
        </w:rPr>
        <w:t xml:space="preserve"> </w:t>
      </w:r>
      <w:r w:rsidR="00115DB8" w:rsidRPr="00783958">
        <w:rPr>
          <w:rFonts w:cs="Times New Roman"/>
          <w:sz w:val="24"/>
        </w:rPr>
        <w:t xml:space="preserve">values </w:t>
      </w:r>
      <w:r w:rsidR="00A12063" w:rsidRPr="00783958">
        <w:rPr>
          <w:rFonts w:cs="Times New Roman"/>
          <w:sz w:val="24"/>
        </w:rPr>
        <w:t xml:space="preserve">when considering all bacteria strains studied, whereas the MICs of the PILs </w:t>
      </w:r>
      <w:r w:rsidR="00A12063" w:rsidRPr="00783958">
        <w:rPr>
          <w:rFonts w:cs="Times New Roman"/>
          <w:b/>
          <w:sz w:val="24"/>
        </w:rPr>
        <w:t>3b-d</w:t>
      </w:r>
      <w:r w:rsidR="00A12063" w:rsidRPr="00783958">
        <w:rPr>
          <w:rFonts w:cs="Times New Roman"/>
          <w:sz w:val="24"/>
        </w:rPr>
        <w:t xml:space="preserve"> </w:t>
      </w:r>
      <w:r w:rsidR="003C7E89" w:rsidRPr="00783958">
        <w:rPr>
          <w:rFonts w:cs="Times New Roman"/>
          <w:sz w:val="24"/>
        </w:rPr>
        <w:t xml:space="preserve">were </w:t>
      </w:r>
      <w:r w:rsidR="00A12063" w:rsidRPr="00783958">
        <w:rPr>
          <w:rFonts w:cs="Times New Roman"/>
          <w:sz w:val="24"/>
        </w:rPr>
        <w:t>much lower than the MICs of their analogous aprotic structures</w:t>
      </w:r>
      <w:r w:rsidR="00115DB8" w:rsidRPr="00783958">
        <w:rPr>
          <w:rFonts w:cs="Times New Roman"/>
          <w:sz w:val="24"/>
        </w:rPr>
        <w:t xml:space="preserve"> (</w:t>
      </w:r>
      <w:r w:rsidR="00115DB8" w:rsidRPr="00783958">
        <w:rPr>
          <w:rFonts w:cs="Times New Roman"/>
          <w:b/>
          <w:sz w:val="24"/>
        </w:rPr>
        <w:t>6a–6d</w:t>
      </w:r>
      <w:r w:rsidR="00115DB8" w:rsidRPr="00783958">
        <w:rPr>
          <w:rFonts w:cs="Times New Roman"/>
          <w:sz w:val="24"/>
        </w:rPr>
        <w:t>)</w:t>
      </w:r>
      <w:r w:rsidR="00A12063" w:rsidRPr="00783958">
        <w:rPr>
          <w:rFonts w:cs="Times New Roman"/>
          <w:sz w:val="24"/>
        </w:rPr>
        <w:t xml:space="preserve">. </w:t>
      </w:r>
    </w:p>
    <w:p w14:paraId="1D472059" w14:textId="77777777" w:rsidR="00296FF2" w:rsidRDefault="00296FF2">
      <w:pPr>
        <w:rPr>
          <w:rFonts w:cs="Times New Roman"/>
          <w:b/>
          <w:sz w:val="24"/>
        </w:rPr>
      </w:pPr>
      <w:r>
        <w:rPr>
          <w:rFonts w:cs="Times New Roman"/>
          <w:b/>
          <w:sz w:val="24"/>
        </w:rPr>
        <w:br w:type="page"/>
      </w:r>
    </w:p>
    <w:p w14:paraId="141FA6CB" w14:textId="64C33920" w:rsidR="009B1792" w:rsidRPr="00783958" w:rsidRDefault="00BE5FCE" w:rsidP="009B1792">
      <w:pPr>
        <w:spacing w:line="480" w:lineRule="auto"/>
        <w:jc w:val="both"/>
        <w:rPr>
          <w:rFonts w:cs="Times New Roman"/>
          <w:sz w:val="24"/>
        </w:rPr>
      </w:pPr>
      <w:r w:rsidRPr="00783958">
        <w:rPr>
          <w:sz w:val="24"/>
        </w:rPr>
        <w:lastRenderedPageBreak/>
        <w:t>In terms of</w:t>
      </w:r>
      <w:r w:rsidR="00C310AD" w:rsidRPr="00783958">
        <w:rPr>
          <w:sz w:val="24"/>
        </w:rPr>
        <w:t xml:space="preserve"> relative </w:t>
      </w:r>
      <w:r w:rsidR="00850680" w:rsidRPr="00783958">
        <w:rPr>
          <w:sz w:val="24"/>
        </w:rPr>
        <w:t xml:space="preserve">bacterial </w:t>
      </w:r>
      <w:r w:rsidR="00C310AD" w:rsidRPr="00783958">
        <w:rPr>
          <w:sz w:val="24"/>
        </w:rPr>
        <w:t>toxicity</w:t>
      </w:r>
      <w:r w:rsidR="004419B8" w:rsidRPr="00783958">
        <w:rPr>
          <w:sz w:val="24"/>
        </w:rPr>
        <w:t xml:space="preserve"> towards the strains used in this</w:t>
      </w:r>
      <w:r w:rsidR="00C310AD" w:rsidRPr="00783958">
        <w:rPr>
          <w:sz w:val="24"/>
        </w:rPr>
        <w:t xml:space="preserve"> screening</w:t>
      </w:r>
      <w:r w:rsidR="00F91C9E" w:rsidRPr="00783958">
        <w:rPr>
          <w:sz w:val="24"/>
        </w:rPr>
        <w:t>,</w:t>
      </w:r>
      <w:r w:rsidR="0030549C" w:rsidRPr="00783958">
        <w:rPr>
          <w:sz w:val="24"/>
        </w:rPr>
        <w:t xml:space="preserve"> both </w:t>
      </w:r>
      <w:r w:rsidR="00850680" w:rsidRPr="00783958">
        <w:rPr>
          <w:sz w:val="24"/>
        </w:rPr>
        <w:t xml:space="preserve">AILs and PILs </w:t>
      </w:r>
      <w:r w:rsidR="0030549C" w:rsidRPr="00783958">
        <w:rPr>
          <w:sz w:val="24"/>
        </w:rPr>
        <w:t>classes of ILs show similar responses</w:t>
      </w:r>
      <w:r w:rsidR="000214AE" w:rsidRPr="00783958">
        <w:rPr>
          <w:sz w:val="24"/>
        </w:rPr>
        <w:t>;</w:t>
      </w:r>
      <w:r w:rsidR="007A5B0B" w:rsidRPr="00783958">
        <w:rPr>
          <w:sz w:val="24"/>
        </w:rPr>
        <w:t xml:space="preserve"> </w:t>
      </w:r>
      <w:r w:rsidR="00850680" w:rsidRPr="00783958">
        <w:rPr>
          <w:sz w:val="24"/>
        </w:rPr>
        <w:t>in general</w:t>
      </w:r>
      <w:r w:rsidR="00EF36CC" w:rsidRPr="00783958">
        <w:rPr>
          <w:sz w:val="24"/>
        </w:rPr>
        <w:t xml:space="preserve"> higher toxicities</w:t>
      </w:r>
      <w:r w:rsidR="007A5B0B" w:rsidRPr="00783958">
        <w:rPr>
          <w:sz w:val="24"/>
        </w:rPr>
        <w:t xml:space="preserve"> </w:t>
      </w:r>
      <w:r w:rsidR="003C7E89" w:rsidRPr="00783958">
        <w:rPr>
          <w:sz w:val="24"/>
        </w:rPr>
        <w:t xml:space="preserve">were </w:t>
      </w:r>
      <w:r w:rsidR="007A5B0B" w:rsidRPr="00783958">
        <w:rPr>
          <w:sz w:val="24"/>
        </w:rPr>
        <w:t xml:space="preserve">observed for the four </w:t>
      </w:r>
      <w:r w:rsidR="00BD650D" w:rsidRPr="00783958">
        <w:rPr>
          <w:sz w:val="24"/>
        </w:rPr>
        <w:t>Gram-</w:t>
      </w:r>
      <w:r w:rsidR="007A5B0B" w:rsidRPr="00783958">
        <w:rPr>
          <w:sz w:val="24"/>
        </w:rPr>
        <w:t xml:space="preserve">positive bacterial strains </w:t>
      </w:r>
      <w:r w:rsidR="004419B8" w:rsidRPr="00783958">
        <w:rPr>
          <w:sz w:val="24"/>
        </w:rPr>
        <w:t>(</w:t>
      </w:r>
      <w:r w:rsidR="004419B8" w:rsidRPr="00783958">
        <w:rPr>
          <w:i/>
          <w:iCs/>
          <w:sz w:val="24"/>
          <w:szCs w:val="24"/>
        </w:rPr>
        <w:t>S. aureus</w:t>
      </w:r>
      <w:r w:rsidR="004419B8" w:rsidRPr="00783958">
        <w:rPr>
          <w:rFonts w:eastAsiaTheme="minorEastAsia" w:cs="Times New Roman"/>
          <w:b/>
          <w:bCs/>
          <w:color w:val="000000" w:themeColor="text1"/>
          <w:kern w:val="24"/>
          <w:sz w:val="24"/>
          <w:lang w:val="cs-CZ" w:eastAsia="en-GB"/>
        </w:rPr>
        <w:t xml:space="preserve">, </w:t>
      </w:r>
      <w:r w:rsidR="004419B8" w:rsidRPr="00783958">
        <w:rPr>
          <w:i/>
          <w:iCs/>
          <w:sz w:val="24"/>
          <w:szCs w:val="24"/>
        </w:rPr>
        <w:t xml:space="preserve">S. aureus </w:t>
      </w:r>
      <w:r w:rsidR="004419B8" w:rsidRPr="00783958">
        <w:rPr>
          <w:bCs/>
          <w:sz w:val="24"/>
          <w:szCs w:val="24"/>
          <w:lang w:val="cs-CZ"/>
        </w:rPr>
        <w:t>MRSA</w:t>
      </w:r>
      <w:r w:rsidR="004419B8" w:rsidRPr="00783958">
        <w:rPr>
          <w:rFonts w:eastAsiaTheme="minorEastAsia" w:cs="Times New Roman"/>
          <w:b/>
          <w:bCs/>
          <w:color w:val="000000" w:themeColor="text1"/>
          <w:kern w:val="24"/>
          <w:sz w:val="24"/>
          <w:lang w:val="cs-CZ" w:eastAsia="en-GB"/>
        </w:rPr>
        <w:t xml:space="preserve">, </w:t>
      </w:r>
      <w:r w:rsidR="004419B8" w:rsidRPr="00783958">
        <w:rPr>
          <w:i/>
          <w:iCs/>
          <w:sz w:val="24"/>
          <w:szCs w:val="24"/>
        </w:rPr>
        <w:t>S. epidermidis</w:t>
      </w:r>
      <w:r w:rsidR="004419B8" w:rsidRPr="00783958">
        <w:rPr>
          <w:rFonts w:eastAsiaTheme="minorEastAsia" w:cs="Times New Roman"/>
          <w:bCs/>
          <w:color w:val="000000" w:themeColor="text1"/>
          <w:kern w:val="24"/>
          <w:sz w:val="24"/>
          <w:lang w:val="cs-CZ" w:eastAsia="en-GB"/>
        </w:rPr>
        <w:t xml:space="preserve"> </w:t>
      </w:r>
      <w:r w:rsidR="004419B8" w:rsidRPr="00783958">
        <w:rPr>
          <w:rFonts w:eastAsiaTheme="minorEastAsia" w:cs="Times New Roman"/>
          <w:bCs/>
          <w:color w:val="000000" w:themeColor="text1"/>
          <w:kern w:val="24"/>
          <w:sz w:val="24"/>
          <w:szCs w:val="24"/>
          <w:lang w:val="cs-CZ" w:eastAsia="en-GB"/>
        </w:rPr>
        <w:t xml:space="preserve">and </w:t>
      </w:r>
      <w:r w:rsidR="004419B8" w:rsidRPr="00783958">
        <w:rPr>
          <w:i/>
          <w:sz w:val="24"/>
          <w:szCs w:val="24"/>
        </w:rPr>
        <w:t xml:space="preserve">Enterococcus </w:t>
      </w:r>
      <w:r w:rsidR="004419B8" w:rsidRPr="00783958">
        <w:rPr>
          <w:iCs/>
          <w:sz w:val="24"/>
          <w:szCs w:val="24"/>
        </w:rPr>
        <w:t>sp</w:t>
      </w:r>
      <w:r w:rsidR="004419B8" w:rsidRPr="00783958">
        <w:rPr>
          <w:sz w:val="24"/>
          <w:szCs w:val="24"/>
        </w:rPr>
        <w:t>.</w:t>
      </w:r>
      <w:r w:rsidR="004419B8" w:rsidRPr="00783958">
        <w:rPr>
          <w:rFonts w:eastAsiaTheme="minorEastAsia" w:cs="Times New Roman"/>
          <w:bCs/>
          <w:color w:val="000000" w:themeColor="text1"/>
          <w:kern w:val="24"/>
          <w:sz w:val="24"/>
          <w:lang w:val="cs-CZ" w:eastAsia="en-GB"/>
        </w:rPr>
        <w:t xml:space="preserve">) </w:t>
      </w:r>
      <w:r w:rsidR="007A5B0B" w:rsidRPr="00783958">
        <w:rPr>
          <w:sz w:val="24"/>
        </w:rPr>
        <w:t xml:space="preserve">compared to the four </w:t>
      </w:r>
      <w:r w:rsidR="00BD650D" w:rsidRPr="00783958">
        <w:rPr>
          <w:sz w:val="24"/>
        </w:rPr>
        <w:t>Gram-</w:t>
      </w:r>
      <w:r w:rsidR="007A5B0B" w:rsidRPr="00783958">
        <w:rPr>
          <w:sz w:val="24"/>
        </w:rPr>
        <w:t xml:space="preserve"> negative bacterial strains</w:t>
      </w:r>
      <w:r w:rsidR="004419B8" w:rsidRPr="00783958">
        <w:rPr>
          <w:sz w:val="24"/>
        </w:rPr>
        <w:t xml:space="preserve"> (</w:t>
      </w:r>
      <w:r w:rsidR="004419B8" w:rsidRPr="00783958">
        <w:rPr>
          <w:i/>
          <w:iCs/>
          <w:sz w:val="24"/>
          <w:szCs w:val="24"/>
        </w:rPr>
        <w:t>E. coli</w:t>
      </w:r>
      <w:r w:rsidR="004419B8" w:rsidRPr="00783958">
        <w:rPr>
          <w:iCs/>
          <w:sz w:val="24"/>
          <w:szCs w:val="24"/>
        </w:rPr>
        <w:t>,</w:t>
      </w:r>
      <w:r w:rsidR="004419B8" w:rsidRPr="00783958">
        <w:rPr>
          <w:i/>
          <w:iCs/>
          <w:sz w:val="24"/>
          <w:szCs w:val="24"/>
        </w:rPr>
        <w:t xml:space="preserve"> K. pneumoniae,</w:t>
      </w:r>
      <w:r w:rsidR="004419B8" w:rsidRPr="00783958">
        <w:rPr>
          <w:sz w:val="24"/>
          <w:szCs w:val="24"/>
        </w:rPr>
        <w:t xml:space="preserve"> </w:t>
      </w:r>
      <w:r w:rsidR="004419B8" w:rsidRPr="00783958">
        <w:rPr>
          <w:i/>
          <w:iCs/>
          <w:sz w:val="24"/>
          <w:szCs w:val="24"/>
        </w:rPr>
        <w:t xml:space="preserve">K. pneumoniae </w:t>
      </w:r>
      <w:r w:rsidR="004419B8" w:rsidRPr="00783958">
        <w:rPr>
          <w:sz w:val="24"/>
          <w:szCs w:val="24"/>
        </w:rPr>
        <w:t xml:space="preserve">ESBL and </w:t>
      </w:r>
      <w:r w:rsidR="004419B8" w:rsidRPr="00783958">
        <w:rPr>
          <w:i/>
          <w:iCs/>
          <w:sz w:val="24"/>
          <w:szCs w:val="24"/>
        </w:rPr>
        <w:t>P. aeruginosa</w:t>
      </w:r>
      <w:r w:rsidR="004419B8" w:rsidRPr="00783958">
        <w:rPr>
          <w:iCs/>
          <w:sz w:val="24"/>
          <w:szCs w:val="24"/>
        </w:rPr>
        <w:t>)</w:t>
      </w:r>
      <w:r w:rsidR="007A5B0B" w:rsidRPr="00783958">
        <w:rPr>
          <w:sz w:val="24"/>
        </w:rPr>
        <w:t>.</w:t>
      </w:r>
      <w:r w:rsidR="00BD650D" w:rsidRPr="00783958">
        <w:rPr>
          <w:sz w:val="24"/>
        </w:rPr>
        <w:t xml:space="preserve"> Similar observations have been made </w:t>
      </w:r>
      <w:r w:rsidR="00850680" w:rsidRPr="00783958">
        <w:rPr>
          <w:sz w:val="24"/>
        </w:rPr>
        <w:t>previously</w:t>
      </w:r>
      <w:r w:rsidR="00BD650D" w:rsidRPr="00783958">
        <w:rPr>
          <w:sz w:val="24"/>
        </w:rPr>
        <w:t xml:space="preserve"> for other ILs</w:t>
      </w:r>
      <w:r w:rsidR="00515462">
        <w:rPr>
          <w:sz w:val="24"/>
        </w:rPr>
        <w:t xml:space="preserve"> </w:t>
      </w:r>
      <w:r w:rsidR="00BD650D" w:rsidRPr="00783958">
        <w:rPr>
          <w:sz w:val="24"/>
        </w:rPr>
        <w:fldChar w:fldCharType="begin" w:fldLock="1"/>
      </w:r>
      <w:r w:rsidR="009012E7" w:rsidRPr="00783958">
        <w:rPr>
          <w:sz w:val="24"/>
        </w:rPr>
        <w:instrText>ADDIN CSL_CITATION { "citationItems" : [ { "id" : "ITEM-1", "itemData" : { "DOI" : "10.1021/acs.est.5b03123", "ISSN" : "15205851", "PMID" : "26445034", "abstract" : "Ionic liquids (ILs) comprise mostly of organic salts with negligible vapor pressure and low flammability that are proposed as replacements for volatile solvents. ILs have been promoted as \"green\" solvents and widely investigated for their various applications. Although the utility of these chemicals is unquestionable, their toxic effects have attracted great attention. In order to manage their potential hazards and design environmentally benign ILs, understanding their environmental behavior, fate and effects is important. In this review, environmentally relevant issues of ILs, including their environmental application, environmental behavior and toxicity are addressed. In addition, also presented are the influence of ILs on the environmental fate and toxicity of other coexisting contaminants, important routes for designing nontoxic ILs and the techniques that might be adopted for the removal of ILs.", "author" : [ { "dropping-particle" : "", "family" : "Amde", "given" : "Meseret", "non-dropping-particle" : "", "parse-names" : false, "suffix" : "" }, { "dropping-particle" : "", "family" : "Liu", "given" : "Jing Fu", "non-dropping-particle" : "", "parse-names" : false, "suffix" : "" }, { "dropping-particle" : "", "family" : "Pang", "given" : "Long", "non-dropping-particle" : "", "parse-names" : false, "suffix" : "" } ], "container-title" : "Environmental Science and Technology", "id" : "ITEM-1", "issue" : "21", "issued" : { "date-parts" : [ [ "2015", "11", "3" ] ] }, "page" : "12611-12627", "publisher" : "American Chemical Society", "title" : "Environmental Application, Fate, Effects, and Concerns of Ionic Liquids: A Review", "type" : "article", "volume" : "49" }, "uris" : [ "http://www.mendeley.com/documents/?uuid=1aaa844d-3aa2-351a-9100-c896dd620305" ] } ], "mendeley" : { "formattedCitation" : "(Amde et al., 2015)", "plainTextFormattedCitation" : "(Amde et al., 2015)", "previouslyFormattedCitation" : "(Amde et al., 2015)" }, "properties" : { "noteIndex" : 0 }, "schema" : "https://github.com/citation-style-language/schema/raw/master/csl-citation.json" }</w:instrText>
      </w:r>
      <w:r w:rsidR="00BD650D" w:rsidRPr="00783958">
        <w:rPr>
          <w:sz w:val="24"/>
        </w:rPr>
        <w:fldChar w:fldCharType="separate"/>
      </w:r>
      <w:r w:rsidR="001D7427" w:rsidRPr="00783958">
        <w:rPr>
          <w:noProof/>
          <w:sz w:val="24"/>
        </w:rPr>
        <w:t>(Amde et al., 2015)</w:t>
      </w:r>
      <w:r w:rsidR="00BD650D" w:rsidRPr="00783958">
        <w:rPr>
          <w:sz w:val="24"/>
        </w:rPr>
        <w:fldChar w:fldCharType="end"/>
      </w:r>
      <w:r w:rsidR="00515462">
        <w:rPr>
          <w:sz w:val="24"/>
        </w:rPr>
        <w:t>,</w:t>
      </w:r>
      <w:r w:rsidR="00C310AD" w:rsidRPr="00783958">
        <w:rPr>
          <w:sz w:val="24"/>
        </w:rPr>
        <w:t xml:space="preserve"> </w:t>
      </w:r>
      <w:r w:rsidR="00BD650D" w:rsidRPr="00783958">
        <w:rPr>
          <w:sz w:val="24"/>
        </w:rPr>
        <w:t>as well as</w:t>
      </w:r>
      <w:r w:rsidR="004419B8" w:rsidRPr="00783958">
        <w:rPr>
          <w:sz w:val="24"/>
        </w:rPr>
        <w:t xml:space="preserve"> </w:t>
      </w:r>
      <w:r w:rsidR="00EF36CC" w:rsidRPr="00783958">
        <w:rPr>
          <w:sz w:val="24"/>
        </w:rPr>
        <w:t xml:space="preserve">for molecular solvent toxicity towards </w:t>
      </w:r>
      <w:r w:rsidR="00BD650D" w:rsidRPr="00783958">
        <w:rPr>
          <w:sz w:val="24"/>
        </w:rPr>
        <w:t>Gram-</w:t>
      </w:r>
      <w:r w:rsidR="001F61DE" w:rsidRPr="00783958">
        <w:rPr>
          <w:sz w:val="24"/>
        </w:rPr>
        <w:t xml:space="preserve"> positive and </w:t>
      </w:r>
      <w:r w:rsidR="00BD650D" w:rsidRPr="00783958">
        <w:rPr>
          <w:sz w:val="24"/>
        </w:rPr>
        <w:t>Gram-</w:t>
      </w:r>
      <w:r w:rsidR="00772A1F" w:rsidRPr="00783958">
        <w:rPr>
          <w:sz w:val="24"/>
        </w:rPr>
        <w:t xml:space="preserve"> negative bacterial strains</w:t>
      </w:r>
      <w:r w:rsidR="00335F51" w:rsidRPr="00783958">
        <w:rPr>
          <w:sz w:val="24"/>
        </w:rPr>
        <w:t xml:space="preserve"> </w:t>
      </w:r>
      <w:r w:rsidR="00B7044D" w:rsidRPr="00783958">
        <w:rPr>
          <w:sz w:val="24"/>
        </w:rPr>
        <w:fldChar w:fldCharType="begin" w:fldLock="1"/>
      </w:r>
      <w:r w:rsidR="009012E7" w:rsidRPr="00783958">
        <w:rPr>
          <w:sz w:val="24"/>
        </w:rPr>
        <w:instrText>ADDIN CSL_CITATION { "citationItems" : [ { "id" : "ITEM-1", "itemData" : { "DOI" : "10.1002/bit.260420610", "ISBN" : "0006-3592", "ISSN" : "0006-3592", "PMID" : "18613108", "abstract" : "The toxicity of homologous series of organic solvents has been investigated for the gram-positive bacteria, Arthrobacter sp. and Nocardia sp., and the gram-negative bacteria, Acinetobacter sp. and Pseudomonas sp. The hydrophobicity of the solvent, expressed by its logP(octanol), proves to be a good measure for the toxicity of solvents in a two-phase system. The transition from toxic to nontoxic solvents occurs between logP(octanol) 3 and 5 and depends on the homologous series. No correlation has been found between the hydrophobicity of the substituent on the alkyl backbone of the solvent and the location of the transition point in toxicity. The logP(octanol), above which all solvents are nontoxic, is used to express the solvent tolerance of the bacteria. In general, the solvent tolerance of gram-negative bacteria is found to be slightly higher than that of gram-positive bacteria, but this does not hold for all homologous series of organic solvents investigated.Because the toxicity effects of organic solvents in a two-phase system can be ascribed to molecular as well as phase toxicity effects, molecular toxicity effects were investigated separately in a one-phase system with subsaturating amounts of organic solvent. The solvent concentration in the aqueous phase, at which 50% of the metabolic activity of the bacteria is lost, is used to express solvent toxicity. This concentration is found to be similar for the gram-positive Arthrobacter and the gram-negative Acinetobacter. Assuming the critical membrane concentration theory (G. J. Osborne et al. Enzyme Microb. Technol. 1990, 12: 281-291) to be valid, it can be concluded that differences in solvent tolerance between these two bacteria, cannot be ascribed to differences in response to molecular toxicity. Prediction of the toxicity of any solvent, using the critical membrane theory, appears to be possible in the case of alkanols or alkyl acetates. However, prediction of the toxicity of ethers appears to be impossible.", "author" : [ { "dropping-particle" : "", "family" : "Vermu\u00eb", "given" : "M", "non-dropping-particle" : "", "parse-names" : false, "suffix" : "" }, { "dropping-particle" : "", "family" : "Sikkema", "given" : "J", "non-dropping-particle" : "", "parse-names" : false, "suffix" : "" }, { "dropping-particle" : "", "family" : "Verheul", "given" : "a", "non-dropping-particle" : "", "parse-names" : false, "suffix" : "" }, { "dropping-particle" : "", "family" : "Bakker", "given" : "R", "non-dropping-particle" : "", "parse-names" : false, "suffix" : "" }, { "dropping-particle" : "", "family" : "Tramper", "given" : "J", "non-dropping-particle" : "", "parse-names" : false, "suffix" : "" } ], "container-title" : "Biotechnology and bioengineering", "id" : "ITEM-1", "issued" : { "date-parts" : [ [ "1993" ] ] }, "page" : "747-758", "title" : "Toxicity of homologous series of organic solvents for the gram-positive bacteria Arthrobacter and Nocardia Sp. and the gram-negative bacteria Acinetobacter and Pseudomonas Sp.", "type" : "article-journal", "volume" : "42" }, "uris" : [ "http://www.mendeley.com/documents/?uuid=c0922ec5-3e9c-4e1d-a5cf-7fee7cf96858" ] } ], "mendeley" : { "formattedCitation" : "(Vermu\u00eb et al., 1993)", "plainTextFormattedCitation" : "(Vermu\u00eb et al., 1993)", "previouslyFormattedCitation" : "(Vermu\u00eb et al., 1993)" }, "properties" : { "noteIndex" : 0 }, "schema" : "https://github.com/citation-style-language/schema/raw/master/csl-citation.json" }</w:instrText>
      </w:r>
      <w:r w:rsidR="00B7044D" w:rsidRPr="00783958">
        <w:rPr>
          <w:sz w:val="24"/>
        </w:rPr>
        <w:fldChar w:fldCharType="separate"/>
      </w:r>
      <w:r w:rsidR="001D7427" w:rsidRPr="00783958">
        <w:rPr>
          <w:noProof/>
          <w:sz w:val="24"/>
        </w:rPr>
        <w:t>(Vermuë et al., 1993)</w:t>
      </w:r>
      <w:r w:rsidR="00B7044D" w:rsidRPr="00783958">
        <w:rPr>
          <w:sz w:val="24"/>
        </w:rPr>
        <w:fldChar w:fldCharType="end"/>
      </w:r>
      <w:r w:rsidR="00335F51" w:rsidRPr="00783958">
        <w:rPr>
          <w:sz w:val="24"/>
        </w:rPr>
        <w:t>,</w:t>
      </w:r>
      <w:r w:rsidR="00772A1F" w:rsidRPr="00783958">
        <w:rPr>
          <w:sz w:val="24"/>
        </w:rPr>
        <w:t xml:space="preserve"> </w:t>
      </w:r>
      <w:r w:rsidR="00985692" w:rsidRPr="00783958">
        <w:rPr>
          <w:sz w:val="24"/>
        </w:rPr>
        <w:t>which has been</w:t>
      </w:r>
      <w:r w:rsidR="004419B8" w:rsidRPr="00783958">
        <w:rPr>
          <w:sz w:val="24"/>
        </w:rPr>
        <w:t xml:space="preserve"> </w:t>
      </w:r>
      <w:r w:rsidR="00772A1F" w:rsidRPr="00783958">
        <w:rPr>
          <w:sz w:val="24"/>
        </w:rPr>
        <w:t>rationalised by the variation of cell wall composition between these two classes of bacteria</w:t>
      </w:r>
      <w:r w:rsidR="00667292" w:rsidRPr="00783958">
        <w:rPr>
          <w:sz w:val="24"/>
        </w:rPr>
        <w:t xml:space="preserve"> </w:t>
      </w:r>
      <w:r w:rsidR="00B7044D" w:rsidRPr="00783958">
        <w:rPr>
          <w:sz w:val="24"/>
        </w:rPr>
        <w:fldChar w:fldCharType="begin" w:fldLock="1"/>
      </w:r>
      <w:r w:rsidR="00B704A7" w:rsidRPr="00783958">
        <w:rPr>
          <w:sz w:val="24"/>
        </w:rPr>
        <w:instrText>ADDIN CSL_CITATION { "citationItems" : [ { "id" : "ITEM-1", "itemData" : { "DOI" : "10.1111/j.1365-2672.1988.tb04651.x", "ISSN" : "13652672", "author" : [ { "dropping-particle" : "", "family" : "Russell", "given" : "A. D.", "non-dropping-particle" : "", "parse-names" : false, "suffix" : "" }, { "dropping-particle" : "", "family" : "Gould", "given" : "G. W.", "non-dropping-particle" : "", "parse-names" : false, "suffix" : "" } ], "container-title" : "Journal of Applied Bacteriology", "id" : "ITEM-1", "issue" : "s17", "issued" : { "date-parts" : [ [ "1988", "12" ] ] }, "page" : "167S-195S", "publisher" : "Blackwell Publishing Ltd", "title" : "Resistance of Enterobacteriaceae to preservatives and disinfectants", "type" : "article-journal", "volume" : "65" }, "uris" : [ "http://www.mendeley.com/documents/?uuid=ae32ef9d-bba9-34cd-a1a6-98a0c565f802" ] } ], "mendeley" : { "formattedCitation" : "(Russell and Gould, 1988)", "plainTextFormattedCitation" : "(Russell and Gould, 1988)", "previouslyFormattedCitation" : "(Russell and Gould, 1988)" }, "properties" : { "noteIndex" : 0 }, "schema" : "https://github.com/citation-style-language/schema/raw/master/csl-citation.json" }</w:instrText>
      </w:r>
      <w:r w:rsidR="00B7044D" w:rsidRPr="00783958">
        <w:rPr>
          <w:sz w:val="24"/>
        </w:rPr>
        <w:fldChar w:fldCharType="separate"/>
      </w:r>
      <w:r w:rsidR="001D7427" w:rsidRPr="00783958">
        <w:rPr>
          <w:noProof/>
          <w:sz w:val="24"/>
        </w:rPr>
        <w:t>(Russell and Gould, 1988)</w:t>
      </w:r>
      <w:r w:rsidR="00B7044D" w:rsidRPr="00783958">
        <w:rPr>
          <w:sz w:val="24"/>
        </w:rPr>
        <w:fldChar w:fldCharType="end"/>
      </w:r>
      <w:r w:rsidR="00667292" w:rsidRPr="00783958">
        <w:rPr>
          <w:sz w:val="24"/>
        </w:rPr>
        <w:t>.</w:t>
      </w:r>
      <w:r w:rsidR="003335B6" w:rsidRPr="00783958">
        <w:rPr>
          <w:sz w:val="24"/>
        </w:rPr>
        <w:t xml:space="preserve"> </w:t>
      </w:r>
      <w:r w:rsidR="00115DB8" w:rsidRPr="00783958">
        <w:rPr>
          <w:sz w:val="24"/>
        </w:rPr>
        <w:t>Of note</w:t>
      </w:r>
      <w:r w:rsidR="003335B6" w:rsidRPr="00783958">
        <w:rPr>
          <w:sz w:val="24"/>
        </w:rPr>
        <w:t xml:space="preserve"> </w:t>
      </w:r>
      <w:r w:rsidR="006627FE" w:rsidRPr="00783958">
        <w:rPr>
          <w:sz w:val="24"/>
        </w:rPr>
        <w:t xml:space="preserve">was </w:t>
      </w:r>
      <w:r w:rsidR="003335B6" w:rsidRPr="00783958">
        <w:rPr>
          <w:sz w:val="24"/>
        </w:rPr>
        <w:t xml:space="preserve">the susceptibility of the </w:t>
      </w:r>
      <w:r w:rsidR="001C4DBA" w:rsidRPr="00783958">
        <w:rPr>
          <w:i/>
          <w:sz w:val="24"/>
        </w:rPr>
        <w:t>S, aureus</w:t>
      </w:r>
      <w:r w:rsidR="001C4DBA" w:rsidRPr="00783958">
        <w:rPr>
          <w:sz w:val="24"/>
        </w:rPr>
        <w:t xml:space="preserve"> strain to the ILs tested, with IC</w:t>
      </w:r>
      <w:r w:rsidR="001C4DBA" w:rsidRPr="00783958">
        <w:rPr>
          <w:sz w:val="24"/>
          <w:vertAlign w:val="subscript"/>
        </w:rPr>
        <w:t>95</w:t>
      </w:r>
      <w:r w:rsidR="001C4DBA" w:rsidRPr="00783958">
        <w:rPr>
          <w:sz w:val="24"/>
        </w:rPr>
        <w:t xml:space="preserve"> values ranging from </w:t>
      </w:r>
      <w:r w:rsidR="00515462">
        <w:rPr>
          <w:sz w:val="24"/>
        </w:rPr>
        <w:t>&gt;</w:t>
      </w:r>
      <w:r w:rsidR="001C4DBA" w:rsidRPr="00783958">
        <w:rPr>
          <w:sz w:val="24"/>
        </w:rPr>
        <w:t xml:space="preserve">2000 </w:t>
      </w:r>
      <w:r w:rsidR="001C4DBA" w:rsidRPr="00783958">
        <w:rPr>
          <w:rFonts w:asciiTheme="majorHAnsi" w:hAnsiTheme="majorHAnsi" w:cstheme="majorHAnsi"/>
          <w:sz w:val="24"/>
        </w:rPr>
        <w:t>μM to as low as 7.8 μM. This sensitivity of this bacteria to the</w:t>
      </w:r>
      <w:r w:rsidR="00515462">
        <w:rPr>
          <w:rFonts w:asciiTheme="majorHAnsi" w:hAnsiTheme="majorHAnsi" w:cstheme="majorHAnsi"/>
          <w:sz w:val="24"/>
        </w:rPr>
        <w:t xml:space="preserve"> IL</w:t>
      </w:r>
      <w:r w:rsidR="001C4DBA" w:rsidRPr="00783958">
        <w:rPr>
          <w:rFonts w:asciiTheme="majorHAnsi" w:hAnsiTheme="majorHAnsi" w:cstheme="majorHAnsi"/>
          <w:sz w:val="24"/>
        </w:rPr>
        <w:t xml:space="preserve"> structure</w:t>
      </w:r>
      <w:r w:rsidR="00515462">
        <w:rPr>
          <w:rFonts w:asciiTheme="majorHAnsi" w:hAnsiTheme="majorHAnsi" w:cstheme="majorHAnsi"/>
          <w:sz w:val="24"/>
        </w:rPr>
        <w:t>s</w:t>
      </w:r>
      <w:r w:rsidR="001C4DBA" w:rsidRPr="00783958">
        <w:rPr>
          <w:rFonts w:asciiTheme="majorHAnsi" w:hAnsiTheme="majorHAnsi" w:cstheme="majorHAnsi"/>
          <w:sz w:val="24"/>
        </w:rPr>
        <w:t xml:space="preserve"> </w:t>
      </w:r>
      <w:r w:rsidR="009B6C97" w:rsidRPr="00783958">
        <w:rPr>
          <w:rFonts w:asciiTheme="majorHAnsi" w:hAnsiTheme="majorHAnsi" w:cstheme="majorHAnsi"/>
          <w:sz w:val="24"/>
        </w:rPr>
        <w:t xml:space="preserve">could make </w:t>
      </w:r>
      <w:r w:rsidR="001C4DBA" w:rsidRPr="00783958">
        <w:rPr>
          <w:rFonts w:asciiTheme="majorHAnsi" w:hAnsiTheme="majorHAnsi" w:cstheme="majorHAnsi"/>
          <w:sz w:val="24"/>
        </w:rPr>
        <w:t xml:space="preserve">it a useful guide to the antibacterial properties of </w:t>
      </w:r>
      <w:r w:rsidR="001E63AA" w:rsidRPr="00783958">
        <w:rPr>
          <w:rFonts w:asciiTheme="majorHAnsi" w:hAnsiTheme="majorHAnsi" w:cstheme="majorHAnsi"/>
          <w:sz w:val="24"/>
        </w:rPr>
        <w:t>the ILs screened here</w:t>
      </w:r>
      <w:r w:rsidR="001C4DBA" w:rsidRPr="00783958">
        <w:rPr>
          <w:rFonts w:asciiTheme="majorHAnsi" w:hAnsiTheme="majorHAnsi" w:cstheme="majorHAnsi"/>
          <w:sz w:val="24"/>
        </w:rPr>
        <w:t>.</w:t>
      </w:r>
      <w:r w:rsidR="00B11592" w:rsidRPr="00783958">
        <w:rPr>
          <w:rFonts w:asciiTheme="majorHAnsi" w:hAnsiTheme="majorHAnsi" w:cstheme="majorHAnsi"/>
          <w:sz w:val="24"/>
        </w:rPr>
        <w:t xml:space="preserve"> </w:t>
      </w:r>
      <w:r w:rsidR="009B6C97" w:rsidRPr="00783958">
        <w:rPr>
          <w:rFonts w:asciiTheme="majorHAnsi" w:hAnsiTheme="majorHAnsi" w:cstheme="majorHAnsi"/>
          <w:sz w:val="24"/>
        </w:rPr>
        <w:t xml:space="preserve">However, we caution the use of a single bacterial strain to characterise antimicrobial activity of an IL – the MICs for the </w:t>
      </w:r>
      <w:r w:rsidR="009B6C97" w:rsidRPr="00783958">
        <w:rPr>
          <w:rFonts w:asciiTheme="majorHAnsi" w:hAnsiTheme="majorHAnsi" w:cstheme="majorHAnsi"/>
          <w:i/>
          <w:sz w:val="24"/>
        </w:rPr>
        <w:t xml:space="preserve">S. </w:t>
      </w:r>
      <w:r w:rsidR="009B6C97" w:rsidRPr="00783958">
        <w:rPr>
          <w:rFonts w:cs="Times New Roman"/>
          <w:i/>
          <w:sz w:val="24"/>
        </w:rPr>
        <w:t>epidermidis</w:t>
      </w:r>
      <w:r w:rsidR="009B6C97" w:rsidRPr="00783958">
        <w:rPr>
          <w:rFonts w:cs="Times New Roman"/>
          <w:sz w:val="24"/>
        </w:rPr>
        <w:t xml:space="preserve"> do not correlate well with the MICs towards all other </w:t>
      </w:r>
      <w:r w:rsidR="002E5924" w:rsidRPr="00783958">
        <w:rPr>
          <w:rFonts w:cs="Times New Roman"/>
          <w:sz w:val="24"/>
        </w:rPr>
        <w:t>bacter</w:t>
      </w:r>
      <w:r w:rsidR="009B6C97" w:rsidRPr="00783958">
        <w:rPr>
          <w:rFonts w:cs="Times New Roman"/>
          <w:sz w:val="24"/>
        </w:rPr>
        <w:t xml:space="preserve">ial strains for the ILs </w:t>
      </w:r>
      <w:r w:rsidR="009B6C97" w:rsidRPr="00783958">
        <w:rPr>
          <w:rFonts w:cs="Times New Roman"/>
          <w:b/>
          <w:sz w:val="24"/>
        </w:rPr>
        <w:t xml:space="preserve">1a, 2a, 2b, 4d, 5a </w:t>
      </w:r>
      <w:r w:rsidR="009B6C97" w:rsidRPr="00783958">
        <w:rPr>
          <w:rFonts w:cs="Times New Roman"/>
          <w:sz w:val="24"/>
        </w:rPr>
        <w:t xml:space="preserve">or </w:t>
      </w:r>
      <w:r w:rsidR="009B6C97" w:rsidRPr="00783958">
        <w:rPr>
          <w:rFonts w:cs="Times New Roman"/>
          <w:b/>
          <w:sz w:val="24"/>
        </w:rPr>
        <w:t>5c</w:t>
      </w:r>
      <w:r w:rsidR="009B6C97" w:rsidRPr="00783958">
        <w:rPr>
          <w:rFonts w:cs="Times New Roman"/>
          <w:sz w:val="24"/>
        </w:rPr>
        <w:t>.</w:t>
      </w:r>
    </w:p>
    <w:p w14:paraId="47D4B9F2" w14:textId="74F633E0" w:rsidR="00740720" w:rsidRPr="00204CCF" w:rsidRDefault="004A3A28" w:rsidP="00356DD0">
      <w:pPr>
        <w:pStyle w:val="Heading2"/>
      </w:pPr>
      <w:r w:rsidRPr="00204CCF">
        <w:t>Antifungal</w:t>
      </w:r>
      <w:r w:rsidR="00F24185">
        <w:t xml:space="preserve"> activity</w:t>
      </w:r>
      <w:r w:rsidRPr="00204CCF">
        <w:t xml:space="preserve"> screening</w:t>
      </w:r>
    </w:p>
    <w:p w14:paraId="72E16454" w14:textId="77777777" w:rsidR="00A32F11" w:rsidRPr="00A32F11" w:rsidRDefault="00A32F11" w:rsidP="00A32F11"/>
    <w:p w14:paraId="213F2D19" w14:textId="7EF13AFD" w:rsidR="005B5144" w:rsidRPr="00783958" w:rsidRDefault="00E00971" w:rsidP="00B63501">
      <w:pPr>
        <w:spacing w:line="480" w:lineRule="auto"/>
        <w:jc w:val="both"/>
        <w:rPr>
          <w:sz w:val="24"/>
        </w:rPr>
      </w:pPr>
      <w:r w:rsidRPr="00783958">
        <w:rPr>
          <w:sz w:val="24"/>
        </w:rPr>
        <w:t xml:space="preserve">A general observation </w:t>
      </w:r>
      <w:r w:rsidR="006627FE" w:rsidRPr="00783958">
        <w:rPr>
          <w:sz w:val="24"/>
        </w:rPr>
        <w:t xml:space="preserve">was </w:t>
      </w:r>
      <w:r w:rsidRPr="00783958">
        <w:rPr>
          <w:sz w:val="24"/>
        </w:rPr>
        <w:t xml:space="preserve">that the MICs </w:t>
      </w:r>
      <w:r w:rsidR="006627FE" w:rsidRPr="00783958">
        <w:rPr>
          <w:sz w:val="24"/>
        </w:rPr>
        <w:t>we</w:t>
      </w:r>
      <w:r w:rsidRPr="00783958">
        <w:rPr>
          <w:sz w:val="24"/>
        </w:rPr>
        <w:t xml:space="preserve">re greater for the fungal strains than they </w:t>
      </w:r>
      <w:r w:rsidR="006627FE" w:rsidRPr="00783958">
        <w:rPr>
          <w:sz w:val="24"/>
        </w:rPr>
        <w:t>we</w:t>
      </w:r>
      <w:r w:rsidRPr="00783958">
        <w:rPr>
          <w:sz w:val="24"/>
        </w:rPr>
        <w:t xml:space="preserve">re for the bacterial strains. This </w:t>
      </w:r>
      <w:r w:rsidR="006627FE" w:rsidRPr="00783958">
        <w:rPr>
          <w:sz w:val="24"/>
        </w:rPr>
        <w:t>wa</w:t>
      </w:r>
      <w:r w:rsidRPr="00783958">
        <w:rPr>
          <w:sz w:val="24"/>
        </w:rPr>
        <w:t xml:space="preserve">s </w:t>
      </w:r>
      <w:r w:rsidR="00E30B40" w:rsidRPr="00783958">
        <w:rPr>
          <w:sz w:val="24"/>
        </w:rPr>
        <w:t>in part</w:t>
      </w:r>
      <w:r w:rsidRPr="00783958">
        <w:rPr>
          <w:sz w:val="24"/>
        </w:rPr>
        <w:t xml:space="preserve"> due to the </w:t>
      </w:r>
      <w:r w:rsidR="00E30B40" w:rsidRPr="00783958">
        <w:rPr>
          <w:sz w:val="24"/>
        </w:rPr>
        <w:t>difference in IC value</w:t>
      </w:r>
      <w:r w:rsidR="003E6507">
        <w:rPr>
          <w:sz w:val="24"/>
        </w:rPr>
        <w:t>s</w:t>
      </w:r>
      <w:r w:rsidRPr="00783958">
        <w:rPr>
          <w:sz w:val="24"/>
        </w:rPr>
        <w:t xml:space="preserve"> </w:t>
      </w:r>
      <w:r w:rsidR="00E30B40" w:rsidRPr="00783958">
        <w:rPr>
          <w:sz w:val="24"/>
        </w:rPr>
        <w:t xml:space="preserve">determined </w:t>
      </w:r>
      <w:r w:rsidRPr="00783958">
        <w:rPr>
          <w:sz w:val="24"/>
        </w:rPr>
        <w:t>for the</w:t>
      </w:r>
      <w:r w:rsidR="00670CC9">
        <w:rPr>
          <w:sz w:val="24"/>
        </w:rPr>
        <w:t xml:space="preserve"> </w:t>
      </w:r>
      <w:r w:rsidRPr="00783958">
        <w:rPr>
          <w:sz w:val="24"/>
        </w:rPr>
        <w:t>bacterial screening (</w:t>
      </w:r>
      <w:r w:rsidR="00E30B40" w:rsidRPr="00783958">
        <w:rPr>
          <w:sz w:val="24"/>
        </w:rPr>
        <w:t>IC</w:t>
      </w:r>
      <w:r w:rsidRPr="00783958">
        <w:rPr>
          <w:sz w:val="24"/>
          <w:vertAlign w:val="subscript"/>
        </w:rPr>
        <w:t>95</w:t>
      </w:r>
      <w:r w:rsidRPr="00783958">
        <w:rPr>
          <w:sz w:val="24"/>
        </w:rPr>
        <w:t xml:space="preserve">) </w:t>
      </w:r>
      <w:r w:rsidR="003E6507">
        <w:rPr>
          <w:sz w:val="24"/>
        </w:rPr>
        <w:t>and</w:t>
      </w:r>
      <w:r w:rsidRPr="00783958">
        <w:rPr>
          <w:sz w:val="24"/>
        </w:rPr>
        <w:t xml:space="preserve"> the fungal screening (</w:t>
      </w:r>
      <w:r w:rsidR="00E30B40" w:rsidRPr="00783958">
        <w:rPr>
          <w:sz w:val="24"/>
        </w:rPr>
        <w:t>IC</w:t>
      </w:r>
      <w:r w:rsidRPr="00783958">
        <w:rPr>
          <w:sz w:val="24"/>
          <w:vertAlign w:val="subscript"/>
        </w:rPr>
        <w:t>80</w:t>
      </w:r>
      <w:r w:rsidR="00E30B40" w:rsidRPr="00783958">
        <w:rPr>
          <w:sz w:val="24"/>
          <w:vertAlign w:val="subscript"/>
        </w:rPr>
        <w:t xml:space="preserve"> </w:t>
      </w:r>
      <w:r w:rsidR="00E30B40" w:rsidRPr="00783958">
        <w:rPr>
          <w:sz w:val="24"/>
        </w:rPr>
        <w:t>for yeasts and</w:t>
      </w:r>
      <w:r w:rsidRPr="00783958">
        <w:rPr>
          <w:sz w:val="24"/>
        </w:rPr>
        <w:t xml:space="preserve"> </w:t>
      </w:r>
      <w:r w:rsidR="00E30B40" w:rsidRPr="00783958">
        <w:rPr>
          <w:sz w:val="24"/>
        </w:rPr>
        <w:t>IC</w:t>
      </w:r>
      <w:r w:rsidR="00E30B40" w:rsidRPr="00783958">
        <w:rPr>
          <w:sz w:val="24"/>
          <w:vertAlign w:val="subscript"/>
        </w:rPr>
        <w:t>50</w:t>
      </w:r>
      <w:r w:rsidRPr="00783958">
        <w:rPr>
          <w:sz w:val="24"/>
        </w:rPr>
        <w:t xml:space="preserve"> for filamentous fungi). </w:t>
      </w:r>
      <w:r w:rsidR="00A91208" w:rsidRPr="00783958">
        <w:rPr>
          <w:sz w:val="24"/>
        </w:rPr>
        <w:t xml:space="preserve">The [Ch] AILs </w:t>
      </w:r>
      <w:r w:rsidR="00E30B40" w:rsidRPr="00783958">
        <w:rPr>
          <w:sz w:val="24"/>
        </w:rPr>
        <w:t>(</w:t>
      </w:r>
      <w:r w:rsidR="00E30B40" w:rsidRPr="00783958">
        <w:rPr>
          <w:b/>
          <w:sz w:val="24"/>
        </w:rPr>
        <w:t>1a</w:t>
      </w:r>
      <w:r w:rsidR="00E30B40" w:rsidRPr="00783958">
        <w:rPr>
          <w:sz w:val="24"/>
        </w:rPr>
        <w:t>-</w:t>
      </w:r>
      <w:r w:rsidR="00E30B40" w:rsidRPr="00783958">
        <w:rPr>
          <w:b/>
          <w:sz w:val="24"/>
        </w:rPr>
        <w:t>d</w:t>
      </w:r>
      <w:r w:rsidR="00E30B40" w:rsidRPr="00783958">
        <w:rPr>
          <w:sz w:val="24"/>
        </w:rPr>
        <w:t>) and [DMEtAH] PILs (</w:t>
      </w:r>
      <w:r w:rsidR="00E30B40" w:rsidRPr="00783958">
        <w:rPr>
          <w:b/>
          <w:sz w:val="24"/>
        </w:rPr>
        <w:t>4a</w:t>
      </w:r>
      <w:r w:rsidR="00E30B40" w:rsidRPr="00783958">
        <w:rPr>
          <w:sz w:val="24"/>
        </w:rPr>
        <w:t>-</w:t>
      </w:r>
      <w:r w:rsidR="00E30B40" w:rsidRPr="00783958">
        <w:rPr>
          <w:b/>
          <w:sz w:val="24"/>
        </w:rPr>
        <w:t>d</w:t>
      </w:r>
      <w:r w:rsidR="00E30B40" w:rsidRPr="00783958">
        <w:rPr>
          <w:sz w:val="24"/>
        </w:rPr>
        <w:t xml:space="preserve">) </w:t>
      </w:r>
      <w:r w:rsidR="00A91208" w:rsidRPr="00783958">
        <w:rPr>
          <w:sz w:val="24"/>
        </w:rPr>
        <w:t>all exhibit</w:t>
      </w:r>
      <w:r w:rsidR="006627FE" w:rsidRPr="00783958">
        <w:rPr>
          <w:sz w:val="24"/>
        </w:rPr>
        <w:t>ed</w:t>
      </w:r>
      <w:r w:rsidR="00A91208" w:rsidRPr="00783958">
        <w:rPr>
          <w:sz w:val="24"/>
        </w:rPr>
        <w:t xml:space="preserve"> MIC values greater than the maximum screening concentration </w:t>
      </w:r>
      <w:r w:rsidR="00B6291D" w:rsidRPr="00783958">
        <w:rPr>
          <w:sz w:val="24"/>
        </w:rPr>
        <w:t xml:space="preserve">(2000 </w:t>
      </w:r>
      <w:r w:rsidR="00B6291D" w:rsidRPr="00783958">
        <w:rPr>
          <w:rFonts w:cs="Times New Roman"/>
          <w:sz w:val="24"/>
        </w:rPr>
        <w:t>µ</w:t>
      </w:r>
      <w:r w:rsidR="00B6291D" w:rsidRPr="00783958">
        <w:rPr>
          <w:sz w:val="24"/>
        </w:rPr>
        <w:t xml:space="preserve">M) </w:t>
      </w:r>
      <w:r w:rsidR="00A91208" w:rsidRPr="00783958">
        <w:rPr>
          <w:sz w:val="24"/>
        </w:rPr>
        <w:t xml:space="preserve">and </w:t>
      </w:r>
      <w:r w:rsidR="006627FE" w:rsidRPr="00783958">
        <w:rPr>
          <w:sz w:val="24"/>
        </w:rPr>
        <w:t>we</w:t>
      </w:r>
      <w:r w:rsidR="00E30B40" w:rsidRPr="00783958">
        <w:rPr>
          <w:sz w:val="24"/>
        </w:rPr>
        <w:t>re not highly toxic to the fungal strains</w:t>
      </w:r>
      <w:r w:rsidR="00356DD0" w:rsidRPr="00783958">
        <w:rPr>
          <w:sz w:val="24"/>
        </w:rPr>
        <w:t xml:space="preserve"> (Table 5)</w:t>
      </w:r>
      <w:r w:rsidR="00A91208" w:rsidRPr="00783958">
        <w:rPr>
          <w:sz w:val="24"/>
        </w:rPr>
        <w:t>. The [TMHEEA]</w:t>
      </w:r>
      <w:r w:rsidR="00A32F11" w:rsidRPr="00783958">
        <w:rPr>
          <w:sz w:val="24"/>
        </w:rPr>
        <w:t xml:space="preserve"> </w:t>
      </w:r>
      <w:r w:rsidR="00A91208" w:rsidRPr="00783958">
        <w:rPr>
          <w:sz w:val="24"/>
        </w:rPr>
        <w:t xml:space="preserve">AILs </w:t>
      </w:r>
      <w:r w:rsidR="00A611EA" w:rsidRPr="00783958">
        <w:rPr>
          <w:sz w:val="24"/>
        </w:rPr>
        <w:t>(</w:t>
      </w:r>
      <w:r w:rsidR="00E30B40" w:rsidRPr="00783958">
        <w:rPr>
          <w:b/>
          <w:sz w:val="24"/>
        </w:rPr>
        <w:t>2a-d</w:t>
      </w:r>
      <w:r w:rsidR="00A611EA" w:rsidRPr="00783958">
        <w:rPr>
          <w:sz w:val="24"/>
        </w:rPr>
        <w:t xml:space="preserve">) </w:t>
      </w:r>
      <w:r w:rsidR="00A91208" w:rsidRPr="00783958">
        <w:rPr>
          <w:sz w:val="24"/>
        </w:rPr>
        <w:t xml:space="preserve">all </w:t>
      </w:r>
      <w:r w:rsidR="003E6507">
        <w:rPr>
          <w:sz w:val="24"/>
        </w:rPr>
        <w:t>had</w:t>
      </w:r>
      <w:r w:rsidR="003E6507" w:rsidRPr="00783958">
        <w:rPr>
          <w:sz w:val="24"/>
        </w:rPr>
        <w:t xml:space="preserve"> </w:t>
      </w:r>
      <w:r w:rsidR="00A91208" w:rsidRPr="00783958">
        <w:rPr>
          <w:sz w:val="24"/>
        </w:rPr>
        <w:t>MIC values greater than the maximum screening concentration</w:t>
      </w:r>
      <w:r w:rsidR="00D654FA" w:rsidRPr="00783958">
        <w:rPr>
          <w:sz w:val="24"/>
        </w:rPr>
        <w:t xml:space="preserve"> </w:t>
      </w:r>
      <w:r w:rsidR="00B6291D" w:rsidRPr="00783958">
        <w:rPr>
          <w:sz w:val="24"/>
        </w:rPr>
        <w:t xml:space="preserve">(2000 </w:t>
      </w:r>
      <w:r w:rsidR="00B6291D" w:rsidRPr="00783958">
        <w:rPr>
          <w:rFonts w:cs="Times New Roman"/>
          <w:sz w:val="24"/>
        </w:rPr>
        <w:t>µ</w:t>
      </w:r>
      <w:r w:rsidR="00B6291D" w:rsidRPr="00783958">
        <w:rPr>
          <w:sz w:val="24"/>
        </w:rPr>
        <w:t xml:space="preserve">M) </w:t>
      </w:r>
      <w:r w:rsidR="00D654FA" w:rsidRPr="00783958">
        <w:rPr>
          <w:sz w:val="24"/>
        </w:rPr>
        <w:t>for all fungal strai</w:t>
      </w:r>
      <w:r w:rsidR="00A91208" w:rsidRPr="00783958">
        <w:rPr>
          <w:sz w:val="24"/>
        </w:rPr>
        <w:t>n</w:t>
      </w:r>
      <w:r w:rsidR="00D654FA" w:rsidRPr="00783958">
        <w:rPr>
          <w:sz w:val="24"/>
        </w:rPr>
        <w:t>s</w:t>
      </w:r>
      <w:r w:rsidR="00A91208" w:rsidRPr="00783958">
        <w:rPr>
          <w:sz w:val="24"/>
        </w:rPr>
        <w:t>, while</w:t>
      </w:r>
      <w:r w:rsidR="00A611EA" w:rsidRPr="00783958">
        <w:rPr>
          <w:sz w:val="24"/>
        </w:rPr>
        <w:t xml:space="preserve"> for the analogous PIL series </w:t>
      </w:r>
      <w:r w:rsidR="00E30B40" w:rsidRPr="00783958">
        <w:rPr>
          <w:sz w:val="24"/>
        </w:rPr>
        <w:t>(</w:t>
      </w:r>
      <w:r w:rsidR="00E30B40" w:rsidRPr="00783958">
        <w:rPr>
          <w:b/>
          <w:sz w:val="24"/>
        </w:rPr>
        <w:t>5a-d</w:t>
      </w:r>
      <w:r w:rsidR="00E30B40" w:rsidRPr="00783958">
        <w:rPr>
          <w:sz w:val="24"/>
        </w:rPr>
        <w:t xml:space="preserve">) </w:t>
      </w:r>
      <w:r w:rsidR="00A91208" w:rsidRPr="00783958">
        <w:rPr>
          <w:sz w:val="24"/>
        </w:rPr>
        <w:t xml:space="preserve">only </w:t>
      </w:r>
      <w:r w:rsidR="00E30B40" w:rsidRPr="00783958">
        <w:rPr>
          <w:b/>
          <w:sz w:val="24"/>
        </w:rPr>
        <w:t>5a</w:t>
      </w:r>
      <w:r w:rsidR="00E30B40" w:rsidRPr="00783958">
        <w:rPr>
          <w:sz w:val="24"/>
        </w:rPr>
        <w:t xml:space="preserve"> </w:t>
      </w:r>
      <w:r w:rsidR="00A91208" w:rsidRPr="00783958">
        <w:rPr>
          <w:sz w:val="24"/>
        </w:rPr>
        <w:t xml:space="preserve">and </w:t>
      </w:r>
      <w:r w:rsidR="00E30B40" w:rsidRPr="00783958">
        <w:rPr>
          <w:b/>
          <w:sz w:val="24"/>
        </w:rPr>
        <w:t xml:space="preserve">5c </w:t>
      </w:r>
      <w:r w:rsidR="003C7E89" w:rsidRPr="00783958">
        <w:rPr>
          <w:sz w:val="24"/>
        </w:rPr>
        <w:t xml:space="preserve">were </w:t>
      </w:r>
      <w:r w:rsidR="00E30B40" w:rsidRPr="00783958">
        <w:rPr>
          <w:sz w:val="24"/>
        </w:rPr>
        <w:t xml:space="preserve">consistent with </w:t>
      </w:r>
      <w:r w:rsidR="00D654FA" w:rsidRPr="00783958">
        <w:rPr>
          <w:sz w:val="24"/>
        </w:rPr>
        <w:t>this result</w:t>
      </w:r>
      <w:r w:rsidR="00356DD0" w:rsidRPr="00783958">
        <w:rPr>
          <w:sz w:val="24"/>
        </w:rPr>
        <w:t xml:space="preserve"> (Table 5)</w:t>
      </w:r>
      <w:r w:rsidR="00D654FA" w:rsidRPr="00783958">
        <w:rPr>
          <w:sz w:val="24"/>
        </w:rPr>
        <w:t>.</w:t>
      </w:r>
      <w:r w:rsidR="003D3CE2" w:rsidRPr="00783958">
        <w:rPr>
          <w:sz w:val="24"/>
        </w:rPr>
        <w:t xml:space="preserve"> </w:t>
      </w:r>
      <w:r w:rsidR="00D654FA" w:rsidRPr="00783958">
        <w:rPr>
          <w:sz w:val="24"/>
        </w:rPr>
        <w:t xml:space="preserve">The PIL </w:t>
      </w:r>
      <w:r w:rsidR="00E30B40" w:rsidRPr="00783958">
        <w:rPr>
          <w:b/>
          <w:sz w:val="24"/>
        </w:rPr>
        <w:t>5b</w:t>
      </w:r>
      <w:r w:rsidR="00E30B40" w:rsidRPr="00783958">
        <w:rPr>
          <w:sz w:val="24"/>
        </w:rPr>
        <w:t xml:space="preserve"> </w:t>
      </w:r>
      <w:r w:rsidR="00FA69C1" w:rsidRPr="00783958">
        <w:rPr>
          <w:sz w:val="24"/>
        </w:rPr>
        <w:t>ha</w:t>
      </w:r>
      <w:r w:rsidR="003E6507">
        <w:rPr>
          <w:sz w:val="24"/>
        </w:rPr>
        <w:t>d</w:t>
      </w:r>
      <w:r w:rsidR="00FA69C1" w:rsidRPr="00783958">
        <w:rPr>
          <w:sz w:val="24"/>
        </w:rPr>
        <w:t xml:space="preserve"> </w:t>
      </w:r>
      <w:r w:rsidR="00E30B40" w:rsidRPr="00783958">
        <w:rPr>
          <w:sz w:val="24"/>
        </w:rPr>
        <w:t>IC</w:t>
      </w:r>
      <w:r w:rsidR="00E30B40" w:rsidRPr="00783958">
        <w:rPr>
          <w:sz w:val="24"/>
          <w:vertAlign w:val="subscript"/>
        </w:rPr>
        <w:t>80</w:t>
      </w:r>
      <w:r w:rsidR="00E30B40" w:rsidRPr="00783958">
        <w:rPr>
          <w:sz w:val="24"/>
        </w:rPr>
        <w:t>/IC</w:t>
      </w:r>
      <w:r w:rsidR="00E30B40" w:rsidRPr="00783958">
        <w:rPr>
          <w:sz w:val="24"/>
          <w:vertAlign w:val="subscript"/>
        </w:rPr>
        <w:t>50</w:t>
      </w:r>
      <w:r w:rsidR="00E30B40" w:rsidRPr="00783958">
        <w:rPr>
          <w:sz w:val="24"/>
        </w:rPr>
        <w:t xml:space="preserve"> values</w:t>
      </w:r>
      <w:r w:rsidR="00FA69C1" w:rsidRPr="00783958">
        <w:rPr>
          <w:sz w:val="24"/>
        </w:rPr>
        <w:t xml:space="preserve"> to all strains </w:t>
      </w:r>
      <w:r w:rsidR="00E30B40" w:rsidRPr="00783958">
        <w:rPr>
          <w:sz w:val="24"/>
        </w:rPr>
        <w:t>above</w:t>
      </w:r>
      <w:r w:rsidR="00FA69C1" w:rsidRPr="00783958">
        <w:rPr>
          <w:sz w:val="24"/>
        </w:rPr>
        <w:t xml:space="preserve"> the maximum screening concentration</w:t>
      </w:r>
      <w:r w:rsidR="00E532B7" w:rsidRPr="00783958">
        <w:rPr>
          <w:sz w:val="24"/>
        </w:rPr>
        <w:t>, which</w:t>
      </w:r>
      <w:r w:rsidR="00AA492C" w:rsidRPr="00783958">
        <w:rPr>
          <w:sz w:val="24"/>
        </w:rPr>
        <w:t xml:space="preserve"> was limited to</w:t>
      </w:r>
      <w:r w:rsidR="00FA69C1" w:rsidRPr="00783958">
        <w:rPr>
          <w:sz w:val="24"/>
        </w:rPr>
        <w:t xml:space="preserve"> 500 </w:t>
      </w:r>
      <w:r w:rsidR="00FA69C1" w:rsidRPr="00783958">
        <w:rPr>
          <w:rFonts w:cs="Times New Roman"/>
          <w:sz w:val="24"/>
        </w:rPr>
        <w:t>µ</w:t>
      </w:r>
      <w:r w:rsidR="00FA69C1" w:rsidRPr="00783958">
        <w:rPr>
          <w:sz w:val="24"/>
        </w:rPr>
        <w:t xml:space="preserve">M due to </w:t>
      </w:r>
      <w:r w:rsidR="00AA492C" w:rsidRPr="00783958">
        <w:rPr>
          <w:sz w:val="24"/>
        </w:rPr>
        <w:t xml:space="preserve">low </w:t>
      </w:r>
      <w:r w:rsidR="00FA69C1" w:rsidRPr="00783958">
        <w:rPr>
          <w:sz w:val="24"/>
        </w:rPr>
        <w:t>IL solubility</w:t>
      </w:r>
      <w:r w:rsidR="00AA492C" w:rsidRPr="00783958">
        <w:rPr>
          <w:sz w:val="24"/>
        </w:rPr>
        <w:t xml:space="preserve"> in the </w:t>
      </w:r>
      <w:r w:rsidR="00872819" w:rsidRPr="00783958">
        <w:rPr>
          <w:sz w:val="24"/>
        </w:rPr>
        <w:t xml:space="preserve">media required for the </w:t>
      </w:r>
      <w:r w:rsidR="00AA492C" w:rsidRPr="00783958">
        <w:rPr>
          <w:sz w:val="24"/>
        </w:rPr>
        <w:t>test assay.</w:t>
      </w:r>
      <w:r w:rsidR="00FA69C1" w:rsidRPr="00783958">
        <w:rPr>
          <w:sz w:val="24"/>
        </w:rPr>
        <w:t xml:space="preserve"> </w:t>
      </w:r>
      <w:r w:rsidR="00356B11" w:rsidRPr="00783958">
        <w:rPr>
          <w:sz w:val="24"/>
        </w:rPr>
        <w:t xml:space="preserve">The PIL </w:t>
      </w:r>
      <w:r w:rsidR="00872819" w:rsidRPr="00783958">
        <w:rPr>
          <w:b/>
          <w:sz w:val="24"/>
        </w:rPr>
        <w:t>5d</w:t>
      </w:r>
      <w:r w:rsidR="00872819" w:rsidRPr="00783958">
        <w:rPr>
          <w:sz w:val="24"/>
        </w:rPr>
        <w:t xml:space="preserve"> </w:t>
      </w:r>
      <w:r w:rsidR="009C08BC" w:rsidRPr="00783958">
        <w:rPr>
          <w:sz w:val="24"/>
        </w:rPr>
        <w:lastRenderedPageBreak/>
        <w:t xml:space="preserve">exhibited </w:t>
      </w:r>
      <w:r w:rsidR="00FA69C1" w:rsidRPr="00783958">
        <w:rPr>
          <w:sz w:val="24"/>
        </w:rPr>
        <w:t>M</w:t>
      </w:r>
      <w:r w:rsidR="009C08BC" w:rsidRPr="00783958">
        <w:rPr>
          <w:sz w:val="24"/>
        </w:rPr>
        <w:t>IC values</w:t>
      </w:r>
      <w:r w:rsidR="00F42690" w:rsidRPr="00783958">
        <w:rPr>
          <w:sz w:val="24"/>
        </w:rPr>
        <w:t xml:space="preserve"> at</w:t>
      </w:r>
      <w:r w:rsidR="009C08BC" w:rsidRPr="00783958">
        <w:rPr>
          <w:sz w:val="24"/>
        </w:rPr>
        <w:t xml:space="preserve"> th</w:t>
      </w:r>
      <w:r w:rsidR="00F42690" w:rsidRPr="00783958">
        <w:rPr>
          <w:sz w:val="24"/>
        </w:rPr>
        <w:t>e maximum test concentration towards two</w:t>
      </w:r>
      <w:r w:rsidR="009C08BC" w:rsidRPr="00783958">
        <w:rPr>
          <w:sz w:val="24"/>
        </w:rPr>
        <w:t xml:space="preserve"> strains</w:t>
      </w:r>
      <w:r w:rsidR="00FA69C1" w:rsidRPr="00783958">
        <w:rPr>
          <w:sz w:val="24"/>
        </w:rPr>
        <w:t>;</w:t>
      </w:r>
      <w:r w:rsidR="009C08BC" w:rsidRPr="00783958">
        <w:rPr>
          <w:sz w:val="24"/>
        </w:rPr>
        <w:t xml:space="preserve"> </w:t>
      </w:r>
      <w:r w:rsidR="0010252E" w:rsidRPr="00783958">
        <w:rPr>
          <w:i/>
          <w:sz w:val="24"/>
        </w:rPr>
        <w:t xml:space="preserve">C. </w:t>
      </w:r>
      <w:r w:rsidR="00F42690" w:rsidRPr="00783958">
        <w:rPr>
          <w:i/>
          <w:sz w:val="24"/>
        </w:rPr>
        <w:t xml:space="preserve">krusei </w:t>
      </w:r>
      <w:r w:rsidR="00F42690" w:rsidRPr="00783958">
        <w:rPr>
          <w:sz w:val="24"/>
        </w:rPr>
        <w:t xml:space="preserve">(both </w:t>
      </w:r>
      <w:r w:rsidR="00667292" w:rsidRPr="00783958">
        <w:rPr>
          <w:sz w:val="24"/>
        </w:rPr>
        <w:t>variants</w:t>
      </w:r>
      <w:r w:rsidR="00F42690" w:rsidRPr="00783958">
        <w:rPr>
          <w:sz w:val="24"/>
        </w:rPr>
        <w:t xml:space="preserve">, </w:t>
      </w:r>
      <w:r w:rsidR="00872819" w:rsidRPr="00783958">
        <w:rPr>
          <w:sz w:val="24"/>
        </w:rPr>
        <w:t>IC</w:t>
      </w:r>
      <w:r w:rsidR="00872819" w:rsidRPr="00783958">
        <w:rPr>
          <w:sz w:val="24"/>
          <w:vertAlign w:val="subscript"/>
        </w:rPr>
        <w:t xml:space="preserve">80 </w:t>
      </w:r>
      <w:r w:rsidR="00FA69C1" w:rsidRPr="00783958">
        <w:rPr>
          <w:sz w:val="24"/>
        </w:rPr>
        <w:t xml:space="preserve">= </w:t>
      </w:r>
      <w:r w:rsidR="00F42690" w:rsidRPr="00783958">
        <w:rPr>
          <w:sz w:val="24"/>
        </w:rPr>
        <w:t>2000</w:t>
      </w:r>
      <w:r w:rsidR="00FA69C1" w:rsidRPr="00783958">
        <w:rPr>
          <w:sz w:val="24"/>
        </w:rPr>
        <w:t xml:space="preserve"> </w:t>
      </w:r>
      <w:r w:rsidR="00F42690" w:rsidRPr="00783958">
        <w:rPr>
          <w:rFonts w:cs="Times New Roman"/>
          <w:sz w:val="24"/>
        </w:rPr>
        <w:t>μ</w:t>
      </w:r>
      <w:r w:rsidR="00FA69C1" w:rsidRPr="00783958">
        <w:rPr>
          <w:rFonts w:cs="Times New Roman"/>
          <w:sz w:val="24"/>
        </w:rPr>
        <w:t>M</w:t>
      </w:r>
      <w:r w:rsidR="00F42690" w:rsidRPr="00783958">
        <w:rPr>
          <w:sz w:val="24"/>
        </w:rPr>
        <w:t>, 48</w:t>
      </w:r>
      <w:r w:rsidR="00FA69C1" w:rsidRPr="00783958">
        <w:rPr>
          <w:sz w:val="24"/>
        </w:rPr>
        <w:t xml:space="preserve"> h</w:t>
      </w:r>
      <w:r w:rsidR="00F42690" w:rsidRPr="00783958">
        <w:rPr>
          <w:sz w:val="24"/>
        </w:rPr>
        <w:t xml:space="preserve">) and </w:t>
      </w:r>
      <w:r w:rsidR="0010252E" w:rsidRPr="00783958">
        <w:rPr>
          <w:i/>
          <w:sz w:val="24"/>
        </w:rPr>
        <w:t xml:space="preserve">T. </w:t>
      </w:r>
      <w:r w:rsidR="00F42690" w:rsidRPr="00783958">
        <w:rPr>
          <w:i/>
          <w:sz w:val="24"/>
        </w:rPr>
        <w:t xml:space="preserve">mentagrophytes </w:t>
      </w:r>
      <w:r w:rsidR="00F42690" w:rsidRPr="00783958">
        <w:rPr>
          <w:sz w:val="24"/>
        </w:rPr>
        <w:t>(</w:t>
      </w:r>
      <w:r w:rsidR="00872819" w:rsidRPr="00783958">
        <w:rPr>
          <w:sz w:val="24"/>
        </w:rPr>
        <w:t>IC</w:t>
      </w:r>
      <w:r w:rsidR="00872819" w:rsidRPr="00783958">
        <w:rPr>
          <w:sz w:val="24"/>
          <w:vertAlign w:val="subscript"/>
        </w:rPr>
        <w:t xml:space="preserve">50 </w:t>
      </w:r>
      <w:r w:rsidR="00FA69C1" w:rsidRPr="00783958">
        <w:rPr>
          <w:sz w:val="24"/>
        </w:rPr>
        <w:t>=</w:t>
      </w:r>
      <w:r w:rsidR="00F42690" w:rsidRPr="00783958">
        <w:rPr>
          <w:sz w:val="24"/>
        </w:rPr>
        <w:t xml:space="preserve"> 2000</w:t>
      </w:r>
      <w:r w:rsidR="00872819" w:rsidRPr="00783958">
        <w:rPr>
          <w:sz w:val="24"/>
        </w:rPr>
        <w:t xml:space="preserve"> </w:t>
      </w:r>
      <w:r w:rsidR="00F42690" w:rsidRPr="00783958">
        <w:rPr>
          <w:rFonts w:cs="Times New Roman"/>
          <w:sz w:val="24"/>
        </w:rPr>
        <w:t>μ</w:t>
      </w:r>
      <w:r w:rsidR="00FA69C1" w:rsidRPr="00783958">
        <w:rPr>
          <w:rFonts w:cs="Times New Roman"/>
          <w:sz w:val="24"/>
        </w:rPr>
        <w:t>M</w:t>
      </w:r>
      <w:r w:rsidR="00FA69C1" w:rsidRPr="00783958">
        <w:rPr>
          <w:sz w:val="24"/>
        </w:rPr>
        <w:t>, 120 h</w:t>
      </w:r>
      <w:r w:rsidR="00F42690" w:rsidRPr="00783958">
        <w:rPr>
          <w:sz w:val="24"/>
        </w:rPr>
        <w:t>)</w:t>
      </w:r>
      <w:r w:rsidR="00356DD0" w:rsidRPr="00783958">
        <w:rPr>
          <w:sz w:val="24"/>
        </w:rPr>
        <w:t xml:space="preserve"> (Table 5)</w:t>
      </w:r>
      <w:r w:rsidR="003D3CE2" w:rsidRPr="00783958">
        <w:rPr>
          <w:sz w:val="24"/>
        </w:rPr>
        <w:t xml:space="preserve">. </w:t>
      </w:r>
    </w:p>
    <w:p w14:paraId="2D811ECC" w14:textId="77777777" w:rsidR="005B5144" w:rsidRDefault="005B5144">
      <w:r>
        <w:br w:type="page"/>
      </w:r>
    </w:p>
    <w:p w14:paraId="10B1B237" w14:textId="1CD1EA36" w:rsidR="005A6F82" w:rsidRPr="00783958" w:rsidRDefault="005A6F82" w:rsidP="00B63501">
      <w:pPr>
        <w:spacing w:line="480" w:lineRule="auto"/>
        <w:jc w:val="both"/>
        <w:rPr>
          <w:sz w:val="24"/>
        </w:rPr>
      </w:pPr>
      <w:r w:rsidRPr="00783958">
        <w:rPr>
          <w:rFonts w:cs="Times New Roman"/>
          <w:b/>
          <w:sz w:val="24"/>
        </w:rPr>
        <w:lastRenderedPageBreak/>
        <w:t xml:space="preserve">Table </w:t>
      </w:r>
      <w:r w:rsidR="00356DD0" w:rsidRPr="00783958">
        <w:rPr>
          <w:rFonts w:cs="Times New Roman"/>
          <w:b/>
          <w:sz w:val="24"/>
        </w:rPr>
        <w:t>5</w:t>
      </w:r>
      <w:r w:rsidR="00356DD0" w:rsidRPr="00783958">
        <w:rPr>
          <w:rFonts w:cs="Times New Roman"/>
          <w:sz w:val="24"/>
        </w:rPr>
        <w:t xml:space="preserve"> </w:t>
      </w:r>
      <w:r w:rsidRPr="00783958">
        <w:rPr>
          <w:rFonts w:cs="Times New Roman"/>
          <w:sz w:val="24"/>
        </w:rPr>
        <w:t>Antifungal screening results for the [Ch] AILs (</w:t>
      </w:r>
      <w:r w:rsidR="003335B6" w:rsidRPr="00783958">
        <w:rPr>
          <w:rFonts w:cs="Times New Roman"/>
          <w:b/>
          <w:sz w:val="24"/>
        </w:rPr>
        <w:t>1a-d</w:t>
      </w:r>
      <w:r w:rsidRPr="00783958">
        <w:rPr>
          <w:rFonts w:cs="Times New Roman"/>
          <w:b/>
          <w:sz w:val="24"/>
        </w:rPr>
        <w:t>)</w:t>
      </w:r>
      <w:r w:rsidRPr="00783958">
        <w:rPr>
          <w:rFonts w:cs="Times New Roman"/>
          <w:sz w:val="24"/>
        </w:rPr>
        <w:t>, [TMHEEA] AILs (</w:t>
      </w:r>
      <w:r w:rsidR="003335B6" w:rsidRPr="00783958">
        <w:rPr>
          <w:rFonts w:cs="Times New Roman"/>
          <w:b/>
          <w:sz w:val="24"/>
        </w:rPr>
        <w:t>2a-d</w:t>
      </w:r>
      <w:r w:rsidRPr="00783958">
        <w:rPr>
          <w:rFonts w:cs="Times New Roman"/>
          <w:sz w:val="24"/>
        </w:rPr>
        <w:t>), [DMEtAH] PILs (</w:t>
      </w:r>
      <w:r w:rsidR="003335B6" w:rsidRPr="00783958">
        <w:rPr>
          <w:rFonts w:cs="Times New Roman"/>
          <w:b/>
          <w:sz w:val="24"/>
        </w:rPr>
        <w:t>4a-d</w:t>
      </w:r>
      <w:r w:rsidRPr="00783958">
        <w:rPr>
          <w:rFonts w:cs="Times New Roman"/>
          <w:sz w:val="24"/>
        </w:rPr>
        <w:t>) and the [DMHEEAH] PILs (</w:t>
      </w:r>
      <w:r w:rsidR="003335B6" w:rsidRPr="00783958">
        <w:rPr>
          <w:rFonts w:cs="Times New Roman"/>
          <w:b/>
          <w:sz w:val="24"/>
        </w:rPr>
        <w:t>5a-d</w:t>
      </w:r>
      <w:r w:rsidRPr="00783958">
        <w:rPr>
          <w:rFonts w:cs="Times New Roman"/>
          <w:sz w:val="24"/>
        </w:rPr>
        <w:t>) (MIC, IC</w:t>
      </w:r>
      <w:r w:rsidRPr="00783958">
        <w:rPr>
          <w:rFonts w:cs="Times New Roman"/>
          <w:sz w:val="24"/>
          <w:vertAlign w:val="subscript"/>
        </w:rPr>
        <w:t xml:space="preserve">80 </w:t>
      </w:r>
      <w:r w:rsidRPr="00783958">
        <w:rPr>
          <w:rFonts w:cs="Times New Roman"/>
          <w:sz w:val="24"/>
        </w:rPr>
        <w:t>or IC</w:t>
      </w:r>
      <w:r w:rsidRPr="00783958">
        <w:rPr>
          <w:rFonts w:cs="Times New Roman"/>
          <w:sz w:val="24"/>
          <w:vertAlign w:val="subscript"/>
        </w:rPr>
        <w:t>50</w:t>
      </w:r>
      <w:r w:rsidRPr="00783958">
        <w:rPr>
          <w:rFonts w:cs="Times New Roman"/>
          <w:sz w:val="24"/>
        </w:rPr>
        <w:t>).</w:t>
      </w:r>
    </w:p>
    <w:tbl>
      <w:tblPr>
        <w:tblW w:w="0" w:type="auto"/>
        <w:jc w:val="center"/>
        <w:tblLook w:val="04A0" w:firstRow="1" w:lastRow="0" w:firstColumn="1" w:lastColumn="0" w:noHBand="0" w:noVBand="1"/>
      </w:tblPr>
      <w:tblGrid>
        <w:gridCol w:w="815"/>
        <w:gridCol w:w="955"/>
        <w:gridCol w:w="744"/>
        <w:gridCol w:w="629"/>
        <w:gridCol w:w="729"/>
      </w:tblGrid>
      <w:tr w:rsidR="00B52164" w:rsidRPr="00B52164" w14:paraId="09FFE8A6" w14:textId="77777777" w:rsidTr="001B73A2">
        <w:trPr>
          <w:trHeight w:val="330"/>
          <w:jc w:val="center"/>
        </w:trPr>
        <w:tc>
          <w:tcPr>
            <w:tcW w:w="0" w:type="auto"/>
            <w:vMerge w:val="restart"/>
            <w:tcBorders>
              <w:top w:val="single" w:sz="8" w:space="0" w:color="auto"/>
              <w:left w:val="nil"/>
              <w:bottom w:val="single" w:sz="8" w:space="0" w:color="000000"/>
              <w:right w:val="nil"/>
            </w:tcBorders>
            <w:shd w:val="clear" w:color="000000" w:fill="FFFFFF"/>
            <w:noWrap/>
            <w:vAlign w:val="center"/>
            <w:hideMark/>
          </w:tcPr>
          <w:p w14:paraId="2EABD922"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Strain</w:t>
            </w:r>
            <w:r w:rsidRPr="00B52164">
              <w:rPr>
                <w:rFonts w:eastAsia="Times New Roman" w:cs="Times New Roman"/>
                <w:b/>
                <w:bCs/>
                <w:color w:val="000000"/>
                <w:szCs w:val="20"/>
                <w:vertAlign w:val="superscript"/>
                <w:lang w:eastAsia="en-GB"/>
              </w:rPr>
              <w:t>a</w:t>
            </w:r>
          </w:p>
        </w:tc>
        <w:tc>
          <w:tcPr>
            <w:tcW w:w="0" w:type="auto"/>
            <w:vMerge w:val="restart"/>
            <w:tcBorders>
              <w:top w:val="single" w:sz="8" w:space="0" w:color="auto"/>
              <w:left w:val="nil"/>
              <w:bottom w:val="single" w:sz="8" w:space="0" w:color="000000"/>
              <w:right w:val="nil"/>
            </w:tcBorders>
            <w:shd w:val="clear" w:color="000000" w:fill="FFFFFF"/>
            <w:noWrap/>
            <w:vAlign w:val="center"/>
            <w:hideMark/>
          </w:tcPr>
          <w:p w14:paraId="11B5CA6A"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Time (h)</w:t>
            </w:r>
          </w:p>
        </w:tc>
        <w:tc>
          <w:tcPr>
            <w:tcW w:w="0" w:type="auto"/>
            <w:gridSpan w:val="3"/>
            <w:tcBorders>
              <w:top w:val="single" w:sz="8" w:space="0" w:color="auto"/>
              <w:left w:val="nil"/>
              <w:bottom w:val="single" w:sz="8" w:space="0" w:color="auto"/>
              <w:right w:val="nil"/>
            </w:tcBorders>
            <w:shd w:val="clear" w:color="000000" w:fill="FFFFFF"/>
            <w:noWrap/>
            <w:vAlign w:val="center"/>
            <w:hideMark/>
          </w:tcPr>
          <w:p w14:paraId="06230EEA"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IL MIC (μM)</w:t>
            </w:r>
            <w:r w:rsidRPr="00B52164">
              <w:rPr>
                <w:rFonts w:eastAsia="Times New Roman" w:cs="Times New Roman"/>
                <w:b/>
                <w:bCs/>
                <w:color w:val="000000"/>
                <w:szCs w:val="20"/>
                <w:vertAlign w:val="superscript"/>
                <w:lang w:eastAsia="en-GB"/>
              </w:rPr>
              <w:t>b</w:t>
            </w:r>
          </w:p>
        </w:tc>
      </w:tr>
      <w:tr w:rsidR="00B52164" w:rsidRPr="00B52164" w14:paraId="26586571" w14:textId="77777777" w:rsidTr="001B73A2">
        <w:trPr>
          <w:trHeight w:val="315"/>
          <w:jc w:val="center"/>
        </w:trPr>
        <w:tc>
          <w:tcPr>
            <w:tcW w:w="0" w:type="auto"/>
            <w:vMerge/>
            <w:tcBorders>
              <w:top w:val="single" w:sz="8" w:space="0" w:color="auto"/>
              <w:left w:val="nil"/>
              <w:bottom w:val="single" w:sz="8" w:space="0" w:color="000000"/>
              <w:right w:val="nil"/>
            </w:tcBorders>
            <w:vAlign w:val="center"/>
            <w:hideMark/>
          </w:tcPr>
          <w:p w14:paraId="398CE047"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single" w:sz="8" w:space="0" w:color="auto"/>
              <w:left w:val="nil"/>
              <w:bottom w:val="single" w:sz="8" w:space="0" w:color="000000"/>
              <w:right w:val="nil"/>
            </w:tcBorders>
            <w:vAlign w:val="center"/>
            <w:hideMark/>
          </w:tcPr>
          <w:p w14:paraId="6C84D191"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nil"/>
              <w:right w:val="nil"/>
            </w:tcBorders>
            <w:shd w:val="clear" w:color="000000" w:fill="FFFFFF"/>
            <w:vAlign w:val="center"/>
            <w:hideMark/>
          </w:tcPr>
          <w:p w14:paraId="3E689658" w14:textId="41BEF813"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1a-d,</w:t>
            </w:r>
          </w:p>
        </w:tc>
        <w:tc>
          <w:tcPr>
            <w:tcW w:w="0" w:type="auto"/>
            <w:vMerge w:val="restart"/>
            <w:tcBorders>
              <w:top w:val="nil"/>
              <w:left w:val="nil"/>
              <w:bottom w:val="single" w:sz="8" w:space="0" w:color="000000"/>
              <w:right w:val="nil"/>
            </w:tcBorders>
            <w:shd w:val="clear" w:color="000000" w:fill="FFFFFF"/>
            <w:noWrap/>
            <w:vAlign w:val="center"/>
            <w:hideMark/>
          </w:tcPr>
          <w:p w14:paraId="4D5C92BF"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5b</w:t>
            </w:r>
            <w:r w:rsidRPr="00B52164">
              <w:rPr>
                <w:rFonts w:eastAsia="Times New Roman" w:cs="Times New Roman"/>
                <w:b/>
                <w:bCs/>
                <w:color w:val="000000"/>
                <w:szCs w:val="20"/>
                <w:vertAlign w:val="superscript"/>
                <w:lang w:eastAsia="en-GB"/>
              </w:rPr>
              <w:t>c</w:t>
            </w:r>
          </w:p>
        </w:tc>
        <w:tc>
          <w:tcPr>
            <w:tcW w:w="0" w:type="auto"/>
            <w:vMerge w:val="restart"/>
            <w:tcBorders>
              <w:top w:val="nil"/>
              <w:left w:val="nil"/>
              <w:bottom w:val="single" w:sz="8" w:space="0" w:color="000000"/>
              <w:right w:val="nil"/>
            </w:tcBorders>
            <w:shd w:val="clear" w:color="000000" w:fill="FFFFFF"/>
            <w:noWrap/>
            <w:vAlign w:val="center"/>
            <w:hideMark/>
          </w:tcPr>
          <w:p w14:paraId="73768EFD"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5d</w:t>
            </w:r>
          </w:p>
        </w:tc>
      </w:tr>
      <w:tr w:rsidR="00B52164" w:rsidRPr="00B52164" w14:paraId="1D2B2700" w14:textId="77777777" w:rsidTr="001B73A2">
        <w:trPr>
          <w:trHeight w:val="300"/>
          <w:jc w:val="center"/>
        </w:trPr>
        <w:tc>
          <w:tcPr>
            <w:tcW w:w="0" w:type="auto"/>
            <w:vMerge/>
            <w:tcBorders>
              <w:top w:val="single" w:sz="8" w:space="0" w:color="auto"/>
              <w:left w:val="nil"/>
              <w:bottom w:val="single" w:sz="8" w:space="0" w:color="000000"/>
              <w:right w:val="nil"/>
            </w:tcBorders>
            <w:vAlign w:val="center"/>
            <w:hideMark/>
          </w:tcPr>
          <w:p w14:paraId="28385853"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single" w:sz="8" w:space="0" w:color="auto"/>
              <w:left w:val="nil"/>
              <w:bottom w:val="single" w:sz="8" w:space="0" w:color="000000"/>
              <w:right w:val="nil"/>
            </w:tcBorders>
            <w:vAlign w:val="center"/>
            <w:hideMark/>
          </w:tcPr>
          <w:p w14:paraId="14A12B71"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nil"/>
              <w:right w:val="nil"/>
            </w:tcBorders>
            <w:shd w:val="clear" w:color="000000" w:fill="FFFFFF"/>
            <w:vAlign w:val="center"/>
            <w:hideMark/>
          </w:tcPr>
          <w:p w14:paraId="060C45E0"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2a-d,</w:t>
            </w:r>
          </w:p>
        </w:tc>
        <w:tc>
          <w:tcPr>
            <w:tcW w:w="0" w:type="auto"/>
            <w:vMerge/>
            <w:tcBorders>
              <w:top w:val="nil"/>
              <w:left w:val="nil"/>
              <w:bottom w:val="single" w:sz="8" w:space="0" w:color="000000"/>
              <w:right w:val="nil"/>
            </w:tcBorders>
            <w:vAlign w:val="center"/>
            <w:hideMark/>
          </w:tcPr>
          <w:p w14:paraId="1FE16237"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nil"/>
              <w:left w:val="nil"/>
              <w:bottom w:val="single" w:sz="8" w:space="0" w:color="000000"/>
              <w:right w:val="nil"/>
            </w:tcBorders>
            <w:vAlign w:val="center"/>
            <w:hideMark/>
          </w:tcPr>
          <w:p w14:paraId="2481A888"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r>
      <w:tr w:rsidR="00B52164" w:rsidRPr="00B52164" w14:paraId="0DDBCF2C" w14:textId="77777777" w:rsidTr="001B73A2">
        <w:trPr>
          <w:trHeight w:val="315"/>
          <w:jc w:val="center"/>
        </w:trPr>
        <w:tc>
          <w:tcPr>
            <w:tcW w:w="0" w:type="auto"/>
            <w:vMerge/>
            <w:tcBorders>
              <w:top w:val="single" w:sz="8" w:space="0" w:color="auto"/>
              <w:left w:val="nil"/>
              <w:bottom w:val="single" w:sz="8" w:space="0" w:color="000000"/>
              <w:right w:val="nil"/>
            </w:tcBorders>
            <w:vAlign w:val="center"/>
            <w:hideMark/>
          </w:tcPr>
          <w:p w14:paraId="1B83EA51"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single" w:sz="8" w:space="0" w:color="auto"/>
              <w:left w:val="nil"/>
              <w:bottom w:val="single" w:sz="8" w:space="0" w:color="000000"/>
              <w:right w:val="nil"/>
            </w:tcBorders>
            <w:vAlign w:val="center"/>
            <w:hideMark/>
          </w:tcPr>
          <w:p w14:paraId="2EC0EB8F"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nil"/>
              <w:right w:val="nil"/>
            </w:tcBorders>
            <w:shd w:val="clear" w:color="000000" w:fill="FFFFFF"/>
            <w:vAlign w:val="center"/>
            <w:hideMark/>
          </w:tcPr>
          <w:p w14:paraId="3A19A763" w14:textId="563FD8AD"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4a-4d,</w:t>
            </w:r>
          </w:p>
        </w:tc>
        <w:tc>
          <w:tcPr>
            <w:tcW w:w="0" w:type="auto"/>
            <w:vMerge/>
            <w:tcBorders>
              <w:top w:val="nil"/>
              <w:left w:val="nil"/>
              <w:bottom w:val="single" w:sz="8" w:space="0" w:color="000000"/>
              <w:right w:val="nil"/>
            </w:tcBorders>
            <w:vAlign w:val="center"/>
            <w:hideMark/>
          </w:tcPr>
          <w:p w14:paraId="05376406"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nil"/>
              <w:left w:val="nil"/>
              <w:bottom w:val="single" w:sz="8" w:space="0" w:color="000000"/>
              <w:right w:val="nil"/>
            </w:tcBorders>
            <w:vAlign w:val="center"/>
            <w:hideMark/>
          </w:tcPr>
          <w:p w14:paraId="3904F29A"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r>
      <w:tr w:rsidR="00B52164" w:rsidRPr="00B52164" w14:paraId="22B9191D" w14:textId="77777777" w:rsidTr="001B73A2">
        <w:trPr>
          <w:trHeight w:val="315"/>
          <w:jc w:val="center"/>
        </w:trPr>
        <w:tc>
          <w:tcPr>
            <w:tcW w:w="0" w:type="auto"/>
            <w:vMerge/>
            <w:tcBorders>
              <w:top w:val="single" w:sz="8" w:space="0" w:color="auto"/>
              <w:left w:val="nil"/>
              <w:bottom w:val="single" w:sz="8" w:space="0" w:color="000000"/>
              <w:right w:val="nil"/>
            </w:tcBorders>
            <w:vAlign w:val="center"/>
            <w:hideMark/>
          </w:tcPr>
          <w:p w14:paraId="44A77A90"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single" w:sz="8" w:space="0" w:color="auto"/>
              <w:left w:val="nil"/>
              <w:bottom w:val="single" w:sz="8" w:space="0" w:color="000000"/>
              <w:right w:val="nil"/>
            </w:tcBorders>
            <w:vAlign w:val="center"/>
            <w:hideMark/>
          </w:tcPr>
          <w:p w14:paraId="6815CD43"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vAlign w:val="center"/>
            <w:hideMark/>
          </w:tcPr>
          <w:p w14:paraId="27707336" w14:textId="6A6854A3"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5a, 5c</w:t>
            </w:r>
          </w:p>
        </w:tc>
        <w:tc>
          <w:tcPr>
            <w:tcW w:w="0" w:type="auto"/>
            <w:vMerge/>
            <w:tcBorders>
              <w:top w:val="nil"/>
              <w:left w:val="nil"/>
              <w:bottom w:val="single" w:sz="8" w:space="0" w:color="000000"/>
              <w:right w:val="nil"/>
            </w:tcBorders>
            <w:vAlign w:val="center"/>
            <w:hideMark/>
          </w:tcPr>
          <w:p w14:paraId="2000995D"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vMerge/>
            <w:tcBorders>
              <w:top w:val="nil"/>
              <w:left w:val="nil"/>
              <w:bottom w:val="single" w:sz="8" w:space="0" w:color="000000"/>
              <w:right w:val="nil"/>
            </w:tcBorders>
            <w:vAlign w:val="center"/>
            <w:hideMark/>
          </w:tcPr>
          <w:p w14:paraId="520847D8"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r>
      <w:tr w:rsidR="00B52164" w:rsidRPr="00B52164" w14:paraId="7735F7FB"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320539BD"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CA1</w:t>
            </w:r>
          </w:p>
        </w:tc>
        <w:tc>
          <w:tcPr>
            <w:tcW w:w="0" w:type="auto"/>
            <w:tcBorders>
              <w:top w:val="nil"/>
              <w:left w:val="nil"/>
              <w:bottom w:val="nil"/>
              <w:right w:val="nil"/>
            </w:tcBorders>
            <w:shd w:val="clear" w:color="000000" w:fill="FFFFFF"/>
            <w:noWrap/>
            <w:vAlign w:val="center"/>
            <w:hideMark/>
          </w:tcPr>
          <w:p w14:paraId="0D84D716" w14:textId="77777777" w:rsidR="00B52164" w:rsidRPr="00B52164" w:rsidRDefault="00B52164" w:rsidP="001E63AA">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3C3C2F26"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vAlign w:val="center"/>
            <w:hideMark/>
          </w:tcPr>
          <w:p w14:paraId="6BE99B92" w14:textId="358894CF" w:rsidR="00B52164" w:rsidRPr="00B52164" w:rsidRDefault="005C41F1" w:rsidP="001E63AA">
            <w:pPr>
              <w:spacing w:after="0" w:line="240" w:lineRule="auto"/>
              <w:jc w:val="center"/>
              <w:rPr>
                <w:rFonts w:eastAsia="Times New Roman" w:cs="Times New Roman"/>
                <w:color w:val="006100"/>
                <w:szCs w:val="20"/>
                <w:lang w:eastAsia="en-GB"/>
              </w:rPr>
            </w:pPr>
            <w:r>
              <w:rPr>
                <w:rFonts w:eastAsia="Times New Roman" w:cs="Times New Roman"/>
                <w:color w:val="006100"/>
                <w:szCs w:val="20"/>
                <w:lang w:eastAsia="en-GB"/>
              </w:rPr>
              <w:t>&gt;</w:t>
            </w:r>
            <w:r w:rsidR="00B52164" w:rsidRPr="00B52164">
              <w:rPr>
                <w:rFonts w:eastAsia="Times New Roman" w:cs="Times New Roman"/>
                <w:color w:val="006100"/>
                <w:szCs w:val="20"/>
                <w:lang w:eastAsia="en-GB"/>
              </w:rPr>
              <w:t>500</w:t>
            </w:r>
          </w:p>
        </w:tc>
        <w:tc>
          <w:tcPr>
            <w:tcW w:w="0" w:type="auto"/>
            <w:tcBorders>
              <w:top w:val="nil"/>
              <w:left w:val="nil"/>
              <w:bottom w:val="nil"/>
              <w:right w:val="nil"/>
            </w:tcBorders>
            <w:shd w:val="clear" w:color="000000" w:fill="C6EFCE"/>
            <w:noWrap/>
            <w:vAlign w:val="center"/>
            <w:hideMark/>
          </w:tcPr>
          <w:p w14:paraId="7C0216EA"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B52164" w:rsidRPr="00B52164" w14:paraId="72B71F1D" w14:textId="77777777" w:rsidTr="001B73A2">
        <w:trPr>
          <w:trHeight w:val="315"/>
          <w:jc w:val="center"/>
        </w:trPr>
        <w:tc>
          <w:tcPr>
            <w:tcW w:w="0" w:type="auto"/>
            <w:vMerge/>
            <w:tcBorders>
              <w:top w:val="nil"/>
              <w:left w:val="nil"/>
              <w:bottom w:val="single" w:sz="8" w:space="0" w:color="000000"/>
              <w:right w:val="nil"/>
            </w:tcBorders>
            <w:vAlign w:val="center"/>
            <w:hideMark/>
          </w:tcPr>
          <w:p w14:paraId="6C774474"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368A021D" w14:textId="77777777" w:rsidR="00B52164" w:rsidRPr="00B52164" w:rsidRDefault="00B52164" w:rsidP="001E63AA">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677FE2A2"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vAlign w:val="center"/>
            <w:hideMark/>
          </w:tcPr>
          <w:p w14:paraId="3026415C" w14:textId="3C12DC4E" w:rsidR="00B52164" w:rsidRPr="00B52164" w:rsidRDefault="005C41F1" w:rsidP="001E63AA">
            <w:pPr>
              <w:spacing w:after="0" w:line="240" w:lineRule="auto"/>
              <w:jc w:val="center"/>
              <w:rPr>
                <w:rFonts w:eastAsia="Times New Roman" w:cs="Times New Roman"/>
                <w:color w:val="006100"/>
                <w:szCs w:val="20"/>
                <w:lang w:eastAsia="en-GB"/>
              </w:rPr>
            </w:pPr>
            <w:r>
              <w:rPr>
                <w:rFonts w:eastAsia="Times New Roman" w:cs="Times New Roman"/>
                <w:color w:val="006100"/>
                <w:szCs w:val="20"/>
                <w:lang w:eastAsia="en-GB"/>
              </w:rPr>
              <w:t>&gt;</w:t>
            </w:r>
            <w:r w:rsidRPr="00B52164">
              <w:rPr>
                <w:rFonts w:eastAsia="Times New Roman" w:cs="Times New Roman"/>
                <w:color w:val="0061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46A63E76"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B52164" w:rsidRPr="00B52164" w14:paraId="505D1152"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76318B1A" w14:textId="77777777" w:rsidR="00B52164" w:rsidRPr="00B52164" w:rsidRDefault="00B52164" w:rsidP="001E63AA">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CA2</w:t>
            </w:r>
          </w:p>
        </w:tc>
        <w:tc>
          <w:tcPr>
            <w:tcW w:w="0" w:type="auto"/>
            <w:tcBorders>
              <w:top w:val="nil"/>
              <w:left w:val="nil"/>
              <w:bottom w:val="nil"/>
              <w:right w:val="nil"/>
            </w:tcBorders>
            <w:shd w:val="clear" w:color="000000" w:fill="FFFFFF"/>
            <w:noWrap/>
            <w:vAlign w:val="center"/>
            <w:hideMark/>
          </w:tcPr>
          <w:p w14:paraId="65B2501E" w14:textId="77777777" w:rsidR="00B52164" w:rsidRPr="00B52164" w:rsidRDefault="00B52164" w:rsidP="001E63AA">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04B8697E"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vAlign w:val="center"/>
            <w:hideMark/>
          </w:tcPr>
          <w:p w14:paraId="31B3AB0A" w14:textId="3A9A6923" w:rsidR="00B52164" w:rsidRPr="00B52164" w:rsidRDefault="005C41F1" w:rsidP="001E63AA">
            <w:pPr>
              <w:spacing w:after="0" w:line="240" w:lineRule="auto"/>
              <w:jc w:val="center"/>
              <w:rPr>
                <w:rFonts w:eastAsia="Times New Roman" w:cs="Times New Roman"/>
                <w:color w:val="006100"/>
                <w:szCs w:val="20"/>
                <w:lang w:eastAsia="en-GB"/>
              </w:rPr>
            </w:pPr>
            <w:r>
              <w:rPr>
                <w:rFonts w:eastAsia="Times New Roman" w:cs="Times New Roman"/>
                <w:color w:val="006100"/>
                <w:szCs w:val="20"/>
                <w:lang w:eastAsia="en-GB"/>
              </w:rPr>
              <w:t>&gt;</w:t>
            </w:r>
            <w:r w:rsidRPr="00B52164">
              <w:rPr>
                <w:rFonts w:eastAsia="Times New Roman" w:cs="Times New Roman"/>
                <w:color w:val="006100"/>
                <w:szCs w:val="20"/>
                <w:lang w:eastAsia="en-GB"/>
              </w:rPr>
              <w:t>500</w:t>
            </w:r>
          </w:p>
        </w:tc>
        <w:tc>
          <w:tcPr>
            <w:tcW w:w="0" w:type="auto"/>
            <w:tcBorders>
              <w:top w:val="nil"/>
              <w:left w:val="nil"/>
              <w:bottom w:val="nil"/>
              <w:right w:val="nil"/>
            </w:tcBorders>
            <w:shd w:val="clear" w:color="000000" w:fill="C6EFCE"/>
            <w:noWrap/>
            <w:vAlign w:val="center"/>
            <w:hideMark/>
          </w:tcPr>
          <w:p w14:paraId="54B5752D"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B52164" w:rsidRPr="00B52164" w14:paraId="03CEADB8" w14:textId="77777777" w:rsidTr="001B73A2">
        <w:trPr>
          <w:trHeight w:val="315"/>
          <w:jc w:val="center"/>
        </w:trPr>
        <w:tc>
          <w:tcPr>
            <w:tcW w:w="0" w:type="auto"/>
            <w:vMerge/>
            <w:tcBorders>
              <w:top w:val="nil"/>
              <w:left w:val="nil"/>
              <w:bottom w:val="single" w:sz="8" w:space="0" w:color="000000"/>
              <w:right w:val="nil"/>
            </w:tcBorders>
            <w:vAlign w:val="center"/>
            <w:hideMark/>
          </w:tcPr>
          <w:p w14:paraId="1D6E45B1"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2A74550B" w14:textId="77777777" w:rsidR="00B52164" w:rsidRPr="00B52164" w:rsidRDefault="00B52164" w:rsidP="001E63AA">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4BEF543F"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vAlign w:val="center"/>
            <w:hideMark/>
          </w:tcPr>
          <w:p w14:paraId="377FD924" w14:textId="50C04486" w:rsidR="00B52164" w:rsidRPr="00B52164" w:rsidRDefault="005C41F1" w:rsidP="001E63AA">
            <w:pPr>
              <w:spacing w:after="0" w:line="240" w:lineRule="auto"/>
              <w:jc w:val="center"/>
              <w:rPr>
                <w:rFonts w:eastAsia="Times New Roman" w:cs="Times New Roman"/>
                <w:color w:val="006100"/>
                <w:szCs w:val="20"/>
                <w:lang w:eastAsia="en-GB"/>
              </w:rPr>
            </w:pPr>
            <w:r>
              <w:rPr>
                <w:rFonts w:eastAsia="Times New Roman" w:cs="Times New Roman"/>
                <w:color w:val="006100"/>
                <w:szCs w:val="20"/>
                <w:lang w:eastAsia="en-GB"/>
              </w:rPr>
              <w:t>&gt;</w:t>
            </w:r>
            <w:r w:rsidRPr="00B52164">
              <w:rPr>
                <w:rFonts w:eastAsia="Times New Roman" w:cs="Times New Roman"/>
                <w:color w:val="0061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3EBA1544"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4AF37D4C"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2AEB216B"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CP</w:t>
            </w:r>
          </w:p>
        </w:tc>
        <w:tc>
          <w:tcPr>
            <w:tcW w:w="0" w:type="auto"/>
            <w:tcBorders>
              <w:top w:val="nil"/>
              <w:left w:val="nil"/>
              <w:bottom w:val="nil"/>
              <w:right w:val="nil"/>
            </w:tcBorders>
            <w:shd w:val="clear" w:color="000000" w:fill="FFFFFF"/>
            <w:noWrap/>
            <w:vAlign w:val="center"/>
            <w:hideMark/>
          </w:tcPr>
          <w:p w14:paraId="196DDAD8"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26714332"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622BADE1" w14:textId="7B11963A" w:rsidR="005C41F1" w:rsidRPr="00B52164" w:rsidRDefault="005C41F1" w:rsidP="005C41F1">
            <w:pPr>
              <w:spacing w:after="0" w:line="240" w:lineRule="auto"/>
              <w:jc w:val="center"/>
              <w:rPr>
                <w:rFonts w:eastAsia="Times New Roman" w:cs="Times New Roman"/>
                <w:color w:val="006100"/>
                <w:szCs w:val="20"/>
                <w:lang w:eastAsia="en-GB"/>
              </w:rPr>
            </w:pPr>
            <w:r w:rsidRPr="001A0D18">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40BA6CFA"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7E5A9EF9" w14:textId="77777777" w:rsidTr="001B73A2">
        <w:trPr>
          <w:trHeight w:val="315"/>
          <w:jc w:val="center"/>
        </w:trPr>
        <w:tc>
          <w:tcPr>
            <w:tcW w:w="0" w:type="auto"/>
            <w:vMerge/>
            <w:tcBorders>
              <w:top w:val="nil"/>
              <w:left w:val="nil"/>
              <w:bottom w:val="single" w:sz="8" w:space="0" w:color="000000"/>
              <w:right w:val="nil"/>
            </w:tcBorders>
            <w:vAlign w:val="center"/>
            <w:hideMark/>
          </w:tcPr>
          <w:p w14:paraId="7A1ABB93"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6E9AF6FA"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4A01C955"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4195AD1A" w14:textId="6CBD2F32" w:rsidR="005C41F1" w:rsidRPr="00B52164" w:rsidRDefault="005C41F1" w:rsidP="005C41F1">
            <w:pPr>
              <w:spacing w:after="0" w:line="240" w:lineRule="auto"/>
              <w:jc w:val="center"/>
              <w:rPr>
                <w:rFonts w:eastAsia="Times New Roman" w:cs="Times New Roman"/>
                <w:color w:val="006100"/>
                <w:szCs w:val="20"/>
                <w:lang w:eastAsia="en-GB"/>
              </w:rPr>
            </w:pPr>
            <w:r w:rsidRPr="001A0D18">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261E9584"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593FEE55"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7591B53C"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CK1</w:t>
            </w:r>
          </w:p>
        </w:tc>
        <w:tc>
          <w:tcPr>
            <w:tcW w:w="0" w:type="auto"/>
            <w:tcBorders>
              <w:top w:val="nil"/>
              <w:left w:val="nil"/>
              <w:bottom w:val="nil"/>
              <w:right w:val="nil"/>
            </w:tcBorders>
            <w:shd w:val="clear" w:color="000000" w:fill="FFFFFF"/>
            <w:noWrap/>
            <w:vAlign w:val="center"/>
            <w:hideMark/>
          </w:tcPr>
          <w:p w14:paraId="71E2A585"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1EF4E0B8"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335DC0FF" w14:textId="30C88262"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FFEB9C"/>
            <w:noWrap/>
            <w:vAlign w:val="center"/>
            <w:hideMark/>
          </w:tcPr>
          <w:p w14:paraId="2EC1BB6C" w14:textId="77777777" w:rsidR="005C41F1" w:rsidRPr="00B52164" w:rsidRDefault="005C41F1" w:rsidP="005C41F1">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r>
      <w:tr w:rsidR="005C41F1" w:rsidRPr="00B52164" w14:paraId="61F71E05" w14:textId="77777777" w:rsidTr="001B73A2">
        <w:trPr>
          <w:trHeight w:val="315"/>
          <w:jc w:val="center"/>
        </w:trPr>
        <w:tc>
          <w:tcPr>
            <w:tcW w:w="0" w:type="auto"/>
            <w:vMerge/>
            <w:tcBorders>
              <w:top w:val="nil"/>
              <w:left w:val="nil"/>
              <w:bottom w:val="single" w:sz="8" w:space="0" w:color="000000"/>
              <w:right w:val="nil"/>
            </w:tcBorders>
            <w:vAlign w:val="center"/>
            <w:hideMark/>
          </w:tcPr>
          <w:p w14:paraId="04A71364"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189F9502"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3D24319D"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30901D3E" w14:textId="173EAEC3"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FFEB9C"/>
            <w:noWrap/>
            <w:vAlign w:val="center"/>
            <w:hideMark/>
          </w:tcPr>
          <w:p w14:paraId="23BE98C2" w14:textId="77777777" w:rsidR="005C41F1" w:rsidRPr="00B52164" w:rsidRDefault="005C41F1" w:rsidP="005C41F1">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r>
      <w:tr w:rsidR="005C41F1" w:rsidRPr="00B52164" w14:paraId="11C0370E"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604793F6"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CK2</w:t>
            </w:r>
          </w:p>
        </w:tc>
        <w:tc>
          <w:tcPr>
            <w:tcW w:w="0" w:type="auto"/>
            <w:tcBorders>
              <w:top w:val="nil"/>
              <w:left w:val="nil"/>
              <w:bottom w:val="nil"/>
              <w:right w:val="nil"/>
            </w:tcBorders>
            <w:shd w:val="clear" w:color="000000" w:fill="FFFFFF"/>
            <w:noWrap/>
            <w:vAlign w:val="center"/>
            <w:hideMark/>
          </w:tcPr>
          <w:p w14:paraId="35041EA8"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7A18E826"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288EE0D5" w14:textId="5AC33B6A"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FFEB9C"/>
            <w:noWrap/>
            <w:vAlign w:val="center"/>
            <w:hideMark/>
          </w:tcPr>
          <w:p w14:paraId="0C541BEE" w14:textId="77777777" w:rsidR="005C41F1" w:rsidRPr="00B52164" w:rsidRDefault="005C41F1" w:rsidP="005C41F1">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r>
      <w:tr w:rsidR="005C41F1" w:rsidRPr="00B52164" w14:paraId="0CBBC08A" w14:textId="77777777" w:rsidTr="001B73A2">
        <w:trPr>
          <w:trHeight w:val="315"/>
          <w:jc w:val="center"/>
        </w:trPr>
        <w:tc>
          <w:tcPr>
            <w:tcW w:w="0" w:type="auto"/>
            <w:vMerge/>
            <w:tcBorders>
              <w:top w:val="nil"/>
              <w:left w:val="nil"/>
              <w:bottom w:val="single" w:sz="8" w:space="0" w:color="000000"/>
              <w:right w:val="nil"/>
            </w:tcBorders>
            <w:vAlign w:val="center"/>
            <w:hideMark/>
          </w:tcPr>
          <w:p w14:paraId="160CD367"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0516DC8E"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5917E7A9"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051F2174" w14:textId="0ECB43C7"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FFEB9C"/>
            <w:noWrap/>
            <w:vAlign w:val="center"/>
            <w:hideMark/>
          </w:tcPr>
          <w:p w14:paraId="16531791" w14:textId="77777777" w:rsidR="005C41F1" w:rsidRPr="00B52164" w:rsidRDefault="005C41F1" w:rsidP="005C41F1">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r>
      <w:tr w:rsidR="005C41F1" w:rsidRPr="00B52164" w14:paraId="488A0B5E"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19D61DB7"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CT</w:t>
            </w:r>
          </w:p>
        </w:tc>
        <w:tc>
          <w:tcPr>
            <w:tcW w:w="0" w:type="auto"/>
            <w:tcBorders>
              <w:top w:val="nil"/>
              <w:left w:val="nil"/>
              <w:bottom w:val="nil"/>
              <w:right w:val="nil"/>
            </w:tcBorders>
            <w:shd w:val="clear" w:color="000000" w:fill="FFFFFF"/>
            <w:noWrap/>
            <w:vAlign w:val="center"/>
            <w:hideMark/>
          </w:tcPr>
          <w:p w14:paraId="463EB612"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6EDB9A0B"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79B1791A" w14:textId="26F3DCD8"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287FC3DF"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65AA0EC1" w14:textId="77777777" w:rsidTr="001B73A2">
        <w:trPr>
          <w:trHeight w:val="315"/>
          <w:jc w:val="center"/>
        </w:trPr>
        <w:tc>
          <w:tcPr>
            <w:tcW w:w="0" w:type="auto"/>
            <w:vMerge/>
            <w:tcBorders>
              <w:top w:val="nil"/>
              <w:left w:val="nil"/>
              <w:bottom w:val="single" w:sz="8" w:space="0" w:color="000000"/>
              <w:right w:val="nil"/>
            </w:tcBorders>
            <w:vAlign w:val="center"/>
            <w:hideMark/>
          </w:tcPr>
          <w:p w14:paraId="72E2E851"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05F75D19"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7DBB2A52"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10538C5F" w14:textId="746C231B"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703CC04C"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2C119A44" w14:textId="77777777" w:rsidTr="001B73A2">
        <w:trPr>
          <w:trHeight w:val="315"/>
          <w:jc w:val="center"/>
        </w:trPr>
        <w:tc>
          <w:tcPr>
            <w:tcW w:w="0" w:type="auto"/>
            <w:vMerge w:val="restart"/>
            <w:tcBorders>
              <w:top w:val="nil"/>
              <w:left w:val="nil"/>
              <w:bottom w:val="single" w:sz="8" w:space="0" w:color="000000"/>
              <w:right w:val="nil"/>
            </w:tcBorders>
            <w:shd w:val="clear" w:color="000000" w:fill="FFFFFF"/>
            <w:noWrap/>
            <w:vAlign w:val="center"/>
            <w:hideMark/>
          </w:tcPr>
          <w:p w14:paraId="4804F8B9"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CG</w:t>
            </w:r>
          </w:p>
        </w:tc>
        <w:tc>
          <w:tcPr>
            <w:tcW w:w="0" w:type="auto"/>
            <w:tcBorders>
              <w:top w:val="nil"/>
              <w:left w:val="nil"/>
              <w:bottom w:val="nil"/>
              <w:right w:val="nil"/>
            </w:tcBorders>
            <w:shd w:val="clear" w:color="000000" w:fill="FFFFFF"/>
            <w:noWrap/>
            <w:vAlign w:val="center"/>
            <w:hideMark/>
          </w:tcPr>
          <w:p w14:paraId="01C6BFA8"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40B33978"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36B0753B" w14:textId="738BBE70"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2A8E319A"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6E90D2D6" w14:textId="77777777" w:rsidTr="001B73A2">
        <w:trPr>
          <w:trHeight w:val="315"/>
          <w:jc w:val="center"/>
        </w:trPr>
        <w:tc>
          <w:tcPr>
            <w:tcW w:w="0" w:type="auto"/>
            <w:vMerge/>
            <w:tcBorders>
              <w:top w:val="nil"/>
              <w:left w:val="nil"/>
              <w:bottom w:val="single" w:sz="8" w:space="0" w:color="000000"/>
              <w:right w:val="nil"/>
            </w:tcBorders>
            <w:vAlign w:val="center"/>
            <w:hideMark/>
          </w:tcPr>
          <w:p w14:paraId="3A57FAD2"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5C3E1524"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54BDF186"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15E78DA7" w14:textId="5315C3CD"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6F320FB0"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67ED006B"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44F55E58"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CL</w:t>
            </w:r>
          </w:p>
        </w:tc>
        <w:tc>
          <w:tcPr>
            <w:tcW w:w="0" w:type="auto"/>
            <w:tcBorders>
              <w:top w:val="nil"/>
              <w:left w:val="nil"/>
              <w:bottom w:val="nil"/>
              <w:right w:val="nil"/>
            </w:tcBorders>
            <w:shd w:val="clear" w:color="000000" w:fill="FFFFFF"/>
            <w:noWrap/>
            <w:vAlign w:val="center"/>
            <w:hideMark/>
          </w:tcPr>
          <w:p w14:paraId="14312087"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3BB98441"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571387B4" w14:textId="050565B8"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2349F948"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7431565B" w14:textId="77777777" w:rsidTr="001B73A2">
        <w:trPr>
          <w:trHeight w:val="315"/>
          <w:jc w:val="center"/>
        </w:trPr>
        <w:tc>
          <w:tcPr>
            <w:tcW w:w="0" w:type="auto"/>
            <w:vMerge/>
            <w:tcBorders>
              <w:top w:val="nil"/>
              <w:left w:val="nil"/>
              <w:bottom w:val="single" w:sz="8" w:space="0" w:color="000000"/>
              <w:right w:val="nil"/>
            </w:tcBorders>
            <w:vAlign w:val="center"/>
            <w:hideMark/>
          </w:tcPr>
          <w:p w14:paraId="0A35EABB"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517AC3F3"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6DBC2E12"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67405ED9" w14:textId="3B1BF9F1"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2B83A3D8"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63C4FAE5"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23CAC670" w14:textId="49D06338" w:rsidR="005C41F1" w:rsidRPr="00B52164" w:rsidRDefault="005C41F1" w:rsidP="005C41F1">
            <w:pPr>
              <w:spacing w:after="0" w:line="240" w:lineRule="auto"/>
              <w:jc w:val="center"/>
              <w:rPr>
                <w:rFonts w:eastAsia="Times New Roman" w:cs="Times New Roman"/>
                <w:b/>
                <w:bCs/>
                <w:color w:val="000000"/>
                <w:szCs w:val="20"/>
                <w:lang w:eastAsia="en-GB"/>
              </w:rPr>
            </w:pPr>
            <w:r>
              <w:rPr>
                <w:b/>
                <w:bCs/>
                <w:color w:val="000000"/>
                <w:szCs w:val="20"/>
              </w:rPr>
              <w:t>TA</w:t>
            </w:r>
          </w:p>
        </w:tc>
        <w:tc>
          <w:tcPr>
            <w:tcW w:w="0" w:type="auto"/>
            <w:tcBorders>
              <w:top w:val="nil"/>
              <w:left w:val="nil"/>
              <w:bottom w:val="nil"/>
              <w:right w:val="nil"/>
            </w:tcBorders>
            <w:shd w:val="clear" w:color="000000" w:fill="FFFFFF"/>
            <w:noWrap/>
            <w:vAlign w:val="center"/>
            <w:hideMark/>
          </w:tcPr>
          <w:p w14:paraId="352B8763" w14:textId="45634A59" w:rsidR="005C41F1" w:rsidRPr="00B52164" w:rsidRDefault="005C41F1" w:rsidP="005C41F1">
            <w:pPr>
              <w:spacing w:after="0" w:line="240" w:lineRule="auto"/>
              <w:jc w:val="center"/>
              <w:rPr>
                <w:rFonts w:eastAsia="Times New Roman" w:cs="Times New Roman"/>
                <w:color w:val="000000"/>
                <w:szCs w:val="20"/>
                <w:lang w:eastAsia="en-GB"/>
              </w:rPr>
            </w:pPr>
            <w:r>
              <w:rPr>
                <w:color w:val="000000"/>
                <w:szCs w:val="20"/>
              </w:rPr>
              <w:t>24</w:t>
            </w:r>
          </w:p>
        </w:tc>
        <w:tc>
          <w:tcPr>
            <w:tcW w:w="0" w:type="auto"/>
            <w:tcBorders>
              <w:top w:val="nil"/>
              <w:left w:val="nil"/>
              <w:bottom w:val="nil"/>
              <w:right w:val="nil"/>
            </w:tcBorders>
            <w:shd w:val="clear" w:color="000000" w:fill="C6EFCE"/>
            <w:noWrap/>
            <w:vAlign w:val="center"/>
            <w:hideMark/>
          </w:tcPr>
          <w:p w14:paraId="61F5AC7E" w14:textId="5495FBEF" w:rsidR="005C41F1" w:rsidRPr="00B52164" w:rsidRDefault="005C41F1" w:rsidP="005C41F1">
            <w:pPr>
              <w:spacing w:after="0" w:line="240" w:lineRule="auto"/>
              <w:jc w:val="center"/>
              <w:rPr>
                <w:rFonts w:eastAsia="Times New Roman" w:cs="Times New Roman"/>
                <w:color w:val="006100"/>
                <w:szCs w:val="20"/>
                <w:lang w:eastAsia="en-GB"/>
              </w:rPr>
            </w:pPr>
            <w:r>
              <w:rPr>
                <w:color w:val="006100"/>
                <w:szCs w:val="20"/>
              </w:rPr>
              <w:t>&gt;2000</w:t>
            </w:r>
          </w:p>
        </w:tc>
        <w:tc>
          <w:tcPr>
            <w:tcW w:w="0" w:type="auto"/>
            <w:tcBorders>
              <w:top w:val="nil"/>
              <w:left w:val="nil"/>
              <w:bottom w:val="nil"/>
              <w:right w:val="nil"/>
            </w:tcBorders>
            <w:shd w:val="clear" w:color="000000" w:fill="C6EFCE"/>
            <w:noWrap/>
            <w:hideMark/>
          </w:tcPr>
          <w:p w14:paraId="28E73B36" w14:textId="3B5071EF"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49D74D80" w14:textId="65245DBA" w:rsidR="005C41F1" w:rsidRPr="00B52164" w:rsidRDefault="005C41F1" w:rsidP="005C41F1">
            <w:pPr>
              <w:spacing w:after="0" w:line="240" w:lineRule="auto"/>
              <w:jc w:val="center"/>
              <w:rPr>
                <w:rFonts w:eastAsia="Times New Roman" w:cs="Times New Roman"/>
                <w:color w:val="006100"/>
                <w:szCs w:val="20"/>
                <w:lang w:eastAsia="en-GB"/>
              </w:rPr>
            </w:pPr>
            <w:r>
              <w:rPr>
                <w:color w:val="006100"/>
                <w:szCs w:val="20"/>
              </w:rPr>
              <w:t>&gt;2000</w:t>
            </w:r>
          </w:p>
        </w:tc>
      </w:tr>
      <w:tr w:rsidR="005C41F1" w:rsidRPr="00B52164" w14:paraId="28614C76" w14:textId="77777777" w:rsidTr="001B73A2">
        <w:trPr>
          <w:trHeight w:val="315"/>
          <w:jc w:val="center"/>
        </w:trPr>
        <w:tc>
          <w:tcPr>
            <w:tcW w:w="0" w:type="auto"/>
            <w:vMerge/>
            <w:tcBorders>
              <w:top w:val="nil"/>
              <w:left w:val="nil"/>
              <w:bottom w:val="single" w:sz="8" w:space="0" w:color="000000"/>
              <w:right w:val="nil"/>
            </w:tcBorders>
            <w:vAlign w:val="center"/>
            <w:hideMark/>
          </w:tcPr>
          <w:p w14:paraId="16DA0367"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44C14296" w14:textId="29EA03F0" w:rsidR="005C41F1" w:rsidRPr="00B52164" w:rsidRDefault="005C41F1" w:rsidP="005C41F1">
            <w:pPr>
              <w:spacing w:after="0" w:line="240" w:lineRule="auto"/>
              <w:jc w:val="center"/>
              <w:rPr>
                <w:rFonts w:eastAsia="Times New Roman" w:cs="Times New Roman"/>
                <w:color w:val="000000"/>
                <w:szCs w:val="20"/>
                <w:lang w:eastAsia="en-GB"/>
              </w:rPr>
            </w:pPr>
            <w:r>
              <w:rPr>
                <w:color w:val="000000"/>
                <w:szCs w:val="20"/>
              </w:rPr>
              <w:t>48</w:t>
            </w:r>
          </w:p>
        </w:tc>
        <w:tc>
          <w:tcPr>
            <w:tcW w:w="0" w:type="auto"/>
            <w:tcBorders>
              <w:top w:val="nil"/>
              <w:left w:val="nil"/>
              <w:bottom w:val="single" w:sz="8" w:space="0" w:color="auto"/>
              <w:right w:val="nil"/>
            </w:tcBorders>
            <w:shd w:val="clear" w:color="000000" w:fill="C6EFCE"/>
            <w:noWrap/>
            <w:vAlign w:val="center"/>
            <w:hideMark/>
          </w:tcPr>
          <w:p w14:paraId="452448DD" w14:textId="236A35BC" w:rsidR="005C41F1" w:rsidRPr="00B52164" w:rsidRDefault="005C41F1" w:rsidP="005C41F1">
            <w:pPr>
              <w:spacing w:after="0" w:line="240" w:lineRule="auto"/>
              <w:jc w:val="center"/>
              <w:rPr>
                <w:rFonts w:eastAsia="Times New Roman" w:cs="Times New Roman"/>
                <w:color w:val="006100"/>
                <w:szCs w:val="20"/>
                <w:lang w:eastAsia="en-GB"/>
              </w:rPr>
            </w:pPr>
            <w:r>
              <w:rPr>
                <w:color w:val="006100"/>
                <w:szCs w:val="20"/>
              </w:rPr>
              <w:t>&gt;2000</w:t>
            </w:r>
          </w:p>
        </w:tc>
        <w:tc>
          <w:tcPr>
            <w:tcW w:w="0" w:type="auto"/>
            <w:tcBorders>
              <w:top w:val="nil"/>
              <w:left w:val="nil"/>
              <w:bottom w:val="single" w:sz="8" w:space="0" w:color="auto"/>
              <w:right w:val="nil"/>
            </w:tcBorders>
            <w:shd w:val="clear" w:color="000000" w:fill="C6EFCE"/>
            <w:noWrap/>
            <w:hideMark/>
          </w:tcPr>
          <w:p w14:paraId="1C0C0DFE" w14:textId="182FC06F"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15819C99" w14:textId="162B8AB7" w:rsidR="005C41F1" w:rsidRPr="00B52164" w:rsidRDefault="005C41F1" w:rsidP="005C41F1">
            <w:pPr>
              <w:spacing w:after="0" w:line="240" w:lineRule="auto"/>
              <w:jc w:val="center"/>
              <w:rPr>
                <w:rFonts w:eastAsia="Times New Roman" w:cs="Times New Roman"/>
                <w:color w:val="006100"/>
                <w:szCs w:val="20"/>
                <w:lang w:eastAsia="en-GB"/>
              </w:rPr>
            </w:pPr>
            <w:r>
              <w:rPr>
                <w:color w:val="006100"/>
                <w:szCs w:val="20"/>
              </w:rPr>
              <w:t>&gt;2000</w:t>
            </w:r>
          </w:p>
        </w:tc>
      </w:tr>
      <w:tr w:rsidR="005C41F1" w:rsidRPr="00B52164" w14:paraId="5014BD79"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37BF0B28"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AF</w:t>
            </w:r>
          </w:p>
        </w:tc>
        <w:tc>
          <w:tcPr>
            <w:tcW w:w="0" w:type="auto"/>
            <w:tcBorders>
              <w:top w:val="nil"/>
              <w:left w:val="nil"/>
              <w:bottom w:val="nil"/>
              <w:right w:val="nil"/>
            </w:tcBorders>
            <w:shd w:val="clear" w:color="000000" w:fill="FFFFFF"/>
            <w:noWrap/>
            <w:vAlign w:val="center"/>
            <w:hideMark/>
          </w:tcPr>
          <w:p w14:paraId="371BD187"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4141F345"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1A1E85FF" w14:textId="7AF6174C"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200738A4"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3C438F32" w14:textId="77777777" w:rsidTr="001B73A2">
        <w:trPr>
          <w:trHeight w:val="315"/>
          <w:jc w:val="center"/>
        </w:trPr>
        <w:tc>
          <w:tcPr>
            <w:tcW w:w="0" w:type="auto"/>
            <w:vMerge/>
            <w:tcBorders>
              <w:top w:val="nil"/>
              <w:left w:val="nil"/>
              <w:bottom w:val="single" w:sz="8" w:space="0" w:color="000000"/>
              <w:right w:val="nil"/>
            </w:tcBorders>
            <w:vAlign w:val="center"/>
            <w:hideMark/>
          </w:tcPr>
          <w:p w14:paraId="46B5B940"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4490B47A"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7E687931"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08FE5AF2" w14:textId="4DE8A88F"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20F3990F"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09D9AD60"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06D9343B"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AC</w:t>
            </w:r>
          </w:p>
        </w:tc>
        <w:tc>
          <w:tcPr>
            <w:tcW w:w="0" w:type="auto"/>
            <w:tcBorders>
              <w:top w:val="nil"/>
              <w:left w:val="nil"/>
              <w:bottom w:val="nil"/>
              <w:right w:val="nil"/>
            </w:tcBorders>
            <w:shd w:val="clear" w:color="000000" w:fill="FFFFFF"/>
            <w:noWrap/>
            <w:vAlign w:val="center"/>
            <w:hideMark/>
          </w:tcPr>
          <w:p w14:paraId="55B55E59"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29F16EE6"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2E383CFB" w14:textId="719749CB"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C6EFCE"/>
            <w:noWrap/>
            <w:vAlign w:val="center"/>
            <w:hideMark/>
          </w:tcPr>
          <w:p w14:paraId="3E883157"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3C9F86F0" w14:textId="77777777" w:rsidTr="001B73A2">
        <w:trPr>
          <w:trHeight w:val="315"/>
          <w:jc w:val="center"/>
        </w:trPr>
        <w:tc>
          <w:tcPr>
            <w:tcW w:w="0" w:type="auto"/>
            <w:vMerge/>
            <w:tcBorders>
              <w:top w:val="nil"/>
              <w:left w:val="nil"/>
              <w:bottom w:val="single" w:sz="8" w:space="0" w:color="000000"/>
              <w:right w:val="nil"/>
            </w:tcBorders>
            <w:vAlign w:val="center"/>
            <w:hideMark/>
          </w:tcPr>
          <w:p w14:paraId="7EDCFC62" w14:textId="77777777" w:rsidR="005C41F1" w:rsidRPr="00B52164" w:rsidRDefault="005C41F1"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7ECB4ADC"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5803E583"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C6EFCE"/>
            <w:noWrap/>
            <w:hideMark/>
          </w:tcPr>
          <w:p w14:paraId="2888BBB7" w14:textId="53F6D466"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single" w:sz="8" w:space="0" w:color="auto"/>
              <w:right w:val="nil"/>
            </w:tcBorders>
            <w:shd w:val="clear" w:color="000000" w:fill="C6EFCE"/>
            <w:noWrap/>
            <w:vAlign w:val="center"/>
            <w:hideMark/>
          </w:tcPr>
          <w:p w14:paraId="20962F41"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r>
      <w:tr w:rsidR="005C41F1" w:rsidRPr="00B52164" w14:paraId="6BC1245C"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4F08731D" w14:textId="77777777" w:rsidR="005C41F1" w:rsidRPr="00B52164" w:rsidRDefault="005C41F1" w:rsidP="005C41F1">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TM</w:t>
            </w:r>
          </w:p>
        </w:tc>
        <w:tc>
          <w:tcPr>
            <w:tcW w:w="0" w:type="auto"/>
            <w:tcBorders>
              <w:top w:val="nil"/>
              <w:left w:val="nil"/>
              <w:bottom w:val="nil"/>
              <w:right w:val="nil"/>
            </w:tcBorders>
            <w:shd w:val="clear" w:color="000000" w:fill="FFFFFF"/>
            <w:noWrap/>
            <w:vAlign w:val="center"/>
            <w:hideMark/>
          </w:tcPr>
          <w:p w14:paraId="1234F5C8" w14:textId="77777777" w:rsidR="005C41F1" w:rsidRPr="00B52164" w:rsidRDefault="005C41F1" w:rsidP="005C41F1">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72</w:t>
            </w:r>
          </w:p>
        </w:tc>
        <w:tc>
          <w:tcPr>
            <w:tcW w:w="0" w:type="auto"/>
            <w:tcBorders>
              <w:top w:val="nil"/>
              <w:left w:val="nil"/>
              <w:bottom w:val="nil"/>
              <w:right w:val="nil"/>
            </w:tcBorders>
            <w:shd w:val="clear" w:color="000000" w:fill="C6EFCE"/>
            <w:noWrap/>
            <w:vAlign w:val="center"/>
            <w:hideMark/>
          </w:tcPr>
          <w:p w14:paraId="14C5AFC2" w14:textId="77777777" w:rsidR="005C41F1" w:rsidRPr="00B52164" w:rsidRDefault="005C41F1" w:rsidP="005C41F1">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C6EFCE"/>
            <w:noWrap/>
            <w:hideMark/>
          </w:tcPr>
          <w:p w14:paraId="7EF45E7E" w14:textId="3F3F3D5F" w:rsidR="005C41F1" w:rsidRPr="00B52164" w:rsidRDefault="005C41F1" w:rsidP="005C41F1">
            <w:pPr>
              <w:spacing w:after="0" w:line="240" w:lineRule="auto"/>
              <w:jc w:val="center"/>
              <w:rPr>
                <w:rFonts w:eastAsia="Times New Roman" w:cs="Times New Roman"/>
                <w:color w:val="006100"/>
                <w:szCs w:val="20"/>
                <w:lang w:eastAsia="en-GB"/>
              </w:rPr>
            </w:pPr>
            <w:r w:rsidRPr="00692BF4">
              <w:rPr>
                <w:rFonts w:eastAsia="Times New Roman" w:cs="Times New Roman"/>
                <w:color w:val="006100"/>
                <w:szCs w:val="20"/>
                <w:lang w:eastAsia="en-GB"/>
              </w:rPr>
              <w:t>&gt;500</w:t>
            </w:r>
          </w:p>
        </w:tc>
        <w:tc>
          <w:tcPr>
            <w:tcW w:w="0" w:type="auto"/>
            <w:tcBorders>
              <w:top w:val="nil"/>
              <w:left w:val="nil"/>
              <w:bottom w:val="nil"/>
              <w:right w:val="nil"/>
            </w:tcBorders>
            <w:shd w:val="clear" w:color="000000" w:fill="FFEB9C"/>
            <w:noWrap/>
            <w:vAlign w:val="center"/>
            <w:hideMark/>
          </w:tcPr>
          <w:p w14:paraId="7FDA10BD" w14:textId="77777777" w:rsidR="005C41F1" w:rsidRPr="00B52164" w:rsidRDefault="005C41F1" w:rsidP="005C41F1">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r>
      <w:tr w:rsidR="00B52164" w:rsidRPr="00B52164" w14:paraId="350CD749" w14:textId="77777777" w:rsidTr="001B73A2">
        <w:trPr>
          <w:trHeight w:val="315"/>
          <w:jc w:val="center"/>
        </w:trPr>
        <w:tc>
          <w:tcPr>
            <w:tcW w:w="0" w:type="auto"/>
            <w:vMerge/>
            <w:tcBorders>
              <w:top w:val="nil"/>
              <w:left w:val="nil"/>
              <w:bottom w:val="single" w:sz="8" w:space="0" w:color="000000"/>
              <w:right w:val="nil"/>
            </w:tcBorders>
            <w:vAlign w:val="center"/>
            <w:hideMark/>
          </w:tcPr>
          <w:p w14:paraId="6B9CC771" w14:textId="77777777" w:rsidR="00B52164" w:rsidRPr="00B52164" w:rsidRDefault="00B52164" w:rsidP="001B73A2">
            <w:pPr>
              <w:spacing w:after="0" w:line="240" w:lineRule="auto"/>
              <w:jc w:val="center"/>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789C3B26" w14:textId="77777777" w:rsidR="00B52164" w:rsidRPr="00B52164" w:rsidRDefault="00B52164" w:rsidP="001E63AA">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120</w:t>
            </w:r>
          </w:p>
        </w:tc>
        <w:tc>
          <w:tcPr>
            <w:tcW w:w="0" w:type="auto"/>
            <w:tcBorders>
              <w:top w:val="nil"/>
              <w:left w:val="nil"/>
              <w:bottom w:val="single" w:sz="8" w:space="0" w:color="auto"/>
              <w:right w:val="nil"/>
            </w:tcBorders>
            <w:shd w:val="clear" w:color="000000" w:fill="C6EFCE"/>
            <w:noWrap/>
            <w:vAlign w:val="center"/>
            <w:hideMark/>
          </w:tcPr>
          <w:p w14:paraId="1C961FD0" w14:textId="77777777" w:rsidR="00B52164" w:rsidRPr="00B52164" w:rsidRDefault="00B52164" w:rsidP="001E63AA">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464F1D8B" w14:textId="3F83F1B8" w:rsidR="00B52164" w:rsidRPr="00B52164" w:rsidRDefault="00B52164" w:rsidP="001E63AA">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FFEB9C"/>
            <w:noWrap/>
            <w:vAlign w:val="center"/>
            <w:hideMark/>
          </w:tcPr>
          <w:p w14:paraId="642D3310" w14:textId="77777777" w:rsidR="00B52164" w:rsidRPr="00B52164" w:rsidRDefault="00B52164" w:rsidP="001E63AA">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r>
    </w:tbl>
    <w:p w14:paraId="1FAAE23A" w14:textId="35C51A64" w:rsidR="0057405D" w:rsidRDefault="00E10833" w:rsidP="0057405D">
      <w:pPr>
        <w:spacing w:line="360" w:lineRule="auto"/>
        <w:jc w:val="center"/>
        <w:rPr>
          <w:rFonts w:cs="Times New Roman"/>
        </w:rPr>
      </w:pPr>
      <w:r w:rsidRPr="00E10833">
        <w:rPr>
          <w:rFonts w:cs="Times New Roman"/>
          <w:vertAlign w:val="superscript"/>
        </w:rPr>
        <w:t>a</w:t>
      </w:r>
      <w:r w:rsidRPr="00E10833">
        <w:rPr>
          <w:rFonts w:cs="Times New Roman"/>
        </w:rPr>
        <w:t xml:space="preserve">CA1: </w:t>
      </w:r>
      <w:r w:rsidRPr="00E10833">
        <w:rPr>
          <w:rFonts w:cs="Times New Roman"/>
          <w:i/>
        </w:rPr>
        <w:t>Candida albicans</w:t>
      </w:r>
      <w:r w:rsidRPr="00E10833">
        <w:rPr>
          <w:rFonts w:cs="Times New Roman"/>
        </w:rPr>
        <w:t xml:space="preserve"> ATCC 44859, CA2: </w:t>
      </w:r>
      <w:r w:rsidRPr="00E10833">
        <w:rPr>
          <w:rFonts w:cs="Times New Roman"/>
          <w:i/>
        </w:rPr>
        <w:t>Candida albicans</w:t>
      </w:r>
      <w:r w:rsidRPr="00E10833">
        <w:rPr>
          <w:rFonts w:cs="Times New Roman"/>
        </w:rPr>
        <w:t xml:space="preserve"> ATCC 90028, CP: </w:t>
      </w:r>
      <w:r w:rsidRPr="00E10833">
        <w:rPr>
          <w:rFonts w:cs="Times New Roman"/>
          <w:i/>
        </w:rPr>
        <w:t>Candida parapsilosis</w:t>
      </w:r>
      <w:r w:rsidRPr="00E10833">
        <w:rPr>
          <w:rFonts w:cs="Times New Roman"/>
        </w:rPr>
        <w:t xml:space="preserve"> ATCC 22019, CK1: </w:t>
      </w:r>
      <w:r w:rsidRPr="00E10833">
        <w:rPr>
          <w:rFonts w:cs="Times New Roman"/>
          <w:i/>
        </w:rPr>
        <w:t>Candida krusei</w:t>
      </w:r>
      <w:r w:rsidRPr="00E10833">
        <w:rPr>
          <w:rFonts w:cs="Times New Roman"/>
        </w:rPr>
        <w:t xml:space="preserve"> ATCC 6258, CK2: </w:t>
      </w:r>
      <w:r w:rsidRPr="00E10833">
        <w:rPr>
          <w:rFonts w:cs="Times New Roman"/>
          <w:i/>
        </w:rPr>
        <w:t>Candida krusei</w:t>
      </w:r>
      <w:r w:rsidRPr="00E10833">
        <w:rPr>
          <w:rFonts w:cs="Times New Roman"/>
        </w:rPr>
        <w:t xml:space="preserve"> E28, CT: </w:t>
      </w:r>
      <w:r w:rsidRPr="00E10833">
        <w:rPr>
          <w:rFonts w:cs="Times New Roman"/>
          <w:i/>
        </w:rPr>
        <w:t>Candida tropicalis</w:t>
      </w:r>
      <w:r w:rsidRPr="00E10833">
        <w:rPr>
          <w:rFonts w:cs="Times New Roman"/>
        </w:rPr>
        <w:t xml:space="preserve"> 156, CG: </w:t>
      </w:r>
      <w:r w:rsidRPr="00E10833">
        <w:rPr>
          <w:rFonts w:cs="Times New Roman"/>
          <w:i/>
        </w:rPr>
        <w:t>Candida glabrata</w:t>
      </w:r>
      <w:r w:rsidRPr="00E10833">
        <w:rPr>
          <w:rFonts w:cs="Times New Roman"/>
        </w:rPr>
        <w:t xml:space="preserve"> 20/I, CL: </w:t>
      </w:r>
      <w:r w:rsidRPr="00E10833">
        <w:rPr>
          <w:rFonts w:cs="Times New Roman"/>
          <w:i/>
        </w:rPr>
        <w:t>Candida lusitaniae</w:t>
      </w:r>
      <w:r w:rsidRPr="00E10833">
        <w:rPr>
          <w:rFonts w:cs="Times New Roman"/>
        </w:rPr>
        <w:t xml:space="preserve"> 2446/I, TA: </w:t>
      </w:r>
      <w:r w:rsidRPr="00E10833">
        <w:rPr>
          <w:rFonts w:cs="Times New Roman"/>
          <w:i/>
        </w:rPr>
        <w:t>Trichosporon asahii</w:t>
      </w:r>
      <w:r w:rsidRPr="00E10833">
        <w:rPr>
          <w:rFonts w:cs="Times New Roman"/>
        </w:rPr>
        <w:t xml:space="preserve"> 1188, AF: </w:t>
      </w:r>
      <w:r w:rsidRPr="00E10833">
        <w:rPr>
          <w:rFonts w:cs="Times New Roman"/>
          <w:i/>
        </w:rPr>
        <w:t>Aspergillus fumigatus</w:t>
      </w:r>
      <w:r w:rsidRPr="00E10833">
        <w:rPr>
          <w:rFonts w:cs="Times New Roman"/>
        </w:rPr>
        <w:t xml:space="preserve"> 231, AC: </w:t>
      </w:r>
      <w:r w:rsidRPr="00E10833">
        <w:rPr>
          <w:rFonts w:cs="Times New Roman"/>
          <w:i/>
        </w:rPr>
        <w:t>Absidia corymbifera</w:t>
      </w:r>
      <w:r w:rsidRPr="00E10833">
        <w:rPr>
          <w:rFonts w:cs="Times New Roman"/>
        </w:rPr>
        <w:t xml:space="preserve"> 272, TM: </w:t>
      </w:r>
      <w:r w:rsidRPr="00E10833">
        <w:rPr>
          <w:rFonts w:cs="Times New Roman"/>
          <w:i/>
        </w:rPr>
        <w:t>Trichophyton mentagrophytes</w:t>
      </w:r>
      <w:r w:rsidRPr="00E10833">
        <w:rPr>
          <w:rFonts w:cs="Times New Roman"/>
        </w:rPr>
        <w:t xml:space="preserve"> 445.</w:t>
      </w:r>
      <w:r w:rsidRPr="005A6F82">
        <w:rPr>
          <w:rFonts w:cs="Times New Roman"/>
          <w:vertAlign w:val="superscript"/>
        </w:rPr>
        <w:t xml:space="preserve"> b</w:t>
      </w:r>
      <w:r w:rsidRPr="00E10833">
        <w:rPr>
          <w:rFonts w:cs="Times New Roman"/>
        </w:rPr>
        <w:t>IC</w:t>
      </w:r>
      <w:r w:rsidRPr="00E10833">
        <w:rPr>
          <w:rFonts w:cs="Times New Roman"/>
          <w:vertAlign w:val="subscript"/>
        </w:rPr>
        <w:t>50</w:t>
      </w:r>
      <w:r w:rsidRPr="00E10833">
        <w:rPr>
          <w:rFonts w:cs="Times New Roman"/>
        </w:rPr>
        <w:t xml:space="preserve"> values were assessed for AF, AC and TM and IC</w:t>
      </w:r>
      <w:r w:rsidRPr="00E10833">
        <w:rPr>
          <w:rFonts w:cs="Times New Roman"/>
          <w:vertAlign w:val="subscript"/>
        </w:rPr>
        <w:t>80</w:t>
      </w:r>
      <w:r w:rsidRPr="00E10833">
        <w:rPr>
          <w:rFonts w:cs="Times New Roman"/>
        </w:rPr>
        <w:t xml:space="preserve"> for all other strains.</w:t>
      </w:r>
      <w:r w:rsidR="00ED7AD7">
        <w:rPr>
          <w:rFonts w:cs="Times New Roman"/>
        </w:rPr>
        <w:t xml:space="preserve"> </w:t>
      </w:r>
      <w:r w:rsidR="00ED7AD7">
        <w:rPr>
          <w:rFonts w:asciiTheme="majorHAnsi" w:eastAsia="Times New Roman" w:hAnsiTheme="majorHAnsi" w:cstheme="majorHAnsi"/>
          <w:b/>
          <w:bCs/>
          <w:color w:val="000000"/>
          <w:szCs w:val="20"/>
          <w:vertAlign w:val="superscript"/>
          <w:lang w:eastAsia="en-GB"/>
        </w:rPr>
        <w:t>c</w:t>
      </w:r>
      <w:r w:rsidR="00ED7AD7">
        <w:rPr>
          <w:rFonts w:cs="Times New Roman"/>
        </w:rPr>
        <w:t xml:space="preserve">Maximum screening concentration was limited to 500 </w:t>
      </w:r>
      <w:r w:rsidR="00ED7AD7" w:rsidRPr="00B52164">
        <w:rPr>
          <w:rFonts w:asciiTheme="majorHAnsi" w:eastAsia="Times New Roman" w:hAnsiTheme="majorHAnsi" w:cstheme="majorHAnsi"/>
          <w:bCs/>
          <w:color w:val="000000"/>
          <w:szCs w:val="20"/>
          <w:lang w:eastAsia="en-GB"/>
        </w:rPr>
        <w:t>μ</w:t>
      </w:r>
      <w:r w:rsidR="00ED7AD7">
        <w:rPr>
          <w:rFonts w:cs="Times New Roman"/>
        </w:rPr>
        <w:t xml:space="preserve">M due to low solubility of </w:t>
      </w:r>
      <w:r w:rsidR="00ED7AD7" w:rsidRPr="00B52164">
        <w:rPr>
          <w:rFonts w:cs="Times New Roman"/>
          <w:b/>
        </w:rPr>
        <w:t>5b</w:t>
      </w:r>
      <w:r w:rsidR="00ED7AD7">
        <w:rPr>
          <w:rFonts w:cs="Times New Roman"/>
        </w:rPr>
        <w:t xml:space="preserve"> in test media.</w:t>
      </w:r>
    </w:p>
    <w:p w14:paraId="01B713DF" w14:textId="34A4137E" w:rsidR="00204CCF" w:rsidRPr="00783958" w:rsidRDefault="00204CCF" w:rsidP="0025715D">
      <w:pPr>
        <w:spacing w:line="480" w:lineRule="auto"/>
        <w:jc w:val="both"/>
        <w:rPr>
          <w:sz w:val="24"/>
        </w:rPr>
      </w:pPr>
      <w:r w:rsidRPr="00783958">
        <w:rPr>
          <w:rFonts w:cs="Times New Roman"/>
          <w:b/>
          <w:sz w:val="24"/>
        </w:rPr>
        <w:lastRenderedPageBreak/>
        <w:t xml:space="preserve">Table </w:t>
      </w:r>
      <w:r w:rsidR="00356DD0" w:rsidRPr="00783958">
        <w:rPr>
          <w:rFonts w:cs="Times New Roman"/>
          <w:b/>
          <w:sz w:val="24"/>
        </w:rPr>
        <w:t>6</w:t>
      </w:r>
      <w:r w:rsidR="00356DD0" w:rsidRPr="00783958">
        <w:rPr>
          <w:rFonts w:cs="Times New Roman"/>
          <w:sz w:val="24"/>
        </w:rPr>
        <w:t xml:space="preserve"> </w:t>
      </w:r>
      <w:r w:rsidRPr="00783958">
        <w:rPr>
          <w:rFonts w:cs="Times New Roman"/>
          <w:sz w:val="24"/>
        </w:rPr>
        <w:t>Antifungal screening results for the [TMEEEA] AILs (</w:t>
      </w:r>
      <w:r w:rsidR="00605C62" w:rsidRPr="00783958">
        <w:rPr>
          <w:rFonts w:cs="Times New Roman"/>
          <w:b/>
          <w:sz w:val="24"/>
        </w:rPr>
        <w:t>3a</w:t>
      </w:r>
      <w:r w:rsidRPr="00783958">
        <w:rPr>
          <w:rFonts w:cs="Times New Roman"/>
          <w:b/>
          <w:sz w:val="24"/>
        </w:rPr>
        <w:t>–</w:t>
      </w:r>
      <w:r w:rsidR="00605C62" w:rsidRPr="00783958">
        <w:rPr>
          <w:rFonts w:cs="Times New Roman"/>
          <w:b/>
          <w:sz w:val="24"/>
        </w:rPr>
        <w:t>3d</w:t>
      </w:r>
      <w:r w:rsidRPr="00783958">
        <w:rPr>
          <w:rFonts w:cs="Times New Roman"/>
          <w:sz w:val="24"/>
        </w:rPr>
        <w:t>) and the [DMEEEAH] PILs (</w:t>
      </w:r>
      <w:r w:rsidR="00605C62" w:rsidRPr="00783958">
        <w:rPr>
          <w:rFonts w:cs="Times New Roman"/>
          <w:b/>
          <w:sz w:val="24"/>
        </w:rPr>
        <w:t>6a</w:t>
      </w:r>
      <w:r w:rsidRPr="00783958">
        <w:rPr>
          <w:rFonts w:cs="Times New Roman"/>
          <w:b/>
          <w:sz w:val="24"/>
        </w:rPr>
        <w:t>–</w:t>
      </w:r>
      <w:r w:rsidR="00605C62" w:rsidRPr="00783958">
        <w:rPr>
          <w:rFonts w:cs="Times New Roman"/>
          <w:b/>
          <w:sz w:val="24"/>
        </w:rPr>
        <w:t>6d</w:t>
      </w:r>
      <w:r w:rsidRPr="00783958">
        <w:rPr>
          <w:rFonts w:cs="Times New Roman"/>
          <w:sz w:val="24"/>
        </w:rPr>
        <w:t>) (MIC, IC</w:t>
      </w:r>
      <w:r w:rsidRPr="00783958">
        <w:rPr>
          <w:rFonts w:cs="Times New Roman"/>
          <w:sz w:val="24"/>
          <w:vertAlign w:val="subscript"/>
        </w:rPr>
        <w:t xml:space="preserve">80 </w:t>
      </w:r>
      <w:r w:rsidRPr="00783958">
        <w:rPr>
          <w:rFonts w:cs="Times New Roman"/>
          <w:sz w:val="24"/>
        </w:rPr>
        <w:t>or IC</w:t>
      </w:r>
      <w:r w:rsidRPr="00783958">
        <w:rPr>
          <w:rFonts w:cs="Times New Roman"/>
          <w:sz w:val="24"/>
          <w:vertAlign w:val="subscript"/>
        </w:rPr>
        <w:t>50</w:t>
      </w:r>
      <w:r w:rsidRPr="00783958">
        <w:rPr>
          <w:rFonts w:cs="Times New Roman"/>
          <w:sz w:val="24"/>
        </w:rPr>
        <w:t>).</w:t>
      </w:r>
    </w:p>
    <w:tbl>
      <w:tblPr>
        <w:tblW w:w="0" w:type="auto"/>
        <w:jc w:val="center"/>
        <w:tblLook w:val="04A0" w:firstRow="1" w:lastRow="0" w:firstColumn="1" w:lastColumn="0" w:noHBand="0" w:noVBand="1"/>
      </w:tblPr>
      <w:tblGrid>
        <w:gridCol w:w="815"/>
        <w:gridCol w:w="955"/>
        <w:gridCol w:w="729"/>
        <w:gridCol w:w="566"/>
        <w:gridCol w:w="729"/>
        <w:gridCol w:w="616"/>
        <w:gridCol w:w="729"/>
        <w:gridCol w:w="566"/>
        <w:gridCol w:w="729"/>
        <w:gridCol w:w="616"/>
      </w:tblGrid>
      <w:tr w:rsidR="00B52164" w:rsidRPr="00B52164" w14:paraId="34990313" w14:textId="77777777" w:rsidTr="001B73A2">
        <w:trPr>
          <w:trHeight w:val="330"/>
          <w:jc w:val="center"/>
        </w:trPr>
        <w:tc>
          <w:tcPr>
            <w:tcW w:w="0" w:type="auto"/>
            <w:vMerge w:val="restart"/>
            <w:tcBorders>
              <w:top w:val="single" w:sz="8" w:space="0" w:color="auto"/>
              <w:left w:val="nil"/>
              <w:bottom w:val="single" w:sz="8" w:space="0" w:color="000000"/>
              <w:right w:val="nil"/>
            </w:tcBorders>
            <w:shd w:val="clear" w:color="000000" w:fill="FFFFFF"/>
            <w:noWrap/>
            <w:vAlign w:val="center"/>
            <w:hideMark/>
          </w:tcPr>
          <w:p w14:paraId="7F74989D"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Strain</w:t>
            </w:r>
            <w:r w:rsidRPr="00B52164">
              <w:rPr>
                <w:rFonts w:eastAsia="Times New Roman" w:cs="Times New Roman"/>
                <w:b/>
                <w:bCs/>
                <w:color w:val="000000"/>
                <w:szCs w:val="20"/>
                <w:vertAlign w:val="superscript"/>
                <w:lang w:eastAsia="en-GB"/>
              </w:rPr>
              <w:t>a</w:t>
            </w:r>
          </w:p>
        </w:tc>
        <w:tc>
          <w:tcPr>
            <w:tcW w:w="0" w:type="auto"/>
            <w:vMerge w:val="restart"/>
            <w:tcBorders>
              <w:top w:val="single" w:sz="8" w:space="0" w:color="auto"/>
              <w:left w:val="nil"/>
              <w:bottom w:val="single" w:sz="8" w:space="0" w:color="000000"/>
              <w:right w:val="nil"/>
            </w:tcBorders>
            <w:shd w:val="clear" w:color="000000" w:fill="FFFFFF"/>
            <w:noWrap/>
            <w:vAlign w:val="center"/>
            <w:hideMark/>
          </w:tcPr>
          <w:p w14:paraId="370FB559"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Time (h)</w:t>
            </w:r>
          </w:p>
        </w:tc>
        <w:tc>
          <w:tcPr>
            <w:tcW w:w="0" w:type="auto"/>
            <w:gridSpan w:val="8"/>
            <w:tcBorders>
              <w:top w:val="single" w:sz="8" w:space="0" w:color="auto"/>
              <w:left w:val="nil"/>
              <w:bottom w:val="single" w:sz="8" w:space="0" w:color="auto"/>
              <w:right w:val="nil"/>
            </w:tcBorders>
            <w:shd w:val="clear" w:color="000000" w:fill="FFFFFF"/>
            <w:noWrap/>
            <w:vAlign w:val="center"/>
            <w:hideMark/>
          </w:tcPr>
          <w:p w14:paraId="70ACE9FA"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IL MIC (μM)</w:t>
            </w:r>
            <w:r w:rsidRPr="00B52164">
              <w:rPr>
                <w:rFonts w:eastAsia="Times New Roman" w:cs="Times New Roman"/>
                <w:b/>
                <w:bCs/>
                <w:color w:val="000000"/>
                <w:szCs w:val="20"/>
                <w:vertAlign w:val="superscript"/>
                <w:lang w:eastAsia="en-GB"/>
              </w:rPr>
              <w:t>b</w:t>
            </w:r>
          </w:p>
        </w:tc>
      </w:tr>
      <w:tr w:rsidR="00B52164" w:rsidRPr="00B52164" w14:paraId="6E2FE97B" w14:textId="77777777" w:rsidTr="001B73A2">
        <w:trPr>
          <w:trHeight w:val="315"/>
          <w:jc w:val="center"/>
        </w:trPr>
        <w:tc>
          <w:tcPr>
            <w:tcW w:w="0" w:type="auto"/>
            <w:vMerge/>
            <w:tcBorders>
              <w:top w:val="single" w:sz="8" w:space="0" w:color="auto"/>
              <w:left w:val="nil"/>
              <w:bottom w:val="single" w:sz="8" w:space="0" w:color="000000"/>
              <w:right w:val="nil"/>
            </w:tcBorders>
            <w:vAlign w:val="center"/>
            <w:hideMark/>
          </w:tcPr>
          <w:p w14:paraId="6D17AF11"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vMerge/>
            <w:tcBorders>
              <w:top w:val="single" w:sz="8" w:space="0" w:color="auto"/>
              <w:left w:val="nil"/>
              <w:bottom w:val="single" w:sz="8" w:space="0" w:color="000000"/>
              <w:right w:val="nil"/>
            </w:tcBorders>
            <w:vAlign w:val="center"/>
            <w:hideMark/>
          </w:tcPr>
          <w:p w14:paraId="40A3FDBC"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6E49F820"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3a</w:t>
            </w:r>
          </w:p>
        </w:tc>
        <w:tc>
          <w:tcPr>
            <w:tcW w:w="0" w:type="auto"/>
            <w:tcBorders>
              <w:top w:val="nil"/>
              <w:left w:val="nil"/>
              <w:bottom w:val="single" w:sz="8" w:space="0" w:color="auto"/>
              <w:right w:val="nil"/>
            </w:tcBorders>
            <w:shd w:val="clear" w:color="000000" w:fill="FFFFFF"/>
            <w:noWrap/>
            <w:vAlign w:val="center"/>
            <w:hideMark/>
          </w:tcPr>
          <w:p w14:paraId="26C0D3DF"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6a</w:t>
            </w:r>
          </w:p>
        </w:tc>
        <w:tc>
          <w:tcPr>
            <w:tcW w:w="0" w:type="auto"/>
            <w:tcBorders>
              <w:top w:val="nil"/>
              <w:left w:val="nil"/>
              <w:bottom w:val="single" w:sz="8" w:space="0" w:color="auto"/>
              <w:right w:val="nil"/>
            </w:tcBorders>
            <w:shd w:val="clear" w:color="000000" w:fill="FFFFFF"/>
            <w:noWrap/>
            <w:vAlign w:val="center"/>
            <w:hideMark/>
          </w:tcPr>
          <w:p w14:paraId="4E8CC962"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3b</w:t>
            </w:r>
          </w:p>
        </w:tc>
        <w:tc>
          <w:tcPr>
            <w:tcW w:w="0" w:type="auto"/>
            <w:tcBorders>
              <w:top w:val="nil"/>
              <w:left w:val="nil"/>
              <w:bottom w:val="single" w:sz="8" w:space="0" w:color="auto"/>
              <w:right w:val="nil"/>
            </w:tcBorders>
            <w:shd w:val="clear" w:color="000000" w:fill="FFFFFF"/>
            <w:noWrap/>
            <w:vAlign w:val="center"/>
            <w:hideMark/>
          </w:tcPr>
          <w:p w14:paraId="0A16975C"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6b</w:t>
            </w:r>
          </w:p>
        </w:tc>
        <w:tc>
          <w:tcPr>
            <w:tcW w:w="0" w:type="auto"/>
            <w:tcBorders>
              <w:top w:val="nil"/>
              <w:left w:val="nil"/>
              <w:bottom w:val="single" w:sz="8" w:space="0" w:color="auto"/>
              <w:right w:val="nil"/>
            </w:tcBorders>
            <w:shd w:val="clear" w:color="000000" w:fill="FFFFFF"/>
            <w:noWrap/>
            <w:vAlign w:val="center"/>
            <w:hideMark/>
          </w:tcPr>
          <w:p w14:paraId="1FB96756"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3c</w:t>
            </w:r>
          </w:p>
        </w:tc>
        <w:tc>
          <w:tcPr>
            <w:tcW w:w="0" w:type="auto"/>
            <w:tcBorders>
              <w:top w:val="nil"/>
              <w:left w:val="nil"/>
              <w:bottom w:val="single" w:sz="8" w:space="0" w:color="auto"/>
              <w:right w:val="nil"/>
            </w:tcBorders>
            <w:shd w:val="clear" w:color="000000" w:fill="FFFFFF"/>
            <w:noWrap/>
            <w:vAlign w:val="center"/>
            <w:hideMark/>
          </w:tcPr>
          <w:p w14:paraId="26BE0996"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6c</w:t>
            </w:r>
          </w:p>
        </w:tc>
        <w:tc>
          <w:tcPr>
            <w:tcW w:w="0" w:type="auto"/>
            <w:tcBorders>
              <w:top w:val="nil"/>
              <w:left w:val="nil"/>
              <w:bottom w:val="single" w:sz="8" w:space="0" w:color="auto"/>
              <w:right w:val="nil"/>
            </w:tcBorders>
            <w:shd w:val="clear" w:color="000000" w:fill="FFFFFF"/>
            <w:noWrap/>
            <w:vAlign w:val="center"/>
            <w:hideMark/>
          </w:tcPr>
          <w:p w14:paraId="638293EF"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3d</w:t>
            </w:r>
          </w:p>
        </w:tc>
        <w:tc>
          <w:tcPr>
            <w:tcW w:w="0" w:type="auto"/>
            <w:tcBorders>
              <w:top w:val="nil"/>
              <w:left w:val="nil"/>
              <w:bottom w:val="single" w:sz="8" w:space="0" w:color="auto"/>
              <w:right w:val="nil"/>
            </w:tcBorders>
            <w:shd w:val="clear" w:color="000000" w:fill="FFFFFF"/>
            <w:noWrap/>
            <w:vAlign w:val="center"/>
            <w:hideMark/>
          </w:tcPr>
          <w:p w14:paraId="23722CDD"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6d</w:t>
            </w:r>
            <w:r w:rsidRPr="00B52164">
              <w:rPr>
                <w:rFonts w:eastAsia="Times New Roman" w:cs="Times New Roman"/>
                <w:color w:val="000000"/>
                <w:sz w:val="16"/>
                <w:szCs w:val="16"/>
                <w:lang w:eastAsia="en-GB"/>
              </w:rPr>
              <w:t> </w:t>
            </w:r>
          </w:p>
        </w:tc>
      </w:tr>
      <w:tr w:rsidR="00B52164" w:rsidRPr="00B52164" w14:paraId="0191C83E"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3F1D13A9"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CA1</w:t>
            </w:r>
          </w:p>
        </w:tc>
        <w:tc>
          <w:tcPr>
            <w:tcW w:w="0" w:type="auto"/>
            <w:tcBorders>
              <w:top w:val="nil"/>
              <w:left w:val="nil"/>
              <w:bottom w:val="nil"/>
              <w:right w:val="nil"/>
            </w:tcBorders>
            <w:shd w:val="clear" w:color="000000" w:fill="FFFFFF"/>
            <w:noWrap/>
            <w:vAlign w:val="center"/>
            <w:hideMark/>
          </w:tcPr>
          <w:p w14:paraId="59881D86"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55E1836E"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477C066D"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64.5</w:t>
            </w:r>
          </w:p>
        </w:tc>
        <w:tc>
          <w:tcPr>
            <w:tcW w:w="0" w:type="auto"/>
            <w:tcBorders>
              <w:top w:val="nil"/>
              <w:left w:val="nil"/>
              <w:bottom w:val="nil"/>
              <w:right w:val="nil"/>
            </w:tcBorders>
            <w:shd w:val="clear" w:color="000000" w:fill="C6EFCE"/>
            <w:noWrap/>
            <w:vAlign w:val="center"/>
            <w:hideMark/>
          </w:tcPr>
          <w:p w14:paraId="7C0F59E9"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73F9496F"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nil"/>
              <w:right w:val="nil"/>
            </w:tcBorders>
            <w:shd w:val="clear" w:color="000000" w:fill="C6EFCE"/>
            <w:noWrap/>
            <w:vAlign w:val="center"/>
            <w:hideMark/>
          </w:tcPr>
          <w:p w14:paraId="3D832907"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6BC9B533"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nil"/>
              <w:right w:val="nil"/>
            </w:tcBorders>
            <w:shd w:val="clear" w:color="000000" w:fill="C6EFCE"/>
            <w:noWrap/>
            <w:vAlign w:val="center"/>
            <w:hideMark/>
          </w:tcPr>
          <w:p w14:paraId="3439668E"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19202756"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0F92B49E" w14:textId="77777777" w:rsidTr="001B73A2">
        <w:trPr>
          <w:trHeight w:val="315"/>
          <w:jc w:val="center"/>
        </w:trPr>
        <w:tc>
          <w:tcPr>
            <w:tcW w:w="0" w:type="auto"/>
            <w:vMerge/>
            <w:tcBorders>
              <w:top w:val="nil"/>
              <w:left w:val="nil"/>
              <w:bottom w:val="single" w:sz="8" w:space="0" w:color="000000"/>
              <w:right w:val="nil"/>
            </w:tcBorders>
            <w:vAlign w:val="center"/>
            <w:hideMark/>
          </w:tcPr>
          <w:p w14:paraId="50BB9643"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47807AD5"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26F5114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22A57B3C"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C6EFCE"/>
            <w:noWrap/>
            <w:vAlign w:val="center"/>
            <w:hideMark/>
          </w:tcPr>
          <w:p w14:paraId="4175727B"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51B5AFAD"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C6EFCE"/>
            <w:noWrap/>
            <w:vAlign w:val="center"/>
            <w:hideMark/>
          </w:tcPr>
          <w:p w14:paraId="42215544"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13D0EE3E"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C6EFCE"/>
            <w:noWrap/>
            <w:vAlign w:val="center"/>
            <w:hideMark/>
          </w:tcPr>
          <w:p w14:paraId="5150808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185F0014"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058613E6"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0A27D177"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CA2</w:t>
            </w:r>
          </w:p>
        </w:tc>
        <w:tc>
          <w:tcPr>
            <w:tcW w:w="0" w:type="auto"/>
            <w:tcBorders>
              <w:top w:val="nil"/>
              <w:left w:val="nil"/>
              <w:bottom w:val="nil"/>
              <w:right w:val="nil"/>
            </w:tcBorders>
            <w:shd w:val="clear" w:color="000000" w:fill="FFFFFF"/>
            <w:noWrap/>
            <w:vAlign w:val="center"/>
            <w:hideMark/>
          </w:tcPr>
          <w:p w14:paraId="349B8152"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4CBCFE6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0977B60B"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A3F2A">
              <w:rPr>
                <w:rFonts w:eastAsia="Times New Roman" w:cs="Times New Roman"/>
                <w:color w:val="9C0006"/>
                <w:szCs w:val="20"/>
                <w:lang w:eastAsia="en-GB"/>
              </w:rPr>
              <w:t>125</w:t>
            </w:r>
          </w:p>
        </w:tc>
        <w:tc>
          <w:tcPr>
            <w:tcW w:w="0" w:type="auto"/>
            <w:tcBorders>
              <w:top w:val="nil"/>
              <w:left w:val="nil"/>
              <w:bottom w:val="nil"/>
              <w:right w:val="nil"/>
            </w:tcBorders>
            <w:shd w:val="clear" w:color="000000" w:fill="C6EFCE"/>
            <w:noWrap/>
            <w:vAlign w:val="center"/>
            <w:hideMark/>
          </w:tcPr>
          <w:p w14:paraId="508F7F90"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2C1DA0AA"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nil"/>
              <w:right w:val="nil"/>
            </w:tcBorders>
            <w:shd w:val="clear" w:color="000000" w:fill="C6EFCE"/>
            <w:noWrap/>
            <w:vAlign w:val="center"/>
            <w:hideMark/>
          </w:tcPr>
          <w:p w14:paraId="07A95C1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073DEEDE"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nil"/>
              <w:right w:val="nil"/>
            </w:tcBorders>
            <w:shd w:val="clear" w:color="000000" w:fill="C6EFCE"/>
            <w:noWrap/>
            <w:vAlign w:val="center"/>
            <w:hideMark/>
          </w:tcPr>
          <w:p w14:paraId="6E016355"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464CA5EB"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07ADBE09" w14:textId="77777777" w:rsidTr="001B73A2">
        <w:trPr>
          <w:trHeight w:val="315"/>
          <w:jc w:val="center"/>
        </w:trPr>
        <w:tc>
          <w:tcPr>
            <w:tcW w:w="0" w:type="auto"/>
            <w:vMerge/>
            <w:tcBorders>
              <w:top w:val="nil"/>
              <w:left w:val="nil"/>
              <w:bottom w:val="single" w:sz="8" w:space="0" w:color="000000"/>
              <w:right w:val="nil"/>
            </w:tcBorders>
            <w:vAlign w:val="center"/>
            <w:hideMark/>
          </w:tcPr>
          <w:p w14:paraId="03B604C6"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78E1C577"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0861668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1BA661DF"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C6EFCE"/>
            <w:noWrap/>
            <w:vAlign w:val="center"/>
            <w:hideMark/>
          </w:tcPr>
          <w:p w14:paraId="590556EA"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3CE443F9"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C6EFCE"/>
            <w:noWrap/>
            <w:vAlign w:val="center"/>
            <w:hideMark/>
          </w:tcPr>
          <w:p w14:paraId="1C106FB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3D9990AC"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C6EFCE"/>
            <w:noWrap/>
            <w:vAlign w:val="center"/>
            <w:hideMark/>
          </w:tcPr>
          <w:p w14:paraId="474FF93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6219826F"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20CD3FBD"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2F600D5A"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CP</w:t>
            </w:r>
          </w:p>
        </w:tc>
        <w:tc>
          <w:tcPr>
            <w:tcW w:w="0" w:type="auto"/>
            <w:tcBorders>
              <w:top w:val="nil"/>
              <w:left w:val="nil"/>
              <w:bottom w:val="nil"/>
              <w:right w:val="nil"/>
            </w:tcBorders>
            <w:shd w:val="clear" w:color="000000" w:fill="FFFFFF"/>
            <w:noWrap/>
            <w:vAlign w:val="center"/>
            <w:hideMark/>
          </w:tcPr>
          <w:p w14:paraId="12ED0460"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FFEB9C"/>
            <w:noWrap/>
            <w:vAlign w:val="center"/>
            <w:hideMark/>
          </w:tcPr>
          <w:p w14:paraId="29CD7FB6"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nil"/>
              <w:right w:val="nil"/>
            </w:tcBorders>
            <w:shd w:val="clear" w:color="000000" w:fill="FFC7CE"/>
            <w:noWrap/>
            <w:vAlign w:val="center"/>
            <w:hideMark/>
          </w:tcPr>
          <w:p w14:paraId="4BA942BB"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62.5</w:t>
            </w:r>
          </w:p>
        </w:tc>
        <w:tc>
          <w:tcPr>
            <w:tcW w:w="0" w:type="auto"/>
            <w:tcBorders>
              <w:top w:val="nil"/>
              <w:left w:val="nil"/>
              <w:bottom w:val="nil"/>
              <w:right w:val="nil"/>
            </w:tcBorders>
            <w:shd w:val="clear" w:color="000000" w:fill="FFEB9C"/>
            <w:noWrap/>
            <w:vAlign w:val="center"/>
            <w:hideMark/>
          </w:tcPr>
          <w:p w14:paraId="3771E311"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nil"/>
              <w:right w:val="nil"/>
            </w:tcBorders>
            <w:shd w:val="clear" w:color="000000" w:fill="FFC7CE"/>
            <w:noWrap/>
            <w:vAlign w:val="center"/>
            <w:hideMark/>
          </w:tcPr>
          <w:p w14:paraId="2720C291"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62.5</w:t>
            </w:r>
          </w:p>
        </w:tc>
        <w:tc>
          <w:tcPr>
            <w:tcW w:w="0" w:type="auto"/>
            <w:tcBorders>
              <w:top w:val="nil"/>
              <w:left w:val="nil"/>
              <w:bottom w:val="nil"/>
              <w:right w:val="nil"/>
            </w:tcBorders>
            <w:shd w:val="clear" w:color="000000" w:fill="FFEB9C"/>
            <w:noWrap/>
            <w:vAlign w:val="center"/>
            <w:hideMark/>
          </w:tcPr>
          <w:p w14:paraId="2ED501C7"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nil"/>
              <w:right w:val="nil"/>
            </w:tcBorders>
            <w:shd w:val="clear" w:color="000000" w:fill="FFC7CE"/>
            <w:noWrap/>
            <w:vAlign w:val="center"/>
            <w:hideMark/>
          </w:tcPr>
          <w:p w14:paraId="3CB2059C"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nil"/>
              <w:right w:val="nil"/>
            </w:tcBorders>
            <w:shd w:val="clear" w:color="000000" w:fill="FFEB9C"/>
            <w:noWrap/>
            <w:vAlign w:val="center"/>
            <w:hideMark/>
          </w:tcPr>
          <w:p w14:paraId="148E151B"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nil"/>
              <w:right w:val="nil"/>
            </w:tcBorders>
            <w:shd w:val="clear" w:color="000000" w:fill="FFC7CE"/>
            <w:noWrap/>
            <w:vAlign w:val="center"/>
            <w:hideMark/>
          </w:tcPr>
          <w:p w14:paraId="29CC61B6"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35AC7187" w14:textId="77777777" w:rsidTr="001B73A2">
        <w:trPr>
          <w:trHeight w:val="315"/>
          <w:jc w:val="center"/>
        </w:trPr>
        <w:tc>
          <w:tcPr>
            <w:tcW w:w="0" w:type="auto"/>
            <w:vMerge/>
            <w:tcBorders>
              <w:top w:val="nil"/>
              <w:left w:val="nil"/>
              <w:bottom w:val="single" w:sz="8" w:space="0" w:color="000000"/>
              <w:right w:val="nil"/>
            </w:tcBorders>
            <w:vAlign w:val="center"/>
            <w:hideMark/>
          </w:tcPr>
          <w:p w14:paraId="7D12E71C"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593918E1"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FFEB9C"/>
            <w:noWrap/>
            <w:vAlign w:val="center"/>
            <w:hideMark/>
          </w:tcPr>
          <w:p w14:paraId="7E7C4561"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FFC7CE"/>
            <w:noWrap/>
            <w:vAlign w:val="center"/>
            <w:hideMark/>
          </w:tcPr>
          <w:p w14:paraId="007E8BAF"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EB9C"/>
            <w:noWrap/>
            <w:vAlign w:val="center"/>
            <w:hideMark/>
          </w:tcPr>
          <w:p w14:paraId="11C16C5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single" w:sz="8" w:space="0" w:color="auto"/>
              <w:right w:val="nil"/>
            </w:tcBorders>
            <w:shd w:val="clear" w:color="000000" w:fill="FFC7CE"/>
            <w:noWrap/>
            <w:vAlign w:val="center"/>
            <w:hideMark/>
          </w:tcPr>
          <w:p w14:paraId="44667FE1"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FFEB9C"/>
            <w:noWrap/>
            <w:vAlign w:val="center"/>
            <w:hideMark/>
          </w:tcPr>
          <w:p w14:paraId="2B44AF26"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single" w:sz="8" w:space="0" w:color="auto"/>
              <w:right w:val="nil"/>
            </w:tcBorders>
            <w:shd w:val="clear" w:color="000000" w:fill="FFC7CE"/>
            <w:noWrap/>
            <w:vAlign w:val="center"/>
            <w:hideMark/>
          </w:tcPr>
          <w:p w14:paraId="04FFFCDB"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EB9C"/>
            <w:noWrap/>
            <w:vAlign w:val="center"/>
            <w:hideMark/>
          </w:tcPr>
          <w:p w14:paraId="6B940BF0"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single" w:sz="8" w:space="0" w:color="auto"/>
              <w:right w:val="nil"/>
            </w:tcBorders>
            <w:shd w:val="clear" w:color="000000" w:fill="FFC7CE"/>
            <w:noWrap/>
            <w:vAlign w:val="center"/>
            <w:hideMark/>
          </w:tcPr>
          <w:p w14:paraId="299AE0BD"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671D1F00"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338C0ABB"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CK1</w:t>
            </w:r>
          </w:p>
        </w:tc>
        <w:tc>
          <w:tcPr>
            <w:tcW w:w="0" w:type="auto"/>
            <w:tcBorders>
              <w:top w:val="nil"/>
              <w:left w:val="nil"/>
              <w:bottom w:val="nil"/>
              <w:right w:val="nil"/>
            </w:tcBorders>
            <w:shd w:val="clear" w:color="000000" w:fill="FFFFFF"/>
            <w:noWrap/>
            <w:vAlign w:val="center"/>
            <w:hideMark/>
          </w:tcPr>
          <w:p w14:paraId="1E8474BD"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FFEB9C"/>
            <w:noWrap/>
            <w:vAlign w:val="center"/>
            <w:hideMark/>
          </w:tcPr>
          <w:p w14:paraId="5A7F311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nil"/>
              <w:right w:val="nil"/>
            </w:tcBorders>
            <w:shd w:val="clear" w:color="000000" w:fill="FFC7CE"/>
            <w:noWrap/>
            <w:vAlign w:val="center"/>
            <w:hideMark/>
          </w:tcPr>
          <w:p w14:paraId="5C8BA65C"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nil"/>
              <w:right w:val="nil"/>
            </w:tcBorders>
            <w:shd w:val="clear" w:color="000000" w:fill="FFC7CE"/>
            <w:noWrap/>
            <w:vAlign w:val="center"/>
            <w:hideMark/>
          </w:tcPr>
          <w:p w14:paraId="7479F12F"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250</w:t>
            </w:r>
          </w:p>
        </w:tc>
        <w:tc>
          <w:tcPr>
            <w:tcW w:w="0" w:type="auto"/>
            <w:tcBorders>
              <w:top w:val="nil"/>
              <w:left w:val="nil"/>
              <w:bottom w:val="nil"/>
              <w:right w:val="nil"/>
            </w:tcBorders>
            <w:shd w:val="clear" w:color="000000" w:fill="FFC7CE"/>
            <w:noWrap/>
            <w:vAlign w:val="center"/>
            <w:hideMark/>
          </w:tcPr>
          <w:p w14:paraId="05268925"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nil"/>
              <w:right w:val="nil"/>
            </w:tcBorders>
            <w:shd w:val="clear" w:color="000000" w:fill="FFEB9C"/>
            <w:noWrap/>
            <w:vAlign w:val="center"/>
            <w:hideMark/>
          </w:tcPr>
          <w:p w14:paraId="326807A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FFC7CE"/>
            <w:noWrap/>
            <w:vAlign w:val="center"/>
            <w:hideMark/>
          </w:tcPr>
          <w:p w14:paraId="5BFAD993"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nil"/>
              <w:right w:val="nil"/>
            </w:tcBorders>
            <w:shd w:val="clear" w:color="000000" w:fill="FFEB9C"/>
            <w:noWrap/>
            <w:vAlign w:val="center"/>
            <w:hideMark/>
          </w:tcPr>
          <w:p w14:paraId="4179CDEB"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nil"/>
              <w:right w:val="nil"/>
            </w:tcBorders>
            <w:shd w:val="clear" w:color="000000" w:fill="FFC7CE"/>
            <w:noWrap/>
            <w:vAlign w:val="center"/>
            <w:hideMark/>
          </w:tcPr>
          <w:p w14:paraId="78DD9153"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r>
      <w:tr w:rsidR="00B52164" w:rsidRPr="00B52164" w14:paraId="4D7F1391" w14:textId="77777777" w:rsidTr="001B73A2">
        <w:trPr>
          <w:trHeight w:val="315"/>
          <w:jc w:val="center"/>
        </w:trPr>
        <w:tc>
          <w:tcPr>
            <w:tcW w:w="0" w:type="auto"/>
            <w:vMerge/>
            <w:tcBorders>
              <w:top w:val="nil"/>
              <w:left w:val="nil"/>
              <w:bottom w:val="single" w:sz="8" w:space="0" w:color="000000"/>
              <w:right w:val="nil"/>
            </w:tcBorders>
            <w:vAlign w:val="center"/>
            <w:hideMark/>
          </w:tcPr>
          <w:p w14:paraId="633B3AF5"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7251C1C9"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FFEB9C"/>
            <w:noWrap/>
            <w:vAlign w:val="center"/>
            <w:hideMark/>
          </w:tcPr>
          <w:p w14:paraId="458434BB"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FFC7CE"/>
            <w:noWrap/>
            <w:vAlign w:val="center"/>
            <w:hideMark/>
          </w:tcPr>
          <w:p w14:paraId="7BE7B562"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C7CE"/>
            <w:noWrap/>
            <w:vAlign w:val="center"/>
            <w:hideMark/>
          </w:tcPr>
          <w:p w14:paraId="03266D70"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250</w:t>
            </w:r>
          </w:p>
        </w:tc>
        <w:tc>
          <w:tcPr>
            <w:tcW w:w="0" w:type="auto"/>
            <w:tcBorders>
              <w:top w:val="nil"/>
              <w:left w:val="nil"/>
              <w:bottom w:val="single" w:sz="8" w:space="0" w:color="auto"/>
              <w:right w:val="nil"/>
            </w:tcBorders>
            <w:shd w:val="clear" w:color="000000" w:fill="FFC7CE"/>
            <w:noWrap/>
            <w:vAlign w:val="center"/>
            <w:hideMark/>
          </w:tcPr>
          <w:p w14:paraId="74410679"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EB9C"/>
            <w:noWrap/>
            <w:vAlign w:val="center"/>
            <w:hideMark/>
          </w:tcPr>
          <w:p w14:paraId="7DA25747"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FFC7CE"/>
            <w:noWrap/>
            <w:vAlign w:val="center"/>
            <w:hideMark/>
          </w:tcPr>
          <w:p w14:paraId="57FB315B"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single" w:sz="8" w:space="0" w:color="auto"/>
              <w:right w:val="nil"/>
            </w:tcBorders>
            <w:shd w:val="clear" w:color="000000" w:fill="FFEB9C"/>
            <w:noWrap/>
            <w:vAlign w:val="center"/>
            <w:hideMark/>
          </w:tcPr>
          <w:p w14:paraId="5AA165EB"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single" w:sz="8" w:space="0" w:color="auto"/>
              <w:right w:val="nil"/>
            </w:tcBorders>
            <w:shd w:val="clear" w:color="000000" w:fill="FFC7CE"/>
            <w:noWrap/>
            <w:vAlign w:val="center"/>
            <w:hideMark/>
          </w:tcPr>
          <w:p w14:paraId="7CCFDDDB"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r>
      <w:tr w:rsidR="00B52164" w:rsidRPr="00B52164" w14:paraId="1CEC9903"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1F1E8901"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CK2</w:t>
            </w:r>
          </w:p>
        </w:tc>
        <w:tc>
          <w:tcPr>
            <w:tcW w:w="0" w:type="auto"/>
            <w:tcBorders>
              <w:top w:val="nil"/>
              <w:left w:val="nil"/>
              <w:bottom w:val="nil"/>
              <w:right w:val="nil"/>
            </w:tcBorders>
            <w:shd w:val="clear" w:color="000000" w:fill="FFFFFF"/>
            <w:noWrap/>
            <w:vAlign w:val="center"/>
            <w:hideMark/>
          </w:tcPr>
          <w:p w14:paraId="717AB158"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FFEB9C"/>
            <w:noWrap/>
            <w:vAlign w:val="center"/>
            <w:hideMark/>
          </w:tcPr>
          <w:p w14:paraId="0AF26FD6"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nil"/>
              <w:right w:val="nil"/>
            </w:tcBorders>
            <w:shd w:val="clear" w:color="000000" w:fill="FFC7CE"/>
            <w:noWrap/>
            <w:vAlign w:val="center"/>
            <w:hideMark/>
          </w:tcPr>
          <w:p w14:paraId="11B929C1"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nil"/>
              <w:right w:val="nil"/>
            </w:tcBorders>
            <w:shd w:val="clear" w:color="000000" w:fill="FFC7CE"/>
            <w:noWrap/>
            <w:vAlign w:val="center"/>
            <w:hideMark/>
          </w:tcPr>
          <w:p w14:paraId="07838FC2"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250</w:t>
            </w:r>
          </w:p>
        </w:tc>
        <w:tc>
          <w:tcPr>
            <w:tcW w:w="0" w:type="auto"/>
            <w:tcBorders>
              <w:top w:val="nil"/>
              <w:left w:val="nil"/>
              <w:bottom w:val="nil"/>
              <w:right w:val="nil"/>
            </w:tcBorders>
            <w:shd w:val="clear" w:color="000000" w:fill="FFC7CE"/>
            <w:noWrap/>
            <w:vAlign w:val="center"/>
            <w:hideMark/>
          </w:tcPr>
          <w:p w14:paraId="5D2EB342"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nil"/>
              <w:right w:val="nil"/>
            </w:tcBorders>
            <w:shd w:val="clear" w:color="000000" w:fill="FFEB9C"/>
            <w:noWrap/>
            <w:vAlign w:val="center"/>
            <w:hideMark/>
          </w:tcPr>
          <w:p w14:paraId="639FC424"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FFC7CE"/>
            <w:noWrap/>
            <w:vAlign w:val="center"/>
            <w:hideMark/>
          </w:tcPr>
          <w:p w14:paraId="033478C4"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nil"/>
              <w:right w:val="nil"/>
            </w:tcBorders>
            <w:shd w:val="clear" w:color="000000" w:fill="FFEB9C"/>
            <w:noWrap/>
            <w:vAlign w:val="center"/>
            <w:hideMark/>
          </w:tcPr>
          <w:p w14:paraId="0F09A8F5"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nil"/>
              <w:right w:val="nil"/>
            </w:tcBorders>
            <w:shd w:val="clear" w:color="000000" w:fill="FFC7CE"/>
            <w:noWrap/>
            <w:vAlign w:val="center"/>
            <w:hideMark/>
          </w:tcPr>
          <w:p w14:paraId="00A389DD"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r>
      <w:tr w:rsidR="00B52164" w:rsidRPr="00B52164" w14:paraId="3D96D5C7" w14:textId="77777777" w:rsidTr="001B73A2">
        <w:trPr>
          <w:trHeight w:val="315"/>
          <w:jc w:val="center"/>
        </w:trPr>
        <w:tc>
          <w:tcPr>
            <w:tcW w:w="0" w:type="auto"/>
            <w:vMerge/>
            <w:tcBorders>
              <w:top w:val="nil"/>
              <w:left w:val="nil"/>
              <w:bottom w:val="single" w:sz="8" w:space="0" w:color="000000"/>
              <w:right w:val="nil"/>
            </w:tcBorders>
            <w:vAlign w:val="center"/>
            <w:hideMark/>
          </w:tcPr>
          <w:p w14:paraId="3BB6C4A2"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6DA25733"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FFEB9C"/>
            <w:noWrap/>
            <w:vAlign w:val="center"/>
            <w:hideMark/>
          </w:tcPr>
          <w:p w14:paraId="07F827AE"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FFC7CE"/>
            <w:noWrap/>
            <w:vAlign w:val="center"/>
            <w:hideMark/>
          </w:tcPr>
          <w:p w14:paraId="56170445"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C7CE"/>
            <w:noWrap/>
            <w:vAlign w:val="center"/>
            <w:hideMark/>
          </w:tcPr>
          <w:p w14:paraId="4C0B9E89"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250</w:t>
            </w:r>
          </w:p>
        </w:tc>
        <w:tc>
          <w:tcPr>
            <w:tcW w:w="0" w:type="auto"/>
            <w:tcBorders>
              <w:top w:val="nil"/>
              <w:left w:val="nil"/>
              <w:bottom w:val="single" w:sz="8" w:space="0" w:color="auto"/>
              <w:right w:val="nil"/>
            </w:tcBorders>
            <w:shd w:val="clear" w:color="000000" w:fill="FFC7CE"/>
            <w:noWrap/>
            <w:vAlign w:val="center"/>
            <w:hideMark/>
          </w:tcPr>
          <w:p w14:paraId="74CDD4F1"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EB9C"/>
            <w:noWrap/>
            <w:vAlign w:val="center"/>
            <w:hideMark/>
          </w:tcPr>
          <w:p w14:paraId="176F2654"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FFC7CE"/>
            <w:noWrap/>
            <w:vAlign w:val="center"/>
            <w:hideMark/>
          </w:tcPr>
          <w:p w14:paraId="1E1E12E6"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31.3</w:t>
            </w:r>
          </w:p>
        </w:tc>
        <w:tc>
          <w:tcPr>
            <w:tcW w:w="0" w:type="auto"/>
            <w:tcBorders>
              <w:top w:val="nil"/>
              <w:left w:val="nil"/>
              <w:bottom w:val="single" w:sz="8" w:space="0" w:color="auto"/>
              <w:right w:val="nil"/>
            </w:tcBorders>
            <w:shd w:val="clear" w:color="000000" w:fill="FFEB9C"/>
            <w:noWrap/>
            <w:vAlign w:val="center"/>
            <w:hideMark/>
          </w:tcPr>
          <w:p w14:paraId="02C7C5BE"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2000</w:t>
            </w:r>
          </w:p>
        </w:tc>
        <w:tc>
          <w:tcPr>
            <w:tcW w:w="0" w:type="auto"/>
            <w:tcBorders>
              <w:top w:val="nil"/>
              <w:left w:val="nil"/>
              <w:bottom w:val="single" w:sz="8" w:space="0" w:color="auto"/>
              <w:right w:val="nil"/>
            </w:tcBorders>
            <w:shd w:val="clear" w:color="000000" w:fill="FFC7CE"/>
            <w:noWrap/>
            <w:vAlign w:val="center"/>
            <w:hideMark/>
          </w:tcPr>
          <w:p w14:paraId="44F9C8BD"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r>
      <w:tr w:rsidR="00B52164" w:rsidRPr="00B52164" w14:paraId="14270D3C"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5E93F8FA"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CT</w:t>
            </w:r>
          </w:p>
        </w:tc>
        <w:tc>
          <w:tcPr>
            <w:tcW w:w="0" w:type="auto"/>
            <w:tcBorders>
              <w:top w:val="nil"/>
              <w:left w:val="nil"/>
              <w:bottom w:val="nil"/>
              <w:right w:val="nil"/>
            </w:tcBorders>
            <w:shd w:val="clear" w:color="000000" w:fill="FFFFFF"/>
            <w:noWrap/>
            <w:vAlign w:val="center"/>
            <w:hideMark/>
          </w:tcPr>
          <w:p w14:paraId="6DC365CF"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FFEB9C"/>
            <w:noWrap/>
            <w:vAlign w:val="center"/>
            <w:hideMark/>
          </w:tcPr>
          <w:p w14:paraId="7C25B1F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nil"/>
              <w:right w:val="nil"/>
            </w:tcBorders>
            <w:shd w:val="clear" w:color="000000" w:fill="FFC7CE"/>
            <w:noWrap/>
            <w:vAlign w:val="center"/>
            <w:hideMark/>
          </w:tcPr>
          <w:p w14:paraId="4D29C6B8"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nil"/>
              <w:right w:val="nil"/>
            </w:tcBorders>
            <w:shd w:val="clear" w:color="000000" w:fill="FFEB9C"/>
            <w:noWrap/>
            <w:vAlign w:val="center"/>
            <w:hideMark/>
          </w:tcPr>
          <w:p w14:paraId="56B96745"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nil"/>
              <w:right w:val="nil"/>
            </w:tcBorders>
            <w:shd w:val="clear" w:color="000000" w:fill="FFC7CE"/>
            <w:noWrap/>
            <w:vAlign w:val="center"/>
            <w:hideMark/>
          </w:tcPr>
          <w:p w14:paraId="21BBA786"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nil"/>
              <w:right w:val="nil"/>
            </w:tcBorders>
            <w:shd w:val="clear" w:color="000000" w:fill="FFEB9C"/>
            <w:noWrap/>
            <w:vAlign w:val="center"/>
            <w:hideMark/>
          </w:tcPr>
          <w:p w14:paraId="371670E9"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FFC7CE"/>
            <w:noWrap/>
            <w:vAlign w:val="center"/>
            <w:hideMark/>
          </w:tcPr>
          <w:p w14:paraId="72F65B15"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nil"/>
              <w:right w:val="nil"/>
            </w:tcBorders>
            <w:shd w:val="clear" w:color="000000" w:fill="C6EFCE"/>
            <w:noWrap/>
            <w:vAlign w:val="center"/>
            <w:hideMark/>
          </w:tcPr>
          <w:p w14:paraId="7011168F"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5A9B555F"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r>
      <w:tr w:rsidR="00B52164" w:rsidRPr="00B52164" w14:paraId="23506201" w14:textId="77777777" w:rsidTr="001B73A2">
        <w:trPr>
          <w:trHeight w:val="315"/>
          <w:jc w:val="center"/>
        </w:trPr>
        <w:tc>
          <w:tcPr>
            <w:tcW w:w="0" w:type="auto"/>
            <w:vMerge/>
            <w:tcBorders>
              <w:top w:val="nil"/>
              <w:left w:val="nil"/>
              <w:bottom w:val="single" w:sz="8" w:space="0" w:color="000000"/>
              <w:right w:val="nil"/>
            </w:tcBorders>
            <w:vAlign w:val="center"/>
            <w:hideMark/>
          </w:tcPr>
          <w:p w14:paraId="3933639B"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0380FC9E"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FFEB9C"/>
            <w:noWrap/>
            <w:vAlign w:val="center"/>
            <w:hideMark/>
          </w:tcPr>
          <w:p w14:paraId="0667DB92"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FFC7CE"/>
            <w:noWrap/>
            <w:vAlign w:val="center"/>
            <w:hideMark/>
          </w:tcPr>
          <w:p w14:paraId="595F1CEB"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FFEB9C"/>
            <w:noWrap/>
            <w:vAlign w:val="center"/>
            <w:hideMark/>
          </w:tcPr>
          <w:p w14:paraId="30E55C02"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FFC7CE"/>
            <w:noWrap/>
            <w:vAlign w:val="center"/>
            <w:hideMark/>
          </w:tcPr>
          <w:p w14:paraId="6A077D22"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FFEB9C"/>
            <w:noWrap/>
            <w:vAlign w:val="center"/>
            <w:hideMark/>
          </w:tcPr>
          <w:p w14:paraId="3C587B56"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FFC7CE"/>
            <w:noWrap/>
            <w:vAlign w:val="center"/>
            <w:hideMark/>
          </w:tcPr>
          <w:p w14:paraId="298060FE"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c>
          <w:tcPr>
            <w:tcW w:w="0" w:type="auto"/>
            <w:tcBorders>
              <w:top w:val="nil"/>
              <w:left w:val="nil"/>
              <w:bottom w:val="single" w:sz="8" w:space="0" w:color="auto"/>
              <w:right w:val="nil"/>
            </w:tcBorders>
            <w:shd w:val="clear" w:color="000000" w:fill="C6EFCE"/>
            <w:noWrap/>
            <w:vAlign w:val="center"/>
            <w:hideMark/>
          </w:tcPr>
          <w:p w14:paraId="3D15C67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076AB28C" w14:textId="77777777" w:rsidR="00B52164" w:rsidRPr="00B52164" w:rsidRDefault="00B52164" w:rsidP="00B52164">
            <w:pPr>
              <w:spacing w:after="0" w:line="240" w:lineRule="auto"/>
              <w:jc w:val="center"/>
              <w:rPr>
                <w:rFonts w:eastAsia="Times New Roman" w:cs="Times New Roman"/>
                <w:color w:val="9C0006"/>
                <w:szCs w:val="20"/>
                <w:lang w:eastAsia="en-GB"/>
              </w:rPr>
            </w:pPr>
            <w:r w:rsidRPr="00B52164">
              <w:rPr>
                <w:rFonts w:eastAsia="Times New Roman" w:cs="Times New Roman"/>
                <w:color w:val="9C0006"/>
                <w:szCs w:val="20"/>
                <w:lang w:eastAsia="en-GB"/>
              </w:rPr>
              <w:t>62.5</w:t>
            </w:r>
          </w:p>
        </w:tc>
      </w:tr>
      <w:tr w:rsidR="00B52164" w:rsidRPr="00B52164" w14:paraId="13D48273"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5DCC7C3B"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CG</w:t>
            </w:r>
          </w:p>
        </w:tc>
        <w:tc>
          <w:tcPr>
            <w:tcW w:w="0" w:type="auto"/>
            <w:tcBorders>
              <w:top w:val="nil"/>
              <w:left w:val="nil"/>
              <w:bottom w:val="nil"/>
              <w:right w:val="nil"/>
            </w:tcBorders>
            <w:shd w:val="clear" w:color="000000" w:fill="FFFFFF"/>
            <w:noWrap/>
            <w:vAlign w:val="center"/>
            <w:hideMark/>
          </w:tcPr>
          <w:p w14:paraId="08C6C24C"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4C188F70"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65438D82"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6B989B8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58945C91"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4EB019B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54D66E2C"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nil"/>
              <w:right w:val="nil"/>
            </w:tcBorders>
            <w:shd w:val="clear" w:color="000000" w:fill="C6EFCE"/>
            <w:noWrap/>
            <w:vAlign w:val="center"/>
            <w:hideMark/>
          </w:tcPr>
          <w:p w14:paraId="414D63C7"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50F9A24F"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r>
      <w:tr w:rsidR="00B52164" w:rsidRPr="00B52164" w14:paraId="03EE008E" w14:textId="77777777" w:rsidTr="001B73A2">
        <w:trPr>
          <w:trHeight w:val="315"/>
          <w:jc w:val="center"/>
        </w:trPr>
        <w:tc>
          <w:tcPr>
            <w:tcW w:w="0" w:type="auto"/>
            <w:vMerge/>
            <w:tcBorders>
              <w:top w:val="nil"/>
              <w:left w:val="nil"/>
              <w:bottom w:val="single" w:sz="8" w:space="0" w:color="000000"/>
              <w:right w:val="nil"/>
            </w:tcBorders>
            <w:vAlign w:val="center"/>
            <w:hideMark/>
          </w:tcPr>
          <w:p w14:paraId="5A9D2FC5"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5B3E8908"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091BEA66"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0EFC1383"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778554D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51159F0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45832D1B"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546642EB"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single" w:sz="8" w:space="0" w:color="auto"/>
              <w:right w:val="nil"/>
            </w:tcBorders>
            <w:shd w:val="clear" w:color="000000" w:fill="C6EFCE"/>
            <w:noWrap/>
            <w:vAlign w:val="center"/>
            <w:hideMark/>
          </w:tcPr>
          <w:p w14:paraId="7222109A"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1FE3DEFB"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r>
      <w:tr w:rsidR="00B52164" w:rsidRPr="00B52164" w14:paraId="0D2BA93F"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5C97F1FE"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CL</w:t>
            </w:r>
          </w:p>
        </w:tc>
        <w:tc>
          <w:tcPr>
            <w:tcW w:w="0" w:type="auto"/>
            <w:tcBorders>
              <w:top w:val="nil"/>
              <w:left w:val="nil"/>
              <w:bottom w:val="nil"/>
              <w:right w:val="nil"/>
            </w:tcBorders>
            <w:shd w:val="clear" w:color="000000" w:fill="FFFFFF"/>
            <w:noWrap/>
            <w:vAlign w:val="center"/>
            <w:hideMark/>
          </w:tcPr>
          <w:p w14:paraId="4C2B9622"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3F2B6FAB"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0067BA62"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2665EB1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2EF98324"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3528C882"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78A0E130"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4EEBF6F5"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4D6DED0B"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r>
      <w:tr w:rsidR="00B52164" w:rsidRPr="00B52164" w14:paraId="5A133D12" w14:textId="77777777" w:rsidTr="001B73A2">
        <w:trPr>
          <w:trHeight w:val="315"/>
          <w:jc w:val="center"/>
        </w:trPr>
        <w:tc>
          <w:tcPr>
            <w:tcW w:w="0" w:type="auto"/>
            <w:vMerge/>
            <w:tcBorders>
              <w:top w:val="nil"/>
              <w:left w:val="nil"/>
              <w:bottom w:val="single" w:sz="8" w:space="0" w:color="000000"/>
              <w:right w:val="nil"/>
            </w:tcBorders>
            <w:vAlign w:val="center"/>
            <w:hideMark/>
          </w:tcPr>
          <w:p w14:paraId="5F089F17"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68CC20F3"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7A19042F"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2CC26D38"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39E4D7C8"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1B36F6B7"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26A382E7"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69E1A923"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1122A006"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7861C6C4"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r>
      <w:tr w:rsidR="00B52164" w:rsidRPr="00B52164" w14:paraId="3FD90254"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2F1ABCB9"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TA</w:t>
            </w:r>
          </w:p>
        </w:tc>
        <w:tc>
          <w:tcPr>
            <w:tcW w:w="0" w:type="auto"/>
            <w:tcBorders>
              <w:top w:val="nil"/>
              <w:left w:val="nil"/>
              <w:bottom w:val="nil"/>
              <w:right w:val="nil"/>
            </w:tcBorders>
            <w:shd w:val="clear" w:color="000000" w:fill="FFFFFF"/>
            <w:noWrap/>
            <w:vAlign w:val="center"/>
            <w:hideMark/>
          </w:tcPr>
          <w:p w14:paraId="2FC6CF3D"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79091C5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6D90425D"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nil"/>
              <w:right w:val="nil"/>
            </w:tcBorders>
            <w:shd w:val="clear" w:color="000000" w:fill="C6EFCE"/>
            <w:noWrap/>
            <w:vAlign w:val="center"/>
            <w:hideMark/>
          </w:tcPr>
          <w:p w14:paraId="524EDC3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36627874"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7AB3D18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5F793A1F"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nil"/>
              <w:right w:val="nil"/>
            </w:tcBorders>
            <w:shd w:val="clear" w:color="000000" w:fill="C6EFCE"/>
            <w:noWrap/>
            <w:vAlign w:val="center"/>
            <w:hideMark/>
          </w:tcPr>
          <w:p w14:paraId="48B7A5A2"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485A00AF"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r>
      <w:tr w:rsidR="00B52164" w:rsidRPr="00B52164" w14:paraId="528C22EE" w14:textId="77777777" w:rsidTr="001B73A2">
        <w:trPr>
          <w:trHeight w:val="315"/>
          <w:jc w:val="center"/>
        </w:trPr>
        <w:tc>
          <w:tcPr>
            <w:tcW w:w="0" w:type="auto"/>
            <w:vMerge/>
            <w:tcBorders>
              <w:top w:val="nil"/>
              <w:left w:val="nil"/>
              <w:bottom w:val="single" w:sz="8" w:space="0" w:color="000000"/>
              <w:right w:val="nil"/>
            </w:tcBorders>
            <w:vAlign w:val="center"/>
            <w:hideMark/>
          </w:tcPr>
          <w:p w14:paraId="033B38AC"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11F9BE08"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34FBFE7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425D151C"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single" w:sz="8" w:space="0" w:color="auto"/>
              <w:right w:val="nil"/>
            </w:tcBorders>
            <w:shd w:val="clear" w:color="000000" w:fill="C6EFCE"/>
            <w:noWrap/>
            <w:vAlign w:val="center"/>
            <w:hideMark/>
          </w:tcPr>
          <w:p w14:paraId="07FFA7C5"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75D3E6D0"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5D4AA6E2"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13F1068B"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single" w:sz="8" w:space="0" w:color="auto"/>
              <w:right w:val="nil"/>
            </w:tcBorders>
            <w:shd w:val="clear" w:color="000000" w:fill="C6EFCE"/>
            <w:noWrap/>
            <w:vAlign w:val="center"/>
            <w:hideMark/>
          </w:tcPr>
          <w:p w14:paraId="2094BF31"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0577733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r>
      <w:tr w:rsidR="00B52164" w:rsidRPr="00B52164" w14:paraId="6A0F7B19"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6524DA67"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AF*</w:t>
            </w:r>
          </w:p>
        </w:tc>
        <w:tc>
          <w:tcPr>
            <w:tcW w:w="0" w:type="auto"/>
            <w:tcBorders>
              <w:top w:val="nil"/>
              <w:left w:val="nil"/>
              <w:bottom w:val="nil"/>
              <w:right w:val="nil"/>
            </w:tcBorders>
            <w:shd w:val="clear" w:color="000000" w:fill="FFFFFF"/>
            <w:noWrap/>
            <w:vAlign w:val="center"/>
            <w:hideMark/>
          </w:tcPr>
          <w:p w14:paraId="51DB885E"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6E0B6E04"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4788708F"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250</w:t>
            </w:r>
          </w:p>
        </w:tc>
        <w:tc>
          <w:tcPr>
            <w:tcW w:w="0" w:type="auto"/>
            <w:tcBorders>
              <w:top w:val="nil"/>
              <w:left w:val="nil"/>
              <w:bottom w:val="nil"/>
              <w:right w:val="nil"/>
            </w:tcBorders>
            <w:shd w:val="clear" w:color="000000" w:fill="C6EFCE"/>
            <w:noWrap/>
            <w:vAlign w:val="center"/>
            <w:hideMark/>
          </w:tcPr>
          <w:p w14:paraId="5853075F"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044EB729"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5AD545BB"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42E10CB9"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4EB1DD5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18860F8E"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r>
      <w:tr w:rsidR="00B52164" w:rsidRPr="00B52164" w14:paraId="7CA26A72" w14:textId="77777777" w:rsidTr="001B73A2">
        <w:trPr>
          <w:trHeight w:val="315"/>
          <w:jc w:val="center"/>
        </w:trPr>
        <w:tc>
          <w:tcPr>
            <w:tcW w:w="0" w:type="auto"/>
            <w:vMerge/>
            <w:tcBorders>
              <w:top w:val="nil"/>
              <w:left w:val="nil"/>
              <w:bottom w:val="single" w:sz="8" w:space="0" w:color="000000"/>
              <w:right w:val="nil"/>
            </w:tcBorders>
            <w:vAlign w:val="center"/>
            <w:hideMark/>
          </w:tcPr>
          <w:p w14:paraId="6EF256FB"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61FFC069"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2B856545"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378ADBD6"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65207D6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2A78B2E3"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C6EFCE"/>
            <w:noWrap/>
            <w:vAlign w:val="center"/>
            <w:hideMark/>
          </w:tcPr>
          <w:p w14:paraId="737384B4"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31B6F037"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522A4D8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3BEC8B22"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r>
      <w:tr w:rsidR="00B52164" w:rsidRPr="00B52164" w14:paraId="1A1EE1E2"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7DDA821C"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AC*</w:t>
            </w:r>
          </w:p>
        </w:tc>
        <w:tc>
          <w:tcPr>
            <w:tcW w:w="0" w:type="auto"/>
            <w:tcBorders>
              <w:top w:val="nil"/>
              <w:left w:val="nil"/>
              <w:bottom w:val="nil"/>
              <w:right w:val="nil"/>
            </w:tcBorders>
            <w:shd w:val="clear" w:color="000000" w:fill="FFFFFF"/>
            <w:noWrap/>
            <w:vAlign w:val="center"/>
            <w:hideMark/>
          </w:tcPr>
          <w:p w14:paraId="42BE5F30"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24</w:t>
            </w:r>
          </w:p>
        </w:tc>
        <w:tc>
          <w:tcPr>
            <w:tcW w:w="0" w:type="auto"/>
            <w:tcBorders>
              <w:top w:val="nil"/>
              <w:left w:val="nil"/>
              <w:bottom w:val="nil"/>
              <w:right w:val="nil"/>
            </w:tcBorders>
            <w:shd w:val="clear" w:color="000000" w:fill="C6EFCE"/>
            <w:noWrap/>
            <w:vAlign w:val="center"/>
            <w:hideMark/>
          </w:tcPr>
          <w:p w14:paraId="1C56876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3E94975D"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A3F2A">
              <w:rPr>
                <w:rFonts w:eastAsia="Times New Roman" w:cs="Times New Roman"/>
                <w:color w:val="9C0006"/>
                <w:szCs w:val="20"/>
                <w:lang w:eastAsia="en-GB"/>
              </w:rPr>
              <w:t>250</w:t>
            </w:r>
          </w:p>
        </w:tc>
        <w:tc>
          <w:tcPr>
            <w:tcW w:w="0" w:type="auto"/>
            <w:tcBorders>
              <w:top w:val="nil"/>
              <w:left w:val="nil"/>
              <w:bottom w:val="nil"/>
              <w:right w:val="nil"/>
            </w:tcBorders>
            <w:shd w:val="clear" w:color="000000" w:fill="C6EFCE"/>
            <w:noWrap/>
            <w:vAlign w:val="center"/>
            <w:hideMark/>
          </w:tcPr>
          <w:p w14:paraId="657F9FA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6C1DA854"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nil"/>
              <w:right w:val="nil"/>
            </w:tcBorders>
            <w:shd w:val="clear" w:color="000000" w:fill="C6EFCE"/>
            <w:noWrap/>
            <w:vAlign w:val="center"/>
            <w:hideMark/>
          </w:tcPr>
          <w:p w14:paraId="48CFA1B7"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607BC56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nil"/>
              <w:right w:val="nil"/>
            </w:tcBorders>
            <w:shd w:val="clear" w:color="000000" w:fill="C6EFCE"/>
            <w:noWrap/>
            <w:vAlign w:val="center"/>
            <w:hideMark/>
          </w:tcPr>
          <w:p w14:paraId="07516ED8"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EB9C"/>
            <w:noWrap/>
            <w:vAlign w:val="center"/>
            <w:hideMark/>
          </w:tcPr>
          <w:p w14:paraId="5A160732"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r>
      <w:tr w:rsidR="00B52164" w:rsidRPr="00B52164" w14:paraId="36B764A5" w14:textId="77777777" w:rsidTr="001B73A2">
        <w:trPr>
          <w:trHeight w:val="315"/>
          <w:jc w:val="center"/>
        </w:trPr>
        <w:tc>
          <w:tcPr>
            <w:tcW w:w="0" w:type="auto"/>
            <w:vMerge/>
            <w:tcBorders>
              <w:top w:val="nil"/>
              <w:left w:val="nil"/>
              <w:bottom w:val="single" w:sz="8" w:space="0" w:color="000000"/>
              <w:right w:val="nil"/>
            </w:tcBorders>
            <w:vAlign w:val="center"/>
            <w:hideMark/>
          </w:tcPr>
          <w:p w14:paraId="2DCC50FA"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124B514D"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48</w:t>
            </w:r>
          </w:p>
        </w:tc>
        <w:tc>
          <w:tcPr>
            <w:tcW w:w="0" w:type="auto"/>
            <w:tcBorders>
              <w:top w:val="nil"/>
              <w:left w:val="nil"/>
              <w:bottom w:val="single" w:sz="8" w:space="0" w:color="auto"/>
              <w:right w:val="nil"/>
            </w:tcBorders>
            <w:shd w:val="clear" w:color="000000" w:fill="C6EFCE"/>
            <w:noWrap/>
            <w:vAlign w:val="center"/>
            <w:hideMark/>
          </w:tcPr>
          <w:p w14:paraId="6E7ABF9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76146AF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0858ED56"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5695C11A"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c>
          <w:tcPr>
            <w:tcW w:w="0" w:type="auto"/>
            <w:tcBorders>
              <w:top w:val="nil"/>
              <w:left w:val="nil"/>
              <w:bottom w:val="single" w:sz="8" w:space="0" w:color="auto"/>
              <w:right w:val="nil"/>
            </w:tcBorders>
            <w:shd w:val="clear" w:color="000000" w:fill="C6EFCE"/>
            <w:noWrap/>
            <w:vAlign w:val="center"/>
            <w:hideMark/>
          </w:tcPr>
          <w:p w14:paraId="4A1DD983"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762E52F9"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500</w:t>
            </w:r>
          </w:p>
        </w:tc>
        <w:tc>
          <w:tcPr>
            <w:tcW w:w="0" w:type="auto"/>
            <w:tcBorders>
              <w:top w:val="nil"/>
              <w:left w:val="nil"/>
              <w:bottom w:val="single" w:sz="8" w:space="0" w:color="auto"/>
              <w:right w:val="nil"/>
            </w:tcBorders>
            <w:shd w:val="clear" w:color="000000" w:fill="C6EFCE"/>
            <w:noWrap/>
            <w:vAlign w:val="center"/>
            <w:hideMark/>
          </w:tcPr>
          <w:p w14:paraId="6A32193C"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EB9C"/>
            <w:noWrap/>
            <w:vAlign w:val="center"/>
            <w:hideMark/>
          </w:tcPr>
          <w:p w14:paraId="1EFEF987" w14:textId="77777777" w:rsidR="00B52164" w:rsidRPr="00B52164" w:rsidRDefault="00B52164" w:rsidP="00B52164">
            <w:pPr>
              <w:spacing w:after="0" w:line="240" w:lineRule="auto"/>
              <w:jc w:val="center"/>
              <w:rPr>
                <w:rFonts w:eastAsia="Times New Roman" w:cs="Times New Roman"/>
                <w:color w:val="9C6500"/>
                <w:szCs w:val="20"/>
                <w:lang w:eastAsia="en-GB"/>
              </w:rPr>
            </w:pPr>
            <w:r w:rsidRPr="00B52164">
              <w:rPr>
                <w:rFonts w:eastAsia="Times New Roman" w:cs="Times New Roman"/>
                <w:color w:val="9C6500"/>
                <w:szCs w:val="20"/>
                <w:lang w:eastAsia="en-GB"/>
              </w:rPr>
              <w:t>1000</w:t>
            </w:r>
          </w:p>
        </w:tc>
      </w:tr>
      <w:tr w:rsidR="00B52164" w:rsidRPr="00B52164" w14:paraId="7AABF541" w14:textId="77777777" w:rsidTr="001B73A2">
        <w:trPr>
          <w:trHeight w:val="300"/>
          <w:jc w:val="center"/>
        </w:trPr>
        <w:tc>
          <w:tcPr>
            <w:tcW w:w="0" w:type="auto"/>
            <w:vMerge w:val="restart"/>
            <w:tcBorders>
              <w:top w:val="nil"/>
              <w:left w:val="nil"/>
              <w:bottom w:val="single" w:sz="8" w:space="0" w:color="000000"/>
              <w:right w:val="nil"/>
            </w:tcBorders>
            <w:shd w:val="clear" w:color="000000" w:fill="FFFFFF"/>
            <w:noWrap/>
            <w:vAlign w:val="center"/>
            <w:hideMark/>
          </w:tcPr>
          <w:p w14:paraId="349CD50D" w14:textId="77777777" w:rsidR="00B52164" w:rsidRPr="00B52164" w:rsidRDefault="00B52164" w:rsidP="00B52164">
            <w:pPr>
              <w:spacing w:after="0" w:line="240" w:lineRule="auto"/>
              <w:jc w:val="center"/>
              <w:rPr>
                <w:rFonts w:eastAsia="Times New Roman" w:cs="Times New Roman"/>
                <w:b/>
                <w:bCs/>
                <w:color w:val="000000"/>
                <w:szCs w:val="20"/>
                <w:lang w:eastAsia="en-GB"/>
              </w:rPr>
            </w:pPr>
            <w:r w:rsidRPr="00B52164">
              <w:rPr>
                <w:rFonts w:eastAsia="Times New Roman" w:cs="Times New Roman"/>
                <w:b/>
                <w:bCs/>
                <w:color w:val="000000"/>
                <w:szCs w:val="20"/>
                <w:lang w:eastAsia="en-GB"/>
              </w:rPr>
              <w:t>TM*</w:t>
            </w:r>
          </w:p>
        </w:tc>
        <w:tc>
          <w:tcPr>
            <w:tcW w:w="0" w:type="auto"/>
            <w:tcBorders>
              <w:top w:val="nil"/>
              <w:left w:val="nil"/>
              <w:bottom w:val="nil"/>
              <w:right w:val="nil"/>
            </w:tcBorders>
            <w:shd w:val="clear" w:color="000000" w:fill="FFFFFF"/>
            <w:noWrap/>
            <w:vAlign w:val="center"/>
            <w:hideMark/>
          </w:tcPr>
          <w:p w14:paraId="7FA615A8"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72h</w:t>
            </w:r>
          </w:p>
        </w:tc>
        <w:tc>
          <w:tcPr>
            <w:tcW w:w="0" w:type="auto"/>
            <w:tcBorders>
              <w:top w:val="nil"/>
              <w:left w:val="nil"/>
              <w:bottom w:val="nil"/>
              <w:right w:val="nil"/>
            </w:tcBorders>
            <w:shd w:val="clear" w:color="000000" w:fill="C6EFCE"/>
            <w:noWrap/>
            <w:vAlign w:val="center"/>
            <w:hideMark/>
          </w:tcPr>
          <w:p w14:paraId="2199C83E"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23A3AFE4" w14:textId="77777777" w:rsidR="00B52164" w:rsidRPr="00BA3F2A" w:rsidRDefault="00B52164" w:rsidP="00B52164">
            <w:pPr>
              <w:spacing w:after="0" w:line="240" w:lineRule="auto"/>
              <w:jc w:val="center"/>
              <w:rPr>
                <w:rFonts w:eastAsia="Times New Roman" w:cs="Times New Roman"/>
                <w:bCs/>
                <w:color w:val="9C0006"/>
                <w:szCs w:val="20"/>
                <w:lang w:eastAsia="en-GB"/>
              </w:rPr>
            </w:pPr>
            <w:r w:rsidRPr="00BA3F2A">
              <w:rPr>
                <w:rFonts w:eastAsia="Times New Roman" w:cs="Times New Roman"/>
                <w:bCs/>
                <w:color w:val="9C0006"/>
                <w:szCs w:val="20"/>
                <w:lang w:eastAsia="en-GB"/>
              </w:rPr>
              <w:t>62.5</w:t>
            </w:r>
          </w:p>
        </w:tc>
        <w:tc>
          <w:tcPr>
            <w:tcW w:w="0" w:type="auto"/>
            <w:tcBorders>
              <w:top w:val="nil"/>
              <w:left w:val="nil"/>
              <w:bottom w:val="nil"/>
              <w:right w:val="nil"/>
            </w:tcBorders>
            <w:shd w:val="clear" w:color="000000" w:fill="C6EFCE"/>
            <w:noWrap/>
            <w:vAlign w:val="center"/>
            <w:hideMark/>
          </w:tcPr>
          <w:p w14:paraId="599F8E99"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592E7C71"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nil"/>
              <w:right w:val="nil"/>
            </w:tcBorders>
            <w:shd w:val="clear" w:color="000000" w:fill="C6EFCE"/>
            <w:noWrap/>
            <w:vAlign w:val="center"/>
            <w:hideMark/>
          </w:tcPr>
          <w:p w14:paraId="6768D45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3BA7E168"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nil"/>
              <w:right w:val="nil"/>
            </w:tcBorders>
            <w:shd w:val="clear" w:color="000000" w:fill="C6EFCE"/>
            <w:noWrap/>
            <w:vAlign w:val="center"/>
            <w:hideMark/>
          </w:tcPr>
          <w:p w14:paraId="327F22A8"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nil"/>
              <w:right w:val="nil"/>
            </w:tcBorders>
            <w:shd w:val="clear" w:color="000000" w:fill="FFC7CE"/>
            <w:noWrap/>
            <w:vAlign w:val="center"/>
            <w:hideMark/>
          </w:tcPr>
          <w:p w14:paraId="526152A2"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r w:rsidR="00B52164" w:rsidRPr="00B52164" w14:paraId="3D0AA825" w14:textId="77777777" w:rsidTr="001B73A2">
        <w:trPr>
          <w:trHeight w:val="315"/>
          <w:jc w:val="center"/>
        </w:trPr>
        <w:tc>
          <w:tcPr>
            <w:tcW w:w="0" w:type="auto"/>
            <w:vMerge/>
            <w:tcBorders>
              <w:top w:val="nil"/>
              <w:left w:val="nil"/>
              <w:bottom w:val="single" w:sz="8" w:space="0" w:color="000000"/>
              <w:right w:val="nil"/>
            </w:tcBorders>
            <w:vAlign w:val="center"/>
            <w:hideMark/>
          </w:tcPr>
          <w:p w14:paraId="31ECA7BD" w14:textId="77777777" w:rsidR="00B52164" w:rsidRPr="00B52164" w:rsidRDefault="00B52164" w:rsidP="00B52164">
            <w:pPr>
              <w:spacing w:after="0" w:line="240" w:lineRule="auto"/>
              <w:rPr>
                <w:rFonts w:eastAsia="Times New Roman" w:cs="Times New Roman"/>
                <w:b/>
                <w:bCs/>
                <w:color w:val="000000"/>
                <w:szCs w:val="20"/>
                <w:lang w:eastAsia="en-GB"/>
              </w:rPr>
            </w:pPr>
          </w:p>
        </w:tc>
        <w:tc>
          <w:tcPr>
            <w:tcW w:w="0" w:type="auto"/>
            <w:tcBorders>
              <w:top w:val="nil"/>
              <w:left w:val="nil"/>
              <w:bottom w:val="single" w:sz="8" w:space="0" w:color="auto"/>
              <w:right w:val="nil"/>
            </w:tcBorders>
            <w:shd w:val="clear" w:color="000000" w:fill="FFFFFF"/>
            <w:noWrap/>
            <w:vAlign w:val="center"/>
            <w:hideMark/>
          </w:tcPr>
          <w:p w14:paraId="5EEBD181" w14:textId="77777777" w:rsidR="00B52164" w:rsidRPr="00B52164" w:rsidRDefault="00B52164" w:rsidP="00B52164">
            <w:pPr>
              <w:spacing w:after="0" w:line="240" w:lineRule="auto"/>
              <w:jc w:val="center"/>
              <w:rPr>
                <w:rFonts w:eastAsia="Times New Roman" w:cs="Times New Roman"/>
                <w:color w:val="000000"/>
                <w:szCs w:val="20"/>
                <w:lang w:eastAsia="en-GB"/>
              </w:rPr>
            </w:pPr>
            <w:r w:rsidRPr="00B52164">
              <w:rPr>
                <w:rFonts w:eastAsia="Times New Roman" w:cs="Times New Roman"/>
                <w:color w:val="000000"/>
                <w:szCs w:val="20"/>
                <w:lang w:eastAsia="en-GB"/>
              </w:rPr>
              <w:t>120h</w:t>
            </w:r>
          </w:p>
        </w:tc>
        <w:tc>
          <w:tcPr>
            <w:tcW w:w="0" w:type="auto"/>
            <w:tcBorders>
              <w:top w:val="nil"/>
              <w:left w:val="nil"/>
              <w:bottom w:val="single" w:sz="8" w:space="0" w:color="auto"/>
              <w:right w:val="nil"/>
            </w:tcBorders>
            <w:shd w:val="clear" w:color="000000" w:fill="C6EFCE"/>
            <w:noWrap/>
            <w:vAlign w:val="center"/>
            <w:hideMark/>
          </w:tcPr>
          <w:p w14:paraId="17D12585"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4D99291F" w14:textId="77777777" w:rsidR="00B52164" w:rsidRPr="00BA3F2A" w:rsidRDefault="00B52164" w:rsidP="00B52164">
            <w:pPr>
              <w:spacing w:after="0" w:line="240" w:lineRule="auto"/>
              <w:jc w:val="center"/>
              <w:rPr>
                <w:rFonts w:eastAsia="Times New Roman" w:cs="Times New Roman"/>
                <w:bCs/>
                <w:color w:val="9C0006"/>
                <w:szCs w:val="20"/>
                <w:lang w:eastAsia="en-GB"/>
              </w:rPr>
            </w:pPr>
            <w:r w:rsidRPr="00BA3F2A">
              <w:rPr>
                <w:rFonts w:eastAsia="Times New Roman" w:cs="Times New Roman"/>
                <w:bCs/>
                <w:color w:val="9C0006"/>
                <w:szCs w:val="20"/>
                <w:lang w:eastAsia="en-GB"/>
              </w:rPr>
              <w:t>62.5</w:t>
            </w:r>
          </w:p>
        </w:tc>
        <w:tc>
          <w:tcPr>
            <w:tcW w:w="0" w:type="auto"/>
            <w:tcBorders>
              <w:top w:val="nil"/>
              <w:left w:val="nil"/>
              <w:bottom w:val="single" w:sz="8" w:space="0" w:color="auto"/>
              <w:right w:val="nil"/>
            </w:tcBorders>
            <w:shd w:val="clear" w:color="000000" w:fill="C6EFCE"/>
            <w:noWrap/>
            <w:vAlign w:val="center"/>
            <w:hideMark/>
          </w:tcPr>
          <w:p w14:paraId="07CB60E2"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205070AE"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C6EFCE"/>
            <w:noWrap/>
            <w:vAlign w:val="center"/>
            <w:hideMark/>
          </w:tcPr>
          <w:p w14:paraId="48FF8DFD"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0EF70764"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c>
          <w:tcPr>
            <w:tcW w:w="0" w:type="auto"/>
            <w:tcBorders>
              <w:top w:val="nil"/>
              <w:left w:val="nil"/>
              <w:bottom w:val="single" w:sz="8" w:space="0" w:color="auto"/>
              <w:right w:val="nil"/>
            </w:tcBorders>
            <w:shd w:val="clear" w:color="000000" w:fill="C6EFCE"/>
            <w:noWrap/>
            <w:vAlign w:val="center"/>
            <w:hideMark/>
          </w:tcPr>
          <w:p w14:paraId="35E3510F" w14:textId="77777777" w:rsidR="00B52164" w:rsidRPr="00B52164" w:rsidRDefault="00B52164" w:rsidP="00B52164">
            <w:pPr>
              <w:spacing w:after="0" w:line="240" w:lineRule="auto"/>
              <w:jc w:val="center"/>
              <w:rPr>
                <w:rFonts w:eastAsia="Times New Roman" w:cs="Times New Roman"/>
                <w:color w:val="006100"/>
                <w:szCs w:val="20"/>
                <w:lang w:eastAsia="en-GB"/>
              </w:rPr>
            </w:pPr>
            <w:r w:rsidRPr="00B52164">
              <w:rPr>
                <w:rFonts w:eastAsia="Times New Roman" w:cs="Times New Roman"/>
                <w:color w:val="006100"/>
                <w:szCs w:val="20"/>
                <w:lang w:eastAsia="en-GB"/>
              </w:rPr>
              <w:t>&gt;2000</w:t>
            </w:r>
          </w:p>
        </w:tc>
        <w:tc>
          <w:tcPr>
            <w:tcW w:w="0" w:type="auto"/>
            <w:tcBorders>
              <w:top w:val="nil"/>
              <w:left w:val="nil"/>
              <w:bottom w:val="single" w:sz="8" w:space="0" w:color="auto"/>
              <w:right w:val="nil"/>
            </w:tcBorders>
            <w:shd w:val="clear" w:color="000000" w:fill="FFC7CE"/>
            <w:noWrap/>
            <w:vAlign w:val="center"/>
            <w:hideMark/>
          </w:tcPr>
          <w:p w14:paraId="6CA97C18" w14:textId="77777777" w:rsidR="00B52164" w:rsidRPr="00BA3F2A" w:rsidRDefault="00B52164" w:rsidP="00B52164">
            <w:pPr>
              <w:spacing w:after="0" w:line="240" w:lineRule="auto"/>
              <w:jc w:val="center"/>
              <w:rPr>
                <w:rFonts w:eastAsia="Times New Roman" w:cs="Times New Roman"/>
                <w:color w:val="9C0006"/>
                <w:szCs w:val="20"/>
                <w:lang w:eastAsia="en-GB"/>
              </w:rPr>
            </w:pPr>
            <w:r w:rsidRPr="00BA3F2A">
              <w:rPr>
                <w:rFonts w:eastAsia="Times New Roman" w:cs="Times New Roman"/>
                <w:color w:val="9C0006"/>
                <w:szCs w:val="20"/>
                <w:lang w:eastAsia="en-GB"/>
              </w:rPr>
              <w:t>125</w:t>
            </w:r>
          </w:p>
        </w:tc>
      </w:tr>
    </w:tbl>
    <w:p w14:paraId="7A8AD5E2" w14:textId="4FE2D7B0" w:rsidR="001D7427" w:rsidRDefault="00E10833" w:rsidP="00204CCF">
      <w:pPr>
        <w:spacing w:line="360" w:lineRule="auto"/>
        <w:jc w:val="center"/>
      </w:pPr>
      <w:r w:rsidRPr="00E10833">
        <w:rPr>
          <w:rFonts w:cs="Times New Roman"/>
          <w:vertAlign w:val="superscript"/>
        </w:rPr>
        <w:t>a</w:t>
      </w:r>
      <w:r w:rsidRPr="00E10833">
        <w:rPr>
          <w:rFonts w:cs="Times New Roman"/>
        </w:rPr>
        <w:t xml:space="preserve">CA1: </w:t>
      </w:r>
      <w:r w:rsidRPr="00E10833">
        <w:rPr>
          <w:rFonts w:cs="Times New Roman"/>
          <w:i/>
        </w:rPr>
        <w:t>C</w:t>
      </w:r>
      <w:r w:rsidR="003B11ED">
        <w:rPr>
          <w:rFonts w:cs="Times New Roman"/>
          <w:i/>
        </w:rPr>
        <w:t>.</w:t>
      </w:r>
      <w:r w:rsidRPr="00E10833">
        <w:rPr>
          <w:rFonts w:cs="Times New Roman"/>
          <w:i/>
        </w:rPr>
        <w:t xml:space="preserve"> albicans</w:t>
      </w:r>
      <w:r w:rsidRPr="00E10833">
        <w:rPr>
          <w:rFonts w:cs="Times New Roman"/>
        </w:rPr>
        <w:t xml:space="preserve"> ATCC 44859, CA2: </w:t>
      </w:r>
      <w:r w:rsidRPr="00E10833">
        <w:rPr>
          <w:rFonts w:cs="Times New Roman"/>
          <w:i/>
        </w:rPr>
        <w:t>C</w:t>
      </w:r>
      <w:r w:rsidR="003B11ED">
        <w:rPr>
          <w:rFonts w:cs="Times New Roman"/>
          <w:i/>
        </w:rPr>
        <w:t>.</w:t>
      </w:r>
      <w:r w:rsidRPr="00E10833">
        <w:rPr>
          <w:rFonts w:cs="Times New Roman"/>
          <w:i/>
        </w:rPr>
        <w:t xml:space="preserve"> albicans</w:t>
      </w:r>
      <w:r w:rsidRPr="00E10833">
        <w:rPr>
          <w:rFonts w:cs="Times New Roman"/>
        </w:rPr>
        <w:t xml:space="preserve"> ATCC 90028, CP: </w:t>
      </w:r>
      <w:r w:rsidRPr="00E10833">
        <w:rPr>
          <w:rFonts w:cs="Times New Roman"/>
          <w:i/>
        </w:rPr>
        <w:t>C</w:t>
      </w:r>
      <w:r w:rsidR="003B11ED">
        <w:rPr>
          <w:rFonts w:cs="Times New Roman"/>
          <w:i/>
        </w:rPr>
        <w:t>.</w:t>
      </w:r>
      <w:r w:rsidRPr="00E10833">
        <w:rPr>
          <w:rFonts w:cs="Times New Roman"/>
          <w:i/>
        </w:rPr>
        <w:t xml:space="preserve"> parapsilosis</w:t>
      </w:r>
      <w:r w:rsidRPr="00E10833">
        <w:rPr>
          <w:rFonts w:cs="Times New Roman"/>
        </w:rPr>
        <w:t xml:space="preserve"> ATCC 22019, CK1: </w:t>
      </w:r>
      <w:r w:rsidRPr="00E10833">
        <w:rPr>
          <w:rFonts w:cs="Times New Roman"/>
          <w:i/>
        </w:rPr>
        <w:t>C</w:t>
      </w:r>
      <w:r w:rsidR="003B11ED">
        <w:rPr>
          <w:rFonts w:cs="Times New Roman"/>
          <w:i/>
        </w:rPr>
        <w:t>.</w:t>
      </w:r>
      <w:r w:rsidRPr="00E10833">
        <w:rPr>
          <w:rFonts w:cs="Times New Roman"/>
          <w:i/>
        </w:rPr>
        <w:t xml:space="preserve"> krusei</w:t>
      </w:r>
      <w:r w:rsidRPr="00E10833">
        <w:rPr>
          <w:rFonts w:cs="Times New Roman"/>
        </w:rPr>
        <w:t xml:space="preserve"> ATCC 6258, CK2: </w:t>
      </w:r>
      <w:r w:rsidRPr="00E10833">
        <w:rPr>
          <w:rFonts w:cs="Times New Roman"/>
          <w:i/>
        </w:rPr>
        <w:t>C</w:t>
      </w:r>
      <w:r w:rsidR="003B11ED">
        <w:rPr>
          <w:rFonts w:cs="Times New Roman"/>
          <w:i/>
        </w:rPr>
        <w:t>.</w:t>
      </w:r>
      <w:r w:rsidRPr="00E10833">
        <w:rPr>
          <w:rFonts w:cs="Times New Roman"/>
          <w:i/>
        </w:rPr>
        <w:t xml:space="preserve"> krusei</w:t>
      </w:r>
      <w:r w:rsidRPr="00E10833">
        <w:rPr>
          <w:rFonts w:cs="Times New Roman"/>
        </w:rPr>
        <w:t xml:space="preserve"> E28, CT: </w:t>
      </w:r>
      <w:r w:rsidRPr="00E10833">
        <w:rPr>
          <w:rFonts w:cs="Times New Roman"/>
          <w:i/>
        </w:rPr>
        <w:t>C</w:t>
      </w:r>
      <w:r w:rsidR="003B11ED">
        <w:rPr>
          <w:rFonts w:cs="Times New Roman"/>
          <w:i/>
        </w:rPr>
        <w:t>.</w:t>
      </w:r>
      <w:r w:rsidRPr="00E10833">
        <w:rPr>
          <w:rFonts w:cs="Times New Roman"/>
          <w:i/>
        </w:rPr>
        <w:t xml:space="preserve"> tropicalis</w:t>
      </w:r>
      <w:r w:rsidRPr="00E10833">
        <w:rPr>
          <w:rFonts w:cs="Times New Roman"/>
        </w:rPr>
        <w:t xml:space="preserve"> 156, CG: </w:t>
      </w:r>
      <w:r w:rsidRPr="00E10833">
        <w:rPr>
          <w:rFonts w:cs="Times New Roman"/>
          <w:i/>
        </w:rPr>
        <w:t>C</w:t>
      </w:r>
      <w:r w:rsidR="003B11ED">
        <w:rPr>
          <w:rFonts w:cs="Times New Roman"/>
          <w:i/>
        </w:rPr>
        <w:t>.</w:t>
      </w:r>
      <w:r w:rsidRPr="00E10833">
        <w:rPr>
          <w:rFonts w:cs="Times New Roman"/>
          <w:i/>
        </w:rPr>
        <w:t xml:space="preserve"> glabrata</w:t>
      </w:r>
      <w:r w:rsidRPr="00E10833">
        <w:rPr>
          <w:rFonts w:cs="Times New Roman"/>
        </w:rPr>
        <w:t xml:space="preserve"> 20/I, CL: </w:t>
      </w:r>
      <w:r w:rsidRPr="00E10833">
        <w:rPr>
          <w:rFonts w:cs="Times New Roman"/>
          <w:i/>
        </w:rPr>
        <w:t>C</w:t>
      </w:r>
      <w:r w:rsidR="003B11ED">
        <w:rPr>
          <w:rFonts w:cs="Times New Roman"/>
          <w:i/>
        </w:rPr>
        <w:t>.</w:t>
      </w:r>
      <w:r w:rsidRPr="00E10833">
        <w:rPr>
          <w:rFonts w:cs="Times New Roman"/>
          <w:i/>
        </w:rPr>
        <w:t xml:space="preserve"> lusitaniae</w:t>
      </w:r>
      <w:r w:rsidRPr="00E10833">
        <w:rPr>
          <w:rFonts w:cs="Times New Roman"/>
        </w:rPr>
        <w:t xml:space="preserve"> 2446/I, TA: </w:t>
      </w:r>
      <w:r w:rsidRPr="00E10833">
        <w:rPr>
          <w:rFonts w:cs="Times New Roman"/>
          <w:i/>
        </w:rPr>
        <w:t>T</w:t>
      </w:r>
      <w:r w:rsidR="003B11ED">
        <w:rPr>
          <w:rFonts w:cs="Times New Roman"/>
          <w:i/>
        </w:rPr>
        <w:t>.</w:t>
      </w:r>
      <w:r w:rsidRPr="00E10833">
        <w:rPr>
          <w:rFonts w:cs="Times New Roman"/>
          <w:i/>
        </w:rPr>
        <w:t xml:space="preserve"> asahii</w:t>
      </w:r>
      <w:r w:rsidRPr="00E10833">
        <w:rPr>
          <w:rFonts w:cs="Times New Roman"/>
        </w:rPr>
        <w:t xml:space="preserve"> 1188, AF: </w:t>
      </w:r>
      <w:r w:rsidRPr="00E10833">
        <w:rPr>
          <w:rFonts w:cs="Times New Roman"/>
          <w:i/>
        </w:rPr>
        <w:t>A</w:t>
      </w:r>
      <w:r w:rsidR="003B11ED">
        <w:rPr>
          <w:rFonts w:cs="Times New Roman"/>
          <w:i/>
        </w:rPr>
        <w:t>.</w:t>
      </w:r>
      <w:r w:rsidRPr="00E10833">
        <w:rPr>
          <w:rFonts w:cs="Times New Roman"/>
          <w:i/>
        </w:rPr>
        <w:t xml:space="preserve"> fumigatus</w:t>
      </w:r>
      <w:r w:rsidRPr="00E10833">
        <w:rPr>
          <w:rFonts w:cs="Times New Roman"/>
        </w:rPr>
        <w:t xml:space="preserve"> 231, AC: </w:t>
      </w:r>
      <w:r w:rsidRPr="00E10833">
        <w:rPr>
          <w:rFonts w:cs="Times New Roman"/>
          <w:i/>
        </w:rPr>
        <w:t>A</w:t>
      </w:r>
      <w:r w:rsidR="003B11ED">
        <w:rPr>
          <w:rFonts w:cs="Times New Roman"/>
          <w:i/>
        </w:rPr>
        <w:t>.</w:t>
      </w:r>
      <w:r w:rsidRPr="00E10833">
        <w:rPr>
          <w:rFonts w:cs="Times New Roman"/>
          <w:i/>
        </w:rPr>
        <w:t xml:space="preserve"> corymbifera</w:t>
      </w:r>
      <w:r w:rsidRPr="00E10833">
        <w:rPr>
          <w:rFonts w:cs="Times New Roman"/>
        </w:rPr>
        <w:t xml:space="preserve"> 272, TM: </w:t>
      </w:r>
      <w:r w:rsidRPr="00E10833">
        <w:rPr>
          <w:rFonts w:cs="Times New Roman"/>
          <w:i/>
        </w:rPr>
        <w:t>T</w:t>
      </w:r>
      <w:r w:rsidR="003B11ED">
        <w:rPr>
          <w:rFonts w:cs="Times New Roman"/>
          <w:i/>
        </w:rPr>
        <w:t>.</w:t>
      </w:r>
      <w:r w:rsidRPr="00E10833">
        <w:rPr>
          <w:rFonts w:cs="Times New Roman"/>
          <w:i/>
        </w:rPr>
        <w:t xml:space="preserve"> mentagrophytes</w:t>
      </w:r>
      <w:r w:rsidRPr="00E10833">
        <w:rPr>
          <w:rFonts w:cs="Times New Roman"/>
        </w:rPr>
        <w:t xml:space="preserve"> 445. </w:t>
      </w:r>
      <w:r w:rsidRPr="00204CCF">
        <w:rPr>
          <w:rFonts w:cs="Times New Roman"/>
          <w:vertAlign w:val="superscript"/>
        </w:rPr>
        <w:t>b</w:t>
      </w:r>
      <w:r w:rsidRPr="00E10833">
        <w:rPr>
          <w:rFonts w:cs="Times New Roman"/>
        </w:rPr>
        <w:t>IC</w:t>
      </w:r>
      <w:r w:rsidRPr="00E10833">
        <w:rPr>
          <w:rFonts w:cs="Times New Roman"/>
          <w:vertAlign w:val="subscript"/>
        </w:rPr>
        <w:t>50</w:t>
      </w:r>
      <w:r w:rsidRPr="00E10833">
        <w:rPr>
          <w:rFonts w:cs="Times New Roman"/>
        </w:rPr>
        <w:t xml:space="preserve"> values were assessed for AF, AC and TM and IC</w:t>
      </w:r>
      <w:r w:rsidRPr="00E10833">
        <w:rPr>
          <w:rFonts w:cs="Times New Roman"/>
          <w:vertAlign w:val="subscript"/>
        </w:rPr>
        <w:t>80</w:t>
      </w:r>
      <w:r w:rsidRPr="00E10833">
        <w:rPr>
          <w:rFonts w:cs="Times New Roman"/>
        </w:rPr>
        <w:t xml:space="preserve"> for all other strains.</w:t>
      </w:r>
    </w:p>
    <w:p w14:paraId="6880AD7F" w14:textId="77777777" w:rsidR="00296FF2" w:rsidRDefault="00296FF2" w:rsidP="00296FF2">
      <w:pPr>
        <w:spacing w:line="480" w:lineRule="auto"/>
        <w:jc w:val="both"/>
        <w:rPr>
          <w:sz w:val="24"/>
        </w:rPr>
      </w:pPr>
    </w:p>
    <w:p w14:paraId="34FCFCF2" w14:textId="2E5E323D" w:rsidR="00296FF2" w:rsidRPr="00783958" w:rsidRDefault="00296FF2" w:rsidP="00296FF2">
      <w:pPr>
        <w:spacing w:line="480" w:lineRule="auto"/>
        <w:jc w:val="both"/>
        <w:rPr>
          <w:rFonts w:cs="Times New Roman"/>
          <w:sz w:val="24"/>
        </w:rPr>
      </w:pPr>
      <w:r w:rsidRPr="00783958">
        <w:rPr>
          <w:sz w:val="24"/>
        </w:rPr>
        <w:t>Consistent with the data from the bacteria toxicity screening, there was a distinct decrease in the MIC towards fungal strains when changing from the hydroxyl functional end group to the ethoxy end group</w:t>
      </w:r>
      <w:r w:rsidR="005203C1">
        <w:rPr>
          <w:sz w:val="24"/>
        </w:rPr>
        <w:t xml:space="preserve"> in the IL cation</w:t>
      </w:r>
      <w:r w:rsidRPr="00783958">
        <w:rPr>
          <w:sz w:val="24"/>
        </w:rPr>
        <w:t>. (Table 6) The AILs (</w:t>
      </w:r>
      <w:r w:rsidRPr="00783958">
        <w:rPr>
          <w:b/>
          <w:sz w:val="24"/>
        </w:rPr>
        <w:t>3a-d</w:t>
      </w:r>
      <w:r w:rsidRPr="00783958">
        <w:rPr>
          <w:sz w:val="24"/>
        </w:rPr>
        <w:t xml:space="preserve">) all demonstrated moderate </w:t>
      </w:r>
      <w:r w:rsidRPr="00783958">
        <w:rPr>
          <w:sz w:val="24"/>
        </w:rPr>
        <w:lastRenderedPageBreak/>
        <w:t xml:space="preserve">toxicity towards </w:t>
      </w:r>
      <w:r w:rsidRPr="00783958">
        <w:rPr>
          <w:i/>
          <w:sz w:val="24"/>
        </w:rPr>
        <w:t>C</w:t>
      </w:r>
      <w:r w:rsidR="00670CC9">
        <w:rPr>
          <w:i/>
          <w:sz w:val="24"/>
        </w:rPr>
        <w:t>.</w:t>
      </w:r>
      <w:r w:rsidRPr="00783958">
        <w:rPr>
          <w:i/>
          <w:sz w:val="24"/>
        </w:rPr>
        <w:t xml:space="preserve"> krusei</w:t>
      </w:r>
      <w:r w:rsidRPr="00783958">
        <w:rPr>
          <w:sz w:val="24"/>
        </w:rPr>
        <w:t xml:space="preserve">, </w:t>
      </w:r>
      <w:r w:rsidR="00670CC9">
        <w:rPr>
          <w:i/>
          <w:sz w:val="24"/>
        </w:rPr>
        <w:t>C.</w:t>
      </w:r>
      <w:r w:rsidRPr="00783958">
        <w:rPr>
          <w:i/>
          <w:sz w:val="24"/>
        </w:rPr>
        <w:t xml:space="preserve"> parapsilosis</w:t>
      </w:r>
      <w:r w:rsidRPr="00783958">
        <w:rPr>
          <w:sz w:val="24"/>
        </w:rPr>
        <w:t xml:space="preserve"> and </w:t>
      </w:r>
      <w:r w:rsidRPr="00783958">
        <w:rPr>
          <w:i/>
          <w:sz w:val="24"/>
        </w:rPr>
        <w:t>C</w:t>
      </w:r>
      <w:r w:rsidR="00670CC9">
        <w:rPr>
          <w:i/>
          <w:sz w:val="24"/>
        </w:rPr>
        <w:t>.</w:t>
      </w:r>
      <w:r w:rsidRPr="00783958">
        <w:rPr>
          <w:i/>
          <w:sz w:val="24"/>
        </w:rPr>
        <w:t xml:space="preserve"> tropicalis</w:t>
      </w:r>
      <w:r w:rsidRPr="00783958">
        <w:rPr>
          <w:sz w:val="24"/>
        </w:rPr>
        <w:t xml:space="preserve"> strains, with </w:t>
      </w:r>
      <w:r w:rsidRPr="00783958">
        <w:rPr>
          <w:b/>
          <w:sz w:val="24"/>
        </w:rPr>
        <w:t xml:space="preserve">3b </w:t>
      </w:r>
      <w:r w:rsidRPr="00783958">
        <w:rPr>
          <w:sz w:val="24"/>
        </w:rPr>
        <w:t>exhibiting high antifungal activity towards some strains (IC</w:t>
      </w:r>
      <w:r w:rsidRPr="00783958">
        <w:rPr>
          <w:sz w:val="24"/>
          <w:vertAlign w:val="subscript"/>
        </w:rPr>
        <w:t xml:space="preserve">80 </w:t>
      </w:r>
      <w:r w:rsidRPr="00783958">
        <w:rPr>
          <w:sz w:val="24"/>
        </w:rPr>
        <w:t>= 250 </w:t>
      </w:r>
      <w:r w:rsidRPr="00783958">
        <w:rPr>
          <w:rFonts w:cs="Times New Roman"/>
          <w:sz w:val="24"/>
        </w:rPr>
        <w:t xml:space="preserve">μM, CK1 and CK2, 48 h). However towards all other strains, including all three filamentous fungal strains, the AILs </w:t>
      </w:r>
      <w:r w:rsidRPr="00783958">
        <w:rPr>
          <w:rFonts w:cs="Times New Roman"/>
          <w:b/>
          <w:sz w:val="24"/>
        </w:rPr>
        <w:t xml:space="preserve">3a-d </w:t>
      </w:r>
      <w:r w:rsidRPr="00783958">
        <w:rPr>
          <w:rFonts w:cs="Times New Roman"/>
          <w:sz w:val="24"/>
        </w:rPr>
        <w:t>exhibited IC</w:t>
      </w:r>
      <w:r w:rsidRPr="00783958">
        <w:rPr>
          <w:rFonts w:cs="Times New Roman"/>
          <w:sz w:val="24"/>
          <w:vertAlign w:val="subscript"/>
        </w:rPr>
        <w:t xml:space="preserve">80 </w:t>
      </w:r>
      <w:r w:rsidRPr="00783958">
        <w:rPr>
          <w:rFonts w:cs="Times New Roman"/>
          <w:sz w:val="24"/>
        </w:rPr>
        <w:t>and IC</w:t>
      </w:r>
      <w:r w:rsidRPr="00783958">
        <w:rPr>
          <w:rFonts w:cs="Times New Roman"/>
          <w:sz w:val="24"/>
          <w:vertAlign w:val="subscript"/>
        </w:rPr>
        <w:t>50</w:t>
      </w:r>
      <w:r w:rsidRPr="00783958">
        <w:rPr>
          <w:rFonts w:cs="Times New Roman"/>
          <w:sz w:val="24"/>
        </w:rPr>
        <w:t xml:space="preserve"> values above the maximum tested concentrations. </w:t>
      </w:r>
    </w:p>
    <w:p w14:paraId="70BD9B55" w14:textId="77777777" w:rsidR="00296FF2" w:rsidRDefault="00296FF2" w:rsidP="005B5144">
      <w:pPr>
        <w:spacing w:line="480" w:lineRule="auto"/>
        <w:jc w:val="both"/>
        <w:rPr>
          <w:rFonts w:cs="Times New Roman"/>
          <w:sz w:val="24"/>
        </w:rPr>
      </w:pPr>
    </w:p>
    <w:p w14:paraId="53EE835A" w14:textId="649630D1" w:rsidR="005B5144" w:rsidRPr="00783958" w:rsidRDefault="005B5144" w:rsidP="005B5144">
      <w:pPr>
        <w:spacing w:line="480" w:lineRule="auto"/>
        <w:jc w:val="both"/>
        <w:rPr>
          <w:rFonts w:cs="Times New Roman"/>
          <w:sz w:val="24"/>
        </w:rPr>
      </w:pPr>
      <w:r w:rsidRPr="00783958">
        <w:rPr>
          <w:rFonts w:cs="Times New Roman"/>
          <w:sz w:val="24"/>
        </w:rPr>
        <w:t xml:space="preserve">In contrast, the [DMEEEAH] PILs </w:t>
      </w:r>
      <w:r w:rsidRPr="00783958">
        <w:rPr>
          <w:sz w:val="24"/>
        </w:rPr>
        <w:t>(</w:t>
      </w:r>
      <w:r w:rsidRPr="00783958">
        <w:rPr>
          <w:b/>
          <w:sz w:val="24"/>
        </w:rPr>
        <w:t>6a-d</w:t>
      </w:r>
      <w:r w:rsidRPr="00783958">
        <w:rPr>
          <w:sz w:val="24"/>
        </w:rPr>
        <w:t xml:space="preserve">) </w:t>
      </w:r>
      <w:r w:rsidRPr="00783958">
        <w:rPr>
          <w:rFonts w:cs="Times New Roman"/>
          <w:sz w:val="24"/>
        </w:rPr>
        <w:t xml:space="preserve">all showed high antifungal activity to a majority of the fungal strains. Moderate antifungal activity for the PILs </w:t>
      </w:r>
      <w:r w:rsidRPr="00783958">
        <w:rPr>
          <w:rFonts w:cs="Times New Roman"/>
          <w:b/>
          <w:sz w:val="24"/>
        </w:rPr>
        <w:t>6a-d</w:t>
      </w:r>
      <w:r w:rsidRPr="00783958">
        <w:rPr>
          <w:rFonts w:cs="Times New Roman"/>
          <w:sz w:val="24"/>
        </w:rPr>
        <w:t xml:space="preserve"> after 24 and 48 hours was found only for the </w:t>
      </w:r>
      <w:r w:rsidRPr="00783958">
        <w:rPr>
          <w:rFonts w:cs="Times New Roman"/>
          <w:i/>
          <w:sz w:val="24"/>
        </w:rPr>
        <w:t>C. lusitaniae</w:t>
      </w:r>
      <w:r w:rsidRPr="00783958">
        <w:rPr>
          <w:rFonts w:cs="Times New Roman"/>
          <w:sz w:val="24"/>
        </w:rPr>
        <w:t xml:space="preserve"> strain, and none of the PILs exhibited IC</w:t>
      </w:r>
      <w:r w:rsidRPr="00783958">
        <w:rPr>
          <w:rFonts w:cs="Times New Roman"/>
          <w:sz w:val="24"/>
          <w:vertAlign w:val="subscript"/>
        </w:rPr>
        <w:t>80</w:t>
      </w:r>
      <w:r w:rsidRPr="00783958">
        <w:rPr>
          <w:rFonts w:cs="Times New Roman"/>
          <w:sz w:val="24"/>
        </w:rPr>
        <w:t xml:space="preserve"> or IC</w:t>
      </w:r>
      <w:r w:rsidRPr="00783958">
        <w:rPr>
          <w:rFonts w:cs="Times New Roman"/>
          <w:sz w:val="24"/>
          <w:vertAlign w:val="subscript"/>
        </w:rPr>
        <w:t>50</w:t>
      </w:r>
      <w:r w:rsidRPr="00783958">
        <w:rPr>
          <w:rFonts w:cs="Times New Roman"/>
          <w:sz w:val="24"/>
        </w:rPr>
        <w:t xml:space="preserve"> values above the maximum tested concentrations. As with the AILs </w:t>
      </w:r>
      <w:r w:rsidRPr="00783958">
        <w:rPr>
          <w:rFonts w:cs="Times New Roman"/>
          <w:b/>
          <w:sz w:val="24"/>
        </w:rPr>
        <w:t>3a-d</w:t>
      </w:r>
      <w:r w:rsidRPr="00783958">
        <w:rPr>
          <w:rFonts w:cs="Times New Roman"/>
          <w:sz w:val="24"/>
        </w:rPr>
        <w:t xml:space="preserve">, the PILs </w:t>
      </w:r>
      <w:r w:rsidRPr="00783958">
        <w:rPr>
          <w:rFonts w:cs="Times New Roman"/>
          <w:b/>
          <w:sz w:val="24"/>
        </w:rPr>
        <w:t>6a-d</w:t>
      </w:r>
      <w:r w:rsidRPr="00783958">
        <w:rPr>
          <w:rFonts w:cs="Times New Roman"/>
          <w:sz w:val="24"/>
        </w:rPr>
        <w:t xml:space="preserve"> exhibited higher antifungal activities towards the </w:t>
      </w:r>
      <w:r w:rsidRPr="00783958">
        <w:rPr>
          <w:i/>
          <w:sz w:val="24"/>
        </w:rPr>
        <w:t>C. krusei</w:t>
      </w:r>
      <w:r w:rsidRPr="00783958">
        <w:rPr>
          <w:sz w:val="24"/>
        </w:rPr>
        <w:t xml:space="preserve">, </w:t>
      </w:r>
      <w:r w:rsidRPr="00783958">
        <w:rPr>
          <w:i/>
          <w:sz w:val="24"/>
        </w:rPr>
        <w:t>C. parapsilosis</w:t>
      </w:r>
      <w:r w:rsidRPr="00783958">
        <w:rPr>
          <w:sz w:val="24"/>
        </w:rPr>
        <w:t xml:space="preserve"> and </w:t>
      </w:r>
      <w:r w:rsidRPr="00783958">
        <w:rPr>
          <w:i/>
          <w:sz w:val="24"/>
        </w:rPr>
        <w:t>C. tropicalis</w:t>
      </w:r>
      <w:r w:rsidRPr="00783958">
        <w:rPr>
          <w:sz w:val="24"/>
        </w:rPr>
        <w:t xml:space="preserve"> strains, in addition to the </w:t>
      </w:r>
      <w:r w:rsidRPr="00783958">
        <w:rPr>
          <w:i/>
          <w:sz w:val="24"/>
        </w:rPr>
        <w:t xml:space="preserve">C. Albicans </w:t>
      </w:r>
      <w:r w:rsidRPr="00783958">
        <w:rPr>
          <w:sz w:val="24"/>
        </w:rPr>
        <w:t xml:space="preserve">and </w:t>
      </w:r>
      <w:r w:rsidRPr="00783958">
        <w:rPr>
          <w:rFonts w:cs="Times New Roman"/>
          <w:i/>
          <w:sz w:val="24"/>
        </w:rPr>
        <w:t>T. mentagrophytes</w:t>
      </w:r>
      <w:r w:rsidRPr="00783958">
        <w:rPr>
          <w:rFonts w:cs="Times New Roman"/>
          <w:sz w:val="24"/>
        </w:rPr>
        <w:t xml:space="preserve"> strains. Varying the anion appears to influence the fungal microtoxicities of each class of IL differently, but not in a consistent manner as found with the bacterial microtoxicities. For AILs</w:t>
      </w:r>
      <w:r w:rsidR="00115DB8" w:rsidRPr="00783958">
        <w:rPr>
          <w:rFonts w:cs="Times New Roman"/>
          <w:sz w:val="24"/>
        </w:rPr>
        <w:t xml:space="preserve"> (</w:t>
      </w:r>
      <w:r w:rsidR="00115DB8" w:rsidRPr="00783958">
        <w:rPr>
          <w:rFonts w:cs="Times New Roman"/>
          <w:b/>
          <w:sz w:val="24"/>
        </w:rPr>
        <w:t>3a–3d</w:t>
      </w:r>
      <w:r w:rsidR="00115DB8" w:rsidRPr="00783958">
        <w:rPr>
          <w:rFonts w:cs="Times New Roman"/>
          <w:sz w:val="24"/>
        </w:rPr>
        <w:t>)</w:t>
      </w:r>
      <w:r w:rsidRPr="00783958">
        <w:rPr>
          <w:rFonts w:cs="Times New Roman"/>
          <w:sz w:val="24"/>
        </w:rPr>
        <w:t xml:space="preserve">, the trend of increasing fungal microtoxicity follows [EtOPr] &lt; [OAc] </w:t>
      </w:r>
      <w:r w:rsidRPr="00783958">
        <w:rPr>
          <w:rFonts w:asciiTheme="majorHAnsi" w:hAnsiTheme="majorHAnsi" w:cstheme="majorHAnsi"/>
          <w:sz w:val="24"/>
        </w:rPr>
        <w:t xml:space="preserve">≈ [Md] &lt; [Hx], while for PILs </w:t>
      </w:r>
      <w:r w:rsidR="00115DB8" w:rsidRPr="00783958">
        <w:rPr>
          <w:rFonts w:cs="Times New Roman"/>
          <w:sz w:val="24"/>
        </w:rPr>
        <w:t>(</w:t>
      </w:r>
      <w:r w:rsidR="00115DB8" w:rsidRPr="00783958">
        <w:rPr>
          <w:rFonts w:cs="Times New Roman"/>
          <w:b/>
          <w:sz w:val="24"/>
        </w:rPr>
        <w:t>6a–6d</w:t>
      </w:r>
      <w:r w:rsidR="00115DB8" w:rsidRPr="00783958">
        <w:rPr>
          <w:rFonts w:cs="Times New Roman"/>
          <w:sz w:val="24"/>
        </w:rPr>
        <w:t>)</w:t>
      </w:r>
      <w:r w:rsidR="005203C1">
        <w:rPr>
          <w:rFonts w:cs="Times New Roman"/>
          <w:sz w:val="24"/>
        </w:rPr>
        <w:t xml:space="preserve"> </w:t>
      </w:r>
      <w:r w:rsidRPr="00783958">
        <w:rPr>
          <w:rFonts w:asciiTheme="majorHAnsi" w:hAnsiTheme="majorHAnsi" w:cstheme="majorHAnsi"/>
          <w:sz w:val="24"/>
        </w:rPr>
        <w:t>the trend follows [EtOPr] &lt; [Hx] ≈ [OAc] &lt; [Md].</w:t>
      </w:r>
    </w:p>
    <w:p w14:paraId="6F4CF82B" w14:textId="77777777" w:rsidR="0057405D" w:rsidRPr="0057405D" w:rsidRDefault="0057405D" w:rsidP="0057405D"/>
    <w:p w14:paraId="6B2D716A" w14:textId="7A0346A1" w:rsidR="006D4572" w:rsidRDefault="00EF0608" w:rsidP="006D4572">
      <w:pPr>
        <w:pStyle w:val="Heading2"/>
      </w:pPr>
      <w:r>
        <w:t>Effect of anion and cation structure on</w:t>
      </w:r>
      <w:r w:rsidR="006D4572">
        <w:t xml:space="preserve"> IL </w:t>
      </w:r>
      <w:r>
        <w:t>micro</w:t>
      </w:r>
      <w:r w:rsidR="006D4572">
        <w:t>toxicity results</w:t>
      </w:r>
    </w:p>
    <w:p w14:paraId="01D1B83D" w14:textId="77777777" w:rsidR="0038621B" w:rsidRPr="0038621B" w:rsidRDefault="0038621B" w:rsidP="0038621B"/>
    <w:p w14:paraId="13C94260" w14:textId="70D78608" w:rsidR="00EF0608" w:rsidRPr="00783958" w:rsidRDefault="006D4572" w:rsidP="0038621B">
      <w:pPr>
        <w:spacing w:line="480" w:lineRule="auto"/>
        <w:jc w:val="both"/>
        <w:rPr>
          <w:sz w:val="24"/>
        </w:rPr>
      </w:pPr>
      <w:r w:rsidRPr="00783958">
        <w:rPr>
          <w:sz w:val="24"/>
        </w:rPr>
        <w:t xml:space="preserve">Considering first the cations, almost identical MICs </w:t>
      </w:r>
      <w:r w:rsidR="009E02CC" w:rsidRPr="00783958">
        <w:rPr>
          <w:sz w:val="24"/>
        </w:rPr>
        <w:t xml:space="preserve">were demonstrated towards </w:t>
      </w:r>
      <w:r w:rsidRPr="00783958">
        <w:rPr>
          <w:sz w:val="24"/>
        </w:rPr>
        <w:t xml:space="preserve">the </w:t>
      </w:r>
      <w:r w:rsidR="009E02CC" w:rsidRPr="00783958">
        <w:rPr>
          <w:sz w:val="24"/>
        </w:rPr>
        <w:t>bacterial</w:t>
      </w:r>
      <w:r w:rsidR="00356DD0" w:rsidRPr="00783958">
        <w:rPr>
          <w:sz w:val="24"/>
        </w:rPr>
        <w:t xml:space="preserve"> (Table 2)</w:t>
      </w:r>
      <w:r w:rsidR="009E02CC" w:rsidRPr="00783958">
        <w:rPr>
          <w:sz w:val="24"/>
        </w:rPr>
        <w:t xml:space="preserve"> and fungal</w:t>
      </w:r>
      <w:r w:rsidR="00356DD0" w:rsidRPr="00783958">
        <w:rPr>
          <w:sz w:val="24"/>
        </w:rPr>
        <w:t xml:space="preserve"> (Table 5)</w:t>
      </w:r>
      <w:r w:rsidR="009E02CC" w:rsidRPr="00783958">
        <w:rPr>
          <w:sz w:val="24"/>
        </w:rPr>
        <w:t xml:space="preserve"> strains for the</w:t>
      </w:r>
      <w:r w:rsidR="00FD0985" w:rsidRPr="00783958">
        <w:rPr>
          <w:sz w:val="24"/>
        </w:rPr>
        <w:t xml:space="preserve"> ILs with [Ch</w:t>
      </w:r>
      <w:r w:rsidR="00CA74D1" w:rsidRPr="00783958">
        <w:rPr>
          <w:sz w:val="24"/>
        </w:rPr>
        <w:t>]</w:t>
      </w:r>
      <w:r w:rsidR="0043685A" w:rsidRPr="00783958">
        <w:rPr>
          <w:sz w:val="24"/>
        </w:rPr>
        <w:t>, (</w:t>
      </w:r>
      <w:r w:rsidR="0043685A" w:rsidRPr="00783958">
        <w:rPr>
          <w:b/>
          <w:sz w:val="24"/>
        </w:rPr>
        <w:t>1</w:t>
      </w:r>
      <w:r w:rsidR="003335B6" w:rsidRPr="00783958">
        <w:rPr>
          <w:b/>
          <w:sz w:val="24"/>
        </w:rPr>
        <w:t>a-d</w:t>
      </w:r>
      <w:r w:rsidR="0043685A" w:rsidRPr="00783958">
        <w:rPr>
          <w:sz w:val="24"/>
        </w:rPr>
        <w:t>)</w:t>
      </w:r>
      <w:r w:rsidR="00FD0985" w:rsidRPr="00783958">
        <w:rPr>
          <w:sz w:val="24"/>
        </w:rPr>
        <w:t xml:space="preserve"> or [DMEtAH</w:t>
      </w:r>
      <w:r w:rsidR="00CA74D1" w:rsidRPr="00783958">
        <w:rPr>
          <w:sz w:val="24"/>
        </w:rPr>
        <w:t>]</w:t>
      </w:r>
      <w:r w:rsidR="0043685A" w:rsidRPr="00783958">
        <w:rPr>
          <w:sz w:val="24"/>
        </w:rPr>
        <w:t>, (</w:t>
      </w:r>
      <w:r w:rsidR="0043685A" w:rsidRPr="00783958">
        <w:rPr>
          <w:b/>
          <w:sz w:val="24"/>
        </w:rPr>
        <w:t>4</w:t>
      </w:r>
      <w:r w:rsidR="003335B6" w:rsidRPr="00783958">
        <w:rPr>
          <w:b/>
          <w:sz w:val="24"/>
        </w:rPr>
        <w:t>a-d</w:t>
      </w:r>
      <w:r w:rsidR="0043685A" w:rsidRPr="00783958">
        <w:rPr>
          <w:sz w:val="24"/>
        </w:rPr>
        <w:t>)</w:t>
      </w:r>
      <w:r w:rsidR="00FD0985" w:rsidRPr="00783958">
        <w:rPr>
          <w:sz w:val="24"/>
        </w:rPr>
        <w:t xml:space="preserve"> cations</w:t>
      </w:r>
      <w:r w:rsidRPr="00783958">
        <w:rPr>
          <w:sz w:val="24"/>
        </w:rPr>
        <w:t xml:space="preserve">. Similar results </w:t>
      </w:r>
      <w:r w:rsidR="003C7E89" w:rsidRPr="00783958">
        <w:rPr>
          <w:sz w:val="24"/>
        </w:rPr>
        <w:t xml:space="preserve">were </w:t>
      </w:r>
      <w:r w:rsidR="0043685A" w:rsidRPr="00783958">
        <w:rPr>
          <w:sz w:val="24"/>
        </w:rPr>
        <w:t xml:space="preserve">also </w:t>
      </w:r>
      <w:r w:rsidRPr="00783958">
        <w:rPr>
          <w:sz w:val="24"/>
        </w:rPr>
        <w:t xml:space="preserve">seen between the ILs with the </w:t>
      </w:r>
      <w:r w:rsidR="0043685A" w:rsidRPr="00783958">
        <w:rPr>
          <w:sz w:val="24"/>
        </w:rPr>
        <w:t>[TMHEEA], (</w:t>
      </w:r>
      <w:r w:rsidR="0043685A" w:rsidRPr="00783958">
        <w:rPr>
          <w:b/>
          <w:sz w:val="24"/>
        </w:rPr>
        <w:t>2</w:t>
      </w:r>
      <w:r w:rsidR="003335B6" w:rsidRPr="00783958">
        <w:rPr>
          <w:b/>
          <w:sz w:val="24"/>
        </w:rPr>
        <w:t>a-d</w:t>
      </w:r>
      <w:r w:rsidR="0043685A" w:rsidRPr="00783958">
        <w:rPr>
          <w:sz w:val="24"/>
        </w:rPr>
        <w:t>) and the [DMHEEAH], (</w:t>
      </w:r>
      <w:r w:rsidR="0043685A" w:rsidRPr="00783958">
        <w:rPr>
          <w:b/>
          <w:sz w:val="24"/>
        </w:rPr>
        <w:t>5</w:t>
      </w:r>
      <w:r w:rsidR="003335B6" w:rsidRPr="00783958">
        <w:rPr>
          <w:b/>
          <w:sz w:val="24"/>
        </w:rPr>
        <w:t>a-d</w:t>
      </w:r>
      <w:r w:rsidR="0043685A" w:rsidRPr="00783958">
        <w:rPr>
          <w:sz w:val="24"/>
        </w:rPr>
        <w:t>) cations</w:t>
      </w:r>
      <w:r w:rsidR="00356DD0" w:rsidRPr="00783958">
        <w:rPr>
          <w:sz w:val="24"/>
        </w:rPr>
        <w:t xml:space="preserve"> (Tables 3 and 5)</w:t>
      </w:r>
      <w:r w:rsidR="00B55D5E" w:rsidRPr="00783958">
        <w:rPr>
          <w:sz w:val="24"/>
        </w:rPr>
        <w:t>.</w:t>
      </w:r>
      <w:r w:rsidRPr="00783958">
        <w:rPr>
          <w:sz w:val="24"/>
        </w:rPr>
        <w:t xml:space="preserve"> </w:t>
      </w:r>
      <w:r w:rsidR="00B55D5E" w:rsidRPr="00783958">
        <w:rPr>
          <w:sz w:val="24"/>
        </w:rPr>
        <w:t>H</w:t>
      </w:r>
      <w:r w:rsidRPr="00783958">
        <w:rPr>
          <w:sz w:val="24"/>
        </w:rPr>
        <w:t>owever</w:t>
      </w:r>
      <w:r w:rsidR="009E02CC" w:rsidRPr="00783958">
        <w:rPr>
          <w:sz w:val="24"/>
        </w:rPr>
        <w:t>,</w:t>
      </w:r>
      <w:r w:rsidRPr="00783958">
        <w:rPr>
          <w:sz w:val="24"/>
        </w:rPr>
        <w:t xml:space="preserve"> some MICs for the AILs </w:t>
      </w:r>
      <w:r w:rsidR="003335B6" w:rsidRPr="00783958">
        <w:rPr>
          <w:b/>
          <w:sz w:val="24"/>
        </w:rPr>
        <w:t xml:space="preserve">2a </w:t>
      </w:r>
      <w:r w:rsidRPr="00783958">
        <w:rPr>
          <w:sz w:val="24"/>
        </w:rPr>
        <w:t xml:space="preserve">and </w:t>
      </w:r>
      <w:r w:rsidR="003335B6" w:rsidRPr="00783958">
        <w:rPr>
          <w:b/>
          <w:sz w:val="24"/>
        </w:rPr>
        <w:t>2b</w:t>
      </w:r>
      <w:r w:rsidR="003335B6" w:rsidRPr="00783958">
        <w:rPr>
          <w:sz w:val="24"/>
        </w:rPr>
        <w:t xml:space="preserve"> </w:t>
      </w:r>
      <w:r w:rsidR="00EA5388" w:rsidRPr="00783958">
        <w:rPr>
          <w:sz w:val="24"/>
        </w:rPr>
        <w:t xml:space="preserve">were </w:t>
      </w:r>
      <w:r w:rsidRPr="00783958">
        <w:rPr>
          <w:sz w:val="24"/>
        </w:rPr>
        <w:t xml:space="preserve">as low as 250 </w:t>
      </w:r>
      <w:r w:rsidRPr="00783958">
        <w:rPr>
          <w:rFonts w:cs="Times New Roman"/>
          <w:sz w:val="24"/>
        </w:rPr>
        <w:t>μ</w:t>
      </w:r>
      <w:r w:rsidRPr="00783958">
        <w:rPr>
          <w:sz w:val="24"/>
        </w:rPr>
        <w:t xml:space="preserve">M for </w:t>
      </w:r>
      <w:r w:rsidR="00B55D5E" w:rsidRPr="00783958">
        <w:rPr>
          <w:sz w:val="24"/>
        </w:rPr>
        <w:t xml:space="preserve">particular </w:t>
      </w:r>
      <w:r w:rsidR="002E5924" w:rsidRPr="00783958">
        <w:rPr>
          <w:sz w:val="24"/>
        </w:rPr>
        <w:t>bacter</w:t>
      </w:r>
      <w:r w:rsidR="00356DD0" w:rsidRPr="00783958">
        <w:rPr>
          <w:sz w:val="24"/>
        </w:rPr>
        <w:t xml:space="preserve">ial </w:t>
      </w:r>
      <w:r w:rsidRPr="00783958">
        <w:rPr>
          <w:sz w:val="24"/>
        </w:rPr>
        <w:t>strains</w:t>
      </w:r>
      <w:r w:rsidR="00356DD0" w:rsidRPr="00783958">
        <w:rPr>
          <w:sz w:val="24"/>
        </w:rPr>
        <w:t xml:space="preserve"> (Table 3)</w:t>
      </w:r>
      <w:r w:rsidRPr="00783958">
        <w:rPr>
          <w:sz w:val="24"/>
        </w:rPr>
        <w:t>, wh</w:t>
      </w:r>
      <w:r w:rsidR="00356DD0" w:rsidRPr="00783958">
        <w:rPr>
          <w:sz w:val="24"/>
        </w:rPr>
        <w:t>ile</w:t>
      </w:r>
      <w:r w:rsidRPr="00783958">
        <w:rPr>
          <w:sz w:val="24"/>
        </w:rPr>
        <w:t xml:space="preserve"> there were no MICs below 1000 </w:t>
      </w:r>
      <w:r w:rsidRPr="00783958">
        <w:rPr>
          <w:rFonts w:cs="Times New Roman"/>
          <w:sz w:val="24"/>
        </w:rPr>
        <w:t>μ</w:t>
      </w:r>
      <w:r w:rsidRPr="00783958">
        <w:rPr>
          <w:sz w:val="24"/>
        </w:rPr>
        <w:t xml:space="preserve">M for the corresponding PILs </w:t>
      </w:r>
      <w:r w:rsidR="003335B6" w:rsidRPr="00783958">
        <w:rPr>
          <w:b/>
          <w:sz w:val="24"/>
        </w:rPr>
        <w:t xml:space="preserve">5a </w:t>
      </w:r>
      <w:r w:rsidRPr="00783958">
        <w:rPr>
          <w:sz w:val="24"/>
        </w:rPr>
        <w:t xml:space="preserve">and </w:t>
      </w:r>
      <w:r w:rsidR="003335B6" w:rsidRPr="00783958">
        <w:rPr>
          <w:b/>
          <w:sz w:val="24"/>
        </w:rPr>
        <w:t>5b</w:t>
      </w:r>
      <w:r w:rsidRPr="00783958">
        <w:rPr>
          <w:sz w:val="24"/>
        </w:rPr>
        <w:t xml:space="preserve">. Additionally, the PILs </w:t>
      </w:r>
      <w:r w:rsidR="003335B6" w:rsidRPr="00783958">
        <w:rPr>
          <w:b/>
          <w:sz w:val="24"/>
        </w:rPr>
        <w:t xml:space="preserve">5c </w:t>
      </w:r>
      <w:r w:rsidRPr="00783958">
        <w:rPr>
          <w:sz w:val="24"/>
        </w:rPr>
        <w:t xml:space="preserve">and </w:t>
      </w:r>
      <w:r w:rsidR="003335B6" w:rsidRPr="00783958">
        <w:rPr>
          <w:b/>
          <w:sz w:val="24"/>
        </w:rPr>
        <w:t>5d</w:t>
      </w:r>
      <w:r w:rsidR="003335B6" w:rsidRPr="00783958">
        <w:rPr>
          <w:sz w:val="24"/>
        </w:rPr>
        <w:t xml:space="preserve"> </w:t>
      </w:r>
      <w:r w:rsidRPr="00783958">
        <w:rPr>
          <w:sz w:val="24"/>
        </w:rPr>
        <w:t>showed slight reductions in MIC</w:t>
      </w:r>
      <w:r w:rsidR="00B55D5E" w:rsidRPr="00783958">
        <w:rPr>
          <w:sz w:val="24"/>
        </w:rPr>
        <w:t>s</w:t>
      </w:r>
      <w:r w:rsidRPr="00783958">
        <w:rPr>
          <w:sz w:val="24"/>
        </w:rPr>
        <w:t xml:space="preserve"> for </w:t>
      </w:r>
      <w:r w:rsidR="00B55D5E" w:rsidRPr="00783958">
        <w:rPr>
          <w:sz w:val="24"/>
        </w:rPr>
        <w:t>certain</w:t>
      </w:r>
      <w:r w:rsidRPr="00783958">
        <w:rPr>
          <w:sz w:val="24"/>
        </w:rPr>
        <w:t xml:space="preserve"> </w:t>
      </w:r>
      <w:r w:rsidR="00356DD0" w:rsidRPr="00783958">
        <w:rPr>
          <w:sz w:val="24"/>
        </w:rPr>
        <w:t>strains screened</w:t>
      </w:r>
      <w:r w:rsidRPr="00783958">
        <w:rPr>
          <w:sz w:val="24"/>
        </w:rPr>
        <w:t xml:space="preserve">, whereas the aprotic analogues </w:t>
      </w:r>
      <w:r w:rsidRPr="00783958">
        <w:rPr>
          <w:sz w:val="24"/>
        </w:rPr>
        <w:lastRenderedPageBreak/>
        <w:t>exhibited</w:t>
      </w:r>
      <w:r w:rsidR="00B55D5E" w:rsidRPr="00783958">
        <w:rPr>
          <w:sz w:val="24"/>
        </w:rPr>
        <w:t xml:space="preserve"> MICs at</w:t>
      </w:r>
      <w:r w:rsidRPr="00783958">
        <w:rPr>
          <w:sz w:val="24"/>
        </w:rPr>
        <w:t xml:space="preserve"> the maximum </w:t>
      </w:r>
      <w:r w:rsidR="00B55D5E" w:rsidRPr="00783958">
        <w:rPr>
          <w:sz w:val="24"/>
        </w:rPr>
        <w:t xml:space="preserve">concentration </w:t>
      </w:r>
      <w:r w:rsidRPr="00783958">
        <w:rPr>
          <w:sz w:val="24"/>
        </w:rPr>
        <w:t xml:space="preserve">screened for all strains studied. </w:t>
      </w:r>
      <w:r w:rsidR="007667F2" w:rsidRPr="00783958">
        <w:rPr>
          <w:sz w:val="24"/>
        </w:rPr>
        <w:t xml:space="preserve">While there was some variation in microtoxicity towards particular strains for these analogous AILs and PILs, there </w:t>
      </w:r>
      <w:r w:rsidR="003C7E89" w:rsidRPr="00783958">
        <w:rPr>
          <w:sz w:val="24"/>
        </w:rPr>
        <w:t xml:space="preserve">were </w:t>
      </w:r>
      <w:r w:rsidR="007667F2" w:rsidRPr="00783958">
        <w:rPr>
          <w:sz w:val="24"/>
        </w:rPr>
        <w:t xml:space="preserve">no consistent trends indicating that either class of IL can be considered to have greater microtoxicity. </w:t>
      </w:r>
    </w:p>
    <w:p w14:paraId="3915AA22" w14:textId="3525412A" w:rsidR="007C21F3" w:rsidRDefault="007C21F3" w:rsidP="0038621B">
      <w:pPr>
        <w:spacing w:line="480" w:lineRule="auto"/>
        <w:jc w:val="both"/>
      </w:pPr>
    </w:p>
    <w:p w14:paraId="64A6799E" w14:textId="670758A6" w:rsidR="007C21F3" w:rsidRPr="00783958" w:rsidRDefault="00EF0608" w:rsidP="0038621B">
      <w:pPr>
        <w:spacing w:line="480" w:lineRule="auto"/>
        <w:jc w:val="both"/>
        <w:rPr>
          <w:sz w:val="24"/>
        </w:rPr>
      </w:pPr>
      <w:r w:rsidRPr="00783958">
        <w:rPr>
          <w:sz w:val="24"/>
        </w:rPr>
        <w:t>For the ILs with the [TMEEEA], (</w:t>
      </w:r>
      <w:r w:rsidRPr="00783958">
        <w:rPr>
          <w:b/>
          <w:sz w:val="24"/>
        </w:rPr>
        <w:t>3a-d</w:t>
      </w:r>
      <w:r w:rsidRPr="00783958">
        <w:rPr>
          <w:sz w:val="24"/>
        </w:rPr>
        <w:t>), or the [DMEEEAH], (</w:t>
      </w:r>
      <w:r w:rsidRPr="00783958">
        <w:rPr>
          <w:b/>
          <w:sz w:val="24"/>
        </w:rPr>
        <w:t>6a-d</w:t>
      </w:r>
      <w:r w:rsidRPr="00783958">
        <w:rPr>
          <w:sz w:val="24"/>
        </w:rPr>
        <w:t xml:space="preserve">), cation we observed low MICs towards a number of </w:t>
      </w:r>
      <w:r w:rsidR="00261A69" w:rsidRPr="00783958">
        <w:rPr>
          <w:sz w:val="24"/>
        </w:rPr>
        <w:t>bacter</w:t>
      </w:r>
      <w:r w:rsidRPr="00783958">
        <w:rPr>
          <w:sz w:val="24"/>
        </w:rPr>
        <w:t xml:space="preserve">ial and fungal strains (Tables 4 and 6). </w:t>
      </w:r>
      <w:r w:rsidR="007C21F3" w:rsidRPr="00783958">
        <w:rPr>
          <w:sz w:val="24"/>
        </w:rPr>
        <w:t xml:space="preserve">This decrease in MICs for all ILs featuring the 2-(2-ethoxyethoxy)ethyl functional group, compared to the hydroxyl and the hydroxyl-ether functionalised ILs, supports the finding that it </w:t>
      </w:r>
      <w:r w:rsidR="006627FE" w:rsidRPr="00783958">
        <w:rPr>
          <w:sz w:val="24"/>
        </w:rPr>
        <w:t xml:space="preserve">was </w:t>
      </w:r>
      <w:r w:rsidR="007C21F3" w:rsidRPr="00783958">
        <w:rPr>
          <w:sz w:val="24"/>
        </w:rPr>
        <w:t xml:space="preserve">not simply sufficient to introduce oxygen atoms into a cation structure to reduce the microtoxicity </w:t>
      </w:r>
      <w:r w:rsidR="007C21F3" w:rsidRPr="00783958">
        <w:rPr>
          <w:sz w:val="24"/>
        </w:rPr>
        <w:fldChar w:fldCharType="begin" w:fldLock="1"/>
      </w:r>
      <w:r w:rsidR="007C21F3" w:rsidRPr="00783958">
        <w:rPr>
          <w:sz w:val="24"/>
        </w:rPr>
        <w:instrText>ADDIN CSL_CITATION { "citationItems" : [ { "id" : "ITEM-1", "itemData" : { "DOI" : "10.1039/b812809j", "ISBN" : "1463-9262", "ISSN" : "1463-9262", "abstract" : "A series of imidazolium ionic liquids was prepared and screened against 7 bacterial strains. The incorporation of ether groups into the ester side-chain significantly reduced the toxicity compared with alkyl ester derivatives. Biodegradation data are also presented for 15 of the ionic liquids - including 6 examples which can be classed as readily biodegradable.", "author" : [ { "dropping-particle" : "", "family" : "Morrissey", "given" : "Saibh", "non-dropping-particle" : "", "parse-names" : false, "suffix" : "" }, { "dropping-particle" : "", "family" : "Pegot", "given" : "Bruce", "non-dropping-particle" : "", "parse-names" : false, "suffix" : "" }, { "dropping-particle" : "", "family" : "Coleman", "given" : "Deborah", "non-dropping-particle" : "", "parse-names" : false, "suffix" : "" }, { "dropping-particle" : "", "family" : "Garcia", "given" : "M. Teresa", "non-dropping-particle" : "", "parse-names" : false, "suffix" : "" }, { "dropping-particle" : "", "family" : "Ferguson", "given" : "Damien", "non-dropping-particle" : "", "parse-names" : false, "suffix" : "" }, { "dropping-particle" : "", "family" : "Quilty", "given" : "Br\u00edd", "non-dropping-particle" : "", "parse-names" : false, "suffix" : "" }, { "dropping-particle" : "", "family" : "Gathergood", "given" : "Nicholas", "non-dropping-particle" : "", "parse-names" : false, "suffix" : "" } ], "container-title" : "Green Chemistry", "id" : "ITEM-1", "issue" : "4", "issued" : { "date-parts" : [ [ "2009" ] ] }, "page" : "475", "publisher" : "The Royal Society of Chemistry", "title" : "Biodegradable, non-bactericidal oxygen-functionalised imidazolium esters: A step towards \u2018greener\u2019 ionic liquids", "type" : "article-journal", "volume" : "11" }, "uris" : [ "http://www.mendeley.com/documents/?uuid=36eb4035-824c-39d4-a319-52c72708ae0c" ] } ], "mendeley" : { "formattedCitation" : "(Morrissey et al., 2009)", "plainTextFormattedCitation" : "(Morrissey et al., 2009)", "previouslyFormattedCitation" : "(Morrissey et al., 2009)" }, "properties" : { "noteIndex" : 0 }, "schema" : "https://github.com/citation-style-language/schema/raw/master/csl-citation.json" }</w:instrText>
      </w:r>
      <w:r w:rsidR="007C21F3" w:rsidRPr="00783958">
        <w:rPr>
          <w:sz w:val="24"/>
        </w:rPr>
        <w:fldChar w:fldCharType="separate"/>
      </w:r>
      <w:r w:rsidR="007C21F3" w:rsidRPr="00783958">
        <w:rPr>
          <w:noProof/>
          <w:sz w:val="24"/>
        </w:rPr>
        <w:t>(Morrissey et al., 2009)</w:t>
      </w:r>
      <w:r w:rsidR="007C21F3" w:rsidRPr="00783958">
        <w:rPr>
          <w:sz w:val="24"/>
        </w:rPr>
        <w:fldChar w:fldCharType="end"/>
      </w:r>
      <w:r w:rsidR="007C21F3" w:rsidRPr="00783958">
        <w:rPr>
          <w:sz w:val="24"/>
        </w:rPr>
        <w:t xml:space="preserve">. In this study, the ether functionality alone has a very minor impact on reducing the microtoxicity of alkyl functionalised ILs. While there </w:t>
      </w:r>
      <w:r w:rsidR="003C7E89" w:rsidRPr="00783958">
        <w:rPr>
          <w:sz w:val="24"/>
        </w:rPr>
        <w:t xml:space="preserve">were </w:t>
      </w:r>
      <w:r w:rsidR="007C21F3" w:rsidRPr="00783958">
        <w:rPr>
          <w:sz w:val="24"/>
        </w:rPr>
        <w:t>no ILs screened in this study with purely alkyl functional groups on the cation, a recent study on the effect of increasing the alkyl chain length of cholinium-derivative ILs highlights the significance of increased alkyl chain length on observed toxicity</w:t>
      </w:r>
      <w:r w:rsidR="005203C1">
        <w:rPr>
          <w:sz w:val="24"/>
        </w:rPr>
        <w:t xml:space="preserve"> </w:t>
      </w:r>
      <w:r w:rsidR="007C21F3" w:rsidRPr="00783958">
        <w:rPr>
          <w:sz w:val="24"/>
        </w:rPr>
        <w:fldChar w:fldCharType="begin" w:fldLock="1"/>
      </w:r>
      <w:r w:rsidR="007C21F3" w:rsidRPr="00783958">
        <w:rPr>
          <w:sz w:val="24"/>
        </w:rPr>
        <w:instrText>ADDIN CSL_CITATION { "citationItems" : [ { "id" : "ITEM-1", "itemData" : { "DOI" : "10.1016/j.ecoenv.2014.07.003", "ISBN" : "1090-2414 (Electronic)\\r0147-6513 (Linking)", "ISSN" : "10902414", "PMID" : "25108510", "abstract" : "Cholinium-based ionic liquids are receiving crescent interest in diverse areas of application given their biological compatibility and potential for industrial application. In this work, mono and dicationic cholinium ionic liquids as well as cholinium derivatives were synthesized and their toxicity assessed using the luminescent bacteria Vibrio fischeri. A range of cholinium derivatives was synthesized, using different amines and the correspondent brominated derivatives, through the alkylation of the amine with the halide in MeCN. The results indicate that their toxicity is highly dependent on the structural modifications of the cholinium cation, mainly related to the alkyl side or linkage chain length, number of hydroxyethyl groups and insertion of carbon-carbon multiple bonds. The data indicated that it is possible to perform environmentally advantageous structural alterations, namely the addition of double bonds, which would not negatively affect V. fischeri. Moreover, the dicationic compounds revealed a significantly lower toxicity than the monocationic counterparts. The picture emerging from the results supports the idea that cholinium derivatives are promising ionic liquids with a low environmental impact, emphasizing the importance of a careful and directed design of ionic liquid structures.", "author" : [ { "dropping-particle" : "", "family" : "e Silva", "given" : "Francisca A.", "non-dropping-particle" : "", "parse-names" : false, "suffix" : "" }, { "dropping-particle" : "", "family" : "Siopa", "given" : "Filipa", "non-dropping-particle" : "", "parse-names" : false, "suffix" : "" }, { "dropping-particle" : "", "family" : "Figueiredo", "given" : "Bruna F H T", "non-dropping-particle" : "", "parse-names" : false, "suffix" : "" }, { "dropping-particle" : "", "family" : "Gon\u00e7alves", "given" : "Ana M M", "non-dropping-particle" : "", "parse-names" : false, "suffix" : "" }, { "dropping-particle" : "", "family" : "Pereira", "given" : "Joana L.", "non-dropping-particle" : "", "parse-names" : false, "suffix" : "" }, { "dropping-particle" : "", "family" : "Gon\u00e7alves", "given" : "Fernando", "non-dropping-particle" : "", "parse-names" : false, "suffix" : "" }, { "dropping-particle" : "", "family" : "Coutinho", "given" : "Jo\u00e3o A P", "non-dropping-particle" : "", "parse-names" : false, "suffix" : "" }, { "dropping-particle" : "", "family" : "Afonso", "given" : "Carlos A M", "non-dropping-particle" : "", "parse-names" : false, "suffix" : "" }, { "dropping-particle" : "", "family" : "Ventura", "given" : "S\u00f3nia P M", "non-dropping-particle" : "", "parse-names" : false, "suffix" : "" } ], "container-title" : "Ecotoxicology and Environmental Safety", "id" : "ITEM-1", "issued" : { "date-parts" : [ [ "2014" ] ] }, "page" : "302-310", "title" : "Sustainable design for environment-friendly mono and dicationic cholinium-based ionic liquids", "type" : "article-journal", "volume" : "108" }, "uris" : [ "http://www.mendeley.com/documents/?uuid=56669e6b-ed46-39bf-886e-36a8db0cc8fa" ] } ], "mendeley" : { "formattedCitation" : "(e Silva et al., 2014)", "plainTextFormattedCitation" : "(e Silva et al., 2014)", "previouslyFormattedCitation" : "(e Silva et al., 2014)" }, "properties" : { "noteIndex" : 0 }, "schema" : "https://github.com/citation-style-language/schema/raw/master/csl-citation.json" }</w:instrText>
      </w:r>
      <w:r w:rsidR="007C21F3" w:rsidRPr="00783958">
        <w:rPr>
          <w:sz w:val="24"/>
        </w:rPr>
        <w:fldChar w:fldCharType="separate"/>
      </w:r>
      <w:r w:rsidR="007C21F3" w:rsidRPr="00783958">
        <w:rPr>
          <w:noProof/>
          <w:sz w:val="24"/>
        </w:rPr>
        <w:t>(e Silva et al., 2014)</w:t>
      </w:r>
      <w:r w:rsidR="007C21F3" w:rsidRPr="00783958">
        <w:rPr>
          <w:sz w:val="24"/>
        </w:rPr>
        <w:fldChar w:fldCharType="end"/>
      </w:r>
      <w:r w:rsidR="007C21F3" w:rsidRPr="00783958">
        <w:rPr>
          <w:sz w:val="24"/>
        </w:rPr>
        <w:t xml:space="preserve">. The absence of a hydroxyl terminal groups and the increased carbon content on the cation of these ILs would increase the lipophilic nature of these materials. This lipophilic structure </w:t>
      </w:r>
      <w:r w:rsidR="006627FE" w:rsidRPr="00783958">
        <w:rPr>
          <w:sz w:val="24"/>
        </w:rPr>
        <w:t xml:space="preserve">was </w:t>
      </w:r>
      <w:r w:rsidR="007C21F3" w:rsidRPr="00783958">
        <w:rPr>
          <w:sz w:val="24"/>
        </w:rPr>
        <w:t xml:space="preserve">similar to common ionic surfactants, rationalising the high antimicrobial activity observed for these molecules </w:t>
      </w:r>
      <w:r w:rsidR="007C21F3" w:rsidRPr="00783958">
        <w:rPr>
          <w:sz w:val="24"/>
        </w:rPr>
        <w:fldChar w:fldCharType="begin" w:fldLock="1"/>
      </w:r>
      <w:r w:rsidR="007C21F3" w:rsidRPr="00783958">
        <w:rPr>
          <w:sz w:val="24"/>
        </w:rPr>
        <w:instrText>ADDIN CSL_CITATION { "citationItems" : [ { "id" : "ITEM-1", "itemData" : { "DOI" : "10.1016/j.ejmech.2016.05.058", "ISSN" : "17683254", "abstract" : "In this study, we have carried out a combined experimental and computational investigation to elucidate several bred-in-the-bone ideas standing out in rational design of novel cationic surfactants as antibacterial agents. Five 3-hydroxypyridinium salts differing in the length of N-alkyl side chain have been synthesized, analyzed by high performance liquid chromatography, tested for in vitro activity against a panel of pathogenic bacterial and fungal strains, computationally modeled in water by a SCRF B3LYP/6-311++G(d,p) method, and evaluated by a systematic QSAR analysis. Given the results of this work, the hypothesis suggesting that higher positive charge of the quaternary nitrogen should increase antimicrobial efficacy can be rejected since 3-hydroxyl group does increase the positive charge on the nitrogen but, simultaneously, it significantly derogates the antimicrobial activity by lowering the lipophilicity and by escalating the desolvation energy of the compounds in comparison with non-hydroxylated analogues. Herein, the majority of the prepared 3-hydroxylated substances showed notably lower potency than the parent pyridinium structures, although compound 8 with C12 alkyl chain proved a distinctly better antimicrobial activity in submicromolar range. Focusing on this anomaly, we have made an effort to reveal the reason of the observed activity through a molecular dynamics simulation of the interaction between the bacterial membrane and compound 8 in GROMACS software.", "author" : [ { "dropping-particle" : "", "family" : "Dolezal", "given" : "Rafael", "non-dropping-particle" : "", "parse-names" : false, "suffix" : "" }, { "dropping-particle" : "", "family" : "Soukup", "given" : "Ondrej", "non-dropping-particle" : "", "parse-names" : false, "suffix" : "" }, { "dropping-particle" : "", "family" : "Malinak", "given" : "David", "non-dropping-particle" : "", "parse-names" : false, "suffix" : "" }, { "dropping-particle" : "", "family" : "Savedra", "given" : "Ranylson M L", "non-dropping-particle" : "", "parse-names" : false, "suffix" : "" }, { "dropping-particle" : "", "family" : "Marek", "given" : "Jan", "non-dropping-particle" : "", "parse-names" : false, "suffix" : "" }, { "dropping-particle" : "", "family" : "Dolezalova", "given" : "Marie", "non-dropping-particle" : "", "parse-names" : false, "suffix" : "" }, { "dropping-particle" : "", "family" : "Pasdiorova", "given" : "Marketa", "non-dropping-particle" : "", "parse-names" : false, "suffix" : "" }, { "dropping-particle" : "", "family" : "Salajkova", "given" : "Sarka", "non-dropping-particle" : "", "parse-names" : false, "suffix" : "" }, { "dropping-particle" : "", "family" : "Korabecny", "given" : "Jan", "non-dropping-particle" : "", "parse-names" : false, "suffix" : "" }, { "dropping-particle" : "", "family" : "Honegr", "given" : "Jan", "non-dropping-particle" : "", "parse-names" : false, "suffix" : "" }, { "dropping-particle" : "", "family" : "Ramalho", "given" : "Teodorico C.", "non-dropping-particle" : "", "parse-names" : false, "suffix" : "" }, { "dropping-particle" : "", "family" : "Kuca", "given" : "Kamil", "non-dropping-particle" : "", "parse-names" : false, "suffix" : "" } ], "container-title" : "European Journal of Medicinal Chemistry", "id" : "ITEM-1", "issued" : { "date-parts" : [ [ "2016" ] ] }, "page" : "699-711", "publisher" : "Elsevier Masson SAS", "title" : "Towards understanding the mechanism of action of antibacterial N-alkyl-3-hydroxypyridinium salts: Biological activities, molecular modeling and QSAR studies", "type" : "article-journal", "volume" : "121" }, "uris" : [ "http://www.mendeley.com/documents/?uuid=136cedef-1553-426a-9f87-e7cc3e82aa37" ] }, { "id" : "ITEM-2", "itemData" : { "DOI" : "10.1016/j.jab.2014.02.002", "ISSN" : "12140287", "abstract" : "Quaternary ammonium salts (chloride, bromide and iodide; QUATs) with n-alkyl chain lengths between C8 and C18 have been synthesized under optimized experimental conditions. These compounds were tested in vitro for antimicrobial activity against representative bacterial strains (Staphylococcus aureus CIP 4.83, Enterococcus hirae CIP 5855, Pseudomonas aeruginosa CIP 82118, Escherichia coli CIP 53126, Mycobacterium smegmatis CIP 7326) and fungal species (Aspergillus niger ATCC 16404, Candida albicans IP 118079, Trichophyton interdigitale IP 146583). While these compounds showed moderate antifungal activity, several of them (particularly C14-I-) may be considered as highly potential antibacterial agents against S. aureus, E. hirae and E. coli with MIC values lower than that of commercial benzalkonium chloride and ciprofloxacin used as standards. The relationship between the lipophilicity and the antibacterial activity of the tested QUATs was quantified by a multiple linear regression method.", "author" : [ { "dropping-particle" : "", "family" : "Hage", "given" : "Salom??", "non-dropping-particle" : "El", "parse-names" : false, "suffix" : "" }, { "dropping-particle" : "", "family" : "Lajoie", "given" : "Barbora", "non-dropping-particle" : "", "parse-names" : false, "suffix" : "" }, { "dropping-particle" : "", "family" : "Stigliani", "given" : "Jean Luc", "non-dropping-particle" : "", "parse-names" : false, "suffix" : "" }, { "dropping-particle" : "", "family" : "Furiga-Chusseau", "given" : "Aur??lie", "non-dropping-particle" : "", "parse-names" : false, "suffix" : "" }, { "dropping-particle" : "", "family" : "Roques", "given" : "Christine", "non-dropping-particle" : "", "parse-names" : false, "suffix" : "" }, { "dropping-particle" : "", "family" : "Baziard", "given" : "Genevi??ve", "non-dropping-particle" : "", "parse-names" : false, "suffix" : "" } ], "container-title" : "Journal of Applied Biomedicine", "id" : "ITEM-2", "issue" : "4", "issued" : { "date-parts" : [ [ "2014" ] ] }, "page" : "245-253", "title" : "Synthesis, antimicrobial activity and physico-chemical properties of some n-alkyldimethylbenzylammonium halides", "type" : "article-journal", "volume" : "12" }, "uris" : [ "http://www.mendeley.com/documents/?uuid=c06c1ac4-c988-39bb-ac0a-3dc173ba3ce6" ] } ], "mendeley" : { "formattedCitation" : "(Dolezal et al., 2016; El Hage et al., 2014)", "plainTextFormattedCitation" : "(Dolezal et al., 2016; El Hage et al., 2014)", "previouslyFormattedCitation" : "(Dolezal et al., 2016; El Hage et al., 2014)" }, "properties" : { "noteIndex" : 0 }, "schema" : "https://github.com/citation-style-language/schema/raw/master/csl-citation.json" }</w:instrText>
      </w:r>
      <w:r w:rsidR="007C21F3" w:rsidRPr="00783958">
        <w:rPr>
          <w:sz w:val="24"/>
        </w:rPr>
        <w:fldChar w:fldCharType="separate"/>
      </w:r>
      <w:r w:rsidR="007C21F3" w:rsidRPr="00783958">
        <w:rPr>
          <w:noProof/>
          <w:sz w:val="24"/>
        </w:rPr>
        <w:t>(Dolezal et al., 2016; El Hage et al., 2014)</w:t>
      </w:r>
      <w:r w:rsidR="007C21F3" w:rsidRPr="00783958">
        <w:rPr>
          <w:sz w:val="24"/>
        </w:rPr>
        <w:fldChar w:fldCharType="end"/>
      </w:r>
      <w:r w:rsidR="007C21F3" w:rsidRPr="00783958">
        <w:rPr>
          <w:sz w:val="24"/>
        </w:rPr>
        <w:t xml:space="preserve">. Additionally, the connection between lipophilicity of an IL and </w:t>
      </w:r>
      <w:r w:rsidR="006627FE" w:rsidRPr="00783958">
        <w:rPr>
          <w:sz w:val="24"/>
        </w:rPr>
        <w:t>the compounds</w:t>
      </w:r>
      <w:r w:rsidR="007C21F3" w:rsidRPr="00783958">
        <w:rPr>
          <w:sz w:val="24"/>
        </w:rPr>
        <w:t xml:space="preserve"> resultant toxicity has been shown previously </w:t>
      </w:r>
      <w:r w:rsidR="007C21F3" w:rsidRPr="00783958">
        <w:rPr>
          <w:sz w:val="24"/>
        </w:rPr>
        <w:fldChar w:fldCharType="begin" w:fldLock="1"/>
      </w:r>
      <w:r w:rsidR="007C21F3" w:rsidRPr="00783958">
        <w:rPr>
          <w:sz w:val="24"/>
        </w:rPr>
        <w:instrText>ADDIN CSL_CITATION { "citationItems" : [ { "id" : "ITEM-1", "itemData" : { "DOI" : "10.1016/j.ecoenv.2006.08.008", "ISBN" : "0147-6513", "ISSN" : "01476513", "PMID" : "17034854", "abstract" : "Regarding the great structural variability of the currently expanding group of ionic liquids, it is highly desirable to understand the basic factors affecting their toxicity in different biological systems. The present study of a set of 74 ionic liquids with imidazolium, pyrrolidinium, pyridinium, quinolinium, quaternary phosphonium and quaternary ammonium cations and the comparatively small anions Cl -, Br -, BF 4 -, or PF 6 - demonstrates the influence of the cation lipophilicity on the cytotoxicity in IPC-81 leukemia cells from rats. The scope of this correlation is limited to ionic liquids with these or similarly small anions that are sufficiently nonreactive under physiological and chromatographic conditions and whose cation lipophilicity does not exceed a certain threshold. \u00a9 2006 Elsevier Inc. All rights reserved.", "author" : [ { "dropping-particle" : "", "family" : "Ranke", "given" : "Johannes", "non-dropping-particle" : "", "parse-names" : false, "suffix" : "" }, { "dropping-particle" : "", "family" : "M\u00fcller", "given" : "Anja", "non-dropping-particle" : "", "parse-names" : false, "suffix" : "" }, { "dropping-particle" : "", "family" : "Bottin-Weber", "given" : "Ulrike", "non-dropping-particle" : "", "parse-names" : false, "suffix" : "" }, { "dropping-particle" : "", "family" : "Stock", "given" : "Frauke", "non-dropping-particle" : "", "parse-names" : false, "suffix" : "" }, { "dropping-particle" : "", "family" : "Stolte", "given" : "Stefan", "non-dropping-particle" : "", "parse-names" : false, "suffix" : "" }, { "dropping-particle" : "", "family" : "Arning", "given" : "J\u00fcrgen", "non-dropping-particle" : "", "parse-names" : false, "suffix" : "" }, { "dropping-particle" : "", "family" : "St\u00f6rmann", "given" : "Reinhold", "non-dropping-particle" : "", "parse-names" : false, "suffix" : "" }, { "dropping-particle" : "", "family" : "Jastorff", "given" : "Bernd", "non-dropping-particle" : "", "parse-names" : false, "suffix" : "" } ], "container-title" : "Ecotoxicology and Environmental Safety", "id" : "ITEM-1", "issue" : "3", "issued" : { "date-parts" : [ [ "2007" ] ] }, "page" : "430-438", "title" : "Lipophilicity parameters for ionic liquid cations and their correlation to in vitro cytotoxicity", "type" : "article-journal", "volume" : "67" }, "uris" : [ "http://www.mendeley.com/documents/?uuid=a9541e72-7b10-3687-9d9d-acc9dfe564d5" ] }, { "id" : "ITEM-2", "itemData" : { "DOI" : "10.1039/b711119c", "ISBN" : "1463-9262", "ISSN" : "1463-9262", "abstract" : "To enlarge the restricted knowledge about the hazard potentials of ionic liquids to man and the environment we have concentrated on analysing systematically the anion effect of six different anion moieties (Cl(-), BF(4)(-), (CF(3)SO(2))(2)N(-)2, (CF(3))(2)N-2, octylsulfate and bis(1,2benzenediolato) borate) and the influence of the side chain length at the cation on (eco) toxicity. For our investigations, we used the flexible (eco) toxicological test battery considering aquatical and terrestrial compartments as well as different trophic levels including enzymes (acetylcholinesterase), mammalian cells (IPC-81), luminescent marine bacteria (Vibrio fischeri), limnic unicellular green algae (Scenedesmus vacuolatus), wheat (Triticum aestivum), cress (Lepidium sativum), duckweed (Lemna minor) and a soil invertebrate (the spring tail Folsomia candida). In general, the side chain effect was found consistently in all used test systems from the molecular up to the organismic level. Such a consistent response of the different test systems could not be confirmed for the tested anion moieties. Furthermore, in most of the investigated test systems the anion effects are not as distinct as the demonstrated side chain length effect. Nevertheless, for (CF(3)SO(2))(2)N(-), a clear (eco) toxicological hazard potential is evident. Thus, the strategy to check toxicities within a flexible (eco) toxicological test battery has been proven to be effective for uncovering hazard potentials of ionic liquids.", "author" : [ { "dropping-particle" : "", "family" : "Matzke", "given" : "Marianne", "non-dropping-particle" : "", "parse-names" : false, "suffix" : "" }, { "dropping-particle" : "", "family" : "Stolte", "given" : "Stefan", "non-dropping-particle" : "", "parse-names" : false, "suffix" : "" }, { "dropping-particle" : "", "family" : "Thiele", "given" : "Karen", "non-dropping-particle" : "", "parse-names" : false, "suffix" : "" }, { "dropping-particle" : "", "family" : "Juffernholz", "given" : "Tanja", "non-dropping-particle" : "", "parse-names" : false, "suffix" : "" }, { "dropping-particle" : "", "family" : "Arning", "given" : "J\u00fcrgen Juergen J\u00fcrgen", "non-dropping-particle" : "", "parse-names" : false, "suffix" : "" }, { "dropping-particle" : "", "family" : "Ranke", "given" : "Johannes", "non-dropping-particle" : "", "parse-names" : false, "suffix" : "" }, { "dropping-particle" : "", "family" : "Welz-Biermann", "given" : "Urs", "non-dropping-particle" : "", "parse-names" : false, "suffix" : "" }, { "dropping-particle" : "", "family" : "Jastorff", "given" : "Bernd", "non-dropping-particle" : "", "parse-names" : false, "suffix" : "" }, { "dropping-particle" : "", "family" : "B\u00f6schen", "given" : "Andrea", "non-dropping-particle" : "", "parse-names" : false, "suffix" : "" }, { "dropping-particle" : "", "family" : "Pitner", "given" : "William-R.", "non-dropping-particle" : "", "parse-names" : false, "suffix" : "" }, { "dropping-particle" : "", "family" : "Matzke", "given" : "Marianne", "non-dropping-particle" : "", "parse-names" : false, "suffix" : "" }, { "dropping-particle" : "", "family" : "Arning", "given" : "J\u00fcrgen Juergen J\u00fcrgen", "non-dropping-particle" : "", "parse-names" : false, "suffix" : "" }, { "dropping-particle" : "", "family" : "B\u00f6schen", "given" : "Andrea", "non-dropping-particle" : "", "parse-names" : false, "suffix" : "" }, { "dropping-particle" : "", "family" : "Pitner", "given" : "William-R.", "non-dropping-particle" : "", "parse-names" : false, "suffix" : "" }, { "dropping-particle" : "", "family" : "Welz-Biermann", "given" : "Urs", "non-dropping-particle" : "", "parse-names" : false, "suffix" : "" }, { "dropping-particle" : "", "family" : "Jastorff", "given" : "Bernd", "non-dropping-particle" : "", "parse-names" : false, "suffix" : "" }, { "dropping-particle" : "", "family" : "Ranke", "given" : "Johannes", "non-dropping-particle" : "", "parse-names" : false, "suffix" : "" } ], "container-title" : "Green Chemistry", "id" : "ITEM-2", "issue" : "11", "issued" : { "date-parts" : [ [ "2007" ] ] }, "page" : "1170-1179", "publisher" : "The Royal Society of Chemistry", "title" : "Effects of different head groups and functionalised side chains on the aquatic toxicity of ionic liquids", "type" : "article-journal", "volume" : "9" }, "uris" : [ "http://www.mendeley.com/documents/?uuid=ae13a9c4-5406-46f3-b508-6bc4ca3e3919" ] } ], "mendeley" : { "formattedCitation" : "(Matzke et al., 2007; Ranke et al., 2007)", "plainTextFormattedCitation" : "(Matzke et al., 2007; Ranke et al., 2007)", "previouslyFormattedCitation" : "(Matzke et al., 2007; Ranke et al., 2007)" }, "properties" : { "noteIndex" : 0 }, "schema" : "https://github.com/citation-style-language/schema/raw/master/csl-citation.json" }</w:instrText>
      </w:r>
      <w:r w:rsidR="007C21F3" w:rsidRPr="00783958">
        <w:rPr>
          <w:sz w:val="24"/>
        </w:rPr>
        <w:fldChar w:fldCharType="separate"/>
      </w:r>
      <w:r w:rsidR="007C21F3" w:rsidRPr="00783958">
        <w:rPr>
          <w:noProof/>
          <w:sz w:val="24"/>
        </w:rPr>
        <w:t>(Matzke et al., 2007; Ranke et al., 2007)</w:t>
      </w:r>
      <w:r w:rsidR="007C21F3" w:rsidRPr="00783958">
        <w:rPr>
          <w:sz w:val="24"/>
        </w:rPr>
        <w:fldChar w:fldCharType="end"/>
      </w:r>
      <w:r w:rsidR="007C21F3" w:rsidRPr="00783958">
        <w:rPr>
          <w:sz w:val="24"/>
        </w:rPr>
        <w:t xml:space="preserve">. In these studies, the introduction of oxygen into the cation resulted in reducing the toxicity of the IL analogue, regardless of the oxygen containing functional group. This </w:t>
      </w:r>
      <w:r w:rsidR="006627FE" w:rsidRPr="00783958">
        <w:rPr>
          <w:sz w:val="24"/>
        </w:rPr>
        <w:t xml:space="preserve">was </w:t>
      </w:r>
      <w:r w:rsidR="007C21F3" w:rsidRPr="00783958">
        <w:rPr>
          <w:sz w:val="24"/>
        </w:rPr>
        <w:t>contrary to our results, which suggest that</w:t>
      </w:r>
      <w:r w:rsidR="00F667F5">
        <w:rPr>
          <w:sz w:val="24"/>
        </w:rPr>
        <w:t xml:space="preserve"> </w:t>
      </w:r>
      <w:r w:rsidR="00F667F5" w:rsidRPr="00F667F5">
        <w:rPr>
          <w:sz w:val="24"/>
        </w:rPr>
        <w:t xml:space="preserve">the nature of the oxygen containing functional group plays a significant role in the </w:t>
      </w:r>
      <w:r w:rsidR="00D91E5A">
        <w:rPr>
          <w:sz w:val="24"/>
        </w:rPr>
        <w:t>resulting</w:t>
      </w:r>
      <w:r w:rsidR="00F667F5" w:rsidRPr="00F667F5">
        <w:rPr>
          <w:sz w:val="24"/>
        </w:rPr>
        <w:t xml:space="preserve"> microtoxicity of the IL</w:t>
      </w:r>
      <w:r w:rsidR="00D91E5A">
        <w:rPr>
          <w:sz w:val="24"/>
        </w:rPr>
        <w:t>. T</w:t>
      </w:r>
      <w:r w:rsidR="00F667F5" w:rsidRPr="00F667F5">
        <w:rPr>
          <w:sz w:val="24"/>
        </w:rPr>
        <w:t xml:space="preserve">he presence of a hydroxyl functional group appears to have a more </w:t>
      </w:r>
      <w:r w:rsidR="00F667F5" w:rsidRPr="00F667F5">
        <w:rPr>
          <w:sz w:val="24"/>
        </w:rPr>
        <w:lastRenderedPageBreak/>
        <w:t>dominant effect on the microtoxicit</w:t>
      </w:r>
      <w:r w:rsidR="005203C1">
        <w:rPr>
          <w:sz w:val="24"/>
        </w:rPr>
        <w:t>ies</w:t>
      </w:r>
      <w:r w:rsidR="00F667F5" w:rsidRPr="00F667F5">
        <w:rPr>
          <w:sz w:val="24"/>
        </w:rPr>
        <w:t xml:space="preserve"> of the ILs in this study than the presence of an ether functional group. Further work that performs a more systematic comparison of the effects of oxygen containing functional groups is required before any generalizations can be made</w:t>
      </w:r>
      <w:r w:rsidR="007C21F3" w:rsidRPr="00783958">
        <w:rPr>
          <w:sz w:val="24"/>
        </w:rPr>
        <w:t>.</w:t>
      </w:r>
    </w:p>
    <w:p w14:paraId="0FFE8269" w14:textId="1FE0C028" w:rsidR="0055579F" w:rsidRPr="00783958" w:rsidRDefault="0055579F" w:rsidP="0055579F">
      <w:pPr>
        <w:spacing w:line="480" w:lineRule="auto"/>
        <w:jc w:val="both"/>
        <w:rPr>
          <w:rFonts w:cs="Times New Roman"/>
          <w:sz w:val="24"/>
        </w:rPr>
      </w:pPr>
      <w:r w:rsidRPr="00783958">
        <w:rPr>
          <w:sz w:val="24"/>
        </w:rPr>
        <w:t xml:space="preserve">In general, </w:t>
      </w:r>
      <w:r w:rsidR="006F19F0" w:rsidRPr="00783958">
        <w:rPr>
          <w:sz w:val="24"/>
        </w:rPr>
        <w:t>A</w:t>
      </w:r>
      <w:r w:rsidRPr="00783958">
        <w:rPr>
          <w:sz w:val="24"/>
        </w:rPr>
        <w:t xml:space="preserve">ILs with </w:t>
      </w:r>
      <w:r w:rsidR="00670CC9">
        <w:rPr>
          <w:sz w:val="24"/>
        </w:rPr>
        <w:t xml:space="preserve">cations with </w:t>
      </w:r>
      <w:r w:rsidR="006F19F0" w:rsidRPr="00783958">
        <w:rPr>
          <w:sz w:val="24"/>
        </w:rPr>
        <w:t xml:space="preserve">the 2-(2-ethoxyethoxy)ethyl functional group </w:t>
      </w:r>
      <w:r w:rsidR="006615B0">
        <w:rPr>
          <w:sz w:val="24"/>
        </w:rPr>
        <w:t>(</w:t>
      </w:r>
      <w:r w:rsidR="006615B0" w:rsidRPr="00670CC9">
        <w:rPr>
          <w:b/>
          <w:sz w:val="24"/>
        </w:rPr>
        <w:t>3</w:t>
      </w:r>
      <w:r w:rsidR="006615B0">
        <w:rPr>
          <w:sz w:val="24"/>
        </w:rPr>
        <w:t xml:space="preserve">) </w:t>
      </w:r>
      <w:r w:rsidRPr="00783958">
        <w:rPr>
          <w:sz w:val="24"/>
        </w:rPr>
        <w:t xml:space="preserve">appear to exhibit higher MICs </w:t>
      </w:r>
      <w:r w:rsidR="006F19F0" w:rsidRPr="00783958">
        <w:rPr>
          <w:sz w:val="24"/>
        </w:rPr>
        <w:t xml:space="preserve">for </w:t>
      </w:r>
      <w:r w:rsidR="004B0425" w:rsidRPr="00783958">
        <w:rPr>
          <w:sz w:val="24"/>
        </w:rPr>
        <w:t xml:space="preserve">all </w:t>
      </w:r>
      <w:r w:rsidR="006F19F0" w:rsidRPr="00783958">
        <w:rPr>
          <w:sz w:val="24"/>
        </w:rPr>
        <w:t xml:space="preserve">of the bacterial or fungal strains tested </w:t>
      </w:r>
      <w:r w:rsidRPr="00783958">
        <w:rPr>
          <w:sz w:val="24"/>
        </w:rPr>
        <w:t xml:space="preserve">in </w:t>
      </w:r>
      <w:r w:rsidR="006615B0">
        <w:rPr>
          <w:sz w:val="24"/>
        </w:rPr>
        <w:t>comparison</w:t>
      </w:r>
      <w:r w:rsidR="006615B0" w:rsidRPr="00783958">
        <w:rPr>
          <w:sz w:val="24"/>
        </w:rPr>
        <w:t xml:space="preserve"> </w:t>
      </w:r>
      <w:r w:rsidRPr="00783958">
        <w:rPr>
          <w:sz w:val="24"/>
        </w:rPr>
        <w:t>to their protic analogues</w:t>
      </w:r>
      <w:r w:rsidR="006F19F0" w:rsidRPr="00783958">
        <w:rPr>
          <w:sz w:val="24"/>
        </w:rPr>
        <w:t>.</w:t>
      </w:r>
      <w:r w:rsidRPr="00783958">
        <w:rPr>
          <w:sz w:val="24"/>
        </w:rPr>
        <w:t xml:space="preserve"> This difference in observed toxicity between AILs and PILs </w:t>
      </w:r>
      <w:r w:rsidR="006627FE" w:rsidRPr="00783958">
        <w:rPr>
          <w:sz w:val="24"/>
        </w:rPr>
        <w:t xml:space="preserve">was </w:t>
      </w:r>
      <w:r w:rsidRPr="00783958">
        <w:rPr>
          <w:sz w:val="24"/>
        </w:rPr>
        <w:t xml:space="preserve">difficult to rationalise, as there </w:t>
      </w:r>
      <w:r w:rsidR="006627FE" w:rsidRPr="00783958">
        <w:rPr>
          <w:sz w:val="24"/>
        </w:rPr>
        <w:t>we</w:t>
      </w:r>
      <w:r w:rsidRPr="00783958">
        <w:rPr>
          <w:sz w:val="24"/>
        </w:rPr>
        <w:t xml:space="preserve">re many parameters that govern physiochemical and phase toxicity. It </w:t>
      </w:r>
      <w:r w:rsidR="003C7E89" w:rsidRPr="00783958">
        <w:rPr>
          <w:sz w:val="24"/>
        </w:rPr>
        <w:t>was</w:t>
      </w:r>
      <w:r w:rsidRPr="00783958">
        <w:rPr>
          <w:sz w:val="24"/>
        </w:rPr>
        <w:t xml:space="preserve"> possible that the differences observed in MICs between these two classes of ILs </w:t>
      </w:r>
      <w:r w:rsidR="003C7E89" w:rsidRPr="00783958">
        <w:rPr>
          <w:sz w:val="24"/>
        </w:rPr>
        <w:t xml:space="preserve">were </w:t>
      </w:r>
      <w:r w:rsidRPr="00783958">
        <w:rPr>
          <w:sz w:val="24"/>
        </w:rPr>
        <w:t>due to the differences in charge contributions to the lipophilicity of the resultant IL, which as discussed above has been shown to relate to microtoxicity. This could likely be a result of the proton transfer equilibrium between the cation and anion in PILs, which will always produce some neutral</w:t>
      </w:r>
      <w:r w:rsidR="002E5924" w:rsidRPr="00783958">
        <w:rPr>
          <w:sz w:val="24"/>
        </w:rPr>
        <w:t xml:space="preserve"> </w:t>
      </w:r>
      <w:r w:rsidRPr="00783958">
        <w:rPr>
          <w:sz w:val="24"/>
        </w:rPr>
        <w:t>precursor species</w:t>
      </w:r>
      <w:r w:rsidR="006615B0">
        <w:rPr>
          <w:sz w:val="24"/>
        </w:rPr>
        <w:t xml:space="preserve"> </w:t>
      </w:r>
      <w:r w:rsidR="00C36BB5">
        <w:rPr>
          <w:sz w:val="24"/>
        </w:rPr>
        <w:fldChar w:fldCharType="begin" w:fldLock="1"/>
      </w:r>
      <w:r w:rsidR="00EE1963">
        <w:rPr>
          <w:sz w:val="24"/>
        </w:rPr>
        <w:instrText>ADDIN CSL_CITATION { "citationItems" : [ { "id" : "ITEM-1", "itemData" : { "DOI" : "10.1039/C7CP05076C", "abstract" : "Ionicity of protic ionic liquids are significantly affected by additional functionality, thereby influencing solvation properties.", "author" : [ { "dropping-particle" : "", "family" : "Reid", "given" : "Joshua E. S. J.", "non-dropping-particle" : "", "parse-names" : false, "suffix" : "" }, { "dropping-particle" : "", "family" : "Bernardes", "given" : "Carlos E. S.", "non-dropping-particle" : "", "parse-names" : false, "suffix" : "" }, { "dropping-particle" : "", "family" : "Agapito", "given" : "Filipe", "non-dropping-particle" : "", "parse-names" : false, "suffix" : "" }, { "dropping-particle" : "", "family" : "Martins", "given" : "Filomena", "non-dropping-particle" : "", "parse-names" : false, "suffix" : "" }, { "dropping-particle" : "", "family" : "Shimizu", "given" : "Seishi", "non-dropping-particle" : "", "parse-names" : false, "suffix" : "" }, { "dropping-particle" : "", "family" : "Minas da Piedade", "given" : "Manuel E.", "non-dropping-particle" : "", "parse-names" : false, "suffix" : "" }, { "dropping-particle" : "", "family" : "Walker", "given" : "Adam J.", "non-dropping-particle" : "", "parse-names" : false, "suffix" : "" } ], "container-title" : "Physical Chemistry Chemical Physics", "id" : "ITEM-1", "issue" : "41", "issued" : { "date-parts" : [ [ "2017", "10", "25" ] ] }, "page" : "28133-28138", "publisher" : "The Royal Society of Chemistry", "title" : "Structure-property relationships in protic ionic liquids: a study of solvent-solvent and solvent-solute interactions", "type" : "article-journal", "volume" : "19" }, "uris" : [ "http://www.mendeley.com/documents/?uuid=8059cb65-4216-45c3-96ac-3d4adfcc4885" ] } ], "mendeley" : { "formattedCitation" : "(Reid et al., 2017b)", "plainTextFormattedCitation" : "(Reid et al., 2017b)", "previouslyFormattedCitation" : "(Reid et al., 2017b)" }, "properties" : { "noteIndex" : 20 }, "schema" : "https://github.com/citation-style-language/schema/raw/master/csl-citation.json" }</w:instrText>
      </w:r>
      <w:r w:rsidR="00C36BB5">
        <w:rPr>
          <w:sz w:val="24"/>
        </w:rPr>
        <w:fldChar w:fldCharType="separate"/>
      </w:r>
      <w:r w:rsidR="00EE1963" w:rsidRPr="00EE1963">
        <w:rPr>
          <w:noProof/>
          <w:sz w:val="24"/>
        </w:rPr>
        <w:t>(Reid et al., 2017b)</w:t>
      </w:r>
      <w:r w:rsidR="00C36BB5">
        <w:rPr>
          <w:sz w:val="24"/>
        </w:rPr>
        <w:fldChar w:fldCharType="end"/>
      </w:r>
      <w:r w:rsidR="006615B0">
        <w:rPr>
          <w:sz w:val="24"/>
        </w:rPr>
        <w:t>.</w:t>
      </w:r>
      <w:r w:rsidRPr="00783958">
        <w:rPr>
          <w:sz w:val="24"/>
        </w:rPr>
        <w:t xml:space="preserve"> While the anion structures </w:t>
      </w:r>
      <w:r w:rsidR="009E35FA">
        <w:rPr>
          <w:sz w:val="24"/>
        </w:rPr>
        <w:t xml:space="preserve">of the APILs and PILs </w:t>
      </w:r>
      <w:r w:rsidRPr="00783958">
        <w:rPr>
          <w:sz w:val="24"/>
        </w:rPr>
        <w:t xml:space="preserve">will appear identical as drawn in </w:t>
      </w:r>
      <w:r w:rsidR="00115DB8" w:rsidRPr="00783958">
        <w:rPr>
          <w:sz w:val="24"/>
        </w:rPr>
        <w:t>T</w:t>
      </w:r>
      <w:r w:rsidRPr="00783958">
        <w:rPr>
          <w:sz w:val="24"/>
        </w:rPr>
        <w:t xml:space="preserve">able 1, the dynamic equilibria associated with the </w:t>
      </w:r>
      <w:r w:rsidR="00DA3DA9">
        <w:rPr>
          <w:sz w:val="24"/>
        </w:rPr>
        <w:t xml:space="preserve">ionic nature </w:t>
      </w:r>
      <w:r w:rsidRPr="00783958">
        <w:rPr>
          <w:sz w:val="24"/>
        </w:rPr>
        <w:t xml:space="preserve">of PILs results in a significant difference in the chemistry of these two classes of ILs, particularly in aqueous systems such as </w:t>
      </w:r>
      <w:r w:rsidR="009E35FA">
        <w:rPr>
          <w:sz w:val="24"/>
        </w:rPr>
        <w:t xml:space="preserve">is </w:t>
      </w:r>
      <w:r w:rsidRPr="00783958">
        <w:rPr>
          <w:sz w:val="24"/>
        </w:rPr>
        <w:t xml:space="preserve">used in the antimicrobial </w:t>
      </w:r>
      <w:r w:rsidR="00304E47" w:rsidRPr="00783958">
        <w:rPr>
          <w:sz w:val="24"/>
        </w:rPr>
        <w:t xml:space="preserve">activity </w:t>
      </w:r>
      <w:r w:rsidRPr="00783958">
        <w:rPr>
          <w:sz w:val="24"/>
        </w:rPr>
        <w:t xml:space="preserve">screening. The proton equilibrium </w:t>
      </w:r>
      <w:r w:rsidR="006627FE" w:rsidRPr="00783958">
        <w:rPr>
          <w:sz w:val="24"/>
        </w:rPr>
        <w:t xml:space="preserve">was </w:t>
      </w:r>
      <w:r w:rsidRPr="00783958">
        <w:rPr>
          <w:sz w:val="24"/>
        </w:rPr>
        <w:t xml:space="preserve">particularly important, as the ILs </w:t>
      </w:r>
      <w:r w:rsidR="006627FE" w:rsidRPr="00783958">
        <w:rPr>
          <w:sz w:val="24"/>
        </w:rPr>
        <w:t>we</w:t>
      </w:r>
      <w:r w:rsidRPr="00783958">
        <w:rPr>
          <w:sz w:val="24"/>
        </w:rPr>
        <w:t xml:space="preserve">re screened in dilute aqueous buffer solutions, meaning that the PIL ions </w:t>
      </w:r>
      <w:r w:rsidR="006627FE" w:rsidRPr="00783958">
        <w:rPr>
          <w:sz w:val="24"/>
        </w:rPr>
        <w:t>we</w:t>
      </w:r>
      <w:r w:rsidRPr="00783958">
        <w:rPr>
          <w:sz w:val="24"/>
        </w:rPr>
        <w:t>re also in equilibrium with water</w:t>
      </w:r>
      <w:r w:rsidR="009E35FA">
        <w:rPr>
          <w:sz w:val="24"/>
        </w:rPr>
        <w:t xml:space="preserve"> </w:t>
      </w:r>
      <w:r w:rsidR="004B0425" w:rsidRPr="00783958">
        <w:rPr>
          <w:sz w:val="24"/>
        </w:rPr>
        <w:fldChar w:fldCharType="begin" w:fldLock="1"/>
      </w:r>
      <w:r w:rsidR="00EE1963">
        <w:rPr>
          <w:sz w:val="24"/>
        </w:rPr>
        <w:instrText>ADDIN CSL_CITATION { "citationItems" : [ { "id" : "ITEM-1", "itemData" : { "DOI" : "10.1021/acs.jpcb.6b10562", "ISSN" : "1520-6106", "abstract" : "The sensitivity of ionic liquids (ILs) to water affects their physical and chemical properties, even at relatively low concentrations, yet the structural thermodynamics of protic IL\u2013 (PIL\u2212) water systems at low water concentrations still remains unclear. Using the rigorous Kirkwood\u2013Buff theory of solutions, which can quantify the interactions between species in IL\u2013water systems solely from thermodynamic data, we have shown the following: (1) Between analogous protic and aprotic ILs (AILs), the AIL cholinium bis(trifluoromethanesulfonyl)imide ([Ch][NTf2]) shows stronger interactions with water at low water concentrations, with the analogous PIL N,N-dimethylethanolammonium bis(trifluoromethanesulfonyl)imide ([DMEtA][NTf2]) having stronger water\u2013ion interactions at higher water contents, despite water\u2013ion interactions weakening with increasing water content in both systems. (2) Water has little effect on the average ion\u2013ion interactions in both protic and aprotic ILs, aside from the AIL [Ch][NTf2], which sho...", "author" : [ { "dropping-particle" : "", "family" : "Reid", "given" : "Joshua E. S. J.", "non-dropping-particle" : "", "parse-names" : false, "suffix" : "" }, { "dropping-particle" : "", "family" : "Gammons", "given" : "Richard J.", "non-dropping-particle" : "", "parse-names" : false, "suffix" : "" }, { "dropping-particle" : "", "family" : "Slattery", "given" : "John M.", "non-dropping-particle" : "", "parse-names" : false, "suffix" : "" }, { "dropping-particle" : "", "family" : "Walker", "given" : "Adam J.", "non-dropping-particle" : "", "parse-names" : false, "suffix" : "" }, { "dropping-particle" : "", "family" : "Shimizu", "given" : "Seishi", "non-dropping-particle" : "", "parse-names" : false, "suffix" : "" } ], "container-title" : "The Journal of Physical Chemistry B", "id" : "ITEM-1", "issue" : "3", "issued" : { "date-parts" : [ [ "2017", "1", "26" ] ] }, "page" : "599-609", "publisher" : "American Chemical Society", "title" : "Interactions in Water\u2013Ionic Liquid Mixtures: Comparing Protic and Aprotic Systems", "type" : "article-journal", "volume" : "121" }, "uris" : [ "http://www.mendeley.com/documents/?uuid=57304b44-7dda-341b-9b29-ddd75b5e7cc1" ] } ], "mendeley" : { "formattedCitation" : "(Reid et al., 2017c)", "plainTextFormattedCitation" : "(Reid et al., 2017c)", "previouslyFormattedCitation" : "(Reid et al., 2017c)" }, "properties" : { "noteIndex" : 0 }, "schema" : "https://github.com/citation-style-language/schema/raw/master/csl-citation.json" }</w:instrText>
      </w:r>
      <w:r w:rsidR="004B0425" w:rsidRPr="00783958">
        <w:rPr>
          <w:sz w:val="24"/>
        </w:rPr>
        <w:fldChar w:fldCharType="separate"/>
      </w:r>
      <w:r w:rsidR="00EE1963" w:rsidRPr="00EE1963">
        <w:rPr>
          <w:noProof/>
          <w:sz w:val="24"/>
        </w:rPr>
        <w:t>(Reid et al., 2017c)</w:t>
      </w:r>
      <w:r w:rsidR="004B0425" w:rsidRPr="00783958">
        <w:rPr>
          <w:sz w:val="24"/>
        </w:rPr>
        <w:fldChar w:fldCharType="end"/>
      </w:r>
      <w:r w:rsidR="009E35FA">
        <w:rPr>
          <w:sz w:val="24"/>
        </w:rPr>
        <w:t>.</w:t>
      </w:r>
    </w:p>
    <w:p w14:paraId="35763205" w14:textId="77777777" w:rsidR="00EF0608" w:rsidRDefault="00EF0608" w:rsidP="0038621B">
      <w:pPr>
        <w:spacing w:line="480" w:lineRule="auto"/>
        <w:jc w:val="both"/>
      </w:pPr>
    </w:p>
    <w:p w14:paraId="0AA88640" w14:textId="1DF66CA7" w:rsidR="00A312D7" w:rsidRPr="00783958" w:rsidRDefault="0055579F" w:rsidP="00EF0608">
      <w:pPr>
        <w:spacing w:line="480" w:lineRule="auto"/>
        <w:jc w:val="both"/>
        <w:rPr>
          <w:rFonts w:asciiTheme="majorHAnsi" w:hAnsiTheme="majorHAnsi" w:cstheme="majorHAnsi"/>
          <w:sz w:val="24"/>
        </w:rPr>
      </w:pPr>
      <w:r w:rsidRPr="00783958">
        <w:rPr>
          <w:sz w:val="24"/>
        </w:rPr>
        <w:t xml:space="preserve">The effect of varying the </w:t>
      </w:r>
      <w:r w:rsidR="00CD69EF" w:rsidRPr="00783958">
        <w:rPr>
          <w:sz w:val="24"/>
        </w:rPr>
        <w:t xml:space="preserve">IL </w:t>
      </w:r>
      <w:r w:rsidRPr="00783958">
        <w:rPr>
          <w:sz w:val="24"/>
        </w:rPr>
        <w:t xml:space="preserve">anion structure on </w:t>
      </w:r>
      <w:r w:rsidR="00CD69EF" w:rsidRPr="00783958">
        <w:rPr>
          <w:sz w:val="24"/>
        </w:rPr>
        <w:t>IL</w:t>
      </w:r>
      <w:r w:rsidRPr="00783958">
        <w:rPr>
          <w:sz w:val="24"/>
        </w:rPr>
        <w:t xml:space="preserve"> microtoxicity appears to be more subtle than the </w:t>
      </w:r>
      <w:r w:rsidR="00CD69EF" w:rsidRPr="00783958">
        <w:rPr>
          <w:sz w:val="24"/>
        </w:rPr>
        <w:t>effect of varying the IL</w:t>
      </w:r>
      <w:r w:rsidRPr="00783958">
        <w:rPr>
          <w:sz w:val="24"/>
        </w:rPr>
        <w:t xml:space="preserve"> cation structure. For the AILs </w:t>
      </w:r>
      <w:r w:rsidRPr="00783958">
        <w:rPr>
          <w:b/>
          <w:sz w:val="24"/>
        </w:rPr>
        <w:t xml:space="preserve">1a-2d </w:t>
      </w:r>
      <w:r w:rsidRPr="00783958">
        <w:rPr>
          <w:sz w:val="24"/>
        </w:rPr>
        <w:t xml:space="preserve">and PILs </w:t>
      </w:r>
      <w:r w:rsidRPr="00783958">
        <w:rPr>
          <w:b/>
          <w:sz w:val="24"/>
        </w:rPr>
        <w:t>4a-5d</w:t>
      </w:r>
      <w:r w:rsidRPr="00783958">
        <w:rPr>
          <w:sz w:val="24"/>
        </w:rPr>
        <w:t>, there</w:t>
      </w:r>
      <w:r w:rsidR="00CD69EF" w:rsidRPr="00783958">
        <w:rPr>
          <w:sz w:val="24"/>
        </w:rPr>
        <w:t xml:space="preserve"> </w:t>
      </w:r>
      <w:r w:rsidR="002E5924" w:rsidRPr="00783958">
        <w:rPr>
          <w:sz w:val="24"/>
        </w:rPr>
        <w:t>were</w:t>
      </w:r>
      <w:r w:rsidRPr="00783958">
        <w:rPr>
          <w:sz w:val="24"/>
        </w:rPr>
        <w:t xml:space="preserve"> no consistent trends in variation of either antibacterial or antifungal activity with variation of anion structure. </w:t>
      </w:r>
      <w:r w:rsidR="001C047B" w:rsidRPr="00783958">
        <w:rPr>
          <w:sz w:val="24"/>
        </w:rPr>
        <w:t>This alone would suggest that none of the four anions studied significant</w:t>
      </w:r>
      <w:r w:rsidR="002E5924" w:rsidRPr="00783958">
        <w:rPr>
          <w:sz w:val="24"/>
        </w:rPr>
        <w:t>ly</w:t>
      </w:r>
      <w:r w:rsidR="001C047B" w:rsidRPr="00783958">
        <w:rPr>
          <w:sz w:val="24"/>
        </w:rPr>
        <w:t xml:space="preserve"> contribut</w:t>
      </w:r>
      <w:r w:rsidR="00CD69EF" w:rsidRPr="00783958">
        <w:rPr>
          <w:sz w:val="24"/>
        </w:rPr>
        <w:t>ed</w:t>
      </w:r>
      <w:r w:rsidR="001C047B" w:rsidRPr="00783958">
        <w:rPr>
          <w:sz w:val="24"/>
        </w:rPr>
        <w:t xml:space="preserve"> to the antimicrobial activity of </w:t>
      </w:r>
      <w:r w:rsidR="00CD69EF" w:rsidRPr="00783958">
        <w:rPr>
          <w:sz w:val="24"/>
        </w:rPr>
        <w:t>the</w:t>
      </w:r>
      <w:r w:rsidR="001C047B" w:rsidRPr="00783958">
        <w:rPr>
          <w:sz w:val="24"/>
        </w:rPr>
        <w:t xml:space="preserve"> IL. </w:t>
      </w:r>
      <w:r w:rsidRPr="00783958">
        <w:rPr>
          <w:sz w:val="24"/>
        </w:rPr>
        <w:t xml:space="preserve">For the AILs </w:t>
      </w:r>
      <w:r w:rsidRPr="00783958">
        <w:rPr>
          <w:b/>
          <w:sz w:val="24"/>
        </w:rPr>
        <w:t>3a-d</w:t>
      </w:r>
      <w:r w:rsidRPr="00783958">
        <w:rPr>
          <w:sz w:val="24"/>
        </w:rPr>
        <w:t xml:space="preserve"> and PILs </w:t>
      </w:r>
      <w:r w:rsidRPr="00783958">
        <w:rPr>
          <w:b/>
          <w:sz w:val="24"/>
        </w:rPr>
        <w:t>6a-d</w:t>
      </w:r>
      <w:r w:rsidRPr="00783958">
        <w:rPr>
          <w:sz w:val="24"/>
        </w:rPr>
        <w:t xml:space="preserve"> we actually observe</w:t>
      </w:r>
      <w:r w:rsidR="00CD69EF" w:rsidRPr="00783958">
        <w:rPr>
          <w:sz w:val="24"/>
        </w:rPr>
        <w:t>d</w:t>
      </w:r>
      <w:r w:rsidRPr="00783958">
        <w:rPr>
          <w:sz w:val="24"/>
        </w:rPr>
        <w:t xml:space="preserve"> </w:t>
      </w:r>
      <w:r w:rsidR="001D1696" w:rsidRPr="00783958">
        <w:rPr>
          <w:sz w:val="24"/>
        </w:rPr>
        <w:t>different</w:t>
      </w:r>
      <w:r w:rsidR="0043059E" w:rsidRPr="00783958">
        <w:rPr>
          <w:sz w:val="24"/>
        </w:rPr>
        <w:t xml:space="preserve"> trend</w:t>
      </w:r>
      <w:r w:rsidR="001D1696" w:rsidRPr="00783958">
        <w:rPr>
          <w:sz w:val="24"/>
        </w:rPr>
        <w:t>s</w:t>
      </w:r>
      <w:r w:rsidR="0043059E" w:rsidRPr="00783958">
        <w:rPr>
          <w:sz w:val="24"/>
        </w:rPr>
        <w:t xml:space="preserve"> between anion structure and microtoxicity</w:t>
      </w:r>
      <w:r w:rsidR="003C4B86">
        <w:rPr>
          <w:sz w:val="24"/>
        </w:rPr>
        <w:t>.</w:t>
      </w:r>
      <w:r w:rsidR="0043059E" w:rsidRPr="00783958">
        <w:rPr>
          <w:sz w:val="24"/>
        </w:rPr>
        <w:t xml:space="preserve"> </w:t>
      </w:r>
      <w:r w:rsidR="001D1696" w:rsidRPr="00783958">
        <w:rPr>
          <w:sz w:val="24"/>
        </w:rPr>
        <w:t xml:space="preserve">The </w:t>
      </w:r>
      <w:r w:rsidR="001D1696" w:rsidRPr="00783958">
        <w:rPr>
          <w:sz w:val="24"/>
        </w:rPr>
        <w:lastRenderedPageBreak/>
        <w:t xml:space="preserve">trend of increasing AIL toxicity follows [EtOPr] &lt; [Md] &lt; [OAc] </w:t>
      </w:r>
      <w:r w:rsidR="001D1696" w:rsidRPr="00783958">
        <w:rPr>
          <w:rFonts w:asciiTheme="majorHAnsi" w:hAnsiTheme="majorHAnsi" w:cstheme="majorHAnsi"/>
          <w:sz w:val="24"/>
        </w:rPr>
        <w:t>≈ [Hx], while for PILs the trend follow</w:t>
      </w:r>
      <w:r w:rsidR="00CD69EF" w:rsidRPr="00783958">
        <w:rPr>
          <w:rFonts w:asciiTheme="majorHAnsi" w:hAnsiTheme="majorHAnsi" w:cstheme="majorHAnsi"/>
          <w:sz w:val="24"/>
        </w:rPr>
        <w:t>ed</w:t>
      </w:r>
      <w:r w:rsidR="001D1696" w:rsidRPr="00783958">
        <w:rPr>
          <w:rFonts w:asciiTheme="majorHAnsi" w:hAnsiTheme="majorHAnsi" w:cstheme="majorHAnsi"/>
          <w:sz w:val="24"/>
        </w:rPr>
        <w:t xml:space="preserve"> [OAc] ≈ [Hx] &lt; [EtOPr] &lt; [Md]. </w:t>
      </w:r>
      <w:r w:rsidR="00A312D7" w:rsidRPr="00783958">
        <w:rPr>
          <w:rFonts w:asciiTheme="majorHAnsi" w:hAnsiTheme="majorHAnsi" w:cstheme="majorHAnsi"/>
          <w:sz w:val="24"/>
        </w:rPr>
        <w:t xml:space="preserve">The cause for this difference </w:t>
      </w:r>
      <w:r w:rsidR="006627FE" w:rsidRPr="00783958">
        <w:rPr>
          <w:rFonts w:asciiTheme="majorHAnsi" w:hAnsiTheme="majorHAnsi" w:cstheme="majorHAnsi"/>
          <w:sz w:val="24"/>
        </w:rPr>
        <w:t xml:space="preserve">was </w:t>
      </w:r>
      <w:r w:rsidR="00A312D7" w:rsidRPr="00783958">
        <w:rPr>
          <w:rFonts w:asciiTheme="majorHAnsi" w:hAnsiTheme="majorHAnsi" w:cstheme="majorHAnsi"/>
          <w:sz w:val="24"/>
        </w:rPr>
        <w:t xml:space="preserve">most likely a result of the dynamic proton equilibrium between species in </w:t>
      </w:r>
      <w:r w:rsidR="00CD69EF" w:rsidRPr="00783958">
        <w:rPr>
          <w:rFonts w:asciiTheme="majorHAnsi" w:hAnsiTheme="majorHAnsi" w:cstheme="majorHAnsi"/>
          <w:sz w:val="24"/>
        </w:rPr>
        <w:t xml:space="preserve">the </w:t>
      </w:r>
      <w:r w:rsidR="00A312D7" w:rsidRPr="00783958">
        <w:rPr>
          <w:rFonts w:asciiTheme="majorHAnsi" w:hAnsiTheme="majorHAnsi" w:cstheme="majorHAnsi"/>
          <w:sz w:val="24"/>
        </w:rPr>
        <w:t xml:space="preserve">neat PILs, as well as in </w:t>
      </w:r>
      <w:r w:rsidR="00CD69EF" w:rsidRPr="00783958">
        <w:rPr>
          <w:rFonts w:asciiTheme="majorHAnsi" w:hAnsiTheme="majorHAnsi" w:cstheme="majorHAnsi"/>
          <w:sz w:val="24"/>
        </w:rPr>
        <w:t xml:space="preserve">the </w:t>
      </w:r>
      <w:r w:rsidR="00A312D7" w:rsidRPr="00783958">
        <w:rPr>
          <w:rFonts w:asciiTheme="majorHAnsi" w:hAnsiTheme="majorHAnsi" w:cstheme="majorHAnsi"/>
          <w:sz w:val="24"/>
        </w:rPr>
        <w:t xml:space="preserve">dilute aqueous buffer systems as discussed above. </w:t>
      </w:r>
      <w:r w:rsidR="001D1696" w:rsidRPr="00783958">
        <w:rPr>
          <w:rFonts w:asciiTheme="majorHAnsi" w:hAnsiTheme="majorHAnsi" w:cstheme="majorHAnsi"/>
          <w:sz w:val="24"/>
        </w:rPr>
        <w:t xml:space="preserve">This difference in trends with anion structure suggests that the nature of the </w:t>
      </w:r>
      <w:r w:rsidR="00CD69EF" w:rsidRPr="00783958">
        <w:rPr>
          <w:rFonts w:asciiTheme="majorHAnsi" w:hAnsiTheme="majorHAnsi" w:cstheme="majorHAnsi"/>
          <w:sz w:val="24"/>
        </w:rPr>
        <w:t>IL</w:t>
      </w:r>
      <w:r w:rsidR="003C4B86">
        <w:rPr>
          <w:rFonts w:asciiTheme="majorHAnsi" w:hAnsiTheme="majorHAnsi" w:cstheme="majorHAnsi"/>
          <w:sz w:val="24"/>
        </w:rPr>
        <w:t>,</w:t>
      </w:r>
      <w:r w:rsidR="001D1696" w:rsidRPr="00783958">
        <w:rPr>
          <w:rFonts w:asciiTheme="majorHAnsi" w:hAnsiTheme="majorHAnsi" w:cstheme="majorHAnsi"/>
          <w:sz w:val="24"/>
        </w:rPr>
        <w:t xml:space="preserve"> i.e. whether it </w:t>
      </w:r>
      <w:r w:rsidR="006627FE" w:rsidRPr="00783958">
        <w:rPr>
          <w:rFonts w:asciiTheme="majorHAnsi" w:hAnsiTheme="majorHAnsi" w:cstheme="majorHAnsi"/>
          <w:sz w:val="24"/>
        </w:rPr>
        <w:t xml:space="preserve">was </w:t>
      </w:r>
      <w:r w:rsidR="001D1696" w:rsidRPr="00783958">
        <w:rPr>
          <w:rFonts w:asciiTheme="majorHAnsi" w:hAnsiTheme="majorHAnsi" w:cstheme="majorHAnsi"/>
          <w:sz w:val="24"/>
        </w:rPr>
        <w:t>an AIL or a PIL, can</w:t>
      </w:r>
      <w:r w:rsidR="00730312" w:rsidRPr="00783958">
        <w:rPr>
          <w:rFonts w:asciiTheme="majorHAnsi" w:hAnsiTheme="majorHAnsi" w:cstheme="majorHAnsi"/>
          <w:sz w:val="24"/>
        </w:rPr>
        <w:t xml:space="preserve"> have a minor</w:t>
      </w:r>
      <w:r w:rsidR="001D1696" w:rsidRPr="00783958">
        <w:rPr>
          <w:rFonts w:asciiTheme="majorHAnsi" w:hAnsiTheme="majorHAnsi" w:cstheme="majorHAnsi"/>
          <w:sz w:val="24"/>
        </w:rPr>
        <w:t xml:space="preserve"> influence </w:t>
      </w:r>
      <w:r w:rsidR="00730312" w:rsidRPr="00783958">
        <w:rPr>
          <w:rFonts w:asciiTheme="majorHAnsi" w:hAnsiTheme="majorHAnsi" w:cstheme="majorHAnsi"/>
          <w:sz w:val="24"/>
        </w:rPr>
        <w:t xml:space="preserve">on </w:t>
      </w:r>
      <w:r w:rsidR="001D1696" w:rsidRPr="00783958">
        <w:rPr>
          <w:rFonts w:asciiTheme="majorHAnsi" w:hAnsiTheme="majorHAnsi" w:cstheme="majorHAnsi"/>
          <w:sz w:val="24"/>
        </w:rPr>
        <w:t xml:space="preserve">the microtoxicity of an IL. </w:t>
      </w:r>
    </w:p>
    <w:p w14:paraId="01BBD9A5" w14:textId="77777777" w:rsidR="001266F2" w:rsidRDefault="001266F2" w:rsidP="00EF0608">
      <w:pPr>
        <w:spacing w:line="480" w:lineRule="auto"/>
        <w:jc w:val="both"/>
        <w:rPr>
          <w:rFonts w:asciiTheme="majorHAnsi" w:hAnsiTheme="majorHAnsi" w:cstheme="majorHAnsi"/>
        </w:rPr>
      </w:pPr>
    </w:p>
    <w:p w14:paraId="3D567417" w14:textId="3073AA92" w:rsidR="00036654" w:rsidRDefault="00A312D7">
      <w:pPr>
        <w:spacing w:line="480" w:lineRule="auto"/>
        <w:jc w:val="both"/>
        <w:rPr>
          <w:rFonts w:asciiTheme="majorHAnsi" w:hAnsiTheme="majorHAnsi" w:cstheme="majorHAnsi"/>
          <w:sz w:val="24"/>
        </w:rPr>
      </w:pPr>
      <w:r w:rsidRPr="00783958">
        <w:rPr>
          <w:rFonts w:asciiTheme="majorHAnsi" w:hAnsiTheme="majorHAnsi" w:cstheme="majorHAnsi"/>
          <w:sz w:val="24"/>
        </w:rPr>
        <w:t xml:space="preserve">Despite these minor trends in antimicrobial activity of the ILs in relation to their anion, the absolute microtoxicities for each IL with the same cation </w:t>
      </w:r>
      <w:r w:rsidR="002E5924" w:rsidRPr="00783958">
        <w:rPr>
          <w:rFonts w:asciiTheme="majorHAnsi" w:hAnsiTheme="majorHAnsi" w:cstheme="majorHAnsi"/>
          <w:sz w:val="24"/>
        </w:rPr>
        <w:t xml:space="preserve">functionality </w:t>
      </w:r>
      <w:r w:rsidR="003C7E89" w:rsidRPr="00783958">
        <w:rPr>
          <w:rFonts w:asciiTheme="majorHAnsi" w:hAnsiTheme="majorHAnsi" w:cstheme="majorHAnsi"/>
          <w:sz w:val="24"/>
        </w:rPr>
        <w:t xml:space="preserve">were </w:t>
      </w:r>
      <w:r w:rsidRPr="00783958">
        <w:rPr>
          <w:rFonts w:asciiTheme="majorHAnsi" w:hAnsiTheme="majorHAnsi" w:cstheme="majorHAnsi"/>
          <w:sz w:val="24"/>
        </w:rPr>
        <w:t xml:space="preserve">found to be fairly comparable. This suggests that the variation of anion structure </w:t>
      </w:r>
      <w:r w:rsidR="006627FE" w:rsidRPr="00783958">
        <w:rPr>
          <w:rFonts w:asciiTheme="majorHAnsi" w:hAnsiTheme="majorHAnsi" w:cstheme="majorHAnsi"/>
          <w:sz w:val="24"/>
        </w:rPr>
        <w:t xml:space="preserve">was </w:t>
      </w:r>
      <w:r w:rsidR="001B58AA" w:rsidRPr="00783958">
        <w:rPr>
          <w:rFonts w:asciiTheme="majorHAnsi" w:hAnsiTheme="majorHAnsi" w:cstheme="majorHAnsi"/>
          <w:sz w:val="24"/>
        </w:rPr>
        <w:t xml:space="preserve">not at the detriment of IL microtoxicity. </w:t>
      </w:r>
      <w:r w:rsidR="00730312" w:rsidRPr="00783958">
        <w:rPr>
          <w:sz w:val="24"/>
        </w:rPr>
        <w:t xml:space="preserve">Considering </w:t>
      </w:r>
      <w:r w:rsidR="0055579F" w:rsidRPr="00783958">
        <w:rPr>
          <w:sz w:val="24"/>
        </w:rPr>
        <w:t xml:space="preserve">ILs with the [Hx] or [EtOPr] anion, which </w:t>
      </w:r>
      <w:r w:rsidR="006627FE" w:rsidRPr="00783958">
        <w:rPr>
          <w:sz w:val="24"/>
        </w:rPr>
        <w:t>we</w:t>
      </w:r>
      <w:r w:rsidR="0055579F" w:rsidRPr="00783958">
        <w:rPr>
          <w:sz w:val="24"/>
        </w:rPr>
        <w:t xml:space="preserve">re alkyl and ether functional analogues of one another, </w:t>
      </w:r>
      <w:r w:rsidR="001B58AA" w:rsidRPr="00783958">
        <w:rPr>
          <w:sz w:val="24"/>
        </w:rPr>
        <w:t xml:space="preserve">no consistent trend </w:t>
      </w:r>
      <w:r w:rsidR="00F617FA" w:rsidRPr="00783958">
        <w:rPr>
          <w:sz w:val="24"/>
        </w:rPr>
        <w:t>was observed,</w:t>
      </w:r>
      <w:r w:rsidR="001B58AA" w:rsidRPr="00783958">
        <w:rPr>
          <w:sz w:val="24"/>
        </w:rPr>
        <w:t xml:space="preserve"> indicat</w:t>
      </w:r>
      <w:r w:rsidR="00F617FA" w:rsidRPr="00783958">
        <w:rPr>
          <w:sz w:val="24"/>
        </w:rPr>
        <w:t>ing</w:t>
      </w:r>
      <w:r w:rsidR="001B58AA" w:rsidRPr="00783958">
        <w:rPr>
          <w:sz w:val="24"/>
        </w:rPr>
        <w:t xml:space="preserve"> </w:t>
      </w:r>
      <w:r w:rsidR="0055579F" w:rsidRPr="00783958">
        <w:rPr>
          <w:sz w:val="24"/>
        </w:rPr>
        <w:t xml:space="preserve">that simply including additional oxygen atoms into the molecular structure of an </w:t>
      </w:r>
      <w:r w:rsidR="001B58AA" w:rsidRPr="00783958">
        <w:rPr>
          <w:sz w:val="24"/>
        </w:rPr>
        <w:t xml:space="preserve">IL </w:t>
      </w:r>
      <w:r w:rsidR="006627FE" w:rsidRPr="00783958">
        <w:rPr>
          <w:sz w:val="24"/>
        </w:rPr>
        <w:t>wa</w:t>
      </w:r>
      <w:r w:rsidR="00F617FA" w:rsidRPr="00783958">
        <w:rPr>
          <w:sz w:val="24"/>
        </w:rPr>
        <w:t xml:space="preserve">s not sufficient to </w:t>
      </w:r>
      <w:r w:rsidR="001B58AA" w:rsidRPr="00783958">
        <w:rPr>
          <w:sz w:val="24"/>
        </w:rPr>
        <w:t>reduce</w:t>
      </w:r>
      <w:r w:rsidR="00F617FA" w:rsidRPr="00783958">
        <w:rPr>
          <w:sz w:val="24"/>
        </w:rPr>
        <w:t xml:space="preserve"> IL</w:t>
      </w:r>
      <w:r w:rsidR="0055579F" w:rsidRPr="00783958">
        <w:rPr>
          <w:sz w:val="24"/>
        </w:rPr>
        <w:t xml:space="preserve"> microtoxicity. </w:t>
      </w:r>
      <w:bookmarkStart w:id="7" w:name="_GoBack"/>
      <w:bookmarkEnd w:id="7"/>
      <w:r w:rsidR="00EF0608" w:rsidRPr="00783958">
        <w:rPr>
          <w:sz w:val="24"/>
        </w:rPr>
        <w:t xml:space="preserve">While there </w:t>
      </w:r>
      <w:r w:rsidR="006627FE" w:rsidRPr="00783958">
        <w:rPr>
          <w:sz w:val="24"/>
        </w:rPr>
        <w:t>we</w:t>
      </w:r>
      <w:r w:rsidR="00EF0608" w:rsidRPr="00783958">
        <w:rPr>
          <w:sz w:val="24"/>
        </w:rPr>
        <w:t xml:space="preserve">re more ILs with the [EtOPr] anion than the [Hx] anion that </w:t>
      </w:r>
      <w:r w:rsidR="0052334B" w:rsidRPr="00783958">
        <w:rPr>
          <w:sz w:val="24"/>
        </w:rPr>
        <w:t>ha</w:t>
      </w:r>
      <w:r w:rsidR="0052334B">
        <w:rPr>
          <w:sz w:val="24"/>
        </w:rPr>
        <w:t>d</w:t>
      </w:r>
      <w:r w:rsidR="0052334B" w:rsidRPr="00783958">
        <w:rPr>
          <w:sz w:val="24"/>
        </w:rPr>
        <w:t xml:space="preserve"> </w:t>
      </w:r>
      <w:r w:rsidR="00EF0608" w:rsidRPr="00783958">
        <w:rPr>
          <w:sz w:val="24"/>
        </w:rPr>
        <w:t>an MIC greater than the maximum screening concentration when combining the results of the bacterial and fungal toxicity screening, the lowest observed MICs in this study were that of the PIL [DMEEEAH][EtOPr] (</w:t>
      </w:r>
      <w:r w:rsidR="00730312" w:rsidRPr="00783958">
        <w:rPr>
          <w:b/>
          <w:sz w:val="24"/>
        </w:rPr>
        <w:t>6d</w:t>
      </w:r>
      <w:r w:rsidR="00EF0608" w:rsidRPr="00783958">
        <w:rPr>
          <w:sz w:val="24"/>
        </w:rPr>
        <w:t>), (SE, 24</w:t>
      </w:r>
      <w:r w:rsidR="00745D55" w:rsidRPr="00783958">
        <w:rPr>
          <w:sz w:val="24"/>
        </w:rPr>
        <w:t xml:space="preserve"> </w:t>
      </w:r>
      <w:r w:rsidR="00EF0608" w:rsidRPr="00783958">
        <w:rPr>
          <w:sz w:val="24"/>
        </w:rPr>
        <w:t xml:space="preserve">h, 7.81 </w:t>
      </w:r>
      <w:r w:rsidR="00EF0608" w:rsidRPr="00783958">
        <w:rPr>
          <w:rFonts w:asciiTheme="majorHAnsi" w:hAnsiTheme="majorHAnsi" w:cstheme="majorHAnsi"/>
          <w:sz w:val="24"/>
        </w:rPr>
        <w:t>μ</w:t>
      </w:r>
      <w:r w:rsidR="00745D55" w:rsidRPr="00783958">
        <w:rPr>
          <w:rFonts w:asciiTheme="majorHAnsi" w:hAnsiTheme="majorHAnsi" w:cstheme="majorHAnsi"/>
          <w:sz w:val="24"/>
        </w:rPr>
        <w:t>M</w:t>
      </w:r>
      <w:r w:rsidR="00EF0608" w:rsidRPr="00783958">
        <w:rPr>
          <w:rFonts w:asciiTheme="majorHAnsi" w:hAnsiTheme="majorHAnsi" w:cstheme="majorHAnsi"/>
          <w:sz w:val="24"/>
        </w:rPr>
        <w:t xml:space="preserve">) (Table 4). </w:t>
      </w:r>
      <w:r w:rsidR="001B58AA" w:rsidRPr="00783958">
        <w:rPr>
          <w:rFonts w:asciiTheme="majorHAnsi" w:hAnsiTheme="majorHAnsi" w:cstheme="majorHAnsi"/>
          <w:sz w:val="24"/>
        </w:rPr>
        <w:t xml:space="preserve">This further supports the finding that </w:t>
      </w:r>
      <w:r w:rsidR="00EF0608" w:rsidRPr="00783958">
        <w:rPr>
          <w:rFonts w:asciiTheme="majorHAnsi" w:hAnsiTheme="majorHAnsi" w:cstheme="majorHAnsi"/>
          <w:sz w:val="24"/>
        </w:rPr>
        <w:t xml:space="preserve">the effect of substituting ether functionality onto a carboxylate anion of an IL has little to no influence on the net </w:t>
      </w:r>
      <w:r w:rsidR="0052334B">
        <w:rPr>
          <w:rFonts w:asciiTheme="majorHAnsi" w:hAnsiTheme="majorHAnsi" w:cstheme="majorHAnsi"/>
          <w:sz w:val="24"/>
        </w:rPr>
        <w:t>antimicrobial</w:t>
      </w:r>
      <w:r w:rsidR="00EF0608" w:rsidRPr="00783958">
        <w:rPr>
          <w:rFonts w:asciiTheme="majorHAnsi" w:hAnsiTheme="majorHAnsi" w:cstheme="majorHAnsi"/>
          <w:sz w:val="24"/>
        </w:rPr>
        <w:t xml:space="preserve"> activity of the IL.</w:t>
      </w:r>
      <w:r w:rsidR="001B58AA" w:rsidRPr="00783958">
        <w:rPr>
          <w:rFonts w:asciiTheme="majorHAnsi" w:hAnsiTheme="majorHAnsi" w:cstheme="majorHAnsi"/>
          <w:sz w:val="24"/>
        </w:rPr>
        <w:t xml:space="preserve"> </w:t>
      </w:r>
    </w:p>
    <w:p w14:paraId="5FC808FF" w14:textId="0C388EEF" w:rsidR="004D60D3" w:rsidRPr="002F416D" w:rsidRDefault="00C36BB5" w:rsidP="0038621B">
      <w:pPr>
        <w:spacing w:line="480" w:lineRule="auto"/>
        <w:jc w:val="both"/>
      </w:pPr>
      <w:bookmarkStart w:id="8" w:name="_Hlk497311063"/>
      <w:r>
        <w:rPr>
          <w:rFonts w:asciiTheme="majorHAnsi" w:hAnsiTheme="majorHAnsi" w:cstheme="majorHAnsi"/>
          <w:sz w:val="24"/>
        </w:rPr>
        <w:t xml:space="preserve">The results shown </w:t>
      </w:r>
      <w:r w:rsidR="00F40957">
        <w:rPr>
          <w:rFonts w:asciiTheme="majorHAnsi" w:hAnsiTheme="majorHAnsi" w:cstheme="majorHAnsi"/>
          <w:sz w:val="24"/>
        </w:rPr>
        <w:t xml:space="preserve">herein </w:t>
      </w:r>
      <w:r>
        <w:rPr>
          <w:rFonts w:asciiTheme="majorHAnsi" w:hAnsiTheme="majorHAnsi" w:cstheme="majorHAnsi"/>
          <w:sz w:val="24"/>
        </w:rPr>
        <w:t>offer valuable discussion as to how variation of cation and anion structure, as well as the ionic nature between aprotic and protic ILs, play a role in the microtoxicity of an IL</w:t>
      </w:r>
      <w:r w:rsidR="00EE1963">
        <w:rPr>
          <w:rFonts w:asciiTheme="majorHAnsi" w:hAnsiTheme="majorHAnsi" w:cstheme="majorHAnsi"/>
          <w:sz w:val="24"/>
        </w:rPr>
        <w:t xml:space="preserve">. However, </w:t>
      </w:r>
      <w:r w:rsidR="002871A1" w:rsidRPr="002871A1">
        <w:rPr>
          <w:rFonts w:asciiTheme="majorHAnsi" w:hAnsiTheme="majorHAnsi" w:cstheme="majorHAnsi"/>
          <w:sz w:val="24"/>
        </w:rPr>
        <w:t xml:space="preserve">the data provided in this manuscript does not show </w:t>
      </w:r>
      <w:r w:rsidR="00EE1963">
        <w:rPr>
          <w:rFonts w:asciiTheme="majorHAnsi" w:hAnsiTheme="majorHAnsi" w:cstheme="majorHAnsi"/>
          <w:sz w:val="24"/>
        </w:rPr>
        <w:t xml:space="preserve">definitively if the change in microtoxicity with respect to change in ion structure is independent of any change in the </w:t>
      </w:r>
      <w:r w:rsidR="0040039C">
        <w:rPr>
          <w:rFonts w:asciiTheme="majorHAnsi" w:hAnsiTheme="majorHAnsi" w:cstheme="majorHAnsi"/>
          <w:sz w:val="24"/>
        </w:rPr>
        <w:t>IL</w:t>
      </w:r>
      <w:r w:rsidR="00EE1963">
        <w:rPr>
          <w:rFonts w:asciiTheme="majorHAnsi" w:hAnsiTheme="majorHAnsi" w:cstheme="majorHAnsi"/>
          <w:sz w:val="24"/>
        </w:rPr>
        <w:t xml:space="preserve"> chemistry as a result of varying anion or cation structure. Changing</w:t>
      </w:r>
      <w:r w:rsidR="0040039C">
        <w:rPr>
          <w:rFonts w:asciiTheme="majorHAnsi" w:hAnsiTheme="majorHAnsi" w:cstheme="majorHAnsi"/>
          <w:sz w:val="24"/>
        </w:rPr>
        <w:t xml:space="preserve"> the</w:t>
      </w:r>
      <w:r w:rsidR="00EE1963">
        <w:rPr>
          <w:rFonts w:asciiTheme="majorHAnsi" w:hAnsiTheme="majorHAnsi" w:cstheme="majorHAnsi"/>
          <w:sz w:val="24"/>
        </w:rPr>
        <w:t xml:space="preserve"> structure</w:t>
      </w:r>
      <w:r w:rsidR="0040039C">
        <w:rPr>
          <w:rFonts w:asciiTheme="majorHAnsi" w:hAnsiTheme="majorHAnsi" w:cstheme="majorHAnsi"/>
          <w:sz w:val="24"/>
        </w:rPr>
        <w:t>s</w:t>
      </w:r>
      <w:r w:rsidR="00EE1963">
        <w:rPr>
          <w:rFonts w:asciiTheme="majorHAnsi" w:hAnsiTheme="majorHAnsi" w:cstheme="majorHAnsi"/>
          <w:sz w:val="24"/>
        </w:rPr>
        <w:t xml:space="preserve"> of both aprotic </w:t>
      </w:r>
      <w:r w:rsidR="00EE1963">
        <w:rPr>
          <w:rFonts w:asciiTheme="majorHAnsi" w:hAnsiTheme="majorHAnsi" w:cstheme="majorHAnsi"/>
          <w:sz w:val="24"/>
        </w:rPr>
        <w:fldChar w:fldCharType="begin" w:fldLock="1"/>
      </w:r>
      <w:r w:rsidR="00EE1963">
        <w:rPr>
          <w:rFonts w:asciiTheme="majorHAnsi" w:hAnsiTheme="majorHAnsi" w:cstheme="majorHAnsi"/>
          <w:sz w:val="24"/>
        </w:rPr>
        <w:instrText>ADDIN CSL_CITATION { "citationItems" : [ { "id" : "ITEM-1", "itemData" : { "DOI" : "10.1021/cr1003248", "ISBN" : "0009-2665", "ISSN" : "1520-6890", "PMID" : "21469639", "author" : [ { "dropping-particle" : "", "family" : "Hallett", "given" : "Jason P", "non-dropping-particle" : "", "parse-names" : false, "suffix" : "" }, { "dropping-particle" : "", "family" : "Welton", "given" : "Tom", "non-dropping-particle" : "", "parse-names" : false, "suffix" : "" } ], "container-title" : "Chemical Reviews", "id" : "ITEM-1", "issued" : { "date-parts" : [ [ "2011" ] ] }, "page" : "3508-3576", "title" : "Room-Temperature Ionic Liquids. Solvents for Synthesis and Catalysis. 2", "type" : "article-journal", "volume" : "111" }, "uris" : [ "http://www.mendeley.com/documents/?uuid=5b8fbdf1-a2b4-49b3-9b02-2a07c4436b31" ] } ], "mendeley" : { "formattedCitation" : "(Hallett and Welton, 2011)", "plainTextFormattedCitation" : "(Hallett and Welton, 2011)", "previouslyFormattedCitation" : "(Hallett and Welton, 2011)" }, "properties" : { "noteIndex" : 21 }, "schema" : "https://github.com/citation-style-language/schema/raw/master/csl-citation.json" }</w:instrText>
      </w:r>
      <w:r w:rsidR="00EE1963">
        <w:rPr>
          <w:rFonts w:asciiTheme="majorHAnsi" w:hAnsiTheme="majorHAnsi" w:cstheme="majorHAnsi"/>
          <w:sz w:val="24"/>
        </w:rPr>
        <w:fldChar w:fldCharType="separate"/>
      </w:r>
      <w:r w:rsidR="00EE1963" w:rsidRPr="00EE1963">
        <w:rPr>
          <w:rFonts w:asciiTheme="majorHAnsi" w:hAnsiTheme="majorHAnsi" w:cstheme="majorHAnsi"/>
          <w:noProof/>
          <w:sz w:val="24"/>
        </w:rPr>
        <w:t>(Hallett and Welton, 2011)</w:t>
      </w:r>
      <w:r w:rsidR="00EE1963">
        <w:rPr>
          <w:rFonts w:asciiTheme="majorHAnsi" w:hAnsiTheme="majorHAnsi" w:cstheme="majorHAnsi"/>
          <w:sz w:val="24"/>
        </w:rPr>
        <w:fldChar w:fldCharType="end"/>
      </w:r>
      <w:r w:rsidR="00EE1963">
        <w:rPr>
          <w:rFonts w:asciiTheme="majorHAnsi" w:hAnsiTheme="majorHAnsi" w:cstheme="majorHAnsi"/>
          <w:sz w:val="24"/>
        </w:rPr>
        <w:t xml:space="preserve"> and protic </w:t>
      </w:r>
      <w:r w:rsidR="00EE1963">
        <w:rPr>
          <w:rFonts w:asciiTheme="majorHAnsi" w:hAnsiTheme="majorHAnsi" w:cstheme="majorHAnsi"/>
          <w:sz w:val="24"/>
        </w:rPr>
        <w:fldChar w:fldCharType="begin" w:fldLock="1"/>
      </w:r>
      <w:r w:rsidR="00EE1963">
        <w:rPr>
          <w:rFonts w:asciiTheme="majorHAnsi" w:hAnsiTheme="majorHAnsi" w:cstheme="majorHAnsi"/>
          <w:sz w:val="24"/>
        </w:rPr>
        <w:instrText>ADDIN CSL_CITATION { "citationItems" : [ { "id" : "ITEM-1", "itemData" : { "DOI" : "10.1021/acs.chemrev.5b00158", "ISBN" : "0009-2665", "ISSN" : "15206890", "PMID" : "26426209", "author" : [ { "dropping-particle" : "", "family" : "Greaves", "given" : "Tamar L", "non-dropping-particle" : "", "parse-names" : false, "suffix" : "" }, { "dropping-particle" : "", "family" : "Drummond", "given" : "Calum J", "non-dropping-particle" : "", "parse-names" : false, "suffix" : "" } ], "container-title" : "Chemical Reviews", "id" : "ITEM-1", "issue" : "20", "issued" : { "date-parts" : [ [ "2015" ] ] }, "page" : "11379-11448", "title" : "Protic Ionic Liquids: Evolving Structure-Property Relationships and Expanding Applications", "type" : "article", "volume" : "115" }, "uris" : [ "http://www.mendeley.com/documents/?uuid=d16d8f48-ecfb-4ac6-9af4-e41bcba7a4f7" ] }, { "id" : "ITEM-2", "itemData" : { "DOI" : "10.1039/C7CP02230A", "abstract" : "How does cation functionality influence the strength of intermolecular interactions in protic ionic liquids (PILs)? Quantifying the energetics of PILs can be an invaluable tool to answer this fundamental question. With this in view, we have determined the standard molar enthalpy of vaporization, , and the standard molar enthalpy of formation, , of three tertiary ammonium acetate PILs with varying cation functionality, and of their corresponding precursor amines, through a combination of Calvet-drop microcalorimetry, solution calorimetry, and ab initio calculations. The obtained results suggest that these PILs vaporize as their neutral acid and base precursors. We also found a strong correlation between of the PILs and of their corresponding amines. This suggests that, within this series of PILs, the influence of cation modification on their cohesive energies follows a group additivity rule. Finally, no correlation between the of PILs and the extent of proton transfer, as estimated from the difference in aqueous pKa between the precursor acid and the conjugate acid of the precursor base, was observed.", "author" : [ { "dropping-particle" : "", "family" : "Reid", "given" : "Joshua E. S. J.", "non-dropping-particle" : "", "parse-names" : false, "suffix" : "" }, { "dropping-particle" : "", "family" : "Agapito", "given" : "Filipe", "non-dropping-particle" : "", "parse-names" : false, "suffix" : "" }, { "dropping-particle" : "", "family" : "Bernardes", "given" : "Carlos E. S.", "non-dropping-particle" : "", "parse-names" : false, "suffix" : "" }, { "dropping-particle" : "", "family" : "Martins", "given" : "Filomena", "non-dropping-particle" : "", "parse-names" : false, "suffix" : "" }, { "dropping-particle" : "", "family" : "Walker", "given" : "Adam J.", "non-dropping-particle" : "", "parse-names" : false, "suffix" : "" }, { "dropping-particle" : "", "family" : "Shimizu", "given" : "Seishi", "non-dropping-particle" : "", "parse-names" : false, "suffix" : "" }, { "dropping-particle" : "da", "family" : "Piedade", "given" : "Manuel E. Minas", "non-dropping-particle" : "", "parse-names" : false, "suffix" : "" }, { "dropping-particle" : "", "family" : "Minas da Piedade", "given" : "M. E.", "non-dropping-particle" : "", "parse-names" : false, "suffix" : "" } ], "container-title" : "Physical Chemistry Chemical Physics", "id" : "ITEM-2", "issue" : "30", "issued" : { "date-parts" : [ [ "2017", "8", "2" ] ] }, "page" : "19928-19936", "publisher" : "The Royal Society of Chemistry", "title" : "Structure\u2013property relationships in protic ionic liquids: a thermochemical study", "type" : "article-journal", "volume" : "19" }, "uris" : [ "http://www.mendeley.com/documents/?uuid=b17c60d8-0231-4f44-8dda-636bf5a4df15" ] }, { "id" : "ITEM-3", "itemData" : { "DOI" : "10.1039/C7CP05076C", "abstract" : "Ionicity of protic ionic liquids are significantly affected by additional functionality, thereby influencing solvation properties.", "author" : [ { "dropping-particle" : "", "family" : "Reid", "given" : "Joshua E. S. J.", "non-dropping-particle" : "", "parse-names" : false, "suffix" : "" }, { "dropping-particle" : "", "family" : "Bernardes", "given" : "Carlos E. S.", "non-dropping-particle" : "", "parse-names" : false, "suffix" : "" }, { "dropping-particle" : "", "family" : "Agapito", "given" : "Filipe", "non-dropping-particle" : "", "parse-names" : false, "suffix" : "" }, { "dropping-particle" : "", "family" : "Martins", "given" : "Filomena", "non-dropping-particle" : "", "parse-names" : false, "suffix" : "" }, { "dropping-particle" : "", "family" : "Shimizu", "given" : "Seishi", "non-dropping-particle" : "", "parse-names" : false, "suffix" : "" }, { "dropping-particle" : "", "family" : "Minas da Piedade", "given" : "Manuel E.", "non-dropping-particle" : "", "parse-names" : false, "suffix" : "" }, { "dropping-particle" : "", "family" : "Walker", "given" : "Adam J.", "non-dropping-particle" : "", "parse-names" : false, "suffix" : "" } ], "container-title" : "Physical Chemistry Chemical Physics", "id" : "ITEM-3", "issue" : "41", "issued" : { "date-parts" : [ [ "2017", "10", "25" ] ] }, "page" : "28133-28138", "publisher" : "The Royal Society of Chemistry", "title" : "Structure-property relationships in protic ionic liquids: a study of solvent-solvent and solvent-solute interactions", "type" : "article-journal", "volume" : "19" }, "uris" : [ "http://www.mendeley.com/documents/?uuid=8059cb65-4216-45c3-96ac-3d4adfcc4885" ] } ], "mendeley" : { "formattedCitation" : "(Greaves and Drummond, 2015; Reid et al., 2017a, 2017b)", "plainTextFormattedCitation" : "(Greaves and Drummond, 2015; Reid et al., 2017a, 2017b)", "previouslyFormattedCitation" : "(Greaves and Drummond, 2015; Reid et al., 2017a, 2017b)" }, "properties" : { "noteIndex" : 22 }, "schema" : "https://github.com/citation-style-language/schema/raw/master/csl-citation.json" }</w:instrText>
      </w:r>
      <w:r w:rsidR="00EE1963">
        <w:rPr>
          <w:rFonts w:asciiTheme="majorHAnsi" w:hAnsiTheme="majorHAnsi" w:cstheme="majorHAnsi"/>
          <w:sz w:val="24"/>
        </w:rPr>
        <w:fldChar w:fldCharType="separate"/>
      </w:r>
      <w:r w:rsidR="00EE1963" w:rsidRPr="00EE1963">
        <w:rPr>
          <w:rFonts w:asciiTheme="majorHAnsi" w:hAnsiTheme="majorHAnsi" w:cstheme="majorHAnsi"/>
          <w:noProof/>
          <w:sz w:val="24"/>
        </w:rPr>
        <w:t xml:space="preserve">(Greaves and </w:t>
      </w:r>
      <w:r w:rsidR="00EE1963" w:rsidRPr="00EE1963">
        <w:rPr>
          <w:rFonts w:asciiTheme="majorHAnsi" w:hAnsiTheme="majorHAnsi" w:cstheme="majorHAnsi"/>
          <w:noProof/>
          <w:sz w:val="24"/>
        </w:rPr>
        <w:lastRenderedPageBreak/>
        <w:t>Drummond, 2015; Reid et al., 2017a, 2017b)</w:t>
      </w:r>
      <w:r w:rsidR="00EE1963">
        <w:rPr>
          <w:rFonts w:asciiTheme="majorHAnsi" w:hAnsiTheme="majorHAnsi" w:cstheme="majorHAnsi"/>
          <w:sz w:val="24"/>
        </w:rPr>
        <w:fldChar w:fldCharType="end"/>
      </w:r>
      <w:r w:rsidR="00EE1963">
        <w:rPr>
          <w:rFonts w:asciiTheme="majorHAnsi" w:hAnsiTheme="majorHAnsi" w:cstheme="majorHAnsi"/>
          <w:sz w:val="24"/>
        </w:rPr>
        <w:t xml:space="preserve"> </w:t>
      </w:r>
      <w:r w:rsidR="0040039C">
        <w:rPr>
          <w:rFonts w:asciiTheme="majorHAnsi" w:hAnsiTheme="majorHAnsi" w:cstheme="majorHAnsi"/>
          <w:sz w:val="24"/>
        </w:rPr>
        <w:t xml:space="preserve">ILs </w:t>
      </w:r>
      <w:r w:rsidR="00EE1963">
        <w:rPr>
          <w:rFonts w:asciiTheme="majorHAnsi" w:hAnsiTheme="majorHAnsi" w:cstheme="majorHAnsi"/>
          <w:sz w:val="24"/>
        </w:rPr>
        <w:t xml:space="preserve">can have a significant impact on the intermolecular interactions between species in ILs. </w:t>
      </w:r>
      <w:r w:rsidR="0040039C">
        <w:rPr>
          <w:rFonts w:asciiTheme="majorHAnsi" w:hAnsiTheme="majorHAnsi" w:cstheme="majorHAnsi"/>
          <w:sz w:val="24"/>
        </w:rPr>
        <w:t xml:space="preserve">Establishing whether these intermolecular interactions have a significant impact on an ILs microtoxicity requires a comparative study of the microtoxicity of ILs and their corresponding precursor materials. While beyond the scope of this initial investigation, we believe that establishing connections between the microtoxicity of ILs and their precursor materials will prove invaluable in the future </w:t>
      </w:r>
      <w:r w:rsidR="00D91E5A">
        <w:rPr>
          <w:rFonts w:asciiTheme="majorHAnsi" w:hAnsiTheme="majorHAnsi" w:cstheme="majorHAnsi"/>
          <w:sz w:val="24"/>
        </w:rPr>
        <w:t xml:space="preserve">for the </w:t>
      </w:r>
      <w:r w:rsidR="0040039C">
        <w:rPr>
          <w:rFonts w:asciiTheme="majorHAnsi" w:hAnsiTheme="majorHAnsi" w:cstheme="majorHAnsi"/>
          <w:sz w:val="24"/>
        </w:rPr>
        <w:t>design</w:t>
      </w:r>
      <w:r w:rsidR="00D91E5A">
        <w:rPr>
          <w:rFonts w:asciiTheme="majorHAnsi" w:hAnsiTheme="majorHAnsi" w:cstheme="majorHAnsi"/>
          <w:sz w:val="24"/>
        </w:rPr>
        <w:t xml:space="preserve"> of</w:t>
      </w:r>
      <w:r w:rsidR="0040039C">
        <w:rPr>
          <w:rFonts w:asciiTheme="majorHAnsi" w:hAnsiTheme="majorHAnsi" w:cstheme="majorHAnsi"/>
          <w:sz w:val="24"/>
        </w:rPr>
        <w:t xml:space="preserve"> ILs with </w:t>
      </w:r>
      <w:r w:rsidR="00D91E5A">
        <w:rPr>
          <w:rFonts w:asciiTheme="majorHAnsi" w:hAnsiTheme="majorHAnsi" w:cstheme="majorHAnsi"/>
          <w:sz w:val="24"/>
        </w:rPr>
        <w:t>low</w:t>
      </w:r>
      <w:r w:rsidR="0040039C">
        <w:rPr>
          <w:rFonts w:asciiTheme="majorHAnsi" w:hAnsiTheme="majorHAnsi" w:cstheme="majorHAnsi"/>
          <w:sz w:val="24"/>
        </w:rPr>
        <w:t xml:space="preserve"> microtoxicities.</w:t>
      </w:r>
      <w:bookmarkEnd w:id="8"/>
    </w:p>
    <w:p w14:paraId="29193611" w14:textId="7C9526A5" w:rsidR="00996361" w:rsidRDefault="001D60A9" w:rsidP="00776867">
      <w:pPr>
        <w:pStyle w:val="Heading2"/>
        <w:spacing w:line="480" w:lineRule="auto"/>
      </w:pPr>
      <w:r>
        <w:t>Connection between biodegradation and microtoxicity</w:t>
      </w:r>
    </w:p>
    <w:p w14:paraId="103385BD" w14:textId="392D2481" w:rsidR="00B07E17" w:rsidRPr="00783958" w:rsidRDefault="00D04829" w:rsidP="00086180">
      <w:pPr>
        <w:spacing w:line="480" w:lineRule="auto"/>
        <w:jc w:val="both"/>
        <w:rPr>
          <w:sz w:val="24"/>
        </w:rPr>
      </w:pPr>
      <w:r w:rsidRPr="00783958">
        <w:rPr>
          <w:sz w:val="24"/>
        </w:rPr>
        <w:t xml:space="preserve">There is growing evidence suggesting </w:t>
      </w:r>
      <w:r w:rsidR="00745D55" w:rsidRPr="00783958">
        <w:rPr>
          <w:sz w:val="24"/>
        </w:rPr>
        <w:t>a</w:t>
      </w:r>
      <w:r w:rsidRPr="00783958">
        <w:rPr>
          <w:sz w:val="24"/>
        </w:rPr>
        <w:t xml:space="preserve"> correlation between the microtoxicity and the biodegradability </w:t>
      </w:r>
      <w:r w:rsidRPr="00783958">
        <w:rPr>
          <w:sz w:val="24"/>
          <w:szCs w:val="20"/>
        </w:rPr>
        <w:t>of an IL</w:t>
      </w:r>
      <w:r w:rsidR="00776867" w:rsidRPr="00783958">
        <w:rPr>
          <w:sz w:val="24"/>
          <w:szCs w:val="20"/>
        </w:rPr>
        <w:fldChar w:fldCharType="begin" w:fldLock="1"/>
      </w:r>
      <w:r w:rsidR="009012E7" w:rsidRPr="00783958">
        <w:rPr>
          <w:sz w:val="24"/>
          <w:szCs w:val="20"/>
        </w:rPr>
        <w:instrText>ADDIN CSL_CITATION { "citationItems" : [ { "id" : "ITEM-1", "itemData" : { "DOI" : "10.1039/C6RA25562K", "abstract" : "A series of ten ionic liquids (ILs) was synthesised from the renewable resource mandelic acid. The ILs showed low antimicrobial activity towards the thirteen bacterial and twelve fungal strains they were screened against. A general trend of increasing bacterial toxicity in the order methyl ester &amp;lt; ethyl ester &amp;lt; n-butyl ester/amide was observed. IL biodegradability was evaluated using the Closed Bottle test (OECD 301D). Biodegradation increased in the order of increasing alkyl chain length for the ester ILs (methyl &amp;lt; ethyl &amp;lt; n-butyl). Despite none of the ILs presenting as readily biodegradable (&amp;gt;60% in 28 days), a series of biodegradation transformation products has been proposed based on the degradation of the ester/amide alkyl chain. This data has allowed for an assessment of the effect of IL structural features on toxicity and biodegradation, particularly allowing for a comparison to earlier work where additional oxygen atoms were present to facilitate biodegradation and attenuate toxicity. The mandelic acid derived ILs did not pass the Closed Bottle test (OECD 301D) and can be included in the rules of thumb for the design of biodegradable ILs.", "author" : [ { "dropping-particle" : "", "family" : "Prydderch", "given" : "Hannah", "non-dropping-particle" : "", "parse-names" : false, "suffix" : "" }, { "dropping-particle" : "", "family" : "Hai\u03b2", "given" : "Annette", "non-dropping-particle" : "", "parse-names" : false, "suffix" : "" }, { "dropping-particle" : "", "family" : "Spulak", "given" : "Marcel", "non-dropping-particle" : "", "parse-names" : false, "suffix" : "" }, { "dropping-particle" : "", "family" : "Quilty", "given" : "Brid", "non-dropping-particle" : "", "parse-names" : false, "suffix" : "" }, { "dropping-particle" : "", "family" : "K\u00fcmmerer", "given" : "Klaus", "non-dropping-particle" : "", "parse-names" : false, "suffix" : "" }, { "dropping-particle" : "", "family" : "Heise", "given" : "Andreas", "non-dropping-particle" : "", "parse-names" : false, "suffix" : "" }, { "dropping-particle" : "", "family" : "Gathergood", "given" : "Nicholas", "non-dropping-particle" : "", "parse-names" : false, "suffix" : "" } ], "container-title" : "RSC Adv.", "id" : "ITEM-1", "issue" : "4", "issued" : { "date-parts" : [ [ "2017" ] ] }, "page" : "2115-2126", "publisher" : "The Royal Society of Chemistry", "title" : "Mandelic acid derived ionic liquids: synthesis, toxicity and biodegradability", "type" : "article-journal", "volume" : "7" }, "uris" : [ "http://www.mendeley.com/documents/?uuid=2557d5a9-508f-3379-b497-c5953e293364" ] } ], "mendeley" : { "formattedCitation" : "(Prydderch et al., 2017)", "plainTextFormattedCitation" : "(Prydderch et al., 2017)", "previouslyFormattedCitation" : "(Prydderch et al., 2017)" }, "properties" : { "noteIndex" : 0 }, "schema" : "https://github.com/citation-style-language/schema/raw/master/csl-citation.json" }</w:instrText>
      </w:r>
      <w:r w:rsidR="00776867" w:rsidRPr="00783958">
        <w:rPr>
          <w:sz w:val="24"/>
          <w:szCs w:val="20"/>
        </w:rPr>
        <w:fldChar w:fldCharType="separate"/>
      </w:r>
      <w:r w:rsidR="001D7427" w:rsidRPr="00783958">
        <w:rPr>
          <w:noProof/>
          <w:sz w:val="24"/>
          <w:szCs w:val="20"/>
        </w:rPr>
        <w:t>(Prydderch et al., 2017)</w:t>
      </w:r>
      <w:r w:rsidR="00776867" w:rsidRPr="00783958">
        <w:rPr>
          <w:sz w:val="24"/>
          <w:szCs w:val="20"/>
        </w:rPr>
        <w:fldChar w:fldCharType="end"/>
      </w:r>
      <w:r w:rsidR="00F40957">
        <w:rPr>
          <w:sz w:val="24"/>
          <w:szCs w:val="20"/>
        </w:rPr>
        <w:t>.</w:t>
      </w:r>
      <w:r w:rsidRPr="00783958">
        <w:rPr>
          <w:sz w:val="24"/>
          <w:szCs w:val="20"/>
        </w:rPr>
        <w:t xml:space="preserve"> In particular, </w:t>
      </w:r>
      <w:r w:rsidR="00FD0CB4" w:rsidRPr="00783958">
        <w:rPr>
          <w:sz w:val="24"/>
          <w:szCs w:val="20"/>
        </w:rPr>
        <w:t xml:space="preserve">a low toxicity IL would be expected </w:t>
      </w:r>
      <w:r w:rsidR="00F24185" w:rsidRPr="00783958">
        <w:rPr>
          <w:sz w:val="24"/>
          <w:szCs w:val="20"/>
        </w:rPr>
        <w:t xml:space="preserve">to have a greater chance at </w:t>
      </w:r>
      <w:r w:rsidR="00FD0CB4" w:rsidRPr="00783958">
        <w:rPr>
          <w:sz w:val="24"/>
          <w:szCs w:val="20"/>
        </w:rPr>
        <w:t xml:space="preserve">undergoing biodegradation because it </w:t>
      </w:r>
      <w:r w:rsidR="00C92332" w:rsidRPr="00783958">
        <w:rPr>
          <w:sz w:val="24"/>
          <w:szCs w:val="20"/>
        </w:rPr>
        <w:t>may</w:t>
      </w:r>
      <w:r w:rsidR="00FD0CB4" w:rsidRPr="00783958">
        <w:rPr>
          <w:sz w:val="24"/>
          <w:szCs w:val="20"/>
        </w:rPr>
        <w:t xml:space="preserve"> be less toxic to the biodegradation enzymes. </w:t>
      </w:r>
      <w:r w:rsidR="000D6E57" w:rsidRPr="00783958">
        <w:rPr>
          <w:sz w:val="24"/>
        </w:rPr>
        <w:t xml:space="preserve">Additionally, </w:t>
      </w:r>
      <w:r w:rsidR="00FD0CB4" w:rsidRPr="00783958">
        <w:rPr>
          <w:sz w:val="24"/>
        </w:rPr>
        <w:t xml:space="preserve">if an IL breaks down to produce metabolites that </w:t>
      </w:r>
      <w:r w:rsidR="003C7E89" w:rsidRPr="00783958">
        <w:rPr>
          <w:sz w:val="24"/>
        </w:rPr>
        <w:t xml:space="preserve">were </w:t>
      </w:r>
      <w:r w:rsidR="00FD0CB4" w:rsidRPr="00783958">
        <w:rPr>
          <w:sz w:val="24"/>
        </w:rPr>
        <w:t xml:space="preserve">of low microtoxicity, it will increase the likelihood that the IL will be fully mineralizable (due to a decreased toxicity to enzymes responsible for biodegradation). </w:t>
      </w:r>
      <w:r w:rsidR="005852C0" w:rsidRPr="00783958">
        <w:rPr>
          <w:sz w:val="24"/>
          <w:szCs w:val="20"/>
        </w:rPr>
        <w:t xml:space="preserve">For example, the PIL </w:t>
      </w:r>
      <w:r w:rsidR="005852C0" w:rsidRPr="00783958">
        <w:rPr>
          <w:i/>
          <w:sz w:val="24"/>
          <w:szCs w:val="20"/>
        </w:rPr>
        <w:t>N,N</w:t>
      </w:r>
      <w:r w:rsidR="005852C0" w:rsidRPr="00783958">
        <w:rPr>
          <w:sz w:val="24"/>
          <w:szCs w:val="20"/>
        </w:rPr>
        <w:t>-dimethylethanolammonium acetate</w:t>
      </w:r>
      <w:r w:rsidR="001266F2" w:rsidRPr="00783958">
        <w:rPr>
          <w:sz w:val="24"/>
          <w:szCs w:val="20"/>
        </w:rPr>
        <w:t xml:space="preserve"> (</w:t>
      </w:r>
      <w:r w:rsidR="001266F2" w:rsidRPr="00783958">
        <w:rPr>
          <w:b/>
          <w:sz w:val="24"/>
          <w:szCs w:val="20"/>
        </w:rPr>
        <w:t>4a</w:t>
      </w:r>
      <w:r w:rsidR="001266F2" w:rsidRPr="00783958">
        <w:rPr>
          <w:sz w:val="24"/>
          <w:szCs w:val="20"/>
        </w:rPr>
        <w:t>)</w:t>
      </w:r>
      <w:r w:rsidR="005852C0" w:rsidRPr="00783958">
        <w:rPr>
          <w:sz w:val="24"/>
          <w:szCs w:val="20"/>
        </w:rPr>
        <w:t>,</w:t>
      </w:r>
      <w:r w:rsidR="001266F2" w:rsidRPr="00783958">
        <w:rPr>
          <w:sz w:val="24"/>
          <w:szCs w:val="20"/>
        </w:rPr>
        <w:t xml:space="preserve"> </w:t>
      </w:r>
      <w:r w:rsidR="005852C0" w:rsidRPr="00783958">
        <w:rPr>
          <w:sz w:val="24"/>
          <w:szCs w:val="20"/>
        </w:rPr>
        <w:t xml:space="preserve">has been shown to undergoes complete decomposition in biotic conditions with high kinetics of biodegradation observed </w:t>
      </w:r>
      <w:r w:rsidR="005852C0" w:rsidRPr="00783958">
        <w:rPr>
          <w:sz w:val="24"/>
          <w:szCs w:val="20"/>
        </w:rPr>
        <w:fldChar w:fldCharType="begin" w:fldLock="1"/>
      </w:r>
      <w:r w:rsidR="005852C0" w:rsidRPr="00783958">
        <w:rPr>
          <w:sz w:val="24"/>
          <w:szCs w:val="20"/>
        </w:rPr>
        <w:instrText>ADDIN CSL_CITATION { "citationItems" : [ { "id" : "ITEM-1", "itemData" : { "DOI" : "10.1039/C4GC01904K", "ISBN" : "1463-9262", "ISSN" : "1463-9262", "abstract" : "Ionic liquids have been the subject of intense interest over the past decade due to their unique structures which can be tuned to modify the physicochemical properties of the solvent. Nevertheless, industrial processes rarely involve ILs, partly because our understanding of their environmental impact and biodegradability is still in its infancy. The biodegradability criteria for chemical compounds have been defined by the OECD, according to standard protocols in which a chemical is exposed to microbes in an activated sludge over a period of 28 days. However, most reports on IL biodegradation have concentrated on ultimate biodegradability, and have neglected to identify the metabolites along the biodegradative pathway. In fact, intermediate metabolites can be more toxic than the parent molecule and may have a completely different environmental profile. We have studied the antimicrobial activities and biodegradation kinetics of ten pyridinium, pyrrolidinium and ammonium-based ionic liquids incubated with either a pure strain of Rhodococcus rhodochrous ATCC 29672 or an activated sludge, and have also determined their degradation pathways using 1H NMR and LC-MS, with accompanying control experiments under abiotic conditions. Several intermediary metabolites were identified and quantified. All the ILs (except a long-chain alkylpyridinium in C6) proved to be \"readily biodegradable\" with the pure strain (80-100% degradation) under the conditions of the test, which was not the case with the activated sludges; however, in 3 cases of 10, the biodegradation resulted in an undesirable accumulation of metabolites.", "author" : [ { "dropping-particle" : "", "family" : "Deng", "given" : "Y", "non-dropping-particle" : "", "parse-names" : false, "suffix" : "" }, { "dropping-particle" : "", "family" : "Beadham", "given" : "I", "non-dropping-particle" : "", "parse-names" : false, "suffix" : "" }, { "dropping-particle" : "", "family" : "Ghavre", "given" : "M", "non-dropping-particle" : "", "parse-names" : false, "suffix" : "" }, { "dropping-particle" : "", "family" : "Costa Gomes", "given" : "M F", "non-dropping-particle" : "", "parse-names" : false, "suffix" : "" }, { "dropping-particle" : "", "family" : "Gathergood", "given" : "Nicholas", "non-dropping-particle" : "", "parse-names" : false, "suffix" : "" }, { "dropping-particle" : "", "family" : "Husson", "given" : "P", "non-dropping-particle" : "", "parse-names" : false, "suffix" : "" }, { "dropping-particle" : "", "family" : "Legeret", "given" : "B", "non-dropping-particle" : "", "parse-names" : false, "suffix" : "" }, { "dropping-particle" : "", "family" : "Quilty", "given" : "B", "non-dropping-particle" : "", "parse-names" : false, "suffix" : "" }, { "dropping-particle" : "", "family" : "Sancelme", "given" : "M", "non-dropping-particle" : "", "parse-names" : false, "suffix" : "" }, { "dropping-particle" : "", "family" : "Besse-Hoggan", "given" : "P", "non-dropping-particle" : "", "parse-names" : false, "suffix" : "" } ], "container-title" : "Green Chemistry", "id" : "ITEM-1", "issue" : "3", "issued" : { "date-parts" : [ [ "2015" ] ] }, "page" : "1479-1491", "publisher" : "Royal Society of Chemistry", "title" : "When can ionic liquids be considered readily biodegradable? Biodegradation pathways of pyridinium, pyrrolidinium and ammonium-based ionic liquids", "type" : "article-journal", "volume" : "17" }, "uris" : [ "http://www.mendeley.com/documents/?uuid=60cc206a-4d7e-4324-ae28-eb06b6cb9f0e" ] } ], "mendeley" : { "formattedCitation" : "(Deng et al., 2015)", "plainTextFormattedCitation" : "(Deng et al., 2015)", "previouslyFormattedCitation" : "(Deng et al., 2015)" }, "properties" : { "noteIndex" : 0 }, "schema" : "https://github.com/citation-style-language/schema/raw/master/csl-citation.json" }</w:instrText>
      </w:r>
      <w:r w:rsidR="005852C0" w:rsidRPr="00783958">
        <w:rPr>
          <w:sz w:val="24"/>
          <w:szCs w:val="20"/>
        </w:rPr>
        <w:fldChar w:fldCharType="separate"/>
      </w:r>
      <w:r w:rsidR="005852C0" w:rsidRPr="00783958">
        <w:rPr>
          <w:noProof/>
          <w:sz w:val="24"/>
          <w:szCs w:val="20"/>
        </w:rPr>
        <w:t>(Deng et al., 2015)</w:t>
      </w:r>
      <w:r w:rsidR="005852C0" w:rsidRPr="00783958">
        <w:rPr>
          <w:sz w:val="24"/>
          <w:szCs w:val="20"/>
        </w:rPr>
        <w:fldChar w:fldCharType="end"/>
      </w:r>
      <w:r w:rsidR="005852C0" w:rsidRPr="00783958">
        <w:rPr>
          <w:sz w:val="24"/>
          <w:szCs w:val="20"/>
        </w:rPr>
        <w:t xml:space="preserve">. The same PIL was found to increase the growth rate of </w:t>
      </w:r>
      <w:r w:rsidR="005852C0" w:rsidRPr="00783958">
        <w:rPr>
          <w:i/>
          <w:sz w:val="24"/>
          <w:szCs w:val="20"/>
        </w:rPr>
        <w:t>Clostridium sporogenes</w:t>
      </w:r>
      <w:r w:rsidR="005852C0" w:rsidRPr="00783958">
        <w:rPr>
          <w:sz w:val="24"/>
          <w:szCs w:val="20"/>
        </w:rPr>
        <w:t xml:space="preserve">, suggesting that the PIL either metabolised or increased the availability of nutrients </w:t>
      </w:r>
      <w:r w:rsidR="005852C0" w:rsidRPr="00783958">
        <w:rPr>
          <w:sz w:val="24"/>
          <w:szCs w:val="20"/>
        </w:rPr>
        <w:fldChar w:fldCharType="begin" w:fldLock="1"/>
      </w:r>
      <w:r w:rsidR="005852C0" w:rsidRPr="00783958">
        <w:rPr>
          <w:sz w:val="24"/>
          <w:szCs w:val="20"/>
        </w:rPr>
        <w:instrText>ADDIN CSL_CITATION { "citationItems" : [ { "id" : "ITEM-1", "itemData" : { "DOI" : "10.1039/b812600c", "ISBN" : "1463-9262", "ISSN" : "1463-9262", "abstract" : "Water miscible ionic liquids had various effects on the physiology of Clostridium sporogenes when tested as additives in culture media or reaction media for reduction of nitrobenzene. 2-Hydroxy ethyl trimethyl-ammonium dimethyl phosphate ([EtOHNMe3][Me2PO4]) and N,N-dimethylethanolammonium acetate (DMEAA) increased the growth rate of C. sporogenes by as much as 28%, suggesting that they were either metabolised or increased the availability of nutrients. By contrast, 1-butyl-3-methylimidazolium tetrafluoroborate ([BMim][BF4]) and AMMOENG\u2122 100 inhibited growth. Although 1-ethyl-3-methyl imidazolium ethylsulfate ([EMim][EtSO4]; 2% w/v) inhibited growth by 58%, it was sufficiently non-toxic to allow efficient reduction of nitrobenzene using harvested cells, providing aniline yields up to 79%. The high product yield with reactions in [EMim][EtSO4] represented a significant improvement over conventional solvents, since the yield was only 8% in aqueous ethanol (4% v/v) and 45% in a biphasic heptane/aqueous system (phase ratio 0.33). The ionic liquid appeared to suppress unproductive substrate consumption by an unknown mechanism", "author" : [ { "dropping-particle" : "", "family" : "Dipeolu", "given" : "Olutosin", "non-dropping-particle" : "", "parse-names" : false, "suffix" : "" }, { "dropping-particle" : "", "family" : "Green", "given" : "Edward", "non-dropping-particle" : "", "parse-names" : false, "suffix" : "" }, { "dropping-particle" : "", "family" : "Stephens", "given" : "Gillian", "non-dropping-particle" : "", "parse-names" : false, "suffix" : "" } ], "container-title" : "Green Chemistry", "id" : "ITEM-1", "issue" : "3", "issued" : { "date-parts" : [ [ "2009" ] ] }, "page" : "397-401", "publisher" : "The Royal Society of Chemistry", "title" : "Effects of water-miscible ionic liquids on cell growth and nitro reduction using Clostridium sporogenes", "type" : "article-journal", "volume" : "11" }, "uris" : [ "http://www.mendeley.com/documents/?uuid=0612de70-f3d5-3788-8103-1a97b683b18e" ] } ], "mendeley" : { "formattedCitation" : "(Dipeolu et al., 2009)", "plainTextFormattedCitation" : "(Dipeolu et al., 2009)", "previouslyFormattedCitation" : "(Dipeolu et al., 2009)" }, "properties" : { "noteIndex" : 0 }, "schema" : "https://github.com/citation-style-language/schema/raw/master/csl-citation.json" }</w:instrText>
      </w:r>
      <w:r w:rsidR="005852C0" w:rsidRPr="00783958">
        <w:rPr>
          <w:sz w:val="24"/>
          <w:szCs w:val="20"/>
        </w:rPr>
        <w:fldChar w:fldCharType="separate"/>
      </w:r>
      <w:r w:rsidR="005852C0" w:rsidRPr="00783958">
        <w:rPr>
          <w:noProof/>
          <w:sz w:val="24"/>
          <w:szCs w:val="20"/>
        </w:rPr>
        <w:t>(Dipeolu et al., 2009)</w:t>
      </w:r>
      <w:r w:rsidR="005852C0" w:rsidRPr="00783958">
        <w:rPr>
          <w:sz w:val="24"/>
          <w:szCs w:val="20"/>
        </w:rPr>
        <w:fldChar w:fldCharType="end"/>
      </w:r>
      <w:r w:rsidR="005852C0" w:rsidRPr="00783958">
        <w:rPr>
          <w:sz w:val="24"/>
          <w:szCs w:val="20"/>
        </w:rPr>
        <w:t xml:space="preserve">. This correlates well with the high MICs </w:t>
      </w:r>
      <w:r w:rsidR="00F22EA1" w:rsidRPr="00783958">
        <w:rPr>
          <w:sz w:val="24"/>
          <w:szCs w:val="20"/>
        </w:rPr>
        <w:t xml:space="preserve">for both microbial and fungal strains </w:t>
      </w:r>
      <w:r w:rsidR="005852C0" w:rsidRPr="00783958">
        <w:rPr>
          <w:sz w:val="24"/>
          <w:szCs w:val="20"/>
        </w:rPr>
        <w:t>observed for this same PIL (</w:t>
      </w:r>
      <w:r w:rsidR="001266F2" w:rsidRPr="00783958">
        <w:rPr>
          <w:b/>
          <w:sz w:val="24"/>
          <w:szCs w:val="20"/>
        </w:rPr>
        <w:t>4a</w:t>
      </w:r>
      <w:r w:rsidR="005852C0" w:rsidRPr="00783958">
        <w:rPr>
          <w:sz w:val="24"/>
          <w:szCs w:val="20"/>
        </w:rPr>
        <w:t xml:space="preserve">) in our study. </w:t>
      </w:r>
      <w:r w:rsidR="008D05BB" w:rsidRPr="00783958">
        <w:rPr>
          <w:sz w:val="24"/>
        </w:rPr>
        <w:t xml:space="preserve">Understanding if an IL could potentially breakdown to a metabolite with known high microtoxicity will highlight how ILs can be better designed to be readily biodegradable. The ILs in this study </w:t>
      </w:r>
      <w:r w:rsidR="003C7E89" w:rsidRPr="00783958">
        <w:rPr>
          <w:sz w:val="24"/>
        </w:rPr>
        <w:t xml:space="preserve">were </w:t>
      </w:r>
      <w:r w:rsidR="008D05BB" w:rsidRPr="00783958">
        <w:rPr>
          <w:sz w:val="24"/>
        </w:rPr>
        <w:t xml:space="preserve">an ideal selection for addressing this in future work. </w:t>
      </w:r>
      <w:r w:rsidR="00A455D0" w:rsidRPr="00783958">
        <w:rPr>
          <w:sz w:val="24"/>
        </w:rPr>
        <w:t>T</w:t>
      </w:r>
      <w:r w:rsidRPr="00783958">
        <w:rPr>
          <w:sz w:val="24"/>
        </w:rPr>
        <w:t xml:space="preserve">here </w:t>
      </w:r>
      <w:r w:rsidR="003C7E89" w:rsidRPr="00783958">
        <w:rPr>
          <w:sz w:val="24"/>
        </w:rPr>
        <w:t xml:space="preserve">were </w:t>
      </w:r>
      <w:r w:rsidRPr="00783958">
        <w:rPr>
          <w:sz w:val="24"/>
        </w:rPr>
        <w:t>systematic variations of the cation structures</w:t>
      </w:r>
      <w:r w:rsidR="00A455D0" w:rsidRPr="00783958">
        <w:rPr>
          <w:sz w:val="24"/>
        </w:rPr>
        <w:t xml:space="preserve"> in the ILs presented in this work</w:t>
      </w:r>
      <w:r w:rsidRPr="00783958">
        <w:rPr>
          <w:sz w:val="24"/>
        </w:rPr>
        <w:t xml:space="preserve">, either through the nitrogen head (quaternary versus tertiary ammonium cation functionality) or through </w:t>
      </w:r>
      <w:r w:rsidR="008D05BB" w:rsidRPr="00783958">
        <w:rPr>
          <w:sz w:val="24"/>
        </w:rPr>
        <w:t xml:space="preserve">the functional group modification. </w:t>
      </w:r>
      <w:r w:rsidR="00F6096C" w:rsidRPr="00783958">
        <w:rPr>
          <w:sz w:val="24"/>
        </w:rPr>
        <w:lastRenderedPageBreak/>
        <w:t xml:space="preserve">Starting from the [TMEEEA] cation, it </w:t>
      </w:r>
      <w:r w:rsidR="003C7E89" w:rsidRPr="00783958">
        <w:rPr>
          <w:sz w:val="24"/>
        </w:rPr>
        <w:t xml:space="preserve">was </w:t>
      </w:r>
      <w:r w:rsidR="00F6096C" w:rsidRPr="00783958">
        <w:rPr>
          <w:sz w:val="24"/>
        </w:rPr>
        <w:t xml:space="preserve">possible to propose </w:t>
      </w:r>
      <w:r w:rsidR="00E93803" w:rsidRPr="00783958">
        <w:rPr>
          <w:sz w:val="24"/>
        </w:rPr>
        <w:t xml:space="preserve">multiple </w:t>
      </w:r>
      <w:r w:rsidR="00F6096C" w:rsidRPr="00783958">
        <w:rPr>
          <w:sz w:val="24"/>
        </w:rPr>
        <w:t>possible biodegradation pathways to smaller molecules</w:t>
      </w:r>
      <w:r w:rsidR="00A455D0" w:rsidRPr="00783958">
        <w:rPr>
          <w:sz w:val="24"/>
        </w:rPr>
        <w:t xml:space="preserve"> (</w:t>
      </w:r>
      <w:r w:rsidR="00B07E17" w:rsidRPr="00783958">
        <w:rPr>
          <w:sz w:val="24"/>
        </w:rPr>
        <w:t>Scheme 1</w:t>
      </w:r>
      <w:r w:rsidR="00A455D0" w:rsidRPr="00783958">
        <w:rPr>
          <w:sz w:val="24"/>
        </w:rPr>
        <w:t>)</w:t>
      </w:r>
      <w:r w:rsidR="00E93803" w:rsidRPr="00783958">
        <w:rPr>
          <w:sz w:val="24"/>
        </w:rPr>
        <w:t>.</w:t>
      </w:r>
      <w:r w:rsidR="00F6096C" w:rsidRPr="00783958">
        <w:rPr>
          <w:sz w:val="24"/>
        </w:rPr>
        <w:t xml:space="preserve"> </w:t>
      </w:r>
      <w:r w:rsidR="00C33B71" w:rsidRPr="00783958">
        <w:rPr>
          <w:sz w:val="24"/>
        </w:rPr>
        <w:t xml:space="preserve">Based on our </w:t>
      </w:r>
      <w:r w:rsidR="00304E47" w:rsidRPr="00783958">
        <w:rPr>
          <w:sz w:val="24"/>
        </w:rPr>
        <w:t xml:space="preserve">antimicrobial activity </w:t>
      </w:r>
      <w:r w:rsidR="00C33B71" w:rsidRPr="00783958">
        <w:rPr>
          <w:sz w:val="24"/>
        </w:rPr>
        <w:t xml:space="preserve">screening, it could be suggested that the nature of the low MIC’s observed for the ILs with either cation </w:t>
      </w:r>
      <w:r w:rsidR="00C33B71" w:rsidRPr="00783958">
        <w:rPr>
          <w:b/>
          <w:sz w:val="24"/>
        </w:rPr>
        <w:t xml:space="preserve">3 </w:t>
      </w:r>
      <w:r w:rsidR="00C33B71" w:rsidRPr="00783958">
        <w:rPr>
          <w:sz w:val="24"/>
        </w:rPr>
        <w:t>or</w:t>
      </w:r>
      <w:r w:rsidR="00C33B71" w:rsidRPr="00783958">
        <w:rPr>
          <w:b/>
          <w:sz w:val="24"/>
        </w:rPr>
        <w:t xml:space="preserve"> 6</w:t>
      </w:r>
      <w:r w:rsidR="00C33B71" w:rsidRPr="00783958">
        <w:rPr>
          <w:sz w:val="24"/>
        </w:rPr>
        <w:t xml:space="preserve"> </w:t>
      </w:r>
      <w:r w:rsidR="003C7E89" w:rsidRPr="00783958">
        <w:rPr>
          <w:sz w:val="24"/>
        </w:rPr>
        <w:t>wa</w:t>
      </w:r>
      <w:r w:rsidR="00C33B71" w:rsidRPr="00783958">
        <w:rPr>
          <w:sz w:val="24"/>
        </w:rPr>
        <w:t xml:space="preserve">s a result of slow breakdown kinetics of the ether functional chain to a shorter functional chain with a hydroxyl terminal group. As the ILs with cations </w:t>
      </w:r>
      <w:r w:rsidR="00C33B71" w:rsidRPr="00783958">
        <w:rPr>
          <w:b/>
          <w:sz w:val="24"/>
        </w:rPr>
        <w:t>1,</w:t>
      </w:r>
      <w:r w:rsidR="00C33B71" w:rsidRPr="00783958">
        <w:rPr>
          <w:sz w:val="24"/>
        </w:rPr>
        <w:t xml:space="preserve"> </w:t>
      </w:r>
      <w:r w:rsidR="00C33B71" w:rsidRPr="00783958">
        <w:rPr>
          <w:b/>
          <w:sz w:val="24"/>
        </w:rPr>
        <w:t xml:space="preserve">2, 4 </w:t>
      </w:r>
      <w:r w:rsidR="00C33B71" w:rsidRPr="00783958">
        <w:rPr>
          <w:sz w:val="24"/>
        </w:rPr>
        <w:t xml:space="preserve">and </w:t>
      </w:r>
      <w:r w:rsidR="00C33B71" w:rsidRPr="00783958">
        <w:rPr>
          <w:b/>
          <w:sz w:val="24"/>
        </w:rPr>
        <w:t>5</w:t>
      </w:r>
      <w:r w:rsidR="00C33B71" w:rsidRPr="00783958">
        <w:rPr>
          <w:sz w:val="24"/>
        </w:rPr>
        <w:t xml:space="preserve"> have much larger MIC</w:t>
      </w:r>
      <w:r w:rsidR="00C91BC3" w:rsidRPr="00783958">
        <w:rPr>
          <w:sz w:val="24"/>
        </w:rPr>
        <w:t xml:space="preserve"> values</w:t>
      </w:r>
      <w:r w:rsidR="00C33B71" w:rsidRPr="00783958">
        <w:rPr>
          <w:sz w:val="24"/>
        </w:rPr>
        <w:t xml:space="preserve">, it </w:t>
      </w:r>
      <w:r w:rsidR="003C7E89" w:rsidRPr="00783958">
        <w:rPr>
          <w:sz w:val="24"/>
        </w:rPr>
        <w:t>wa</w:t>
      </w:r>
      <w:r w:rsidR="00C33B71" w:rsidRPr="00783958">
        <w:rPr>
          <w:sz w:val="24"/>
        </w:rPr>
        <w:t>s expected that these ILs will be readily biodegradable.</w:t>
      </w:r>
    </w:p>
    <w:p w14:paraId="3E2DA68E" w14:textId="482A4AA0" w:rsidR="00E93803" w:rsidRPr="00C33B71" w:rsidRDefault="00383A11" w:rsidP="00B07E17">
      <w:pPr>
        <w:spacing w:line="480" w:lineRule="auto"/>
        <w:jc w:val="center"/>
      </w:pPr>
      <w:r>
        <w:object w:dxaOrig="8531" w:dyaOrig="3976" w14:anchorId="3CDEBDF6">
          <v:shape id="_x0000_i1035" type="#_x0000_t75" style="width:423.65pt;height:202.6pt" o:ole="">
            <v:imagedata r:id="rId29" o:title=""/>
          </v:shape>
          <o:OLEObject Type="Embed" ProgID="ChemDraw.Document.6.0" ShapeID="_x0000_i1035" DrawAspect="Content" ObjectID="_1571716202" r:id="rId30"/>
        </w:object>
      </w:r>
    </w:p>
    <w:p w14:paraId="76C76539" w14:textId="16458CBE" w:rsidR="00B07E17" w:rsidRPr="00783958" w:rsidRDefault="00B07E17" w:rsidP="00E77046">
      <w:pPr>
        <w:rPr>
          <w:sz w:val="24"/>
        </w:rPr>
      </w:pPr>
      <w:r w:rsidRPr="00783958">
        <w:rPr>
          <w:b/>
          <w:sz w:val="24"/>
        </w:rPr>
        <w:t>Scheme 1</w:t>
      </w:r>
      <w:r w:rsidRPr="00783958">
        <w:rPr>
          <w:sz w:val="24"/>
        </w:rPr>
        <w:t xml:space="preserve"> Cations</w:t>
      </w:r>
      <w:r w:rsidR="003C7E89" w:rsidRPr="00783958">
        <w:rPr>
          <w:sz w:val="24"/>
        </w:rPr>
        <w:t xml:space="preserve"> (</w:t>
      </w:r>
      <w:r w:rsidR="003C7E89" w:rsidRPr="00783958">
        <w:rPr>
          <w:b/>
          <w:sz w:val="24"/>
        </w:rPr>
        <w:t>1</w:t>
      </w:r>
      <w:r w:rsidR="003C7E89" w:rsidRPr="00783958">
        <w:rPr>
          <w:sz w:val="24"/>
        </w:rPr>
        <w:t>-</w:t>
      </w:r>
      <w:r w:rsidR="003C7E89" w:rsidRPr="00783958">
        <w:rPr>
          <w:b/>
          <w:sz w:val="24"/>
        </w:rPr>
        <w:t>6</w:t>
      </w:r>
      <w:r w:rsidR="003C7E89" w:rsidRPr="00783958">
        <w:rPr>
          <w:sz w:val="24"/>
        </w:rPr>
        <w:t>)</w:t>
      </w:r>
      <w:r w:rsidRPr="00783958">
        <w:rPr>
          <w:sz w:val="24"/>
        </w:rPr>
        <w:t xml:space="preserve"> of ILs (</w:t>
      </w:r>
      <w:r w:rsidR="001266F2" w:rsidRPr="00783958">
        <w:rPr>
          <w:b/>
          <w:sz w:val="24"/>
        </w:rPr>
        <w:t>1a</w:t>
      </w:r>
      <w:r w:rsidR="001266F2" w:rsidRPr="00783958">
        <w:rPr>
          <w:sz w:val="24"/>
        </w:rPr>
        <w:t>-</w:t>
      </w:r>
      <w:r w:rsidR="001266F2" w:rsidRPr="00783958">
        <w:rPr>
          <w:b/>
          <w:sz w:val="24"/>
        </w:rPr>
        <w:t>6d</w:t>
      </w:r>
      <w:r w:rsidRPr="00783958">
        <w:rPr>
          <w:sz w:val="24"/>
        </w:rPr>
        <w:t>) related by a proposed biodegradation pathway.</w:t>
      </w:r>
      <w:r w:rsidR="00580A85" w:rsidRPr="00783958">
        <w:rPr>
          <w:sz w:val="24"/>
        </w:rPr>
        <w:t xml:space="preserve"> </w:t>
      </w:r>
    </w:p>
    <w:p w14:paraId="5E13B1D2" w14:textId="7185CFF9" w:rsidR="00D15009" w:rsidRDefault="00D15009" w:rsidP="00B07E17">
      <w:pPr>
        <w:pStyle w:val="Heading1"/>
      </w:pPr>
      <w:r>
        <w:t>Conclusion</w:t>
      </w:r>
    </w:p>
    <w:p w14:paraId="7F7D3715" w14:textId="77777777" w:rsidR="00204CCF" w:rsidRPr="00204CCF" w:rsidRDefault="00204CCF" w:rsidP="00204CCF"/>
    <w:p w14:paraId="79631658" w14:textId="13DE4028" w:rsidR="00611501" w:rsidRPr="00783958" w:rsidRDefault="008231B5" w:rsidP="00204CCF">
      <w:pPr>
        <w:spacing w:line="480" w:lineRule="auto"/>
        <w:jc w:val="both"/>
        <w:rPr>
          <w:sz w:val="24"/>
        </w:rPr>
      </w:pPr>
      <w:r w:rsidRPr="00783958">
        <w:rPr>
          <w:sz w:val="24"/>
        </w:rPr>
        <w:t xml:space="preserve">The </w:t>
      </w:r>
      <w:r w:rsidR="006D4572" w:rsidRPr="00783958">
        <w:rPr>
          <w:sz w:val="24"/>
        </w:rPr>
        <w:t>effects of cation nature</w:t>
      </w:r>
      <w:r w:rsidR="00C92332" w:rsidRPr="00783958">
        <w:rPr>
          <w:sz w:val="24"/>
        </w:rPr>
        <w:t xml:space="preserve"> (AIL vs PIL)</w:t>
      </w:r>
      <w:r w:rsidR="006D4572" w:rsidRPr="00783958">
        <w:rPr>
          <w:sz w:val="24"/>
        </w:rPr>
        <w:t xml:space="preserve"> on </w:t>
      </w:r>
      <w:r w:rsidR="00FC5EBB" w:rsidRPr="00783958">
        <w:rPr>
          <w:sz w:val="24"/>
        </w:rPr>
        <w:t>micro</w:t>
      </w:r>
      <w:r w:rsidR="006D4572" w:rsidRPr="00783958">
        <w:rPr>
          <w:sz w:val="24"/>
        </w:rPr>
        <w:t xml:space="preserve">toxicity for the ILs </w:t>
      </w:r>
      <w:r w:rsidRPr="00783958">
        <w:rPr>
          <w:sz w:val="24"/>
        </w:rPr>
        <w:t xml:space="preserve">screened in this </w:t>
      </w:r>
      <w:r w:rsidR="00296FF2">
        <w:rPr>
          <w:sz w:val="24"/>
        </w:rPr>
        <w:t>investigation</w:t>
      </w:r>
      <w:r w:rsidRPr="00783958">
        <w:rPr>
          <w:sz w:val="24"/>
        </w:rPr>
        <w:t xml:space="preserve"> </w:t>
      </w:r>
      <w:r w:rsidR="006D4572" w:rsidRPr="00783958">
        <w:rPr>
          <w:sz w:val="24"/>
        </w:rPr>
        <w:t xml:space="preserve">appear </w:t>
      </w:r>
      <w:r w:rsidR="00F617FA" w:rsidRPr="00783958">
        <w:rPr>
          <w:sz w:val="24"/>
        </w:rPr>
        <w:t xml:space="preserve">to be </w:t>
      </w:r>
      <w:r w:rsidR="006D4572" w:rsidRPr="00783958">
        <w:rPr>
          <w:sz w:val="24"/>
        </w:rPr>
        <w:t xml:space="preserve">secondary to the </w:t>
      </w:r>
      <w:r w:rsidR="00F617FA" w:rsidRPr="00783958">
        <w:rPr>
          <w:sz w:val="24"/>
        </w:rPr>
        <w:t xml:space="preserve">effect of the </w:t>
      </w:r>
      <w:r w:rsidR="006D4572" w:rsidRPr="00783958">
        <w:rPr>
          <w:sz w:val="24"/>
        </w:rPr>
        <w:t xml:space="preserve">cation functional groups. </w:t>
      </w:r>
      <w:bookmarkStart w:id="9" w:name="_Hlk497214184"/>
      <w:r w:rsidR="006D4572" w:rsidRPr="00783958">
        <w:rPr>
          <w:sz w:val="24"/>
        </w:rPr>
        <w:t>Hydroxyl functionalised cations present</w:t>
      </w:r>
      <w:r w:rsidR="00F617FA" w:rsidRPr="00783958">
        <w:rPr>
          <w:sz w:val="24"/>
        </w:rPr>
        <w:t>ed</w:t>
      </w:r>
      <w:r w:rsidR="006D4572" w:rsidRPr="00783958">
        <w:rPr>
          <w:sz w:val="24"/>
        </w:rPr>
        <w:t xml:space="preserve"> low toxicities regardless of anion structure, whereas cations with only ether functionality exhibit</w:t>
      </w:r>
      <w:r w:rsidR="00F617FA" w:rsidRPr="00783958">
        <w:rPr>
          <w:sz w:val="24"/>
        </w:rPr>
        <w:t>ed</w:t>
      </w:r>
      <w:r w:rsidR="006D4572" w:rsidRPr="00783958">
        <w:rPr>
          <w:sz w:val="24"/>
        </w:rPr>
        <w:t xml:space="preserve"> greater toxicities</w:t>
      </w:r>
      <w:r w:rsidR="00AE62BE">
        <w:rPr>
          <w:sz w:val="24"/>
        </w:rPr>
        <w:t xml:space="preserve"> </w:t>
      </w:r>
      <w:r w:rsidR="00AE62BE" w:rsidRPr="00AE62BE">
        <w:rPr>
          <w:sz w:val="24"/>
        </w:rPr>
        <w:t>which the authors propose to be due to an assumed greater lipophilicity resulting from the surfactant-like structures</w:t>
      </w:r>
      <w:r w:rsidR="00AE62BE">
        <w:rPr>
          <w:sz w:val="24"/>
        </w:rPr>
        <w:t xml:space="preserve"> of these ILs.</w:t>
      </w:r>
      <w:r w:rsidR="00AE62BE" w:rsidRPr="00AE62BE" w:rsidDel="00AE62BE">
        <w:rPr>
          <w:sz w:val="24"/>
        </w:rPr>
        <w:t xml:space="preserve"> </w:t>
      </w:r>
      <w:r w:rsidR="006D4572" w:rsidRPr="00783958">
        <w:rPr>
          <w:sz w:val="24"/>
        </w:rPr>
        <w:t xml:space="preserve">. </w:t>
      </w:r>
      <w:bookmarkEnd w:id="9"/>
      <w:r w:rsidR="006D4572" w:rsidRPr="00783958">
        <w:rPr>
          <w:sz w:val="24"/>
        </w:rPr>
        <w:t>While lower MIC</w:t>
      </w:r>
      <w:r w:rsidR="00C91BC3" w:rsidRPr="00783958">
        <w:rPr>
          <w:sz w:val="24"/>
        </w:rPr>
        <w:t xml:space="preserve"> values</w:t>
      </w:r>
      <w:r w:rsidR="006D4572" w:rsidRPr="00783958">
        <w:rPr>
          <w:sz w:val="24"/>
        </w:rPr>
        <w:t xml:space="preserve"> for PILs with only </w:t>
      </w:r>
      <w:r w:rsidR="00B55D5E" w:rsidRPr="00783958">
        <w:rPr>
          <w:sz w:val="24"/>
        </w:rPr>
        <w:t xml:space="preserve">ether </w:t>
      </w:r>
      <w:r w:rsidR="006D4572" w:rsidRPr="00783958">
        <w:rPr>
          <w:sz w:val="24"/>
        </w:rPr>
        <w:t>functionalit</w:t>
      </w:r>
      <w:r w:rsidR="00B55D5E" w:rsidRPr="00783958">
        <w:rPr>
          <w:sz w:val="24"/>
        </w:rPr>
        <w:t>ies</w:t>
      </w:r>
      <w:r w:rsidR="006D4572" w:rsidRPr="00783958">
        <w:rPr>
          <w:sz w:val="24"/>
        </w:rPr>
        <w:t xml:space="preserve"> with respect to their AIL analogues</w:t>
      </w:r>
      <w:r w:rsidR="00F40957">
        <w:rPr>
          <w:sz w:val="24"/>
        </w:rPr>
        <w:t xml:space="preserve"> were observed</w:t>
      </w:r>
      <w:r w:rsidR="006D4572" w:rsidRPr="00783958">
        <w:rPr>
          <w:sz w:val="24"/>
        </w:rPr>
        <w:t xml:space="preserve">, </w:t>
      </w:r>
      <w:r w:rsidR="00F14BD4" w:rsidRPr="00783958">
        <w:rPr>
          <w:sz w:val="24"/>
        </w:rPr>
        <w:t>the effect of</w:t>
      </w:r>
      <w:r w:rsidR="00B55D5E" w:rsidRPr="00783958">
        <w:rPr>
          <w:sz w:val="24"/>
        </w:rPr>
        <w:t xml:space="preserve"> </w:t>
      </w:r>
      <w:r w:rsidRPr="00783958">
        <w:rPr>
          <w:sz w:val="24"/>
        </w:rPr>
        <w:t xml:space="preserve">varying the </w:t>
      </w:r>
      <w:r w:rsidR="00F14BD4" w:rsidRPr="00783958">
        <w:rPr>
          <w:sz w:val="24"/>
        </w:rPr>
        <w:t xml:space="preserve">ionic nature of the cation </w:t>
      </w:r>
      <w:r w:rsidR="00DB36A6" w:rsidRPr="00783958">
        <w:rPr>
          <w:sz w:val="24"/>
        </w:rPr>
        <w:t xml:space="preserve">(AIL vs PIL) </w:t>
      </w:r>
      <w:r w:rsidR="00F14BD4" w:rsidRPr="00783958">
        <w:rPr>
          <w:sz w:val="24"/>
        </w:rPr>
        <w:t>ha</w:t>
      </w:r>
      <w:r w:rsidR="00F617FA" w:rsidRPr="00783958">
        <w:rPr>
          <w:sz w:val="24"/>
        </w:rPr>
        <w:t>d</w:t>
      </w:r>
      <w:r w:rsidR="00F14BD4" w:rsidRPr="00783958">
        <w:rPr>
          <w:sz w:val="24"/>
        </w:rPr>
        <w:t xml:space="preserve"> a </w:t>
      </w:r>
      <w:r w:rsidRPr="00783958">
        <w:rPr>
          <w:sz w:val="24"/>
        </w:rPr>
        <w:t xml:space="preserve">less pronounced </w:t>
      </w:r>
      <w:r w:rsidR="00F14BD4" w:rsidRPr="00783958">
        <w:rPr>
          <w:sz w:val="24"/>
        </w:rPr>
        <w:t>effect on resulting toxicity than the variation of cation functional group.</w:t>
      </w:r>
      <w:r w:rsidR="006D4572" w:rsidRPr="00783958">
        <w:rPr>
          <w:sz w:val="24"/>
        </w:rPr>
        <w:t xml:space="preserve"> </w:t>
      </w:r>
      <w:r w:rsidR="00453395" w:rsidRPr="00783958">
        <w:rPr>
          <w:sz w:val="24"/>
        </w:rPr>
        <w:lastRenderedPageBreak/>
        <w:t xml:space="preserve">Variation of the anion functionality appeared to have </w:t>
      </w:r>
      <w:r w:rsidR="00F617FA" w:rsidRPr="00783958">
        <w:rPr>
          <w:sz w:val="24"/>
        </w:rPr>
        <w:t xml:space="preserve">a </w:t>
      </w:r>
      <w:r w:rsidR="00453395" w:rsidRPr="00783958">
        <w:rPr>
          <w:sz w:val="24"/>
        </w:rPr>
        <w:t xml:space="preserve">minor influence on the observed microtoxicity of either AILs of PILs, despite the variation in ionic nature of the anion. From the microtoxicity results, </w:t>
      </w:r>
      <w:r w:rsidR="00F40957">
        <w:rPr>
          <w:sz w:val="24"/>
        </w:rPr>
        <w:t>it was found</w:t>
      </w:r>
      <w:r w:rsidR="00453395" w:rsidRPr="00783958">
        <w:rPr>
          <w:sz w:val="24"/>
        </w:rPr>
        <w:t xml:space="preserve"> that all ILs in this study </w:t>
      </w:r>
      <w:r w:rsidR="003C7E89" w:rsidRPr="00783958">
        <w:rPr>
          <w:sz w:val="24"/>
        </w:rPr>
        <w:t xml:space="preserve">were </w:t>
      </w:r>
      <w:r w:rsidR="00453395" w:rsidRPr="00783958">
        <w:rPr>
          <w:sz w:val="24"/>
        </w:rPr>
        <w:t>suitable for subsequent biodegradation analysis.</w:t>
      </w:r>
      <w:r w:rsidR="00D744C6" w:rsidRPr="00783958">
        <w:rPr>
          <w:sz w:val="24"/>
        </w:rPr>
        <w:t xml:space="preserve"> No potent broad spectrum microbial biocides were demonstrated in this study.</w:t>
      </w:r>
      <w:r w:rsidR="00453395" w:rsidRPr="00783958">
        <w:rPr>
          <w:sz w:val="24"/>
        </w:rPr>
        <w:t xml:space="preserve"> </w:t>
      </w:r>
      <w:r w:rsidR="00C91BC3" w:rsidRPr="00783958">
        <w:rPr>
          <w:sz w:val="24"/>
        </w:rPr>
        <w:t xml:space="preserve">The ILs with the lowest microbial toxicity (MIC &gt;2000 mM to all 20 strains screened) were </w:t>
      </w:r>
      <w:r w:rsidR="00C91BC3" w:rsidRPr="00783958">
        <w:rPr>
          <w:b/>
          <w:sz w:val="24"/>
        </w:rPr>
        <w:t>1b, 1c, 1d</w:t>
      </w:r>
      <w:r w:rsidR="00C91BC3" w:rsidRPr="00783958">
        <w:rPr>
          <w:sz w:val="24"/>
        </w:rPr>
        <w:t xml:space="preserve">, </w:t>
      </w:r>
      <w:r w:rsidR="00C91BC3" w:rsidRPr="00783958">
        <w:rPr>
          <w:b/>
          <w:sz w:val="24"/>
        </w:rPr>
        <w:t>2c</w:t>
      </w:r>
      <w:r w:rsidR="00C91BC3" w:rsidRPr="00783958">
        <w:rPr>
          <w:sz w:val="24"/>
        </w:rPr>
        <w:t xml:space="preserve">, </w:t>
      </w:r>
      <w:r w:rsidR="00C91BC3" w:rsidRPr="00783958">
        <w:rPr>
          <w:b/>
          <w:sz w:val="24"/>
        </w:rPr>
        <w:t>2d</w:t>
      </w:r>
      <w:r w:rsidR="00C91BC3" w:rsidRPr="00783958">
        <w:rPr>
          <w:sz w:val="24"/>
        </w:rPr>
        <w:t xml:space="preserve">, </w:t>
      </w:r>
      <w:r w:rsidR="00C91BC3" w:rsidRPr="00783958">
        <w:rPr>
          <w:b/>
          <w:sz w:val="24"/>
        </w:rPr>
        <w:t>4a, 4b and 4c</w:t>
      </w:r>
      <w:r w:rsidR="00C91BC3" w:rsidRPr="00783958">
        <w:rPr>
          <w:sz w:val="24"/>
        </w:rPr>
        <w:t>.</w:t>
      </w:r>
      <w:r w:rsidR="00F24185" w:rsidRPr="00783958">
        <w:rPr>
          <w:sz w:val="24"/>
        </w:rPr>
        <w:t xml:space="preserve"> </w:t>
      </w:r>
      <w:r w:rsidR="00453395" w:rsidRPr="00783958">
        <w:rPr>
          <w:sz w:val="24"/>
        </w:rPr>
        <w:t>The cation structures of the ILs</w:t>
      </w:r>
      <w:r w:rsidR="00075CDE" w:rsidRPr="00783958">
        <w:rPr>
          <w:sz w:val="24"/>
        </w:rPr>
        <w:t xml:space="preserve"> utilised</w:t>
      </w:r>
      <w:r w:rsidR="00453395" w:rsidRPr="00783958">
        <w:rPr>
          <w:sz w:val="24"/>
        </w:rPr>
        <w:t xml:space="preserve"> in this study offer an opportunity to </w:t>
      </w:r>
      <w:r w:rsidR="00075CDE" w:rsidRPr="00783958">
        <w:rPr>
          <w:sz w:val="24"/>
        </w:rPr>
        <w:t>further investigate the effect of</w:t>
      </w:r>
      <w:r w:rsidR="00C33B71" w:rsidRPr="00783958">
        <w:rPr>
          <w:sz w:val="24"/>
        </w:rPr>
        <w:t xml:space="preserve"> </w:t>
      </w:r>
      <w:r w:rsidR="00075CDE" w:rsidRPr="00783958">
        <w:rPr>
          <w:sz w:val="24"/>
        </w:rPr>
        <w:t xml:space="preserve">the microtoxicity of </w:t>
      </w:r>
      <w:r w:rsidR="00C33B71" w:rsidRPr="00783958">
        <w:rPr>
          <w:sz w:val="24"/>
        </w:rPr>
        <w:t xml:space="preserve">potential </w:t>
      </w:r>
      <w:r w:rsidR="00075CDE" w:rsidRPr="00783958">
        <w:rPr>
          <w:sz w:val="24"/>
        </w:rPr>
        <w:t xml:space="preserve">IL </w:t>
      </w:r>
      <w:r w:rsidR="00C33B71" w:rsidRPr="00783958">
        <w:rPr>
          <w:sz w:val="24"/>
        </w:rPr>
        <w:t>biodegradation metabolite</w:t>
      </w:r>
      <w:r w:rsidR="00075CDE" w:rsidRPr="00783958">
        <w:rPr>
          <w:sz w:val="24"/>
        </w:rPr>
        <w:t>s</w:t>
      </w:r>
      <w:r w:rsidR="00C33B71" w:rsidRPr="00783958">
        <w:rPr>
          <w:sz w:val="24"/>
        </w:rPr>
        <w:t xml:space="preserve"> </w:t>
      </w:r>
      <w:r w:rsidR="00075CDE" w:rsidRPr="00783958">
        <w:rPr>
          <w:sz w:val="24"/>
        </w:rPr>
        <w:t>on</w:t>
      </w:r>
      <w:r w:rsidR="00C33B71" w:rsidRPr="00783958">
        <w:rPr>
          <w:sz w:val="24"/>
        </w:rPr>
        <w:t xml:space="preserve"> ILs biodegradability.</w:t>
      </w:r>
      <w:r w:rsidR="00673C31" w:rsidRPr="00783958">
        <w:rPr>
          <w:sz w:val="24"/>
        </w:rPr>
        <w:t xml:space="preserve"> </w:t>
      </w:r>
    </w:p>
    <w:p w14:paraId="35541015" w14:textId="77777777" w:rsidR="00611501" w:rsidRPr="00611501" w:rsidRDefault="00611501" w:rsidP="00611501">
      <w:pPr>
        <w:spacing w:line="360" w:lineRule="auto"/>
        <w:jc w:val="both"/>
        <w:rPr>
          <w:rFonts w:cs="Times New Roman"/>
          <w:b/>
          <w:sz w:val="32"/>
          <w:szCs w:val="32"/>
        </w:rPr>
      </w:pPr>
      <w:r w:rsidRPr="00611501">
        <w:rPr>
          <w:b/>
          <w:sz w:val="32"/>
          <w:szCs w:val="32"/>
        </w:rPr>
        <w:t>Supporting Information</w:t>
      </w:r>
    </w:p>
    <w:p w14:paraId="74F9C14E" w14:textId="476684C9" w:rsidR="00611501" w:rsidRPr="00783958" w:rsidRDefault="00611501" w:rsidP="00296FF2">
      <w:pPr>
        <w:spacing w:line="480" w:lineRule="auto"/>
        <w:jc w:val="both"/>
        <w:rPr>
          <w:sz w:val="24"/>
        </w:rPr>
      </w:pPr>
      <w:r w:rsidRPr="00783958">
        <w:rPr>
          <w:sz w:val="24"/>
        </w:rPr>
        <w:t>Includes</w:t>
      </w:r>
      <w:r w:rsidR="009B0656" w:rsidRPr="00783958">
        <w:rPr>
          <w:sz w:val="24"/>
        </w:rPr>
        <w:t xml:space="preserve"> details of the </w:t>
      </w:r>
      <w:r w:rsidR="00796DF1" w:rsidRPr="00783958">
        <w:rPr>
          <w:sz w:val="24"/>
        </w:rPr>
        <w:t xml:space="preserve">microbial strains used for </w:t>
      </w:r>
      <w:r w:rsidR="009B0656" w:rsidRPr="00783958">
        <w:rPr>
          <w:sz w:val="24"/>
        </w:rPr>
        <w:t xml:space="preserve">antimicrobial </w:t>
      </w:r>
      <w:r w:rsidR="00304E47" w:rsidRPr="00783958">
        <w:rPr>
          <w:sz w:val="24"/>
        </w:rPr>
        <w:t xml:space="preserve">activity </w:t>
      </w:r>
      <w:r w:rsidR="009B0656" w:rsidRPr="00783958">
        <w:rPr>
          <w:sz w:val="24"/>
        </w:rPr>
        <w:t xml:space="preserve">screening, </w:t>
      </w:r>
      <w:r w:rsidRPr="00783958">
        <w:rPr>
          <w:sz w:val="24"/>
        </w:rPr>
        <w:t>experimental procedures</w:t>
      </w:r>
      <w:r w:rsidR="009B0656" w:rsidRPr="00783958">
        <w:rPr>
          <w:sz w:val="24"/>
        </w:rPr>
        <w:t xml:space="preserve"> </w:t>
      </w:r>
      <w:r w:rsidRPr="00783958">
        <w:rPr>
          <w:sz w:val="24"/>
        </w:rPr>
        <w:t xml:space="preserve">for the synthesis of </w:t>
      </w:r>
      <w:r w:rsidR="00372AD4" w:rsidRPr="00783958">
        <w:rPr>
          <w:sz w:val="24"/>
        </w:rPr>
        <w:t xml:space="preserve">IL precursors and </w:t>
      </w:r>
      <w:r w:rsidRPr="00783958">
        <w:rPr>
          <w:sz w:val="24"/>
        </w:rPr>
        <w:t>ILs with cha</w:t>
      </w:r>
      <w:r w:rsidR="009B0656" w:rsidRPr="00783958">
        <w:rPr>
          <w:sz w:val="24"/>
        </w:rPr>
        <w:t>racterization data (NMR,</w:t>
      </w:r>
      <w:r w:rsidRPr="00783958">
        <w:rPr>
          <w:sz w:val="24"/>
        </w:rPr>
        <w:t xml:space="preserve"> MS</w:t>
      </w:r>
      <w:r w:rsidR="009B0656" w:rsidRPr="00783958">
        <w:rPr>
          <w:sz w:val="24"/>
        </w:rPr>
        <w:t xml:space="preserve">) and copies of </w:t>
      </w:r>
      <w:r w:rsidR="009B0656" w:rsidRPr="00783958">
        <w:rPr>
          <w:sz w:val="24"/>
          <w:vertAlign w:val="superscript"/>
        </w:rPr>
        <w:t>1</w:t>
      </w:r>
      <w:r w:rsidR="009B0656" w:rsidRPr="00783958">
        <w:rPr>
          <w:sz w:val="24"/>
        </w:rPr>
        <w:t xml:space="preserve">H and </w:t>
      </w:r>
      <w:r w:rsidR="009B0656" w:rsidRPr="00783958">
        <w:rPr>
          <w:sz w:val="24"/>
          <w:vertAlign w:val="superscript"/>
        </w:rPr>
        <w:t>13</w:t>
      </w:r>
      <w:r w:rsidR="009B0656" w:rsidRPr="00783958">
        <w:rPr>
          <w:sz w:val="24"/>
        </w:rPr>
        <w:t xml:space="preserve">C NMR spectra all ILs. </w:t>
      </w:r>
    </w:p>
    <w:p w14:paraId="2C79B8B6" w14:textId="77777777" w:rsidR="00611501" w:rsidRPr="00611501" w:rsidRDefault="00611501" w:rsidP="00611501">
      <w:pPr>
        <w:pStyle w:val="Heading1"/>
      </w:pPr>
      <w:r w:rsidRPr="00611501">
        <w:t xml:space="preserve">Author Information </w:t>
      </w:r>
    </w:p>
    <w:p w14:paraId="54AFDCD5" w14:textId="77777777" w:rsidR="00611501" w:rsidRPr="00611501" w:rsidRDefault="00611501" w:rsidP="00611501">
      <w:pPr>
        <w:pStyle w:val="Heading1"/>
        <w:rPr>
          <w:u w:val="single"/>
        </w:rPr>
      </w:pPr>
      <w:r w:rsidRPr="00611501">
        <w:rPr>
          <w:u w:val="single"/>
        </w:rPr>
        <w:t>Corresponding author</w:t>
      </w:r>
    </w:p>
    <w:p w14:paraId="1C41428E" w14:textId="77777777" w:rsidR="00611501" w:rsidRPr="00611501" w:rsidRDefault="00611501" w:rsidP="00611501"/>
    <w:p w14:paraId="695D24A7" w14:textId="285A1210" w:rsidR="00611501" w:rsidRPr="00783958" w:rsidRDefault="00611501" w:rsidP="00611501">
      <w:pPr>
        <w:spacing w:line="360" w:lineRule="auto"/>
        <w:jc w:val="both"/>
        <w:rPr>
          <w:sz w:val="24"/>
        </w:rPr>
      </w:pPr>
      <w:r w:rsidRPr="00783958">
        <w:rPr>
          <w:sz w:val="24"/>
        </w:rPr>
        <w:t>*Phone +372 620 4381​; E-mail address: nicholas.gathergood@ttu.ee</w:t>
      </w:r>
    </w:p>
    <w:p w14:paraId="79953022" w14:textId="10FD4248" w:rsidR="008231B5" w:rsidRPr="00A4191E" w:rsidRDefault="008231B5" w:rsidP="00D70839">
      <w:pPr>
        <w:pStyle w:val="Heading1"/>
        <w:spacing w:line="480" w:lineRule="auto"/>
      </w:pPr>
      <w:r w:rsidRPr="00A4191E">
        <w:t>Acknowledgements</w:t>
      </w:r>
    </w:p>
    <w:p w14:paraId="32A707DB" w14:textId="73EC3911" w:rsidR="008341A6" w:rsidRPr="00783958" w:rsidRDefault="00A4191E" w:rsidP="00F24185">
      <w:pPr>
        <w:spacing w:line="480" w:lineRule="auto"/>
        <w:jc w:val="both"/>
        <w:rPr>
          <w:sz w:val="24"/>
          <w:lang w:eastAsia="ja-JP"/>
        </w:rPr>
      </w:pPr>
      <w:r w:rsidRPr="00783958">
        <w:rPr>
          <w:sz w:val="24"/>
        </w:rPr>
        <w:t xml:space="preserve">This project was partially supported by the COST Action EXIL – EXchange on Ionic Liquids </w:t>
      </w:r>
      <w:r w:rsidR="008341A6" w:rsidRPr="00783958">
        <w:rPr>
          <w:sz w:val="24"/>
        </w:rPr>
        <w:t>(</w:t>
      </w:r>
      <w:r w:rsidRPr="00783958">
        <w:rPr>
          <w:sz w:val="24"/>
        </w:rPr>
        <w:t>CM1206</w:t>
      </w:r>
      <w:r w:rsidR="008341A6" w:rsidRPr="00783958">
        <w:rPr>
          <w:sz w:val="24"/>
        </w:rPr>
        <w:t xml:space="preserve">). </w:t>
      </w:r>
      <w:r w:rsidR="008341A6" w:rsidRPr="00783958">
        <w:rPr>
          <w:sz w:val="24"/>
          <w:lang w:eastAsia="ja-JP"/>
        </w:rPr>
        <w:t>JESJR gratefully acknowledges financial support from the Engineering and Physical Sciences Research Council (EPSRC) through an industrial CASE award.</w:t>
      </w:r>
      <w:r w:rsidR="00611501" w:rsidRPr="00783958">
        <w:rPr>
          <w:sz w:val="24"/>
          <w:lang w:eastAsia="ja-JP"/>
        </w:rPr>
        <w:t xml:space="preserve"> </w:t>
      </w:r>
      <w:r w:rsidR="00611501" w:rsidRPr="00783958">
        <w:rPr>
          <w:rFonts w:cs="Times New Roman"/>
          <w:sz w:val="24"/>
          <w:szCs w:val="24"/>
        </w:rPr>
        <w:t xml:space="preserve">HP received funding from the European Union’s Seventh Framework Programme for research, technological development and demonstration under grant agreement N° 289253. </w:t>
      </w:r>
      <w:r w:rsidR="005B5144" w:rsidRPr="00783958">
        <w:rPr>
          <w:sz w:val="24"/>
          <w:lang w:eastAsia="ja-JP"/>
        </w:rPr>
        <w:t xml:space="preserve"> </w:t>
      </w:r>
      <w:r w:rsidR="005B5144" w:rsidRPr="00783958">
        <w:rPr>
          <w:rFonts w:cs="Times New Roman"/>
          <w:sz w:val="24"/>
        </w:rPr>
        <w:t xml:space="preserve">NG acknowledges funding from the European Union’s Seventh Framework Programme for </w:t>
      </w:r>
      <w:r w:rsidR="005B5144" w:rsidRPr="00783958">
        <w:rPr>
          <w:rFonts w:cs="Times New Roman"/>
          <w:sz w:val="24"/>
        </w:rPr>
        <w:lastRenderedPageBreak/>
        <w:t>Research, Technological Development, and Demonstration under Grant Agreement no. 621364 (TUTIC-Green).</w:t>
      </w:r>
    </w:p>
    <w:p w14:paraId="5EE47C20" w14:textId="40734B34" w:rsidR="008231B5" w:rsidRDefault="008231B5" w:rsidP="008341A6">
      <w:pPr>
        <w:spacing w:line="480" w:lineRule="auto"/>
        <w:jc w:val="both"/>
      </w:pPr>
    </w:p>
    <w:p w14:paraId="788172EA" w14:textId="51B94A56" w:rsidR="008C34B3" w:rsidRDefault="00AC028E" w:rsidP="00242256">
      <w:pPr>
        <w:pStyle w:val="Heading1"/>
      </w:pPr>
      <w:r w:rsidRPr="00AC028E">
        <w:t xml:space="preserve">References </w:t>
      </w:r>
    </w:p>
    <w:p w14:paraId="7CC39B07" w14:textId="2DB70CEE" w:rsidR="00EE1963" w:rsidRPr="00EE1963" w:rsidRDefault="0045714F" w:rsidP="00EE1963">
      <w:pPr>
        <w:widowControl w:val="0"/>
        <w:autoSpaceDE w:val="0"/>
        <w:autoSpaceDN w:val="0"/>
        <w:adjustRightInd w:val="0"/>
        <w:spacing w:line="240" w:lineRule="auto"/>
        <w:ind w:left="480" w:hanging="480"/>
        <w:rPr>
          <w:rFonts w:cs="Times New Roman"/>
          <w:noProof/>
          <w:sz w:val="24"/>
          <w:szCs w:val="24"/>
        </w:rPr>
      </w:pPr>
      <w:r w:rsidRPr="00783958">
        <w:rPr>
          <w:sz w:val="24"/>
          <w:szCs w:val="24"/>
        </w:rPr>
        <w:fldChar w:fldCharType="begin" w:fldLock="1"/>
      </w:r>
      <w:r w:rsidRPr="00783958">
        <w:rPr>
          <w:sz w:val="24"/>
          <w:szCs w:val="24"/>
        </w:rPr>
        <w:instrText xml:space="preserve">ADDIN Mendeley Bibliography CSL_BIBLIOGRAPHY </w:instrText>
      </w:r>
      <w:r w:rsidRPr="00783958">
        <w:rPr>
          <w:sz w:val="24"/>
          <w:szCs w:val="24"/>
        </w:rPr>
        <w:fldChar w:fldCharType="separate"/>
      </w:r>
      <w:r w:rsidR="00EE1963" w:rsidRPr="00EE1963">
        <w:rPr>
          <w:rFonts w:cs="Times New Roman"/>
          <w:noProof/>
          <w:sz w:val="24"/>
          <w:szCs w:val="24"/>
        </w:rPr>
        <w:t>Adamovich, S.N., Mirskov, R.G., Mirskova, A.N., Voronkov, M.G., 2012. Biologically active protic (2-hydroxyethyl)ammonium ionic liquids. Liquid aspirin. Russ. Chem. Bull. 61, 1260–1261. doi:10.1007/s11172-012-0172-9</w:t>
      </w:r>
    </w:p>
    <w:p w14:paraId="771F4EB4"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Alcalde, E., Dinarès, I., Ibáñez, A., Mesquida, N., 2012. A simple halide-to-anion exchange method for heteroaromatic salts and ionic liquids. Molecules 17, 4007–4027. doi:10.3390/molecules17044007</w:t>
      </w:r>
    </w:p>
    <w:p w14:paraId="071B56A4"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Amde, M., Liu, J.F., Pang, L., 2015. Environmental Application, Fate, Effects, and Concerns of Ionic Liquids: A Review. Environ. Sci. Technol. doi:10.1021/acs.est.5b03123</w:t>
      </w:r>
    </w:p>
    <w:p w14:paraId="3ED77FCF"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An, Y.X., Zong, M.H., Wu, H., Li, N., 2015. Pretreatment of lignocellulosic biomass with renewable cholinium ionic liquids: Biomass fractionation, enzymatic digestion and ionic liquid reuse. Bioresour. Technol. 192, 165–171. doi:10.1016/j.biortech.2015.05.064</w:t>
      </w:r>
    </w:p>
    <w:p w14:paraId="6C4F04CF"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Armand, M., Endres, F., MacFarlane, D.R., Ohno, H., Scrosati, B., 2009. Ionic-liquid materials for the electrochemical challenges of the future. Nat. Mater. 8, 621–629. doi:10.1038/nmat2448</w:t>
      </w:r>
    </w:p>
    <w:p w14:paraId="2E786685"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Austen Angell, C., Ansari, Y., Zhao, Z., 2012. Ionic Liquids: Past, present and future. Faraday Discuss. 154, 9–27. doi:10.1039/C1FD00112D</w:t>
      </w:r>
    </w:p>
    <w:p w14:paraId="5C01D6C1"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Bernot, R.J., Brueseke, M.A., Evans-White, M.A., Lamberti, G.A., 2005. Acute and Chronic Toxicity of Imidazolium-Based Ionic Liquids on Daphnia Magna. Environ. Toxicol. Chem. 24, 87. doi:10.1897/03-635.1</w:t>
      </w:r>
    </w:p>
    <w:p w14:paraId="4D988D2B"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Bodmann, K., Manuela, I., 2005. Process for the preparation of 2-(n,n-dialkylamino)-ethoxy compounds. EP1520849 (A1).</w:t>
      </w:r>
    </w:p>
    <w:p w14:paraId="706C8967"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Coleman, D., Gathergood, N., 2010. Biodegradation studies of ionic liquids. Chem. Soc. Rev. 39, 600–637. doi:10.1039/b817717c</w:t>
      </w:r>
    </w:p>
    <w:p w14:paraId="0EE02C0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Deng, Y., Beadham, I., Ghavre, M., Costa Gomes, M.F., Gathergood, N., Husson, P., Legeret, B., Quilty, B., Sancelme, M., Besse-Hoggan, P., 2015. When can ionic liquids be considered readily biodegradable? Biodegradation pathways of pyridinium, pyrrolidinium and ammonium-based ionic liquids. Green Chem. 17, 1479–1491. doi:10.1039/C4GC01904K</w:t>
      </w:r>
    </w:p>
    <w:p w14:paraId="4904F84E"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Ding, Y.J., Nie, Y., Yu, Y., 2011. Anti-microbial Activities of Protic Ionic Liquids Studied with Microcalorimetry Method. Chem. Res. Chinese Univ. 27, 651–654.</w:t>
      </w:r>
    </w:p>
    <w:p w14:paraId="5EB6AF49"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Dipeolu, O., Green, E., Stephens, G., 2009. Effects of water-miscible ionic liquids on cell growth and nitro reduction using Clostridium sporogenes. Green Chem. 11, 397–401. doi:10.1039/b812600c</w:t>
      </w:r>
    </w:p>
    <w:p w14:paraId="216F7364"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Docherty, K.M., Hebbeler, S.Z., Kulpa, Jr., C.F., 2006. An assessment of ionic liquid mutagenicity using the Ames Test. Green Chem. 8, 560–567. doi:10.1039/B602418A</w:t>
      </w:r>
    </w:p>
    <w:p w14:paraId="4BAA7E1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lastRenderedPageBreak/>
        <w:t>Docherty, K.M., Kulpa, Jr., C.F., 2005. Toxicity and antimicrobial activity of imidazolium and pyridinium ionic liquids. Green Chem. 7, 185. doi:10.1039/b419172b</w:t>
      </w:r>
    </w:p>
    <w:p w14:paraId="66B361F6"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Dolezal, R., Soukup, O., Malinak, D., Savedra, R.M.L., Marek, J., Dolezalova, M., Pasdiorova, M., Salajkova, S., Korabecny, J., Honegr, J., Ramalho, T.C., Kuca, K., 2016. Towards understanding the mechanism of action of antibacterial N-alkyl-3-hydroxypyridinium salts: Biological activities, molecular modeling and QSAR studies. Eur. J. Med. Chem. 121, 699–711. doi:10.1016/j.ejmech.2016.05.058</w:t>
      </w:r>
    </w:p>
    <w:p w14:paraId="0AC20A04"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e Silva, F.A., Siopa, F., Figueiredo, B.F.H.T., Gonçalves, A.M.M., Pereira, J.L., Gonçalves, F., Coutinho, J.A.P., Afonso, C.A.M., Ventura, S.P.M., 2014. Sustainable design for environment-friendly mono and dicationic cholinium-based ionic liquids. Ecotoxicol. Environ. Saf. 108, 302–310. doi:10.1016/j.ecoenv.2014.07.003</w:t>
      </w:r>
    </w:p>
    <w:p w14:paraId="5106E14B"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Egorova, K.S., Ananikov, V.P., 2014. Toxicity of ionic liquids: Eco(cyto)activity as complicated, but unavoidable parameter for task-specific optimization. ChemSusChem. doi:10.1002/cssc.201300459</w:t>
      </w:r>
    </w:p>
    <w:p w14:paraId="0FFDC9AC"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El Hage, S., Lajoie, B., Stigliani, J.L., Furiga-Chusseau, A., Roques, C., Baziard, G., 2014. Synthesis, antimicrobial activity and physico-chemical properties of some n-alkyldimethylbenzylammonium halides. J. Appl. Biomed. 12, 245–253. doi:10.1016/j.jab.2014.02.002</w:t>
      </w:r>
    </w:p>
    <w:p w14:paraId="162E93A5"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Ferlin, N., Courty, M., Gatard, S., Spulak, M., Quilty, B., Beadham, I., Ghavre, M., Haiß, A., Kümmerer, K., Gathergood, N., Bouquillon, S., 2013a. Biomass derived ionic liquids: Synthesis from natural organic acids, characterization, toxicity, biodegradation and use as solvents for catalytic hydrogenation processes. Tetrahedron 69, 6150–6161. doi:10.1016/j.tet.2013.05.054</w:t>
      </w:r>
    </w:p>
    <w:p w14:paraId="13E2D159"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Ferlin, N., Courty, M., Van Nhien, A.N., Gatard, S., Pour, M., Quilty, B., Ghavre, M., Haiß, A., Kümmerer, K., Gathergood, N., Bouquillon, S., 2013b. Tetrabutylammonium prolinate-based ionic liquids: a combined asymmetric catalysis, antimicrobial toxicity and biodegradation assessment. RSC Adv. 3, 26241. doi:10.1039/c3ra43785j</w:t>
      </w:r>
    </w:p>
    <w:p w14:paraId="7F8603D7"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Fukaya, Y., Iizuka, Y., Sekikawa, K., Ohno, H., 2007. Bio ionic liquids: room temperature ionic liquids composed wholly of biomaterials. Green Chem. 9, 1155–1157. doi:10.1039/b706571j</w:t>
      </w:r>
    </w:p>
    <w:p w14:paraId="534E5E5E"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Garcia, H., Ferreira, R., Petkovic, M., Ferguson, J.L., Leitão, M.C., Gunaratne, H.Q.N., Seddon, K.R., Rebelo, L.P.N., Silva Pereira, C., 2010. Dissolution of cork biopolymers in biocompatible ionic liquids. Green Chem. 12, 367. doi:10.1039/b922553f</w:t>
      </w:r>
    </w:p>
    <w:p w14:paraId="00872161"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Ghavre, M., Byrne, O., Altes, L., Surolia, P.K., Spulak, M., Quilty, B., Thampi, K.R., Gathergood, N., 2014. Low toxicity functionalised imidazolium salts for task specific ionic liquid electrolytes in dye-sensitized solar cells: a step towards less hazardous energy production. Green Chem. 16, 2252–2265. doi:10.1039/c3gc42393j</w:t>
      </w:r>
    </w:p>
    <w:p w14:paraId="5B1848EC"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Greaves, T.L., Drummond, C.J., 2015. Protic Ionic Liquids: Evolving Structure-Property Relationships and Expanding Applications. Chem. Rev. doi:10.1021/acs.chemrev.5b00158</w:t>
      </w:r>
    </w:p>
    <w:p w14:paraId="4DB278E6"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Haiß, A., Jordan, A., Westphal, J., Logunova, E., Gathergood, N., Kümmerer, K., 2016. On the way to greener ionic liquids: identification of a fully mineralizable phenylalanine-based ionic liquid. Green Chem. 18, 4361–4373. doi:10.1039/C6GC00417B</w:t>
      </w:r>
    </w:p>
    <w:p w14:paraId="52D4FBD3"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lastRenderedPageBreak/>
        <w:t>Hallett, J.P., Welton, T., 2011. Room-Temperature Ionic Liquids. Solvents for Synthesis and Catalysis. 2. Chem. Rev. 111, 3508–3576. doi:10.1021/cr1003248</w:t>
      </w:r>
    </w:p>
    <w:p w14:paraId="4FCDB98C"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Hou, X.D., Li, N., Zong, M.H., 2013a. Facile and simple pretreatment of sugar cane bagasse without size reduction using renewable ionic liquidswater mixtures. ACS Sustain. Chem. Eng. 1, 519–526. doi:10.1021/sc300172v</w:t>
      </w:r>
    </w:p>
    <w:p w14:paraId="22541F48"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Hou, X.D., Liu, Q.P., Smith, T.J., Li, N., Zong, M.-H., 2013b. Evaluation of Toxicity and Biodegradability of Cholinium Amino Acids Ionic Liquids. PLoS One 8, e59145. doi:10.1371/journal.pone.0059145</w:t>
      </w:r>
    </w:p>
    <w:p w14:paraId="1040C475"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Idris, A., Vijayaraghavan, R., Patti, A.F., Macfarlane, D.R., 2014. Distillable protic ionic liquids for keratin dissolution and recovery. ACS Sustain. Chem. Eng. 2, 1888–1894. doi:10.1021/sc500229a</w:t>
      </w:r>
    </w:p>
    <w:p w14:paraId="1FBD71EE"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Ismail Hossain, M., El-Harbawi, M., Noaman, Y.A., Bustam, M.A.B., Alitheen, N.B.M., Affandi, N.A., Hefter, G., Yin, C.Y., 2011. Synthesis and anti-microbial activity of hydroxylammonium ionic liquids. Chemosphere 84, 101–104. doi:10.1016/j.chemosphere.2011.02.048</w:t>
      </w:r>
    </w:p>
    <w:p w14:paraId="41C87E7E"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Jordan, A., Gathergood, N., 2015. Biodegradation of ionic liquids - a critical review. Chem. Soc. Rev. 44, 8200–8237. doi:10.1039/c5cs00444f</w:t>
      </w:r>
    </w:p>
    <w:p w14:paraId="43A9891B"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Jordan, A., Haiß, A., Spulak, M., Karpichev, Y., Kümmerer, K., Gathergood, N., 2016. Synthesis of a series of amino acid derived ionic liquids and tertiary amines: green chemistry metrics including microbial toxicity and preliminary biodegradation data analysis. Green Chem. 18, 4374–4392. doi:10.1039/C6GC00415F</w:t>
      </w:r>
    </w:p>
    <w:p w14:paraId="59FDA8C6"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Kilpeläinen, I., Xie, H., King, A., Granstrom, M., Heikkinen, S., Argyropoulos, D.S., 2007. Dissolution of wood in ionic liquids. J. Agric. Food Chem. 55, 9142–9148. doi:10.1021/jf071692e</w:t>
      </w:r>
    </w:p>
    <w:p w14:paraId="73409735"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Liu, L., Hu, Y., Wen, P., Li, N., Zong, M., Ou-Yang, B., Wu, H., 2015. Evaluating the effects of biocompatible cholinium ionic liquids on microbial lipid production by Trichosporon fermentans. Biotechnol. Biofuels 8, 119. doi:10.1186/s13068-015-0299-7</w:t>
      </w:r>
    </w:p>
    <w:p w14:paraId="0FF5BFF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MacFarlane, D.R., Chong, A.L., Forsyth, M., Kar, M., Vijayaraghavan, R., Somers, A., Pringle, J.M., 2017. New dimensions in salt–solvent mixtures: a 4th evolution of ionic liquids. Faraday Discuss. doi:10.1039/C7FD00189D</w:t>
      </w:r>
    </w:p>
    <w:p w14:paraId="61D16BC5"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Macfarlane, D.R., Forsyth, M., Howlett, P.C., Pringle, J.M., Sun, J., Annat, G., Neil, W., Izgorodina, E.I., 2007. Ionic liquids in electrochemical devices and processes: Managing interfacial electrochemistry. Acc. Chem. Res. 40, 1165–1173. doi:10.1021/ar7000952</w:t>
      </w:r>
    </w:p>
    <w:p w14:paraId="3A2061FF"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Macfarlane, D.R., Tachikawa, N., Forsyth, M., Pringle, J.M., Howlett, P.C., Elliott, G.D., Davis, J.H., Watanabe, M., Simon, P., Angell, C.A., 2014. Energy applications of ionic liquids. Energy Environ. Sci. 7, 232–250.</w:t>
      </w:r>
    </w:p>
    <w:p w14:paraId="075C5007"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Matzke, M., Stolte, S., Thiele, K., Juffernholz, T., Arning, J.J.J., Ranke, J., Welz-Biermann, U., Jastorff, B., Böschen, A., Pitner, W.-R., Matzke, M., Arning, J.J.J., Böschen, A., Pitner, W.-R., Welz-Biermann, U., Jastorff, B., Ranke, J., 2007. Effects of different head groups and functionalised side chains on the aquatic toxicity of ionic liquids. Green Chem. 9, 1170–1179. doi:10.1039/b711119c</w:t>
      </w:r>
    </w:p>
    <w:p w14:paraId="7B76CE97"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 xml:space="preserve">Morrissey, S., Pegot, B., Coleman, D., Garcia, M.T., Ferguson, D., Quilty, B., Gathergood, N., 2009. Biodegradable, non-bactericidal oxygen-functionalised imidazolium esters: A </w:t>
      </w:r>
      <w:r w:rsidRPr="00EE1963">
        <w:rPr>
          <w:rFonts w:cs="Times New Roman"/>
          <w:noProof/>
          <w:sz w:val="24"/>
          <w:szCs w:val="24"/>
        </w:rPr>
        <w:lastRenderedPageBreak/>
        <w:t>step towards “greener” ionic liquids. Green Chem. 11, 475. doi:10.1039/b812809j</w:t>
      </w:r>
    </w:p>
    <w:p w14:paraId="17E083F3"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Muhammad, N., Hossain, M.I., Man, Z., El-harbawi, M., Bustam, M.A., Noaman, Y.A., Banu, N., Alitheen, M., Ng, M.K., Hefter, G., Yin, C., 2012. Synthesis and Physical Properties of Choline Carboxylate Ionic Liquids. J. Chem. Eng. Data 57, 2191–2196.</w:t>
      </w:r>
    </w:p>
    <w:p w14:paraId="1B32B5F4"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Myles, L., Gathergood, N., Connon, S.J., 2013a. The catalytic versatility of low toxicity dialkyltriazolium salts: in situ modification facilitates diametrically opposed catalysis modes in one pot. Chem. Commun. 49, 5316–8. doi:10.1039/c3cc41588k</w:t>
      </w:r>
    </w:p>
    <w:p w14:paraId="037B1FB8"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Myles, L., Gore, R.G., Gathergood, N., Connon, S.J., 2013b. A new generation of aprotic yet Brønsted acidic imidazolium salts: low toxicity, high recyclability and greatly improved activity. Green Chem. 15, 2740. doi:10.1039/c3gc40975a</w:t>
      </w:r>
    </w:p>
    <w:p w14:paraId="257C93A9"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Ninomiya, K., Yamauchi, T., Kobayashi, M., Ogino, C., Shimizu, N., Takahashi, K., 2013. Cholinium carboxylate ionic liquids for pretreatment of lignocellulosic materials to enhance subsequent enzymatic saccharification. Biochem. Eng. J. 71, 25–29. doi:10.1016/j.bej.2012.11.012</w:t>
      </w:r>
    </w:p>
    <w:p w14:paraId="37398E9D"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Oliveira, M.V.S., Vidal, B.T., Melo, C.M., de Miranda, R. de C.M., Soares, C.M.F., Coutinho, J.A.P., Ventura, S.P.M., Mattedi, S., Lima, Á.S., 2016. (Eco)toxicity and biodegradability of protic ionic liquids. Chemosphere 147, 460–466. doi:10.1016/j.chemosphere.2015.11.016</w:t>
      </w:r>
    </w:p>
    <w:p w14:paraId="3620FD2B"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Parvulescu, V.I., Hardacre, C., 2007. Catalysis in Ionic Liquids. Chem. Rev. 107, 2615–2665. doi:10.1016/S0360-0564(05)49003-3</w:t>
      </w:r>
    </w:p>
    <w:p w14:paraId="2A9D362F"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Peric, B., Sierra, J., Martí, E., Cruañas, R., Garau, M.A., 2014. A comparative study of the terrestrial ecotoxicity of selected protic and aprotic ionic liquids. Chemosphere 108, 418–425. doi:10.1016/j.chemosphere.2014.02.043</w:t>
      </w:r>
    </w:p>
    <w:p w14:paraId="6C348190"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Petkovic, M., Ferguson, J., Bohn, A., Trindade, J., Martins, I., Carvalho, M.B., Leitão, M.C., Rodrigues, C., Garcia, H., Ferreira, R., Seddon, K.R., Rebelo, L.P.N., Silva Pereira, C., 2009. Exploring fungal activity in the presence of ionic liquids. Green Chem. 11, 889. doi:10.1039/b823225c</w:t>
      </w:r>
    </w:p>
    <w:p w14:paraId="355B5F0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Petkovic, M., Seddon, K.R., Rebelo, L.P.N., Pereira, C.S., 2011. Ionic liquids: a pathway to environmental acceptability. Chem. Soc. Rev. 40, 1383–1403. doi:10.1039/c004968a</w:t>
      </w:r>
    </w:p>
    <w:p w14:paraId="0D58A69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Prydderch, H., Haiβ, A., Spulak, M., Quilty, B., Kümmerer, K., Heise, A., Gathergood, N., 2017. Mandelic acid derived ionic liquids: synthesis, toxicity and biodegradability. RSC Adv. 7, 2115–2126. doi:10.1039/C6RA25562K</w:t>
      </w:r>
    </w:p>
    <w:p w14:paraId="1CFAF686"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Ranke, J., Müller, A., Bottin-Weber, U., Stock, F., Stolte, S., Arning, J., Störmann, R., Jastorff, B., 2007. Lipophilicity parameters for ionic liquid cations and their correlation to in vitro cytotoxicity. Ecotoxicol. Environ. Saf. 67, 430–438. doi:10.1016/j.ecoenv.2006.08.008</w:t>
      </w:r>
    </w:p>
    <w:p w14:paraId="62D03118"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Reid, J.E.S.J., Agapito, F., Bernardes, C.E.S., Martins, F., Walker, A.J., Shimizu, S., Piedade, M.E.M. da, Minas da Piedade, M.E., 2017a. Structure–property relationships in protic ionic liquids: a thermochemical study. Phys. Chem. Chem. Phys. 19, 19928–19936. doi:10.1039/C7CP02230A</w:t>
      </w:r>
    </w:p>
    <w:p w14:paraId="67F84B5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 xml:space="preserve">Reid, J.E.S.J., Bernardes, C.E.S., Agapito, F., Martins, F., Shimizu, S., Minas da Piedade, M.E., Walker, A.J., 2017b. Structure-property relationships in protic ionic liquids: a study of solvent-solvent and solvent-solute interactions. Phys. Chem. Chem. Phys. 19, </w:t>
      </w:r>
      <w:r w:rsidRPr="00EE1963">
        <w:rPr>
          <w:rFonts w:cs="Times New Roman"/>
          <w:noProof/>
          <w:sz w:val="24"/>
          <w:szCs w:val="24"/>
        </w:rPr>
        <w:lastRenderedPageBreak/>
        <w:t>28133–28138. doi:10.1039/C7CP05076C</w:t>
      </w:r>
    </w:p>
    <w:p w14:paraId="3B6E6E51"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Reid, J.E.S.J., Gammons, R.J., Slattery, J.M., Walker, A.J., Shimizu, S., 2017c. Interactions in Water–Ionic Liquid Mixtures: Comparing Protic and Aprotic Systems. J. Phys. Chem. B 121, 599–609. doi:10.1021/acs.jpcb.6b10562</w:t>
      </w:r>
    </w:p>
    <w:p w14:paraId="168AF7FD"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Reid, J.E.S.J., Sullivan, N., Swift, L., Hembury, G.A., Shimizu, S., Walker, A.J., 2015. Assessing the mutagenicity of protic ionic liquids using the mini Ames test. Sustain. Chem. Process. 3, 17. doi:10.1186/s40508-015-0044-3</w:t>
      </w:r>
    </w:p>
    <w:p w14:paraId="6C58613A"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Romero, A., Santos, A., Tojo, J., Rodríguez, A., 2008. Toxicity and biodegradability of imidazolium ionic liquids. J. Hazard. Mater. 151, 268–273. doi:10.1016/j.jhazmat.2007.10.079</w:t>
      </w:r>
    </w:p>
    <w:p w14:paraId="1596D061"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Russell, A.D., Gould, G.W., 1988. Resistance of Enterobacteriaceae to preservatives and disinfectants. J. Appl. Bacteriol. 65, 167S–195S. doi:10.1111/j.1365-2672.1988.tb04651.x</w:t>
      </w:r>
    </w:p>
    <w:p w14:paraId="55C4D8B4"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Santos, J.I.. I., Gonçalves, A.M.M., Pereira, J.L.. L., Figueiredo, B.F.H.T., e Silva, F.A., Coutinho, J.A.P., Ventura, S.P.M., Gonçalves, F., 2015. Environmental safety of cholinium-based ionic liquids: assessing structure–ecotoxicity relationships. Green Chem. 17, 4657–4668. doi:10.1039/C5GC01129A</w:t>
      </w:r>
    </w:p>
    <w:p w14:paraId="7BBA4575"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Seward, J.R., Schultz, T.W., 1999. QSAR Analyses of the Toxicity of Aliphatic Carboxylic Acids and Salts to Tetrahymena Pyriformis. SAR QSAR Environ. Res. 10, 557–567. doi:10.1080/10629369908033224</w:t>
      </w:r>
    </w:p>
    <w:p w14:paraId="34079211"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Sheldon, R., 2001. Catalytic reactions in ionic liquids. Chem. Commun. 3, 2399–2407. doi:10.1039/b107270f</w:t>
      </w:r>
    </w:p>
    <w:p w14:paraId="217B53B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Sheldon, R.A., 2016. Biocatalysis and Biomass Conversion in Alternative Reaction Media. Chem. - A Eur. J. 22, 12984–12999. doi:10.1002/chem.201601940</w:t>
      </w:r>
    </w:p>
    <w:p w14:paraId="13468C03"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Smiglak, M., Pringle, J.M.M., Lu, X., Han, L., Zhang, S., Gao, H., MacFarlane, D.R., Rogers, R.D., 2014. Ionic liquids for energy, materials, and medicine. Chem. Commun. 50, asap. doi:10.1039/c4cc02021a</w:t>
      </w:r>
    </w:p>
    <w:p w14:paraId="14761959"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Stoimenovski, J., Dean, P.M., Izgorodina, E.I., MacFarlane, D.R., 2012. Protic pharmaceutical ionic liquids and solids: Aspects of protonics. Faraday Discuss. 154, 335–352. doi:10.1039/c1fd00071c</w:t>
      </w:r>
    </w:p>
    <w:p w14:paraId="11B71F09"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Stolte, S., Steudte, S., Areitioaurtena, O., Pagano, F., Thöming, J., Stepnowski, P., Igartua, A., 2012. Ionic liquids as lubricants or lubrication additives: An ecotoxicity and biodegradability assessment. Chemosphere 89, 1135–1141. doi:10.1016/j.chemosphere.2012.05.102</w:t>
      </w:r>
    </w:p>
    <w:p w14:paraId="392E5C7C"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Tzani, A., Elmaloglou, M., Kyriazis, C., Aravopoulou, D., Kleidas, I., Papadopoulos, A., Ioannou, E., Kyritsis, A., Voutsas, E., Detsi, A., 2016. Synthesis and structure-properties relationship studies of biodegradable hydroxylammonium-based protic ionic liquids. J. Mol. Liq. 224, 366–376. doi:10.1016/j.molliq.2016.09.086</w:t>
      </w:r>
    </w:p>
    <w:p w14:paraId="429ECE13"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Verdía, P., Brandt, A., Hallett, J.P., Ray, M.J., Welton, T., 2014. Fractionation of lignocellulosic biomass with the ionic liquid 1-butylimidazolium hydrogen sulfate. Green Chem. 16, 1617–1627. doi:10.1039/c3gc41742e</w:t>
      </w:r>
    </w:p>
    <w:p w14:paraId="61547E40"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 xml:space="preserve">Vermuë, M., Sikkema, J., Verheul,  a, Bakker, R., Tramper, J., 1993. Toxicity of homologous </w:t>
      </w:r>
      <w:r w:rsidRPr="00EE1963">
        <w:rPr>
          <w:rFonts w:cs="Times New Roman"/>
          <w:noProof/>
          <w:sz w:val="24"/>
          <w:szCs w:val="24"/>
        </w:rPr>
        <w:lastRenderedPageBreak/>
        <w:t>series of organic solvents for the gram-positive bacteria Arthrobacter and Nocardia Sp. and the gram-negative bacteria Acinetobacter and Pseudomonas Sp. Biotechnol. Bioeng. 42, 747–758. doi:10.1002/bit.260420610</w:t>
      </w:r>
    </w:p>
    <w:p w14:paraId="017C44CE"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Walker, A.J., 2004. Ionic liquids comprising nitrogen containing cations. Eur. Pat. 1 805 131. EP1805131.</w:t>
      </w:r>
    </w:p>
    <w:p w14:paraId="1768475D"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Walker, A.J., Bruce, N.C., 2004a. Combined biological and chemical catalysis in the preparation of oxycodone. Tetrahedron 60, 561–568. doi:10.1016/j.tet.2003.11.063</w:t>
      </w:r>
    </w:p>
    <w:p w14:paraId="16867AEE"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Walker, A.J., Bruce, N.C., 2004b. Cofactor-dependent enzyme catalysis in functionalized ionic solvents. Chem. Commun. 1, 2570–2571. doi:10.1039/b410467f</w:t>
      </w:r>
    </w:p>
    <w:p w14:paraId="4026A7A8"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Wang, H., Gurau, G., Rogers, R.D., 2012. Ionic liquid processing of cellulose. Chem. Soc. Rev. 41, 1519–1537. doi:10.1039/c2cs15311d</w:t>
      </w:r>
    </w:p>
    <w:p w14:paraId="25FABA27"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Wang, Z., 2010. Comprehensive Organic Name Reactions and Reagents, Vol. 1. John Wiley &amp; Sons, Inc., Hoboken, NJ, USA. doi:10.1002/9780470638859</w:t>
      </w:r>
    </w:p>
    <w:p w14:paraId="1EC42B5C"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Wells, A.S., Coombe, V.T., 2006. On the freshwater ecotoxicity and biodegradation properties of some common ionic liquids. Org. Process Res. Dev. 10, 794–798. doi:10.1021/op060048i</w:t>
      </w:r>
    </w:p>
    <w:p w14:paraId="66C01CF2"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szCs w:val="24"/>
        </w:rPr>
      </w:pPr>
      <w:r w:rsidRPr="00EE1963">
        <w:rPr>
          <w:rFonts w:cs="Times New Roman"/>
          <w:noProof/>
          <w:sz w:val="24"/>
          <w:szCs w:val="24"/>
        </w:rPr>
        <w:t>Xu, W., Angell, C.A., 2003. Solvent-free electrolytes with aqueous solution-like conductivities. Science 302, 422–425. doi:10.1126/science.1090287</w:t>
      </w:r>
    </w:p>
    <w:p w14:paraId="7323566A" w14:textId="77777777" w:rsidR="00EE1963" w:rsidRPr="00EE1963" w:rsidRDefault="00EE1963" w:rsidP="00EE1963">
      <w:pPr>
        <w:widowControl w:val="0"/>
        <w:autoSpaceDE w:val="0"/>
        <w:autoSpaceDN w:val="0"/>
        <w:adjustRightInd w:val="0"/>
        <w:spacing w:line="240" w:lineRule="auto"/>
        <w:ind w:left="480" w:hanging="480"/>
        <w:rPr>
          <w:rFonts w:cs="Times New Roman"/>
          <w:noProof/>
          <w:sz w:val="24"/>
        </w:rPr>
      </w:pPr>
      <w:r w:rsidRPr="00EE1963">
        <w:rPr>
          <w:rFonts w:cs="Times New Roman"/>
          <w:noProof/>
          <w:sz w:val="24"/>
          <w:szCs w:val="24"/>
        </w:rPr>
        <w:t>Zhao, D., Liao, Y., Zhang, Z.D., 2007. Toxicity of ionic liquids. Clean - Soil, Air, Water 35, 42–48. doi:10.1002/clen.200600015</w:t>
      </w:r>
    </w:p>
    <w:p w14:paraId="11AD7EF9" w14:textId="7D15FEF5" w:rsidR="0045714F" w:rsidRPr="00783958" w:rsidRDefault="0045714F" w:rsidP="0045714F">
      <w:pPr>
        <w:rPr>
          <w:sz w:val="24"/>
          <w:szCs w:val="24"/>
        </w:rPr>
      </w:pPr>
      <w:r w:rsidRPr="00783958">
        <w:rPr>
          <w:sz w:val="24"/>
          <w:szCs w:val="24"/>
        </w:rPr>
        <w:fldChar w:fldCharType="end"/>
      </w:r>
    </w:p>
    <w:sectPr w:rsidR="0045714F" w:rsidRPr="00783958">
      <w:footerReference w:type="default" r:id="rId3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23B57" w14:textId="77777777" w:rsidR="00420378" w:rsidRDefault="00420378" w:rsidP="00603AD7">
      <w:pPr>
        <w:spacing w:after="0" w:line="240" w:lineRule="auto"/>
      </w:pPr>
      <w:r>
        <w:separator/>
      </w:r>
    </w:p>
  </w:endnote>
  <w:endnote w:type="continuationSeparator" w:id="0">
    <w:p w14:paraId="7B32D261" w14:textId="77777777" w:rsidR="00420378" w:rsidRDefault="00420378" w:rsidP="0060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713408"/>
      <w:docPartObj>
        <w:docPartGallery w:val="Page Numbers (Bottom of Page)"/>
        <w:docPartUnique/>
      </w:docPartObj>
    </w:sdtPr>
    <w:sdtEndPr>
      <w:rPr>
        <w:noProof/>
      </w:rPr>
    </w:sdtEndPr>
    <w:sdtContent>
      <w:p w14:paraId="2A7044CE" w14:textId="57614FA0" w:rsidR="004F4342" w:rsidRDefault="004F4342">
        <w:pPr>
          <w:pStyle w:val="Footer"/>
          <w:jc w:val="center"/>
        </w:pPr>
        <w:r>
          <w:fldChar w:fldCharType="begin"/>
        </w:r>
        <w:r>
          <w:instrText xml:space="preserve"> PAGE   \* MERGEFORMAT </w:instrText>
        </w:r>
        <w:r>
          <w:fldChar w:fldCharType="separate"/>
        </w:r>
        <w:r w:rsidR="000F1D76">
          <w:rPr>
            <w:noProof/>
          </w:rPr>
          <w:t>22</w:t>
        </w:r>
        <w:r>
          <w:rPr>
            <w:noProof/>
          </w:rPr>
          <w:fldChar w:fldCharType="end"/>
        </w:r>
      </w:p>
    </w:sdtContent>
  </w:sdt>
  <w:p w14:paraId="4E6496C6" w14:textId="77777777" w:rsidR="004F4342" w:rsidRDefault="004F4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EB4F" w14:textId="77777777" w:rsidR="00420378" w:rsidRDefault="00420378" w:rsidP="00603AD7">
      <w:pPr>
        <w:spacing w:after="0" w:line="240" w:lineRule="auto"/>
      </w:pPr>
      <w:r>
        <w:separator/>
      </w:r>
    </w:p>
  </w:footnote>
  <w:footnote w:type="continuationSeparator" w:id="0">
    <w:p w14:paraId="4EF3C74B" w14:textId="77777777" w:rsidR="00420378" w:rsidRDefault="00420378" w:rsidP="0060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957"/>
    <w:multiLevelType w:val="hybridMultilevel"/>
    <w:tmpl w:val="8420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0C4"/>
    <w:multiLevelType w:val="hybridMultilevel"/>
    <w:tmpl w:val="FBD2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7431D"/>
    <w:multiLevelType w:val="hybridMultilevel"/>
    <w:tmpl w:val="EF16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0827F0"/>
    <w:multiLevelType w:val="hybridMultilevel"/>
    <w:tmpl w:val="AB98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46980"/>
    <w:multiLevelType w:val="hybridMultilevel"/>
    <w:tmpl w:val="328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7049E"/>
    <w:multiLevelType w:val="hybridMultilevel"/>
    <w:tmpl w:val="B1EE80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145D51"/>
    <w:multiLevelType w:val="hybridMultilevel"/>
    <w:tmpl w:val="CFBA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123A3"/>
    <w:multiLevelType w:val="hybridMultilevel"/>
    <w:tmpl w:val="B97E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E02FA"/>
    <w:multiLevelType w:val="hybridMultilevel"/>
    <w:tmpl w:val="D3D6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C42E9"/>
    <w:multiLevelType w:val="hybridMultilevel"/>
    <w:tmpl w:val="F9E6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E2E05"/>
    <w:multiLevelType w:val="hybridMultilevel"/>
    <w:tmpl w:val="3E1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9611B"/>
    <w:multiLevelType w:val="hybridMultilevel"/>
    <w:tmpl w:val="045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F52F6"/>
    <w:multiLevelType w:val="hybridMultilevel"/>
    <w:tmpl w:val="92AC3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9728FE"/>
    <w:multiLevelType w:val="hybridMultilevel"/>
    <w:tmpl w:val="C9E2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9E6B54"/>
    <w:multiLevelType w:val="hybridMultilevel"/>
    <w:tmpl w:val="8F9CC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3"/>
  </w:num>
  <w:num w:numId="4">
    <w:abstractNumId w:val="9"/>
  </w:num>
  <w:num w:numId="5">
    <w:abstractNumId w:val="6"/>
  </w:num>
  <w:num w:numId="6">
    <w:abstractNumId w:val="0"/>
  </w:num>
  <w:num w:numId="7">
    <w:abstractNumId w:val="8"/>
  </w:num>
  <w:num w:numId="8">
    <w:abstractNumId w:val="10"/>
  </w:num>
  <w:num w:numId="9">
    <w:abstractNumId w:val="11"/>
  </w:num>
  <w:num w:numId="10">
    <w:abstractNumId w:val="1"/>
  </w:num>
  <w:num w:numId="11">
    <w:abstractNumId w:val="3"/>
  </w:num>
  <w:num w:numId="12">
    <w:abstractNumId w:val="14"/>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Layout" w:val="&lt;ENLayout&gt;&lt;Style&gt;Royal Society of Chemistry 2&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wea2fe2l9ta2pe2dvkx5vx299vzdafeex9d&quot;&gt;PhD Endnote Library&lt;record-ids&gt;&lt;item&gt;186&lt;/item&gt;&lt;/record-ids&gt;&lt;/item&gt;&lt;/Libraries&gt;"/>
  </w:docVars>
  <w:rsids>
    <w:rsidRoot w:val="00D6333F"/>
    <w:rsid w:val="0000016A"/>
    <w:rsid w:val="0000099D"/>
    <w:rsid w:val="00001E7F"/>
    <w:rsid w:val="00002B06"/>
    <w:rsid w:val="00006728"/>
    <w:rsid w:val="00007B3F"/>
    <w:rsid w:val="000100E6"/>
    <w:rsid w:val="00011CEC"/>
    <w:rsid w:val="000214AE"/>
    <w:rsid w:val="000219C1"/>
    <w:rsid w:val="00025ADB"/>
    <w:rsid w:val="00034DCE"/>
    <w:rsid w:val="000351D8"/>
    <w:rsid w:val="00036654"/>
    <w:rsid w:val="00040D0D"/>
    <w:rsid w:val="00047DD1"/>
    <w:rsid w:val="00050F11"/>
    <w:rsid w:val="00052734"/>
    <w:rsid w:val="000542B1"/>
    <w:rsid w:val="00063F65"/>
    <w:rsid w:val="00064F20"/>
    <w:rsid w:val="00075CDE"/>
    <w:rsid w:val="000760EC"/>
    <w:rsid w:val="00077B50"/>
    <w:rsid w:val="00082227"/>
    <w:rsid w:val="0008295B"/>
    <w:rsid w:val="00085FB8"/>
    <w:rsid w:val="00086180"/>
    <w:rsid w:val="00086CA9"/>
    <w:rsid w:val="00087104"/>
    <w:rsid w:val="00090521"/>
    <w:rsid w:val="000913D6"/>
    <w:rsid w:val="00095A44"/>
    <w:rsid w:val="00096947"/>
    <w:rsid w:val="000977E7"/>
    <w:rsid w:val="000A0240"/>
    <w:rsid w:val="000A0DE6"/>
    <w:rsid w:val="000A1518"/>
    <w:rsid w:val="000A41D9"/>
    <w:rsid w:val="000A728F"/>
    <w:rsid w:val="000B007C"/>
    <w:rsid w:val="000B0949"/>
    <w:rsid w:val="000B0B48"/>
    <w:rsid w:val="000B34BD"/>
    <w:rsid w:val="000B7151"/>
    <w:rsid w:val="000B7E9B"/>
    <w:rsid w:val="000C6799"/>
    <w:rsid w:val="000C773B"/>
    <w:rsid w:val="000D27FA"/>
    <w:rsid w:val="000D6141"/>
    <w:rsid w:val="000D6E57"/>
    <w:rsid w:val="000E7A53"/>
    <w:rsid w:val="000E7F7C"/>
    <w:rsid w:val="000F1D76"/>
    <w:rsid w:val="000F20B4"/>
    <w:rsid w:val="000F3AFC"/>
    <w:rsid w:val="000F6B75"/>
    <w:rsid w:val="001000FA"/>
    <w:rsid w:val="0010252E"/>
    <w:rsid w:val="001039A6"/>
    <w:rsid w:val="00104A35"/>
    <w:rsid w:val="0010591A"/>
    <w:rsid w:val="00110956"/>
    <w:rsid w:val="0011284C"/>
    <w:rsid w:val="00114EC8"/>
    <w:rsid w:val="00115DB8"/>
    <w:rsid w:val="00117CD0"/>
    <w:rsid w:val="001206B2"/>
    <w:rsid w:val="001206E7"/>
    <w:rsid w:val="00120DBE"/>
    <w:rsid w:val="00123586"/>
    <w:rsid w:val="001245D0"/>
    <w:rsid w:val="00125737"/>
    <w:rsid w:val="001266F2"/>
    <w:rsid w:val="001303BD"/>
    <w:rsid w:val="00130B22"/>
    <w:rsid w:val="00130FB3"/>
    <w:rsid w:val="00131281"/>
    <w:rsid w:val="00133491"/>
    <w:rsid w:val="00137A4A"/>
    <w:rsid w:val="001404D7"/>
    <w:rsid w:val="0014510D"/>
    <w:rsid w:val="00146166"/>
    <w:rsid w:val="001539FC"/>
    <w:rsid w:val="00156B52"/>
    <w:rsid w:val="00160D23"/>
    <w:rsid w:val="00162067"/>
    <w:rsid w:val="001701E8"/>
    <w:rsid w:val="00181DEF"/>
    <w:rsid w:val="00183BC7"/>
    <w:rsid w:val="00185A96"/>
    <w:rsid w:val="00186294"/>
    <w:rsid w:val="00186E4E"/>
    <w:rsid w:val="00191BA0"/>
    <w:rsid w:val="001A1520"/>
    <w:rsid w:val="001A153F"/>
    <w:rsid w:val="001A26E9"/>
    <w:rsid w:val="001A306E"/>
    <w:rsid w:val="001A38E2"/>
    <w:rsid w:val="001A50C6"/>
    <w:rsid w:val="001A5729"/>
    <w:rsid w:val="001A704B"/>
    <w:rsid w:val="001A7888"/>
    <w:rsid w:val="001B3D72"/>
    <w:rsid w:val="001B492D"/>
    <w:rsid w:val="001B4FBD"/>
    <w:rsid w:val="001B58AA"/>
    <w:rsid w:val="001B73A2"/>
    <w:rsid w:val="001C047B"/>
    <w:rsid w:val="001C0ECD"/>
    <w:rsid w:val="001C1A68"/>
    <w:rsid w:val="001C4DBA"/>
    <w:rsid w:val="001C5962"/>
    <w:rsid w:val="001D0D2E"/>
    <w:rsid w:val="001D1696"/>
    <w:rsid w:val="001D1825"/>
    <w:rsid w:val="001D3740"/>
    <w:rsid w:val="001D60A9"/>
    <w:rsid w:val="001D7427"/>
    <w:rsid w:val="001E066C"/>
    <w:rsid w:val="001E152A"/>
    <w:rsid w:val="001E18AA"/>
    <w:rsid w:val="001E4026"/>
    <w:rsid w:val="001E5DB9"/>
    <w:rsid w:val="001E63AA"/>
    <w:rsid w:val="001E6BB8"/>
    <w:rsid w:val="001E6BBC"/>
    <w:rsid w:val="001E75E7"/>
    <w:rsid w:val="001F61DE"/>
    <w:rsid w:val="001F66DF"/>
    <w:rsid w:val="00202096"/>
    <w:rsid w:val="00204CCF"/>
    <w:rsid w:val="002054E2"/>
    <w:rsid w:val="002103C3"/>
    <w:rsid w:val="00210695"/>
    <w:rsid w:val="00211AA0"/>
    <w:rsid w:val="0021765B"/>
    <w:rsid w:val="00221351"/>
    <w:rsid w:val="002232AA"/>
    <w:rsid w:val="002233AA"/>
    <w:rsid w:val="00230784"/>
    <w:rsid w:val="002348B8"/>
    <w:rsid w:val="00236DB3"/>
    <w:rsid w:val="002374FF"/>
    <w:rsid w:val="00242256"/>
    <w:rsid w:val="00246427"/>
    <w:rsid w:val="0024712D"/>
    <w:rsid w:val="00250608"/>
    <w:rsid w:val="00253DCD"/>
    <w:rsid w:val="002546DF"/>
    <w:rsid w:val="0025713C"/>
    <w:rsid w:val="0025715D"/>
    <w:rsid w:val="00261A69"/>
    <w:rsid w:val="002622E6"/>
    <w:rsid w:val="002634C1"/>
    <w:rsid w:val="002635DA"/>
    <w:rsid w:val="00263C3A"/>
    <w:rsid w:val="0026520B"/>
    <w:rsid w:val="00270152"/>
    <w:rsid w:val="00273BB1"/>
    <w:rsid w:val="00276646"/>
    <w:rsid w:val="002848BA"/>
    <w:rsid w:val="002871A1"/>
    <w:rsid w:val="00296268"/>
    <w:rsid w:val="00296FF2"/>
    <w:rsid w:val="002A0272"/>
    <w:rsid w:val="002A5DE5"/>
    <w:rsid w:val="002A7C2C"/>
    <w:rsid w:val="002B16E2"/>
    <w:rsid w:val="002B4109"/>
    <w:rsid w:val="002B460A"/>
    <w:rsid w:val="002B534A"/>
    <w:rsid w:val="002B6CA5"/>
    <w:rsid w:val="002B7AAA"/>
    <w:rsid w:val="002C00E2"/>
    <w:rsid w:val="002C093B"/>
    <w:rsid w:val="002C3AB0"/>
    <w:rsid w:val="002C4701"/>
    <w:rsid w:val="002C4786"/>
    <w:rsid w:val="002C47ED"/>
    <w:rsid w:val="002C5C6D"/>
    <w:rsid w:val="002C6AA7"/>
    <w:rsid w:val="002C79F2"/>
    <w:rsid w:val="002D0AC1"/>
    <w:rsid w:val="002D1A2D"/>
    <w:rsid w:val="002D28D1"/>
    <w:rsid w:val="002D7EF5"/>
    <w:rsid w:val="002E1F5A"/>
    <w:rsid w:val="002E4A1C"/>
    <w:rsid w:val="002E5924"/>
    <w:rsid w:val="002E6750"/>
    <w:rsid w:val="002E6E02"/>
    <w:rsid w:val="002F15AB"/>
    <w:rsid w:val="002F416D"/>
    <w:rsid w:val="00304180"/>
    <w:rsid w:val="00304468"/>
    <w:rsid w:val="00304E47"/>
    <w:rsid w:val="0030549C"/>
    <w:rsid w:val="00310D3C"/>
    <w:rsid w:val="00313DD6"/>
    <w:rsid w:val="003141E7"/>
    <w:rsid w:val="00315700"/>
    <w:rsid w:val="00317CD2"/>
    <w:rsid w:val="0032169C"/>
    <w:rsid w:val="00324A9C"/>
    <w:rsid w:val="003301F8"/>
    <w:rsid w:val="003335B6"/>
    <w:rsid w:val="00334E82"/>
    <w:rsid w:val="00335F51"/>
    <w:rsid w:val="0033635F"/>
    <w:rsid w:val="0033793A"/>
    <w:rsid w:val="00342775"/>
    <w:rsid w:val="00346684"/>
    <w:rsid w:val="003506BE"/>
    <w:rsid w:val="003516E0"/>
    <w:rsid w:val="00352BE1"/>
    <w:rsid w:val="00353A2F"/>
    <w:rsid w:val="003546DE"/>
    <w:rsid w:val="00354A99"/>
    <w:rsid w:val="00355934"/>
    <w:rsid w:val="00355E65"/>
    <w:rsid w:val="00356B11"/>
    <w:rsid w:val="00356DD0"/>
    <w:rsid w:val="00356FBB"/>
    <w:rsid w:val="00363841"/>
    <w:rsid w:val="0036657C"/>
    <w:rsid w:val="003704D1"/>
    <w:rsid w:val="00372AD4"/>
    <w:rsid w:val="003735B7"/>
    <w:rsid w:val="00383A11"/>
    <w:rsid w:val="0038574A"/>
    <w:rsid w:val="0038621B"/>
    <w:rsid w:val="00386993"/>
    <w:rsid w:val="0039141B"/>
    <w:rsid w:val="00392A9A"/>
    <w:rsid w:val="003979AE"/>
    <w:rsid w:val="003A0F1B"/>
    <w:rsid w:val="003A0FA6"/>
    <w:rsid w:val="003A42B9"/>
    <w:rsid w:val="003A44F5"/>
    <w:rsid w:val="003A5B17"/>
    <w:rsid w:val="003B02A6"/>
    <w:rsid w:val="003B11ED"/>
    <w:rsid w:val="003B16F6"/>
    <w:rsid w:val="003B3968"/>
    <w:rsid w:val="003B490A"/>
    <w:rsid w:val="003C03E4"/>
    <w:rsid w:val="003C21C7"/>
    <w:rsid w:val="003C2652"/>
    <w:rsid w:val="003C4160"/>
    <w:rsid w:val="003C4B86"/>
    <w:rsid w:val="003C5816"/>
    <w:rsid w:val="003C5F22"/>
    <w:rsid w:val="003C7757"/>
    <w:rsid w:val="003C7E89"/>
    <w:rsid w:val="003D115B"/>
    <w:rsid w:val="003D1954"/>
    <w:rsid w:val="003D3CE2"/>
    <w:rsid w:val="003D6534"/>
    <w:rsid w:val="003E1ED7"/>
    <w:rsid w:val="003E6507"/>
    <w:rsid w:val="003E7950"/>
    <w:rsid w:val="003F0BED"/>
    <w:rsid w:val="003F354A"/>
    <w:rsid w:val="003F3CDE"/>
    <w:rsid w:val="003F4D75"/>
    <w:rsid w:val="003F5FB4"/>
    <w:rsid w:val="003F6033"/>
    <w:rsid w:val="003F6B3B"/>
    <w:rsid w:val="0040039C"/>
    <w:rsid w:val="0040162F"/>
    <w:rsid w:val="00406A61"/>
    <w:rsid w:val="0041176C"/>
    <w:rsid w:val="00417C03"/>
    <w:rsid w:val="00420378"/>
    <w:rsid w:val="00423B49"/>
    <w:rsid w:val="00423BD9"/>
    <w:rsid w:val="004264F1"/>
    <w:rsid w:val="0043059E"/>
    <w:rsid w:val="00433463"/>
    <w:rsid w:val="0043451F"/>
    <w:rsid w:val="0043491C"/>
    <w:rsid w:val="0043685A"/>
    <w:rsid w:val="004419B8"/>
    <w:rsid w:val="00443FA1"/>
    <w:rsid w:val="004473B7"/>
    <w:rsid w:val="00452281"/>
    <w:rsid w:val="00453395"/>
    <w:rsid w:val="0045714F"/>
    <w:rsid w:val="00457C6A"/>
    <w:rsid w:val="00457D54"/>
    <w:rsid w:val="00463E2D"/>
    <w:rsid w:val="0047032F"/>
    <w:rsid w:val="004744CC"/>
    <w:rsid w:val="00476C90"/>
    <w:rsid w:val="004820ED"/>
    <w:rsid w:val="004830CE"/>
    <w:rsid w:val="00484ABD"/>
    <w:rsid w:val="0048605E"/>
    <w:rsid w:val="00486BEB"/>
    <w:rsid w:val="00490861"/>
    <w:rsid w:val="004954AC"/>
    <w:rsid w:val="004A0765"/>
    <w:rsid w:val="004A16E1"/>
    <w:rsid w:val="004A3A28"/>
    <w:rsid w:val="004A6D44"/>
    <w:rsid w:val="004B0425"/>
    <w:rsid w:val="004B0934"/>
    <w:rsid w:val="004B408D"/>
    <w:rsid w:val="004B4C97"/>
    <w:rsid w:val="004B5F98"/>
    <w:rsid w:val="004C1A35"/>
    <w:rsid w:val="004C2158"/>
    <w:rsid w:val="004C5315"/>
    <w:rsid w:val="004C6170"/>
    <w:rsid w:val="004D1569"/>
    <w:rsid w:val="004D4E99"/>
    <w:rsid w:val="004D60D3"/>
    <w:rsid w:val="004E126C"/>
    <w:rsid w:val="004F055F"/>
    <w:rsid w:val="004F2CE2"/>
    <w:rsid w:val="004F36A8"/>
    <w:rsid w:val="004F4342"/>
    <w:rsid w:val="004F65D2"/>
    <w:rsid w:val="004F6B40"/>
    <w:rsid w:val="004F7DE2"/>
    <w:rsid w:val="00502D52"/>
    <w:rsid w:val="00510709"/>
    <w:rsid w:val="00510BAA"/>
    <w:rsid w:val="00511D51"/>
    <w:rsid w:val="00513D91"/>
    <w:rsid w:val="00515462"/>
    <w:rsid w:val="005203C1"/>
    <w:rsid w:val="0052334B"/>
    <w:rsid w:val="005272E2"/>
    <w:rsid w:val="005301E2"/>
    <w:rsid w:val="00533AB4"/>
    <w:rsid w:val="00540F44"/>
    <w:rsid w:val="00547F5E"/>
    <w:rsid w:val="005519F7"/>
    <w:rsid w:val="00551A3C"/>
    <w:rsid w:val="00551BD1"/>
    <w:rsid w:val="00552693"/>
    <w:rsid w:val="00553546"/>
    <w:rsid w:val="005539D7"/>
    <w:rsid w:val="00553B51"/>
    <w:rsid w:val="0055579F"/>
    <w:rsid w:val="00557FBE"/>
    <w:rsid w:val="00565358"/>
    <w:rsid w:val="00570CC9"/>
    <w:rsid w:val="00572801"/>
    <w:rsid w:val="00573CE8"/>
    <w:rsid w:val="00573F6B"/>
    <w:rsid w:val="0057405D"/>
    <w:rsid w:val="00574918"/>
    <w:rsid w:val="00574D19"/>
    <w:rsid w:val="0057793F"/>
    <w:rsid w:val="0058029D"/>
    <w:rsid w:val="005804E9"/>
    <w:rsid w:val="00580A85"/>
    <w:rsid w:val="005840D9"/>
    <w:rsid w:val="005852C0"/>
    <w:rsid w:val="005859F0"/>
    <w:rsid w:val="0059005C"/>
    <w:rsid w:val="00591E09"/>
    <w:rsid w:val="005926B4"/>
    <w:rsid w:val="00593603"/>
    <w:rsid w:val="0059473A"/>
    <w:rsid w:val="005A4EA6"/>
    <w:rsid w:val="005A6F82"/>
    <w:rsid w:val="005B5144"/>
    <w:rsid w:val="005C1820"/>
    <w:rsid w:val="005C41F1"/>
    <w:rsid w:val="005C750A"/>
    <w:rsid w:val="005C776E"/>
    <w:rsid w:val="005D5F34"/>
    <w:rsid w:val="005D67C9"/>
    <w:rsid w:val="005D733D"/>
    <w:rsid w:val="005E1C2C"/>
    <w:rsid w:val="005E4860"/>
    <w:rsid w:val="005E6FE0"/>
    <w:rsid w:val="005F5AF0"/>
    <w:rsid w:val="00600B89"/>
    <w:rsid w:val="00603AD7"/>
    <w:rsid w:val="00605C62"/>
    <w:rsid w:val="006068DF"/>
    <w:rsid w:val="00610883"/>
    <w:rsid w:val="00611501"/>
    <w:rsid w:val="00615A7D"/>
    <w:rsid w:val="006170BD"/>
    <w:rsid w:val="00620301"/>
    <w:rsid w:val="006223A2"/>
    <w:rsid w:val="00623F39"/>
    <w:rsid w:val="00624BF2"/>
    <w:rsid w:val="00625C9B"/>
    <w:rsid w:val="00626481"/>
    <w:rsid w:val="00627CB3"/>
    <w:rsid w:val="0063093A"/>
    <w:rsid w:val="006309FC"/>
    <w:rsid w:val="00643565"/>
    <w:rsid w:val="00644D37"/>
    <w:rsid w:val="0065412F"/>
    <w:rsid w:val="006549B2"/>
    <w:rsid w:val="00656BC3"/>
    <w:rsid w:val="00660AF0"/>
    <w:rsid w:val="006615B0"/>
    <w:rsid w:val="0066178C"/>
    <w:rsid w:val="006627FE"/>
    <w:rsid w:val="0066393C"/>
    <w:rsid w:val="00666A79"/>
    <w:rsid w:val="00666AB8"/>
    <w:rsid w:val="00667292"/>
    <w:rsid w:val="00670CC9"/>
    <w:rsid w:val="00673C31"/>
    <w:rsid w:val="00676FF9"/>
    <w:rsid w:val="006771CF"/>
    <w:rsid w:val="00682133"/>
    <w:rsid w:val="00686285"/>
    <w:rsid w:val="00686E57"/>
    <w:rsid w:val="00687C04"/>
    <w:rsid w:val="00691067"/>
    <w:rsid w:val="00692973"/>
    <w:rsid w:val="0069354E"/>
    <w:rsid w:val="00694DF7"/>
    <w:rsid w:val="006A08E3"/>
    <w:rsid w:val="006A6783"/>
    <w:rsid w:val="006B491D"/>
    <w:rsid w:val="006B5303"/>
    <w:rsid w:val="006C4DC4"/>
    <w:rsid w:val="006D308A"/>
    <w:rsid w:val="006D3A38"/>
    <w:rsid w:val="006D4139"/>
    <w:rsid w:val="006D4572"/>
    <w:rsid w:val="006E7313"/>
    <w:rsid w:val="006E7612"/>
    <w:rsid w:val="006E7E5C"/>
    <w:rsid w:val="006F19F0"/>
    <w:rsid w:val="006F2C3F"/>
    <w:rsid w:val="00705019"/>
    <w:rsid w:val="00715F57"/>
    <w:rsid w:val="00716CC1"/>
    <w:rsid w:val="00717839"/>
    <w:rsid w:val="00720C85"/>
    <w:rsid w:val="0072461D"/>
    <w:rsid w:val="00724F84"/>
    <w:rsid w:val="00730312"/>
    <w:rsid w:val="00730D19"/>
    <w:rsid w:val="00734BBB"/>
    <w:rsid w:val="007352DF"/>
    <w:rsid w:val="00740151"/>
    <w:rsid w:val="00740362"/>
    <w:rsid w:val="00740720"/>
    <w:rsid w:val="00740B8E"/>
    <w:rsid w:val="00743E42"/>
    <w:rsid w:val="00745A80"/>
    <w:rsid w:val="00745D55"/>
    <w:rsid w:val="0074629F"/>
    <w:rsid w:val="007474C2"/>
    <w:rsid w:val="00747601"/>
    <w:rsid w:val="00747816"/>
    <w:rsid w:val="00750D35"/>
    <w:rsid w:val="00752353"/>
    <w:rsid w:val="007535D8"/>
    <w:rsid w:val="00753865"/>
    <w:rsid w:val="00755E6A"/>
    <w:rsid w:val="0075662C"/>
    <w:rsid w:val="00762767"/>
    <w:rsid w:val="0076406D"/>
    <w:rsid w:val="00765D9A"/>
    <w:rsid w:val="007667F2"/>
    <w:rsid w:val="00771B5A"/>
    <w:rsid w:val="00772A1F"/>
    <w:rsid w:val="00774C38"/>
    <w:rsid w:val="00776867"/>
    <w:rsid w:val="00780D1D"/>
    <w:rsid w:val="00781E42"/>
    <w:rsid w:val="00783958"/>
    <w:rsid w:val="00787CC6"/>
    <w:rsid w:val="00791B6E"/>
    <w:rsid w:val="00792865"/>
    <w:rsid w:val="00796DF1"/>
    <w:rsid w:val="007A2618"/>
    <w:rsid w:val="007A314D"/>
    <w:rsid w:val="007A5B0B"/>
    <w:rsid w:val="007A7ADE"/>
    <w:rsid w:val="007B1223"/>
    <w:rsid w:val="007B1447"/>
    <w:rsid w:val="007B1B42"/>
    <w:rsid w:val="007B31E0"/>
    <w:rsid w:val="007B34BB"/>
    <w:rsid w:val="007B5D20"/>
    <w:rsid w:val="007B6DAA"/>
    <w:rsid w:val="007C0543"/>
    <w:rsid w:val="007C05F9"/>
    <w:rsid w:val="007C1EAE"/>
    <w:rsid w:val="007C21F3"/>
    <w:rsid w:val="007C5303"/>
    <w:rsid w:val="007C714B"/>
    <w:rsid w:val="007D50BE"/>
    <w:rsid w:val="007D7AFE"/>
    <w:rsid w:val="007E29D7"/>
    <w:rsid w:val="007E5B88"/>
    <w:rsid w:val="007E7BF1"/>
    <w:rsid w:val="007F4B48"/>
    <w:rsid w:val="007F64AE"/>
    <w:rsid w:val="007F670E"/>
    <w:rsid w:val="00805183"/>
    <w:rsid w:val="00811FDD"/>
    <w:rsid w:val="00813A0D"/>
    <w:rsid w:val="00815CC8"/>
    <w:rsid w:val="00817AC5"/>
    <w:rsid w:val="008210D2"/>
    <w:rsid w:val="008215E1"/>
    <w:rsid w:val="0082262B"/>
    <w:rsid w:val="008231B5"/>
    <w:rsid w:val="008268F8"/>
    <w:rsid w:val="008279D2"/>
    <w:rsid w:val="00831172"/>
    <w:rsid w:val="008341A6"/>
    <w:rsid w:val="0083618B"/>
    <w:rsid w:val="008379B0"/>
    <w:rsid w:val="008401A2"/>
    <w:rsid w:val="00840E74"/>
    <w:rsid w:val="00850680"/>
    <w:rsid w:val="0085085F"/>
    <w:rsid w:val="00852D39"/>
    <w:rsid w:val="00852EB8"/>
    <w:rsid w:val="008540C8"/>
    <w:rsid w:val="00856043"/>
    <w:rsid w:val="0086070E"/>
    <w:rsid w:val="00861DD9"/>
    <w:rsid w:val="00872819"/>
    <w:rsid w:val="00874413"/>
    <w:rsid w:val="00877A22"/>
    <w:rsid w:val="00881EE5"/>
    <w:rsid w:val="00882BB8"/>
    <w:rsid w:val="00884755"/>
    <w:rsid w:val="0089407F"/>
    <w:rsid w:val="008948D1"/>
    <w:rsid w:val="00897779"/>
    <w:rsid w:val="0089790B"/>
    <w:rsid w:val="008A0A92"/>
    <w:rsid w:val="008A29AD"/>
    <w:rsid w:val="008A6183"/>
    <w:rsid w:val="008B2C2A"/>
    <w:rsid w:val="008B2CC1"/>
    <w:rsid w:val="008B5DEB"/>
    <w:rsid w:val="008C179B"/>
    <w:rsid w:val="008C1F16"/>
    <w:rsid w:val="008C24D9"/>
    <w:rsid w:val="008C34B3"/>
    <w:rsid w:val="008D05BB"/>
    <w:rsid w:val="008D51A8"/>
    <w:rsid w:val="008D6521"/>
    <w:rsid w:val="008D7409"/>
    <w:rsid w:val="008E0733"/>
    <w:rsid w:val="008E43A7"/>
    <w:rsid w:val="008E727A"/>
    <w:rsid w:val="008F4135"/>
    <w:rsid w:val="008F5B42"/>
    <w:rsid w:val="00900019"/>
    <w:rsid w:val="009003A4"/>
    <w:rsid w:val="009012E7"/>
    <w:rsid w:val="00901CB9"/>
    <w:rsid w:val="0090245A"/>
    <w:rsid w:val="00905AD6"/>
    <w:rsid w:val="00906AC5"/>
    <w:rsid w:val="00910B28"/>
    <w:rsid w:val="0091130B"/>
    <w:rsid w:val="009133D9"/>
    <w:rsid w:val="009140CA"/>
    <w:rsid w:val="00916CA6"/>
    <w:rsid w:val="00922E8E"/>
    <w:rsid w:val="00924DB7"/>
    <w:rsid w:val="0092636F"/>
    <w:rsid w:val="009348DE"/>
    <w:rsid w:val="00935295"/>
    <w:rsid w:val="00936845"/>
    <w:rsid w:val="009376FE"/>
    <w:rsid w:val="009408EA"/>
    <w:rsid w:val="00940C35"/>
    <w:rsid w:val="00943431"/>
    <w:rsid w:val="00950902"/>
    <w:rsid w:val="00953349"/>
    <w:rsid w:val="00956436"/>
    <w:rsid w:val="00970249"/>
    <w:rsid w:val="00975045"/>
    <w:rsid w:val="00976F73"/>
    <w:rsid w:val="00985692"/>
    <w:rsid w:val="00986D46"/>
    <w:rsid w:val="00987C63"/>
    <w:rsid w:val="0099530A"/>
    <w:rsid w:val="00996361"/>
    <w:rsid w:val="009A09B3"/>
    <w:rsid w:val="009A3223"/>
    <w:rsid w:val="009A720B"/>
    <w:rsid w:val="009A7C1F"/>
    <w:rsid w:val="009A7D9D"/>
    <w:rsid w:val="009A7DFD"/>
    <w:rsid w:val="009B0656"/>
    <w:rsid w:val="009B1792"/>
    <w:rsid w:val="009B6C97"/>
    <w:rsid w:val="009C08BC"/>
    <w:rsid w:val="009C15D1"/>
    <w:rsid w:val="009C327C"/>
    <w:rsid w:val="009C363D"/>
    <w:rsid w:val="009C67BF"/>
    <w:rsid w:val="009D1E9F"/>
    <w:rsid w:val="009D24D5"/>
    <w:rsid w:val="009D78E6"/>
    <w:rsid w:val="009E02CC"/>
    <w:rsid w:val="009E18E7"/>
    <w:rsid w:val="009E35FA"/>
    <w:rsid w:val="009E3BC4"/>
    <w:rsid w:val="009F0EF4"/>
    <w:rsid w:val="009F2B8B"/>
    <w:rsid w:val="009F6C56"/>
    <w:rsid w:val="00A010A9"/>
    <w:rsid w:val="00A015D4"/>
    <w:rsid w:val="00A02711"/>
    <w:rsid w:val="00A06E7C"/>
    <w:rsid w:val="00A100FB"/>
    <w:rsid w:val="00A12063"/>
    <w:rsid w:val="00A12FB0"/>
    <w:rsid w:val="00A13842"/>
    <w:rsid w:val="00A16795"/>
    <w:rsid w:val="00A16A67"/>
    <w:rsid w:val="00A171DB"/>
    <w:rsid w:val="00A17663"/>
    <w:rsid w:val="00A246A6"/>
    <w:rsid w:val="00A312D7"/>
    <w:rsid w:val="00A32F11"/>
    <w:rsid w:val="00A3433A"/>
    <w:rsid w:val="00A37AC4"/>
    <w:rsid w:val="00A4055A"/>
    <w:rsid w:val="00A40EB8"/>
    <w:rsid w:val="00A4191E"/>
    <w:rsid w:val="00A455D0"/>
    <w:rsid w:val="00A4653B"/>
    <w:rsid w:val="00A4753B"/>
    <w:rsid w:val="00A514E8"/>
    <w:rsid w:val="00A537A9"/>
    <w:rsid w:val="00A60DC4"/>
    <w:rsid w:val="00A611EA"/>
    <w:rsid w:val="00A6623F"/>
    <w:rsid w:val="00A73889"/>
    <w:rsid w:val="00A77537"/>
    <w:rsid w:val="00A80272"/>
    <w:rsid w:val="00A82A68"/>
    <w:rsid w:val="00A879C7"/>
    <w:rsid w:val="00A91208"/>
    <w:rsid w:val="00A93D03"/>
    <w:rsid w:val="00A94F9B"/>
    <w:rsid w:val="00A960A0"/>
    <w:rsid w:val="00A96D7F"/>
    <w:rsid w:val="00A97040"/>
    <w:rsid w:val="00AA47DC"/>
    <w:rsid w:val="00AA492C"/>
    <w:rsid w:val="00AA6861"/>
    <w:rsid w:val="00AB0E04"/>
    <w:rsid w:val="00AB331F"/>
    <w:rsid w:val="00AB4966"/>
    <w:rsid w:val="00AC028E"/>
    <w:rsid w:val="00AC3ECF"/>
    <w:rsid w:val="00AC4A3E"/>
    <w:rsid w:val="00AD3980"/>
    <w:rsid w:val="00AD655E"/>
    <w:rsid w:val="00AD7350"/>
    <w:rsid w:val="00AD73A7"/>
    <w:rsid w:val="00AE1BCF"/>
    <w:rsid w:val="00AE357A"/>
    <w:rsid w:val="00AE62BE"/>
    <w:rsid w:val="00AE6820"/>
    <w:rsid w:val="00AF0387"/>
    <w:rsid w:val="00AF1520"/>
    <w:rsid w:val="00B01B8F"/>
    <w:rsid w:val="00B02BF0"/>
    <w:rsid w:val="00B07E17"/>
    <w:rsid w:val="00B11592"/>
    <w:rsid w:val="00B20065"/>
    <w:rsid w:val="00B250EF"/>
    <w:rsid w:val="00B27A35"/>
    <w:rsid w:val="00B3526C"/>
    <w:rsid w:val="00B3706E"/>
    <w:rsid w:val="00B41003"/>
    <w:rsid w:val="00B426ED"/>
    <w:rsid w:val="00B441B2"/>
    <w:rsid w:val="00B52164"/>
    <w:rsid w:val="00B52436"/>
    <w:rsid w:val="00B52D72"/>
    <w:rsid w:val="00B5502F"/>
    <w:rsid w:val="00B55D5E"/>
    <w:rsid w:val="00B55DE3"/>
    <w:rsid w:val="00B55F89"/>
    <w:rsid w:val="00B56212"/>
    <w:rsid w:val="00B57279"/>
    <w:rsid w:val="00B60AE9"/>
    <w:rsid w:val="00B61153"/>
    <w:rsid w:val="00B6291D"/>
    <w:rsid w:val="00B63501"/>
    <w:rsid w:val="00B6513D"/>
    <w:rsid w:val="00B7044D"/>
    <w:rsid w:val="00B704A7"/>
    <w:rsid w:val="00B72076"/>
    <w:rsid w:val="00B76CE3"/>
    <w:rsid w:val="00B770D3"/>
    <w:rsid w:val="00B801B6"/>
    <w:rsid w:val="00B829EB"/>
    <w:rsid w:val="00B82D5D"/>
    <w:rsid w:val="00B83BAD"/>
    <w:rsid w:val="00B859E3"/>
    <w:rsid w:val="00B86E13"/>
    <w:rsid w:val="00B9198E"/>
    <w:rsid w:val="00B92EAC"/>
    <w:rsid w:val="00B96C2C"/>
    <w:rsid w:val="00B9742D"/>
    <w:rsid w:val="00B97E55"/>
    <w:rsid w:val="00BA013F"/>
    <w:rsid w:val="00BA3977"/>
    <w:rsid w:val="00BA3F2A"/>
    <w:rsid w:val="00BA4F1D"/>
    <w:rsid w:val="00BB21D7"/>
    <w:rsid w:val="00BB3773"/>
    <w:rsid w:val="00BB7754"/>
    <w:rsid w:val="00BC01D8"/>
    <w:rsid w:val="00BD2302"/>
    <w:rsid w:val="00BD650D"/>
    <w:rsid w:val="00BE2EE4"/>
    <w:rsid w:val="00BE3D67"/>
    <w:rsid w:val="00BE5705"/>
    <w:rsid w:val="00BE5FCE"/>
    <w:rsid w:val="00BF1B18"/>
    <w:rsid w:val="00C00747"/>
    <w:rsid w:val="00C05F32"/>
    <w:rsid w:val="00C060AC"/>
    <w:rsid w:val="00C110F5"/>
    <w:rsid w:val="00C11ABF"/>
    <w:rsid w:val="00C1309D"/>
    <w:rsid w:val="00C159F6"/>
    <w:rsid w:val="00C1637B"/>
    <w:rsid w:val="00C20D72"/>
    <w:rsid w:val="00C230AE"/>
    <w:rsid w:val="00C24617"/>
    <w:rsid w:val="00C27D18"/>
    <w:rsid w:val="00C310AD"/>
    <w:rsid w:val="00C32D74"/>
    <w:rsid w:val="00C33B71"/>
    <w:rsid w:val="00C36BB5"/>
    <w:rsid w:val="00C40D83"/>
    <w:rsid w:val="00C469E4"/>
    <w:rsid w:val="00C479AF"/>
    <w:rsid w:val="00C47C1A"/>
    <w:rsid w:val="00C51AAA"/>
    <w:rsid w:val="00C53781"/>
    <w:rsid w:val="00C5743D"/>
    <w:rsid w:val="00C57974"/>
    <w:rsid w:val="00C638FE"/>
    <w:rsid w:val="00C63A4F"/>
    <w:rsid w:val="00C646CF"/>
    <w:rsid w:val="00C64B45"/>
    <w:rsid w:val="00C674C9"/>
    <w:rsid w:val="00C70DD9"/>
    <w:rsid w:val="00C761FB"/>
    <w:rsid w:val="00C81D36"/>
    <w:rsid w:val="00C83A8C"/>
    <w:rsid w:val="00C84B3D"/>
    <w:rsid w:val="00C85C5C"/>
    <w:rsid w:val="00C87EFC"/>
    <w:rsid w:val="00C914DC"/>
    <w:rsid w:val="00C91BC3"/>
    <w:rsid w:val="00C92332"/>
    <w:rsid w:val="00C9307E"/>
    <w:rsid w:val="00C95E8E"/>
    <w:rsid w:val="00C96109"/>
    <w:rsid w:val="00C96478"/>
    <w:rsid w:val="00C967BB"/>
    <w:rsid w:val="00CA5F7B"/>
    <w:rsid w:val="00CA74D1"/>
    <w:rsid w:val="00CB63E9"/>
    <w:rsid w:val="00CC0713"/>
    <w:rsid w:val="00CC179B"/>
    <w:rsid w:val="00CD0C6F"/>
    <w:rsid w:val="00CD3FF5"/>
    <w:rsid w:val="00CD69EF"/>
    <w:rsid w:val="00CD7558"/>
    <w:rsid w:val="00CE0852"/>
    <w:rsid w:val="00CE1B57"/>
    <w:rsid w:val="00CE2DD0"/>
    <w:rsid w:val="00CE494D"/>
    <w:rsid w:val="00CE7FCB"/>
    <w:rsid w:val="00CF1B23"/>
    <w:rsid w:val="00CF35B9"/>
    <w:rsid w:val="00CF5D42"/>
    <w:rsid w:val="00D019B1"/>
    <w:rsid w:val="00D038BB"/>
    <w:rsid w:val="00D04829"/>
    <w:rsid w:val="00D06AA4"/>
    <w:rsid w:val="00D07BF9"/>
    <w:rsid w:val="00D1454F"/>
    <w:rsid w:val="00D15009"/>
    <w:rsid w:val="00D20563"/>
    <w:rsid w:val="00D20B9C"/>
    <w:rsid w:val="00D2356D"/>
    <w:rsid w:val="00D23A64"/>
    <w:rsid w:val="00D2586B"/>
    <w:rsid w:val="00D26E8A"/>
    <w:rsid w:val="00D309EA"/>
    <w:rsid w:val="00D32882"/>
    <w:rsid w:val="00D372BF"/>
    <w:rsid w:val="00D459E6"/>
    <w:rsid w:val="00D503A0"/>
    <w:rsid w:val="00D548BA"/>
    <w:rsid w:val="00D54B91"/>
    <w:rsid w:val="00D564A7"/>
    <w:rsid w:val="00D6333F"/>
    <w:rsid w:val="00D63E1F"/>
    <w:rsid w:val="00D654FA"/>
    <w:rsid w:val="00D65CF6"/>
    <w:rsid w:val="00D70839"/>
    <w:rsid w:val="00D717D5"/>
    <w:rsid w:val="00D71A93"/>
    <w:rsid w:val="00D744C6"/>
    <w:rsid w:val="00D74913"/>
    <w:rsid w:val="00D77B75"/>
    <w:rsid w:val="00D85832"/>
    <w:rsid w:val="00D900EB"/>
    <w:rsid w:val="00D91E5A"/>
    <w:rsid w:val="00D9320C"/>
    <w:rsid w:val="00DA22C5"/>
    <w:rsid w:val="00DA3DA9"/>
    <w:rsid w:val="00DA46B9"/>
    <w:rsid w:val="00DA505E"/>
    <w:rsid w:val="00DA5979"/>
    <w:rsid w:val="00DA62BF"/>
    <w:rsid w:val="00DB36A6"/>
    <w:rsid w:val="00DC06A5"/>
    <w:rsid w:val="00DC090B"/>
    <w:rsid w:val="00DC471A"/>
    <w:rsid w:val="00DC48CD"/>
    <w:rsid w:val="00DC7043"/>
    <w:rsid w:val="00DC77F6"/>
    <w:rsid w:val="00DD01EA"/>
    <w:rsid w:val="00DD1726"/>
    <w:rsid w:val="00DD1976"/>
    <w:rsid w:val="00DD63EC"/>
    <w:rsid w:val="00DD6F36"/>
    <w:rsid w:val="00DE50E3"/>
    <w:rsid w:val="00DF10A9"/>
    <w:rsid w:val="00E00971"/>
    <w:rsid w:val="00E048C4"/>
    <w:rsid w:val="00E10833"/>
    <w:rsid w:val="00E1100D"/>
    <w:rsid w:val="00E13265"/>
    <w:rsid w:val="00E162FB"/>
    <w:rsid w:val="00E203B7"/>
    <w:rsid w:val="00E221DA"/>
    <w:rsid w:val="00E231D6"/>
    <w:rsid w:val="00E30B40"/>
    <w:rsid w:val="00E32816"/>
    <w:rsid w:val="00E32F4E"/>
    <w:rsid w:val="00E351D2"/>
    <w:rsid w:val="00E37E61"/>
    <w:rsid w:val="00E42794"/>
    <w:rsid w:val="00E4319B"/>
    <w:rsid w:val="00E448F5"/>
    <w:rsid w:val="00E532B7"/>
    <w:rsid w:val="00E55FCB"/>
    <w:rsid w:val="00E629A3"/>
    <w:rsid w:val="00E718C9"/>
    <w:rsid w:val="00E7210E"/>
    <w:rsid w:val="00E74AA6"/>
    <w:rsid w:val="00E76BBE"/>
    <w:rsid w:val="00E77046"/>
    <w:rsid w:val="00E80222"/>
    <w:rsid w:val="00E92245"/>
    <w:rsid w:val="00E93803"/>
    <w:rsid w:val="00E94575"/>
    <w:rsid w:val="00E94B9A"/>
    <w:rsid w:val="00E96236"/>
    <w:rsid w:val="00E97FD9"/>
    <w:rsid w:val="00EA3864"/>
    <w:rsid w:val="00EA5388"/>
    <w:rsid w:val="00EB0B26"/>
    <w:rsid w:val="00EB1262"/>
    <w:rsid w:val="00EB43F4"/>
    <w:rsid w:val="00EB6DF6"/>
    <w:rsid w:val="00EC0027"/>
    <w:rsid w:val="00EC00EB"/>
    <w:rsid w:val="00ED7AD7"/>
    <w:rsid w:val="00ED7BE8"/>
    <w:rsid w:val="00EE097C"/>
    <w:rsid w:val="00EE1963"/>
    <w:rsid w:val="00EE226E"/>
    <w:rsid w:val="00EF0608"/>
    <w:rsid w:val="00EF2F29"/>
    <w:rsid w:val="00EF36CC"/>
    <w:rsid w:val="00F02E9B"/>
    <w:rsid w:val="00F07B9B"/>
    <w:rsid w:val="00F14BD4"/>
    <w:rsid w:val="00F172AD"/>
    <w:rsid w:val="00F204A2"/>
    <w:rsid w:val="00F22EA1"/>
    <w:rsid w:val="00F24185"/>
    <w:rsid w:val="00F26B80"/>
    <w:rsid w:val="00F30812"/>
    <w:rsid w:val="00F311F8"/>
    <w:rsid w:val="00F33D8E"/>
    <w:rsid w:val="00F346B0"/>
    <w:rsid w:val="00F40957"/>
    <w:rsid w:val="00F4207B"/>
    <w:rsid w:val="00F42690"/>
    <w:rsid w:val="00F45F0C"/>
    <w:rsid w:val="00F475E4"/>
    <w:rsid w:val="00F515F0"/>
    <w:rsid w:val="00F6096C"/>
    <w:rsid w:val="00F617FA"/>
    <w:rsid w:val="00F627C2"/>
    <w:rsid w:val="00F66791"/>
    <w:rsid w:val="00F667F5"/>
    <w:rsid w:val="00F72781"/>
    <w:rsid w:val="00F80921"/>
    <w:rsid w:val="00F80ED2"/>
    <w:rsid w:val="00F81D4D"/>
    <w:rsid w:val="00F840B8"/>
    <w:rsid w:val="00F87645"/>
    <w:rsid w:val="00F91C9E"/>
    <w:rsid w:val="00FA69C1"/>
    <w:rsid w:val="00FB1BFE"/>
    <w:rsid w:val="00FB2945"/>
    <w:rsid w:val="00FC0426"/>
    <w:rsid w:val="00FC5EBB"/>
    <w:rsid w:val="00FD0902"/>
    <w:rsid w:val="00FD0985"/>
    <w:rsid w:val="00FD0CB4"/>
    <w:rsid w:val="00FD1F78"/>
    <w:rsid w:val="00FD3F4D"/>
    <w:rsid w:val="00FD686D"/>
    <w:rsid w:val="00FE5756"/>
    <w:rsid w:val="00FE67FD"/>
    <w:rsid w:val="00FE7005"/>
    <w:rsid w:val="00FE709D"/>
    <w:rsid w:val="00FE7C20"/>
    <w:rsid w:val="00FF4E79"/>
    <w:rsid w:val="00FF54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7E404"/>
  <w15:docId w15:val="{C9951192-8BF3-4956-82A2-BC760938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33F"/>
    <w:rPr>
      <w:rFonts w:ascii="Times New Roman" w:hAnsi="Times New Roman"/>
      <w:sz w:val="20"/>
    </w:rPr>
  </w:style>
  <w:style w:type="paragraph" w:styleId="Heading1">
    <w:name w:val="heading 1"/>
    <w:basedOn w:val="Normal"/>
    <w:next w:val="Normal"/>
    <w:link w:val="Heading1Char"/>
    <w:uiPriority w:val="9"/>
    <w:qFormat/>
    <w:rsid w:val="00D6333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6333F"/>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7B34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34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33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33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333F"/>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D6333F"/>
    <w:rPr>
      <w:rFonts w:ascii="Times New Roman" w:eastAsiaTheme="majorEastAsia" w:hAnsi="Times New Roman" w:cstheme="majorBidi"/>
      <w:sz w:val="26"/>
      <w:szCs w:val="26"/>
    </w:rPr>
  </w:style>
  <w:style w:type="paragraph" w:styleId="ListParagraph">
    <w:name w:val="List Paragraph"/>
    <w:basedOn w:val="Normal"/>
    <w:uiPriority w:val="34"/>
    <w:qFormat/>
    <w:rsid w:val="00D6333F"/>
    <w:pPr>
      <w:ind w:left="720"/>
      <w:contextualSpacing/>
    </w:pPr>
  </w:style>
  <w:style w:type="paragraph" w:styleId="EndnoteText">
    <w:name w:val="endnote text"/>
    <w:basedOn w:val="Normal"/>
    <w:link w:val="EndnoteTextChar"/>
    <w:uiPriority w:val="99"/>
    <w:semiHidden/>
    <w:unhideWhenUsed/>
    <w:rsid w:val="00603AD7"/>
    <w:pPr>
      <w:spacing w:after="0" w:line="240" w:lineRule="auto"/>
    </w:pPr>
    <w:rPr>
      <w:szCs w:val="20"/>
    </w:rPr>
  </w:style>
  <w:style w:type="character" w:customStyle="1" w:styleId="EndnoteTextChar">
    <w:name w:val="Endnote Text Char"/>
    <w:basedOn w:val="DefaultParagraphFont"/>
    <w:link w:val="EndnoteText"/>
    <w:uiPriority w:val="99"/>
    <w:semiHidden/>
    <w:rsid w:val="00603AD7"/>
    <w:rPr>
      <w:rFonts w:ascii="Times New Roman" w:hAnsi="Times New Roman"/>
      <w:sz w:val="20"/>
      <w:szCs w:val="20"/>
    </w:rPr>
  </w:style>
  <w:style w:type="character" w:styleId="EndnoteReference">
    <w:name w:val="endnote reference"/>
    <w:basedOn w:val="DefaultParagraphFont"/>
    <w:uiPriority w:val="99"/>
    <w:semiHidden/>
    <w:unhideWhenUsed/>
    <w:rsid w:val="00603AD7"/>
    <w:rPr>
      <w:vertAlign w:val="superscript"/>
    </w:rPr>
  </w:style>
  <w:style w:type="character" w:styleId="CommentReference">
    <w:name w:val="annotation reference"/>
    <w:basedOn w:val="DefaultParagraphFont"/>
    <w:uiPriority w:val="99"/>
    <w:semiHidden/>
    <w:unhideWhenUsed/>
    <w:rsid w:val="001206E7"/>
    <w:rPr>
      <w:sz w:val="16"/>
      <w:szCs w:val="16"/>
    </w:rPr>
  </w:style>
  <w:style w:type="paragraph" w:styleId="CommentText">
    <w:name w:val="annotation text"/>
    <w:basedOn w:val="Normal"/>
    <w:link w:val="CommentTextChar"/>
    <w:uiPriority w:val="99"/>
    <w:semiHidden/>
    <w:unhideWhenUsed/>
    <w:rsid w:val="001206E7"/>
    <w:pPr>
      <w:spacing w:line="240" w:lineRule="auto"/>
    </w:pPr>
    <w:rPr>
      <w:szCs w:val="20"/>
    </w:rPr>
  </w:style>
  <w:style w:type="character" w:customStyle="1" w:styleId="CommentTextChar">
    <w:name w:val="Comment Text Char"/>
    <w:basedOn w:val="DefaultParagraphFont"/>
    <w:link w:val="CommentText"/>
    <w:uiPriority w:val="99"/>
    <w:semiHidden/>
    <w:rsid w:val="001206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06E7"/>
    <w:rPr>
      <w:b/>
      <w:bCs/>
    </w:rPr>
  </w:style>
  <w:style w:type="character" w:customStyle="1" w:styleId="CommentSubjectChar">
    <w:name w:val="Comment Subject Char"/>
    <w:basedOn w:val="CommentTextChar"/>
    <w:link w:val="CommentSubject"/>
    <w:uiPriority w:val="99"/>
    <w:semiHidden/>
    <w:rsid w:val="001206E7"/>
    <w:rPr>
      <w:rFonts w:ascii="Times New Roman" w:hAnsi="Times New Roman"/>
      <w:b/>
      <w:bCs/>
      <w:sz w:val="20"/>
      <w:szCs w:val="20"/>
    </w:rPr>
  </w:style>
  <w:style w:type="paragraph" w:styleId="BalloonText">
    <w:name w:val="Balloon Text"/>
    <w:basedOn w:val="Normal"/>
    <w:link w:val="BalloonTextChar"/>
    <w:uiPriority w:val="99"/>
    <w:semiHidden/>
    <w:unhideWhenUsed/>
    <w:rsid w:val="0012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6E7"/>
    <w:rPr>
      <w:rFonts w:ascii="Segoe UI" w:hAnsi="Segoe UI" w:cs="Segoe UI"/>
      <w:sz w:val="18"/>
      <w:szCs w:val="18"/>
    </w:rPr>
  </w:style>
  <w:style w:type="character" w:customStyle="1" w:styleId="Heading3Char">
    <w:name w:val="Heading 3 Char"/>
    <w:basedOn w:val="DefaultParagraphFont"/>
    <w:link w:val="Heading3"/>
    <w:uiPriority w:val="9"/>
    <w:rsid w:val="007B34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34BB"/>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39"/>
    <w:rsid w:val="002E6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2693"/>
    <w:rPr>
      <w:color w:val="0563C1" w:themeColor="hyperlink"/>
      <w:u w:val="single"/>
    </w:rPr>
  </w:style>
  <w:style w:type="paragraph" w:styleId="Caption">
    <w:name w:val="caption"/>
    <w:basedOn w:val="Normal"/>
    <w:next w:val="Normal"/>
    <w:uiPriority w:val="35"/>
    <w:unhideWhenUsed/>
    <w:qFormat/>
    <w:rsid w:val="00104A35"/>
    <w:pPr>
      <w:spacing w:after="200" w:line="240" w:lineRule="auto"/>
    </w:pPr>
    <w:rPr>
      <w:i/>
      <w:iCs/>
      <w:color w:val="44546A" w:themeColor="text2"/>
      <w:sz w:val="18"/>
      <w:szCs w:val="18"/>
    </w:rPr>
  </w:style>
  <w:style w:type="paragraph" w:styleId="NoSpacing">
    <w:name w:val="No Spacing"/>
    <w:link w:val="NoSpacingChar"/>
    <w:uiPriority w:val="1"/>
    <w:qFormat/>
    <w:rsid w:val="00034DCE"/>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034DCE"/>
    <w:rPr>
      <w:rFonts w:ascii="Times New Roman" w:hAnsi="Times New Roman"/>
      <w:sz w:val="24"/>
    </w:rPr>
  </w:style>
  <w:style w:type="paragraph" w:styleId="Header">
    <w:name w:val="header"/>
    <w:basedOn w:val="Normal"/>
    <w:link w:val="HeaderChar"/>
    <w:uiPriority w:val="99"/>
    <w:unhideWhenUsed/>
    <w:rsid w:val="006F2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C3F"/>
    <w:rPr>
      <w:rFonts w:ascii="Times New Roman" w:hAnsi="Times New Roman"/>
      <w:sz w:val="20"/>
    </w:rPr>
  </w:style>
  <w:style w:type="paragraph" w:styleId="Footer">
    <w:name w:val="footer"/>
    <w:basedOn w:val="Normal"/>
    <w:link w:val="FooterChar"/>
    <w:uiPriority w:val="99"/>
    <w:unhideWhenUsed/>
    <w:rsid w:val="006F2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C3F"/>
    <w:rPr>
      <w:rFonts w:ascii="Times New Roman" w:hAnsi="Times New Roman"/>
      <w:sz w:val="20"/>
    </w:rPr>
  </w:style>
  <w:style w:type="paragraph" w:styleId="FootnoteText">
    <w:name w:val="footnote text"/>
    <w:basedOn w:val="Normal"/>
    <w:link w:val="FootnoteTextChar"/>
    <w:uiPriority w:val="99"/>
    <w:semiHidden/>
    <w:unhideWhenUsed/>
    <w:rsid w:val="00A17663"/>
    <w:pPr>
      <w:spacing w:after="0" w:line="240" w:lineRule="auto"/>
    </w:pPr>
    <w:rPr>
      <w:szCs w:val="20"/>
    </w:rPr>
  </w:style>
  <w:style w:type="character" w:customStyle="1" w:styleId="FootnoteTextChar">
    <w:name w:val="Footnote Text Char"/>
    <w:basedOn w:val="DefaultParagraphFont"/>
    <w:link w:val="FootnoteText"/>
    <w:uiPriority w:val="99"/>
    <w:semiHidden/>
    <w:rsid w:val="00A17663"/>
    <w:rPr>
      <w:rFonts w:ascii="Times New Roman" w:hAnsi="Times New Roman"/>
      <w:sz w:val="20"/>
      <w:szCs w:val="20"/>
    </w:rPr>
  </w:style>
  <w:style w:type="character" w:styleId="FootnoteReference">
    <w:name w:val="footnote reference"/>
    <w:basedOn w:val="DefaultParagraphFont"/>
    <w:uiPriority w:val="99"/>
    <w:semiHidden/>
    <w:unhideWhenUsed/>
    <w:rsid w:val="00A17663"/>
    <w:rPr>
      <w:vertAlign w:val="superscript"/>
    </w:rPr>
  </w:style>
  <w:style w:type="table" w:customStyle="1" w:styleId="TableGrid1">
    <w:name w:val="Table Grid1"/>
    <w:basedOn w:val="TableNormal"/>
    <w:next w:val="TableGrid"/>
    <w:uiPriority w:val="39"/>
    <w:rsid w:val="003F5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4701"/>
    <w:pPr>
      <w:spacing w:after="0" w:line="240" w:lineRule="auto"/>
    </w:pPr>
    <w:rPr>
      <w:rFonts w:ascii="Times New Roman" w:hAnsi="Times New Roman"/>
      <w:sz w:val="20"/>
    </w:rPr>
  </w:style>
  <w:style w:type="character" w:customStyle="1" w:styleId="tgc">
    <w:name w:val="_tgc"/>
    <w:basedOn w:val="DefaultParagraphFont"/>
    <w:rsid w:val="00724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4443">
      <w:bodyDiv w:val="1"/>
      <w:marLeft w:val="0"/>
      <w:marRight w:val="0"/>
      <w:marTop w:val="0"/>
      <w:marBottom w:val="0"/>
      <w:divBdr>
        <w:top w:val="none" w:sz="0" w:space="0" w:color="auto"/>
        <w:left w:val="none" w:sz="0" w:space="0" w:color="auto"/>
        <w:bottom w:val="none" w:sz="0" w:space="0" w:color="auto"/>
        <w:right w:val="none" w:sz="0" w:space="0" w:color="auto"/>
      </w:divBdr>
    </w:div>
    <w:div w:id="77097675">
      <w:bodyDiv w:val="1"/>
      <w:marLeft w:val="0"/>
      <w:marRight w:val="0"/>
      <w:marTop w:val="0"/>
      <w:marBottom w:val="0"/>
      <w:divBdr>
        <w:top w:val="none" w:sz="0" w:space="0" w:color="auto"/>
        <w:left w:val="none" w:sz="0" w:space="0" w:color="auto"/>
        <w:bottom w:val="none" w:sz="0" w:space="0" w:color="auto"/>
        <w:right w:val="none" w:sz="0" w:space="0" w:color="auto"/>
      </w:divBdr>
    </w:div>
    <w:div w:id="83235283">
      <w:bodyDiv w:val="1"/>
      <w:marLeft w:val="0"/>
      <w:marRight w:val="0"/>
      <w:marTop w:val="0"/>
      <w:marBottom w:val="0"/>
      <w:divBdr>
        <w:top w:val="none" w:sz="0" w:space="0" w:color="auto"/>
        <w:left w:val="none" w:sz="0" w:space="0" w:color="auto"/>
        <w:bottom w:val="none" w:sz="0" w:space="0" w:color="auto"/>
        <w:right w:val="none" w:sz="0" w:space="0" w:color="auto"/>
      </w:divBdr>
    </w:div>
    <w:div w:id="196702482">
      <w:bodyDiv w:val="1"/>
      <w:marLeft w:val="0"/>
      <w:marRight w:val="0"/>
      <w:marTop w:val="0"/>
      <w:marBottom w:val="0"/>
      <w:divBdr>
        <w:top w:val="none" w:sz="0" w:space="0" w:color="auto"/>
        <w:left w:val="none" w:sz="0" w:space="0" w:color="auto"/>
        <w:bottom w:val="none" w:sz="0" w:space="0" w:color="auto"/>
        <w:right w:val="none" w:sz="0" w:space="0" w:color="auto"/>
      </w:divBdr>
    </w:div>
    <w:div w:id="311297372">
      <w:bodyDiv w:val="1"/>
      <w:marLeft w:val="0"/>
      <w:marRight w:val="0"/>
      <w:marTop w:val="0"/>
      <w:marBottom w:val="0"/>
      <w:divBdr>
        <w:top w:val="none" w:sz="0" w:space="0" w:color="auto"/>
        <w:left w:val="none" w:sz="0" w:space="0" w:color="auto"/>
        <w:bottom w:val="none" w:sz="0" w:space="0" w:color="auto"/>
        <w:right w:val="none" w:sz="0" w:space="0" w:color="auto"/>
      </w:divBdr>
      <w:divsChild>
        <w:div w:id="831330820">
          <w:marLeft w:val="0"/>
          <w:marRight w:val="0"/>
          <w:marTop w:val="0"/>
          <w:marBottom w:val="0"/>
          <w:divBdr>
            <w:top w:val="none" w:sz="0" w:space="0" w:color="auto"/>
            <w:left w:val="none" w:sz="0" w:space="0" w:color="auto"/>
            <w:bottom w:val="none" w:sz="0" w:space="0" w:color="auto"/>
            <w:right w:val="none" w:sz="0" w:space="0" w:color="auto"/>
          </w:divBdr>
          <w:divsChild>
            <w:div w:id="213588138">
              <w:marLeft w:val="0"/>
              <w:marRight w:val="0"/>
              <w:marTop w:val="0"/>
              <w:marBottom w:val="0"/>
              <w:divBdr>
                <w:top w:val="none" w:sz="0" w:space="0" w:color="auto"/>
                <w:left w:val="none" w:sz="0" w:space="0" w:color="auto"/>
                <w:bottom w:val="none" w:sz="0" w:space="0" w:color="auto"/>
                <w:right w:val="none" w:sz="0" w:space="0" w:color="auto"/>
              </w:divBdr>
              <w:divsChild>
                <w:div w:id="461192837">
                  <w:marLeft w:val="0"/>
                  <w:marRight w:val="0"/>
                  <w:marTop w:val="0"/>
                  <w:marBottom w:val="0"/>
                  <w:divBdr>
                    <w:top w:val="none" w:sz="0" w:space="0" w:color="auto"/>
                    <w:left w:val="none" w:sz="0" w:space="0" w:color="auto"/>
                    <w:bottom w:val="none" w:sz="0" w:space="0" w:color="auto"/>
                    <w:right w:val="none" w:sz="0" w:space="0" w:color="auto"/>
                  </w:divBdr>
                  <w:divsChild>
                    <w:div w:id="1436899542">
                      <w:marLeft w:val="0"/>
                      <w:marRight w:val="0"/>
                      <w:marTop w:val="0"/>
                      <w:marBottom w:val="0"/>
                      <w:divBdr>
                        <w:top w:val="none" w:sz="0" w:space="0" w:color="auto"/>
                        <w:left w:val="none" w:sz="0" w:space="0" w:color="auto"/>
                        <w:bottom w:val="none" w:sz="0" w:space="0" w:color="auto"/>
                        <w:right w:val="none" w:sz="0" w:space="0" w:color="auto"/>
                      </w:divBdr>
                      <w:divsChild>
                        <w:div w:id="840463804">
                          <w:marLeft w:val="0"/>
                          <w:marRight w:val="0"/>
                          <w:marTop w:val="0"/>
                          <w:marBottom w:val="0"/>
                          <w:divBdr>
                            <w:top w:val="none" w:sz="0" w:space="0" w:color="auto"/>
                            <w:left w:val="none" w:sz="0" w:space="0" w:color="auto"/>
                            <w:bottom w:val="none" w:sz="0" w:space="0" w:color="auto"/>
                            <w:right w:val="none" w:sz="0" w:space="0" w:color="auto"/>
                          </w:divBdr>
                          <w:divsChild>
                            <w:div w:id="638337413">
                              <w:marLeft w:val="15"/>
                              <w:marRight w:val="195"/>
                              <w:marTop w:val="0"/>
                              <w:marBottom w:val="0"/>
                              <w:divBdr>
                                <w:top w:val="none" w:sz="0" w:space="0" w:color="auto"/>
                                <w:left w:val="none" w:sz="0" w:space="0" w:color="auto"/>
                                <w:bottom w:val="none" w:sz="0" w:space="0" w:color="auto"/>
                                <w:right w:val="none" w:sz="0" w:space="0" w:color="auto"/>
                              </w:divBdr>
                              <w:divsChild>
                                <w:div w:id="1556813376">
                                  <w:marLeft w:val="0"/>
                                  <w:marRight w:val="0"/>
                                  <w:marTop w:val="0"/>
                                  <w:marBottom w:val="0"/>
                                  <w:divBdr>
                                    <w:top w:val="none" w:sz="0" w:space="0" w:color="auto"/>
                                    <w:left w:val="none" w:sz="0" w:space="0" w:color="auto"/>
                                    <w:bottom w:val="none" w:sz="0" w:space="0" w:color="auto"/>
                                    <w:right w:val="none" w:sz="0" w:space="0" w:color="auto"/>
                                  </w:divBdr>
                                  <w:divsChild>
                                    <w:div w:id="1793942651">
                                      <w:marLeft w:val="0"/>
                                      <w:marRight w:val="0"/>
                                      <w:marTop w:val="0"/>
                                      <w:marBottom w:val="0"/>
                                      <w:divBdr>
                                        <w:top w:val="none" w:sz="0" w:space="0" w:color="auto"/>
                                        <w:left w:val="none" w:sz="0" w:space="0" w:color="auto"/>
                                        <w:bottom w:val="none" w:sz="0" w:space="0" w:color="auto"/>
                                        <w:right w:val="none" w:sz="0" w:space="0" w:color="auto"/>
                                      </w:divBdr>
                                      <w:divsChild>
                                        <w:div w:id="934630402">
                                          <w:marLeft w:val="0"/>
                                          <w:marRight w:val="0"/>
                                          <w:marTop w:val="0"/>
                                          <w:marBottom w:val="0"/>
                                          <w:divBdr>
                                            <w:top w:val="none" w:sz="0" w:space="0" w:color="auto"/>
                                            <w:left w:val="none" w:sz="0" w:space="0" w:color="auto"/>
                                            <w:bottom w:val="none" w:sz="0" w:space="0" w:color="auto"/>
                                            <w:right w:val="none" w:sz="0" w:space="0" w:color="auto"/>
                                          </w:divBdr>
                                          <w:divsChild>
                                            <w:div w:id="313490939">
                                              <w:marLeft w:val="0"/>
                                              <w:marRight w:val="0"/>
                                              <w:marTop w:val="0"/>
                                              <w:marBottom w:val="0"/>
                                              <w:divBdr>
                                                <w:top w:val="none" w:sz="0" w:space="0" w:color="auto"/>
                                                <w:left w:val="none" w:sz="0" w:space="0" w:color="auto"/>
                                                <w:bottom w:val="none" w:sz="0" w:space="0" w:color="auto"/>
                                                <w:right w:val="none" w:sz="0" w:space="0" w:color="auto"/>
                                              </w:divBdr>
                                              <w:divsChild>
                                                <w:div w:id="1321999849">
                                                  <w:marLeft w:val="0"/>
                                                  <w:marRight w:val="0"/>
                                                  <w:marTop w:val="0"/>
                                                  <w:marBottom w:val="0"/>
                                                  <w:divBdr>
                                                    <w:top w:val="none" w:sz="0" w:space="0" w:color="auto"/>
                                                    <w:left w:val="none" w:sz="0" w:space="0" w:color="auto"/>
                                                    <w:bottom w:val="none" w:sz="0" w:space="0" w:color="auto"/>
                                                    <w:right w:val="none" w:sz="0" w:space="0" w:color="auto"/>
                                                  </w:divBdr>
                                                  <w:divsChild>
                                                    <w:div w:id="64030999">
                                                      <w:marLeft w:val="0"/>
                                                      <w:marRight w:val="0"/>
                                                      <w:marTop w:val="0"/>
                                                      <w:marBottom w:val="0"/>
                                                      <w:divBdr>
                                                        <w:top w:val="none" w:sz="0" w:space="0" w:color="auto"/>
                                                        <w:left w:val="none" w:sz="0" w:space="0" w:color="auto"/>
                                                        <w:bottom w:val="none" w:sz="0" w:space="0" w:color="auto"/>
                                                        <w:right w:val="none" w:sz="0" w:space="0" w:color="auto"/>
                                                      </w:divBdr>
                                                      <w:divsChild>
                                                        <w:div w:id="1487093971">
                                                          <w:marLeft w:val="0"/>
                                                          <w:marRight w:val="0"/>
                                                          <w:marTop w:val="0"/>
                                                          <w:marBottom w:val="0"/>
                                                          <w:divBdr>
                                                            <w:top w:val="none" w:sz="0" w:space="0" w:color="auto"/>
                                                            <w:left w:val="none" w:sz="0" w:space="0" w:color="auto"/>
                                                            <w:bottom w:val="none" w:sz="0" w:space="0" w:color="auto"/>
                                                            <w:right w:val="none" w:sz="0" w:space="0" w:color="auto"/>
                                                          </w:divBdr>
                                                          <w:divsChild>
                                                            <w:div w:id="327710524">
                                                              <w:marLeft w:val="0"/>
                                                              <w:marRight w:val="0"/>
                                                              <w:marTop w:val="0"/>
                                                              <w:marBottom w:val="0"/>
                                                              <w:divBdr>
                                                                <w:top w:val="none" w:sz="0" w:space="0" w:color="auto"/>
                                                                <w:left w:val="none" w:sz="0" w:space="0" w:color="auto"/>
                                                                <w:bottom w:val="none" w:sz="0" w:space="0" w:color="auto"/>
                                                                <w:right w:val="none" w:sz="0" w:space="0" w:color="auto"/>
                                                              </w:divBdr>
                                                              <w:divsChild>
                                                                <w:div w:id="409890744">
                                                                  <w:marLeft w:val="0"/>
                                                                  <w:marRight w:val="0"/>
                                                                  <w:marTop w:val="0"/>
                                                                  <w:marBottom w:val="0"/>
                                                                  <w:divBdr>
                                                                    <w:top w:val="none" w:sz="0" w:space="0" w:color="auto"/>
                                                                    <w:left w:val="none" w:sz="0" w:space="0" w:color="auto"/>
                                                                    <w:bottom w:val="none" w:sz="0" w:space="0" w:color="auto"/>
                                                                    <w:right w:val="none" w:sz="0" w:space="0" w:color="auto"/>
                                                                  </w:divBdr>
                                                                  <w:divsChild>
                                                                    <w:div w:id="1107775591">
                                                                      <w:marLeft w:val="405"/>
                                                                      <w:marRight w:val="0"/>
                                                                      <w:marTop w:val="0"/>
                                                                      <w:marBottom w:val="0"/>
                                                                      <w:divBdr>
                                                                        <w:top w:val="none" w:sz="0" w:space="0" w:color="auto"/>
                                                                        <w:left w:val="none" w:sz="0" w:space="0" w:color="auto"/>
                                                                        <w:bottom w:val="none" w:sz="0" w:space="0" w:color="auto"/>
                                                                        <w:right w:val="none" w:sz="0" w:space="0" w:color="auto"/>
                                                                      </w:divBdr>
                                                                      <w:divsChild>
                                                                        <w:div w:id="461194390">
                                                                          <w:marLeft w:val="0"/>
                                                                          <w:marRight w:val="0"/>
                                                                          <w:marTop w:val="0"/>
                                                                          <w:marBottom w:val="0"/>
                                                                          <w:divBdr>
                                                                            <w:top w:val="none" w:sz="0" w:space="0" w:color="auto"/>
                                                                            <w:left w:val="none" w:sz="0" w:space="0" w:color="auto"/>
                                                                            <w:bottom w:val="none" w:sz="0" w:space="0" w:color="auto"/>
                                                                            <w:right w:val="none" w:sz="0" w:space="0" w:color="auto"/>
                                                                          </w:divBdr>
                                                                          <w:divsChild>
                                                                            <w:div w:id="737827904">
                                                                              <w:marLeft w:val="0"/>
                                                                              <w:marRight w:val="0"/>
                                                                              <w:marTop w:val="0"/>
                                                                              <w:marBottom w:val="0"/>
                                                                              <w:divBdr>
                                                                                <w:top w:val="none" w:sz="0" w:space="0" w:color="auto"/>
                                                                                <w:left w:val="none" w:sz="0" w:space="0" w:color="auto"/>
                                                                                <w:bottom w:val="none" w:sz="0" w:space="0" w:color="auto"/>
                                                                                <w:right w:val="none" w:sz="0" w:space="0" w:color="auto"/>
                                                                              </w:divBdr>
                                                                              <w:divsChild>
                                                                                <w:div w:id="1679111396">
                                                                                  <w:marLeft w:val="0"/>
                                                                                  <w:marRight w:val="0"/>
                                                                                  <w:marTop w:val="60"/>
                                                                                  <w:marBottom w:val="0"/>
                                                                                  <w:divBdr>
                                                                                    <w:top w:val="none" w:sz="0" w:space="0" w:color="auto"/>
                                                                                    <w:left w:val="none" w:sz="0" w:space="0" w:color="auto"/>
                                                                                    <w:bottom w:val="none" w:sz="0" w:space="0" w:color="auto"/>
                                                                                    <w:right w:val="none" w:sz="0" w:space="0" w:color="auto"/>
                                                                                  </w:divBdr>
                                                                                  <w:divsChild>
                                                                                    <w:div w:id="2130968992">
                                                                                      <w:marLeft w:val="0"/>
                                                                                      <w:marRight w:val="0"/>
                                                                                      <w:marTop w:val="0"/>
                                                                                      <w:marBottom w:val="0"/>
                                                                                      <w:divBdr>
                                                                                        <w:top w:val="none" w:sz="0" w:space="0" w:color="auto"/>
                                                                                        <w:left w:val="none" w:sz="0" w:space="0" w:color="auto"/>
                                                                                        <w:bottom w:val="none" w:sz="0" w:space="0" w:color="auto"/>
                                                                                        <w:right w:val="none" w:sz="0" w:space="0" w:color="auto"/>
                                                                                      </w:divBdr>
                                                                                      <w:divsChild>
                                                                                        <w:div w:id="719289052">
                                                                                          <w:marLeft w:val="0"/>
                                                                                          <w:marRight w:val="0"/>
                                                                                          <w:marTop w:val="0"/>
                                                                                          <w:marBottom w:val="0"/>
                                                                                          <w:divBdr>
                                                                                            <w:top w:val="none" w:sz="0" w:space="0" w:color="auto"/>
                                                                                            <w:left w:val="none" w:sz="0" w:space="0" w:color="auto"/>
                                                                                            <w:bottom w:val="none" w:sz="0" w:space="0" w:color="auto"/>
                                                                                            <w:right w:val="none" w:sz="0" w:space="0" w:color="auto"/>
                                                                                          </w:divBdr>
                                                                                          <w:divsChild>
                                                                                            <w:div w:id="286621189">
                                                                                              <w:marLeft w:val="0"/>
                                                                                              <w:marRight w:val="0"/>
                                                                                              <w:marTop w:val="0"/>
                                                                                              <w:marBottom w:val="0"/>
                                                                                              <w:divBdr>
                                                                                                <w:top w:val="none" w:sz="0" w:space="0" w:color="auto"/>
                                                                                                <w:left w:val="none" w:sz="0" w:space="0" w:color="auto"/>
                                                                                                <w:bottom w:val="none" w:sz="0" w:space="0" w:color="auto"/>
                                                                                                <w:right w:val="none" w:sz="0" w:space="0" w:color="auto"/>
                                                                                              </w:divBdr>
                                                                                              <w:divsChild>
                                                                                                <w:div w:id="532381335">
                                                                                                  <w:marLeft w:val="0"/>
                                                                                                  <w:marRight w:val="0"/>
                                                                                                  <w:marTop w:val="0"/>
                                                                                                  <w:marBottom w:val="0"/>
                                                                                                  <w:divBdr>
                                                                                                    <w:top w:val="none" w:sz="0" w:space="0" w:color="auto"/>
                                                                                                    <w:left w:val="none" w:sz="0" w:space="0" w:color="auto"/>
                                                                                                    <w:bottom w:val="none" w:sz="0" w:space="0" w:color="auto"/>
                                                                                                    <w:right w:val="none" w:sz="0" w:space="0" w:color="auto"/>
                                                                                                  </w:divBdr>
                                                                                                  <w:divsChild>
                                                                                                    <w:div w:id="613486404">
                                                                                                      <w:marLeft w:val="0"/>
                                                                                                      <w:marRight w:val="0"/>
                                                                                                      <w:marTop w:val="0"/>
                                                                                                      <w:marBottom w:val="0"/>
                                                                                                      <w:divBdr>
                                                                                                        <w:top w:val="none" w:sz="0" w:space="0" w:color="auto"/>
                                                                                                        <w:left w:val="none" w:sz="0" w:space="0" w:color="auto"/>
                                                                                                        <w:bottom w:val="none" w:sz="0" w:space="0" w:color="auto"/>
                                                                                                        <w:right w:val="none" w:sz="0" w:space="0" w:color="auto"/>
                                                                                                      </w:divBdr>
                                                                                                      <w:divsChild>
                                                                                                        <w:div w:id="937324689">
                                                                                                          <w:marLeft w:val="0"/>
                                                                                                          <w:marRight w:val="0"/>
                                                                                                          <w:marTop w:val="0"/>
                                                                                                          <w:marBottom w:val="0"/>
                                                                                                          <w:divBdr>
                                                                                                            <w:top w:val="none" w:sz="0" w:space="0" w:color="auto"/>
                                                                                                            <w:left w:val="none" w:sz="0" w:space="0" w:color="auto"/>
                                                                                                            <w:bottom w:val="none" w:sz="0" w:space="0" w:color="auto"/>
                                                                                                            <w:right w:val="none" w:sz="0" w:space="0" w:color="auto"/>
                                                                                                          </w:divBdr>
                                                                                                          <w:divsChild>
                                                                                                            <w:div w:id="1098140659">
                                                                                                              <w:marLeft w:val="0"/>
                                                                                                              <w:marRight w:val="0"/>
                                                                                                              <w:marTop w:val="0"/>
                                                                                                              <w:marBottom w:val="0"/>
                                                                                                              <w:divBdr>
                                                                                                                <w:top w:val="none" w:sz="0" w:space="0" w:color="auto"/>
                                                                                                                <w:left w:val="none" w:sz="0" w:space="0" w:color="auto"/>
                                                                                                                <w:bottom w:val="none" w:sz="0" w:space="0" w:color="auto"/>
                                                                                                                <w:right w:val="none" w:sz="0" w:space="0" w:color="auto"/>
                                                                                                              </w:divBdr>
                                                                                                              <w:divsChild>
                                                                                                                <w:div w:id="317535097">
                                                                                                                  <w:marLeft w:val="0"/>
                                                                                                                  <w:marRight w:val="0"/>
                                                                                                                  <w:marTop w:val="0"/>
                                                                                                                  <w:marBottom w:val="0"/>
                                                                                                                  <w:divBdr>
                                                                                                                    <w:top w:val="none" w:sz="0" w:space="0" w:color="auto"/>
                                                                                                                    <w:left w:val="none" w:sz="0" w:space="0" w:color="auto"/>
                                                                                                                    <w:bottom w:val="none" w:sz="0" w:space="0" w:color="auto"/>
                                                                                                                    <w:right w:val="none" w:sz="0" w:space="0" w:color="auto"/>
                                                                                                                  </w:divBdr>
                                                                                                                  <w:divsChild>
                                                                                                                    <w:div w:id="1290818112">
                                                                                                                      <w:marLeft w:val="0"/>
                                                                                                                      <w:marRight w:val="0"/>
                                                                                                                      <w:marTop w:val="0"/>
                                                                                                                      <w:marBottom w:val="0"/>
                                                                                                                      <w:divBdr>
                                                                                                                        <w:top w:val="none" w:sz="0" w:space="0" w:color="auto"/>
                                                                                                                        <w:left w:val="none" w:sz="0" w:space="0" w:color="auto"/>
                                                                                                                        <w:bottom w:val="none" w:sz="0" w:space="0" w:color="auto"/>
                                                                                                                        <w:right w:val="none" w:sz="0" w:space="0" w:color="auto"/>
                                                                                                                      </w:divBdr>
                                                                                                                      <w:divsChild>
                                                                                                                        <w:div w:id="1986084593">
                                                                                                                          <w:marLeft w:val="0"/>
                                                                                                                          <w:marRight w:val="0"/>
                                                                                                                          <w:marTop w:val="0"/>
                                                                                                                          <w:marBottom w:val="0"/>
                                                                                                                          <w:divBdr>
                                                                                                                            <w:top w:val="none" w:sz="0" w:space="0" w:color="auto"/>
                                                                                                                            <w:left w:val="none" w:sz="0" w:space="0" w:color="auto"/>
                                                                                                                            <w:bottom w:val="none" w:sz="0" w:space="0" w:color="auto"/>
                                                                                                                            <w:right w:val="none" w:sz="0" w:space="0" w:color="auto"/>
                                                                                                                          </w:divBdr>
                                                                                                                          <w:divsChild>
                                                                                                                            <w:div w:id="1993174620">
                                                                                                                              <w:marLeft w:val="0"/>
                                                                                                                              <w:marRight w:val="0"/>
                                                                                                                              <w:marTop w:val="0"/>
                                                                                                                              <w:marBottom w:val="0"/>
                                                                                                                              <w:divBdr>
                                                                                                                                <w:top w:val="none" w:sz="0" w:space="0" w:color="auto"/>
                                                                                                                                <w:left w:val="none" w:sz="0" w:space="0" w:color="auto"/>
                                                                                                                                <w:bottom w:val="none" w:sz="0" w:space="0" w:color="auto"/>
                                                                                                                                <w:right w:val="none" w:sz="0" w:space="0" w:color="auto"/>
                                                                                                                              </w:divBdr>
                                                                                                                              <w:divsChild>
                                                                                                                                <w:div w:id="1313756723">
                                                                                                                                  <w:marLeft w:val="0"/>
                                                                                                                                  <w:marRight w:val="0"/>
                                                                                                                                  <w:marTop w:val="0"/>
                                                                                                                                  <w:marBottom w:val="0"/>
                                                                                                                                  <w:divBdr>
                                                                                                                                    <w:top w:val="none" w:sz="0" w:space="0" w:color="auto"/>
                                                                                                                                    <w:left w:val="none" w:sz="0" w:space="0" w:color="auto"/>
                                                                                                                                    <w:bottom w:val="none" w:sz="0" w:space="0" w:color="auto"/>
                                                                                                                                    <w:right w:val="none" w:sz="0" w:space="0" w:color="auto"/>
                                                                                                                                  </w:divBdr>
                                                                                                                                  <w:divsChild>
                                                                                                                                    <w:div w:id="19808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081653">
      <w:bodyDiv w:val="1"/>
      <w:marLeft w:val="0"/>
      <w:marRight w:val="0"/>
      <w:marTop w:val="0"/>
      <w:marBottom w:val="0"/>
      <w:divBdr>
        <w:top w:val="none" w:sz="0" w:space="0" w:color="auto"/>
        <w:left w:val="none" w:sz="0" w:space="0" w:color="auto"/>
        <w:bottom w:val="none" w:sz="0" w:space="0" w:color="auto"/>
        <w:right w:val="none" w:sz="0" w:space="0" w:color="auto"/>
      </w:divBdr>
    </w:div>
    <w:div w:id="432821485">
      <w:bodyDiv w:val="1"/>
      <w:marLeft w:val="0"/>
      <w:marRight w:val="0"/>
      <w:marTop w:val="0"/>
      <w:marBottom w:val="0"/>
      <w:divBdr>
        <w:top w:val="none" w:sz="0" w:space="0" w:color="auto"/>
        <w:left w:val="none" w:sz="0" w:space="0" w:color="auto"/>
        <w:bottom w:val="none" w:sz="0" w:space="0" w:color="auto"/>
        <w:right w:val="none" w:sz="0" w:space="0" w:color="auto"/>
      </w:divBdr>
    </w:div>
    <w:div w:id="446120951">
      <w:bodyDiv w:val="1"/>
      <w:marLeft w:val="0"/>
      <w:marRight w:val="0"/>
      <w:marTop w:val="0"/>
      <w:marBottom w:val="0"/>
      <w:divBdr>
        <w:top w:val="none" w:sz="0" w:space="0" w:color="auto"/>
        <w:left w:val="none" w:sz="0" w:space="0" w:color="auto"/>
        <w:bottom w:val="none" w:sz="0" w:space="0" w:color="auto"/>
        <w:right w:val="none" w:sz="0" w:space="0" w:color="auto"/>
      </w:divBdr>
    </w:div>
    <w:div w:id="486676755">
      <w:bodyDiv w:val="1"/>
      <w:marLeft w:val="0"/>
      <w:marRight w:val="0"/>
      <w:marTop w:val="0"/>
      <w:marBottom w:val="0"/>
      <w:divBdr>
        <w:top w:val="none" w:sz="0" w:space="0" w:color="auto"/>
        <w:left w:val="none" w:sz="0" w:space="0" w:color="auto"/>
        <w:bottom w:val="none" w:sz="0" w:space="0" w:color="auto"/>
        <w:right w:val="none" w:sz="0" w:space="0" w:color="auto"/>
      </w:divBdr>
    </w:div>
    <w:div w:id="488597898">
      <w:bodyDiv w:val="1"/>
      <w:marLeft w:val="0"/>
      <w:marRight w:val="0"/>
      <w:marTop w:val="0"/>
      <w:marBottom w:val="0"/>
      <w:divBdr>
        <w:top w:val="none" w:sz="0" w:space="0" w:color="auto"/>
        <w:left w:val="none" w:sz="0" w:space="0" w:color="auto"/>
        <w:bottom w:val="none" w:sz="0" w:space="0" w:color="auto"/>
        <w:right w:val="none" w:sz="0" w:space="0" w:color="auto"/>
      </w:divBdr>
    </w:div>
    <w:div w:id="488643489">
      <w:bodyDiv w:val="1"/>
      <w:marLeft w:val="0"/>
      <w:marRight w:val="0"/>
      <w:marTop w:val="0"/>
      <w:marBottom w:val="0"/>
      <w:divBdr>
        <w:top w:val="none" w:sz="0" w:space="0" w:color="auto"/>
        <w:left w:val="none" w:sz="0" w:space="0" w:color="auto"/>
        <w:bottom w:val="none" w:sz="0" w:space="0" w:color="auto"/>
        <w:right w:val="none" w:sz="0" w:space="0" w:color="auto"/>
      </w:divBdr>
    </w:div>
    <w:div w:id="608202462">
      <w:bodyDiv w:val="1"/>
      <w:marLeft w:val="0"/>
      <w:marRight w:val="0"/>
      <w:marTop w:val="0"/>
      <w:marBottom w:val="0"/>
      <w:divBdr>
        <w:top w:val="none" w:sz="0" w:space="0" w:color="auto"/>
        <w:left w:val="none" w:sz="0" w:space="0" w:color="auto"/>
        <w:bottom w:val="none" w:sz="0" w:space="0" w:color="auto"/>
        <w:right w:val="none" w:sz="0" w:space="0" w:color="auto"/>
      </w:divBdr>
    </w:div>
    <w:div w:id="735738945">
      <w:bodyDiv w:val="1"/>
      <w:marLeft w:val="0"/>
      <w:marRight w:val="0"/>
      <w:marTop w:val="0"/>
      <w:marBottom w:val="0"/>
      <w:divBdr>
        <w:top w:val="none" w:sz="0" w:space="0" w:color="auto"/>
        <w:left w:val="none" w:sz="0" w:space="0" w:color="auto"/>
        <w:bottom w:val="none" w:sz="0" w:space="0" w:color="auto"/>
        <w:right w:val="none" w:sz="0" w:space="0" w:color="auto"/>
      </w:divBdr>
    </w:div>
    <w:div w:id="742679618">
      <w:bodyDiv w:val="1"/>
      <w:marLeft w:val="0"/>
      <w:marRight w:val="0"/>
      <w:marTop w:val="0"/>
      <w:marBottom w:val="0"/>
      <w:divBdr>
        <w:top w:val="none" w:sz="0" w:space="0" w:color="auto"/>
        <w:left w:val="none" w:sz="0" w:space="0" w:color="auto"/>
        <w:bottom w:val="none" w:sz="0" w:space="0" w:color="auto"/>
        <w:right w:val="none" w:sz="0" w:space="0" w:color="auto"/>
      </w:divBdr>
    </w:div>
    <w:div w:id="784230361">
      <w:bodyDiv w:val="1"/>
      <w:marLeft w:val="0"/>
      <w:marRight w:val="0"/>
      <w:marTop w:val="0"/>
      <w:marBottom w:val="0"/>
      <w:divBdr>
        <w:top w:val="none" w:sz="0" w:space="0" w:color="auto"/>
        <w:left w:val="none" w:sz="0" w:space="0" w:color="auto"/>
        <w:bottom w:val="none" w:sz="0" w:space="0" w:color="auto"/>
        <w:right w:val="none" w:sz="0" w:space="0" w:color="auto"/>
      </w:divBdr>
    </w:div>
    <w:div w:id="894781046">
      <w:bodyDiv w:val="1"/>
      <w:marLeft w:val="0"/>
      <w:marRight w:val="0"/>
      <w:marTop w:val="0"/>
      <w:marBottom w:val="0"/>
      <w:divBdr>
        <w:top w:val="none" w:sz="0" w:space="0" w:color="auto"/>
        <w:left w:val="none" w:sz="0" w:space="0" w:color="auto"/>
        <w:bottom w:val="none" w:sz="0" w:space="0" w:color="auto"/>
        <w:right w:val="none" w:sz="0" w:space="0" w:color="auto"/>
      </w:divBdr>
    </w:div>
    <w:div w:id="906303552">
      <w:bodyDiv w:val="1"/>
      <w:marLeft w:val="0"/>
      <w:marRight w:val="0"/>
      <w:marTop w:val="0"/>
      <w:marBottom w:val="0"/>
      <w:divBdr>
        <w:top w:val="none" w:sz="0" w:space="0" w:color="auto"/>
        <w:left w:val="none" w:sz="0" w:space="0" w:color="auto"/>
        <w:bottom w:val="none" w:sz="0" w:space="0" w:color="auto"/>
        <w:right w:val="none" w:sz="0" w:space="0" w:color="auto"/>
      </w:divBdr>
    </w:div>
    <w:div w:id="935676538">
      <w:bodyDiv w:val="1"/>
      <w:marLeft w:val="0"/>
      <w:marRight w:val="0"/>
      <w:marTop w:val="0"/>
      <w:marBottom w:val="0"/>
      <w:divBdr>
        <w:top w:val="none" w:sz="0" w:space="0" w:color="auto"/>
        <w:left w:val="none" w:sz="0" w:space="0" w:color="auto"/>
        <w:bottom w:val="none" w:sz="0" w:space="0" w:color="auto"/>
        <w:right w:val="none" w:sz="0" w:space="0" w:color="auto"/>
      </w:divBdr>
    </w:div>
    <w:div w:id="971521779">
      <w:bodyDiv w:val="1"/>
      <w:marLeft w:val="0"/>
      <w:marRight w:val="0"/>
      <w:marTop w:val="0"/>
      <w:marBottom w:val="0"/>
      <w:divBdr>
        <w:top w:val="none" w:sz="0" w:space="0" w:color="auto"/>
        <w:left w:val="none" w:sz="0" w:space="0" w:color="auto"/>
        <w:bottom w:val="none" w:sz="0" w:space="0" w:color="auto"/>
        <w:right w:val="none" w:sz="0" w:space="0" w:color="auto"/>
      </w:divBdr>
      <w:divsChild>
        <w:div w:id="1289968721">
          <w:marLeft w:val="0"/>
          <w:marRight w:val="0"/>
          <w:marTop w:val="0"/>
          <w:marBottom w:val="0"/>
          <w:divBdr>
            <w:top w:val="none" w:sz="0" w:space="0" w:color="auto"/>
            <w:left w:val="none" w:sz="0" w:space="0" w:color="auto"/>
            <w:bottom w:val="none" w:sz="0" w:space="0" w:color="auto"/>
            <w:right w:val="none" w:sz="0" w:space="0" w:color="auto"/>
          </w:divBdr>
          <w:divsChild>
            <w:div w:id="1281766848">
              <w:marLeft w:val="0"/>
              <w:marRight w:val="0"/>
              <w:marTop w:val="0"/>
              <w:marBottom w:val="0"/>
              <w:divBdr>
                <w:top w:val="none" w:sz="0" w:space="0" w:color="auto"/>
                <w:left w:val="none" w:sz="0" w:space="0" w:color="auto"/>
                <w:bottom w:val="none" w:sz="0" w:space="0" w:color="auto"/>
                <w:right w:val="none" w:sz="0" w:space="0" w:color="auto"/>
              </w:divBdr>
            </w:div>
            <w:div w:id="350035453">
              <w:marLeft w:val="0"/>
              <w:marRight w:val="0"/>
              <w:marTop w:val="0"/>
              <w:marBottom w:val="0"/>
              <w:divBdr>
                <w:top w:val="none" w:sz="0" w:space="0" w:color="auto"/>
                <w:left w:val="none" w:sz="0" w:space="0" w:color="auto"/>
                <w:bottom w:val="none" w:sz="0" w:space="0" w:color="auto"/>
                <w:right w:val="none" w:sz="0" w:space="0" w:color="auto"/>
              </w:divBdr>
            </w:div>
            <w:div w:id="244072133">
              <w:marLeft w:val="0"/>
              <w:marRight w:val="0"/>
              <w:marTop w:val="0"/>
              <w:marBottom w:val="0"/>
              <w:divBdr>
                <w:top w:val="none" w:sz="0" w:space="0" w:color="auto"/>
                <w:left w:val="none" w:sz="0" w:space="0" w:color="auto"/>
                <w:bottom w:val="none" w:sz="0" w:space="0" w:color="auto"/>
                <w:right w:val="none" w:sz="0" w:space="0" w:color="auto"/>
              </w:divBdr>
            </w:div>
            <w:div w:id="641467537">
              <w:marLeft w:val="0"/>
              <w:marRight w:val="0"/>
              <w:marTop w:val="0"/>
              <w:marBottom w:val="0"/>
              <w:divBdr>
                <w:top w:val="none" w:sz="0" w:space="0" w:color="auto"/>
                <w:left w:val="none" w:sz="0" w:space="0" w:color="auto"/>
                <w:bottom w:val="none" w:sz="0" w:space="0" w:color="auto"/>
                <w:right w:val="none" w:sz="0" w:space="0" w:color="auto"/>
              </w:divBdr>
            </w:div>
            <w:div w:id="785386990">
              <w:marLeft w:val="0"/>
              <w:marRight w:val="0"/>
              <w:marTop w:val="0"/>
              <w:marBottom w:val="0"/>
              <w:divBdr>
                <w:top w:val="none" w:sz="0" w:space="0" w:color="auto"/>
                <w:left w:val="none" w:sz="0" w:space="0" w:color="auto"/>
                <w:bottom w:val="none" w:sz="0" w:space="0" w:color="auto"/>
                <w:right w:val="none" w:sz="0" w:space="0" w:color="auto"/>
              </w:divBdr>
            </w:div>
            <w:div w:id="1843474389">
              <w:marLeft w:val="0"/>
              <w:marRight w:val="0"/>
              <w:marTop w:val="0"/>
              <w:marBottom w:val="0"/>
              <w:divBdr>
                <w:top w:val="none" w:sz="0" w:space="0" w:color="auto"/>
                <w:left w:val="none" w:sz="0" w:space="0" w:color="auto"/>
                <w:bottom w:val="none" w:sz="0" w:space="0" w:color="auto"/>
                <w:right w:val="none" w:sz="0" w:space="0" w:color="auto"/>
              </w:divBdr>
            </w:div>
            <w:div w:id="5647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544">
      <w:bodyDiv w:val="1"/>
      <w:marLeft w:val="0"/>
      <w:marRight w:val="0"/>
      <w:marTop w:val="0"/>
      <w:marBottom w:val="0"/>
      <w:divBdr>
        <w:top w:val="none" w:sz="0" w:space="0" w:color="auto"/>
        <w:left w:val="none" w:sz="0" w:space="0" w:color="auto"/>
        <w:bottom w:val="none" w:sz="0" w:space="0" w:color="auto"/>
        <w:right w:val="none" w:sz="0" w:space="0" w:color="auto"/>
      </w:divBdr>
    </w:div>
    <w:div w:id="988167345">
      <w:bodyDiv w:val="1"/>
      <w:marLeft w:val="0"/>
      <w:marRight w:val="0"/>
      <w:marTop w:val="0"/>
      <w:marBottom w:val="0"/>
      <w:divBdr>
        <w:top w:val="none" w:sz="0" w:space="0" w:color="auto"/>
        <w:left w:val="none" w:sz="0" w:space="0" w:color="auto"/>
        <w:bottom w:val="none" w:sz="0" w:space="0" w:color="auto"/>
        <w:right w:val="none" w:sz="0" w:space="0" w:color="auto"/>
      </w:divBdr>
    </w:div>
    <w:div w:id="1068306249">
      <w:bodyDiv w:val="1"/>
      <w:marLeft w:val="0"/>
      <w:marRight w:val="0"/>
      <w:marTop w:val="0"/>
      <w:marBottom w:val="0"/>
      <w:divBdr>
        <w:top w:val="none" w:sz="0" w:space="0" w:color="auto"/>
        <w:left w:val="none" w:sz="0" w:space="0" w:color="auto"/>
        <w:bottom w:val="none" w:sz="0" w:space="0" w:color="auto"/>
        <w:right w:val="none" w:sz="0" w:space="0" w:color="auto"/>
      </w:divBdr>
    </w:div>
    <w:div w:id="1167134100">
      <w:bodyDiv w:val="1"/>
      <w:marLeft w:val="0"/>
      <w:marRight w:val="0"/>
      <w:marTop w:val="0"/>
      <w:marBottom w:val="0"/>
      <w:divBdr>
        <w:top w:val="none" w:sz="0" w:space="0" w:color="auto"/>
        <w:left w:val="none" w:sz="0" w:space="0" w:color="auto"/>
        <w:bottom w:val="none" w:sz="0" w:space="0" w:color="auto"/>
        <w:right w:val="none" w:sz="0" w:space="0" w:color="auto"/>
      </w:divBdr>
    </w:div>
    <w:div w:id="1176267643">
      <w:bodyDiv w:val="1"/>
      <w:marLeft w:val="0"/>
      <w:marRight w:val="0"/>
      <w:marTop w:val="0"/>
      <w:marBottom w:val="0"/>
      <w:divBdr>
        <w:top w:val="none" w:sz="0" w:space="0" w:color="auto"/>
        <w:left w:val="none" w:sz="0" w:space="0" w:color="auto"/>
        <w:bottom w:val="none" w:sz="0" w:space="0" w:color="auto"/>
        <w:right w:val="none" w:sz="0" w:space="0" w:color="auto"/>
      </w:divBdr>
    </w:div>
    <w:div w:id="1233469688">
      <w:bodyDiv w:val="1"/>
      <w:marLeft w:val="0"/>
      <w:marRight w:val="0"/>
      <w:marTop w:val="0"/>
      <w:marBottom w:val="0"/>
      <w:divBdr>
        <w:top w:val="none" w:sz="0" w:space="0" w:color="auto"/>
        <w:left w:val="none" w:sz="0" w:space="0" w:color="auto"/>
        <w:bottom w:val="none" w:sz="0" w:space="0" w:color="auto"/>
        <w:right w:val="none" w:sz="0" w:space="0" w:color="auto"/>
      </w:divBdr>
    </w:div>
    <w:div w:id="1293367150">
      <w:bodyDiv w:val="1"/>
      <w:marLeft w:val="0"/>
      <w:marRight w:val="0"/>
      <w:marTop w:val="0"/>
      <w:marBottom w:val="0"/>
      <w:divBdr>
        <w:top w:val="none" w:sz="0" w:space="0" w:color="auto"/>
        <w:left w:val="none" w:sz="0" w:space="0" w:color="auto"/>
        <w:bottom w:val="none" w:sz="0" w:space="0" w:color="auto"/>
        <w:right w:val="none" w:sz="0" w:space="0" w:color="auto"/>
      </w:divBdr>
    </w:div>
    <w:div w:id="1300577421">
      <w:bodyDiv w:val="1"/>
      <w:marLeft w:val="0"/>
      <w:marRight w:val="0"/>
      <w:marTop w:val="0"/>
      <w:marBottom w:val="0"/>
      <w:divBdr>
        <w:top w:val="none" w:sz="0" w:space="0" w:color="auto"/>
        <w:left w:val="none" w:sz="0" w:space="0" w:color="auto"/>
        <w:bottom w:val="none" w:sz="0" w:space="0" w:color="auto"/>
        <w:right w:val="none" w:sz="0" w:space="0" w:color="auto"/>
      </w:divBdr>
    </w:div>
    <w:div w:id="1376272353">
      <w:bodyDiv w:val="1"/>
      <w:marLeft w:val="0"/>
      <w:marRight w:val="0"/>
      <w:marTop w:val="0"/>
      <w:marBottom w:val="0"/>
      <w:divBdr>
        <w:top w:val="none" w:sz="0" w:space="0" w:color="auto"/>
        <w:left w:val="none" w:sz="0" w:space="0" w:color="auto"/>
        <w:bottom w:val="none" w:sz="0" w:space="0" w:color="auto"/>
        <w:right w:val="none" w:sz="0" w:space="0" w:color="auto"/>
      </w:divBdr>
    </w:div>
    <w:div w:id="1447113738">
      <w:bodyDiv w:val="1"/>
      <w:marLeft w:val="0"/>
      <w:marRight w:val="0"/>
      <w:marTop w:val="0"/>
      <w:marBottom w:val="0"/>
      <w:divBdr>
        <w:top w:val="none" w:sz="0" w:space="0" w:color="auto"/>
        <w:left w:val="none" w:sz="0" w:space="0" w:color="auto"/>
        <w:bottom w:val="none" w:sz="0" w:space="0" w:color="auto"/>
        <w:right w:val="none" w:sz="0" w:space="0" w:color="auto"/>
      </w:divBdr>
    </w:div>
    <w:div w:id="1458645735">
      <w:bodyDiv w:val="1"/>
      <w:marLeft w:val="0"/>
      <w:marRight w:val="0"/>
      <w:marTop w:val="0"/>
      <w:marBottom w:val="0"/>
      <w:divBdr>
        <w:top w:val="none" w:sz="0" w:space="0" w:color="auto"/>
        <w:left w:val="none" w:sz="0" w:space="0" w:color="auto"/>
        <w:bottom w:val="none" w:sz="0" w:space="0" w:color="auto"/>
        <w:right w:val="none" w:sz="0" w:space="0" w:color="auto"/>
      </w:divBdr>
    </w:div>
    <w:div w:id="1553617746">
      <w:bodyDiv w:val="1"/>
      <w:marLeft w:val="0"/>
      <w:marRight w:val="0"/>
      <w:marTop w:val="0"/>
      <w:marBottom w:val="0"/>
      <w:divBdr>
        <w:top w:val="none" w:sz="0" w:space="0" w:color="auto"/>
        <w:left w:val="none" w:sz="0" w:space="0" w:color="auto"/>
        <w:bottom w:val="none" w:sz="0" w:space="0" w:color="auto"/>
        <w:right w:val="none" w:sz="0" w:space="0" w:color="auto"/>
      </w:divBdr>
    </w:div>
    <w:div w:id="1580092619">
      <w:bodyDiv w:val="1"/>
      <w:marLeft w:val="0"/>
      <w:marRight w:val="0"/>
      <w:marTop w:val="0"/>
      <w:marBottom w:val="0"/>
      <w:divBdr>
        <w:top w:val="none" w:sz="0" w:space="0" w:color="auto"/>
        <w:left w:val="none" w:sz="0" w:space="0" w:color="auto"/>
        <w:bottom w:val="none" w:sz="0" w:space="0" w:color="auto"/>
        <w:right w:val="none" w:sz="0" w:space="0" w:color="auto"/>
      </w:divBdr>
    </w:div>
    <w:div w:id="1623997052">
      <w:bodyDiv w:val="1"/>
      <w:marLeft w:val="0"/>
      <w:marRight w:val="0"/>
      <w:marTop w:val="0"/>
      <w:marBottom w:val="0"/>
      <w:divBdr>
        <w:top w:val="none" w:sz="0" w:space="0" w:color="auto"/>
        <w:left w:val="none" w:sz="0" w:space="0" w:color="auto"/>
        <w:bottom w:val="none" w:sz="0" w:space="0" w:color="auto"/>
        <w:right w:val="none" w:sz="0" w:space="0" w:color="auto"/>
      </w:divBdr>
    </w:div>
    <w:div w:id="1695694746">
      <w:bodyDiv w:val="1"/>
      <w:marLeft w:val="0"/>
      <w:marRight w:val="0"/>
      <w:marTop w:val="0"/>
      <w:marBottom w:val="0"/>
      <w:divBdr>
        <w:top w:val="none" w:sz="0" w:space="0" w:color="auto"/>
        <w:left w:val="none" w:sz="0" w:space="0" w:color="auto"/>
        <w:bottom w:val="none" w:sz="0" w:space="0" w:color="auto"/>
        <w:right w:val="none" w:sz="0" w:space="0" w:color="auto"/>
      </w:divBdr>
    </w:div>
    <w:div w:id="1757822392">
      <w:bodyDiv w:val="1"/>
      <w:marLeft w:val="0"/>
      <w:marRight w:val="0"/>
      <w:marTop w:val="0"/>
      <w:marBottom w:val="0"/>
      <w:divBdr>
        <w:top w:val="none" w:sz="0" w:space="0" w:color="auto"/>
        <w:left w:val="none" w:sz="0" w:space="0" w:color="auto"/>
        <w:bottom w:val="none" w:sz="0" w:space="0" w:color="auto"/>
        <w:right w:val="none" w:sz="0" w:space="0" w:color="auto"/>
      </w:divBdr>
    </w:div>
    <w:div w:id="1761028315">
      <w:bodyDiv w:val="1"/>
      <w:marLeft w:val="0"/>
      <w:marRight w:val="0"/>
      <w:marTop w:val="0"/>
      <w:marBottom w:val="0"/>
      <w:divBdr>
        <w:top w:val="none" w:sz="0" w:space="0" w:color="auto"/>
        <w:left w:val="none" w:sz="0" w:space="0" w:color="auto"/>
        <w:bottom w:val="none" w:sz="0" w:space="0" w:color="auto"/>
        <w:right w:val="none" w:sz="0" w:space="0" w:color="auto"/>
      </w:divBdr>
    </w:div>
    <w:div w:id="2032141270">
      <w:bodyDiv w:val="1"/>
      <w:marLeft w:val="0"/>
      <w:marRight w:val="0"/>
      <w:marTop w:val="0"/>
      <w:marBottom w:val="0"/>
      <w:divBdr>
        <w:top w:val="none" w:sz="0" w:space="0" w:color="auto"/>
        <w:left w:val="none" w:sz="0" w:space="0" w:color="auto"/>
        <w:bottom w:val="none" w:sz="0" w:space="0" w:color="auto"/>
        <w:right w:val="none" w:sz="0" w:space="0" w:color="auto"/>
      </w:divBdr>
    </w:div>
    <w:div w:id="2032536648">
      <w:bodyDiv w:val="1"/>
      <w:marLeft w:val="0"/>
      <w:marRight w:val="0"/>
      <w:marTop w:val="0"/>
      <w:marBottom w:val="0"/>
      <w:divBdr>
        <w:top w:val="none" w:sz="0" w:space="0" w:color="auto"/>
        <w:left w:val="none" w:sz="0" w:space="0" w:color="auto"/>
        <w:bottom w:val="none" w:sz="0" w:space="0" w:color="auto"/>
        <w:right w:val="none" w:sz="0" w:space="0" w:color="auto"/>
      </w:divBdr>
    </w:div>
    <w:div w:id="207192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emf"/><Relationship Id="rId30" Type="http://schemas.openxmlformats.org/officeDocument/2006/relationships/oleObject" Target="embeddings/oleObject11.bin"/></Relationships>
</file>

<file path=word/theme/theme1.xml><?xml version="1.0" encoding="utf-8"?>
<a:theme xmlns:a="http://schemas.openxmlformats.org/drawingml/2006/main" name="Publicatio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418FD85-652A-4765-8AFE-B821E9B0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42089</Words>
  <Characters>239910</Characters>
  <Application>Microsoft Office Word</Application>
  <DocSecurity>0</DocSecurity>
  <Lines>1999</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Reid</dc:creator>
  <cp:lastModifiedBy>Joshua Reid</cp:lastModifiedBy>
  <cp:revision>2</cp:revision>
  <cp:lastPrinted>2017-06-05T14:06:00Z</cp:lastPrinted>
  <dcterms:created xsi:type="dcterms:W3CDTF">2017-11-09T07:02:00Z</dcterms:created>
  <dcterms:modified xsi:type="dcterms:W3CDTF">2017-11-09T07:02:00Z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ab0e62aa-2d3e-3317-888f-fe2327b4f43c</vt:lpwstr>
  </property>
  <property fmtid="{D5CDD505-2E9C-101B-9397-08002B2CF9AE}" pid="4" name="Mendeley Citation Style_1">
    <vt:lpwstr>http://www.zotero.org/styles/elsevier-harvard</vt:lpwstr>
  </property>
  <property fmtid="{D5CDD505-2E9C-101B-9397-08002B2CF9AE}" pid="5" name="Mendeley Recent Style Id 0_1">
    <vt:lpwstr>http://www.zotero.org/styles/american-chemical-society-with-titles-no-et-al</vt:lpwstr>
  </property>
  <property fmtid="{D5CDD505-2E9C-101B-9397-08002B2CF9AE}" pid="6" name="Mendeley Recent Style Name 0_1">
    <vt:lpwstr>American Chemical Society (with titles, no "et al.")</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http://www.zotero.org/styles/nanoscale</vt:lpwstr>
  </property>
  <property fmtid="{D5CDD505-2E9C-101B-9397-08002B2CF9AE}" pid="22" name="Mendeley Recent Style Name 8_1">
    <vt:lpwstr>Nanoscale</vt:lpwstr>
  </property>
  <property fmtid="{D5CDD505-2E9C-101B-9397-08002B2CF9AE}" pid="23" name="Mendeley Recent Style Id 9_1">
    <vt:lpwstr>http://www.zotero.org/styles/royal-society-of-chemistry</vt:lpwstr>
  </property>
  <property fmtid="{D5CDD505-2E9C-101B-9397-08002B2CF9AE}" pid="24" name="Mendeley Recent Style Name 9_1">
    <vt:lpwstr>Royal Society of Chemistry</vt:lpwstr>
  </property>
</Properties>
</file>