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61" w:rsidRPr="00056761" w:rsidRDefault="00056761" w:rsidP="00D41165">
      <w:pPr>
        <w:rPr>
          <w:b/>
          <w:szCs w:val="24"/>
        </w:rPr>
      </w:pPr>
      <w:r w:rsidRPr="00056761">
        <w:rPr>
          <w:b/>
          <w:szCs w:val="24"/>
        </w:rPr>
        <w:t>UNIVERSITY OF YORK</w:t>
      </w:r>
    </w:p>
    <w:p w:rsidR="00056761" w:rsidRPr="00056761" w:rsidRDefault="00056761" w:rsidP="00D41165">
      <w:pPr>
        <w:rPr>
          <w:b/>
          <w:szCs w:val="24"/>
        </w:rPr>
      </w:pPr>
      <w:r w:rsidRPr="00056761">
        <w:rPr>
          <w:b/>
          <w:szCs w:val="24"/>
        </w:rPr>
        <w:t>Social Policy Research Unit</w:t>
      </w:r>
    </w:p>
    <w:p w:rsidR="00056761" w:rsidRDefault="00056761" w:rsidP="00D41165">
      <w:pPr>
        <w:rPr>
          <w:b/>
          <w:sz w:val="32"/>
          <w:szCs w:val="32"/>
        </w:rPr>
      </w:pPr>
    </w:p>
    <w:p w:rsidR="00CA712F" w:rsidRPr="00AA67DF" w:rsidRDefault="00D9045E" w:rsidP="00D41165">
      <w:pPr>
        <w:rPr>
          <w:b/>
          <w:sz w:val="32"/>
          <w:szCs w:val="32"/>
        </w:rPr>
      </w:pPr>
      <w:r w:rsidRPr="00AA67DF">
        <w:rPr>
          <w:b/>
          <w:sz w:val="32"/>
          <w:szCs w:val="32"/>
        </w:rPr>
        <w:t>UK child poverty gaps increasing</w:t>
      </w:r>
      <w:r w:rsidR="0060395A">
        <w:rPr>
          <w:b/>
          <w:sz w:val="32"/>
          <w:szCs w:val="32"/>
        </w:rPr>
        <w:t xml:space="preserve"> but small reductions in deprivation</w:t>
      </w:r>
    </w:p>
    <w:p w:rsidR="00D9045E" w:rsidRDefault="00D9045E" w:rsidP="00D41165"/>
    <w:p w:rsidR="00056761" w:rsidRPr="00056761" w:rsidRDefault="00A33F92" w:rsidP="00D41165">
      <w:pPr>
        <w:tabs>
          <w:tab w:val="left" w:pos="2842"/>
        </w:tabs>
        <w:rPr>
          <w:rStyle w:val="Hyperlink"/>
          <w:color w:val="auto"/>
          <w:u w:val="none"/>
        </w:rPr>
      </w:pPr>
      <w:hyperlink r:id="rId5" w:history="1">
        <w:r w:rsidR="00D9045E" w:rsidRPr="00A33F92">
          <w:rPr>
            <w:rStyle w:val="Hyperlink"/>
          </w:rPr>
          <w:t>Jonathan Bradshaw</w:t>
        </w:r>
      </w:hyperlink>
      <w:r w:rsidR="006D485F" w:rsidRPr="00056761">
        <w:t xml:space="preserve"> and </w:t>
      </w:r>
      <w:hyperlink r:id="rId6" w:history="1">
        <w:r w:rsidR="006D485F" w:rsidRPr="00A33F92">
          <w:rPr>
            <w:rStyle w:val="Hyperlink"/>
          </w:rPr>
          <w:t>Antonia K</w:t>
        </w:r>
        <w:r w:rsidR="00AA67DF" w:rsidRPr="00A33F92">
          <w:rPr>
            <w:rStyle w:val="Hyperlink"/>
          </w:rPr>
          <w:t>eung</w:t>
        </w:r>
      </w:hyperlink>
    </w:p>
    <w:p w:rsidR="00056761" w:rsidRPr="00056761" w:rsidRDefault="00056761" w:rsidP="00D41165">
      <w:pPr>
        <w:tabs>
          <w:tab w:val="left" w:pos="2842"/>
        </w:tabs>
        <w:rPr>
          <w:rStyle w:val="Hyperlink"/>
          <w:color w:val="auto"/>
          <w:u w:val="none"/>
        </w:rPr>
      </w:pPr>
    </w:p>
    <w:p w:rsidR="00D9045E" w:rsidRDefault="00056761" w:rsidP="00D41165">
      <w:pPr>
        <w:tabs>
          <w:tab w:val="left" w:pos="2842"/>
        </w:tabs>
      </w:pPr>
      <w:r w:rsidRPr="00056761">
        <w:rPr>
          <w:rStyle w:val="Hyperlink"/>
          <w:color w:val="auto"/>
          <w:u w:val="none"/>
        </w:rPr>
        <w:t>Updated</w:t>
      </w:r>
      <w:r w:rsidR="00A443A0">
        <w:rPr>
          <w:rStyle w:val="Hyperlink"/>
          <w:color w:val="auto"/>
          <w:u w:val="none"/>
        </w:rPr>
        <w:t xml:space="preserve"> 6/12</w:t>
      </w:r>
      <w:r w:rsidR="00D41165">
        <w:rPr>
          <w:rStyle w:val="Hyperlink"/>
          <w:color w:val="auto"/>
          <w:u w:val="none"/>
        </w:rPr>
        <w:t>/</w:t>
      </w:r>
      <w:r w:rsidR="00A443A0">
        <w:rPr>
          <w:rStyle w:val="Hyperlink"/>
          <w:color w:val="auto"/>
          <w:u w:val="none"/>
        </w:rPr>
        <w:t>17</w:t>
      </w:r>
      <w:r w:rsidR="00D9045E">
        <w:tab/>
      </w:r>
    </w:p>
    <w:p w:rsidR="00D9045E" w:rsidRDefault="00D9045E" w:rsidP="00D41165">
      <w:pPr>
        <w:tabs>
          <w:tab w:val="left" w:pos="2842"/>
        </w:tabs>
      </w:pPr>
    </w:p>
    <w:p w:rsidR="00D9045E" w:rsidRDefault="00D9045E" w:rsidP="00D41165">
      <w:pPr>
        <w:tabs>
          <w:tab w:val="left" w:pos="2842"/>
        </w:tabs>
      </w:pPr>
      <w:r>
        <w:t xml:space="preserve">There has always been a debate in the world of poverty measurement </w:t>
      </w:r>
      <w:r w:rsidR="00AA67DF">
        <w:t xml:space="preserve">about </w:t>
      </w:r>
      <w:r>
        <w:t xml:space="preserve">whether we should be more concerned about poverty rates (the proportion below a poverty threshold) or poverty gaps (how far people </w:t>
      </w:r>
      <w:r w:rsidR="00782AAA">
        <w:t xml:space="preserve">in poverty </w:t>
      </w:r>
      <w:r>
        <w:t xml:space="preserve">are below the poverty threshold). </w:t>
      </w:r>
      <w:r w:rsidR="00203616">
        <w:t>Is it better for a country to have many children a little way below the poverty threshold or few children below the poverty threshold</w:t>
      </w:r>
      <w:r w:rsidR="006E71C8">
        <w:t>,</w:t>
      </w:r>
      <w:r w:rsidR="00203616">
        <w:t xml:space="preserve"> but a long way below it? The UK has tended in the past to have comparatively high poverty rates but comparatively low poverty gaps. </w:t>
      </w:r>
      <w:r>
        <w:t xml:space="preserve">This has been thanks to a fairly comprehensive </w:t>
      </w:r>
      <w:r w:rsidR="00AA67DF">
        <w:t xml:space="preserve">but quite low </w:t>
      </w:r>
      <w:r>
        <w:t xml:space="preserve">minimum income scheme.  But since the recession our </w:t>
      </w:r>
      <w:hyperlink r:id="rId7" w:history="1">
        <w:r w:rsidRPr="00664D37">
          <w:rPr>
            <w:rStyle w:val="Hyperlink"/>
          </w:rPr>
          <w:t>minimum income scheme</w:t>
        </w:r>
      </w:hyperlink>
      <w:r>
        <w:t xml:space="preserve"> has been undermined by benefits caps, </w:t>
      </w:r>
      <w:r w:rsidR="00A443A0">
        <w:t xml:space="preserve">the two child limit, </w:t>
      </w:r>
      <w:r>
        <w:t>the bedroom tax, local rent limits, real cuts</w:t>
      </w:r>
      <w:r w:rsidR="00AA67DF">
        <w:t>,</w:t>
      </w:r>
      <w:r w:rsidR="00782AAA">
        <w:t xml:space="preserve"> </w:t>
      </w:r>
      <w:r>
        <w:t xml:space="preserve">the failure to uprate </w:t>
      </w:r>
      <w:r w:rsidR="00AA67DF">
        <w:t xml:space="preserve">child </w:t>
      </w:r>
      <w:r>
        <w:t>tax credits</w:t>
      </w:r>
      <w:r w:rsidR="00203616">
        <w:t xml:space="preserve"> and</w:t>
      </w:r>
      <w:r>
        <w:t xml:space="preserve"> child benefits</w:t>
      </w:r>
      <w:r w:rsidR="00203616">
        <w:t>,</w:t>
      </w:r>
      <w:r w:rsidR="00664D37">
        <w:t xml:space="preserve"> the localisation of council tax benefit</w:t>
      </w:r>
      <w:r w:rsidR="00203616">
        <w:t xml:space="preserve"> and sanctions.</w:t>
      </w:r>
    </w:p>
    <w:p w:rsidR="00D9045E" w:rsidRDefault="00D9045E" w:rsidP="00D41165"/>
    <w:p w:rsidR="00D9045E" w:rsidRDefault="00610C80" w:rsidP="00D41165">
      <w:r>
        <w:t xml:space="preserve">The most recent </w:t>
      </w:r>
      <w:hyperlink r:id="rId8" w:history="1">
        <w:r w:rsidRPr="00A443A0">
          <w:rPr>
            <w:rStyle w:val="Hyperlink"/>
          </w:rPr>
          <w:t>HBAI statistics</w:t>
        </w:r>
      </w:hyperlink>
      <w:r>
        <w:t xml:space="preserve"> for 201</w:t>
      </w:r>
      <w:r w:rsidR="00A443A0">
        <w:t>5</w:t>
      </w:r>
      <w:r>
        <w:t>-1</w:t>
      </w:r>
      <w:r w:rsidR="00A443A0">
        <w:t>6</w:t>
      </w:r>
      <w:r>
        <w:t xml:space="preserve"> produced by t</w:t>
      </w:r>
      <w:r w:rsidR="00782AAA">
        <w:t xml:space="preserve">he DWP </w:t>
      </w:r>
      <w:r>
        <w:t xml:space="preserve">show an increase in child poverty rates, the first for a decade. The </w:t>
      </w:r>
      <w:r w:rsidR="00782AAA">
        <w:t xml:space="preserve">HBAI series have never </w:t>
      </w:r>
      <w:r>
        <w:t>included</w:t>
      </w:r>
      <w:r w:rsidR="00782AAA">
        <w:t xml:space="preserve"> poverty gap data. There are some good reasons for this: the calculation is rather arcane (for households below the poverty threshold</w:t>
      </w:r>
      <w:r w:rsidR="0094127D">
        <w:t>,</w:t>
      </w:r>
      <w:r w:rsidR="00782AAA">
        <w:t xml:space="preserve"> the average of how fa</w:t>
      </w:r>
      <w:r w:rsidR="00975DF1">
        <w:t>r</w:t>
      </w:r>
      <w:r w:rsidR="00782AAA">
        <w:t xml:space="preserve"> their income</w:t>
      </w:r>
      <w:r w:rsidR="0094127D">
        <w:t>s</w:t>
      </w:r>
      <w:r w:rsidR="00782AAA">
        <w:t xml:space="preserve"> </w:t>
      </w:r>
      <w:r w:rsidR="0094127D">
        <w:t>are</w:t>
      </w:r>
      <w:r w:rsidR="00782AAA">
        <w:t xml:space="preserve"> from the poverty threshold); </w:t>
      </w:r>
      <w:r w:rsidR="00975DF1">
        <w:t>the statistic is subject to outliers (</w:t>
      </w:r>
      <w:r w:rsidR="0094127D">
        <w:t xml:space="preserve">including </w:t>
      </w:r>
      <w:r w:rsidR="00975DF1">
        <w:t xml:space="preserve">negative incomes); and quite large sampling </w:t>
      </w:r>
      <w:proofErr w:type="gramStart"/>
      <w:r w:rsidR="00975DF1">
        <w:t>errors</w:t>
      </w:r>
      <w:proofErr w:type="gramEnd"/>
      <w:r w:rsidR="00AA67DF">
        <w:t>,</w:t>
      </w:r>
      <w:r w:rsidR="00975DF1">
        <w:t xml:space="preserve"> even in a survey as large as the Family Resources Survey.</w:t>
      </w:r>
    </w:p>
    <w:p w:rsidR="0094127D" w:rsidRDefault="0094127D" w:rsidP="00D41165"/>
    <w:p w:rsidR="0094127D" w:rsidRDefault="0094127D" w:rsidP="00D41165">
      <w:r>
        <w:t>Nevertheless they are worth having a look at – especially for trend data over time. Poverty rates may be falling when poverty gaps are rising a</w:t>
      </w:r>
      <w:r w:rsidR="00AA67DF">
        <w:t>nd</w:t>
      </w:r>
      <w:r>
        <w:t xml:space="preserve"> vice versa. </w:t>
      </w:r>
      <w:r w:rsidR="00AA67DF">
        <w:t xml:space="preserve">For the </w:t>
      </w:r>
      <w:hyperlink r:id="rId9" w:history="1">
        <w:r w:rsidR="00AA67DF" w:rsidRPr="006D485F">
          <w:rPr>
            <w:rStyle w:val="Hyperlink"/>
          </w:rPr>
          <w:t>Child Poverty Action Group</w:t>
        </w:r>
      </w:hyperlink>
      <w:r w:rsidR="00AA67DF">
        <w:t xml:space="preserve"> w</w:t>
      </w:r>
      <w:r>
        <w:t>e have analysed trends in the poverty gaps for families with children from 2007/8 to 201</w:t>
      </w:r>
      <w:r w:rsidR="00A443A0">
        <w:t>5</w:t>
      </w:r>
      <w:r>
        <w:t>/1</w:t>
      </w:r>
      <w:r w:rsidR="00A443A0">
        <w:t>6</w:t>
      </w:r>
      <w:r>
        <w:t xml:space="preserve"> and the results are presented in tables 1 and 2 and figure 1.</w:t>
      </w:r>
    </w:p>
    <w:p w:rsidR="000E7D4A" w:rsidRDefault="000E7D4A" w:rsidP="00D41165"/>
    <w:p w:rsidR="000E7D4A" w:rsidRDefault="000E7D4A" w:rsidP="00D41165">
      <w:r>
        <w:t xml:space="preserve">It is probably safest to focus on the median </w:t>
      </w:r>
      <w:r w:rsidR="00ED3E07">
        <w:t xml:space="preserve">poverty gap </w:t>
      </w:r>
      <w:r>
        <w:t>and all families with children. There has been an increase in the poverty gap</w:t>
      </w:r>
      <w:r w:rsidR="00ED3E07">
        <w:t>,</w:t>
      </w:r>
      <w:r>
        <w:t xml:space="preserve"> both before and after housing costs. In 2007/8 the median poverty gap before housing costs was £41.60 </w:t>
      </w:r>
      <w:r w:rsidR="00AA67DF">
        <w:t xml:space="preserve">per week </w:t>
      </w:r>
      <w:r>
        <w:t>by 201</w:t>
      </w:r>
      <w:r w:rsidR="00872623">
        <w:t>5</w:t>
      </w:r>
      <w:r>
        <w:t>/1</w:t>
      </w:r>
      <w:r w:rsidR="00872623">
        <w:t>6</w:t>
      </w:r>
      <w:r>
        <w:t xml:space="preserve"> it had increased to £</w:t>
      </w:r>
      <w:r w:rsidR="00872623">
        <w:t>50.60</w:t>
      </w:r>
      <w:r w:rsidR="00AA67DF">
        <w:t xml:space="preserve"> per week.  After housing costs the increase was from £50.40 per week in 2007/8 to £</w:t>
      </w:r>
      <w:r w:rsidR="00D41165">
        <w:t>61.80</w:t>
      </w:r>
      <w:r w:rsidR="00AA67DF">
        <w:t xml:space="preserve"> per week in 201</w:t>
      </w:r>
      <w:r w:rsidR="00D41165">
        <w:t>5</w:t>
      </w:r>
      <w:r w:rsidR="00F47898">
        <w:t>/1</w:t>
      </w:r>
      <w:r w:rsidR="00D41165">
        <w:t>6</w:t>
      </w:r>
      <w:r w:rsidR="00AA67DF">
        <w:t xml:space="preserve">. Over the same period the </w:t>
      </w:r>
      <w:r w:rsidR="006D485F">
        <w:t xml:space="preserve">child </w:t>
      </w:r>
      <w:r w:rsidR="00AA67DF">
        <w:t>poverty rates had fallen both before and after housing costs.</w:t>
      </w:r>
    </w:p>
    <w:p w:rsidR="000E7D4A" w:rsidRDefault="000E7D4A" w:rsidP="00D41165">
      <w:pPr>
        <w:rPr>
          <w:b/>
        </w:rPr>
      </w:pPr>
    </w:p>
    <w:p w:rsidR="00814C70" w:rsidRDefault="00814C70" w:rsidP="00D41165">
      <w:pPr>
        <w:rPr>
          <w:b/>
        </w:rPr>
      </w:pPr>
      <w:r>
        <w:rPr>
          <w:b/>
        </w:rPr>
        <w:br w:type="page"/>
      </w:r>
    </w:p>
    <w:p w:rsidR="00A443A0" w:rsidRPr="00A443A0" w:rsidRDefault="000E7D4A" w:rsidP="00D41165">
      <w:pPr>
        <w:rPr>
          <w:b/>
        </w:rPr>
      </w:pPr>
      <w:r w:rsidRPr="000E7D4A">
        <w:rPr>
          <w:b/>
        </w:rPr>
        <w:lastRenderedPageBreak/>
        <w:t xml:space="preserve">Table 1: </w:t>
      </w:r>
      <w:r w:rsidR="00056761" w:rsidRPr="00056761">
        <w:rPr>
          <w:b/>
        </w:rPr>
        <w:t>P</w:t>
      </w:r>
      <w:r w:rsidR="00056761">
        <w:rPr>
          <w:b/>
        </w:rPr>
        <w:t>overty gaps average £ per week B</w:t>
      </w:r>
      <w:r w:rsidR="00056761" w:rsidRPr="00056761">
        <w:rPr>
          <w:b/>
        </w:rPr>
        <w:t>HC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655"/>
        <w:gridCol w:w="863"/>
        <w:gridCol w:w="851"/>
        <w:gridCol w:w="855"/>
        <w:gridCol w:w="846"/>
        <w:gridCol w:w="850"/>
        <w:gridCol w:w="851"/>
        <w:gridCol w:w="850"/>
        <w:gridCol w:w="851"/>
        <w:gridCol w:w="992"/>
      </w:tblGrid>
      <w:tr w:rsidR="00A443A0" w:rsidRPr="00A443A0" w:rsidTr="00A443A0">
        <w:trPr>
          <w:trHeight w:val="330"/>
        </w:trPr>
        <w:tc>
          <w:tcPr>
            <w:tcW w:w="1655" w:type="dxa"/>
            <w:noWrap/>
            <w:hideMark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809" w:type="dxa"/>
            <w:gridSpan w:val="9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 xml:space="preserve">£ per week </w:t>
            </w: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63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2007/8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2008/9</w:t>
            </w:r>
          </w:p>
        </w:tc>
        <w:tc>
          <w:tcPr>
            <w:tcW w:w="855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2009/10</w:t>
            </w:r>
          </w:p>
        </w:tc>
        <w:tc>
          <w:tcPr>
            <w:tcW w:w="846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2010/11</w:t>
            </w:r>
          </w:p>
        </w:tc>
        <w:tc>
          <w:tcPr>
            <w:tcW w:w="850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2011/12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2012/13</w:t>
            </w:r>
          </w:p>
        </w:tc>
        <w:tc>
          <w:tcPr>
            <w:tcW w:w="850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2013/14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2014/15</w:t>
            </w:r>
          </w:p>
        </w:tc>
        <w:tc>
          <w:tcPr>
            <w:tcW w:w="992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2015/16</w:t>
            </w: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shd w:val="clear" w:color="auto" w:fill="BFBFBF" w:themeFill="background1" w:themeFillShade="BF"/>
            <w:noWrap/>
          </w:tcPr>
          <w:p w:rsidR="00A443A0" w:rsidRPr="00A443A0" w:rsidRDefault="00A443A0" w:rsidP="00D41165">
            <w:pPr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 xml:space="preserve">Lone parent        </w:t>
            </w:r>
          </w:p>
        </w:tc>
        <w:tc>
          <w:tcPr>
            <w:tcW w:w="863" w:type="dxa"/>
            <w:shd w:val="clear" w:color="auto" w:fill="BFBFBF" w:themeFill="background1" w:themeFillShade="BF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noWrap/>
          </w:tcPr>
          <w:p w:rsidR="00A443A0" w:rsidRPr="00A443A0" w:rsidRDefault="00A443A0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Mean (SD)</w:t>
            </w:r>
          </w:p>
        </w:tc>
        <w:tc>
          <w:tcPr>
            <w:tcW w:w="863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47.00 (42.56)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48.17 (48.67)</w:t>
            </w:r>
          </w:p>
        </w:tc>
        <w:tc>
          <w:tcPr>
            <w:tcW w:w="855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48.32 (48.48)</w:t>
            </w:r>
          </w:p>
        </w:tc>
        <w:tc>
          <w:tcPr>
            <w:tcW w:w="846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47.56 (50.60)</w:t>
            </w:r>
          </w:p>
        </w:tc>
        <w:tc>
          <w:tcPr>
            <w:tcW w:w="850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55.05 (48.25)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63.32 (59.55)</w:t>
            </w:r>
          </w:p>
        </w:tc>
        <w:tc>
          <w:tcPr>
            <w:tcW w:w="850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53.87 (54.56)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61.96 (61.28)</w:t>
            </w:r>
          </w:p>
        </w:tc>
        <w:tc>
          <w:tcPr>
            <w:tcW w:w="992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66.25 (64.09)</w:t>
            </w: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noWrap/>
          </w:tcPr>
          <w:p w:rsidR="00A443A0" w:rsidRPr="00A443A0" w:rsidRDefault="00A443A0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95% CI for the mean</w:t>
            </w:r>
          </w:p>
        </w:tc>
        <w:tc>
          <w:tcPr>
            <w:tcW w:w="863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46.92-47.08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48.07-48.26</w:t>
            </w:r>
          </w:p>
        </w:tc>
        <w:tc>
          <w:tcPr>
            <w:tcW w:w="855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48.22-48.43</w:t>
            </w:r>
          </w:p>
        </w:tc>
        <w:tc>
          <w:tcPr>
            <w:tcW w:w="846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47.44-47.68</w:t>
            </w:r>
          </w:p>
        </w:tc>
        <w:tc>
          <w:tcPr>
            <w:tcW w:w="850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54.93-55.16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63.18-63.46</w:t>
            </w:r>
          </w:p>
        </w:tc>
        <w:tc>
          <w:tcPr>
            <w:tcW w:w="850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53.73-54.00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61.82-62.10</w:t>
            </w:r>
          </w:p>
        </w:tc>
        <w:tc>
          <w:tcPr>
            <w:tcW w:w="992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66.11-66.38</w:t>
            </w: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noWrap/>
          </w:tcPr>
          <w:p w:rsidR="00A443A0" w:rsidRPr="00A443A0" w:rsidRDefault="00A443A0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Median</w:t>
            </w:r>
          </w:p>
        </w:tc>
        <w:tc>
          <w:tcPr>
            <w:tcW w:w="863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35.60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32.60</w:t>
            </w:r>
          </w:p>
        </w:tc>
        <w:tc>
          <w:tcPr>
            <w:tcW w:w="855" w:type="dxa"/>
          </w:tcPr>
          <w:p w:rsidR="00A443A0" w:rsidRPr="00A443A0" w:rsidRDefault="00A443A0" w:rsidP="00D41165">
            <w:pPr>
              <w:tabs>
                <w:tab w:val="left" w:pos="242"/>
              </w:tabs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32.00</w:t>
            </w:r>
          </w:p>
        </w:tc>
        <w:tc>
          <w:tcPr>
            <w:tcW w:w="846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31.80</w:t>
            </w:r>
          </w:p>
        </w:tc>
        <w:tc>
          <w:tcPr>
            <w:tcW w:w="850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41.20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45.00</w:t>
            </w:r>
          </w:p>
        </w:tc>
        <w:tc>
          <w:tcPr>
            <w:tcW w:w="850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33.80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37.80</w:t>
            </w:r>
          </w:p>
        </w:tc>
        <w:tc>
          <w:tcPr>
            <w:tcW w:w="992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45.60</w:t>
            </w: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shd w:val="clear" w:color="auto" w:fill="BFBFBF" w:themeFill="background1" w:themeFillShade="BF"/>
            <w:noWrap/>
          </w:tcPr>
          <w:p w:rsidR="00A443A0" w:rsidRPr="00A443A0" w:rsidRDefault="00A443A0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Couple with children</w:t>
            </w:r>
          </w:p>
        </w:tc>
        <w:tc>
          <w:tcPr>
            <w:tcW w:w="863" w:type="dxa"/>
            <w:shd w:val="clear" w:color="auto" w:fill="BFBFBF" w:themeFill="background1" w:themeFillShade="BF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noWrap/>
          </w:tcPr>
          <w:p w:rsidR="00A443A0" w:rsidRPr="00A443A0" w:rsidRDefault="00A443A0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Mean (SD)</w:t>
            </w:r>
          </w:p>
        </w:tc>
        <w:tc>
          <w:tcPr>
            <w:tcW w:w="863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66.34 (59.68)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70.30 (63.19)</w:t>
            </w:r>
          </w:p>
        </w:tc>
        <w:tc>
          <w:tcPr>
            <w:tcW w:w="855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70.12 (64.65)</w:t>
            </w:r>
          </w:p>
        </w:tc>
        <w:tc>
          <w:tcPr>
            <w:tcW w:w="846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68.22 (62.88)</w:t>
            </w:r>
          </w:p>
        </w:tc>
        <w:tc>
          <w:tcPr>
            <w:tcW w:w="850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63.59 (60.44)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74.68 (71.49)</w:t>
            </w:r>
          </w:p>
        </w:tc>
        <w:tc>
          <w:tcPr>
            <w:tcW w:w="850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68.89 (63.07)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75.39 (68.55)</w:t>
            </w:r>
          </w:p>
        </w:tc>
        <w:tc>
          <w:tcPr>
            <w:tcW w:w="992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72.47 (69.57)</w:t>
            </w: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noWrap/>
          </w:tcPr>
          <w:p w:rsidR="00A443A0" w:rsidRPr="00A443A0" w:rsidRDefault="00A443A0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95% CI for the mean</w:t>
            </w:r>
          </w:p>
        </w:tc>
        <w:tc>
          <w:tcPr>
            <w:tcW w:w="863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66.25-66.42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70.21-70.39</w:t>
            </w:r>
          </w:p>
        </w:tc>
        <w:tc>
          <w:tcPr>
            <w:tcW w:w="855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70.03-70.22</w:t>
            </w:r>
          </w:p>
        </w:tc>
        <w:tc>
          <w:tcPr>
            <w:tcW w:w="846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68.12-68.31</w:t>
            </w:r>
          </w:p>
        </w:tc>
        <w:tc>
          <w:tcPr>
            <w:tcW w:w="850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63.50-63.69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74.57-74.79</w:t>
            </w:r>
          </w:p>
        </w:tc>
        <w:tc>
          <w:tcPr>
            <w:tcW w:w="850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68.79-68.99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75.29-75.49</w:t>
            </w:r>
          </w:p>
        </w:tc>
        <w:tc>
          <w:tcPr>
            <w:tcW w:w="992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72.37-72.57</w:t>
            </w: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noWrap/>
          </w:tcPr>
          <w:p w:rsidR="00A443A0" w:rsidRPr="00A443A0" w:rsidRDefault="00A443A0" w:rsidP="00D41165">
            <w:pPr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Median</w:t>
            </w:r>
          </w:p>
        </w:tc>
        <w:tc>
          <w:tcPr>
            <w:tcW w:w="863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47.60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48.60</w:t>
            </w:r>
          </w:p>
        </w:tc>
        <w:tc>
          <w:tcPr>
            <w:tcW w:w="855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49.00</w:t>
            </w:r>
          </w:p>
        </w:tc>
        <w:tc>
          <w:tcPr>
            <w:tcW w:w="846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48.80</w:t>
            </w:r>
          </w:p>
        </w:tc>
        <w:tc>
          <w:tcPr>
            <w:tcW w:w="850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45.20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51.00</w:t>
            </w:r>
          </w:p>
        </w:tc>
        <w:tc>
          <w:tcPr>
            <w:tcW w:w="850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50.80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54.80</w:t>
            </w:r>
          </w:p>
        </w:tc>
        <w:tc>
          <w:tcPr>
            <w:tcW w:w="992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51.60</w:t>
            </w: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shd w:val="clear" w:color="auto" w:fill="BFBFBF" w:themeFill="background1" w:themeFillShade="BF"/>
            <w:noWrap/>
          </w:tcPr>
          <w:p w:rsidR="00A443A0" w:rsidRPr="00A443A0" w:rsidRDefault="00A443A0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All families with children</w:t>
            </w:r>
          </w:p>
        </w:tc>
        <w:tc>
          <w:tcPr>
            <w:tcW w:w="863" w:type="dxa"/>
            <w:shd w:val="clear" w:color="auto" w:fill="BFBFBF" w:themeFill="background1" w:themeFillShade="BF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noWrap/>
          </w:tcPr>
          <w:p w:rsidR="00A443A0" w:rsidRPr="00A443A0" w:rsidRDefault="00A443A0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Mean (SD)</w:t>
            </w:r>
          </w:p>
        </w:tc>
        <w:tc>
          <w:tcPr>
            <w:tcW w:w="863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59.04 (54.67)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62.18 (59.25)</w:t>
            </w:r>
          </w:p>
        </w:tc>
        <w:tc>
          <w:tcPr>
            <w:tcW w:w="855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63.21 (60.85)</w:t>
            </w:r>
          </w:p>
        </w:tc>
        <w:tc>
          <w:tcPr>
            <w:tcW w:w="846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62.08 (60.24)</w:t>
            </w:r>
          </w:p>
        </w:tc>
        <w:tc>
          <w:tcPr>
            <w:tcW w:w="850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61.07 (57.24)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71.33 (68.38)</w:t>
            </w:r>
          </w:p>
        </w:tc>
        <w:tc>
          <w:tcPr>
            <w:tcW w:w="850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64.92 (61.29)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71.25 (66.68)</w:t>
            </w:r>
          </w:p>
        </w:tc>
        <w:tc>
          <w:tcPr>
            <w:tcW w:w="992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70.45 (67.90)</w:t>
            </w: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noWrap/>
          </w:tcPr>
          <w:p w:rsidR="00A443A0" w:rsidRPr="00A443A0" w:rsidRDefault="00A443A0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95% CI for the mean</w:t>
            </w:r>
          </w:p>
        </w:tc>
        <w:tc>
          <w:tcPr>
            <w:tcW w:w="863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58.98-59.11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62.11-62.25</w:t>
            </w:r>
          </w:p>
        </w:tc>
        <w:tc>
          <w:tcPr>
            <w:tcW w:w="855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63.14-63.29</w:t>
            </w:r>
          </w:p>
        </w:tc>
        <w:tc>
          <w:tcPr>
            <w:tcW w:w="846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62.00-62.16</w:t>
            </w:r>
          </w:p>
        </w:tc>
        <w:tc>
          <w:tcPr>
            <w:tcW w:w="850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60.99-61.14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71.24-71.42</w:t>
            </w:r>
          </w:p>
        </w:tc>
        <w:tc>
          <w:tcPr>
            <w:tcW w:w="850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64.84-65.00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71.17-71.33</w:t>
            </w:r>
          </w:p>
        </w:tc>
        <w:tc>
          <w:tcPr>
            <w:tcW w:w="992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70.36-70.53</w:t>
            </w: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noWrap/>
          </w:tcPr>
          <w:p w:rsidR="00A443A0" w:rsidRPr="00A443A0" w:rsidRDefault="00A443A0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Median</w:t>
            </w:r>
          </w:p>
        </w:tc>
        <w:tc>
          <w:tcPr>
            <w:tcW w:w="863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41.60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42.60</w:t>
            </w:r>
          </w:p>
        </w:tc>
        <w:tc>
          <w:tcPr>
            <w:tcW w:w="855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44.00</w:t>
            </w:r>
          </w:p>
        </w:tc>
        <w:tc>
          <w:tcPr>
            <w:tcW w:w="846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42.80</w:t>
            </w:r>
          </w:p>
        </w:tc>
        <w:tc>
          <w:tcPr>
            <w:tcW w:w="850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44.20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49.00</w:t>
            </w:r>
          </w:p>
        </w:tc>
        <w:tc>
          <w:tcPr>
            <w:tcW w:w="850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46.80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49.80</w:t>
            </w:r>
          </w:p>
        </w:tc>
        <w:tc>
          <w:tcPr>
            <w:tcW w:w="992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50.60</w:t>
            </w: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noWrap/>
          </w:tcPr>
          <w:p w:rsidR="00A443A0" w:rsidRPr="00A443A0" w:rsidRDefault="00A443A0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Total no. of children</w:t>
            </w:r>
          </w:p>
        </w:tc>
        <w:tc>
          <w:tcPr>
            <w:tcW w:w="863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12,975,932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12,965,385</w:t>
            </w:r>
          </w:p>
        </w:tc>
        <w:tc>
          <w:tcPr>
            <w:tcW w:w="855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13,150,415</w:t>
            </w:r>
          </w:p>
        </w:tc>
        <w:tc>
          <w:tcPr>
            <w:tcW w:w="846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13,206,669</w:t>
            </w:r>
          </w:p>
        </w:tc>
        <w:tc>
          <w:tcPr>
            <w:tcW w:w="850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13,266,967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13,349,935</w:t>
            </w:r>
          </w:p>
        </w:tc>
        <w:tc>
          <w:tcPr>
            <w:tcW w:w="850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13,329,444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13,480,133</w:t>
            </w:r>
          </w:p>
        </w:tc>
        <w:tc>
          <w:tcPr>
            <w:tcW w:w="992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13,541,132</w:t>
            </w:r>
          </w:p>
        </w:tc>
      </w:tr>
      <w:tr w:rsidR="00A443A0" w:rsidRPr="00A443A0" w:rsidTr="00A443A0">
        <w:trPr>
          <w:trHeight w:val="330"/>
        </w:trPr>
        <w:tc>
          <w:tcPr>
            <w:tcW w:w="1655" w:type="dxa"/>
            <w:noWrap/>
          </w:tcPr>
          <w:p w:rsidR="00A443A0" w:rsidRPr="00A443A0" w:rsidRDefault="00A443A0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 xml:space="preserve">% children in poverty </w:t>
            </w:r>
          </w:p>
        </w:tc>
        <w:tc>
          <w:tcPr>
            <w:tcW w:w="863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22.5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21.9</w:t>
            </w:r>
          </w:p>
        </w:tc>
        <w:tc>
          <w:tcPr>
            <w:tcW w:w="855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19.8</w:t>
            </w:r>
          </w:p>
        </w:tc>
        <w:tc>
          <w:tcPr>
            <w:tcW w:w="846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17.6</w:t>
            </w:r>
          </w:p>
        </w:tc>
        <w:tc>
          <w:tcPr>
            <w:tcW w:w="850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17.6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17.3</w:t>
            </w:r>
          </w:p>
        </w:tc>
        <w:tc>
          <w:tcPr>
            <w:tcW w:w="850" w:type="dxa"/>
            <w:noWrap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17.0</w:t>
            </w:r>
          </w:p>
        </w:tc>
        <w:tc>
          <w:tcPr>
            <w:tcW w:w="851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18.8</w:t>
            </w:r>
          </w:p>
        </w:tc>
        <w:tc>
          <w:tcPr>
            <w:tcW w:w="992" w:type="dxa"/>
          </w:tcPr>
          <w:p w:rsidR="00A443A0" w:rsidRPr="00A443A0" w:rsidRDefault="00A443A0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A443A0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19.6</w:t>
            </w:r>
          </w:p>
        </w:tc>
      </w:tr>
    </w:tbl>
    <w:p w:rsidR="00A443A0" w:rsidRPr="00A443A0" w:rsidRDefault="00A443A0" w:rsidP="00D41165">
      <w:pPr>
        <w:rPr>
          <w:rFonts w:cs="Times New Roman"/>
          <w:szCs w:val="24"/>
        </w:rPr>
      </w:pPr>
      <w:r w:rsidRPr="00A443A0">
        <w:rPr>
          <w:rFonts w:cs="Times New Roman"/>
          <w:szCs w:val="24"/>
        </w:rPr>
        <w:t xml:space="preserve">Source: </w:t>
      </w:r>
      <w:r w:rsidR="00872623">
        <w:rPr>
          <w:rFonts w:cs="Times New Roman"/>
          <w:szCs w:val="24"/>
        </w:rPr>
        <w:t xml:space="preserve">Own analysis of </w:t>
      </w:r>
      <w:r w:rsidRPr="00A443A0">
        <w:rPr>
          <w:rFonts w:cs="Times New Roman"/>
          <w:szCs w:val="24"/>
        </w:rPr>
        <w:t>HBAI</w:t>
      </w:r>
    </w:p>
    <w:p w:rsidR="00A443A0" w:rsidRDefault="00A443A0" w:rsidP="00D41165">
      <w:pPr>
        <w:rPr>
          <w:b/>
        </w:rPr>
      </w:pPr>
    </w:p>
    <w:p w:rsidR="00872623" w:rsidRPr="00872623" w:rsidRDefault="000E7D4A" w:rsidP="00D41165">
      <w:pPr>
        <w:rPr>
          <w:b/>
        </w:rPr>
      </w:pPr>
      <w:r w:rsidRPr="006D485F">
        <w:rPr>
          <w:b/>
        </w:rPr>
        <w:t>Table 2: Poverty gaps average £ per week AHC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729"/>
        <w:gridCol w:w="975"/>
        <w:gridCol w:w="846"/>
        <w:gridCol w:w="846"/>
        <w:gridCol w:w="846"/>
        <w:gridCol w:w="846"/>
        <w:gridCol w:w="846"/>
        <w:gridCol w:w="975"/>
        <w:gridCol w:w="846"/>
        <w:gridCol w:w="846"/>
      </w:tblGrid>
      <w:tr w:rsidR="00872623" w:rsidRPr="00872623" w:rsidTr="00872623">
        <w:trPr>
          <w:trHeight w:val="330"/>
        </w:trPr>
        <w:tc>
          <w:tcPr>
            <w:tcW w:w="0" w:type="auto"/>
            <w:noWrap/>
            <w:hideMark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7809" w:type="dxa"/>
            <w:gridSpan w:val="9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 xml:space="preserve">£ per week </w:t>
            </w:r>
          </w:p>
        </w:tc>
      </w:tr>
      <w:tr w:rsidR="00872623" w:rsidRPr="00872623" w:rsidTr="00872623">
        <w:trPr>
          <w:trHeight w:val="330"/>
        </w:trPr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2007/8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2008/9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2009/10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2010/11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2011/12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2012/13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2013/14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2014/15</w:t>
            </w:r>
          </w:p>
        </w:tc>
        <w:tc>
          <w:tcPr>
            <w:tcW w:w="1038" w:type="dxa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2015/16</w:t>
            </w:r>
          </w:p>
        </w:tc>
      </w:tr>
      <w:tr w:rsidR="00D41165" w:rsidRPr="00872623" w:rsidTr="00872623">
        <w:trPr>
          <w:trHeight w:val="330"/>
        </w:trPr>
        <w:tc>
          <w:tcPr>
            <w:tcW w:w="0" w:type="auto"/>
            <w:shd w:val="clear" w:color="auto" w:fill="BFBFBF" w:themeFill="background1" w:themeFillShade="BF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Lone parent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:rsidR="00872623" w:rsidRPr="00872623" w:rsidRDefault="00872623" w:rsidP="00D41165">
            <w:pPr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both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both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both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:rsidR="00872623" w:rsidRPr="00872623" w:rsidRDefault="00872623" w:rsidP="00D41165">
            <w:pPr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038" w:type="dxa"/>
            <w:shd w:val="clear" w:color="auto" w:fill="BFBFBF" w:themeFill="background1" w:themeFillShade="BF"/>
          </w:tcPr>
          <w:p w:rsidR="00872623" w:rsidRPr="00872623" w:rsidRDefault="00872623" w:rsidP="00D41165">
            <w:pPr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872623" w:rsidRPr="00872623" w:rsidTr="00872623">
        <w:trPr>
          <w:trHeight w:val="330"/>
        </w:trPr>
        <w:tc>
          <w:tcPr>
            <w:tcW w:w="0" w:type="auto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Mean (SD)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57.66 (49.57)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59.83 (61.61)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59.95 (61.36)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59.31 (57.62)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60.62 (57.41)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66.90 (67.50)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63.02 (65.57)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75.69 (69.65)</w:t>
            </w:r>
          </w:p>
        </w:tc>
        <w:tc>
          <w:tcPr>
            <w:tcW w:w="1038" w:type="dxa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78.04 (72.42)</w:t>
            </w:r>
          </w:p>
        </w:tc>
      </w:tr>
      <w:tr w:rsidR="00872623" w:rsidRPr="00872623" w:rsidTr="00872623">
        <w:trPr>
          <w:trHeight w:val="330"/>
        </w:trPr>
        <w:tc>
          <w:tcPr>
            <w:tcW w:w="0" w:type="auto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95% CI for the mean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57.58-57.73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59.74-59.93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59.85-60.05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59.21-59.41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60.52-60.72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66.79-67.02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62.90-63.13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75.57-75.80</w:t>
            </w:r>
          </w:p>
        </w:tc>
        <w:tc>
          <w:tcPr>
            <w:tcW w:w="1038" w:type="dxa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77.93-78.16</w:t>
            </w:r>
          </w:p>
        </w:tc>
      </w:tr>
      <w:tr w:rsidR="00872623" w:rsidRPr="00872623" w:rsidTr="00872623">
        <w:trPr>
          <w:trHeight w:val="330"/>
        </w:trPr>
        <w:tc>
          <w:tcPr>
            <w:tcW w:w="0" w:type="auto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Median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46.40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43.00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44.20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41.80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47.00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46.40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46.60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54.40</w:t>
            </w:r>
          </w:p>
        </w:tc>
        <w:tc>
          <w:tcPr>
            <w:tcW w:w="1038" w:type="dxa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57.80</w:t>
            </w:r>
          </w:p>
        </w:tc>
      </w:tr>
      <w:tr w:rsidR="00D41165" w:rsidRPr="00872623" w:rsidTr="00872623">
        <w:trPr>
          <w:trHeight w:val="330"/>
        </w:trPr>
        <w:tc>
          <w:tcPr>
            <w:tcW w:w="0" w:type="auto"/>
            <w:shd w:val="clear" w:color="auto" w:fill="BFBFBF" w:themeFill="background1" w:themeFillShade="BF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Couple with children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038" w:type="dxa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872623" w:rsidRPr="00872623" w:rsidTr="00872623">
        <w:trPr>
          <w:trHeight w:val="330"/>
        </w:trPr>
        <w:tc>
          <w:tcPr>
            <w:tcW w:w="0" w:type="auto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Mean (SD)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78.01 (84.23)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81.62 (80.61)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78.67 (80.98)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78.10 (74.65)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76.46 (78.29)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80.47 (83.21)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81.55 (75.57)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85.14 (81.50)</w:t>
            </w:r>
          </w:p>
        </w:tc>
        <w:tc>
          <w:tcPr>
            <w:tcW w:w="1038" w:type="dxa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90.76 (107.84)</w:t>
            </w:r>
          </w:p>
        </w:tc>
      </w:tr>
      <w:tr w:rsidR="00872623" w:rsidRPr="00872623" w:rsidTr="00872623">
        <w:trPr>
          <w:trHeight w:val="330"/>
        </w:trPr>
        <w:tc>
          <w:tcPr>
            <w:tcW w:w="0" w:type="auto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95% CI for the mean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77.91-78.12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81.52-81.72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78.57-78.77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78.00-78.19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76.36-76.57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80.37-80.58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81.46-81.65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85.04-85.24</w:t>
            </w:r>
          </w:p>
        </w:tc>
        <w:tc>
          <w:tcPr>
            <w:tcW w:w="1038" w:type="dxa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90.63-90.90</w:t>
            </w:r>
          </w:p>
        </w:tc>
      </w:tr>
      <w:tr w:rsidR="00872623" w:rsidRPr="00872623" w:rsidTr="00872623">
        <w:trPr>
          <w:trHeight w:val="330"/>
        </w:trPr>
        <w:tc>
          <w:tcPr>
            <w:tcW w:w="0" w:type="auto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Median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52.40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57.00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57.20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57.80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56.00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55.40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62.60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61.40</w:t>
            </w:r>
          </w:p>
        </w:tc>
        <w:tc>
          <w:tcPr>
            <w:tcW w:w="1038" w:type="dxa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63.80</w:t>
            </w:r>
          </w:p>
        </w:tc>
      </w:tr>
      <w:tr w:rsidR="00D41165" w:rsidRPr="00872623" w:rsidTr="00872623">
        <w:trPr>
          <w:trHeight w:val="330"/>
        </w:trPr>
        <w:tc>
          <w:tcPr>
            <w:tcW w:w="0" w:type="auto"/>
            <w:shd w:val="clear" w:color="auto" w:fill="BFBFBF" w:themeFill="background1" w:themeFillShade="BF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All families with children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038" w:type="dxa"/>
            <w:shd w:val="clear" w:color="auto" w:fill="BFBFBF" w:themeFill="background1" w:themeFillShade="BF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D41165" w:rsidRPr="00872623" w:rsidTr="00872623">
        <w:trPr>
          <w:trHeight w:val="330"/>
        </w:trPr>
        <w:tc>
          <w:tcPr>
            <w:tcW w:w="0" w:type="auto"/>
            <w:shd w:val="clear" w:color="auto" w:fill="FFFFFF" w:themeFill="background1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Mean (SD)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70.02 (73.30)</w:t>
            </w:r>
          </w:p>
        </w:tc>
        <w:tc>
          <w:tcPr>
            <w:tcW w:w="0" w:type="auto"/>
            <w:shd w:val="clear" w:color="auto" w:fill="FFFFFF" w:themeFill="background1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73.29 (74.68)</w:t>
            </w:r>
          </w:p>
        </w:tc>
        <w:tc>
          <w:tcPr>
            <w:tcW w:w="0" w:type="auto"/>
            <w:shd w:val="clear" w:color="auto" w:fill="FFFFFF" w:themeFill="background1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71.86 (74.99)</w:t>
            </w:r>
          </w:p>
        </w:tc>
        <w:tc>
          <w:tcPr>
            <w:tcW w:w="0" w:type="auto"/>
            <w:shd w:val="clear" w:color="auto" w:fill="FFFFFF" w:themeFill="background1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71.44 (69.68)</w:t>
            </w:r>
          </w:p>
        </w:tc>
        <w:tc>
          <w:tcPr>
            <w:tcW w:w="0" w:type="auto"/>
            <w:shd w:val="clear" w:color="auto" w:fill="FFFFFF" w:themeFill="background1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70.78 (71.90)</w:t>
            </w:r>
          </w:p>
        </w:tc>
        <w:tc>
          <w:tcPr>
            <w:tcW w:w="0" w:type="auto"/>
            <w:shd w:val="clear" w:color="auto" w:fill="FFFFFF" w:themeFill="background1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75.59 (78.20)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75.16 (72.82)</w:t>
            </w:r>
          </w:p>
        </w:tc>
        <w:tc>
          <w:tcPr>
            <w:tcW w:w="0" w:type="auto"/>
            <w:shd w:val="clear" w:color="auto" w:fill="FFFFFF" w:themeFill="background1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81.80 (77.66)</w:t>
            </w:r>
          </w:p>
        </w:tc>
        <w:tc>
          <w:tcPr>
            <w:tcW w:w="1038" w:type="dxa"/>
            <w:shd w:val="clear" w:color="auto" w:fill="FFFFFF" w:themeFill="background1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85.95 (96.19)</w:t>
            </w:r>
          </w:p>
        </w:tc>
      </w:tr>
      <w:tr w:rsidR="00872623" w:rsidRPr="00872623" w:rsidTr="00872623">
        <w:trPr>
          <w:trHeight w:val="330"/>
        </w:trPr>
        <w:tc>
          <w:tcPr>
            <w:tcW w:w="0" w:type="auto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95% CI for the mean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69.95-70.09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73.22-73.37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71.79-71.94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71.36-71.51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70.70-70.85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75.51-75.68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75.09-75.24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81.72-81.88</w:t>
            </w:r>
          </w:p>
        </w:tc>
        <w:tc>
          <w:tcPr>
            <w:tcW w:w="1038" w:type="dxa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85.86-86.05</w:t>
            </w:r>
          </w:p>
        </w:tc>
      </w:tr>
      <w:tr w:rsidR="00872623" w:rsidRPr="00872623" w:rsidTr="00872623">
        <w:trPr>
          <w:trHeight w:val="330"/>
        </w:trPr>
        <w:tc>
          <w:tcPr>
            <w:tcW w:w="0" w:type="auto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Median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50.40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52.00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52.20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50.80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52.00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51.40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55.60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57.40</w:t>
            </w:r>
          </w:p>
        </w:tc>
        <w:tc>
          <w:tcPr>
            <w:tcW w:w="1038" w:type="dxa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61.80</w:t>
            </w:r>
          </w:p>
        </w:tc>
      </w:tr>
      <w:tr w:rsidR="00872623" w:rsidRPr="00872623" w:rsidTr="00872623">
        <w:trPr>
          <w:trHeight w:val="330"/>
        </w:trPr>
        <w:tc>
          <w:tcPr>
            <w:tcW w:w="0" w:type="auto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>Total no. of children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12,975,932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12,965,385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13,150,415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13,206,669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13,266,967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13,349,935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13,329,444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13,480,133</w:t>
            </w:r>
          </w:p>
        </w:tc>
        <w:tc>
          <w:tcPr>
            <w:tcW w:w="1038" w:type="dxa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13,541,132</w:t>
            </w:r>
          </w:p>
        </w:tc>
      </w:tr>
      <w:tr w:rsidR="00872623" w:rsidRPr="00872623" w:rsidTr="00872623">
        <w:trPr>
          <w:trHeight w:val="330"/>
        </w:trPr>
        <w:tc>
          <w:tcPr>
            <w:tcW w:w="0" w:type="auto"/>
            <w:noWrap/>
          </w:tcPr>
          <w:p w:rsidR="00872623" w:rsidRPr="00872623" w:rsidRDefault="00872623" w:rsidP="00D41165">
            <w:pPr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b/>
                <w:color w:val="000000"/>
                <w:sz w:val="14"/>
                <w:szCs w:val="14"/>
                <w:lang w:eastAsia="en-GB"/>
              </w:rPr>
              <w:t xml:space="preserve">% children in poverty 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31.4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30.3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29.5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27.3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27.1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27.2</w:t>
            </w:r>
          </w:p>
        </w:tc>
        <w:tc>
          <w:tcPr>
            <w:tcW w:w="0" w:type="auto"/>
            <w:noWrap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27.8</w:t>
            </w:r>
          </w:p>
        </w:tc>
        <w:tc>
          <w:tcPr>
            <w:tcW w:w="0" w:type="auto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29.0</w:t>
            </w:r>
          </w:p>
        </w:tc>
        <w:tc>
          <w:tcPr>
            <w:tcW w:w="1038" w:type="dxa"/>
          </w:tcPr>
          <w:p w:rsidR="00872623" w:rsidRPr="00872623" w:rsidRDefault="00872623" w:rsidP="00D4116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n-GB"/>
              </w:rPr>
            </w:pPr>
            <w:r w:rsidRPr="00872623">
              <w:rPr>
                <w:rFonts w:eastAsia="Times New Roman"/>
                <w:color w:val="000000"/>
                <w:sz w:val="14"/>
                <w:szCs w:val="14"/>
                <w:lang w:eastAsia="en-GB"/>
              </w:rPr>
              <w:t>29.6</w:t>
            </w:r>
          </w:p>
        </w:tc>
      </w:tr>
    </w:tbl>
    <w:p w:rsidR="00872623" w:rsidRPr="00872623" w:rsidRDefault="00872623" w:rsidP="00D41165">
      <w:pPr>
        <w:rPr>
          <w:rFonts w:cs="Times New Roman"/>
          <w:szCs w:val="24"/>
        </w:rPr>
      </w:pPr>
      <w:r w:rsidRPr="00872623">
        <w:rPr>
          <w:rFonts w:cs="Times New Roman"/>
          <w:szCs w:val="24"/>
        </w:rPr>
        <w:t xml:space="preserve">Source: </w:t>
      </w:r>
      <w:r>
        <w:rPr>
          <w:rFonts w:cs="Times New Roman"/>
          <w:szCs w:val="24"/>
        </w:rPr>
        <w:t xml:space="preserve">Own analysis of </w:t>
      </w:r>
      <w:r w:rsidRPr="00872623">
        <w:rPr>
          <w:rFonts w:cs="Times New Roman"/>
          <w:szCs w:val="24"/>
        </w:rPr>
        <w:t>HBAI</w:t>
      </w:r>
    </w:p>
    <w:p w:rsidR="00872623" w:rsidRPr="00872623" w:rsidRDefault="00872623" w:rsidP="00D41165">
      <w:pPr>
        <w:rPr>
          <w:rFonts w:cs="Times New Roman"/>
          <w:szCs w:val="24"/>
        </w:rPr>
      </w:pPr>
    </w:p>
    <w:p w:rsidR="00872623" w:rsidRDefault="00872623" w:rsidP="00D41165">
      <w:pPr>
        <w:rPr>
          <w:b/>
        </w:rPr>
      </w:pPr>
    </w:p>
    <w:p w:rsidR="0060395A" w:rsidRDefault="0060395A" w:rsidP="00D41165">
      <w:pPr>
        <w:rPr>
          <w:b/>
        </w:rPr>
      </w:pPr>
    </w:p>
    <w:p w:rsidR="0060395A" w:rsidRDefault="0060395A" w:rsidP="00D41165">
      <w:pPr>
        <w:rPr>
          <w:b/>
        </w:rPr>
      </w:pPr>
    </w:p>
    <w:p w:rsidR="0060395A" w:rsidRDefault="0060395A" w:rsidP="00D41165">
      <w:pPr>
        <w:rPr>
          <w:b/>
        </w:rPr>
      </w:pPr>
      <w:bookmarkStart w:id="0" w:name="_GoBack"/>
      <w:bookmarkEnd w:id="0"/>
    </w:p>
    <w:p w:rsidR="00056761" w:rsidRDefault="000E7D4A" w:rsidP="00D41165">
      <w:pPr>
        <w:rPr>
          <w:b/>
        </w:rPr>
      </w:pPr>
      <w:r w:rsidRPr="000E7D4A">
        <w:rPr>
          <w:b/>
        </w:rPr>
        <w:lastRenderedPageBreak/>
        <w:t>Figure 1: Poverty gap: Families with children £ per week Before (BHC) and after (AHC) housing costs</w:t>
      </w:r>
    </w:p>
    <w:p w:rsidR="00872623" w:rsidRDefault="00872623" w:rsidP="00D41165">
      <w:r>
        <w:rPr>
          <w:noProof/>
          <w:lang w:eastAsia="en-GB"/>
        </w:rPr>
        <w:drawing>
          <wp:inline distT="0" distB="0" distL="0" distR="0" wp14:anchorId="11A11B9A" wp14:editId="6CACA5C7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67DF" w:rsidRDefault="00AA67DF" w:rsidP="00D41165">
      <w:r>
        <w:t>Source: Own analysis of HBAI</w:t>
      </w:r>
    </w:p>
    <w:p w:rsidR="00D41165" w:rsidRDefault="00D41165" w:rsidP="00D41165"/>
    <w:p w:rsidR="0060395A" w:rsidRDefault="0060395A" w:rsidP="00D41165">
      <w:proofErr w:type="gramStart"/>
      <w:r>
        <w:t>Tables 3 shows</w:t>
      </w:r>
      <w:proofErr w:type="gramEnd"/>
      <w:r>
        <w:t xml:space="preserve"> trends in child deprivation and Table 4 trends in deprivation for adults in families with children. Most of the child indicators show slight reductions in deprivation since 2007/8 – the exception is a holiday away from home. For </w:t>
      </w:r>
      <w:proofErr w:type="gramStart"/>
      <w:r>
        <w:t>adults</w:t>
      </w:r>
      <w:proofErr w:type="gramEnd"/>
      <w:r>
        <w:t xml:space="preserve"> lack of a holiday away from home and contents insurance have increased since 2007/8.</w:t>
      </w:r>
    </w:p>
    <w:p w:rsidR="0060395A" w:rsidRDefault="0060395A" w:rsidP="00D41165">
      <w:pPr>
        <w:tabs>
          <w:tab w:val="left" w:pos="1260"/>
        </w:tabs>
        <w:ind w:left="1170" w:hanging="1170"/>
        <w:jc w:val="both"/>
        <w:rPr>
          <w:rFonts w:cs="Times New Roman"/>
          <w:b/>
          <w:sz w:val="20"/>
          <w:szCs w:val="20"/>
        </w:rPr>
      </w:pPr>
    </w:p>
    <w:p w:rsidR="00D41165" w:rsidRPr="00D41165" w:rsidRDefault="00D41165" w:rsidP="00D41165">
      <w:pPr>
        <w:tabs>
          <w:tab w:val="left" w:pos="1260"/>
        </w:tabs>
        <w:ind w:left="1170" w:hanging="1170"/>
        <w:jc w:val="both"/>
        <w:rPr>
          <w:rFonts w:cs="Times New Roman"/>
          <w:b/>
          <w:sz w:val="20"/>
          <w:szCs w:val="20"/>
        </w:rPr>
      </w:pPr>
      <w:r w:rsidRPr="00D41165">
        <w:rPr>
          <w:rFonts w:cs="Times New Roman"/>
          <w:b/>
          <w:sz w:val="20"/>
          <w:szCs w:val="20"/>
        </w:rPr>
        <w:t>Table 3</w:t>
      </w:r>
      <w:r w:rsidRPr="00D41165">
        <w:rPr>
          <w:rFonts w:cs="Times New Roman"/>
          <w:b/>
          <w:sz w:val="20"/>
          <w:szCs w:val="20"/>
        </w:rPr>
        <w:tab/>
        <w:t>Percentage of children lacking necessities in 2007/8 to 2015/16 (weighted by GS_NEWCH)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483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D41165" w:rsidRPr="00D41165" w:rsidTr="00D41165">
        <w:trPr>
          <w:trHeight w:val="330"/>
        </w:trPr>
        <w:tc>
          <w:tcPr>
            <w:tcW w:w="1884" w:type="pct"/>
            <w:noWrap/>
            <w:vAlign w:val="center"/>
            <w:hideMark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Item</w:t>
            </w:r>
          </w:p>
        </w:tc>
        <w:tc>
          <w:tcPr>
            <w:tcW w:w="346" w:type="pct"/>
            <w:noWrap/>
            <w:vAlign w:val="center"/>
            <w:hideMark/>
          </w:tcPr>
          <w:p w:rsidR="00D41165" w:rsidRPr="00D41165" w:rsidRDefault="00D41165" w:rsidP="00D41165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2007/8</w:t>
            </w:r>
          </w:p>
        </w:tc>
        <w:tc>
          <w:tcPr>
            <w:tcW w:w="346" w:type="pct"/>
            <w:vAlign w:val="center"/>
          </w:tcPr>
          <w:p w:rsidR="00D41165" w:rsidRPr="00D41165" w:rsidRDefault="00D41165" w:rsidP="00D41165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2008/9</w:t>
            </w:r>
          </w:p>
        </w:tc>
        <w:tc>
          <w:tcPr>
            <w:tcW w:w="346" w:type="pct"/>
            <w:vAlign w:val="center"/>
          </w:tcPr>
          <w:p w:rsidR="00D41165" w:rsidRPr="00D41165" w:rsidRDefault="00D41165" w:rsidP="00D41165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2009/10</w:t>
            </w:r>
          </w:p>
        </w:tc>
        <w:tc>
          <w:tcPr>
            <w:tcW w:w="346" w:type="pct"/>
            <w:vAlign w:val="center"/>
          </w:tcPr>
          <w:p w:rsidR="00D41165" w:rsidRPr="00D41165" w:rsidRDefault="00D41165" w:rsidP="00D41165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2010/11</w:t>
            </w:r>
          </w:p>
        </w:tc>
        <w:tc>
          <w:tcPr>
            <w:tcW w:w="346" w:type="pct"/>
            <w:vAlign w:val="center"/>
          </w:tcPr>
          <w:p w:rsidR="00D41165" w:rsidRPr="00D41165" w:rsidRDefault="00D41165" w:rsidP="00D41165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2011/12</w:t>
            </w:r>
          </w:p>
        </w:tc>
        <w:tc>
          <w:tcPr>
            <w:tcW w:w="346" w:type="pct"/>
            <w:vAlign w:val="center"/>
          </w:tcPr>
          <w:p w:rsidR="00D41165" w:rsidRPr="00D41165" w:rsidRDefault="00D41165" w:rsidP="00D41165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2012/13</w:t>
            </w:r>
          </w:p>
        </w:tc>
        <w:tc>
          <w:tcPr>
            <w:tcW w:w="346" w:type="pct"/>
            <w:noWrap/>
            <w:vAlign w:val="center"/>
            <w:hideMark/>
          </w:tcPr>
          <w:p w:rsidR="00D41165" w:rsidRPr="00D41165" w:rsidRDefault="00D41165" w:rsidP="00D41165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2013/14</w:t>
            </w:r>
          </w:p>
        </w:tc>
        <w:tc>
          <w:tcPr>
            <w:tcW w:w="346" w:type="pct"/>
            <w:vAlign w:val="center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2014/15</w:t>
            </w:r>
          </w:p>
        </w:tc>
        <w:tc>
          <w:tcPr>
            <w:tcW w:w="346" w:type="pct"/>
            <w:vAlign w:val="center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2015/16</w:t>
            </w:r>
          </w:p>
        </w:tc>
      </w:tr>
      <w:tr w:rsidR="00D41165" w:rsidRPr="00D41165" w:rsidTr="0060395A">
        <w:trPr>
          <w:trHeight w:val="406"/>
        </w:trPr>
        <w:tc>
          <w:tcPr>
            <w:tcW w:w="1884" w:type="pct"/>
            <w:noWrap/>
            <w:hideMark/>
          </w:tcPr>
          <w:p w:rsidR="00D41165" w:rsidRPr="00D41165" w:rsidRDefault="00D41165" w:rsidP="0060395A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Outdoor space or facilities nearby where they can play safely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14.8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13.1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11.2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8.7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9.6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7.4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7.1</w:t>
            </w:r>
          </w:p>
        </w:tc>
      </w:tr>
      <w:tr w:rsidR="00D41165" w:rsidRPr="00D41165" w:rsidTr="00D41165">
        <w:trPr>
          <w:trHeight w:val="330"/>
        </w:trPr>
        <w:tc>
          <w:tcPr>
            <w:tcW w:w="1884" w:type="pct"/>
            <w:noWrap/>
            <w:hideMark/>
          </w:tcPr>
          <w:p w:rsidR="00D41165" w:rsidRPr="00D41165" w:rsidRDefault="00D41165" w:rsidP="0060395A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Enough bedrooms for every child over 10 of different sex to have his or her own bedroom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16.9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17.7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18.4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15.7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13.6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15.1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16.9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16.5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14.2</w:t>
            </w:r>
          </w:p>
        </w:tc>
      </w:tr>
      <w:tr w:rsidR="00D41165" w:rsidRPr="00D41165" w:rsidTr="00D41165">
        <w:trPr>
          <w:trHeight w:val="330"/>
        </w:trPr>
        <w:tc>
          <w:tcPr>
            <w:tcW w:w="1884" w:type="pct"/>
            <w:noWrap/>
            <w:hideMark/>
          </w:tcPr>
          <w:p w:rsidR="00D41165" w:rsidRPr="00D41165" w:rsidRDefault="00D41165" w:rsidP="0060395A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Celebrations on special occasions such as birthdays, Christmas or other religious festivals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3.4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3.6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2.3</w:t>
            </w:r>
          </w:p>
        </w:tc>
      </w:tr>
      <w:tr w:rsidR="00D41165" w:rsidRPr="00D41165" w:rsidTr="00D41165">
        <w:trPr>
          <w:trHeight w:val="330"/>
        </w:trPr>
        <w:tc>
          <w:tcPr>
            <w:tcW w:w="1884" w:type="pct"/>
            <w:noWrap/>
            <w:hideMark/>
          </w:tcPr>
          <w:p w:rsidR="00D41165" w:rsidRPr="00D41165" w:rsidRDefault="00D41165" w:rsidP="0060395A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Leisure equipment (for example, sports equipment or a bicycle)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7.6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7.6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6.9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6.4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7.4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6.4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6.3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6.1</w:t>
            </w:r>
          </w:p>
        </w:tc>
      </w:tr>
      <w:tr w:rsidR="00D41165" w:rsidRPr="00D41165" w:rsidTr="00D41165">
        <w:trPr>
          <w:trHeight w:val="330"/>
        </w:trPr>
        <w:tc>
          <w:tcPr>
            <w:tcW w:w="1884" w:type="pct"/>
            <w:noWrap/>
            <w:hideMark/>
          </w:tcPr>
          <w:p w:rsidR="00D41165" w:rsidRPr="00D41165" w:rsidRDefault="00D41165" w:rsidP="0060395A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 holiday away from home at least one week a year with his or her family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32.3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35.6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37.4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37.3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38.3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38.0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36.4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34.8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33.9</w:t>
            </w:r>
          </w:p>
        </w:tc>
      </w:tr>
      <w:tr w:rsidR="00D41165" w:rsidRPr="00D41165" w:rsidTr="0060395A">
        <w:trPr>
          <w:trHeight w:val="213"/>
        </w:trPr>
        <w:tc>
          <w:tcPr>
            <w:tcW w:w="1884" w:type="pct"/>
            <w:noWrap/>
            <w:hideMark/>
          </w:tcPr>
          <w:p w:rsidR="00D41165" w:rsidRPr="00D41165" w:rsidRDefault="00D41165" w:rsidP="0060395A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 hobby or leisure activity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6.9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5.9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6.4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6.8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6.4</w:t>
            </w:r>
          </w:p>
        </w:tc>
      </w:tr>
      <w:tr w:rsidR="00D41165" w:rsidRPr="00D41165" w:rsidTr="00D41165">
        <w:trPr>
          <w:trHeight w:val="392"/>
        </w:trPr>
        <w:tc>
          <w:tcPr>
            <w:tcW w:w="1884" w:type="pct"/>
            <w:noWrap/>
            <w:hideMark/>
          </w:tcPr>
          <w:p w:rsidR="00D41165" w:rsidRPr="00D41165" w:rsidRDefault="00D41165" w:rsidP="0060395A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Friends round for tea or a snack once a fortnight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7.8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8.9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8.7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6.3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tabs>
                <w:tab w:val="left" w:pos="622"/>
              </w:tabs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6.7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</w:tr>
      <w:tr w:rsidR="00D41165" w:rsidRPr="00D41165" w:rsidTr="00D41165">
        <w:trPr>
          <w:trHeight w:val="330"/>
        </w:trPr>
        <w:tc>
          <w:tcPr>
            <w:tcW w:w="1884" w:type="pct"/>
            <w:noWrap/>
            <w:hideMark/>
          </w:tcPr>
          <w:p w:rsidR="00D41165" w:rsidRPr="00D41165" w:rsidRDefault="00D41165" w:rsidP="0060395A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Going on a school trip at least once a term for school-aged children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5.4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5.7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6.4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5.0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4.5</w:t>
            </w:r>
          </w:p>
        </w:tc>
      </w:tr>
      <w:tr w:rsidR="00D41165" w:rsidRPr="00D41165" w:rsidTr="00D41165">
        <w:trPr>
          <w:trHeight w:val="405"/>
        </w:trPr>
        <w:tc>
          <w:tcPr>
            <w:tcW w:w="1884" w:type="pct"/>
            <w:noWrap/>
            <w:hideMark/>
          </w:tcPr>
          <w:p w:rsidR="00D41165" w:rsidRPr="00D41165" w:rsidRDefault="00D41165" w:rsidP="0060395A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Play group/nursery/toddler group at least once a week for children of pre-school age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8.3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6.9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6.8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5.3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6.0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4.3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3.9</w:t>
            </w:r>
          </w:p>
        </w:tc>
      </w:tr>
    </w:tbl>
    <w:p w:rsidR="00D41165" w:rsidRPr="00D41165" w:rsidRDefault="00D41165" w:rsidP="00D41165">
      <w:pPr>
        <w:jc w:val="both"/>
        <w:rPr>
          <w:rFonts w:cs="Times New Roman"/>
          <w:szCs w:val="24"/>
        </w:rPr>
      </w:pPr>
      <w:r w:rsidRPr="00D41165">
        <w:rPr>
          <w:rFonts w:cs="Times New Roman"/>
          <w:sz w:val="20"/>
          <w:szCs w:val="20"/>
        </w:rPr>
        <w:t>Source: Family Resources Survey 2007/08 to 2014/15.</w:t>
      </w:r>
    </w:p>
    <w:p w:rsidR="00D41165" w:rsidRDefault="00D41165" w:rsidP="00D41165">
      <w:pPr>
        <w:tabs>
          <w:tab w:val="left" w:pos="1260"/>
        </w:tabs>
        <w:ind w:left="1170" w:hanging="1170"/>
        <w:jc w:val="both"/>
        <w:rPr>
          <w:rFonts w:cs="Times New Roman"/>
          <w:sz w:val="20"/>
          <w:szCs w:val="20"/>
        </w:rPr>
      </w:pPr>
    </w:p>
    <w:p w:rsidR="00D41165" w:rsidRPr="00D41165" w:rsidRDefault="00D41165" w:rsidP="00D41165">
      <w:pPr>
        <w:tabs>
          <w:tab w:val="left" w:pos="1260"/>
        </w:tabs>
        <w:ind w:left="1170" w:hanging="1170"/>
        <w:jc w:val="both"/>
        <w:rPr>
          <w:rFonts w:cs="Times New Roman"/>
          <w:b/>
          <w:sz w:val="20"/>
          <w:szCs w:val="20"/>
        </w:rPr>
      </w:pPr>
      <w:r w:rsidRPr="00D41165">
        <w:rPr>
          <w:rFonts w:cs="Times New Roman"/>
          <w:b/>
          <w:sz w:val="20"/>
          <w:szCs w:val="20"/>
        </w:rPr>
        <w:t>Table 4</w:t>
      </w:r>
      <w:r w:rsidRPr="00D41165">
        <w:rPr>
          <w:rFonts w:cs="Times New Roman"/>
          <w:b/>
          <w:sz w:val="20"/>
          <w:szCs w:val="20"/>
        </w:rPr>
        <w:tab/>
        <w:t>Percentage of adults in families with children lacking necessities in 2007/8 to 2014/15 (weighted by GS_NEWPP)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483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D41165" w:rsidRPr="00D41165" w:rsidTr="00D41165">
        <w:trPr>
          <w:trHeight w:val="330"/>
        </w:trPr>
        <w:tc>
          <w:tcPr>
            <w:tcW w:w="1884" w:type="pct"/>
            <w:noWrap/>
            <w:hideMark/>
          </w:tcPr>
          <w:p w:rsidR="00D41165" w:rsidRPr="00D41165" w:rsidRDefault="00D41165" w:rsidP="00D41165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Item</w:t>
            </w:r>
          </w:p>
        </w:tc>
        <w:tc>
          <w:tcPr>
            <w:tcW w:w="346" w:type="pct"/>
            <w:noWrap/>
            <w:hideMark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2007/8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2008/9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2009/10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2010/11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2011/12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2012/13</w:t>
            </w:r>
          </w:p>
        </w:tc>
        <w:tc>
          <w:tcPr>
            <w:tcW w:w="346" w:type="pct"/>
            <w:noWrap/>
            <w:hideMark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2013/14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2014/15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2015/16</w:t>
            </w:r>
          </w:p>
        </w:tc>
      </w:tr>
      <w:tr w:rsidR="00D41165" w:rsidRPr="00D41165" w:rsidTr="00D41165">
        <w:trPr>
          <w:trHeight w:val="330"/>
        </w:trPr>
        <w:tc>
          <w:tcPr>
            <w:tcW w:w="1884" w:type="pct"/>
            <w:noWrap/>
            <w:hideMark/>
          </w:tcPr>
          <w:p w:rsidR="00D41165" w:rsidRPr="00D41165" w:rsidRDefault="00D41165" w:rsidP="00D41165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Enough money to keep your home in a decent state of repair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18.1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19.1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18.5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18.1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21.4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20.8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20.3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18.6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17.1</w:t>
            </w:r>
          </w:p>
        </w:tc>
      </w:tr>
      <w:tr w:rsidR="00D41165" w:rsidRPr="00D41165" w:rsidTr="00D41165">
        <w:trPr>
          <w:trHeight w:val="330"/>
        </w:trPr>
        <w:tc>
          <w:tcPr>
            <w:tcW w:w="1884" w:type="pct"/>
            <w:noWrap/>
            <w:hideMark/>
          </w:tcPr>
          <w:p w:rsidR="00D41165" w:rsidRPr="00D41165" w:rsidRDefault="00D41165" w:rsidP="00D41165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 holiday away from home for one week a year, not staying with relatives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36.2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39.1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41.1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42.1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42.8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43.4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42.8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40.9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38.9</w:t>
            </w:r>
          </w:p>
        </w:tc>
      </w:tr>
      <w:tr w:rsidR="00D41165" w:rsidRPr="00D41165" w:rsidTr="00D41165">
        <w:trPr>
          <w:trHeight w:val="330"/>
        </w:trPr>
        <w:tc>
          <w:tcPr>
            <w:tcW w:w="1884" w:type="pct"/>
            <w:noWrap/>
            <w:hideMark/>
          </w:tcPr>
          <w:p w:rsidR="00D41165" w:rsidRPr="00D41165" w:rsidRDefault="00D41165" w:rsidP="00D41165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Insurance of contents of dwelling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17.8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18.0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19.0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19.2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19.8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21.4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21.5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20.6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20.1</w:t>
            </w:r>
          </w:p>
        </w:tc>
      </w:tr>
      <w:tr w:rsidR="00D41165" w:rsidRPr="00D41165" w:rsidTr="00D41165">
        <w:trPr>
          <w:trHeight w:val="330"/>
        </w:trPr>
        <w:tc>
          <w:tcPr>
            <w:tcW w:w="1884" w:type="pct"/>
            <w:noWrap/>
            <w:hideMark/>
          </w:tcPr>
          <w:p w:rsidR="00D41165" w:rsidRPr="00D41165" w:rsidRDefault="00D41165" w:rsidP="00D41165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lastRenderedPageBreak/>
              <w:t>Regular savings (of £10 a month) for rainy days or retirement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38.8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40.7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42.1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41.2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41.1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42.9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40.6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39.0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35.5</w:t>
            </w:r>
          </w:p>
        </w:tc>
      </w:tr>
      <w:tr w:rsidR="00D41165" w:rsidRPr="00D41165" w:rsidTr="00D41165">
        <w:trPr>
          <w:trHeight w:val="330"/>
        </w:trPr>
        <w:tc>
          <w:tcPr>
            <w:tcW w:w="1884" w:type="pct"/>
            <w:noWrap/>
            <w:hideMark/>
          </w:tcPr>
          <w:p w:rsidR="00D41165" w:rsidRPr="00D41165" w:rsidRDefault="00D41165" w:rsidP="00D41165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Replace any worn out furniture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28.8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32.1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33.7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34.3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34.1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35.5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34.2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31.1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28.6</w:t>
            </w:r>
          </w:p>
        </w:tc>
      </w:tr>
      <w:tr w:rsidR="00D41165" w:rsidRPr="00D41165" w:rsidTr="00D41165">
        <w:trPr>
          <w:trHeight w:val="330"/>
        </w:trPr>
        <w:tc>
          <w:tcPr>
            <w:tcW w:w="1884" w:type="pct"/>
            <w:noWrap/>
            <w:hideMark/>
          </w:tcPr>
          <w:p w:rsidR="00D41165" w:rsidRPr="00D41165" w:rsidRDefault="00D41165" w:rsidP="00D41165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Replace or repair broken electrical goods such as refrigerator or washing machine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20.4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23.5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23.5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24.9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24.7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25.7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24.5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22.1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20.0</w:t>
            </w:r>
          </w:p>
        </w:tc>
      </w:tr>
      <w:tr w:rsidR="00D41165" w:rsidRPr="00D41165" w:rsidTr="00D41165">
        <w:trPr>
          <w:trHeight w:val="330"/>
        </w:trPr>
        <w:tc>
          <w:tcPr>
            <w:tcW w:w="1884" w:type="pct"/>
            <w:noWrap/>
            <w:hideMark/>
          </w:tcPr>
          <w:p w:rsidR="00D41165" w:rsidRPr="00D41165" w:rsidRDefault="00D41165" w:rsidP="00D41165">
            <w:pPr>
              <w:rPr>
                <w:rFonts w:eastAsia="Times New Roman"/>
                <w:b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 small amount of money to spend each week on yourself, not on your family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31.5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33.2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34.2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34.2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36.7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38.2</w:t>
            </w:r>
          </w:p>
        </w:tc>
        <w:tc>
          <w:tcPr>
            <w:tcW w:w="346" w:type="pct"/>
            <w:noWrap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36.8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33.2</w:t>
            </w:r>
          </w:p>
        </w:tc>
        <w:tc>
          <w:tcPr>
            <w:tcW w:w="346" w:type="pct"/>
          </w:tcPr>
          <w:p w:rsidR="00D41165" w:rsidRPr="00D41165" w:rsidRDefault="00D41165" w:rsidP="00D411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4116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29.1</w:t>
            </w:r>
          </w:p>
        </w:tc>
      </w:tr>
    </w:tbl>
    <w:p w:rsidR="00D41165" w:rsidRPr="00D41165" w:rsidRDefault="00D41165" w:rsidP="00D41165">
      <w:pPr>
        <w:jc w:val="both"/>
        <w:rPr>
          <w:rFonts w:cs="Times New Roman"/>
          <w:sz w:val="20"/>
          <w:szCs w:val="20"/>
        </w:rPr>
      </w:pPr>
      <w:r w:rsidRPr="00D41165">
        <w:rPr>
          <w:rFonts w:cs="Times New Roman"/>
          <w:sz w:val="20"/>
          <w:szCs w:val="20"/>
        </w:rPr>
        <w:t>Source: Family Resources Survey 2007/08 to 2014/15.</w:t>
      </w:r>
    </w:p>
    <w:p w:rsidR="00D41165" w:rsidRPr="00D41165" w:rsidRDefault="00D41165" w:rsidP="00D41165">
      <w:pPr>
        <w:rPr>
          <w:rFonts w:cs="Times New Roman"/>
          <w:szCs w:val="24"/>
        </w:rPr>
      </w:pPr>
    </w:p>
    <w:p w:rsidR="00D41165" w:rsidRDefault="00D41165" w:rsidP="00D41165"/>
    <w:sectPr w:rsidR="00D41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5E"/>
    <w:rsid w:val="00056761"/>
    <w:rsid w:val="000E7D4A"/>
    <w:rsid w:val="00203616"/>
    <w:rsid w:val="00482279"/>
    <w:rsid w:val="005A5C7A"/>
    <w:rsid w:val="0060395A"/>
    <w:rsid w:val="00610C80"/>
    <w:rsid w:val="00664D37"/>
    <w:rsid w:val="006D485F"/>
    <w:rsid w:val="006E71C8"/>
    <w:rsid w:val="00782AAA"/>
    <w:rsid w:val="00814C70"/>
    <w:rsid w:val="00872623"/>
    <w:rsid w:val="0094127D"/>
    <w:rsid w:val="00975DF1"/>
    <w:rsid w:val="00A33F92"/>
    <w:rsid w:val="00A443A0"/>
    <w:rsid w:val="00AA67DF"/>
    <w:rsid w:val="00CA712F"/>
    <w:rsid w:val="00D41165"/>
    <w:rsid w:val="00D9045E"/>
    <w:rsid w:val="00ED3E07"/>
    <w:rsid w:val="00EF7932"/>
    <w:rsid w:val="00F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4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127D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4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127D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statistics/households-below-average-income-199495-to-2015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coversociety.org/2015/01/03/the-erosion-of-the-uk-safety-ne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ure.york.ac.uk/portal/en/researchers/antonia-keung(1d5a090d-af93-46b9-9858-1ff636da1bc1)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re.york.ac.uk/portal/en/researchers/jonathan-richard-bradshaw(905fa104-a977-4863-83ff-cf28283fe3a2)/profile.html" TargetMode="Externa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www.cpag.org.uk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BHC</c:v>
                </c:pt>
              </c:strCache>
            </c:strRef>
          </c:tx>
          <c:marker>
            <c:symbol val="none"/>
          </c:marker>
          <c:cat>
            <c:strRef>
              <c:f>Sheet1!$B$2:$J$2</c:f>
              <c:strCache>
                <c:ptCount val="9"/>
                <c:pt idx="0">
                  <c:v>2007/8</c:v>
                </c:pt>
                <c:pt idx="1">
                  <c:v>2008/9</c:v>
                </c:pt>
                <c:pt idx="2">
                  <c:v>2009/10</c:v>
                </c:pt>
                <c:pt idx="3">
                  <c:v>2010/11</c:v>
                </c:pt>
                <c:pt idx="4">
                  <c:v>2011/12</c:v>
                </c:pt>
                <c:pt idx="5">
                  <c:v>2012/13</c:v>
                </c:pt>
                <c:pt idx="6">
                  <c:v>2013/14</c:v>
                </c:pt>
                <c:pt idx="7">
                  <c:v>2014/15</c:v>
                </c:pt>
                <c:pt idx="8">
                  <c:v>2015/16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41.6</c:v>
                </c:pt>
                <c:pt idx="1">
                  <c:v>42.6</c:v>
                </c:pt>
                <c:pt idx="2">
                  <c:v>44</c:v>
                </c:pt>
                <c:pt idx="3">
                  <c:v>42.8</c:v>
                </c:pt>
                <c:pt idx="4">
                  <c:v>44.2</c:v>
                </c:pt>
                <c:pt idx="5">
                  <c:v>49</c:v>
                </c:pt>
                <c:pt idx="6">
                  <c:v>46.8</c:v>
                </c:pt>
                <c:pt idx="7">
                  <c:v>49.8</c:v>
                </c:pt>
                <c:pt idx="8">
                  <c:v>50.6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AHC</c:v>
                </c:pt>
              </c:strCache>
            </c:strRef>
          </c:tx>
          <c:marker>
            <c:symbol val="none"/>
          </c:marker>
          <c:cat>
            <c:strRef>
              <c:f>Sheet1!$B$2:$J$2</c:f>
              <c:strCache>
                <c:ptCount val="9"/>
                <c:pt idx="0">
                  <c:v>2007/8</c:v>
                </c:pt>
                <c:pt idx="1">
                  <c:v>2008/9</c:v>
                </c:pt>
                <c:pt idx="2">
                  <c:v>2009/10</c:v>
                </c:pt>
                <c:pt idx="3">
                  <c:v>2010/11</c:v>
                </c:pt>
                <c:pt idx="4">
                  <c:v>2011/12</c:v>
                </c:pt>
                <c:pt idx="5">
                  <c:v>2012/13</c:v>
                </c:pt>
                <c:pt idx="6">
                  <c:v>2013/14</c:v>
                </c:pt>
                <c:pt idx="7">
                  <c:v>2014/15</c:v>
                </c:pt>
                <c:pt idx="8">
                  <c:v>2015/16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50.4</c:v>
                </c:pt>
                <c:pt idx="1">
                  <c:v>52</c:v>
                </c:pt>
                <c:pt idx="2">
                  <c:v>52.2</c:v>
                </c:pt>
                <c:pt idx="3">
                  <c:v>50.8</c:v>
                </c:pt>
                <c:pt idx="4">
                  <c:v>52</c:v>
                </c:pt>
                <c:pt idx="5">
                  <c:v>51.4</c:v>
                </c:pt>
                <c:pt idx="6">
                  <c:v>55.6</c:v>
                </c:pt>
                <c:pt idx="7">
                  <c:v>57.4</c:v>
                </c:pt>
                <c:pt idx="8">
                  <c:v>61.8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1824512"/>
        <c:axId val="353426048"/>
      </c:lineChart>
      <c:catAx>
        <c:axId val="35182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353426048"/>
        <c:crosses val="autoZero"/>
        <c:auto val="1"/>
        <c:lblAlgn val="ctr"/>
        <c:lblOffset val="100"/>
        <c:noMultiLvlLbl val="0"/>
      </c:catAx>
      <c:valAx>
        <c:axId val="353426048"/>
        <c:scaling>
          <c:orientation val="minMax"/>
          <c:min val="3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182451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2017-12-06T15:03:00Z</dcterms:created>
  <dcterms:modified xsi:type="dcterms:W3CDTF">2017-12-06T15:03:00Z</dcterms:modified>
</cp:coreProperties>
</file>