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C3F15" w14:textId="77777777" w:rsidR="00202690" w:rsidRDefault="00202690" w:rsidP="00202690">
      <w:pPr>
        <w:jc w:val="right"/>
        <w:rPr>
          <w:rFonts w:asciiTheme="minorHAnsi" w:hAnsiTheme="minorHAnsi"/>
          <w:b/>
          <w:lang w:val="en-GB"/>
        </w:rPr>
      </w:pPr>
      <w:bookmarkStart w:id="0" w:name="_GoBack"/>
      <w:bookmarkEnd w:id="0"/>
    </w:p>
    <w:p w14:paraId="1B7CF2F4" w14:textId="77777777" w:rsidR="00202690" w:rsidRDefault="00202690" w:rsidP="00202690">
      <w:pPr>
        <w:jc w:val="right"/>
        <w:rPr>
          <w:rFonts w:asciiTheme="minorHAnsi" w:hAnsiTheme="minorHAnsi"/>
          <w:b/>
          <w:lang w:val="en-GB"/>
        </w:rPr>
      </w:pPr>
    </w:p>
    <w:p w14:paraId="23814AE4" w14:textId="77777777" w:rsidR="00202690" w:rsidRDefault="00202690" w:rsidP="00202690">
      <w:pPr>
        <w:jc w:val="right"/>
        <w:rPr>
          <w:rFonts w:asciiTheme="minorHAnsi" w:hAnsiTheme="minorHAnsi"/>
          <w:b/>
          <w:lang w:val="en-GB"/>
        </w:rPr>
      </w:pPr>
    </w:p>
    <w:p w14:paraId="3222D4E9" w14:textId="77777777" w:rsidR="00202690" w:rsidRDefault="00202690" w:rsidP="00202690">
      <w:pPr>
        <w:jc w:val="right"/>
        <w:rPr>
          <w:rFonts w:asciiTheme="minorHAnsi" w:hAnsiTheme="minorHAnsi"/>
          <w:b/>
          <w:lang w:val="en-GB"/>
        </w:rPr>
      </w:pPr>
    </w:p>
    <w:p w14:paraId="7D4EBE71" w14:textId="77777777" w:rsidR="00202690" w:rsidRDefault="00202690" w:rsidP="00202690">
      <w:pPr>
        <w:jc w:val="right"/>
        <w:rPr>
          <w:rFonts w:asciiTheme="minorHAnsi" w:hAnsiTheme="minorHAnsi"/>
          <w:b/>
          <w:lang w:val="en-GB"/>
        </w:rPr>
      </w:pPr>
    </w:p>
    <w:p w14:paraId="50ECE00C" w14:textId="77777777" w:rsidR="00202690" w:rsidRDefault="00202690" w:rsidP="00202690">
      <w:pPr>
        <w:jc w:val="right"/>
        <w:rPr>
          <w:rFonts w:asciiTheme="minorHAnsi" w:hAnsiTheme="minorHAnsi"/>
          <w:b/>
          <w:lang w:val="en-GB"/>
        </w:rPr>
      </w:pPr>
    </w:p>
    <w:p w14:paraId="2A5C14E3" w14:textId="77777777" w:rsidR="00202690" w:rsidRDefault="00202690" w:rsidP="00202690">
      <w:pPr>
        <w:jc w:val="right"/>
        <w:rPr>
          <w:rFonts w:asciiTheme="minorHAnsi" w:hAnsiTheme="minorHAnsi"/>
          <w:b/>
          <w:lang w:val="en-GB"/>
        </w:rPr>
      </w:pPr>
    </w:p>
    <w:p w14:paraId="299A0ADA" w14:textId="77777777" w:rsidR="00202690" w:rsidRDefault="00202690" w:rsidP="00202690">
      <w:pPr>
        <w:jc w:val="right"/>
        <w:rPr>
          <w:rFonts w:asciiTheme="minorHAnsi" w:hAnsiTheme="minorHAnsi"/>
          <w:b/>
          <w:lang w:val="en-GB"/>
        </w:rPr>
      </w:pPr>
    </w:p>
    <w:p w14:paraId="159F247D" w14:textId="77777777" w:rsidR="00202690" w:rsidRDefault="00202690" w:rsidP="00202690">
      <w:pPr>
        <w:jc w:val="right"/>
        <w:rPr>
          <w:rFonts w:asciiTheme="minorHAnsi" w:hAnsiTheme="minorHAnsi"/>
          <w:b/>
          <w:lang w:val="en-GB"/>
        </w:rPr>
      </w:pPr>
    </w:p>
    <w:p w14:paraId="5295BAC9" w14:textId="77777777" w:rsidR="00F00340" w:rsidRPr="006B51B1" w:rsidRDefault="00F361EC" w:rsidP="00202690">
      <w:pPr>
        <w:jc w:val="right"/>
        <w:rPr>
          <w:rFonts w:asciiTheme="minorHAnsi" w:hAnsiTheme="minorHAnsi"/>
          <w:b/>
          <w:lang w:val="en-GB"/>
        </w:rPr>
      </w:pPr>
      <w:r w:rsidRPr="006B51B1">
        <w:rPr>
          <w:rFonts w:asciiTheme="minorHAnsi" w:hAnsiTheme="minorHAnsi"/>
          <w:b/>
          <w:lang w:val="en-GB"/>
        </w:rPr>
        <w:t>Rental Housing: the current legal framework in England</w:t>
      </w:r>
    </w:p>
    <w:p w14:paraId="552B86E3" w14:textId="114F843C" w:rsidR="008F439D" w:rsidRPr="006B51B1" w:rsidRDefault="008F439D" w:rsidP="00202690">
      <w:pPr>
        <w:jc w:val="right"/>
        <w:rPr>
          <w:rFonts w:asciiTheme="minorHAnsi" w:hAnsiTheme="minorHAnsi"/>
          <w:lang w:val="en-GB"/>
        </w:rPr>
      </w:pPr>
      <w:r w:rsidRPr="006B51B1">
        <w:rPr>
          <w:rFonts w:asciiTheme="minorHAnsi" w:hAnsiTheme="minorHAnsi"/>
          <w:lang w:val="en-GB"/>
        </w:rPr>
        <w:t>Caroline Hunter</w:t>
      </w:r>
      <w:r w:rsidR="008A2CBA">
        <w:rPr>
          <w:rStyle w:val="FootnoteReference"/>
          <w:rFonts w:asciiTheme="minorHAnsi" w:hAnsiTheme="minorHAnsi"/>
          <w:lang w:val="en-GB"/>
        </w:rPr>
        <w:footnoteReference w:id="1"/>
      </w:r>
      <w:r w:rsidRPr="006B51B1">
        <w:rPr>
          <w:rFonts w:asciiTheme="minorHAnsi" w:hAnsiTheme="minorHAnsi"/>
          <w:lang w:val="en-GB"/>
        </w:rPr>
        <w:t xml:space="preserve"> and Jed </w:t>
      </w:r>
      <w:proofErr w:type="spellStart"/>
      <w:r w:rsidRPr="006B51B1">
        <w:rPr>
          <w:rFonts w:asciiTheme="minorHAnsi" w:hAnsiTheme="minorHAnsi"/>
          <w:lang w:val="en-GB"/>
        </w:rPr>
        <w:t>Meers</w:t>
      </w:r>
      <w:proofErr w:type="spellEnd"/>
      <w:r w:rsidR="008A2CBA">
        <w:rPr>
          <w:rStyle w:val="FootnoteReference"/>
          <w:rFonts w:asciiTheme="minorHAnsi" w:hAnsiTheme="minorHAnsi"/>
          <w:lang w:val="en-GB"/>
        </w:rPr>
        <w:footnoteReference w:id="2"/>
      </w:r>
    </w:p>
    <w:p w14:paraId="01E29274" w14:textId="77777777" w:rsidR="008F439D" w:rsidRDefault="008F439D" w:rsidP="00202690">
      <w:pPr>
        <w:jc w:val="right"/>
        <w:rPr>
          <w:rFonts w:asciiTheme="minorHAnsi" w:hAnsiTheme="minorHAnsi"/>
          <w:lang w:val="en-GB"/>
        </w:rPr>
      </w:pPr>
    </w:p>
    <w:p w14:paraId="2A072BD8" w14:textId="75A9952C" w:rsidR="00202690" w:rsidRDefault="00202690" w:rsidP="00202690">
      <w:pPr>
        <w:jc w:val="right"/>
        <w:rPr>
          <w:rFonts w:asciiTheme="minorHAnsi" w:hAnsiTheme="minorHAnsi"/>
          <w:lang w:val="en-GB"/>
        </w:rPr>
      </w:pPr>
      <w:r w:rsidRPr="00202690">
        <w:rPr>
          <w:rFonts w:asciiTheme="minorHAnsi" w:hAnsiTheme="minorHAnsi"/>
        </w:rPr>
        <w:t xml:space="preserve">York Law School, </w:t>
      </w:r>
      <w:r w:rsidRPr="00202690">
        <w:rPr>
          <w:rFonts w:asciiTheme="minorHAnsi" w:hAnsiTheme="minorHAnsi"/>
          <w:lang w:val="en-GB"/>
        </w:rPr>
        <w:t>University of York</w:t>
      </w:r>
      <w:r w:rsidR="008A2CBA">
        <w:rPr>
          <w:rFonts w:asciiTheme="minorHAnsi" w:hAnsiTheme="minorHAnsi"/>
          <w:lang w:val="en-GB"/>
        </w:rPr>
        <w:t xml:space="preserve">, </w:t>
      </w:r>
      <w:proofErr w:type="spellStart"/>
      <w:r w:rsidR="008A2CBA">
        <w:rPr>
          <w:rFonts w:asciiTheme="minorHAnsi" w:hAnsiTheme="minorHAnsi"/>
          <w:lang w:val="en-GB"/>
        </w:rPr>
        <w:t>Heslington</w:t>
      </w:r>
      <w:proofErr w:type="spellEnd"/>
      <w:r w:rsidR="008A2CBA">
        <w:rPr>
          <w:rFonts w:asciiTheme="minorHAnsi" w:hAnsiTheme="minorHAnsi"/>
          <w:lang w:val="en-GB"/>
        </w:rPr>
        <w:t>, York YO10 5DD, UK</w:t>
      </w:r>
      <w:r w:rsidRPr="00202690">
        <w:rPr>
          <w:rFonts w:asciiTheme="minorHAnsi" w:hAnsiTheme="minorHAnsi"/>
          <w:lang w:val="en-GB"/>
        </w:rPr>
        <w:t xml:space="preserve"> </w:t>
      </w:r>
    </w:p>
    <w:p w14:paraId="70549FBC" w14:textId="5AB13D6F" w:rsidR="00202690" w:rsidRDefault="0039592B" w:rsidP="00202690">
      <w:pPr>
        <w:jc w:val="right"/>
        <w:rPr>
          <w:rFonts w:asciiTheme="minorHAnsi" w:hAnsiTheme="minorHAnsi"/>
          <w:lang w:val="en-GB"/>
        </w:rPr>
      </w:pPr>
      <w:hyperlink r:id="rId8" w:history="1">
        <w:r w:rsidR="00202690" w:rsidRPr="00202690">
          <w:rPr>
            <w:rStyle w:val="Hyperlink"/>
            <w:rFonts w:asciiTheme="minorHAnsi" w:hAnsiTheme="minorHAnsi"/>
            <w:lang w:val="en-GB"/>
          </w:rPr>
          <w:t>caroline.hunter@york.ac.uk</w:t>
        </w:r>
      </w:hyperlink>
      <w:r w:rsidR="00202690" w:rsidRPr="00202690">
        <w:rPr>
          <w:rFonts w:asciiTheme="minorHAnsi" w:hAnsiTheme="minorHAnsi"/>
          <w:lang w:val="en-GB"/>
        </w:rPr>
        <w:t xml:space="preserve"> and </w:t>
      </w:r>
      <w:hyperlink r:id="rId9" w:history="1">
        <w:r w:rsidR="00202690" w:rsidRPr="00BD27BA">
          <w:rPr>
            <w:rStyle w:val="Hyperlink"/>
            <w:rFonts w:asciiTheme="minorHAnsi" w:hAnsiTheme="minorHAnsi"/>
            <w:lang w:val="en-GB"/>
          </w:rPr>
          <w:t>jed.meers@york.ac.uk</w:t>
        </w:r>
      </w:hyperlink>
    </w:p>
    <w:p w14:paraId="5C8EC1C9" w14:textId="6BAD1C86" w:rsidR="00202690" w:rsidRDefault="00202690" w:rsidP="00202690">
      <w:pPr>
        <w:jc w:val="right"/>
        <w:rPr>
          <w:rFonts w:asciiTheme="minorHAnsi" w:hAnsiTheme="minorHAnsi"/>
          <w:lang w:val="en-GB"/>
        </w:rPr>
      </w:pPr>
      <w:r>
        <w:rPr>
          <w:rFonts w:asciiTheme="minorHAnsi" w:hAnsiTheme="minorHAnsi"/>
          <w:lang w:val="en-GB"/>
        </w:rPr>
        <w:t>September 2017</w:t>
      </w:r>
    </w:p>
    <w:p w14:paraId="0CAC4C1D" w14:textId="77777777" w:rsidR="00202690" w:rsidRPr="006B51B1" w:rsidRDefault="00202690" w:rsidP="00202690">
      <w:pPr>
        <w:jc w:val="right"/>
        <w:rPr>
          <w:rFonts w:asciiTheme="minorHAnsi" w:hAnsiTheme="minorHAnsi"/>
          <w:lang w:val="en-GB"/>
        </w:rPr>
      </w:pPr>
    </w:p>
    <w:p w14:paraId="5BDE2108" w14:textId="77777777" w:rsidR="00202690" w:rsidRDefault="00202690">
      <w:pPr>
        <w:rPr>
          <w:rFonts w:asciiTheme="minorHAnsi" w:hAnsiTheme="minorHAnsi"/>
          <w:b/>
          <w:lang w:val="en-GB"/>
        </w:rPr>
      </w:pPr>
      <w:r>
        <w:rPr>
          <w:rFonts w:asciiTheme="minorHAnsi" w:hAnsiTheme="minorHAnsi"/>
          <w:b/>
          <w:lang w:val="en-GB"/>
        </w:rPr>
        <w:br w:type="page"/>
      </w:r>
    </w:p>
    <w:p w14:paraId="7952A63C" w14:textId="438EE46E" w:rsidR="00202690" w:rsidRDefault="00202690" w:rsidP="000435D2">
      <w:pPr>
        <w:jc w:val="both"/>
        <w:rPr>
          <w:rFonts w:asciiTheme="minorHAnsi" w:hAnsiTheme="minorHAnsi"/>
          <w:b/>
          <w:lang w:val="en-GB"/>
        </w:rPr>
      </w:pPr>
      <w:r>
        <w:rPr>
          <w:rFonts w:asciiTheme="minorHAnsi" w:hAnsiTheme="minorHAnsi"/>
          <w:b/>
          <w:lang w:val="en-GB"/>
        </w:rPr>
        <w:lastRenderedPageBreak/>
        <w:t>Abstract</w:t>
      </w:r>
    </w:p>
    <w:p w14:paraId="75EC9142" w14:textId="475A26DC" w:rsidR="00202690" w:rsidRPr="005E6028" w:rsidRDefault="005E6028" w:rsidP="000435D2">
      <w:pPr>
        <w:jc w:val="both"/>
        <w:rPr>
          <w:rFonts w:asciiTheme="minorHAnsi" w:hAnsiTheme="minorHAnsi"/>
          <w:lang w:val="en-GB"/>
        </w:rPr>
      </w:pPr>
      <w:r>
        <w:rPr>
          <w:rFonts w:asciiTheme="minorHAnsi" w:hAnsiTheme="minorHAnsi"/>
          <w:lang w:val="en-GB"/>
        </w:rPr>
        <w:t xml:space="preserve">Residential tenancies </w:t>
      </w:r>
      <w:r w:rsidR="004307EB">
        <w:rPr>
          <w:rFonts w:asciiTheme="minorHAnsi" w:hAnsiTheme="minorHAnsi"/>
          <w:lang w:val="en-GB"/>
        </w:rPr>
        <w:t xml:space="preserve">law </w:t>
      </w:r>
      <w:r>
        <w:rPr>
          <w:rFonts w:asciiTheme="minorHAnsi" w:hAnsiTheme="minorHAnsi"/>
          <w:lang w:val="en-GB"/>
        </w:rPr>
        <w:t xml:space="preserve">in England </w:t>
      </w:r>
      <w:r w:rsidR="000559E9">
        <w:rPr>
          <w:rFonts w:asciiTheme="minorHAnsi" w:hAnsiTheme="minorHAnsi"/>
          <w:lang w:val="en-GB"/>
        </w:rPr>
        <w:t xml:space="preserve">are </w:t>
      </w:r>
      <w:r w:rsidR="004307EB">
        <w:rPr>
          <w:rFonts w:asciiTheme="minorHAnsi" w:hAnsiTheme="minorHAnsi"/>
          <w:lang w:val="en-GB"/>
        </w:rPr>
        <w:t xml:space="preserve">complex </w:t>
      </w:r>
      <w:r w:rsidR="004307EB" w:rsidRPr="006B51B1">
        <w:rPr>
          <w:rFonts w:asciiTheme="minorHAnsi" w:hAnsiTheme="minorHAnsi"/>
          <w:lang w:val="en-GB"/>
        </w:rPr>
        <w:t xml:space="preserve">because of an over-lay of (changing) legislation </w:t>
      </w:r>
      <w:r w:rsidR="004307EB">
        <w:rPr>
          <w:rFonts w:asciiTheme="minorHAnsi" w:hAnsiTheme="minorHAnsi"/>
          <w:lang w:val="en-GB"/>
        </w:rPr>
        <w:t>on</w:t>
      </w:r>
      <w:r w:rsidR="004307EB" w:rsidRPr="006B51B1">
        <w:rPr>
          <w:rFonts w:asciiTheme="minorHAnsi" w:hAnsiTheme="minorHAnsi"/>
          <w:lang w:val="en-GB"/>
        </w:rPr>
        <w:t xml:space="preserve"> t</w:t>
      </w:r>
      <w:r w:rsidR="004307EB">
        <w:rPr>
          <w:rFonts w:asciiTheme="minorHAnsi" w:hAnsiTheme="minorHAnsi"/>
          <w:lang w:val="en-GB"/>
        </w:rPr>
        <w:t>he top of common law principles,</w:t>
      </w:r>
      <w:r w:rsidR="000559E9">
        <w:rPr>
          <w:rFonts w:asciiTheme="minorHAnsi" w:hAnsiTheme="minorHAnsi"/>
          <w:lang w:val="en-GB"/>
        </w:rPr>
        <w:t xml:space="preserve"> and sometimes</w:t>
      </w:r>
      <w:r w:rsidR="004307EB">
        <w:rPr>
          <w:rFonts w:asciiTheme="minorHAnsi" w:hAnsiTheme="minorHAnsi"/>
          <w:lang w:val="en-GB"/>
        </w:rPr>
        <w:t xml:space="preserve"> different law for private and social tenants. In this article we use a framework of </w:t>
      </w:r>
      <w:r w:rsidR="004307EB" w:rsidRPr="006B51B1">
        <w:rPr>
          <w:rFonts w:asciiTheme="minorHAnsi" w:hAnsiTheme="minorHAnsi"/>
          <w:lang w:val="en-GB"/>
        </w:rPr>
        <w:t xml:space="preserve">legal determinants of housing </w:t>
      </w:r>
      <w:proofErr w:type="spellStart"/>
      <w:r w:rsidR="004307EB" w:rsidRPr="006B51B1">
        <w:rPr>
          <w:rFonts w:asciiTheme="minorHAnsi" w:hAnsiTheme="minorHAnsi"/>
          <w:lang w:val="en-GB"/>
        </w:rPr>
        <w:t>precarity</w:t>
      </w:r>
      <w:proofErr w:type="spellEnd"/>
      <w:r w:rsidR="004307EB">
        <w:rPr>
          <w:rFonts w:asciiTheme="minorHAnsi" w:hAnsiTheme="minorHAnsi"/>
          <w:lang w:val="en-GB"/>
        </w:rPr>
        <w:t xml:space="preserve"> to analyse this law. There are five determinants to our analysis: </w:t>
      </w:r>
      <w:r w:rsidR="004307EB" w:rsidRPr="006B51B1">
        <w:rPr>
          <w:rFonts w:asciiTheme="minorHAnsi" w:hAnsiTheme="minorHAnsi"/>
          <w:lang w:val="en-GB"/>
        </w:rPr>
        <w:t>tenure/time; control; cost; condition</w:t>
      </w:r>
      <w:r w:rsidR="00D1647B">
        <w:rPr>
          <w:rFonts w:asciiTheme="minorHAnsi" w:hAnsiTheme="minorHAnsi"/>
          <w:lang w:val="en-GB"/>
        </w:rPr>
        <w:t xml:space="preserve"> (habitability</w:t>
      </w:r>
      <w:proofErr w:type="gramStart"/>
      <w:r w:rsidR="00D1647B">
        <w:rPr>
          <w:rFonts w:asciiTheme="minorHAnsi" w:hAnsiTheme="minorHAnsi"/>
          <w:lang w:val="en-GB"/>
        </w:rPr>
        <w:t>);</w:t>
      </w:r>
      <w:r w:rsidR="004307EB" w:rsidRPr="006B51B1">
        <w:rPr>
          <w:rFonts w:asciiTheme="minorHAnsi" w:hAnsiTheme="minorHAnsi"/>
          <w:lang w:val="en-GB"/>
        </w:rPr>
        <w:t>s</w:t>
      </w:r>
      <w:proofErr w:type="gramEnd"/>
      <w:r w:rsidR="004307EB" w:rsidRPr="006B51B1">
        <w:rPr>
          <w:rFonts w:asciiTheme="minorHAnsi" w:hAnsiTheme="minorHAnsi"/>
          <w:lang w:val="en-GB"/>
        </w:rPr>
        <w:t xml:space="preserve"> and immigration status</w:t>
      </w:r>
      <w:r w:rsidR="004307EB">
        <w:rPr>
          <w:rFonts w:asciiTheme="minorHAnsi" w:hAnsiTheme="minorHAnsi"/>
          <w:lang w:val="en-GB"/>
        </w:rPr>
        <w:t>. The difficulties occupiers and landlords face in u</w:t>
      </w:r>
      <w:r w:rsidR="00090E90">
        <w:rPr>
          <w:rFonts w:asciiTheme="minorHAnsi" w:hAnsiTheme="minorHAnsi"/>
          <w:lang w:val="en-GB"/>
        </w:rPr>
        <w:t xml:space="preserve">ntangling the </w:t>
      </w:r>
      <w:r w:rsidR="004307EB">
        <w:rPr>
          <w:rFonts w:asciiTheme="minorHAnsi" w:hAnsiTheme="minorHAnsi"/>
          <w:lang w:val="en-GB"/>
        </w:rPr>
        <w:t xml:space="preserve">patchwork of protections </w:t>
      </w:r>
      <w:r w:rsidR="000559E9">
        <w:rPr>
          <w:rFonts w:asciiTheme="minorHAnsi" w:hAnsiTheme="minorHAnsi"/>
          <w:lang w:val="en-GB"/>
        </w:rPr>
        <w:t>unites these different determinants</w:t>
      </w:r>
      <w:r w:rsidR="00090E90">
        <w:rPr>
          <w:rFonts w:asciiTheme="minorHAnsi" w:hAnsiTheme="minorHAnsi"/>
          <w:lang w:val="en-GB"/>
        </w:rPr>
        <w:t>. Further we</w:t>
      </w:r>
      <w:r w:rsidR="004307EB">
        <w:rPr>
          <w:rFonts w:asciiTheme="minorHAnsi" w:hAnsiTheme="minorHAnsi"/>
          <w:lang w:val="en-GB"/>
        </w:rPr>
        <w:t xml:space="preserve"> demonstrate that the position of tenants has become in some ways more precarious in the last 30 years – in terms of the ease of eviction and, for private tenants, for rents.</w:t>
      </w:r>
    </w:p>
    <w:p w14:paraId="269EB79E" w14:textId="77777777" w:rsidR="005E6028" w:rsidRDefault="005E6028" w:rsidP="000435D2">
      <w:pPr>
        <w:jc w:val="both"/>
        <w:rPr>
          <w:rFonts w:asciiTheme="minorHAnsi" w:hAnsiTheme="minorHAnsi"/>
          <w:b/>
          <w:lang w:val="en-GB"/>
        </w:rPr>
      </w:pPr>
    </w:p>
    <w:p w14:paraId="3A60DEC0" w14:textId="501D0C5E" w:rsidR="004307EB" w:rsidRDefault="00202690" w:rsidP="000435D2">
      <w:pPr>
        <w:jc w:val="both"/>
        <w:rPr>
          <w:rFonts w:asciiTheme="minorHAnsi" w:hAnsiTheme="minorHAnsi"/>
          <w:b/>
          <w:lang w:val="en-GB"/>
        </w:rPr>
      </w:pPr>
      <w:r>
        <w:rPr>
          <w:rFonts w:asciiTheme="minorHAnsi" w:hAnsiTheme="minorHAnsi"/>
          <w:b/>
          <w:lang w:val="en-GB"/>
        </w:rPr>
        <w:t>Key Words</w:t>
      </w:r>
      <w:r w:rsidR="004307EB">
        <w:rPr>
          <w:rFonts w:asciiTheme="minorHAnsi" w:hAnsiTheme="minorHAnsi"/>
          <w:b/>
          <w:lang w:val="en-GB"/>
        </w:rPr>
        <w:t xml:space="preserve">: </w:t>
      </w:r>
      <w:r w:rsidR="004307EB">
        <w:rPr>
          <w:rFonts w:asciiTheme="minorHAnsi" w:hAnsiTheme="minorHAnsi"/>
          <w:lang w:val="en-GB"/>
        </w:rPr>
        <w:t xml:space="preserve">residential tenancies, England, </w:t>
      </w:r>
      <w:proofErr w:type="spellStart"/>
      <w:r w:rsidR="004307EB">
        <w:rPr>
          <w:rFonts w:asciiTheme="minorHAnsi" w:hAnsiTheme="minorHAnsi"/>
          <w:lang w:val="en-GB"/>
        </w:rPr>
        <w:t>precarity</w:t>
      </w:r>
      <w:proofErr w:type="spellEnd"/>
    </w:p>
    <w:p w14:paraId="360F7825" w14:textId="77777777" w:rsidR="005E6028" w:rsidRDefault="005E6028" w:rsidP="005E6028">
      <w:pPr>
        <w:jc w:val="both"/>
        <w:rPr>
          <w:rFonts w:asciiTheme="minorHAnsi" w:hAnsiTheme="minorHAnsi"/>
          <w:b/>
          <w:lang w:val="en-GB"/>
        </w:rPr>
      </w:pPr>
    </w:p>
    <w:p w14:paraId="46A56D8C" w14:textId="77777777" w:rsidR="005E6028" w:rsidRDefault="00202690" w:rsidP="005E6028">
      <w:pPr>
        <w:jc w:val="both"/>
        <w:rPr>
          <w:rFonts w:asciiTheme="minorHAnsi" w:hAnsiTheme="minorHAnsi"/>
          <w:b/>
          <w:lang w:val="en-GB"/>
        </w:rPr>
      </w:pPr>
      <w:r>
        <w:rPr>
          <w:rFonts w:asciiTheme="minorHAnsi" w:hAnsiTheme="minorHAnsi"/>
          <w:b/>
          <w:lang w:val="en-GB"/>
        </w:rPr>
        <w:t>Contents</w:t>
      </w:r>
    </w:p>
    <w:p w14:paraId="22C2ACBE" w14:textId="6E0E4F92" w:rsidR="005E6028" w:rsidRPr="005E6028" w:rsidRDefault="005E6028" w:rsidP="005E6028">
      <w:pPr>
        <w:ind w:left="720"/>
        <w:jc w:val="both"/>
        <w:rPr>
          <w:rFonts w:asciiTheme="minorHAnsi" w:hAnsiTheme="minorHAnsi"/>
          <w:lang w:val="en-GB"/>
        </w:rPr>
      </w:pPr>
      <w:r>
        <w:rPr>
          <w:rFonts w:asciiTheme="minorHAnsi" w:hAnsiTheme="minorHAnsi"/>
          <w:lang w:val="en-GB"/>
        </w:rPr>
        <w:t xml:space="preserve">1. </w:t>
      </w:r>
      <w:r w:rsidRPr="005E6028">
        <w:rPr>
          <w:rFonts w:asciiTheme="minorHAnsi" w:hAnsiTheme="minorHAnsi"/>
          <w:lang w:val="en-GB"/>
        </w:rPr>
        <w:t>Introduction</w:t>
      </w:r>
    </w:p>
    <w:p w14:paraId="67A444F0" w14:textId="39E52D7D" w:rsidR="005E6028" w:rsidRPr="005E6028" w:rsidRDefault="005E6028" w:rsidP="005E6028">
      <w:pPr>
        <w:ind w:left="720"/>
        <w:jc w:val="both"/>
        <w:rPr>
          <w:rFonts w:asciiTheme="minorHAnsi" w:hAnsiTheme="minorHAnsi"/>
          <w:lang w:val="en-GB"/>
        </w:rPr>
      </w:pPr>
      <w:r>
        <w:rPr>
          <w:rFonts w:asciiTheme="minorHAnsi" w:hAnsiTheme="minorHAnsi"/>
          <w:lang w:val="en-GB"/>
        </w:rPr>
        <w:t xml:space="preserve">2. </w:t>
      </w:r>
      <w:r w:rsidRPr="005E6028">
        <w:rPr>
          <w:rFonts w:asciiTheme="minorHAnsi" w:hAnsiTheme="minorHAnsi"/>
          <w:lang w:val="en-GB"/>
        </w:rPr>
        <w:t>Tenure/time</w:t>
      </w:r>
    </w:p>
    <w:p w14:paraId="39F20A30" w14:textId="0A1BD90B" w:rsidR="005E6028" w:rsidRDefault="005E6028" w:rsidP="005E6028">
      <w:pPr>
        <w:ind w:left="1080"/>
        <w:jc w:val="both"/>
        <w:rPr>
          <w:rFonts w:asciiTheme="minorHAnsi" w:hAnsiTheme="minorHAnsi"/>
          <w:i/>
          <w:lang w:val="en-GB"/>
        </w:rPr>
      </w:pPr>
      <w:r>
        <w:rPr>
          <w:rFonts w:asciiTheme="minorHAnsi" w:hAnsiTheme="minorHAnsi"/>
          <w:i/>
          <w:lang w:val="en-GB"/>
        </w:rPr>
        <w:t>2.1Protection from</w:t>
      </w:r>
      <w:r w:rsidRPr="006B51B1">
        <w:rPr>
          <w:rFonts w:asciiTheme="minorHAnsi" w:hAnsiTheme="minorHAnsi"/>
          <w:i/>
          <w:lang w:val="en-GB"/>
        </w:rPr>
        <w:t xml:space="preserve"> eviction</w:t>
      </w:r>
    </w:p>
    <w:p w14:paraId="4139A032" w14:textId="77777777" w:rsidR="005E6028" w:rsidRPr="005E6028" w:rsidRDefault="005E6028" w:rsidP="005E6028">
      <w:pPr>
        <w:ind w:left="1080"/>
        <w:jc w:val="both"/>
        <w:rPr>
          <w:rFonts w:asciiTheme="minorHAnsi" w:hAnsiTheme="minorHAnsi"/>
          <w:i/>
          <w:lang w:val="en-GB"/>
        </w:rPr>
      </w:pPr>
      <w:r>
        <w:rPr>
          <w:rFonts w:asciiTheme="minorHAnsi" w:hAnsiTheme="minorHAnsi"/>
          <w:i/>
          <w:lang w:val="en-GB"/>
        </w:rPr>
        <w:t xml:space="preserve">2.2 </w:t>
      </w:r>
      <w:r w:rsidRPr="005E6028">
        <w:rPr>
          <w:rFonts w:asciiTheme="minorHAnsi" w:hAnsiTheme="minorHAnsi"/>
          <w:i/>
          <w:lang w:val="en-GB"/>
        </w:rPr>
        <w:t>Private rented tenancies</w:t>
      </w:r>
    </w:p>
    <w:p w14:paraId="5D091A0F" w14:textId="14CBF379" w:rsidR="005E6028" w:rsidRDefault="005E6028" w:rsidP="005E6028">
      <w:pPr>
        <w:ind w:left="1080"/>
        <w:jc w:val="both"/>
        <w:rPr>
          <w:rFonts w:asciiTheme="minorHAnsi" w:hAnsiTheme="minorHAnsi" w:cs="Arial"/>
          <w:i/>
          <w:lang w:val="en-GB"/>
        </w:rPr>
      </w:pPr>
      <w:r>
        <w:rPr>
          <w:rFonts w:asciiTheme="minorHAnsi" w:hAnsiTheme="minorHAnsi" w:cs="Arial"/>
          <w:i/>
          <w:lang w:val="en-GB"/>
        </w:rPr>
        <w:t xml:space="preserve">2.3 </w:t>
      </w:r>
      <w:r w:rsidRPr="006B51B1">
        <w:rPr>
          <w:rFonts w:asciiTheme="minorHAnsi" w:hAnsiTheme="minorHAnsi" w:cs="Arial"/>
          <w:i/>
          <w:lang w:val="en-GB"/>
        </w:rPr>
        <w:t>Social rented tenancies</w:t>
      </w:r>
    </w:p>
    <w:p w14:paraId="5FAB2B8F" w14:textId="44B2ED4F" w:rsidR="005E6028" w:rsidRDefault="005E6028" w:rsidP="005E6028">
      <w:pPr>
        <w:ind w:left="1080"/>
        <w:jc w:val="both"/>
        <w:rPr>
          <w:rFonts w:asciiTheme="minorHAnsi" w:hAnsiTheme="minorHAnsi"/>
          <w:i/>
          <w:lang w:val="en-GB"/>
        </w:rPr>
      </w:pPr>
      <w:r>
        <w:rPr>
          <w:rFonts w:asciiTheme="minorHAnsi" w:hAnsiTheme="minorHAnsi"/>
          <w:i/>
          <w:lang w:val="en-GB"/>
        </w:rPr>
        <w:t xml:space="preserve">2.4 </w:t>
      </w:r>
      <w:r w:rsidRPr="006B51B1">
        <w:rPr>
          <w:rFonts w:asciiTheme="minorHAnsi" w:hAnsiTheme="minorHAnsi"/>
          <w:i/>
          <w:lang w:val="en-GB"/>
        </w:rPr>
        <w:t>Right to succession</w:t>
      </w:r>
    </w:p>
    <w:p w14:paraId="1F46B9CE" w14:textId="69623A02" w:rsidR="005E6028" w:rsidRDefault="005E6028" w:rsidP="005E6028">
      <w:pPr>
        <w:ind w:left="720"/>
        <w:jc w:val="both"/>
        <w:rPr>
          <w:rFonts w:asciiTheme="minorHAnsi" w:hAnsiTheme="minorHAnsi"/>
          <w:lang w:val="en-GB"/>
        </w:rPr>
      </w:pPr>
      <w:r>
        <w:rPr>
          <w:rFonts w:asciiTheme="minorHAnsi" w:hAnsiTheme="minorHAnsi"/>
          <w:lang w:val="en-GB"/>
        </w:rPr>
        <w:t>3. Control</w:t>
      </w:r>
    </w:p>
    <w:p w14:paraId="7752DFF6" w14:textId="785855B6" w:rsidR="005E6028" w:rsidRDefault="005E6028" w:rsidP="005E6028">
      <w:pPr>
        <w:ind w:left="720"/>
        <w:jc w:val="both"/>
        <w:rPr>
          <w:rFonts w:asciiTheme="minorHAnsi" w:hAnsiTheme="minorHAnsi"/>
          <w:lang w:val="en-GB"/>
        </w:rPr>
      </w:pPr>
      <w:r>
        <w:rPr>
          <w:rFonts w:asciiTheme="minorHAnsi" w:hAnsiTheme="minorHAnsi"/>
          <w:lang w:val="en-GB"/>
        </w:rPr>
        <w:t>4. Costs</w:t>
      </w:r>
    </w:p>
    <w:p w14:paraId="202730CB" w14:textId="0D5336D7" w:rsidR="005E6028" w:rsidRDefault="005E6028" w:rsidP="005E6028">
      <w:pPr>
        <w:ind w:left="720"/>
        <w:jc w:val="both"/>
        <w:rPr>
          <w:rFonts w:asciiTheme="minorHAnsi" w:hAnsiTheme="minorHAnsi"/>
          <w:lang w:val="en-GB"/>
        </w:rPr>
      </w:pPr>
      <w:r>
        <w:rPr>
          <w:rFonts w:asciiTheme="minorHAnsi" w:hAnsiTheme="minorHAnsi"/>
          <w:lang w:val="en-GB"/>
        </w:rPr>
        <w:t>5. Condition</w:t>
      </w:r>
      <w:r w:rsidR="00901336">
        <w:rPr>
          <w:rFonts w:asciiTheme="minorHAnsi" w:hAnsiTheme="minorHAnsi"/>
          <w:lang w:val="en-GB"/>
        </w:rPr>
        <w:t>s</w:t>
      </w:r>
      <w:r w:rsidR="00D1647B">
        <w:rPr>
          <w:rFonts w:asciiTheme="minorHAnsi" w:hAnsiTheme="minorHAnsi"/>
          <w:lang w:val="en-GB"/>
        </w:rPr>
        <w:t xml:space="preserve"> (habitability)</w:t>
      </w:r>
    </w:p>
    <w:p w14:paraId="5E15694D" w14:textId="0F09EB45" w:rsidR="005E6028" w:rsidRPr="005E6028" w:rsidRDefault="005E6028" w:rsidP="005E6028">
      <w:pPr>
        <w:ind w:left="720"/>
        <w:jc w:val="both"/>
        <w:rPr>
          <w:rFonts w:asciiTheme="minorHAnsi" w:hAnsiTheme="minorHAnsi"/>
          <w:lang w:val="en-GB"/>
        </w:rPr>
      </w:pPr>
      <w:r>
        <w:rPr>
          <w:rFonts w:asciiTheme="minorHAnsi" w:hAnsiTheme="minorHAnsi"/>
          <w:lang w:val="en-GB"/>
        </w:rPr>
        <w:t>6. Immigration</w:t>
      </w:r>
    </w:p>
    <w:p w14:paraId="256CF070" w14:textId="77777777" w:rsidR="005E6028" w:rsidRDefault="005E6028" w:rsidP="005E6028">
      <w:pPr>
        <w:ind w:left="720"/>
        <w:jc w:val="both"/>
        <w:rPr>
          <w:rFonts w:asciiTheme="minorHAnsi" w:hAnsiTheme="minorHAnsi"/>
          <w:lang w:val="en-GB"/>
        </w:rPr>
      </w:pPr>
      <w:r>
        <w:rPr>
          <w:rFonts w:asciiTheme="minorHAnsi" w:hAnsiTheme="minorHAnsi"/>
          <w:lang w:val="en-GB"/>
        </w:rPr>
        <w:t xml:space="preserve">7. </w:t>
      </w:r>
      <w:r w:rsidRPr="005E6028">
        <w:rPr>
          <w:rFonts w:asciiTheme="minorHAnsi" w:hAnsiTheme="minorHAnsi"/>
          <w:lang w:val="en-GB"/>
        </w:rPr>
        <w:t>Conclusion</w:t>
      </w:r>
    </w:p>
    <w:p w14:paraId="734184DC" w14:textId="77777777" w:rsidR="005E6028" w:rsidRPr="005E6028" w:rsidRDefault="005E6028" w:rsidP="005E6028">
      <w:pPr>
        <w:ind w:left="720"/>
        <w:jc w:val="both"/>
        <w:rPr>
          <w:rFonts w:asciiTheme="minorHAnsi" w:hAnsiTheme="minorHAnsi"/>
          <w:color w:val="000000"/>
        </w:rPr>
      </w:pPr>
      <w:r w:rsidRPr="005E6028">
        <w:rPr>
          <w:rFonts w:asciiTheme="minorHAnsi" w:hAnsiTheme="minorHAnsi"/>
          <w:color w:val="000000"/>
        </w:rPr>
        <w:t>Bibliography</w:t>
      </w:r>
    </w:p>
    <w:p w14:paraId="1DB84BDC" w14:textId="3392ED19" w:rsidR="005E6028" w:rsidRPr="005E6028" w:rsidRDefault="005E6028" w:rsidP="005E6028">
      <w:pPr>
        <w:ind w:left="720"/>
        <w:jc w:val="both"/>
        <w:rPr>
          <w:rFonts w:asciiTheme="minorHAnsi" w:hAnsiTheme="minorHAnsi"/>
          <w:lang w:val="en-GB"/>
        </w:rPr>
      </w:pPr>
      <w:r w:rsidRPr="005E6028">
        <w:rPr>
          <w:rFonts w:asciiTheme="minorHAnsi" w:hAnsiTheme="minorHAnsi"/>
          <w:color w:val="000000"/>
        </w:rPr>
        <w:t>Case references</w:t>
      </w:r>
    </w:p>
    <w:p w14:paraId="0F9E9A8F" w14:textId="48D5CBF1" w:rsidR="005E6028" w:rsidRPr="005E6028" w:rsidRDefault="005E6028" w:rsidP="005E6028">
      <w:pPr>
        <w:ind w:left="720"/>
        <w:jc w:val="both"/>
        <w:rPr>
          <w:rFonts w:asciiTheme="minorHAnsi" w:hAnsiTheme="minorHAnsi"/>
          <w:sz w:val="22"/>
          <w:szCs w:val="22"/>
          <w:lang w:val="en-GB"/>
        </w:rPr>
      </w:pPr>
    </w:p>
    <w:p w14:paraId="72C053A4" w14:textId="77777777" w:rsidR="00202690" w:rsidRDefault="00202690" w:rsidP="000435D2">
      <w:pPr>
        <w:jc w:val="both"/>
        <w:rPr>
          <w:rFonts w:asciiTheme="minorHAnsi" w:hAnsiTheme="minorHAnsi"/>
          <w:b/>
          <w:lang w:val="en-GB"/>
        </w:rPr>
      </w:pPr>
    </w:p>
    <w:p w14:paraId="613BE1B5" w14:textId="77777777" w:rsidR="00202690" w:rsidRDefault="00202690">
      <w:pPr>
        <w:rPr>
          <w:rFonts w:asciiTheme="minorHAnsi" w:hAnsiTheme="minorHAnsi"/>
          <w:b/>
          <w:lang w:val="en-GB"/>
        </w:rPr>
      </w:pPr>
      <w:r>
        <w:rPr>
          <w:rFonts w:asciiTheme="minorHAnsi" w:hAnsiTheme="minorHAnsi"/>
          <w:b/>
          <w:lang w:val="en-GB"/>
        </w:rPr>
        <w:br w:type="page"/>
      </w:r>
    </w:p>
    <w:p w14:paraId="6C191367" w14:textId="54C82AFE" w:rsidR="008F439D" w:rsidRPr="00202690" w:rsidRDefault="008F439D" w:rsidP="005E6028">
      <w:pPr>
        <w:pStyle w:val="ListParagraph"/>
        <w:numPr>
          <w:ilvl w:val="0"/>
          <w:numId w:val="2"/>
        </w:numPr>
        <w:jc w:val="both"/>
        <w:rPr>
          <w:rFonts w:asciiTheme="minorHAnsi" w:hAnsiTheme="minorHAnsi"/>
          <w:b/>
          <w:lang w:val="en-GB"/>
        </w:rPr>
      </w:pPr>
      <w:r w:rsidRPr="00202690">
        <w:rPr>
          <w:rFonts w:asciiTheme="minorHAnsi" w:hAnsiTheme="minorHAnsi"/>
          <w:b/>
          <w:lang w:val="en-GB"/>
        </w:rPr>
        <w:lastRenderedPageBreak/>
        <w:t>Introduction</w:t>
      </w:r>
    </w:p>
    <w:p w14:paraId="190A3728" w14:textId="47843781" w:rsidR="00102A3D" w:rsidRPr="006B51B1" w:rsidRDefault="00F361EC" w:rsidP="000435D2">
      <w:pPr>
        <w:jc w:val="both"/>
        <w:rPr>
          <w:rFonts w:asciiTheme="minorHAnsi" w:hAnsiTheme="minorHAnsi"/>
          <w:lang w:val="en-GB"/>
        </w:rPr>
      </w:pPr>
      <w:r w:rsidRPr="006B51B1">
        <w:rPr>
          <w:rFonts w:asciiTheme="minorHAnsi" w:hAnsiTheme="minorHAnsi"/>
          <w:lang w:val="en-GB"/>
        </w:rPr>
        <w:t>We start the article with an apology. As will become apparent in</w:t>
      </w:r>
      <w:r w:rsidR="00102A3D" w:rsidRPr="006B51B1">
        <w:rPr>
          <w:rFonts w:asciiTheme="minorHAnsi" w:hAnsiTheme="minorHAnsi"/>
          <w:lang w:val="en-GB"/>
        </w:rPr>
        <w:t xml:space="preserve"> the course of it, </w:t>
      </w:r>
      <w:r w:rsidR="00E83104" w:rsidRPr="00E83104">
        <w:rPr>
          <w:rFonts w:asciiTheme="minorHAnsi" w:hAnsiTheme="minorHAnsi"/>
          <w:lang w:val="en-GB"/>
        </w:rPr>
        <w:t>residential</w:t>
      </w:r>
      <w:r w:rsidR="00E83104">
        <w:rPr>
          <w:rFonts w:asciiTheme="minorHAnsi" w:hAnsiTheme="minorHAnsi"/>
          <w:lang w:val="en-GB"/>
        </w:rPr>
        <w:t xml:space="preserve"> </w:t>
      </w:r>
      <w:r w:rsidR="00102A3D" w:rsidRPr="006B51B1">
        <w:rPr>
          <w:rFonts w:asciiTheme="minorHAnsi" w:hAnsiTheme="minorHAnsi"/>
          <w:lang w:val="en-GB"/>
        </w:rPr>
        <w:t xml:space="preserve">tenancy law in England is extremely </w:t>
      </w:r>
      <w:r w:rsidR="00775524" w:rsidRPr="006B51B1">
        <w:rPr>
          <w:rFonts w:asciiTheme="minorHAnsi" w:hAnsiTheme="minorHAnsi"/>
          <w:lang w:val="en-GB"/>
        </w:rPr>
        <w:t>(</w:t>
      </w:r>
      <w:r w:rsidR="00556839">
        <w:rPr>
          <w:rFonts w:asciiTheme="minorHAnsi" w:hAnsiTheme="minorHAnsi"/>
          <w:lang w:val="en-GB"/>
        </w:rPr>
        <w:t xml:space="preserve">and </w:t>
      </w:r>
      <w:r w:rsidR="00775524" w:rsidRPr="006B51B1">
        <w:rPr>
          <w:rFonts w:asciiTheme="minorHAnsi" w:hAnsiTheme="minorHAnsi"/>
          <w:lang w:val="en-GB"/>
        </w:rPr>
        <w:t xml:space="preserve">unnecessarily) </w:t>
      </w:r>
      <w:r w:rsidR="00102A3D" w:rsidRPr="006B51B1">
        <w:rPr>
          <w:rFonts w:asciiTheme="minorHAnsi" w:hAnsiTheme="minorHAnsi"/>
          <w:lang w:val="en-GB"/>
        </w:rPr>
        <w:t xml:space="preserve">complex. For </w:t>
      </w:r>
      <w:r w:rsidR="00687240" w:rsidRPr="006B51B1">
        <w:rPr>
          <w:rFonts w:asciiTheme="minorHAnsi" w:hAnsiTheme="minorHAnsi"/>
          <w:lang w:val="en-GB"/>
        </w:rPr>
        <w:t xml:space="preserve">almost 100 </w:t>
      </w:r>
      <w:proofErr w:type="gramStart"/>
      <w:r w:rsidR="00687240" w:rsidRPr="006B51B1">
        <w:rPr>
          <w:rFonts w:asciiTheme="minorHAnsi" w:hAnsiTheme="minorHAnsi"/>
          <w:lang w:val="en-GB"/>
        </w:rPr>
        <w:t>years</w:t>
      </w:r>
      <w:proofErr w:type="gramEnd"/>
      <w:r w:rsidR="00687240" w:rsidRPr="006B51B1">
        <w:rPr>
          <w:rFonts w:asciiTheme="minorHAnsi" w:hAnsiTheme="minorHAnsi"/>
          <w:lang w:val="en-GB"/>
        </w:rPr>
        <w:t xml:space="preserve"> judges have been bemoaning this problem. I</w:t>
      </w:r>
      <w:r w:rsidR="00102A3D" w:rsidRPr="006B51B1">
        <w:rPr>
          <w:rFonts w:asciiTheme="minorHAnsi" w:hAnsiTheme="minorHAnsi"/>
          <w:lang w:val="en-GB"/>
        </w:rPr>
        <w:t xml:space="preserve">n </w:t>
      </w:r>
      <w:r w:rsidR="00102A3D" w:rsidRPr="006B51B1">
        <w:rPr>
          <w:rFonts w:asciiTheme="minorHAnsi" w:hAnsiTheme="minorHAnsi"/>
          <w:i/>
          <w:lang w:val="en-GB"/>
        </w:rPr>
        <w:t>Parry v Harding</w:t>
      </w:r>
      <w:r w:rsidR="00102A3D" w:rsidRPr="006B51B1">
        <w:rPr>
          <w:rFonts w:asciiTheme="minorHAnsi" w:hAnsiTheme="minorHAnsi"/>
          <w:lang w:val="en-GB"/>
        </w:rPr>
        <w:t>.</w:t>
      </w:r>
      <w:r w:rsidR="00102A3D" w:rsidRPr="006B51B1">
        <w:rPr>
          <w:rStyle w:val="FootnoteReference"/>
          <w:rFonts w:asciiTheme="minorHAnsi" w:hAnsiTheme="minorHAnsi"/>
          <w:lang w:val="en-GB"/>
        </w:rPr>
        <w:footnoteReference w:id="3"/>
      </w:r>
      <w:r w:rsidR="00A87CDE" w:rsidRPr="006B51B1">
        <w:rPr>
          <w:rFonts w:asciiTheme="minorHAnsi" w:hAnsiTheme="minorHAnsi"/>
          <w:lang w:val="en-GB"/>
        </w:rPr>
        <w:t xml:space="preserve"> Lord </w:t>
      </w:r>
      <w:proofErr w:type="spellStart"/>
      <w:r w:rsidR="00A87CDE" w:rsidRPr="006B51B1">
        <w:rPr>
          <w:rFonts w:asciiTheme="minorHAnsi" w:hAnsiTheme="minorHAnsi"/>
          <w:lang w:val="en-GB"/>
        </w:rPr>
        <w:t>Hewart</w:t>
      </w:r>
      <w:proofErr w:type="spellEnd"/>
      <w:r w:rsidR="00A87CDE" w:rsidRPr="006B51B1">
        <w:rPr>
          <w:rFonts w:asciiTheme="minorHAnsi" w:hAnsiTheme="minorHAnsi"/>
          <w:lang w:val="en-GB"/>
        </w:rPr>
        <w:t xml:space="preserve"> CJ observed</w:t>
      </w:r>
      <w:r w:rsidR="00102A3D" w:rsidRPr="006B51B1">
        <w:rPr>
          <w:rFonts w:asciiTheme="minorHAnsi" w:hAnsiTheme="minorHAnsi"/>
          <w:lang w:val="en-GB"/>
        </w:rPr>
        <w:t xml:space="preserve">: </w:t>
      </w:r>
    </w:p>
    <w:p w14:paraId="37F2B0C1" w14:textId="5477FA33" w:rsidR="00102A3D" w:rsidRPr="006B51B1" w:rsidRDefault="009E1F25" w:rsidP="000435D2">
      <w:pPr>
        <w:ind w:left="720"/>
        <w:jc w:val="both"/>
        <w:rPr>
          <w:rFonts w:asciiTheme="minorHAnsi" w:hAnsiTheme="minorHAnsi"/>
          <w:lang w:val="en-GB"/>
        </w:rPr>
      </w:pPr>
      <w:r>
        <w:rPr>
          <w:rFonts w:asciiTheme="minorHAnsi" w:hAnsiTheme="minorHAnsi"/>
          <w:lang w:val="en-GB"/>
        </w:rPr>
        <w:t>‘</w:t>
      </w:r>
      <w:r w:rsidR="00102A3D" w:rsidRPr="006B51B1">
        <w:rPr>
          <w:rFonts w:asciiTheme="minorHAnsi" w:hAnsiTheme="minorHAnsi"/>
          <w:lang w:val="en-GB"/>
        </w:rPr>
        <w:t>It is deplorable that in dealing with such a matter as this, a Court, and still more a private individual, and most of all a private individual who lives in a small tenement, should have to make some sort of path through the labyrinth and jungle of these sections and schedules. One would have thought that this was a matter above all others which the Legislature would take pains to make abundantly clea</w:t>
      </w:r>
      <w:r w:rsidR="00CC782F">
        <w:rPr>
          <w:rFonts w:asciiTheme="minorHAnsi" w:hAnsiTheme="minorHAnsi"/>
          <w:lang w:val="en-GB"/>
        </w:rPr>
        <w:t>r.’</w:t>
      </w:r>
    </w:p>
    <w:p w14:paraId="7473B0EE" w14:textId="132E288B" w:rsidR="008F439D" w:rsidRPr="006B51B1" w:rsidRDefault="00102A3D" w:rsidP="000435D2">
      <w:pPr>
        <w:jc w:val="both"/>
        <w:rPr>
          <w:rFonts w:asciiTheme="minorHAnsi" w:hAnsiTheme="minorHAnsi"/>
          <w:lang w:val="en-GB"/>
        </w:rPr>
      </w:pPr>
      <w:r w:rsidRPr="006B51B1">
        <w:rPr>
          <w:rFonts w:asciiTheme="minorHAnsi" w:hAnsiTheme="minorHAnsi"/>
          <w:lang w:val="en-GB"/>
        </w:rPr>
        <w:t>Since then</w:t>
      </w:r>
      <w:r w:rsidR="00F3414B" w:rsidRPr="006B51B1">
        <w:rPr>
          <w:rFonts w:asciiTheme="minorHAnsi" w:hAnsiTheme="minorHAnsi"/>
          <w:lang w:val="en-GB"/>
        </w:rPr>
        <w:t>,</w:t>
      </w:r>
      <w:r w:rsidRPr="006B51B1">
        <w:rPr>
          <w:rFonts w:asciiTheme="minorHAnsi" w:hAnsiTheme="minorHAnsi"/>
          <w:lang w:val="en-GB"/>
        </w:rPr>
        <w:t xml:space="preserve"> matters have become far worse.</w:t>
      </w:r>
    </w:p>
    <w:p w14:paraId="15578BFB" w14:textId="77777777" w:rsidR="00102A3D" w:rsidRPr="006B51B1" w:rsidRDefault="00102A3D" w:rsidP="000435D2">
      <w:pPr>
        <w:jc w:val="both"/>
        <w:rPr>
          <w:rFonts w:asciiTheme="minorHAnsi" w:hAnsiTheme="minorHAnsi"/>
          <w:lang w:val="en-GB"/>
        </w:rPr>
      </w:pPr>
    </w:p>
    <w:p w14:paraId="5AA1D6DA" w14:textId="49D32FAD" w:rsidR="00102A3D" w:rsidRPr="006B51B1" w:rsidRDefault="00102A3D" w:rsidP="000435D2">
      <w:pPr>
        <w:jc w:val="both"/>
        <w:rPr>
          <w:rFonts w:asciiTheme="minorHAnsi" w:hAnsiTheme="minorHAnsi"/>
          <w:lang w:val="en-GB"/>
        </w:rPr>
      </w:pPr>
      <w:r w:rsidRPr="006B51B1">
        <w:rPr>
          <w:rFonts w:asciiTheme="minorHAnsi" w:hAnsiTheme="minorHAnsi"/>
          <w:lang w:val="en-GB"/>
        </w:rPr>
        <w:t xml:space="preserve">Much of the complexity is </w:t>
      </w:r>
      <w:r w:rsidR="00687240" w:rsidRPr="006B51B1">
        <w:rPr>
          <w:rFonts w:asciiTheme="minorHAnsi" w:hAnsiTheme="minorHAnsi"/>
          <w:lang w:val="en-GB"/>
        </w:rPr>
        <w:t xml:space="preserve">because of an over-lay of (changing) legislation </w:t>
      </w:r>
      <w:r w:rsidR="00C12A65">
        <w:rPr>
          <w:rFonts w:asciiTheme="minorHAnsi" w:hAnsiTheme="minorHAnsi"/>
          <w:lang w:val="en-GB"/>
        </w:rPr>
        <w:t>on</w:t>
      </w:r>
      <w:r w:rsidR="00C12A65" w:rsidRPr="006B51B1">
        <w:rPr>
          <w:rFonts w:asciiTheme="minorHAnsi" w:hAnsiTheme="minorHAnsi"/>
          <w:lang w:val="en-GB"/>
        </w:rPr>
        <w:t xml:space="preserve"> </w:t>
      </w:r>
      <w:r w:rsidR="00687240" w:rsidRPr="006B51B1">
        <w:rPr>
          <w:rFonts w:asciiTheme="minorHAnsi" w:hAnsiTheme="minorHAnsi"/>
          <w:lang w:val="en-GB"/>
        </w:rPr>
        <w:t xml:space="preserve">the top of common law principles. </w:t>
      </w:r>
      <w:r w:rsidR="000D1788">
        <w:rPr>
          <w:rFonts w:asciiTheme="minorHAnsi" w:hAnsiTheme="minorHAnsi"/>
          <w:lang w:val="en-GB"/>
        </w:rPr>
        <w:t xml:space="preserve">For </w:t>
      </w:r>
      <w:r w:rsidR="004855C2" w:rsidRPr="006B51B1">
        <w:rPr>
          <w:rFonts w:asciiTheme="minorHAnsi" w:hAnsiTheme="minorHAnsi"/>
          <w:lang w:val="en-GB"/>
        </w:rPr>
        <w:t>the common law there is little difference legally between a short tenancy and a long tenancy (both may be also known as a ‘lease’</w:t>
      </w:r>
      <w:r w:rsidR="00A87CDE" w:rsidRPr="006B51B1">
        <w:rPr>
          <w:rFonts w:asciiTheme="minorHAnsi" w:hAnsiTheme="minorHAnsi"/>
          <w:lang w:val="en-GB"/>
        </w:rPr>
        <w:t>)</w:t>
      </w:r>
      <w:r w:rsidR="004855C2" w:rsidRPr="006B51B1">
        <w:rPr>
          <w:rFonts w:asciiTheme="minorHAnsi" w:hAnsiTheme="minorHAnsi"/>
          <w:lang w:val="en-GB"/>
        </w:rPr>
        <w:t>. Any tenancy</w:t>
      </w:r>
      <w:r w:rsidR="00C73231" w:rsidRPr="006B51B1">
        <w:rPr>
          <w:rFonts w:asciiTheme="minorHAnsi" w:hAnsiTheme="minorHAnsi"/>
          <w:lang w:val="en-GB"/>
        </w:rPr>
        <w:t>,</w:t>
      </w:r>
      <w:r w:rsidR="004855C2" w:rsidRPr="006B51B1">
        <w:rPr>
          <w:rFonts w:asciiTheme="minorHAnsi" w:hAnsiTheme="minorHAnsi"/>
          <w:lang w:val="en-GB"/>
        </w:rPr>
        <w:t xml:space="preserve"> whether for 6 months or 1000 years</w:t>
      </w:r>
      <w:r w:rsidR="00C73231" w:rsidRPr="006B51B1">
        <w:rPr>
          <w:rFonts w:asciiTheme="minorHAnsi" w:hAnsiTheme="minorHAnsi"/>
          <w:lang w:val="en-GB"/>
        </w:rPr>
        <w:t>,</w:t>
      </w:r>
      <w:r w:rsidR="004855C2" w:rsidRPr="006B51B1">
        <w:rPr>
          <w:rFonts w:asciiTheme="minorHAnsi" w:hAnsiTheme="minorHAnsi"/>
          <w:lang w:val="en-GB"/>
        </w:rPr>
        <w:t xml:space="preserve"> is an interest in land.</w:t>
      </w:r>
      <w:r w:rsidR="004855C2" w:rsidRPr="006B51B1">
        <w:rPr>
          <w:rStyle w:val="FootnoteReference"/>
          <w:rFonts w:asciiTheme="minorHAnsi" w:hAnsiTheme="minorHAnsi"/>
          <w:lang w:val="en-GB"/>
        </w:rPr>
        <w:footnoteReference w:id="4"/>
      </w:r>
      <w:r w:rsidR="004855C2" w:rsidRPr="006B51B1">
        <w:rPr>
          <w:rFonts w:asciiTheme="minorHAnsi" w:hAnsiTheme="minorHAnsi"/>
          <w:lang w:val="en-GB"/>
        </w:rPr>
        <w:t xml:space="preserve"> In prac</w:t>
      </w:r>
      <w:r w:rsidR="00A87CDE" w:rsidRPr="006B51B1">
        <w:rPr>
          <w:rFonts w:asciiTheme="minorHAnsi" w:hAnsiTheme="minorHAnsi"/>
          <w:lang w:val="en-GB"/>
        </w:rPr>
        <w:t>tice and in terms of legislation</w:t>
      </w:r>
      <w:r w:rsidR="004855C2" w:rsidRPr="006B51B1">
        <w:rPr>
          <w:rFonts w:asciiTheme="minorHAnsi" w:hAnsiTheme="minorHAnsi"/>
          <w:lang w:val="en-GB"/>
        </w:rPr>
        <w:t xml:space="preserve"> there are</w:t>
      </w:r>
      <w:r w:rsidR="00A87CDE" w:rsidRPr="006B51B1">
        <w:rPr>
          <w:rFonts w:asciiTheme="minorHAnsi" w:hAnsiTheme="minorHAnsi"/>
          <w:lang w:val="en-GB"/>
        </w:rPr>
        <w:t>, however,</w:t>
      </w:r>
      <w:r w:rsidR="004855C2" w:rsidRPr="006B51B1">
        <w:rPr>
          <w:rFonts w:asciiTheme="minorHAnsi" w:hAnsiTheme="minorHAnsi"/>
          <w:lang w:val="en-GB"/>
        </w:rPr>
        <w:t xml:space="preserve"> huge differences. Long tenancies (of at least of 21 years) may be mortgaged</w:t>
      </w:r>
      <w:r w:rsidR="00E971E1" w:rsidRPr="006B51B1">
        <w:rPr>
          <w:rFonts w:asciiTheme="minorHAnsi" w:hAnsiTheme="minorHAnsi"/>
          <w:lang w:val="en-GB"/>
        </w:rPr>
        <w:t xml:space="preserve"> and the tenants have rights to enfranchise – to a freehold in the case of a house</w:t>
      </w:r>
      <w:r w:rsidR="00E971E1" w:rsidRPr="006B51B1">
        <w:rPr>
          <w:rStyle w:val="FootnoteReference"/>
          <w:rFonts w:asciiTheme="minorHAnsi" w:hAnsiTheme="minorHAnsi"/>
          <w:lang w:val="en-GB"/>
        </w:rPr>
        <w:footnoteReference w:id="5"/>
      </w:r>
      <w:r w:rsidR="00E971E1" w:rsidRPr="006B51B1">
        <w:rPr>
          <w:rFonts w:asciiTheme="minorHAnsi" w:hAnsiTheme="minorHAnsi"/>
          <w:lang w:val="en-GB"/>
        </w:rPr>
        <w:t xml:space="preserve"> or collective of the building in the flat.</w:t>
      </w:r>
      <w:r w:rsidR="00E971E1" w:rsidRPr="006B51B1">
        <w:rPr>
          <w:rStyle w:val="FootnoteReference"/>
          <w:rFonts w:asciiTheme="minorHAnsi" w:hAnsiTheme="minorHAnsi"/>
          <w:lang w:val="en-GB"/>
        </w:rPr>
        <w:footnoteReference w:id="6"/>
      </w:r>
      <w:r w:rsidR="00E971E1" w:rsidRPr="006B51B1">
        <w:rPr>
          <w:rFonts w:asciiTheme="minorHAnsi" w:hAnsiTheme="minorHAnsi"/>
          <w:lang w:val="en-GB"/>
        </w:rPr>
        <w:t xml:space="preserve"> </w:t>
      </w:r>
      <w:r w:rsidR="004855C2" w:rsidRPr="006B51B1">
        <w:rPr>
          <w:rFonts w:asciiTheme="minorHAnsi" w:hAnsiTheme="minorHAnsi"/>
          <w:lang w:val="en-GB"/>
        </w:rPr>
        <w:t xml:space="preserve">In this </w:t>
      </w:r>
      <w:r w:rsidR="00E971E1" w:rsidRPr="006B51B1">
        <w:rPr>
          <w:rFonts w:asciiTheme="minorHAnsi" w:hAnsiTheme="minorHAnsi"/>
          <w:lang w:val="en-GB"/>
        </w:rPr>
        <w:t>article we are only concerned with short leases.</w:t>
      </w:r>
    </w:p>
    <w:p w14:paraId="149B682B" w14:textId="77777777" w:rsidR="00EA35A9" w:rsidRPr="006B51B1" w:rsidRDefault="00EA35A9" w:rsidP="000435D2">
      <w:pPr>
        <w:jc w:val="both"/>
        <w:rPr>
          <w:rFonts w:asciiTheme="minorHAnsi" w:hAnsiTheme="minorHAnsi"/>
          <w:lang w:val="en-GB"/>
        </w:rPr>
      </w:pPr>
    </w:p>
    <w:p w14:paraId="28F7EFF2" w14:textId="2D811B09" w:rsidR="00EA35A9" w:rsidRPr="006B51B1" w:rsidRDefault="00EA35A9" w:rsidP="000435D2">
      <w:pPr>
        <w:jc w:val="both"/>
        <w:rPr>
          <w:rFonts w:asciiTheme="minorHAnsi" w:hAnsiTheme="minorHAnsi"/>
          <w:lang w:val="en-GB"/>
        </w:rPr>
      </w:pPr>
      <w:r w:rsidRPr="006B51B1">
        <w:rPr>
          <w:rFonts w:asciiTheme="minorHAnsi" w:hAnsiTheme="minorHAnsi"/>
          <w:lang w:val="en-GB"/>
        </w:rPr>
        <w:t>As note</w:t>
      </w:r>
      <w:r w:rsidR="00814F72" w:rsidRPr="006B51B1">
        <w:rPr>
          <w:rFonts w:asciiTheme="minorHAnsi" w:hAnsiTheme="minorHAnsi"/>
          <w:lang w:val="en-GB"/>
        </w:rPr>
        <w:t>d,</w:t>
      </w:r>
      <w:r w:rsidRPr="006B51B1">
        <w:rPr>
          <w:rFonts w:asciiTheme="minorHAnsi" w:hAnsiTheme="minorHAnsi"/>
          <w:lang w:val="en-GB"/>
        </w:rPr>
        <w:t xml:space="preserve"> a tenancy is an interest in land. English landlord and tenant law has always differentiated between tenancies and licences</w:t>
      </w:r>
      <w:r w:rsidR="00F94354" w:rsidRPr="006B51B1">
        <w:rPr>
          <w:rFonts w:asciiTheme="minorHAnsi" w:hAnsiTheme="minorHAnsi"/>
          <w:lang w:val="en-GB"/>
        </w:rPr>
        <w:t xml:space="preserve"> – the latter being</w:t>
      </w:r>
      <w:r w:rsidRPr="006B51B1">
        <w:rPr>
          <w:rFonts w:asciiTheme="minorHAnsi" w:hAnsiTheme="minorHAnsi"/>
          <w:lang w:val="en-GB"/>
        </w:rPr>
        <w:t xml:space="preserve"> purely contractual. This </w:t>
      </w:r>
      <w:r w:rsidR="00814F72" w:rsidRPr="006B51B1">
        <w:rPr>
          <w:rFonts w:asciiTheme="minorHAnsi" w:hAnsiTheme="minorHAnsi"/>
          <w:lang w:val="en-GB"/>
        </w:rPr>
        <w:t>distinction</w:t>
      </w:r>
      <w:r w:rsidRPr="006B51B1">
        <w:rPr>
          <w:rFonts w:asciiTheme="minorHAnsi" w:hAnsiTheme="minorHAnsi"/>
          <w:lang w:val="en-GB"/>
        </w:rPr>
        <w:t xml:space="preserve"> is carried into the </w:t>
      </w:r>
      <w:r w:rsidR="00814F72" w:rsidRPr="006B51B1">
        <w:rPr>
          <w:rFonts w:asciiTheme="minorHAnsi" w:hAnsiTheme="minorHAnsi"/>
          <w:lang w:val="en-GB"/>
        </w:rPr>
        <w:t xml:space="preserve">relevant </w:t>
      </w:r>
      <w:r w:rsidRPr="006B51B1">
        <w:rPr>
          <w:rFonts w:asciiTheme="minorHAnsi" w:hAnsiTheme="minorHAnsi"/>
          <w:lang w:val="en-GB"/>
        </w:rPr>
        <w:t>legislation</w:t>
      </w:r>
      <w:r w:rsidR="00073297" w:rsidRPr="006B51B1">
        <w:rPr>
          <w:rFonts w:asciiTheme="minorHAnsi" w:hAnsiTheme="minorHAnsi"/>
          <w:lang w:val="en-GB"/>
        </w:rPr>
        <w:t xml:space="preserve"> for short te</w:t>
      </w:r>
      <w:r w:rsidR="00814F72" w:rsidRPr="006B51B1">
        <w:rPr>
          <w:rFonts w:asciiTheme="minorHAnsi" w:hAnsiTheme="minorHAnsi"/>
          <w:lang w:val="en-GB"/>
        </w:rPr>
        <w:t>nan</w:t>
      </w:r>
      <w:r w:rsidR="00901336">
        <w:rPr>
          <w:rFonts w:asciiTheme="minorHAnsi" w:hAnsiTheme="minorHAnsi"/>
          <w:lang w:val="en-GB"/>
        </w:rPr>
        <w:t>cies</w:t>
      </w:r>
      <w:r w:rsidR="00814F72" w:rsidRPr="006B51B1">
        <w:rPr>
          <w:rFonts w:asciiTheme="minorHAnsi" w:hAnsiTheme="minorHAnsi"/>
          <w:lang w:val="en-GB"/>
        </w:rPr>
        <w:t>: the Housing Act 1985 and 1988</w:t>
      </w:r>
      <w:r w:rsidRPr="006B51B1">
        <w:rPr>
          <w:rFonts w:asciiTheme="minorHAnsi" w:hAnsiTheme="minorHAnsi"/>
          <w:lang w:val="en-GB"/>
        </w:rPr>
        <w:t>.</w:t>
      </w:r>
      <w:r w:rsidR="00814F72" w:rsidRPr="006B51B1">
        <w:rPr>
          <w:rStyle w:val="FootnoteReference"/>
          <w:rFonts w:asciiTheme="minorHAnsi" w:hAnsiTheme="minorHAnsi"/>
          <w:lang w:val="en-GB"/>
        </w:rPr>
        <w:footnoteReference w:id="7"/>
      </w:r>
      <w:r w:rsidR="00814F72" w:rsidRPr="006B51B1">
        <w:rPr>
          <w:rFonts w:asciiTheme="minorHAnsi" w:hAnsiTheme="minorHAnsi"/>
          <w:lang w:val="en-GB"/>
        </w:rPr>
        <w:t xml:space="preserve"> This is important for the positi</w:t>
      </w:r>
      <w:r w:rsidR="00286722">
        <w:rPr>
          <w:rFonts w:asciiTheme="minorHAnsi" w:hAnsiTheme="minorHAnsi"/>
          <w:lang w:val="en-GB"/>
        </w:rPr>
        <w:t>on of some occupiers. T</w:t>
      </w:r>
      <w:r w:rsidR="00814F72" w:rsidRPr="006B51B1">
        <w:rPr>
          <w:rFonts w:asciiTheme="minorHAnsi" w:hAnsiTheme="minorHAnsi"/>
          <w:lang w:val="en-GB"/>
        </w:rPr>
        <w:t xml:space="preserve">wo </w:t>
      </w:r>
      <w:r w:rsidR="00814F72" w:rsidRPr="006B51B1">
        <w:rPr>
          <w:rFonts w:asciiTheme="minorHAnsi" w:hAnsiTheme="minorHAnsi" w:cs="Arial"/>
          <w:lang w:val="en-GB"/>
        </w:rPr>
        <w:t xml:space="preserve">House of Lords decisions in the mid and late 1980s, </w:t>
      </w:r>
      <w:r w:rsidR="00814F72" w:rsidRPr="006B51B1">
        <w:rPr>
          <w:rFonts w:asciiTheme="minorHAnsi" w:hAnsiTheme="minorHAnsi" w:cs="Arial"/>
          <w:i/>
          <w:lang w:val="en-GB"/>
        </w:rPr>
        <w:t>Street v Mountford</w:t>
      </w:r>
      <w:r w:rsidR="00814F72" w:rsidRPr="006B51B1">
        <w:rPr>
          <w:rStyle w:val="FootnoteReference"/>
          <w:rFonts w:asciiTheme="minorHAnsi" w:hAnsiTheme="minorHAnsi" w:cs="Arial"/>
          <w:i/>
          <w:lang w:val="en-GB"/>
        </w:rPr>
        <w:footnoteReference w:id="8"/>
      </w:r>
      <w:r w:rsidR="00814F72" w:rsidRPr="006B51B1">
        <w:rPr>
          <w:rFonts w:asciiTheme="minorHAnsi" w:hAnsiTheme="minorHAnsi" w:cs="Arial"/>
          <w:lang w:val="en-GB"/>
        </w:rPr>
        <w:t xml:space="preserve"> and </w:t>
      </w:r>
      <w:r w:rsidR="00814F72" w:rsidRPr="006B51B1">
        <w:rPr>
          <w:rFonts w:asciiTheme="minorHAnsi" w:hAnsiTheme="minorHAnsi" w:cs="Arial"/>
          <w:i/>
          <w:lang w:val="en-GB"/>
        </w:rPr>
        <w:t xml:space="preserve">AG Securities v. Vaughan; </w:t>
      </w:r>
      <w:proofErr w:type="spellStart"/>
      <w:r w:rsidR="00814F72" w:rsidRPr="006B51B1">
        <w:rPr>
          <w:rFonts w:asciiTheme="minorHAnsi" w:hAnsiTheme="minorHAnsi" w:cs="Arial"/>
          <w:i/>
          <w:lang w:val="en-GB"/>
        </w:rPr>
        <w:t>Antoniades</w:t>
      </w:r>
      <w:proofErr w:type="spellEnd"/>
      <w:r w:rsidR="00814F72" w:rsidRPr="006B51B1">
        <w:rPr>
          <w:rFonts w:asciiTheme="minorHAnsi" w:hAnsiTheme="minorHAnsi" w:cs="Arial"/>
          <w:i/>
          <w:lang w:val="en-GB"/>
        </w:rPr>
        <w:t xml:space="preserve"> v Villiers</w:t>
      </w:r>
      <w:r w:rsidR="00814F72" w:rsidRPr="006B51B1">
        <w:rPr>
          <w:rStyle w:val="FootnoteReference"/>
          <w:rFonts w:asciiTheme="minorHAnsi" w:hAnsiTheme="minorHAnsi" w:cs="Arial"/>
          <w:lang w:val="en-GB"/>
        </w:rPr>
        <w:footnoteReference w:id="9"/>
      </w:r>
      <w:r w:rsidR="00286722">
        <w:rPr>
          <w:rFonts w:asciiTheme="minorHAnsi" w:hAnsiTheme="minorHAnsi" w:cs="Arial"/>
          <w:lang w:val="en-GB"/>
        </w:rPr>
        <w:t xml:space="preserve"> decided the actual documents </w:t>
      </w:r>
      <w:r w:rsidR="00814F72" w:rsidRPr="006B51B1">
        <w:rPr>
          <w:rFonts w:asciiTheme="minorHAnsi" w:hAnsiTheme="minorHAnsi" w:cs="Arial"/>
          <w:lang w:val="en-GB"/>
        </w:rPr>
        <w:t>were subordinate to the legal question, i.e. whether the three elements of a tenancy – exclusive possession, payment and term – were evidenced by the facts on the ground</w:t>
      </w:r>
      <w:r w:rsidR="00647CDF" w:rsidRPr="006B51B1">
        <w:rPr>
          <w:rFonts w:asciiTheme="minorHAnsi" w:hAnsiTheme="minorHAnsi" w:cs="Arial"/>
          <w:lang w:val="en-GB"/>
        </w:rPr>
        <w:t>.</w:t>
      </w:r>
      <w:r w:rsidR="00814F72" w:rsidRPr="006B51B1">
        <w:rPr>
          <w:rStyle w:val="FootnoteReference"/>
          <w:rFonts w:asciiTheme="minorHAnsi" w:hAnsiTheme="minorHAnsi" w:cs="Arial"/>
          <w:lang w:val="en-GB"/>
        </w:rPr>
        <w:footnoteReference w:id="10"/>
      </w:r>
      <w:r w:rsidR="00814F72" w:rsidRPr="006B51B1">
        <w:rPr>
          <w:rFonts w:asciiTheme="minorHAnsi" w:hAnsiTheme="minorHAnsi"/>
          <w:lang w:val="en-GB"/>
        </w:rPr>
        <w:t xml:space="preserve"> </w:t>
      </w:r>
      <w:r w:rsidR="00901336">
        <w:rPr>
          <w:rFonts w:asciiTheme="minorHAnsi" w:hAnsiTheme="minorHAnsi"/>
          <w:lang w:val="en-GB"/>
        </w:rPr>
        <w:t xml:space="preserve">If these elements are not present an agreement to occupy a home will not be </w:t>
      </w:r>
      <w:r w:rsidR="006038DC">
        <w:rPr>
          <w:rFonts w:asciiTheme="minorHAnsi" w:hAnsiTheme="minorHAnsi"/>
          <w:lang w:val="en-GB"/>
        </w:rPr>
        <w:t xml:space="preserve">a </w:t>
      </w:r>
      <w:r w:rsidR="00901336">
        <w:rPr>
          <w:rFonts w:asciiTheme="minorHAnsi" w:hAnsiTheme="minorHAnsi"/>
          <w:lang w:val="en-GB"/>
        </w:rPr>
        <w:t xml:space="preserve">tenancy.  </w:t>
      </w:r>
      <w:r w:rsidR="006038DC">
        <w:rPr>
          <w:rFonts w:asciiTheme="minorHAnsi" w:hAnsiTheme="minorHAnsi"/>
          <w:lang w:val="en-GB"/>
        </w:rPr>
        <w:t>Accordingly</w:t>
      </w:r>
      <w:r w:rsidR="00286722">
        <w:rPr>
          <w:rFonts w:asciiTheme="minorHAnsi" w:hAnsiTheme="minorHAnsi"/>
          <w:lang w:val="en-GB"/>
        </w:rPr>
        <w:t>,</w:t>
      </w:r>
      <w:r w:rsidR="006038DC">
        <w:rPr>
          <w:rFonts w:asciiTheme="minorHAnsi" w:hAnsiTheme="minorHAnsi"/>
          <w:lang w:val="en-GB"/>
        </w:rPr>
        <w:t xml:space="preserve"> </w:t>
      </w:r>
      <w:r w:rsidR="00073297" w:rsidRPr="006B51B1">
        <w:rPr>
          <w:rFonts w:asciiTheme="minorHAnsi" w:hAnsiTheme="minorHAnsi"/>
          <w:lang w:val="en-GB"/>
        </w:rPr>
        <w:t xml:space="preserve">agreements </w:t>
      </w:r>
      <w:r w:rsidR="006038DC">
        <w:rPr>
          <w:rFonts w:asciiTheme="minorHAnsi" w:hAnsiTheme="minorHAnsi"/>
          <w:lang w:val="en-GB"/>
        </w:rPr>
        <w:t xml:space="preserve">which do </w:t>
      </w:r>
      <w:r w:rsidR="00073297" w:rsidRPr="006B51B1">
        <w:rPr>
          <w:rFonts w:asciiTheme="minorHAnsi" w:hAnsiTheme="minorHAnsi"/>
          <w:lang w:val="en-GB"/>
        </w:rPr>
        <w:t>not provide these elements</w:t>
      </w:r>
      <w:r w:rsidR="00647CDF" w:rsidRPr="006B51B1">
        <w:rPr>
          <w:rFonts w:asciiTheme="minorHAnsi" w:hAnsiTheme="minorHAnsi"/>
          <w:lang w:val="en-GB"/>
        </w:rPr>
        <w:t xml:space="preserve">, </w:t>
      </w:r>
      <w:r w:rsidR="006038DC">
        <w:rPr>
          <w:rFonts w:asciiTheme="minorHAnsi" w:hAnsiTheme="minorHAnsi"/>
          <w:lang w:val="en-GB"/>
        </w:rPr>
        <w:t xml:space="preserve">sit outside of </w:t>
      </w:r>
      <w:r w:rsidR="00073297" w:rsidRPr="006B51B1">
        <w:rPr>
          <w:rFonts w:asciiTheme="minorHAnsi" w:hAnsiTheme="minorHAnsi"/>
          <w:lang w:val="en-GB"/>
        </w:rPr>
        <w:t xml:space="preserve">the main </w:t>
      </w:r>
      <w:r w:rsidR="00E560E1" w:rsidRPr="006B51B1">
        <w:rPr>
          <w:rFonts w:asciiTheme="minorHAnsi" w:hAnsiTheme="minorHAnsi"/>
          <w:lang w:val="en-GB"/>
        </w:rPr>
        <w:t xml:space="preserve">legal </w:t>
      </w:r>
      <w:r w:rsidR="00073297" w:rsidRPr="006B51B1">
        <w:rPr>
          <w:rFonts w:asciiTheme="minorHAnsi" w:hAnsiTheme="minorHAnsi"/>
          <w:lang w:val="en-GB"/>
        </w:rPr>
        <w:t>protections outlined below.</w:t>
      </w:r>
      <w:r w:rsidR="00EE3CAD">
        <w:rPr>
          <w:rStyle w:val="FootnoteReference"/>
          <w:rFonts w:asciiTheme="minorHAnsi" w:hAnsiTheme="minorHAnsi"/>
          <w:lang w:val="en-GB"/>
        </w:rPr>
        <w:footnoteReference w:id="11"/>
      </w:r>
      <w:r w:rsidR="00073297" w:rsidRPr="006B51B1">
        <w:rPr>
          <w:rFonts w:asciiTheme="minorHAnsi" w:hAnsiTheme="minorHAnsi"/>
          <w:lang w:val="en-GB"/>
        </w:rPr>
        <w:t xml:space="preserve"> </w:t>
      </w:r>
    </w:p>
    <w:p w14:paraId="0DBC4BA8" w14:textId="77777777" w:rsidR="00FA6B16" w:rsidRPr="006B51B1" w:rsidRDefault="00FA6B16" w:rsidP="000435D2">
      <w:pPr>
        <w:jc w:val="both"/>
        <w:rPr>
          <w:rFonts w:asciiTheme="minorHAnsi" w:hAnsiTheme="minorHAnsi"/>
          <w:lang w:val="en-GB"/>
        </w:rPr>
      </w:pPr>
    </w:p>
    <w:p w14:paraId="0BAF1313" w14:textId="72D4D631" w:rsidR="00FA6B16" w:rsidRPr="006B51B1" w:rsidRDefault="00E971E1" w:rsidP="000435D2">
      <w:pPr>
        <w:jc w:val="both"/>
        <w:rPr>
          <w:rFonts w:asciiTheme="minorHAnsi" w:hAnsiTheme="minorHAnsi"/>
          <w:lang w:val="en-GB"/>
        </w:rPr>
      </w:pPr>
      <w:r w:rsidRPr="006B51B1">
        <w:rPr>
          <w:rFonts w:asciiTheme="minorHAnsi" w:hAnsiTheme="minorHAnsi"/>
          <w:lang w:val="en-GB"/>
        </w:rPr>
        <w:t>For short term tenant</w:t>
      </w:r>
      <w:r w:rsidR="00A87CDE" w:rsidRPr="006B51B1">
        <w:rPr>
          <w:rFonts w:asciiTheme="minorHAnsi" w:hAnsiTheme="minorHAnsi"/>
          <w:lang w:val="en-GB"/>
        </w:rPr>
        <w:t>s</w:t>
      </w:r>
      <w:r w:rsidRPr="006B51B1">
        <w:rPr>
          <w:rFonts w:asciiTheme="minorHAnsi" w:hAnsiTheme="minorHAnsi"/>
          <w:lang w:val="en-GB"/>
        </w:rPr>
        <w:t xml:space="preserve"> there is both a </w:t>
      </w:r>
      <w:r w:rsidR="00FA6B16" w:rsidRPr="006B51B1">
        <w:rPr>
          <w:rFonts w:asciiTheme="minorHAnsi" w:hAnsiTheme="minorHAnsi"/>
          <w:lang w:val="en-GB"/>
        </w:rPr>
        <w:t>private rented market and a social rented</w:t>
      </w:r>
      <w:r w:rsidR="0009243E" w:rsidRPr="006B51B1">
        <w:rPr>
          <w:rStyle w:val="FootnoteReference"/>
          <w:rFonts w:asciiTheme="minorHAnsi" w:hAnsiTheme="minorHAnsi"/>
          <w:lang w:val="en-GB"/>
        </w:rPr>
        <w:footnoteReference w:id="12"/>
      </w:r>
      <w:r w:rsidR="00FA6B16" w:rsidRPr="006B51B1">
        <w:rPr>
          <w:rFonts w:asciiTheme="minorHAnsi" w:hAnsiTheme="minorHAnsi"/>
          <w:lang w:val="en-GB"/>
        </w:rPr>
        <w:t xml:space="preserve"> </w:t>
      </w:r>
      <w:r w:rsidR="00286722">
        <w:rPr>
          <w:rFonts w:asciiTheme="minorHAnsi" w:hAnsiTheme="minorHAnsi"/>
          <w:lang w:val="en-GB"/>
        </w:rPr>
        <w:t>‘</w:t>
      </w:r>
      <w:r w:rsidR="00FA6B16" w:rsidRPr="006B51B1">
        <w:rPr>
          <w:rFonts w:asciiTheme="minorHAnsi" w:hAnsiTheme="minorHAnsi"/>
          <w:lang w:val="en-GB"/>
        </w:rPr>
        <w:t>market</w:t>
      </w:r>
      <w:r w:rsidR="00286722">
        <w:rPr>
          <w:rFonts w:asciiTheme="minorHAnsi" w:hAnsiTheme="minorHAnsi"/>
          <w:lang w:val="en-GB"/>
        </w:rPr>
        <w:t>’</w:t>
      </w:r>
      <w:r w:rsidRPr="006B51B1">
        <w:rPr>
          <w:rFonts w:asciiTheme="minorHAnsi" w:hAnsiTheme="minorHAnsi"/>
          <w:lang w:val="en-GB"/>
        </w:rPr>
        <w:t>, with different legislation</w:t>
      </w:r>
      <w:r w:rsidR="00EE3CAD">
        <w:rPr>
          <w:rFonts w:asciiTheme="minorHAnsi" w:hAnsiTheme="minorHAnsi"/>
          <w:lang w:val="en-GB"/>
        </w:rPr>
        <w:t xml:space="preserve">. </w:t>
      </w:r>
      <w:r w:rsidR="00EA35A9" w:rsidRPr="006B51B1">
        <w:rPr>
          <w:rFonts w:asciiTheme="minorHAnsi" w:hAnsiTheme="minorHAnsi"/>
          <w:lang w:val="en-GB"/>
        </w:rPr>
        <w:t>Private renting</w:t>
      </w:r>
      <w:r w:rsidR="004A4ED5" w:rsidRPr="006B51B1">
        <w:rPr>
          <w:rFonts w:asciiTheme="minorHAnsi" w:hAnsiTheme="minorHAnsi"/>
          <w:lang w:val="en-GB"/>
        </w:rPr>
        <w:t xml:space="preserve"> in England</w:t>
      </w:r>
      <w:r w:rsidR="00EA35A9" w:rsidRPr="006B51B1">
        <w:rPr>
          <w:rFonts w:asciiTheme="minorHAnsi" w:hAnsiTheme="minorHAnsi"/>
          <w:lang w:val="en-GB"/>
        </w:rPr>
        <w:t xml:space="preserve"> has </w:t>
      </w:r>
      <w:r w:rsidR="00607CA1" w:rsidRPr="006B51B1">
        <w:rPr>
          <w:rFonts w:asciiTheme="minorHAnsi" w:hAnsiTheme="minorHAnsi"/>
          <w:lang w:val="en-GB"/>
        </w:rPr>
        <w:t xml:space="preserve">nearly </w:t>
      </w:r>
      <w:r w:rsidR="005A3DB3" w:rsidRPr="006B51B1">
        <w:rPr>
          <w:rFonts w:asciiTheme="minorHAnsi" w:hAnsiTheme="minorHAnsi"/>
          <w:lang w:val="en-GB"/>
        </w:rPr>
        <w:t>doubled</w:t>
      </w:r>
      <w:r w:rsidR="00EA35A9" w:rsidRPr="006B51B1">
        <w:rPr>
          <w:rFonts w:asciiTheme="minorHAnsi" w:hAnsiTheme="minorHAnsi"/>
          <w:lang w:val="en-GB"/>
        </w:rPr>
        <w:t xml:space="preserve"> </w:t>
      </w:r>
      <w:r w:rsidR="00A903E2" w:rsidRPr="006B51B1">
        <w:rPr>
          <w:rFonts w:asciiTheme="minorHAnsi" w:hAnsiTheme="minorHAnsi"/>
          <w:lang w:val="en-GB"/>
        </w:rPr>
        <w:t>from</w:t>
      </w:r>
      <w:r w:rsidR="009A60D7" w:rsidRPr="006B51B1">
        <w:rPr>
          <w:rFonts w:asciiTheme="minorHAnsi" w:hAnsiTheme="minorHAnsi"/>
          <w:lang w:val="en-GB"/>
        </w:rPr>
        <w:t xml:space="preserve"> </w:t>
      </w:r>
      <w:r w:rsidR="00995505" w:rsidRPr="006B51B1">
        <w:rPr>
          <w:rFonts w:asciiTheme="minorHAnsi" w:hAnsiTheme="minorHAnsi"/>
          <w:lang w:val="en-GB"/>
        </w:rPr>
        <w:t>11</w:t>
      </w:r>
      <w:r w:rsidR="009A60D7" w:rsidRPr="006B51B1">
        <w:rPr>
          <w:rFonts w:asciiTheme="minorHAnsi" w:hAnsiTheme="minorHAnsi"/>
          <w:lang w:val="en-GB"/>
        </w:rPr>
        <w:t xml:space="preserve">% of </w:t>
      </w:r>
      <w:r w:rsidR="009A60D7" w:rsidRPr="006B51B1">
        <w:rPr>
          <w:rFonts w:asciiTheme="minorHAnsi" w:hAnsiTheme="minorHAnsi"/>
          <w:lang w:val="en-GB"/>
        </w:rPr>
        <w:lastRenderedPageBreak/>
        <w:t>households in the 198</w:t>
      </w:r>
      <w:r w:rsidR="00C76610" w:rsidRPr="006B51B1">
        <w:rPr>
          <w:rFonts w:asciiTheme="minorHAnsi" w:hAnsiTheme="minorHAnsi"/>
          <w:lang w:val="en-GB"/>
        </w:rPr>
        <w:t>1</w:t>
      </w:r>
      <w:r w:rsidR="00C76610" w:rsidRPr="006B51B1">
        <w:rPr>
          <w:rStyle w:val="FootnoteReference"/>
          <w:rFonts w:asciiTheme="minorHAnsi" w:hAnsiTheme="minorHAnsi"/>
          <w:lang w:val="en-GB"/>
        </w:rPr>
        <w:footnoteReference w:id="13"/>
      </w:r>
      <w:r w:rsidR="009A60D7" w:rsidRPr="006B51B1">
        <w:rPr>
          <w:rFonts w:asciiTheme="minorHAnsi" w:hAnsiTheme="minorHAnsi"/>
          <w:lang w:val="en-GB"/>
        </w:rPr>
        <w:t xml:space="preserve"> to 2</w:t>
      </w:r>
      <w:r w:rsidR="00F3324D" w:rsidRPr="006B51B1">
        <w:rPr>
          <w:rFonts w:asciiTheme="minorHAnsi" w:hAnsiTheme="minorHAnsi"/>
          <w:lang w:val="en-GB"/>
        </w:rPr>
        <w:t>0</w:t>
      </w:r>
      <w:r w:rsidR="009A60D7" w:rsidRPr="006B51B1">
        <w:rPr>
          <w:rFonts w:asciiTheme="minorHAnsi" w:hAnsiTheme="minorHAnsi"/>
          <w:lang w:val="en-GB"/>
        </w:rPr>
        <w:t>%</w:t>
      </w:r>
      <w:r w:rsidR="00F3324D" w:rsidRPr="006B51B1">
        <w:rPr>
          <w:rFonts w:asciiTheme="minorHAnsi" w:hAnsiTheme="minorHAnsi"/>
          <w:lang w:val="en-GB"/>
        </w:rPr>
        <w:t xml:space="preserve"> </w:t>
      </w:r>
      <w:r w:rsidR="009A60D7" w:rsidRPr="006B51B1">
        <w:rPr>
          <w:rFonts w:asciiTheme="minorHAnsi" w:hAnsiTheme="minorHAnsi"/>
          <w:lang w:val="en-GB"/>
        </w:rPr>
        <w:t xml:space="preserve">in </w:t>
      </w:r>
      <w:r w:rsidR="00F3324D" w:rsidRPr="006B51B1">
        <w:rPr>
          <w:rFonts w:asciiTheme="minorHAnsi" w:hAnsiTheme="minorHAnsi"/>
          <w:lang w:val="en-GB"/>
        </w:rPr>
        <w:t>2015/</w:t>
      </w:r>
      <w:r w:rsidR="009A60D7" w:rsidRPr="006B51B1">
        <w:rPr>
          <w:rFonts w:asciiTheme="minorHAnsi" w:hAnsiTheme="minorHAnsi"/>
          <w:lang w:val="en-GB"/>
        </w:rPr>
        <w:t>2016.</w:t>
      </w:r>
      <w:r w:rsidR="009A60D7" w:rsidRPr="006B51B1">
        <w:rPr>
          <w:rStyle w:val="FootnoteReference"/>
          <w:rFonts w:asciiTheme="minorHAnsi" w:hAnsiTheme="minorHAnsi"/>
          <w:lang w:val="en-GB"/>
        </w:rPr>
        <w:footnoteReference w:id="14"/>
      </w:r>
      <w:r w:rsidR="00A87CDE" w:rsidRPr="006B51B1">
        <w:rPr>
          <w:rFonts w:asciiTheme="minorHAnsi" w:hAnsiTheme="minorHAnsi"/>
          <w:lang w:val="en-GB"/>
        </w:rPr>
        <w:t xml:space="preserve"> Conversely, social renting</w:t>
      </w:r>
      <w:r w:rsidR="009A60D7" w:rsidRPr="006B51B1">
        <w:rPr>
          <w:rFonts w:asciiTheme="minorHAnsi" w:hAnsiTheme="minorHAnsi"/>
          <w:lang w:val="en-GB"/>
        </w:rPr>
        <w:t xml:space="preserve"> has cont</w:t>
      </w:r>
      <w:r w:rsidR="00F3324D" w:rsidRPr="006B51B1">
        <w:rPr>
          <w:rFonts w:asciiTheme="minorHAnsi" w:hAnsiTheme="minorHAnsi"/>
          <w:lang w:val="en-GB"/>
        </w:rPr>
        <w:t>r</w:t>
      </w:r>
      <w:r w:rsidR="009A60D7" w:rsidRPr="006B51B1">
        <w:rPr>
          <w:rFonts w:asciiTheme="minorHAnsi" w:hAnsiTheme="minorHAnsi"/>
          <w:lang w:val="en-GB"/>
        </w:rPr>
        <w:t>acted in the same period fr</w:t>
      </w:r>
      <w:r w:rsidR="00F3324D" w:rsidRPr="006B51B1">
        <w:rPr>
          <w:rFonts w:asciiTheme="minorHAnsi" w:hAnsiTheme="minorHAnsi"/>
          <w:lang w:val="en-GB"/>
        </w:rPr>
        <w:t>om</w:t>
      </w:r>
      <w:r w:rsidR="009A60D7" w:rsidRPr="006B51B1">
        <w:rPr>
          <w:rFonts w:asciiTheme="minorHAnsi" w:hAnsiTheme="minorHAnsi"/>
          <w:lang w:val="en-GB"/>
        </w:rPr>
        <w:t xml:space="preserve"> </w:t>
      </w:r>
      <w:r w:rsidR="004A4ED5" w:rsidRPr="006B51B1">
        <w:rPr>
          <w:rFonts w:asciiTheme="minorHAnsi" w:hAnsiTheme="minorHAnsi"/>
          <w:lang w:val="en-GB"/>
        </w:rPr>
        <w:t>32</w:t>
      </w:r>
      <w:r w:rsidR="009A60D7" w:rsidRPr="006B51B1">
        <w:rPr>
          <w:rFonts w:asciiTheme="minorHAnsi" w:hAnsiTheme="minorHAnsi"/>
          <w:lang w:val="en-GB"/>
        </w:rPr>
        <w:t xml:space="preserve">% </w:t>
      </w:r>
      <w:r w:rsidR="00956292">
        <w:rPr>
          <w:rFonts w:asciiTheme="minorHAnsi" w:hAnsiTheme="minorHAnsi"/>
          <w:lang w:val="en-GB"/>
        </w:rPr>
        <w:t xml:space="preserve">households </w:t>
      </w:r>
      <w:r w:rsidR="009A60D7" w:rsidRPr="006B51B1">
        <w:rPr>
          <w:rFonts w:asciiTheme="minorHAnsi" w:hAnsiTheme="minorHAnsi"/>
          <w:lang w:val="en-GB"/>
        </w:rPr>
        <w:t>in 198</w:t>
      </w:r>
      <w:r w:rsidR="004A4ED5" w:rsidRPr="006B51B1">
        <w:rPr>
          <w:rFonts w:asciiTheme="minorHAnsi" w:hAnsiTheme="minorHAnsi"/>
          <w:lang w:val="en-GB"/>
        </w:rPr>
        <w:t>1</w:t>
      </w:r>
      <w:r w:rsidR="00C76610" w:rsidRPr="006B51B1">
        <w:rPr>
          <w:rStyle w:val="FootnoteReference"/>
          <w:rFonts w:asciiTheme="minorHAnsi" w:hAnsiTheme="minorHAnsi"/>
          <w:lang w:val="en-GB"/>
        </w:rPr>
        <w:footnoteReference w:id="15"/>
      </w:r>
      <w:r w:rsidR="009A60D7" w:rsidRPr="006B51B1">
        <w:rPr>
          <w:rFonts w:asciiTheme="minorHAnsi" w:hAnsiTheme="minorHAnsi"/>
          <w:lang w:val="en-GB"/>
        </w:rPr>
        <w:t xml:space="preserve"> to </w:t>
      </w:r>
      <w:r w:rsidR="00F3324D" w:rsidRPr="006B51B1">
        <w:rPr>
          <w:rFonts w:asciiTheme="minorHAnsi" w:hAnsiTheme="minorHAnsi"/>
          <w:lang w:val="en-GB"/>
        </w:rPr>
        <w:t>17</w:t>
      </w:r>
      <w:r w:rsidR="009A60D7" w:rsidRPr="006B51B1">
        <w:rPr>
          <w:rFonts w:asciiTheme="minorHAnsi" w:hAnsiTheme="minorHAnsi"/>
          <w:lang w:val="en-GB"/>
        </w:rPr>
        <w:t>%</w:t>
      </w:r>
      <w:r w:rsidR="00B9290A" w:rsidRPr="006B51B1">
        <w:rPr>
          <w:rFonts w:asciiTheme="minorHAnsi" w:hAnsiTheme="minorHAnsi"/>
          <w:lang w:val="en-GB"/>
        </w:rPr>
        <w:t xml:space="preserve"> </w:t>
      </w:r>
      <w:r w:rsidR="009A60D7" w:rsidRPr="006B51B1">
        <w:rPr>
          <w:rFonts w:asciiTheme="minorHAnsi" w:hAnsiTheme="minorHAnsi"/>
          <w:lang w:val="en-GB"/>
        </w:rPr>
        <w:t>in 2016.</w:t>
      </w:r>
      <w:r w:rsidR="009A60D7" w:rsidRPr="006B51B1">
        <w:rPr>
          <w:rStyle w:val="FootnoteReference"/>
          <w:rFonts w:asciiTheme="minorHAnsi" w:hAnsiTheme="minorHAnsi"/>
          <w:lang w:val="en-GB"/>
        </w:rPr>
        <w:footnoteReference w:id="16"/>
      </w:r>
      <w:r w:rsidR="009A60D7" w:rsidRPr="006B51B1">
        <w:rPr>
          <w:rFonts w:asciiTheme="minorHAnsi" w:hAnsiTheme="minorHAnsi"/>
          <w:lang w:val="en-GB"/>
        </w:rPr>
        <w:t xml:space="preserve"> </w:t>
      </w:r>
      <w:r w:rsidR="00016C31">
        <w:rPr>
          <w:rFonts w:asciiTheme="minorHAnsi" w:hAnsiTheme="minorHAnsi"/>
          <w:lang w:val="en-GB"/>
        </w:rPr>
        <w:t>At the same time, there have</w:t>
      </w:r>
      <w:r w:rsidR="00A87CDE" w:rsidRPr="006B51B1">
        <w:rPr>
          <w:rFonts w:asciiTheme="minorHAnsi" w:hAnsiTheme="minorHAnsi"/>
          <w:lang w:val="en-GB"/>
        </w:rPr>
        <w:t xml:space="preserve"> been two related changes to the </w:t>
      </w:r>
      <w:r w:rsidR="009A60D7" w:rsidRPr="006B51B1">
        <w:rPr>
          <w:rFonts w:asciiTheme="minorHAnsi" w:hAnsiTheme="minorHAnsi"/>
          <w:lang w:val="en-GB"/>
        </w:rPr>
        <w:t>social sector</w:t>
      </w:r>
      <w:r w:rsidR="00A87CDE" w:rsidRPr="006B51B1">
        <w:rPr>
          <w:rFonts w:asciiTheme="minorHAnsi" w:hAnsiTheme="minorHAnsi"/>
          <w:lang w:val="en-GB"/>
        </w:rPr>
        <w:t xml:space="preserve">. </w:t>
      </w:r>
      <w:r w:rsidR="009A60D7" w:rsidRPr="006B51B1">
        <w:rPr>
          <w:rFonts w:asciiTheme="minorHAnsi" w:hAnsiTheme="minorHAnsi"/>
          <w:lang w:val="en-GB"/>
        </w:rPr>
        <w:t xml:space="preserve">In the 1980s the </w:t>
      </w:r>
      <w:r w:rsidR="0009243E" w:rsidRPr="006B51B1">
        <w:rPr>
          <w:rFonts w:asciiTheme="minorHAnsi" w:hAnsiTheme="minorHAnsi"/>
          <w:lang w:val="en-GB"/>
        </w:rPr>
        <w:t>overwhelming majority of social tenancies were provided by local councils under the Housing Act 1980</w:t>
      </w:r>
      <w:r w:rsidR="00CB2C0E" w:rsidRPr="006B51B1">
        <w:rPr>
          <w:rFonts w:asciiTheme="minorHAnsi" w:hAnsiTheme="minorHAnsi"/>
          <w:lang w:val="en-GB"/>
        </w:rPr>
        <w:t xml:space="preserve"> ‘secure’ tenancies</w:t>
      </w:r>
      <w:r w:rsidR="0009243E" w:rsidRPr="006B51B1">
        <w:rPr>
          <w:rFonts w:asciiTheme="minorHAnsi" w:hAnsiTheme="minorHAnsi"/>
          <w:lang w:val="en-GB"/>
        </w:rPr>
        <w:t>.</w:t>
      </w:r>
      <w:r w:rsidR="0009243E" w:rsidRPr="006B51B1">
        <w:rPr>
          <w:rStyle w:val="FootnoteReference"/>
          <w:rFonts w:asciiTheme="minorHAnsi" w:hAnsiTheme="minorHAnsi"/>
          <w:lang w:val="en-GB"/>
        </w:rPr>
        <w:footnoteReference w:id="17"/>
      </w:r>
      <w:r w:rsidR="009A60D7" w:rsidRPr="006B51B1">
        <w:rPr>
          <w:rFonts w:asciiTheme="minorHAnsi" w:hAnsiTheme="minorHAnsi"/>
          <w:lang w:val="en-GB"/>
        </w:rPr>
        <w:t xml:space="preserve"> </w:t>
      </w:r>
      <w:r w:rsidR="0009243E" w:rsidRPr="006B51B1">
        <w:rPr>
          <w:rFonts w:asciiTheme="minorHAnsi" w:hAnsiTheme="minorHAnsi"/>
          <w:lang w:val="en-GB"/>
        </w:rPr>
        <w:t>There was also a small non-profit sector (generally referred to as ‘housing associations’</w:t>
      </w:r>
      <w:r w:rsidR="00E560E1" w:rsidRPr="006B51B1">
        <w:rPr>
          <w:rStyle w:val="FootnoteReference"/>
          <w:rFonts w:asciiTheme="minorHAnsi" w:hAnsiTheme="minorHAnsi"/>
          <w:lang w:val="en-GB"/>
        </w:rPr>
        <w:footnoteReference w:id="18"/>
      </w:r>
      <w:r w:rsidR="0009243E" w:rsidRPr="006B51B1">
        <w:rPr>
          <w:rFonts w:asciiTheme="minorHAnsi" w:hAnsiTheme="minorHAnsi"/>
          <w:lang w:val="en-GB"/>
        </w:rPr>
        <w:t>), whose tenants were</w:t>
      </w:r>
      <w:r w:rsidR="00EC5A1E" w:rsidRPr="006B51B1">
        <w:rPr>
          <w:rFonts w:asciiTheme="minorHAnsi" w:hAnsiTheme="minorHAnsi"/>
          <w:lang w:val="en-GB"/>
        </w:rPr>
        <w:t xml:space="preserve"> also covered under the 1980</w:t>
      </w:r>
      <w:r w:rsidR="00607CA1" w:rsidRPr="006B51B1">
        <w:rPr>
          <w:rFonts w:asciiTheme="minorHAnsi" w:hAnsiTheme="minorHAnsi"/>
          <w:lang w:val="en-GB"/>
        </w:rPr>
        <w:t xml:space="preserve"> Act</w:t>
      </w:r>
      <w:r w:rsidR="00EC5A1E" w:rsidRPr="006B51B1">
        <w:rPr>
          <w:rFonts w:asciiTheme="minorHAnsi" w:hAnsiTheme="minorHAnsi"/>
          <w:lang w:val="en-GB"/>
        </w:rPr>
        <w:t>. By</w:t>
      </w:r>
      <w:r w:rsidR="0009243E" w:rsidRPr="006B51B1">
        <w:rPr>
          <w:rFonts w:asciiTheme="minorHAnsi" w:hAnsiTheme="minorHAnsi"/>
          <w:lang w:val="en-GB"/>
        </w:rPr>
        <w:t xml:space="preserve"> </w:t>
      </w:r>
      <w:r w:rsidR="00CB2C0E" w:rsidRPr="006B51B1">
        <w:rPr>
          <w:rFonts w:asciiTheme="minorHAnsi" w:hAnsiTheme="minorHAnsi"/>
          <w:lang w:val="en-GB"/>
        </w:rPr>
        <w:t xml:space="preserve">the Housing Act </w:t>
      </w:r>
      <w:r w:rsidR="0009243E" w:rsidRPr="006B51B1">
        <w:rPr>
          <w:rFonts w:asciiTheme="minorHAnsi" w:hAnsiTheme="minorHAnsi"/>
          <w:lang w:val="en-GB"/>
        </w:rPr>
        <w:t xml:space="preserve">1988, </w:t>
      </w:r>
      <w:r w:rsidR="00CB2C0E" w:rsidRPr="006B51B1">
        <w:rPr>
          <w:rFonts w:asciiTheme="minorHAnsi" w:hAnsiTheme="minorHAnsi"/>
          <w:lang w:val="en-GB"/>
        </w:rPr>
        <w:t xml:space="preserve">however, housing associations </w:t>
      </w:r>
      <w:r w:rsidR="00016C31">
        <w:rPr>
          <w:rFonts w:asciiTheme="minorHAnsi" w:hAnsiTheme="minorHAnsi"/>
          <w:lang w:val="en-GB"/>
        </w:rPr>
        <w:t>were no longer able create</w:t>
      </w:r>
      <w:r w:rsidR="00CB2C0E" w:rsidRPr="006B51B1">
        <w:rPr>
          <w:rFonts w:asciiTheme="minorHAnsi" w:hAnsiTheme="minorHAnsi"/>
          <w:lang w:val="en-GB"/>
        </w:rPr>
        <w:t xml:space="preserve"> </w:t>
      </w:r>
      <w:r w:rsidR="00A87CDE" w:rsidRPr="006B51B1">
        <w:rPr>
          <w:rFonts w:asciiTheme="minorHAnsi" w:hAnsiTheme="minorHAnsi"/>
          <w:lang w:val="en-GB"/>
        </w:rPr>
        <w:t xml:space="preserve">secure tenancies. Instead the new framework for private </w:t>
      </w:r>
      <w:r w:rsidR="00EC5A1E" w:rsidRPr="006B51B1">
        <w:rPr>
          <w:rFonts w:asciiTheme="minorHAnsi" w:hAnsiTheme="minorHAnsi"/>
          <w:lang w:val="en-GB"/>
        </w:rPr>
        <w:t>tenants was applied</w:t>
      </w:r>
      <w:r w:rsidR="00B8795D">
        <w:rPr>
          <w:rFonts w:asciiTheme="minorHAnsi" w:hAnsiTheme="minorHAnsi"/>
          <w:lang w:val="en-GB"/>
        </w:rPr>
        <w:t xml:space="preserve"> to them. I</w:t>
      </w:r>
      <w:r w:rsidR="00EC5A1E" w:rsidRPr="006B51B1">
        <w:rPr>
          <w:rFonts w:asciiTheme="minorHAnsi" w:hAnsiTheme="minorHAnsi"/>
          <w:lang w:val="en-GB"/>
        </w:rPr>
        <w:t xml:space="preserve">n the following decades, government policy has been </w:t>
      </w:r>
      <w:r w:rsidR="00172320">
        <w:rPr>
          <w:rFonts w:asciiTheme="minorHAnsi" w:hAnsiTheme="minorHAnsi"/>
          <w:lang w:val="en-GB"/>
        </w:rPr>
        <w:t>to encourage the</w:t>
      </w:r>
      <w:r w:rsidR="00EC5A1E" w:rsidRPr="006B51B1">
        <w:rPr>
          <w:rFonts w:asciiTheme="minorHAnsi" w:hAnsiTheme="minorHAnsi"/>
          <w:lang w:val="en-GB"/>
        </w:rPr>
        <w:t xml:space="preserve"> transfer </w:t>
      </w:r>
      <w:r w:rsidR="00172320">
        <w:rPr>
          <w:rFonts w:asciiTheme="minorHAnsi" w:hAnsiTheme="minorHAnsi"/>
          <w:lang w:val="en-GB"/>
        </w:rPr>
        <w:t xml:space="preserve">of </w:t>
      </w:r>
      <w:r w:rsidR="00EC5A1E" w:rsidRPr="006B51B1">
        <w:rPr>
          <w:rFonts w:asciiTheme="minorHAnsi" w:hAnsiTheme="minorHAnsi"/>
          <w:lang w:val="en-GB"/>
        </w:rPr>
        <w:t xml:space="preserve">council-owned housing to housing associations and to fund any new building through associations. </w:t>
      </w:r>
      <w:r w:rsidR="00016C31">
        <w:rPr>
          <w:rFonts w:asciiTheme="minorHAnsi" w:hAnsiTheme="minorHAnsi"/>
          <w:lang w:val="en-GB"/>
        </w:rPr>
        <w:t>So while in 1980 local a</w:t>
      </w:r>
      <w:r w:rsidR="00C26778" w:rsidRPr="006B51B1">
        <w:rPr>
          <w:rFonts w:asciiTheme="minorHAnsi" w:hAnsiTheme="minorHAnsi"/>
          <w:lang w:val="en-GB"/>
        </w:rPr>
        <w:t xml:space="preserve">uthorities dominated the provision of social housing – accounting </w:t>
      </w:r>
      <w:r w:rsidR="000F6A09" w:rsidRPr="006B51B1">
        <w:rPr>
          <w:rFonts w:asciiTheme="minorHAnsi" w:hAnsiTheme="minorHAnsi"/>
          <w:lang w:val="en-GB"/>
        </w:rPr>
        <w:t>for 6.7 million units and 94</w:t>
      </w:r>
      <w:r w:rsidR="00C26778" w:rsidRPr="006B51B1">
        <w:rPr>
          <w:rFonts w:asciiTheme="minorHAnsi" w:hAnsiTheme="minorHAnsi"/>
          <w:lang w:val="en-GB"/>
        </w:rPr>
        <w:t>% of social rented stock</w:t>
      </w:r>
      <w:r w:rsidR="000F6A09" w:rsidRPr="006B51B1">
        <w:rPr>
          <w:rStyle w:val="FootnoteReference"/>
          <w:rFonts w:asciiTheme="minorHAnsi" w:hAnsiTheme="minorHAnsi"/>
          <w:lang w:val="en-GB"/>
        </w:rPr>
        <w:footnoteReference w:id="19"/>
      </w:r>
      <w:r w:rsidR="00C26778" w:rsidRPr="006B51B1">
        <w:rPr>
          <w:rFonts w:asciiTheme="minorHAnsi" w:hAnsiTheme="minorHAnsi"/>
          <w:lang w:val="en-GB"/>
        </w:rPr>
        <w:t xml:space="preserve"> </w:t>
      </w:r>
      <w:r w:rsidR="001E662A" w:rsidRPr="006B51B1">
        <w:rPr>
          <w:rFonts w:asciiTheme="minorHAnsi" w:hAnsiTheme="minorHAnsi"/>
          <w:lang w:val="en-GB"/>
        </w:rPr>
        <w:t>–</w:t>
      </w:r>
      <w:r w:rsidR="00C26778" w:rsidRPr="006B51B1">
        <w:rPr>
          <w:rFonts w:asciiTheme="minorHAnsi" w:hAnsiTheme="minorHAnsi"/>
          <w:lang w:val="en-GB"/>
        </w:rPr>
        <w:t xml:space="preserve"> </w:t>
      </w:r>
      <w:r w:rsidR="001E662A" w:rsidRPr="006B51B1">
        <w:rPr>
          <w:rFonts w:asciiTheme="minorHAnsi" w:hAnsiTheme="minorHAnsi"/>
          <w:lang w:val="en-GB"/>
        </w:rPr>
        <w:t>in 2015, this has shr</w:t>
      </w:r>
      <w:r w:rsidR="00AC5D2D" w:rsidRPr="006B51B1">
        <w:rPr>
          <w:rFonts w:asciiTheme="minorHAnsi" w:hAnsiTheme="minorHAnsi"/>
          <w:lang w:val="en-GB"/>
        </w:rPr>
        <w:t>unk to 1.7 million dwellings, comprising 41% of social rented stock.</w:t>
      </w:r>
      <w:r w:rsidR="00AC5D2D" w:rsidRPr="006B51B1">
        <w:rPr>
          <w:rStyle w:val="FootnoteReference"/>
          <w:rFonts w:asciiTheme="minorHAnsi" w:hAnsiTheme="minorHAnsi"/>
          <w:lang w:val="en-GB"/>
        </w:rPr>
        <w:footnoteReference w:id="20"/>
      </w:r>
      <w:r w:rsidR="00AC5D2D" w:rsidRPr="006B51B1">
        <w:rPr>
          <w:rFonts w:asciiTheme="minorHAnsi" w:hAnsiTheme="minorHAnsi"/>
          <w:lang w:val="en-GB"/>
        </w:rPr>
        <w:t xml:space="preserve"> </w:t>
      </w:r>
    </w:p>
    <w:p w14:paraId="0838A185" w14:textId="77777777" w:rsidR="00EC5A1E" w:rsidRPr="006B51B1" w:rsidRDefault="00EC5A1E" w:rsidP="000435D2">
      <w:pPr>
        <w:jc w:val="both"/>
        <w:rPr>
          <w:rFonts w:asciiTheme="minorHAnsi" w:hAnsiTheme="minorHAnsi"/>
          <w:lang w:val="en-GB"/>
        </w:rPr>
      </w:pPr>
    </w:p>
    <w:p w14:paraId="58964A24" w14:textId="516DEB65" w:rsidR="00EC5A1E" w:rsidRPr="006B51B1" w:rsidRDefault="00EC5A1E" w:rsidP="000435D2">
      <w:pPr>
        <w:jc w:val="both"/>
        <w:rPr>
          <w:rFonts w:asciiTheme="minorHAnsi" w:hAnsiTheme="minorHAnsi"/>
          <w:lang w:val="en-GB"/>
        </w:rPr>
      </w:pPr>
      <w:r w:rsidRPr="006B51B1">
        <w:rPr>
          <w:rFonts w:asciiTheme="minorHAnsi" w:hAnsiTheme="minorHAnsi"/>
          <w:lang w:val="en-GB"/>
        </w:rPr>
        <w:t>Having set the context for the rented sector</w:t>
      </w:r>
      <w:r w:rsidR="00896D06" w:rsidRPr="006B51B1">
        <w:rPr>
          <w:rFonts w:asciiTheme="minorHAnsi" w:hAnsiTheme="minorHAnsi"/>
          <w:lang w:val="en-GB"/>
        </w:rPr>
        <w:t xml:space="preserve"> in England</w:t>
      </w:r>
      <w:r w:rsidRPr="006B51B1">
        <w:rPr>
          <w:rFonts w:asciiTheme="minorHAnsi" w:hAnsiTheme="minorHAnsi"/>
          <w:lang w:val="en-GB"/>
        </w:rPr>
        <w:t xml:space="preserve">, this article is structured </w:t>
      </w:r>
      <w:r w:rsidR="006C080D" w:rsidRPr="006B51B1">
        <w:rPr>
          <w:rFonts w:asciiTheme="minorHAnsi" w:hAnsiTheme="minorHAnsi"/>
          <w:lang w:val="en-GB"/>
        </w:rPr>
        <w:t>in five</w:t>
      </w:r>
      <w:r w:rsidRPr="006B51B1">
        <w:rPr>
          <w:rFonts w:asciiTheme="minorHAnsi" w:hAnsiTheme="minorHAnsi"/>
          <w:lang w:val="en-GB"/>
        </w:rPr>
        <w:t xml:space="preserve"> parts. </w:t>
      </w:r>
      <w:r w:rsidR="00D53A83" w:rsidRPr="006B51B1">
        <w:rPr>
          <w:rFonts w:asciiTheme="minorHAnsi" w:hAnsiTheme="minorHAnsi"/>
          <w:lang w:val="en-GB"/>
        </w:rPr>
        <w:t xml:space="preserve">The structure is based on Chapter we have recently written on the legal determinants of housing </w:t>
      </w:r>
      <w:proofErr w:type="spellStart"/>
      <w:r w:rsidR="00D53A83" w:rsidRPr="006B51B1">
        <w:rPr>
          <w:rFonts w:asciiTheme="minorHAnsi" w:hAnsiTheme="minorHAnsi"/>
          <w:lang w:val="en-GB"/>
        </w:rPr>
        <w:t>precarity</w:t>
      </w:r>
      <w:proofErr w:type="spellEnd"/>
      <w:r w:rsidR="00D53A83" w:rsidRPr="006B51B1">
        <w:rPr>
          <w:rFonts w:asciiTheme="minorHAnsi" w:hAnsiTheme="minorHAnsi"/>
          <w:lang w:val="en-GB"/>
        </w:rPr>
        <w:t>.</w:t>
      </w:r>
      <w:r w:rsidR="00D53A83" w:rsidRPr="006B51B1">
        <w:rPr>
          <w:rStyle w:val="FootnoteReference"/>
          <w:rFonts w:asciiTheme="minorHAnsi" w:hAnsiTheme="minorHAnsi"/>
          <w:lang w:val="en-GB"/>
        </w:rPr>
        <w:footnoteReference w:id="21"/>
      </w:r>
      <w:r w:rsidR="00D53A83" w:rsidRPr="006B51B1">
        <w:rPr>
          <w:rFonts w:asciiTheme="minorHAnsi" w:hAnsiTheme="minorHAnsi"/>
          <w:lang w:val="en-GB"/>
        </w:rPr>
        <w:t xml:space="preserve"> </w:t>
      </w:r>
      <w:r w:rsidR="006C080D" w:rsidRPr="006B51B1">
        <w:rPr>
          <w:rFonts w:asciiTheme="minorHAnsi" w:hAnsiTheme="minorHAnsi"/>
          <w:lang w:val="en-GB"/>
        </w:rPr>
        <w:t xml:space="preserve">This focus on </w:t>
      </w:r>
      <w:proofErr w:type="spellStart"/>
      <w:r w:rsidR="006C080D" w:rsidRPr="006B51B1">
        <w:rPr>
          <w:rFonts w:asciiTheme="minorHAnsi" w:hAnsiTheme="minorHAnsi"/>
          <w:lang w:val="en-GB"/>
        </w:rPr>
        <w:t>precarity</w:t>
      </w:r>
      <w:proofErr w:type="spellEnd"/>
      <w:r w:rsidR="006C080D" w:rsidRPr="006B51B1">
        <w:rPr>
          <w:rFonts w:asciiTheme="minorHAnsi" w:hAnsiTheme="minorHAnsi"/>
          <w:lang w:val="en-GB"/>
        </w:rPr>
        <w:t xml:space="preserve"> is justified by the changes to the legal position of tenants over the last 30 years.</w:t>
      </w:r>
      <w:r w:rsidR="006C080D" w:rsidRPr="006B51B1">
        <w:rPr>
          <w:rStyle w:val="FootnoteReference"/>
          <w:rFonts w:asciiTheme="minorHAnsi" w:hAnsiTheme="minorHAnsi"/>
          <w:lang w:val="en-GB"/>
        </w:rPr>
        <w:footnoteReference w:id="22"/>
      </w:r>
      <w:r w:rsidR="006C080D" w:rsidRPr="006B51B1">
        <w:rPr>
          <w:rFonts w:asciiTheme="minorHAnsi" w:hAnsiTheme="minorHAnsi"/>
          <w:lang w:val="en-GB"/>
        </w:rPr>
        <w:t xml:space="preserve"> </w:t>
      </w:r>
      <w:r w:rsidR="00D53A83" w:rsidRPr="006B51B1">
        <w:rPr>
          <w:rFonts w:asciiTheme="minorHAnsi" w:hAnsiTheme="minorHAnsi"/>
          <w:lang w:val="en-GB"/>
        </w:rPr>
        <w:t xml:space="preserve">Building on the work of </w:t>
      </w:r>
      <w:proofErr w:type="spellStart"/>
      <w:r w:rsidR="00D53A83" w:rsidRPr="006B51B1">
        <w:rPr>
          <w:rFonts w:asciiTheme="minorHAnsi" w:hAnsiTheme="minorHAnsi"/>
          <w:lang w:val="en-GB"/>
        </w:rPr>
        <w:t>Hulse</w:t>
      </w:r>
      <w:proofErr w:type="spellEnd"/>
      <w:r w:rsidR="00D53A83" w:rsidRPr="006B51B1">
        <w:rPr>
          <w:rFonts w:asciiTheme="minorHAnsi" w:hAnsiTheme="minorHAnsi"/>
          <w:lang w:val="en-GB"/>
        </w:rPr>
        <w:t xml:space="preserve"> and Milligan</w:t>
      </w:r>
      <w:r w:rsidR="00850172" w:rsidRPr="006B51B1">
        <w:rPr>
          <w:rFonts w:asciiTheme="minorHAnsi" w:hAnsiTheme="minorHAnsi"/>
          <w:lang w:val="en-GB"/>
        </w:rPr>
        <w:t>,</w:t>
      </w:r>
      <w:r w:rsidR="00D53A83" w:rsidRPr="006B51B1">
        <w:rPr>
          <w:rStyle w:val="FootnoteReference"/>
          <w:rFonts w:asciiTheme="minorHAnsi" w:hAnsiTheme="minorHAnsi"/>
          <w:lang w:val="en-GB"/>
        </w:rPr>
        <w:footnoteReference w:id="23"/>
      </w:r>
      <w:r w:rsidR="00850172" w:rsidRPr="006B51B1">
        <w:rPr>
          <w:rFonts w:asciiTheme="minorHAnsi" w:hAnsiTheme="minorHAnsi"/>
          <w:lang w:val="en-GB"/>
        </w:rPr>
        <w:t xml:space="preserve"> we suggest that there are five legal factors that can exasperate </w:t>
      </w:r>
      <w:proofErr w:type="spellStart"/>
      <w:r w:rsidR="00850172" w:rsidRPr="006B51B1">
        <w:rPr>
          <w:rFonts w:asciiTheme="minorHAnsi" w:hAnsiTheme="minorHAnsi"/>
          <w:lang w:val="en-GB"/>
        </w:rPr>
        <w:t>precarity</w:t>
      </w:r>
      <w:proofErr w:type="spellEnd"/>
      <w:r w:rsidR="00850172" w:rsidRPr="006B51B1">
        <w:rPr>
          <w:rFonts w:asciiTheme="minorHAnsi" w:hAnsiTheme="minorHAnsi"/>
          <w:lang w:val="en-GB"/>
        </w:rPr>
        <w:t>. By focusing on these – tenure/time; control; cost; condition</w:t>
      </w:r>
      <w:r w:rsidR="002237E3">
        <w:rPr>
          <w:rFonts w:asciiTheme="minorHAnsi" w:hAnsiTheme="minorHAnsi"/>
          <w:lang w:val="en-GB"/>
        </w:rPr>
        <w:t xml:space="preserve">s </w:t>
      </w:r>
      <w:r w:rsidR="00D1647B">
        <w:rPr>
          <w:rFonts w:asciiTheme="minorHAnsi" w:hAnsiTheme="minorHAnsi"/>
          <w:lang w:val="en-GB"/>
        </w:rPr>
        <w:t>(habitability)</w:t>
      </w:r>
      <w:r w:rsidR="00850172" w:rsidRPr="006B51B1">
        <w:rPr>
          <w:rFonts w:asciiTheme="minorHAnsi" w:hAnsiTheme="minorHAnsi"/>
          <w:lang w:val="en-GB"/>
        </w:rPr>
        <w:t xml:space="preserve"> and immigration status</w:t>
      </w:r>
      <w:r w:rsidR="00607CA1" w:rsidRPr="006B51B1">
        <w:rPr>
          <w:rFonts w:asciiTheme="minorHAnsi" w:hAnsiTheme="minorHAnsi"/>
          <w:lang w:val="en-GB"/>
        </w:rPr>
        <w:t xml:space="preserve"> – </w:t>
      </w:r>
      <w:r w:rsidR="00850172" w:rsidRPr="006B51B1">
        <w:rPr>
          <w:rFonts w:asciiTheme="minorHAnsi" w:hAnsiTheme="minorHAnsi"/>
          <w:lang w:val="en-GB"/>
        </w:rPr>
        <w:t xml:space="preserve">we can illuminate the elements which can </w:t>
      </w:r>
      <w:r w:rsidR="006375A1" w:rsidRPr="006B51B1">
        <w:rPr>
          <w:rFonts w:asciiTheme="minorHAnsi" w:hAnsiTheme="minorHAnsi"/>
          <w:lang w:val="en-GB"/>
        </w:rPr>
        <w:t>ex</w:t>
      </w:r>
      <w:r w:rsidR="006375A1">
        <w:rPr>
          <w:rFonts w:asciiTheme="minorHAnsi" w:hAnsiTheme="minorHAnsi"/>
          <w:lang w:val="en-GB"/>
        </w:rPr>
        <w:t>acerbate</w:t>
      </w:r>
      <w:r w:rsidR="00850172" w:rsidRPr="006B51B1">
        <w:rPr>
          <w:rFonts w:asciiTheme="minorHAnsi" w:hAnsiTheme="minorHAnsi"/>
          <w:lang w:val="en-GB"/>
        </w:rPr>
        <w:t xml:space="preserve"> </w:t>
      </w:r>
      <w:proofErr w:type="spellStart"/>
      <w:r w:rsidR="00850172" w:rsidRPr="006B51B1">
        <w:rPr>
          <w:rFonts w:asciiTheme="minorHAnsi" w:hAnsiTheme="minorHAnsi"/>
          <w:lang w:val="en-GB"/>
        </w:rPr>
        <w:t>precarity</w:t>
      </w:r>
      <w:proofErr w:type="spellEnd"/>
      <w:r w:rsidR="00850172" w:rsidRPr="006B51B1">
        <w:rPr>
          <w:rFonts w:asciiTheme="minorHAnsi" w:hAnsiTheme="minorHAnsi"/>
          <w:lang w:val="en-GB"/>
        </w:rPr>
        <w:t xml:space="preserve">, rather than comparing precarious arrangements to </w:t>
      </w:r>
      <w:r w:rsidR="00850172" w:rsidRPr="006B51B1">
        <w:rPr>
          <w:rFonts w:asciiTheme="minorHAnsi" w:hAnsiTheme="minorHAnsi"/>
          <w:lang w:val="en-GB"/>
        </w:rPr>
        <w:lastRenderedPageBreak/>
        <w:t>even more precarious ones.</w:t>
      </w:r>
      <w:r w:rsidR="006C080D" w:rsidRPr="006B51B1">
        <w:rPr>
          <w:rStyle w:val="FootnoteReference"/>
          <w:rFonts w:asciiTheme="minorHAnsi" w:hAnsiTheme="minorHAnsi"/>
          <w:lang w:val="en-GB"/>
        </w:rPr>
        <w:footnoteReference w:id="24"/>
      </w:r>
      <w:r w:rsidR="001118E6" w:rsidRPr="006B51B1">
        <w:rPr>
          <w:rFonts w:asciiTheme="minorHAnsi" w:hAnsiTheme="minorHAnsi"/>
          <w:lang w:val="en-GB"/>
        </w:rPr>
        <w:t xml:space="preserve"> </w:t>
      </w:r>
      <w:r w:rsidR="0037571E" w:rsidRPr="006B51B1">
        <w:rPr>
          <w:rFonts w:asciiTheme="minorHAnsi" w:hAnsiTheme="minorHAnsi"/>
          <w:lang w:val="en-GB"/>
        </w:rPr>
        <w:t xml:space="preserve">This focus leaves </w:t>
      </w:r>
      <w:r w:rsidR="006B1583">
        <w:rPr>
          <w:rFonts w:asciiTheme="minorHAnsi" w:hAnsiTheme="minorHAnsi"/>
          <w:lang w:val="en-GB"/>
        </w:rPr>
        <w:t xml:space="preserve">out </w:t>
      </w:r>
      <w:r w:rsidR="0037571E" w:rsidRPr="006B51B1">
        <w:rPr>
          <w:rFonts w:asciiTheme="minorHAnsi" w:hAnsiTheme="minorHAnsi"/>
          <w:lang w:val="en-GB"/>
        </w:rPr>
        <w:t>some element</w:t>
      </w:r>
      <w:r w:rsidR="006B1583">
        <w:rPr>
          <w:rFonts w:asciiTheme="minorHAnsi" w:hAnsiTheme="minorHAnsi"/>
          <w:lang w:val="en-GB"/>
        </w:rPr>
        <w:t>s of landlord and tenant law</w:t>
      </w:r>
      <w:r w:rsidR="0037571E" w:rsidRPr="006B51B1">
        <w:rPr>
          <w:rFonts w:asciiTheme="minorHAnsi" w:hAnsiTheme="minorHAnsi"/>
          <w:lang w:val="en-GB"/>
        </w:rPr>
        <w:t xml:space="preserve">, </w:t>
      </w:r>
      <w:r w:rsidR="00607CA1" w:rsidRPr="006B51B1">
        <w:rPr>
          <w:rFonts w:asciiTheme="minorHAnsi" w:hAnsiTheme="minorHAnsi"/>
          <w:lang w:val="en-GB"/>
        </w:rPr>
        <w:t>for instance,</w:t>
      </w:r>
      <w:r w:rsidR="0037571E" w:rsidRPr="006B51B1">
        <w:rPr>
          <w:rFonts w:asciiTheme="minorHAnsi" w:hAnsiTheme="minorHAnsi"/>
          <w:lang w:val="en-GB"/>
        </w:rPr>
        <w:t xml:space="preserve"> the ways that tenants can end a tenancy. However, with limited space in this article, </w:t>
      </w:r>
      <w:r w:rsidR="00E560E1" w:rsidRPr="006B51B1">
        <w:rPr>
          <w:rFonts w:asciiTheme="minorHAnsi" w:hAnsiTheme="minorHAnsi"/>
          <w:lang w:val="en-GB"/>
        </w:rPr>
        <w:t>it served to provide a framework to understand the current legal position and understand the complexity in the law.</w:t>
      </w:r>
    </w:p>
    <w:p w14:paraId="567B655E" w14:textId="77777777" w:rsidR="009A60D7" w:rsidRPr="006B51B1" w:rsidRDefault="009A60D7" w:rsidP="000435D2">
      <w:pPr>
        <w:jc w:val="both"/>
        <w:rPr>
          <w:rFonts w:asciiTheme="minorHAnsi" w:hAnsiTheme="minorHAnsi"/>
          <w:lang w:val="en-GB"/>
        </w:rPr>
      </w:pPr>
    </w:p>
    <w:p w14:paraId="51CC53FC" w14:textId="199B090F" w:rsidR="0081113C" w:rsidRPr="00202690" w:rsidRDefault="006C080D" w:rsidP="005E6028">
      <w:pPr>
        <w:pStyle w:val="ListParagraph"/>
        <w:numPr>
          <w:ilvl w:val="0"/>
          <w:numId w:val="2"/>
        </w:numPr>
        <w:jc w:val="both"/>
        <w:rPr>
          <w:rFonts w:asciiTheme="minorHAnsi" w:hAnsiTheme="minorHAnsi"/>
          <w:b/>
          <w:lang w:val="en-GB"/>
        </w:rPr>
      </w:pPr>
      <w:r w:rsidRPr="00202690">
        <w:rPr>
          <w:rFonts w:asciiTheme="minorHAnsi" w:hAnsiTheme="minorHAnsi"/>
          <w:b/>
          <w:lang w:val="en-GB"/>
        </w:rPr>
        <w:t>Tenure/time</w:t>
      </w:r>
    </w:p>
    <w:p w14:paraId="682DE8DB" w14:textId="6336BDB4" w:rsidR="005A1C1F" w:rsidRPr="006B51B1" w:rsidRDefault="006C080D" w:rsidP="000435D2">
      <w:pPr>
        <w:jc w:val="both"/>
        <w:rPr>
          <w:rFonts w:asciiTheme="minorHAnsi" w:hAnsiTheme="minorHAnsi"/>
          <w:lang w:val="en-GB"/>
        </w:rPr>
      </w:pPr>
      <w:r w:rsidRPr="006B51B1">
        <w:rPr>
          <w:rFonts w:asciiTheme="minorHAnsi" w:hAnsiTheme="minorHAnsi"/>
          <w:lang w:val="en-GB"/>
        </w:rPr>
        <w:t xml:space="preserve">For </w:t>
      </w:r>
      <w:proofErr w:type="spellStart"/>
      <w:r w:rsidRPr="006B51B1">
        <w:rPr>
          <w:rFonts w:asciiTheme="minorHAnsi" w:hAnsiTheme="minorHAnsi"/>
          <w:lang w:val="en-GB"/>
        </w:rPr>
        <w:t>Hulse</w:t>
      </w:r>
      <w:proofErr w:type="spellEnd"/>
      <w:r w:rsidRPr="006B51B1">
        <w:rPr>
          <w:rFonts w:asciiTheme="minorHAnsi" w:hAnsiTheme="minorHAnsi"/>
          <w:lang w:val="en-GB"/>
        </w:rPr>
        <w:t xml:space="preserve"> and Milligan the length of rental contract and termination arrangements make up the de jure elements of security, </w:t>
      </w:r>
      <w:r w:rsidR="00607CA1" w:rsidRPr="006B51B1">
        <w:rPr>
          <w:rFonts w:asciiTheme="minorHAnsi" w:hAnsiTheme="minorHAnsi"/>
          <w:lang w:val="en-GB"/>
        </w:rPr>
        <w:t>namely,</w:t>
      </w:r>
      <w:r w:rsidRPr="006B51B1">
        <w:rPr>
          <w:rFonts w:asciiTheme="minorHAnsi" w:hAnsiTheme="minorHAnsi"/>
          <w:lang w:val="en-GB"/>
        </w:rPr>
        <w:t xml:space="preserve"> </w:t>
      </w:r>
      <w:r w:rsidR="00896D06" w:rsidRPr="006B51B1">
        <w:rPr>
          <w:rFonts w:asciiTheme="minorHAnsi" w:hAnsiTheme="minorHAnsi"/>
          <w:lang w:val="en-GB"/>
        </w:rPr>
        <w:t>“</w:t>
      </w:r>
      <w:r w:rsidRPr="006B51B1">
        <w:rPr>
          <w:rFonts w:asciiTheme="minorHAnsi" w:hAnsiTheme="minorHAnsi"/>
          <w:lang w:val="en-GB"/>
        </w:rPr>
        <w:t xml:space="preserve">property rights, the legal rules that enable owners to acquire, use and dispose of their property and lease arrangements over land/housing, </w:t>
      </w:r>
      <w:r w:rsidR="00896D06" w:rsidRPr="006B51B1">
        <w:rPr>
          <w:rFonts w:asciiTheme="minorHAnsi" w:hAnsiTheme="minorHAnsi"/>
          <w:lang w:val="en-GB"/>
        </w:rPr>
        <w:t>…”.</w:t>
      </w:r>
      <w:r w:rsidR="00896D06" w:rsidRPr="006B51B1">
        <w:rPr>
          <w:rStyle w:val="FootnoteReference"/>
          <w:rFonts w:asciiTheme="minorHAnsi" w:hAnsiTheme="minorHAnsi"/>
          <w:lang w:val="en-GB"/>
        </w:rPr>
        <w:footnoteReference w:id="25"/>
      </w:r>
      <w:r w:rsidR="00CE6175">
        <w:rPr>
          <w:rFonts w:asciiTheme="minorHAnsi" w:hAnsiTheme="minorHAnsi"/>
          <w:lang w:val="en-GB"/>
        </w:rPr>
        <w:t xml:space="preserve"> In English law they</w:t>
      </w:r>
      <w:r w:rsidR="00896D06" w:rsidRPr="006B51B1">
        <w:rPr>
          <w:rFonts w:asciiTheme="minorHAnsi" w:hAnsiTheme="minorHAnsi"/>
          <w:lang w:val="en-GB"/>
        </w:rPr>
        <w:t xml:space="preserve"> can been seen to be </w:t>
      </w:r>
      <w:r w:rsidR="0081113C" w:rsidRPr="006B51B1">
        <w:rPr>
          <w:rFonts w:asciiTheme="minorHAnsi" w:hAnsiTheme="minorHAnsi"/>
          <w:lang w:val="en-GB"/>
        </w:rPr>
        <w:t>made up of a number of elements which when aggregated may lead to greater or lesser securit</w:t>
      </w:r>
      <w:r w:rsidR="00896D06" w:rsidRPr="006B51B1">
        <w:rPr>
          <w:rFonts w:asciiTheme="minorHAnsi" w:hAnsiTheme="minorHAnsi"/>
          <w:lang w:val="en-GB"/>
        </w:rPr>
        <w:t xml:space="preserve">y for the occupier. </w:t>
      </w:r>
    </w:p>
    <w:p w14:paraId="0B4E5762" w14:textId="77777777" w:rsidR="005A1C1F" w:rsidRPr="006B51B1" w:rsidRDefault="005A1C1F" w:rsidP="000435D2">
      <w:pPr>
        <w:jc w:val="both"/>
        <w:rPr>
          <w:rFonts w:asciiTheme="minorHAnsi" w:hAnsiTheme="minorHAnsi"/>
          <w:lang w:val="en-GB"/>
        </w:rPr>
      </w:pPr>
    </w:p>
    <w:p w14:paraId="539C6D49" w14:textId="76D32B94" w:rsidR="00E229E7" w:rsidRPr="006B51B1" w:rsidRDefault="00896D06" w:rsidP="000435D2">
      <w:pPr>
        <w:jc w:val="both"/>
        <w:rPr>
          <w:rFonts w:asciiTheme="minorHAnsi" w:hAnsiTheme="minorHAnsi"/>
          <w:lang w:val="en-GB"/>
        </w:rPr>
      </w:pPr>
      <w:r w:rsidRPr="006B51B1">
        <w:rPr>
          <w:rFonts w:asciiTheme="minorHAnsi" w:hAnsiTheme="minorHAnsi"/>
          <w:lang w:val="en-GB"/>
        </w:rPr>
        <w:t xml:space="preserve">At its </w:t>
      </w:r>
      <w:r w:rsidR="0081113C" w:rsidRPr="006B51B1">
        <w:rPr>
          <w:rFonts w:asciiTheme="minorHAnsi" w:hAnsiTheme="minorHAnsi"/>
          <w:lang w:val="en-GB"/>
        </w:rPr>
        <w:t>simplest and providing least protection</w:t>
      </w:r>
      <w:r w:rsidR="00607CA1" w:rsidRPr="006B51B1">
        <w:rPr>
          <w:rFonts w:asciiTheme="minorHAnsi" w:hAnsiTheme="minorHAnsi"/>
          <w:lang w:val="en-GB"/>
        </w:rPr>
        <w:t>,</w:t>
      </w:r>
      <w:r w:rsidR="0081113C" w:rsidRPr="006B51B1">
        <w:rPr>
          <w:rFonts w:asciiTheme="minorHAnsi" w:hAnsiTheme="minorHAnsi"/>
          <w:lang w:val="en-GB"/>
        </w:rPr>
        <w:t xml:space="preserve"> some legal security may simply prevent eviction except in accordance with the contractual (or common law) requirements as to notice and termination of the tenancy. </w:t>
      </w:r>
      <w:r w:rsidR="005A1C1F" w:rsidRPr="006B51B1">
        <w:rPr>
          <w:rFonts w:asciiTheme="minorHAnsi" w:hAnsiTheme="minorHAnsi"/>
          <w:lang w:val="en-GB"/>
        </w:rPr>
        <w:t xml:space="preserve">At common law there are two types of </w:t>
      </w:r>
      <w:r w:rsidR="00607CA1" w:rsidRPr="006B51B1">
        <w:rPr>
          <w:rFonts w:asciiTheme="minorHAnsi" w:hAnsiTheme="minorHAnsi"/>
          <w:lang w:val="en-GB"/>
        </w:rPr>
        <w:t>tenancy</w:t>
      </w:r>
      <w:r w:rsidR="005A1C1F" w:rsidRPr="006B51B1">
        <w:rPr>
          <w:rFonts w:asciiTheme="minorHAnsi" w:hAnsiTheme="minorHAnsi"/>
          <w:lang w:val="en-GB"/>
        </w:rPr>
        <w:t>: periodic and fixed term. A period tenancy</w:t>
      </w:r>
      <w:r w:rsidR="00607CA1" w:rsidRPr="006B51B1">
        <w:rPr>
          <w:rFonts w:asciiTheme="minorHAnsi" w:hAnsiTheme="minorHAnsi"/>
          <w:lang w:val="en-GB"/>
        </w:rPr>
        <w:t>, as the name implies,</w:t>
      </w:r>
      <w:r w:rsidR="005A1C1F" w:rsidRPr="006B51B1">
        <w:rPr>
          <w:rFonts w:asciiTheme="minorHAnsi" w:hAnsiTheme="minorHAnsi"/>
          <w:lang w:val="en-GB"/>
        </w:rPr>
        <w:t xml:space="preserve"> runs f</w:t>
      </w:r>
      <w:r w:rsidR="00607CA1" w:rsidRPr="006B51B1">
        <w:rPr>
          <w:rFonts w:asciiTheme="minorHAnsi" w:hAnsiTheme="minorHAnsi"/>
          <w:lang w:val="en-GB"/>
        </w:rPr>
        <w:t>rom</w:t>
      </w:r>
      <w:r w:rsidR="005A1C1F" w:rsidRPr="006B51B1">
        <w:rPr>
          <w:rFonts w:asciiTheme="minorHAnsi" w:hAnsiTheme="minorHAnsi"/>
          <w:lang w:val="en-GB"/>
        </w:rPr>
        <w:t xml:space="preserve"> period to period, e.g.</w:t>
      </w:r>
      <w:r w:rsidR="00D64C7F" w:rsidRPr="006B51B1">
        <w:rPr>
          <w:rFonts w:asciiTheme="minorHAnsi" w:hAnsiTheme="minorHAnsi"/>
          <w:lang w:val="en-GB"/>
        </w:rPr>
        <w:t xml:space="preserve"> month to month or week to week.</w:t>
      </w:r>
      <w:r w:rsidR="00D64C7F" w:rsidRPr="006B51B1">
        <w:rPr>
          <w:rStyle w:val="FootnoteReference"/>
          <w:rFonts w:asciiTheme="minorHAnsi" w:hAnsiTheme="minorHAnsi"/>
          <w:lang w:val="en-GB"/>
        </w:rPr>
        <w:footnoteReference w:id="26"/>
      </w:r>
      <w:r w:rsidR="00E229E7" w:rsidRPr="006B51B1">
        <w:rPr>
          <w:rFonts w:asciiTheme="minorHAnsi" w:hAnsiTheme="minorHAnsi"/>
          <w:lang w:val="en-GB"/>
        </w:rPr>
        <w:t xml:space="preserve"> It is </w:t>
      </w:r>
      <w:r w:rsidR="00D64C7F" w:rsidRPr="006B51B1">
        <w:rPr>
          <w:rFonts w:asciiTheme="minorHAnsi" w:hAnsiTheme="minorHAnsi"/>
          <w:lang w:val="en-GB"/>
        </w:rPr>
        <w:t xml:space="preserve">ended by a notice to quit by either </w:t>
      </w:r>
      <w:r w:rsidR="000454D7" w:rsidRPr="006B51B1">
        <w:rPr>
          <w:rFonts w:asciiTheme="minorHAnsi" w:hAnsiTheme="minorHAnsi"/>
          <w:lang w:val="en-GB"/>
        </w:rPr>
        <w:t>to the</w:t>
      </w:r>
      <w:r w:rsidR="00D64C7F" w:rsidRPr="006B51B1">
        <w:rPr>
          <w:rFonts w:asciiTheme="minorHAnsi" w:hAnsiTheme="minorHAnsi"/>
          <w:lang w:val="en-GB"/>
        </w:rPr>
        <w:t xml:space="preserve"> landlord or the tenant, and in common </w:t>
      </w:r>
      <w:r w:rsidR="00B35463" w:rsidRPr="006B51B1">
        <w:rPr>
          <w:rFonts w:asciiTheme="minorHAnsi" w:hAnsiTheme="minorHAnsi"/>
          <w:lang w:val="en-GB"/>
        </w:rPr>
        <w:t xml:space="preserve">law </w:t>
      </w:r>
      <w:r w:rsidR="00D64C7F" w:rsidRPr="006B51B1">
        <w:rPr>
          <w:rFonts w:asciiTheme="minorHAnsi" w:hAnsiTheme="minorHAnsi"/>
          <w:lang w:val="en-GB"/>
        </w:rPr>
        <w:t>the length of the notice ha</w:t>
      </w:r>
      <w:r w:rsidR="000454D7" w:rsidRPr="006B51B1">
        <w:rPr>
          <w:rFonts w:asciiTheme="minorHAnsi" w:hAnsiTheme="minorHAnsi"/>
          <w:lang w:val="en-GB"/>
        </w:rPr>
        <w:t>s</w:t>
      </w:r>
      <w:r w:rsidR="00D64C7F" w:rsidRPr="006B51B1">
        <w:rPr>
          <w:rFonts w:asciiTheme="minorHAnsi" w:hAnsiTheme="minorHAnsi"/>
          <w:lang w:val="en-GB"/>
        </w:rPr>
        <w:t xml:space="preserve"> to correspond the the period of the tenancy.</w:t>
      </w:r>
      <w:r w:rsidR="00D64C7F" w:rsidRPr="006B51B1">
        <w:rPr>
          <w:rStyle w:val="FootnoteReference"/>
          <w:rFonts w:asciiTheme="minorHAnsi" w:hAnsiTheme="minorHAnsi"/>
          <w:lang w:val="en-GB"/>
        </w:rPr>
        <w:footnoteReference w:id="27"/>
      </w:r>
      <w:r w:rsidR="00D64C7F" w:rsidRPr="006B51B1">
        <w:rPr>
          <w:rFonts w:asciiTheme="minorHAnsi" w:hAnsiTheme="minorHAnsi"/>
          <w:lang w:val="en-GB"/>
        </w:rPr>
        <w:t xml:space="preserve"> </w:t>
      </w:r>
      <w:r w:rsidR="000454D7" w:rsidRPr="006B51B1">
        <w:rPr>
          <w:rFonts w:asciiTheme="minorHAnsi" w:hAnsiTheme="minorHAnsi"/>
          <w:lang w:val="en-GB"/>
        </w:rPr>
        <w:t>For a tenancy with a</w:t>
      </w:r>
      <w:r w:rsidR="00D64C7F" w:rsidRPr="006B51B1">
        <w:rPr>
          <w:rFonts w:asciiTheme="minorHAnsi" w:hAnsiTheme="minorHAnsi"/>
          <w:lang w:val="en-GB"/>
        </w:rPr>
        <w:t xml:space="preserve"> fixed term set at </w:t>
      </w:r>
      <w:r w:rsidR="000454D7" w:rsidRPr="006B51B1">
        <w:rPr>
          <w:rFonts w:asciiTheme="minorHAnsi" w:hAnsiTheme="minorHAnsi"/>
          <w:lang w:val="en-GB"/>
        </w:rPr>
        <w:t>its commencement,</w:t>
      </w:r>
      <w:r w:rsidR="00E229E7" w:rsidRPr="006B51B1">
        <w:rPr>
          <w:rStyle w:val="FootnoteReference"/>
          <w:rFonts w:asciiTheme="minorHAnsi" w:hAnsiTheme="minorHAnsi"/>
          <w:lang w:val="en-GB"/>
        </w:rPr>
        <w:footnoteReference w:id="28"/>
      </w:r>
      <w:r w:rsidR="00E229E7" w:rsidRPr="006B51B1">
        <w:rPr>
          <w:rFonts w:asciiTheme="minorHAnsi" w:hAnsiTheme="minorHAnsi"/>
          <w:lang w:val="en-GB"/>
        </w:rPr>
        <w:t xml:space="preserve"> </w:t>
      </w:r>
      <w:r w:rsidR="000454D7" w:rsidRPr="006B51B1">
        <w:rPr>
          <w:rFonts w:asciiTheme="minorHAnsi" w:hAnsiTheme="minorHAnsi"/>
          <w:lang w:val="en-GB"/>
        </w:rPr>
        <w:t xml:space="preserve">the tenancy automatically terminates </w:t>
      </w:r>
      <w:r w:rsidR="00E229E7" w:rsidRPr="006B51B1">
        <w:rPr>
          <w:rFonts w:asciiTheme="minorHAnsi" w:hAnsiTheme="minorHAnsi"/>
          <w:lang w:val="en-GB"/>
        </w:rPr>
        <w:t>at the end term through effluxion of time.</w:t>
      </w:r>
      <w:r w:rsidR="00E229E7" w:rsidRPr="006B51B1">
        <w:rPr>
          <w:rStyle w:val="FootnoteReference"/>
          <w:rFonts w:asciiTheme="minorHAnsi" w:hAnsiTheme="minorHAnsi"/>
          <w:lang w:val="en-GB"/>
        </w:rPr>
        <w:footnoteReference w:id="29"/>
      </w:r>
      <w:r w:rsidR="00E229E7" w:rsidRPr="006B51B1">
        <w:rPr>
          <w:rFonts w:asciiTheme="minorHAnsi" w:hAnsiTheme="minorHAnsi"/>
          <w:lang w:val="en-GB"/>
        </w:rPr>
        <w:t xml:space="preserve"> In practice</w:t>
      </w:r>
      <w:r w:rsidR="0006038A" w:rsidRPr="006B51B1">
        <w:rPr>
          <w:rFonts w:asciiTheme="minorHAnsi" w:hAnsiTheme="minorHAnsi"/>
          <w:lang w:val="en-GB"/>
        </w:rPr>
        <w:t>,</w:t>
      </w:r>
      <w:r w:rsidR="00E229E7" w:rsidRPr="006B51B1">
        <w:rPr>
          <w:rFonts w:asciiTheme="minorHAnsi" w:hAnsiTheme="minorHAnsi"/>
          <w:lang w:val="en-GB"/>
        </w:rPr>
        <w:t xml:space="preserve"> </w:t>
      </w:r>
      <w:r w:rsidR="0006038A" w:rsidRPr="006B51B1">
        <w:rPr>
          <w:rFonts w:asciiTheme="minorHAnsi" w:hAnsiTheme="minorHAnsi"/>
          <w:lang w:val="en-GB"/>
        </w:rPr>
        <w:t>the</w:t>
      </w:r>
      <w:r w:rsidR="00E229E7" w:rsidRPr="006B51B1">
        <w:rPr>
          <w:rFonts w:asciiTheme="minorHAnsi" w:hAnsiTheme="minorHAnsi"/>
          <w:lang w:val="en-GB"/>
        </w:rPr>
        <w:t xml:space="preserve"> private rented sector </w:t>
      </w:r>
      <w:r w:rsidR="0006038A" w:rsidRPr="006B51B1">
        <w:rPr>
          <w:rFonts w:asciiTheme="minorHAnsi" w:hAnsiTheme="minorHAnsi"/>
          <w:lang w:val="en-GB"/>
        </w:rPr>
        <w:t xml:space="preserve">relies heavily on </w:t>
      </w:r>
      <w:r w:rsidR="00E229E7" w:rsidRPr="006B51B1">
        <w:rPr>
          <w:rFonts w:asciiTheme="minorHAnsi" w:hAnsiTheme="minorHAnsi"/>
          <w:lang w:val="en-GB"/>
        </w:rPr>
        <w:t>fixed-term tenanc</w:t>
      </w:r>
      <w:r w:rsidR="00553B7A" w:rsidRPr="006B51B1">
        <w:rPr>
          <w:rFonts w:asciiTheme="minorHAnsi" w:hAnsiTheme="minorHAnsi"/>
          <w:lang w:val="en-GB"/>
        </w:rPr>
        <w:t>ies</w:t>
      </w:r>
      <w:r w:rsidR="00E229E7" w:rsidRPr="006B51B1">
        <w:rPr>
          <w:rFonts w:asciiTheme="minorHAnsi" w:hAnsiTheme="minorHAnsi"/>
          <w:lang w:val="en-GB"/>
        </w:rPr>
        <w:t xml:space="preserve"> of quite short terms</w:t>
      </w:r>
      <w:r w:rsidR="00553B7A" w:rsidRPr="006B51B1">
        <w:rPr>
          <w:rFonts w:asciiTheme="minorHAnsi" w:hAnsiTheme="minorHAnsi"/>
          <w:lang w:val="en-GB"/>
        </w:rPr>
        <w:t xml:space="preserve"> – most often</w:t>
      </w:r>
      <w:r w:rsidR="007E73E1" w:rsidRPr="006B51B1">
        <w:rPr>
          <w:rFonts w:asciiTheme="minorHAnsi" w:hAnsiTheme="minorHAnsi"/>
          <w:lang w:val="en-GB"/>
        </w:rPr>
        <w:t>,</w:t>
      </w:r>
      <w:r w:rsidR="00553B7A" w:rsidRPr="006B51B1">
        <w:rPr>
          <w:rFonts w:asciiTheme="minorHAnsi" w:hAnsiTheme="minorHAnsi"/>
          <w:lang w:val="en-GB"/>
        </w:rPr>
        <w:t xml:space="preserve"> </w:t>
      </w:r>
      <w:r w:rsidR="00E229E7" w:rsidRPr="006B51B1">
        <w:rPr>
          <w:rFonts w:asciiTheme="minorHAnsi" w:hAnsiTheme="minorHAnsi"/>
          <w:lang w:val="en-GB"/>
        </w:rPr>
        <w:t>12 months</w:t>
      </w:r>
      <w:r w:rsidR="00553B7A" w:rsidRPr="006B51B1">
        <w:rPr>
          <w:rFonts w:asciiTheme="minorHAnsi" w:hAnsiTheme="minorHAnsi"/>
          <w:lang w:val="en-GB"/>
        </w:rPr>
        <w:t xml:space="preserve"> - </w:t>
      </w:r>
      <w:r w:rsidR="00E229E7" w:rsidRPr="006B51B1">
        <w:rPr>
          <w:rFonts w:asciiTheme="minorHAnsi" w:hAnsiTheme="minorHAnsi"/>
          <w:lang w:val="en-GB"/>
        </w:rPr>
        <w:t>while in the social sector the norm until recently as been to use weekly or monthly periodic tenancies.</w:t>
      </w:r>
    </w:p>
    <w:p w14:paraId="4F14B343" w14:textId="77777777" w:rsidR="005A1C1F" w:rsidRPr="006B51B1" w:rsidRDefault="005A1C1F" w:rsidP="000435D2">
      <w:pPr>
        <w:jc w:val="both"/>
        <w:rPr>
          <w:rFonts w:asciiTheme="minorHAnsi" w:hAnsiTheme="minorHAnsi"/>
          <w:lang w:val="en-GB"/>
        </w:rPr>
      </w:pPr>
    </w:p>
    <w:p w14:paraId="45DA7510" w14:textId="6225841B" w:rsidR="0081113C" w:rsidRPr="006B51B1" w:rsidRDefault="005A1C1F" w:rsidP="000435D2">
      <w:pPr>
        <w:jc w:val="both"/>
        <w:rPr>
          <w:rFonts w:asciiTheme="minorHAnsi" w:hAnsiTheme="minorHAnsi"/>
          <w:lang w:val="en-GB"/>
        </w:rPr>
      </w:pPr>
      <w:r w:rsidRPr="006B51B1">
        <w:rPr>
          <w:rFonts w:asciiTheme="minorHAnsi" w:hAnsiTheme="minorHAnsi"/>
          <w:lang w:val="en-GB"/>
        </w:rPr>
        <w:t xml:space="preserve">One step up from the </w:t>
      </w:r>
      <w:r w:rsidR="00B35463" w:rsidRPr="006B51B1">
        <w:rPr>
          <w:rFonts w:asciiTheme="minorHAnsi" w:hAnsiTheme="minorHAnsi"/>
          <w:lang w:val="en-GB"/>
        </w:rPr>
        <w:t>contractual/common law position,</w:t>
      </w:r>
      <w:r w:rsidR="0081113C" w:rsidRPr="006B51B1">
        <w:rPr>
          <w:rFonts w:asciiTheme="minorHAnsi" w:hAnsiTheme="minorHAnsi"/>
          <w:lang w:val="en-GB"/>
        </w:rPr>
        <w:t xml:space="preserve"> the law </w:t>
      </w:r>
      <w:r w:rsidR="00B35463" w:rsidRPr="006B51B1">
        <w:rPr>
          <w:rFonts w:asciiTheme="minorHAnsi" w:hAnsiTheme="minorHAnsi"/>
          <w:lang w:val="en-GB"/>
        </w:rPr>
        <w:t xml:space="preserve">through statute </w:t>
      </w:r>
      <w:r w:rsidR="0081113C" w:rsidRPr="006B51B1">
        <w:rPr>
          <w:rFonts w:asciiTheme="minorHAnsi" w:hAnsiTheme="minorHAnsi"/>
          <w:lang w:val="en-GB"/>
        </w:rPr>
        <w:t xml:space="preserve">may impose a minimum period of notice which is longer than </w:t>
      </w:r>
      <w:r w:rsidR="0006038A" w:rsidRPr="006B51B1">
        <w:rPr>
          <w:rFonts w:asciiTheme="minorHAnsi" w:hAnsiTheme="minorHAnsi"/>
          <w:lang w:val="en-GB"/>
        </w:rPr>
        <w:t>would otherwise be contractually imposed</w:t>
      </w:r>
      <w:r w:rsidR="0081113C" w:rsidRPr="006B51B1">
        <w:rPr>
          <w:rFonts w:asciiTheme="minorHAnsi" w:hAnsiTheme="minorHAnsi"/>
          <w:lang w:val="en-GB"/>
        </w:rPr>
        <w:t xml:space="preserve">. </w:t>
      </w:r>
      <w:r w:rsidR="00B35463" w:rsidRPr="006B51B1">
        <w:rPr>
          <w:rFonts w:asciiTheme="minorHAnsi" w:hAnsiTheme="minorHAnsi"/>
          <w:lang w:val="en-GB"/>
        </w:rPr>
        <w:t>Further, i</w:t>
      </w:r>
      <w:r w:rsidR="0081113C" w:rsidRPr="006B51B1">
        <w:rPr>
          <w:rFonts w:asciiTheme="minorHAnsi" w:hAnsiTheme="minorHAnsi"/>
          <w:lang w:val="en-GB"/>
        </w:rPr>
        <w:t>t may impose a requirement that a court order is obtained prior to any eviction.</w:t>
      </w:r>
    </w:p>
    <w:p w14:paraId="01BE5B31" w14:textId="77777777" w:rsidR="00D53A83" w:rsidRPr="006B51B1" w:rsidRDefault="00D53A83" w:rsidP="000435D2">
      <w:pPr>
        <w:jc w:val="both"/>
        <w:rPr>
          <w:rFonts w:asciiTheme="minorHAnsi" w:hAnsiTheme="minorHAnsi"/>
          <w:lang w:val="en-GB"/>
        </w:rPr>
      </w:pPr>
    </w:p>
    <w:p w14:paraId="68C9C991" w14:textId="554A2157" w:rsidR="0081113C" w:rsidRPr="006B51B1" w:rsidRDefault="0081113C" w:rsidP="000435D2">
      <w:pPr>
        <w:jc w:val="both"/>
        <w:rPr>
          <w:rFonts w:asciiTheme="minorHAnsi" w:hAnsiTheme="minorHAnsi"/>
          <w:lang w:val="en-GB"/>
        </w:rPr>
      </w:pPr>
      <w:r w:rsidRPr="006B51B1">
        <w:rPr>
          <w:rFonts w:asciiTheme="minorHAnsi" w:hAnsiTheme="minorHAnsi"/>
          <w:lang w:val="en-GB"/>
        </w:rPr>
        <w:t xml:space="preserve">Greater levels of security move </w:t>
      </w:r>
      <w:r w:rsidR="00CE6175">
        <w:rPr>
          <w:rFonts w:asciiTheme="minorHAnsi" w:hAnsiTheme="minorHAnsi"/>
          <w:lang w:val="en-GB"/>
        </w:rPr>
        <w:t>beyond the notice and a court order</w:t>
      </w:r>
      <w:r w:rsidRPr="006B51B1">
        <w:rPr>
          <w:rFonts w:asciiTheme="minorHAnsi" w:hAnsiTheme="minorHAnsi"/>
          <w:lang w:val="en-GB"/>
        </w:rPr>
        <w:t xml:space="preserve"> and limit the basis on which the </w:t>
      </w:r>
      <w:r w:rsidR="00CE6175">
        <w:rPr>
          <w:rFonts w:asciiTheme="minorHAnsi" w:hAnsiTheme="minorHAnsi"/>
          <w:lang w:val="en-GB"/>
        </w:rPr>
        <w:t>landlord</w:t>
      </w:r>
      <w:r w:rsidR="0006038A" w:rsidRPr="006B51B1">
        <w:rPr>
          <w:rFonts w:asciiTheme="minorHAnsi" w:hAnsiTheme="minorHAnsi"/>
          <w:lang w:val="en-GB"/>
        </w:rPr>
        <w:t xml:space="preserve"> </w:t>
      </w:r>
      <w:r w:rsidRPr="006B51B1">
        <w:rPr>
          <w:rFonts w:asciiTheme="minorHAnsi" w:hAnsiTheme="minorHAnsi"/>
          <w:lang w:val="en-GB"/>
        </w:rPr>
        <w:t xml:space="preserve">can evict the </w:t>
      </w:r>
      <w:r w:rsidR="00CE6175">
        <w:rPr>
          <w:rFonts w:asciiTheme="minorHAnsi" w:hAnsiTheme="minorHAnsi"/>
          <w:lang w:val="en-GB"/>
        </w:rPr>
        <w:t>tenant</w:t>
      </w:r>
      <w:r w:rsidRPr="006B51B1">
        <w:rPr>
          <w:rFonts w:asciiTheme="minorHAnsi" w:hAnsiTheme="minorHAnsi"/>
          <w:lang w:val="en-GB"/>
        </w:rPr>
        <w:t xml:space="preserve">. In these circumstances, notwithstanding that the contractual period of the tenancy may have come to an end or the contract makes a different provision, the landlord can only get permission to evict from the court on limited grounds. These may include fault on the part of </w:t>
      </w:r>
      <w:r w:rsidR="00A0578A" w:rsidRPr="006B51B1">
        <w:rPr>
          <w:rFonts w:asciiTheme="minorHAnsi" w:hAnsiTheme="minorHAnsi"/>
          <w:lang w:val="en-GB"/>
        </w:rPr>
        <w:t>the tenant (e.g. rent arrears or</w:t>
      </w:r>
      <w:r w:rsidRPr="006B51B1">
        <w:rPr>
          <w:rFonts w:asciiTheme="minorHAnsi" w:hAnsiTheme="minorHAnsi"/>
          <w:lang w:val="en-GB"/>
        </w:rPr>
        <w:t xml:space="preserve"> damage to the property) or need on the part of the landlord (e.g. to live in the property </w:t>
      </w:r>
      <w:r w:rsidR="000A1BF9" w:rsidRPr="006B51B1">
        <w:rPr>
          <w:rFonts w:asciiTheme="minorHAnsi" w:hAnsiTheme="minorHAnsi"/>
          <w:lang w:val="en-GB"/>
        </w:rPr>
        <w:t xml:space="preserve">or </w:t>
      </w:r>
      <w:r w:rsidRPr="006B51B1">
        <w:rPr>
          <w:rFonts w:asciiTheme="minorHAnsi" w:hAnsiTheme="minorHAnsi"/>
          <w:lang w:val="en-GB"/>
        </w:rPr>
        <w:t>to redevelop it). Such security has usually been accompanied by rent control in order to prevent landlord</w:t>
      </w:r>
      <w:r w:rsidR="0006038A" w:rsidRPr="006B51B1">
        <w:rPr>
          <w:rFonts w:asciiTheme="minorHAnsi" w:hAnsiTheme="minorHAnsi"/>
          <w:lang w:val="en-GB"/>
        </w:rPr>
        <w:t>s</w:t>
      </w:r>
      <w:r w:rsidRPr="006B51B1">
        <w:rPr>
          <w:rFonts w:asciiTheme="minorHAnsi" w:hAnsiTheme="minorHAnsi"/>
          <w:lang w:val="en-GB"/>
        </w:rPr>
        <w:t xml:space="preserve"> simply pricing tenants out of properties.</w:t>
      </w:r>
    </w:p>
    <w:p w14:paraId="47AC371D" w14:textId="77777777" w:rsidR="00572DF5" w:rsidRPr="006B51B1" w:rsidRDefault="00572DF5" w:rsidP="000435D2">
      <w:pPr>
        <w:jc w:val="both"/>
        <w:rPr>
          <w:rFonts w:asciiTheme="minorHAnsi" w:hAnsiTheme="minorHAnsi"/>
          <w:lang w:val="en-GB"/>
        </w:rPr>
      </w:pPr>
    </w:p>
    <w:p w14:paraId="024F75E0" w14:textId="62B37A6F" w:rsidR="00896D06" w:rsidRPr="006B51B1" w:rsidRDefault="00CE5C22" w:rsidP="000435D2">
      <w:pPr>
        <w:jc w:val="both"/>
        <w:rPr>
          <w:rFonts w:asciiTheme="minorHAnsi" w:hAnsiTheme="minorHAnsi"/>
          <w:lang w:val="en-GB"/>
        </w:rPr>
      </w:pPr>
      <w:r w:rsidRPr="006B51B1">
        <w:rPr>
          <w:rFonts w:asciiTheme="minorHAnsi" w:hAnsiTheme="minorHAnsi"/>
          <w:lang w:val="en-GB"/>
        </w:rPr>
        <w:t>T</w:t>
      </w:r>
      <w:r w:rsidR="00896D06" w:rsidRPr="006B51B1">
        <w:rPr>
          <w:rFonts w:asciiTheme="minorHAnsi" w:hAnsiTheme="minorHAnsi"/>
          <w:lang w:val="en-GB"/>
        </w:rPr>
        <w:t xml:space="preserve">his </w:t>
      </w:r>
      <w:r w:rsidRPr="006B51B1">
        <w:rPr>
          <w:rFonts w:asciiTheme="minorHAnsi" w:hAnsiTheme="minorHAnsi"/>
          <w:lang w:val="en-GB"/>
        </w:rPr>
        <w:t xml:space="preserve">legal </w:t>
      </w:r>
      <w:r w:rsidR="00896D06" w:rsidRPr="006B51B1">
        <w:rPr>
          <w:rFonts w:asciiTheme="minorHAnsi" w:hAnsiTheme="minorHAnsi"/>
          <w:lang w:val="en-GB"/>
        </w:rPr>
        <w:t xml:space="preserve">framework </w:t>
      </w:r>
      <w:r w:rsidRPr="006B51B1">
        <w:rPr>
          <w:rFonts w:asciiTheme="minorHAnsi" w:hAnsiTheme="minorHAnsi"/>
          <w:lang w:val="en-GB"/>
        </w:rPr>
        <w:t xml:space="preserve">is the basis </w:t>
      </w:r>
      <w:r w:rsidR="00896D06" w:rsidRPr="006B51B1">
        <w:rPr>
          <w:rFonts w:asciiTheme="minorHAnsi" w:hAnsiTheme="minorHAnsi"/>
          <w:lang w:val="en-GB"/>
        </w:rPr>
        <w:t>for</w:t>
      </w:r>
      <w:r w:rsidRPr="006B51B1">
        <w:rPr>
          <w:rFonts w:asciiTheme="minorHAnsi" w:hAnsiTheme="minorHAnsi"/>
          <w:lang w:val="en-GB"/>
        </w:rPr>
        <w:t xml:space="preserve"> </w:t>
      </w:r>
      <w:r w:rsidR="00896D06" w:rsidRPr="006B51B1">
        <w:rPr>
          <w:rFonts w:asciiTheme="minorHAnsi" w:hAnsiTheme="minorHAnsi"/>
          <w:lang w:val="en-GB"/>
        </w:rPr>
        <w:t xml:space="preserve">both the private rented sector and the social </w:t>
      </w:r>
      <w:r w:rsidR="00656775" w:rsidRPr="006B51B1">
        <w:rPr>
          <w:rFonts w:asciiTheme="minorHAnsi" w:hAnsiTheme="minorHAnsi"/>
          <w:lang w:val="en-GB"/>
        </w:rPr>
        <w:t xml:space="preserve">rented </w:t>
      </w:r>
      <w:r w:rsidRPr="006B51B1">
        <w:rPr>
          <w:rFonts w:asciiTheme="minorHAnsi" w:hAnsiTheme="minorHAnsi"/>
          <w:lang w:val="en-GB"/>
        </w:rPr>
        <w:t>sector and this section first sets-out the minimum protection for all occupiers before describing the further different legislativ</w:t>
      </w:r>
      <w:r w:rsidR="0006038A" w:rsidRPr="006B51B1">
        <w:rPr>
          <w:rFonts w:asciiTheme="minorHAnsi" w:hAnsiTheme="minorHAnsi"/>
          <w:lang w:val="en-GB"/>
        </w:rPr>
        <w:t>e protections</w:t>
      </w:r>
      <w:r w:rsidRPr="006B51B1">
        <w:rPr>
          <w:rFonts w:asciiTheme="minorHAnsi" w:hAnsiTheme="minorHAnsi"/>
          <w:lang w:val="en-GB"/>
        </w:rPr>
        <w:t xml:space="preserve"> for each sector. </w:t>
      </w:r>
      <w:r w:rsidR="0016102A" w:rsidRPr="006B51B1">
        <w:rPr>
          <w:rFonts w:asciiTheme="minorHAnsi" w:hAnsiTheme="minorHAnsi"/>
          <w:lang w:val="en-GB"/>
        </w:rPr>
        <w:t>Finally</w:t>
      </w:r>
      <w:r w:rsidR="00D92B6A" w:rsidRPr="006B51B1">
        <w:rPr>
          <w:rFonts w:asciiTheme="minorHAnsi" w:hAnsiTheme="minorHAnsi"/>
          <w:lang w:val="en-GB"/>
        </w:rPr>
        <w:t>,</w:t>
      </w:r>
      <w:r w:rsidR="0016102A" w:rsidRPr="006B51B1">
        <w:rPr>
          <w:rFonts w:asciiTheme="minorHAnsi" w:hAnsiTheme="minorHAnsi"/>
          <w:lang w:val="en-GB"/>
        </w:rPr>
        <w:t xml:space="preserve"> we consider </w:t>
      </w:r>
      <w:r w:rsidR="00D92B6A" w:rsidRPr="006B51B1">
        <w:rPr>
          <w:rFonts w:asciiTheme="minorHAnsi" w:hAnsiTheme="minorHAnsi"/>
          <w:lang w:val="en-GB"/>
        </w:rPr>
        <w:t xml:space="preserve">the </w:t>
      </w:r>
      <w:r w:rsidR="0016102A" w:rsidRPr="006B51B1">
        <w:rPr>
          <w:rFonts w:asciiTheme="minorHAnsi" w:hAnsiTheme="minorHAnsi"/>
          <w:lang w:val="en-GB"/>
        </w:rPr>
        <w:t>right to succession</w:t>
      </w:r>
      <w:r w:rsidR="000D05CD" w:rsidRPr="006B51B1">
        <w:rPr>
          <w:rFonts w:asciiTheme="minorHAnsi" w:hAnsiTheme="minorHAnsi"/>
          <w:lang w:val="en-GB"/>
        </w:rPr>
        <w:t xml:space="preserve"> </w:t>
      </w:r>
      <w:r w:rsidR="00AA6DA1" w:rsidRPr="006B51B1">
        <w:rPr>
          <w:rFonts w:asciiTheme="minorHAnsi" w:hAnsiTheme="minorHAnsi"/>
          <w:lang w:val="en-GB"/>
        </w:rPr>
        <w:t>– the rights that continue after the death of the orig</w:t>
      </w:r>
      <w:r w:rsidR="00A972E7" w:rsidRPr="006B51B1">
        <w:rPr>
          <w:rFonts w:asciiTheme="minorHAnsi" w:hAnsiTheme="minorHAnsi"/>
          <w:lang w:val="en-GB"/>
        </w:rPr>
        <w:t>inal tenant</w:t>
      </w:r>
      <w:r w:rsidR="0016102A" w:rsidRPr="006B51B1">
        <w:rPr>
          <w:rFonts w:asciiTheme="minorHAnsi" w:hAnsiTheme="minorHAnsi"/>
          <w:lang w:val="en-GB"/>
        </w:rPr>
        <w:t>.</w:t>
      </w:r>
    </w:p>
    <w:p w14:paraId="13F3987C" w14:textId="77777777" w:rsidR="00896D06" w:rsidRPr="006B51B1" w:rsidRDefault="00896D06" w:rsidP="000435D2">
      <w:pPr>
        <w:jc w:val="both"/>
        <w:rPr>
          <w:rFonts w:asciiTheme="minorHAnsi" w:hAnsiTheme="minorHAnsi"/>
          <w:lang w:val="en-GB"/>
        </w:rPr>
      </w:pPr>
    </w:p>
    <w:p w14:paraId="443AC8E8" w14:textId="7B326530" w:rsidR="00CE5C22" w:rsidRPr="006B51B1" w:rsidRDefault="00202690" w:rsidP="000435D2">
      <w:pPr>
        <w:jc w:val="both"/>
        <w:rPr>
          <w:rFonts w:asciiTheme="minorHAnsi" w:hAnsiTheme="minorHAnsi"/>
          <w:i/>
          <w:lang w:val="en-GB"/>
        </w:rPr>
      </w:pPr>
      <w:r>
        <w:rPr>
          <w:rFonts w:asciiTheme="minorHAnsi" w:hAnsiTheme="minorHAnsi"/>
          <w:i/>
          <w:lang w:val="en-GB"/>
        </w:rPr>
        <w:lastRenderedPageBreak/>
        <w:t xml:space="preserve">2.1 </w:t>
      </w:r>
      <w:r w:rsidR="005E6028">
        <w:rPr>
          <w:rFonts w:asciiTheme="minorHAnsi" w:hAnsiTheme="minorHAnsi"/>
          <w:i/>
          <w:lang w:val="en-GB"/>
        </w:rPr>
        <w:t>Protection from</w:t>
      </w:r>
      <w:r w:rsidR="00CE5C22" w:rsidRPr="006B51B1">
        <w:rPr>
          <w:rFonts w:asciiTheme="minorHAnsi" w:hAnsiTheme="minorHAnsi"/>
          <w:i/>
          <w:lang w:val="en-GB"/>
        </w:rPr>
        <w:t xml:space="preserve"> eviction</w:t>
      </w:r>
    </w:p>
    <w:p w14:paraId="1E3A4D3E" w14:textId="6D2F6455" w:rsidR="00CE5C22" w:rsidRPr="006B51B1" w:rsidRDefault="0016102A" w:rsidP="000435D2">
      <w:pPr>
        <w:jc w:val="both"/>
        <w:rPr>
          <w:rFonts w:asciiTheme="minorHAnsi" w:hAnsiTheme="minorHAnsi"/>
          <w:lang w:val="en-GB"/>
        </w:rPr>
      </w:pPr>
      <w:r w:rsidRPr="006B51B1">
        <w:rPr>
          <w:rFonts w:asciiTheme="minorHAnsi" w:hAnsiTheme="minorHAnsi"/>
          <w:lang w:val="en-GB"/>
        </w:rPr>
        <w:t xml:space="preserve">The Protection from Eviction Act 1977 </w:t>
      </w:r>
      <w:r w:rsidR="00BA06EE" w:rsidRPr="006B51B1">
        <w:rPr>
          <w:rFonts w:asciiTheme="minorHAnsi" w:hAnsiTheme="minorHAnsi"/>
          <w:lang w:val="en-GB"/>
        </w:rPr>
        <w:t>sits at the core of protection</w:t>
      </w:r>
      <w:r w:rsidR="0006038A" w:rsidRPr="006B51B1">
        <w:rPr>
          <w:rFonts w:asciiTheme="minorHAnsi" w:hAnsiTheme="minorHAnsi"/>
          <w:lang w:val="en-GB"/>
        </w:rPr>
        <w:t xml:space="preserve"> offered for all occupiers of rented housing, </w:t>
      </w:r>
      <w:r w:rsidRPr="006B51B1">
        <w:rPr>
          <w:rFonts w:asciiTheme="minorHAnsi" w:hAnsiTheme="minorHAnsi"/>
          <w:lang w:val="en-GB"/>
        </w:rPr>
        <w:t>provid</w:t>
      </w:r>
      <w:r w:rsidR="00197EA8" w:rsidRPr="006B51B1">
        <w:rPr>
          <w:rFonts w:asciiTheme="minorHAnsi" w:hAnsiTheme="minorHAnsi"/>
          <w:lang w:val="en-GB"/>
        </w:rPr>
        <w:t xml:space="preserve">ing </w:t>
      </w:r>
      <w:r w:rsidRPr="006B51B1">
        <w:rPr>
          <w:rFonts w:asciiTheme="minorHAnsi" w:hAnsiTheme="minorHAnsi"/>
          <w:lang w:val="en-GB"/>
        </w:rPr>
        <w:t>a minimum of protection</w:t>
      </w:r>
      <w:r w:rsidR="000323AB" w:rsidRPr="006B51B1">
        <w:rPr>
          <w:rFonts w:asciiTheme="minorHAnsi" w:hAnsiTheme="minorHAnsi"/>
          <w:lang w:val="en-GB"/>
        </w:rPr>
        <w:t xml:space="preserve"> regardless of whether a tenancy has been created or not</w:t>
      </w:r>
      <w:r w:rsidR="0006038A" w:rsidRPr="006B51B1">
        <w:rPr>
          <w:rFonts w:asciiTheme="minorHAnsi" w:hAnsiTheme="minorHAnsi"/>
          <w:lang w:val="en-GB"/>
        </w:rPr>
        <w:t>.</w:t>
      </w:r>
      <w:r w:rsidRPr="006B51B1">
        <w:rPr>
          <w:rFonts w:asciiTheme="minorHAnsi" w:hAnsiTheme="minorHAnsi"/>
          <w:lang w:val="en-GB"/>
        </w:rPr>
        <w:t xml:space="preserve"> </w:t>
      </w:r>
      <w:r w:rsidR="000323AB" w:rsidRPr="006B51B1">
        <w:rPr>
          <w:rFonts w:asciiTheme="minorHAnsi" w:hAnsiTheme="minorHAnsi"/>
          <w:lang w:val="en-GB"/>
        </w:rPr>
        <w:t>T</w:t>
      </w:r>
      <w:r w:rsidR="0006038A" w:rsidRPr="006B51B1">
        <w:rPr>
          <w:rFonts w:asciiTheme="minorHAnsi" w:hAnsiTheme="minorHAnsi"/>
          <w:lang w:val="en-GB"/>
        </w:rPr>
        <w:t xml:space="preserve">he Housing </w:t>
      </w:r>
      <w:r w:rsidR="000323AB" w:rsidRPr="006B51B1">
        <w:rPr>
          <w:rFonts w:asciiTheme="minorHAnsi" w:hAnsiTheme="minorHAnsi"/>
          <w:lang w:val="en-GB"/>
        </w:rPr>
        <w:t xml:space="preserve">Acts 1985 and 1988 which provide the fullest security for private and social tenants </w:t>
      </w:r>
      <w:r w:rsidR="0006038A" w:rsidRPr="006B51B1">
        <w:rPr>
          <w:rFonts w:asciiTheme="minorHAnsi" w:hAnsiTheme="minorHAnsi"/>
          <w:lang w:val="en-GB"/>
        </w:rPr>
        <w:t>have limi</w:t>
      </w:r>
      <w:r w:rsidR="00B35521" w:rsidRPr="006B51B1">
        <w:rPr>
          <w:rFonts w:asciiTheme="minorHAnsi" w:hAnsiTheme="minorHAnsi"/>
          <w:lang w:val="en-GB"/>
        </w:rPr>
        <w:t>t</w:t>
      </w:r>
      <w:r w:rsidR="0006038A" w:rsidRPr="006B51B1">
        <w:rPr>
          <w:rFonts w:asciiTheme="minorHAnsi" w:hAnsiTheme="minorHAnsi"/>
          <w:lang w:val="en-GB"/>
        </w:rPr>
        <w:t xml:space="preserve">ations and exemptions – for example, tenancies linked to work contracts and a lack of applicability to licenses. </w:t>
      </w:r>
      <w:r w:rsidR="00073297" w:rsidRPr="006B51B1">
        <w:rPr>
          <w:rFonts w:asciiTheme="minorHAnsi" w:hAnsiTheme="minorHAnsi"/>
          <w:lang w:val="en-GB"/>
        </w:rPr>
        <w:t>Crucially the Protection from Eviction Act 1977 is not as limited.</w:t>
      </w:r>
      <w:r w:rsidR="00E67772" w:rsidRPr="006B51B1">
        <w:rPr>
          <w:rStyle w:val="FootnoteReference"/>
          <w:rFonts w:asciiTheme="minorHAnsi" w:hAnsiTheme="minorHAnsi"/>
          <w:lang w:val="en-GB"/>
        </w:rPr>
        <w:footnoteReference w:id="30"/>
      </w:r>
    </w:p>
    <w:p w14:paraId="4C16195B" w14:textId="77777777" w:rsidR="00073297" w:rsidRPr="006B51B1" w:rsidRDefault="00073297" w:rsidP="000435D2">
      <w:pPr>
        <w:jc w:val="both"/>
        <w:rPr>
          <w:rFonts w:asciiTheme="minorHAnsi" w:hAnsiTheme="minorHAnsi"/>
          <w:lang w:val="en-GB"/>
        </w:rPr>
      </w:pPr>
    </w:p>
    <w:p w14:paraId="1821896D" w14:textId="74E22113" w:rsidR="00073297" w:rsidRPr="006B51B1" w:rsidRDefault="00073297" w:rsidP="000435D2">
      <w:pPr>
        <w:jc w:val="both"/>
        <w:rPr>
          <w:rFonts w:asciiTheme="minorHAnsi" w:hAnsiTheme="minorHAnsi"/>
          <w:lang w:val="en-GB"/>
        </w:rPr>
      </w:pPr>
      <w:r w:rsidRPr="006B51B1">
        <w:rPr>
          <w:rFonts w:asciiTheme="minorHAnsi" w:hAnsiTheme="minorHAnsi"/>
          <w:lang w:val="en-GB"/>
        </w:rPr>
        <w:t xml:space="preserve">The </w:t>
      </w:r>
      <w:r w:rsidR="000323AB" w:rsidRPr="006B51B1">
        <w:rPr>
          <w:rFonts w:asciiTheme="minorHAnsi" w:hAnsiTheme="minorHAnsi"/>
          <w:lang w:val="en-GB"/>
        </w:rPr>
        <w:t xml:space="preserve">1977 </w:t>
      </w:r>
      <w:r w:rsidRPr="006B51B1">
        <w:rPr>
          <w:rFonts w:asciiTheme="minorHAnsi" w:hAnsiTheme="minorHAnsi"/>
          <w:lang w:val="en-GB"/>
        </w:rPr>
        <w:t>Act</w:t>
      </w:r>
      <w:r w:rsidR="00E67772" w:rsidRPr="006B51B1">
        <w:rPr>
          <w:rFonts w:asciiTheme="minorHAnsi" w:hAnsiTheme="minorHAnsi"/>
          <w:lang w:val="en-GB"/>
        </w:rPr>
        <w:t xml:space="preserve"> requires a four week notice period to </w:t>
      </w:r>
      <w:r w:rsidR="00813187" w:rsidRPr="006B51B1">
        <w:rPr>
          <w:rFonts w:asciiTheme="minorHAnsi" w:hAnsiTheme="minorHAnsi"/>
          <w:lang w:val="en-GB"/>
        </w:rPr>
        <w:t>end the agreement,</w:t>
      </w:r>
      <w:r w:rsidR="00813187" w:rsidRPr="006B51B1">
        <w:rPr>
          <w:rStyle w:val="FootnoteReference"/>
          <w:rFonts w:asciiTheme="minorHAnsi" w:hAnsiTheme="minorHAnsi"/>
          <w:lang w:val="en-GB"/>
        </w:rPr>
        <w:footnoteReference w:id="31"/>
      </w:r>
      <w:r w:rsidR="00813187" w:rsidRPr="006B51B1">
        <w:rPr>
          <w:rFonts w:asciiTheme="minorHAnsi" w:hAnsiTheme="minorHAnsi"/>
          <w:lang w:val="en-GB"/>
        </w:rPr>
        <w:t xml:space="preserve"> furthermore the occupier cannot be evicted with</w:t>
      </w:r>
      <w:r w:rsidR="0006038A" w:rsidRPr="006B51B1">
        <w:rPr>
          <w:rFonts w:asciiTheme="minorHAnsi" w:hAnsiTheme="minorHAnsi"/>
          <w:lang w:val="en-GB"/>
        </w:rPr>
        <w:t>out</w:t>
      </w:r>
      <w:r w:rsidR="00813187" w:rsidRPr="006B51B1">
        <w:rPr>
          <w:rFonts w:asciiTheme="minorHAnsi" w:hAnsiTheme="minorHAnsi"/>
          <w:lang w:val="en-GB"/>
        </w:rPr>
        <w:t xml:space="preserve"> a court order.</w:t>
      </w:r>
      <w:r w:rsidR="00813187" w:rsidRPr="006B51B1">
        <w:rPr>
          <w:rStyle w:val="FootnoteReference"/>
          <w:rFonts w:asciiTheme="minorHAnsi" w:hAnsiTheme="minorHAnsi"/>
          <w:lang w:val="en-GB"/>
        </w:rPr>
        <w:footnoteReference w:id="32"/>
      </w:r>
      <w:r w:rsidR="00DB56E4" w:rsidRPr="006B51B1">
        <w:rPr>
          <w:rFonts w:asciiTheme="minorHAnsi" w:hAnsiTheme="minorHAnsi"/>
          <w:lang w:val="en-GB"/>
        </w:rPr>
        <w:t xml:space="preserve"> In these cases, however, the</w:t>
      </w:r>
      <w:r w:rsidR="00813187" w:rsidRPr="006B51B1">
        <w:rPr>
          <w:rFonts w:asciiTheme="minorHAnsi" w:hAnsiTheme="minorHAnsi"/>
          <w:lang w:val="en-GB"/>
        </w:rPr>
        <w:t xml:space="preserve"> powers of the courts are very limited. Possession </w:t>
      </w:r>
      <w:r w:rsidR="00813187" w:rsidRPr="006B51B1">
        <w:rPr>
          <w:rFonts w:asciiTheme="minorHAnsi" w:hAnsiTheme="minorHAnsi"/>
          <w:i/>
          <w:lang w:val="en-GB"/>
        </w:rPr>
        <w:t>may</w:t>
      </w:r>
      <w:r w:rsidR="00813187" w:rsidRPr="006B51B1">
        <w:rPr>
          <w:rFonts w:asciiTheme="minorHAnsi" w:hAnsiTheme="minorHAnsi"/>
          <w:lang w:val="en-GB"/>
        </w:rPr>
        <w:t xml:space="preserve"> be postponed for a maximum of 14 days, with the po</w:t>
      </w:r>
      <w:r w:rsidR="00DB56E4" w:rsidRPr="006B51B1">
        <w:rPr>
          <w:rFonts w:asciiTheme="minorHAnsi" w:hAnsiTheme="minorHAnsi"/>
          <w:lang w:val="en-GB"/>
        </w:rPr>
        <w:t>ssible extension to a total maximum of six weeks.</w:t>
      </w:r>
      <w:r w:rsidR="00DB56E4" w:rsidRPr="006B51B1">
        <w:rPr>
          <w:rStyle w:val="FootnoteReference"/>
          <w:rFonts w:asciiTheme="minorHAnsi" w:hAnsiTheme="minorHAnsi"/>
          <w:lang w:val="en-GB"/>
        </w:rPr>
        <w:footnoteReference w:id="33"/>
      </w:r>
    </w:p>
    <w:p w14:paraId="712DF322" w14:textId="77777777" w:rsidR="00CE5C22" w:rsidRPr="006B51B1" w:rsidRDefault="00CE5C22" w:rsidP="000435D2">
      <w:pPr>
        <w:jc w:val="both"/>
        <w:rPr>
          <w:rFonts w:asciiTheme="minorHAnsi" w:hAnsiTheme="minorHAnsi"/>
          <w:i/>
          <w:lang w:val="en-GB"/>
        </w:rPr>
      </w:pPr>
    </w:p>
    <w:p w14:paraId="49792C78" w14:textId="6B380A3D" w:rsidR="00896D06" w:rsidRPr="005E6028" w:rsidRDefault="00202690" w:rsidP="000435D2">
      <w:pPr>
        <w:jc w:val="both"/>
        <w:rPr>
          <w:rFonts w:asciiTheme="minorHAnsi" w:hAnsiTheme="minorHAnsi"/>
          <w:i/>
          <w:lang w:val="en-GB"/>
        </w:rPr>
      </w:pPr>
      <w:r>
        <w:rPr>
          <w:rFonts w:asciiTheme="minorHAnsi" w:hAnsiTheme="minorHAnsi"/>
          <w:i/>
          <w:lang w:val="en-GB"/>
        </w:rPr>
        <w:t xml:space="preserve">2.2 </w:t>
      </w:r>
      <w:r w:rsidR="00896D06" w:rsidRPr="005E6028">
        <w:rPr>
          <w:rFonts w:asciiTheme="minorHAnsi" w:hAnsiTheme="minorHAnsi"/>
          <w:i/>
          <w:lang w:val="en-GB"/>
        </w:rPr>
        <w:t>Private rented tenancies</w:t>
      </w:r>
    </w:p>
    <w:p w14:paraId="2046A8F4" w14:textId="00EC613B" w:rsidR="0081113C" w:rsidRPr="006B51B1" w:rsidRDefault="00DB56E4" w:rsidP="000435D2">
      <w:pPr>
        <w:jc w:val="both"/>
        <w:rPr>
          <w:rFonts w:asciiTheme="minorHAnsi" w:hAnsiTheme="minorHAnsi"/>
          <w:lang w:val="en-GB"/>
        </w:rPr>
      </w:pPr>
      <w:r w:rsidRPr="006B51B1">
        <w:rPr>
          <w:rFonts w:asciiTheme="minorHAnsi" w:hAnsiTheme="minorHAnsi"/>
          <w:lang w:val="en-GB"/>
        </w:rPr>
        <w:t>Turning to the private rented</w:t>
      </w:r>
      <w:r w:rsidR="0006038A" w:rsidRPr="006B51B1">
        <w:rPr>
          <w:rFonts w:asciiTheme="minorHAnsi" w:hAnsiTheme="minorHAnsi"/>
          <w:lang w:val="en-GB"/>
        </w:rPr>
        <w:t xml:space="preserve"> sector</w:t>
      </w:r>
      <w:r w:rsidRPr="006B51B1">
        <w:rPr>
          <w:rFonts w:asciiTheme="minorHAnsi" w:hAnsiTheme="minorHAnsi"/>
          <w:lang w:val="en-GB"/>
        </w:rPr>
        <w:t>, t</w:t>
      </w:r>
      <w:r w:rsidR="0081113C" w:rsidRPr="006B51B1">
        <w:rPr>
          <w:rFonts w:asciiTheme="minorHAnsi" w:hAnsiTheme="minorHAnsi"/>
          <w:lang w:val="en-GB"/>
        </w:rPr>
        <w:t>he current legal settlement was largely established in 1988, when the then Conservative government passed the Housing Act 1988 and effectively deregulated the previous system which had offered a high degree of security to tenants. The pre</w:t>
      </w:r>
      <w:r w:rsidR="001118E6" w:rsidRPr="006B51B1">
        <w:rPr>
          <w:rFonts w:asciiTheme="minorHAnsi" w:hAnsiTheme="minorHAnsi"/>
          <w:lang w:val="en-GB"/>
        </w:rPr>
        <w:t>-</w:t>
      </w:r>
      <w:r w:rsidR="0081113C" w:rsidRPr="006B51B1">
        <w:rPr>
          <w:rFonts w:asciiTheme="minorHAnsi" w:hAnsiTheme="minorHAnsi"/>
          <w:lang w:val="en-GB"/>
        </w:rPr>
        <w:t>1988 position, which had existed from the mid-1960</w:t>
      </w:r>
      <w:r w:rsidR="00BA52C1">
        <w:rPr>
          <w:rFonts w:asciiTheme="minorHAnsi" w:hAnsiTheme="minorHAnsi"/>
          <w:lang w:val="en-GB"/>
        </w:rPr>
        <w:t>s (and in previous decade</w:t>
      </w:r>
      <w:r w:rsidR="0081113C" w:rsidRPr="006B51B1">
        <w:rPr>
          <w:rFonts w:asciiTheme="minorHAnsi" w:hAnsiTheme="minorHAnsi"/>
          <w:lang w:val="en-GB"/>
        </w:rPr>
        <w:t>s</w:t>
      </w:r>
      <w:r w:rsidR="00BA52C1">
        <w:rPr>
          <w:rFonts w:asciiTheme="minorHAnsi" w:hAnsiTheme="minorHAnsi"/>
          <w:lang w:val="en-GB"/>
        </w:rPr>
        <w:t xml:space="preserve"> in slightly different forms)</w:t>
      </w:r>
      <w:r w:rsidR="0081113C" w:rsidRPr="006B51B1">
        <w:rPr>
          <w:rFonts w:asciiTheme="minorHAnsi" w:hAnsiTheme="minorHAnsi"/>
          <w:lang w:val="en-GB"/>
        </w:rPr>
        <w:t xml:space="preserve">, included rent control and quite severely limited grounds on which possession could be obtained (Rent Act 1977). </w:t>
      </w:r>
      <w:r w:rsidRPr="006B51B1">
        <w:rPr>
          <w:rFonts w:asciiTheme="minorHAnsi" w:hAnsiTheme="minorHAnsi"/>
          <w:lang w:val="en-GB"/>
        </w:rPr>
        <w:t xml:space="preserve">Indeed in 1982, </w:t>
      </w:r>
      <w:proofErr w:type="spellStart"/>
      <w:r w:rsidRPr="006B51B1">
        <w:rPr>
          <w:rFonts w:asciiTheme="minorHAnsi" w:hAnsiTheme="minorHAnsi"/>
          <w:lang w:val="en-GB"/>
        </w:rPr>
        <w:t>Honore</w:t>
      </w:r>
      <w:proofErr w:type="spellEnd"/>
      <w:r w:rsidRPr="006B51B1">
        <w:rPr>
          <w:rFonts w:asciiTheme="minorHAnsi" w:hAnsiTheme="minorHAnsi"/>
          <w:lang w:val="en-GB"/>
        </w:rPr>
        <w:t xml:space="preserve"> concluded that the Rent Act 1</w:t>
      </w:r>
      <w:r w:rsidR="000323AB" w:rsidRPr="006B51B1">
        <w:rPr>
          <w:rFonts w:asciiTheme="minorHAnsi" w:hAnsiTheme="minorHAnsi"/>
          <w:lang w:val="en-GB"/>
        </w:rPr>
        <w:t>977 provided ‘</w:t>
      </w:r>
      <w:r w:rsidRPr="006B51B1">
        <w:rPr>
          <w:rFonts w:asciiTheme="minorHAnsi" w:hAnsiTheme="minorHAnsi"/>
          <w:lang w:val="en-GB"/>
        </w:rPr>
        <w:t>those who could not afford to buy their homes with a substitute for home ownership, a right to remain in occupation for at l</w:t>
      </w:r>
      <w:r w:rsidR="000323AB" w:rsidRPr="006B51B1">
        <w:rPr>
          <w:rFonts w:asciiTheme="minorHAnsi" w:hAnsiTheme="minorHAnsi"/>
          <w:lang w:val="en-GB"/>
        </w:rPr>
        <w:t>east a lifetime and often more.’</w:t>
      </w:r>
      <w:r w:rsidRPr="006B51B1">
        <w:rPr>
          <w:rFonts w:asciiTheme="minorHAnsi" w:hAnsiTheme="minorHAnsi"/>
          <w:vertAlign w:val="superscript"/>
          <w:lang w:val="en-GB"/>
        </w:rPr>
        <w:footnoteReference w:id="34"/>
      </w:r>
      <w:r w:rsidRPr="006B51B1">
        <w:rPr>
          <w:rFonts w:asciiTheme="minorHAnsi" w:hAnsiTheme="minorHAnsi"/>
          <w:lang w:val="en-GB"/>
        </w:rPr>
        <w:t xml:space="preserve"> This can be seen as the high-water </w:t>
      </w:r>
      <w:r w:rsidR="00BA52C1">
        <w:rPr>
          <w:rFonts w:asciiTheme="minorHAnsi" w:hAnsiTheme="minorHAnsi"/>
          <w:lang w:val="en-GB"/>
        </w:rPr>
        <w:t>mark</w:t>
      </w:r>
      <w:r w:rsidRPr="006B51B1">
        <w:rPr>
          <w:rFonts w:asciiTheme="minorHAnsi" w:hAnsiTheme="minorHAnsi"/>
          <w:lang w:val="en-GB"/>
        </w:rPr>
        <w:t xml:space="preserve"> of rights for private rented tenants.</w:t>
      </w:r>
    </w:p>
    <w:p w14:paraId="1A43E624" w14:textId="77777777" w:rsidR="00F361EC" w:rsidRPr="006B51B1" w:rsidRDefault="00F361EC" w:rsidP="000435D2">
      <w:pPr>
        <w:jc w:val="both"/>
        <w:rPr>
          <w:rFonts w:asciiTheme="minorHAnsi" w:hAnsiTheme="minorHAnsi"/>
          <w:lang w:val="en-GB"/>
        </w:rPr>
      </w:pPr>
    </w:p>
    <w:p w14:paraId="39E0AC79" w14:textId="20A5605D" w:rsidR="00F361EC" w:rsidRPr="006B51B1" w:rsidRDefault="00CE1197" w:rsidP="000435D2">
      <w:pPr>
        <w:jc w:val="both"/>
        <w:rPr>
          <w:rFonts w:asciiTheme="minorHAnsi" w:hAnsiTheme="minorHAnsi"/>
          <w:lang w:val="en-GB"/>
        </w:rPr>
      </w:pPr>
      <w:r w:rsidRPr="006B51B1">
        <w:rPr>
          <w:rFonts w:asciiTheme="minorHAnsi" w:hAnsiTheme="minorHAnsi"/>
          <w:lang w:val="en-GB"/>
        </w:rPr>
        <w:t xml:space="preserve">The Housing Act 1988 was intended to revive and liberalise the rented market. It </w:t>
      </w:r>
      <w:r w:rsidR="00DB56E4" w:rsidRPr="006B51B1">
        <w:rPr>
          <w:rFonts w:asciiTheme="minorHAnsi" w:hAnsiTheme="minorHAnsi"/>
          <w:lang w:val="en-GB"/>
        </w:rPr>
        <w:t>created two form</w:t>
      </w:r>
      <w:r w:rsidR="00097AC3" w:rsidRPr="006B51B1">
        <w:rPr>
          <w:rFonts w:asciiTheme="minorHAnsi" w:hAnsiTheme="minorHAnsi"/>
          <w:lang w:val="en-GB"/>
        </w:rPr>
        <w:t>s of tenancy: t</w:t>
      </w:r>
      <w:r w:rsidR="00DB56E4" w:rsidRPr="006B51B1">
        <w:rPr>
          <w:rFonts w:asciiTheme="minorHAnsi" w:hAnsiTheme="minorHAnsi"/>
          <w:lang w:val="en-GB"/>
        </w:rPr>
        <w:t xml:space="preserve">he assured tenancy </w:t>
      </w:r>
      <w:r w:rsidR="00097AC3" w:rsidRPr="006B51B1">
        <w:rPr>
          <w:rFonts w:asciiTheme="minorHAnsi" w:hAnsiTheme="minorHAnsi"/>
          <w:lang w:val="en-GB"/>
        </w:rPr>
        <w:t xml:space="preserve">and the assured shorthold tenancy. As originally enacted the assured tenancy was the default tenancy, as landlords had to serve a notice before the start of the tenancy to create a shorthold tenancy. However, this was </w:t>
      </w:r>
      <w:r w:rsidR="00CF2A30" w:rsidRPr="006B51B1">
        <w:rPr>
          <w:rFonts w:asciiTheme="minorHAnsi" w:hAnsiTheme="minorHAnsi"/>
          <w:lang w:val="en-GB"/>
        </w:rPr>
        <w:t>reversed by the Housing Act 1996, so that any tenancy to which the 1988 Act applies is a shorthold</w:t>
      </w:r>
      <w:r w:rsidR="005B29A2" w:rsidRPr="006B51B1">
        <w:rPr>
          <w:rFonts w:asciiTheme="minorHAnsi" w:hAnsiTheme="minorHAnsi"/>
          <w:lang w:val="en-GB"/>
        </w:rPr>
        <w:t xml:space="preserve">, </w:t>
      </w:r>
      <w:r w:rsidR="00CF2A30" w:rsidRPr="006B51B1">
        <w:rPr>
          <w:rFonts w:asciiTheme="minorHAnsi" w:hAnsiTheme="minorHAnsi"/>
          <w:lang w:val="en-GB"/>
        </w:rPr>
        <w:t xml:space="preserve">unless the </w:t>
      </w:r>
      <w:r w:rsidR="005A1C1F" w:rsidRPr="006B51B1">
        <w:rPr>
          <w:rFonts w:asciiTheme="minorHAnsi" w:hAnsiTheme="minorHAnsi"/>
          <w:lang w:val="en-GB"/>
        </w:rPr>
        <w:t>landlord gives notice</w:t>
      </w:r>
      <w:r w:rsidR="005B29A2" w:rsidRPr="006B51B1">
        <w:rPr>
          <w:rFonts w:asciiTheme="minorHAnsi" w:hAnsiTheme="minorHAnsi"/>
          <w:lang w:val="en-GB"/>
        </w:rPr>
        <w:t xml:space="preserve"> otherwise</w:t>
      </w:r>
      <w:r w:rsidR="005A1C1F" w:rsidRPr="006B51B1">
        <w:rPr>
          <w:rFonts w:asciiTheme="minorHAnsi" w:hAnsiTheme="minorHAnsi"/>
          <w:lang w:val="en-GB"/>
        </w:rPr>
        <w:t>.</w:t>
      </w:r>
      <w:r w:rsidR="005A1C1F" w:rsidRPr="006B51B1">
        <w:rPr>
          <w:rStyle w:val="FootnoteReference"/>
          <w:rFonts w:asciiTheme="minorHAnsi" w:hAnsiTheme="minorHAnsi"/>
          <w:lang w:val="en-GB"/>
        </w:rPr>
        <w:footnoteReference w:id="35"/>
      </w:r>
    </w:p>
    <w:p w14:paraId="2634EEAA" w14:textId="77777777" w:rsidR="005A1C1F" w:rsidRPr="006B51B1" w:rsidRDefault="005A1C1F" w:rsidP="000435D2">
      <w:pPr>
        <w:jc w:val="both"/>
        <w:rPr>
          <w:rFonts w:asciiTheme="minorHAnsi" w:hAnsiTheme="minorHAnsi"/>
          <w:lang w:val="en-GB"/>
        </w:rPr>
      </w:pPr>
    </w:p>
    <w:p w14:paraId="07C251D3" w14:textId="075AB841" w:rsidR="00097AC3" w:rsidRPr="006B51B1" w:rsidRDefault="005A1C1F" w:rsidP="000435D2">
      <w:pPr>
        <w:jc w:val="both"/>
        <w:rPr>
          <w:rFonts w:asciiTheme="minorHAnsi" w:hAnsiTheme="minorHAnsi"/>
          <w:lang w:val="en-GB"/>
        </w:rPr>
      </w:pPr>
      <w:r w:rsidRPr="006B51B1">
        <w:rPr>
          <w:rFonts w:asciiTheme="minorHAnsi" w:hAnsiTheme="minorHAnsi"/>
          <w:lang w:val="en-GB"/>
        </w:rPr>
        <w:t>The security position for shorthol</w:t>
      </w:r>
      <w:r w:rsidR="00B35463" w:rsidRPr="006B51B1">
        <w:rPr>
          <w:rFonts w:asciiTheme="minorHAnsi" w:hAnsiTheme="minorHAnsi"/>
          <w:lang w:val="en-GB"/>
        </w:rPr>
        <w:t>d tenants is relatively straight-forward.</w:t>
      </w:r>
      <w:r w:rsidR="00A524ED" w:rsidRPr="006B51B1">
        <w:rPr>
          <w:rFonts w:asciiTheme="minorHAnsi" w:hAnsiTheme="minorHAnsi"/>
          <w:lang w:val="en-GB"/>
        </w:rPr>
        <w:t xml:space="preserve"> </w:t>
      </w:r>
      <w:r w:rsidR="007404CF" w:rsidRPr="006B51B1">
        <w:rPr>
          <w:rFonts w:asciiTheme="minorHAnsi" w:hAnsiTheme="minorHAnsi"/>
          <w:lang w:val="en-GB"/>
        </w:rPr>
        <w:t xml:space="preserve">Whether </w:t>
      </w:r>
      <w:r w:rsidR="001118E6" w:rsidRPr="006B51B1">
        <w:rPr>
          <w:rFonts w:asciiTheme="minorHAnsi" w:hAnsiTheme="minorHAnsi"/>
          <w:lang w:val="en-GB"/>
        </w:rPr>
        <w:t xml:space="preserve">the </w:t>
      </w:r>
      <w:r w:rsidR="007404CF" w:rsidRPr="006B51B1">
        <w:rPr>
          <w:rFonts w:asciiTheme="minorHAnsi" w:hAnsiTheme="minorHAnsi"/>
          <w:lang w:val="en-GB"/>
        </w:rPr>
        <w:t>tenancy is fixed-term or periodic</w:t>
      </w:r>
      <w:r w:rsidR="00477E03" w:rsidRPr="006B51B1">
        <w:rPr>
          <w:rFonts w:asciiTheme="minorHAnsi" w:hAnsiTheme="minorHAnsi"/>
          <w:lang w:val="en-GB"/>
        </w:rPr>
        <w:t>,</w:t>
      </w:r>
      <w:r w:rsidR="007404CF" w:rsidRPr="006B51B1">
        <w:rPr>
          <w:rFonts w:asciiTheme="minorHAnsi" w:hAnsiTheme="minorHAnsi"/>
          <w:lang w:val="en-GB"/>
        </w:rPr>
        <w:t xml:space="preserve"> for the first six-months of the tenancy the landlord can only seek possession as if it is an assured tenancy (see below).</w:t>
      </w:r>
      <w:r w:rsidR="007404CF" w:rsidRPr="006B51B1">
        <w:rPr>
          <w:rStyle w:val="FootnoteReference"/>
          <w:rFonts w:asciiTheme="minorHAnsi" w:hAnsiTheme="minorHAnsi"/>
          <w:lang w:val="en-GB"/>
        </w:rPr>
        <w:footnoteReference w:id="36"/>
      </w:r>
      <w:r w:rsidR="007404CF" w:rsidRPr="006B51B1">
        <w:rPr>
          <w:rFonts w:asciiTheme="minorHAnsi" w:hAnsiTheme="minorHAnsi"/>
          <w:lang w:val="en-GB"/>
        </w:rPr>
        <w:t xml:space="preserve"> </w:t>
      </w:r>
      <w:r w:rsidR="00A524ED" w:rsidRPr="006B51B1">
        <w:rPr>
          <w:rFonts w:asciiTheme="minorHAnsi" w:hAnsiTheme="minorHAnsi"/>
          <w:lang w:val="en-GB"/>
        </w:rPr>
        <w:t xml:space="preserve">If, as is </w:t>
      </w:r>
      <w:r w:rsidR="00B35463" w:rsidRPr="006B51B1">
        <w:rPr>
          <w:rFonts w:asciiTheme="minorHAnsi" w:hAnsiTheme="minorHAnsi"/>
          <w:lang w:val="en-GB"/>
        </w:rPr>
        <w:t>usually the case</w:t>
      </w:r>
      <w:r w:rsidR="00A524ED" w:rsidRPr="006B51B1">
        <w:rPr>
          <w:rFonts w:asciiTheme="minorHAnsi" w:hAnsiTheme="minorHAnsi"/>
          <w:lang w:val="en-GB"/>
        </w:rPr>
        <w:t>, the tenancy is a fixed-term</w:t>
      </w:r>
      <w:r w:rsidR="00477E03" w:rsidRPr="006B51B1">
        <w:rPr>
          <w:rFonts w:asciiTheme="minorHAnsi" w:hAnsiTheme="minorHAnsi"/>
          <w:lang w:val="en-GB"/>
        </w:rPr>
        <w:t>,</w:t>
      </w:r>
      <w:r w:rsidR="00A524ED" w:rsidRPr="006B51B1">
        <w:rPr>
          <w:rFonts w:asciiTheme="minorHAnsi" w:hAnsiTheme="minorHAnsi"/>
          <w:lang w:val="en-GB"/>
        </w:rPr>
        <w:t xml:space="preserve"> </w:t>
      </w:r>
      <w:r w:rsidR="001118E6" w:rsidRPr="006B51B1">
        <w:rPr>
          <w:rFonts w:asciiTheme="minorHAnsi" w:hAnsiTheme="minorHAnsi"/>
          <w:lang w:val="en-GB"/>
        </w:rPr>
        <w:t xml:space="preserve">this limitation will continue </w:t>
      </w:r>
      <w:r w:rsidR="00A524ED" w:rsidRPr="006B51B1">
        <w:rPr>
          <w:rFonts w:asciiTheme="minorHAnsi" w:hAnsiTheme="minorHAnsi"/>
          <w:lang w:val="en-GB"/>
        </w:rPr>
        <w:t xml:space="preserve">through-out </w:t>
      </w:r>
      <w:r w:rsidR="001118E6" w:rsidRPr="006B51B1">
        <w:rPr>
          <w:rFonts w:asciiTheme="minorHAnsi" w:hAnsiTheme="minorHAnsi"/>
          <w:lang w:val="en-GB"/>
        </w:rPr>
        <w:t xml:space="preserve">the </w:t>
      </w:r>
      <w:r w:rsidR="00477E03" w:rsidRPr="006B51B1">
        <w:rPr>
          <w:rFonts w:asciiTheme="minorHAnsi" w:hAnsiTheme="minorHAnsi"/>
          <w:lang w:val="en-GB"/>
        </w:rPr>
        <w:t>period of the fixed term</w:t>
      </w:r>
      <w:r w:rsidR="001118E6" w:rsidRPr="006B51B1">
        <w:rPr>
          <w:rFonts w:asciiTheme="minorHAnsi" w:hAnsiTheme="minorHAnsi"/>
          <w:lang w:val="en-GB"/>
        </w:rPr>
        <w:t xml:space="preserve">. </w:t>
      </w:r>
      <w:r w:rsidR="00A524ED" w:rsidRPr="006B51B1">
        <w:rPr>
          <w:rFonts w:asciiTheme="minorHAnsi" w:hAnsiTheme="minorHAnsi"/>
          <w:lang w:val="en-GB"/>
        </w:rPr>
        <w:t xml:space="preserve">However, </w:t>
      </w:r>
      <w:r w:rsidR="007404CF" w:rsidRPr="006B51B1">
        <w:rPr>
          <w:rFonts w:asciiTheme="minorHAnsi" w:hAnsiTheme="minorHAnsi"/>
          <w:lang w:val="en-GB"/>
        </w:rPr>
        <w:t xml:space="preserve">provided the </w:t>
      </w:r>
      <w:r w:rsidR="007404CF" w:rsidRPr="006B51B1">
        <w:rPr>
          <w:rFonts w:asciiTheme="minorHAnsi" w:hAnsiTheme="minorHAnsi" w:cs="Arial"/>
          <w:lang w:val="en-GB"/>
        </w:rPr>
        <w:t xml:space="preserve">necessary two written month notice </w:t>
      </w:r>
      <w:r w:rsidR="00BA52C1">
        <w:rPr>
          <w:rFonts w:asciiTheme="minorHAnsi" w:hAnsiTheme="minorHAnsi" w:cs="Arial"/>
          <w:lang w:val="en-GB"/>
        </w:rPr>
        <w:t>is</w:t>
      </w:r>
      <w:r w:rsidR="007404CF" w:rsidRPr="006B51B1">
        <w:rPr>
          <w:rFonts w:asciiTheme="minorHAnsi" w:hAnsiTheme="minorHAnsi" w:cs="Arial"/>
          <w:lang w:val="en-GB"/>
        </w:rPr>
        <w:t xml:space="preserve"> given, </w:t>
      </w:r>
      <w:r w:rsidR="007404CF" w:rsidRPr="006B51B1">
        <w:rPr>
          <w:rFonts w:asciiTheme="minorHAnsi" w:hAnsiTheme="minorHAnsi"/>
          <w:lang w:val="en-GB"/>
        </w:rPr>
        <w:t>the landlo</w:t>
      </w:r>
      <w:r w:rsidR="001118E6" w:rsidRPr="006B51B1">
        <w:rPr>
          <w:rFonts w:asciiTheme="minorHAnsi" w:hAnsiTheme="minorHAnsi"/>
          <w:lang w:val="en-GB"/>
        </w:rPr>
        <w:t>rd is</w:t>
      </w:r>
      <w:r w:rsidR="007404CF" w:rsidRPr="006B51B1">
        <w:rPr>
          <w:rFonts w:asciiTheme="minorHAnsi" w:hAnsiTheme="minorHAnsi"/>
          <w:lang w:val="en-GB"/>
        </w:rPr>
        <w:t xml:space="preserve"> entitled to apply for </w:t>
      </w:r>
      <w:r w:rsidR="008579E8" w:rsidRPr="006B51B1">
        <w:rPr>
          <w:rFonts w:asciiTheme="minorHAnsi" w:hAnsiTheme="minorHAnsi" w:cs="Arial"/>
          <w:lang w:val="en-GB"/>
        </w:rPr>
        <w:t>p</w:t>
      </w:r>
      <w:r w:rsidR="007404CF" w:rsidRPr="006B51B1">
        <w:rPr>
          <w:rFonts w:asciiTheme="minorHAnsi" w:hAnsiTheme="minorHAnsi" w:cs="Arial"/>
          <w:lang w:val="en-GB"/>
        </w:rPr>
        <w:t xml:space="preserve">ossession </w:t>
      </w:r>
      <w:r w:rsidR="001118E6" w:rsidRPr="006B51B1">
        <w:rPr>
          <w:rFonts w:asciiTheme="minorHAnsi" w:hAnsiTheme="minorHAnsi" w:cs="Arial"/>
          <w:lang w:val="en-GB"/>
        </w:rPr>
        <w:t>as soon as the fixed term end</w:t>
      </w:r>
      <w:r w:rsidR="00477E03" w:rsidRPr="006B51B1">
        <w:rPr>
          <w:rFonts w:asciiTheme="minorHAnsi" w:hAnsiTheme="minorHAnsi" w:cs="Arial"/>
          <w:lang w:val="en-GB"/>
        </w:rPr>
        <w:t>s</w:t>
      </w:r>
      <w:r w:rsidR="001118E6" w:rsidRPr="006B51B1">
        <w:rPr>
          <w:rFonts w:asciiTheme="minorHAnsi" w:hAnsiTheme="minorHAnsi" w:cs="Arial"/>
          <w:lang w:val="en-GB"/>
        </w:rPr>
        <w:t xml:space="preserve">, and the court </w:t>
      </w:r>
      <w:r w:rsidR="001118E6" w:rsidRPr="00CE6175">
        <w:rPr>
          <w:rFonts w:asciiTheme="minorHAnsi" w:hAnsiTheme="minorHAnsi" w:cs="Arial"/>
          <w:i/>
          <w:lang w:val="en-GB"/>
        </w:rPr>
        <w:t>must</w:t>
      </w:r>
      <w:r w:rsidR="001118E6" w:rsidRPr="006B51B1">
        <w:rPr>
          <w:rFonts w:asciiTheme="minorHAnsi" w:hAnsiTheme="minorHAnsi" w:cs="Arial"/>
          <w:lang w:val="en-GB"/>
        </w:rPr>
        <w:t xml:space="preserve"> give possession.</w:t>
      </w:r>
      <w:r w:rsidR="001118E6" w:rsidRPr="006B51B1">
        <w:rPr>
          <w:rStyle w:val="FootnoteReference"/>
          <w:rFonts w:asciiTheme="minorHAnsi" w:hAnsiTheme="minorHAnsi" w:cs="Arial"/>
          <w:lang w:val="en-GB"/>
        </w:rPr>
        <w:footnoteReference w:id="37"/>
      </w:r>
      <w:r w:rsidR="001118E6" w:rsidRPr="006B51B1">
        <w:rPr>
          <w:rFonts w:asciiTheme="minorHAnsi" w:hAnsiTheme="minorHAnsi"/>
          <w:lang w:val="en-GB"/>
        </w:rPr>
        <w:t xml:space="preserve"> This </w:t>
      </w:r>
      <w:r w:rsidR="00F3414B" w:rsidRPr="006B51B1">
        <w:rPr>
          <w:rFonts w:asciiTheme="minorHAnsi" w:hAnsiTheme="minorHAnsi"/>
          <w:lang w:val="en-GB"/>
        </w:rPr>
        <w:t xml:space="preserve">automatic right to possession </w:t>
      </w:r>
      <w:r w:rsidR="00D4716B" w:rsidRPr="006B51B1">
        <w:rPr>
          <w:rFonts w:asciiTheme="minorHAnsi" w:hAnsiTheme="minorHAnsi"/>
          <w:lang w:val="en-GB"/>
        </w:rPr>
        <w:t xml:space="preserve">provides an incentive for landlords to utilise shorter fixed terms </w:t>
      </w:r>
      <w:r w:rsidR="00D4716B" w:rsidRPr="006B51B1">
        <w:rPr>
          <w:rFonts w:asciiTheme="minorHAnsi" w:hAnsiTheme="minorHAnsi"/>
          <w:lang w:val="en-GB"/>
        </w:rPr>
        <w:lastRenderedPageBreak/>
        <w:t>– generally 12 months or 6 months – as discussed above</w:t>
      </w:r>
      <w:r w:rsidR="00F3414B" w:rsidRPr="006B51B1">
        <w:rPr>
          <w:rFonts w:asciiTheme="minorHAnsi" w:hAnsiTheme="minorHAnsi"/>
          <w:lang w:val="en-GB"/>
        </w:rPr>
        <w:t>. In practice</w:t>
      </w:r>
      <w:r w:rsidR="00994CAC" w:rsidRPr="006B51B1">
        <w:rPr>
          <w:rFonts w:asciiTheme="minorHAnsi" w:hAnsiTheme="minorHAnsi"/>
          <w:lang w:val="en-GB"/>
        </w:rPr>
        <w:t>, private tenants tend to remain in their properties for longer than these fixed terms – within 2015/16, an average of 4.3 years</w:t>
      </w:r>
      <w:r w:rsidR="00994CAC" w:rsidRPr="006B51B1">
        <w:rPr>
          <w:rStyle w:val="FootnoteReference"/>
          <w:rFonts w:asciiTheme="minorHAnsi" w:hAnsiTheme="minorHAnsi"/>
          <w:lang w:val="en-GB"/>
        </w:rPr>
        <w:footnoteReference w:id="38"/>
      </w:r>
      <w:r w:rsidR="00994CAC" w:rsidRPr="006B51B1">
        <w:rPr>
          <w:rFonts w:asciiTheme="minorHAnsi" w:hAnsiTheme="minorHAnsi"/>
          <w:lang w:val="en-GB"/>
        </w:rPr>
        <w:t xml:space="preserve"> – but this legal regime and the need to continually renew tenancy agreements contributes heavily to a churning private rented sector market</w:t>
      </w:r>
      <w:r w:rsidR="007169D1" w:rsidRPr="006B51B1">
        <w:rPr>
          <w:rFonts w:asciiTheme="minorHAnsi" w:hAnsiTheme="minorHAnsi"/>
          <w:lang w:val="en-GB"/>
        </w:rPr>
        <w:t>,</w:t>
      </w:r>
      <w:r w:rsidR="00DE619B" w:rsidRPr="006B51B1">
        <w:rPr>
          <w:rStyle w:val="FootnoteReference"/>
          <w:rFonts w:asciiTheme="minorHAnsi" w:hAnsiTheme="minorHAnsi"/>
          <w:lang w:val="en-GB"/>
        </w:rPr>
        <w:footnoteReference w:id="39"/>
      </w:r>
      <w:r w:rsidR="007169D1" w:rsidRPr="006B51B1">
        <w:rPr>
          <w:rFonts w:asciiTheme="minorHAnsi" w:hAnsiTheme="minorHAnsi"/>
          <w:lang w:val="en-GB"/>
        </w:rPr>
        <w:t xml:space="preserve"> with around a quarter of households having been in their current property for less than a year</w:t>
      </w:r>
      <w:r w:rsidR="00DE619B" w:rsidRPr="006B51B1">
        <w:rPr>
          <w:rFonts w:asciiTheme="minorHAnsi" w:hAnsiTheme="minorHAnsi"/>
          <w:lang w:val="en-GB"/>
        </w:rPr>
        <w:t>.</w:t>
      </w:r>
      <w:r w:rsidR="00DE619B" w:rsidRPr="006B51B1">
        <w:rPr>
          <w:rStyle w:val="FootnoteReference"/>
          <w:rFonts w:asciiTheme="minorHAnsi" w:hAnsiTheme="minorHAnsi"/>
          <w:lang w:val="en-GB"/>
        </w:rPr>
        <w:footnoteReference w:id="40"/>
      </w:r>
    </w:p>
    <w:p w14:paraId="085D61B1" w14:textId="77777777" w:rsidR="00097AC3" w:rsidRPr="006B51B1" w:rsidRDefault="00097AC3" w:rsidP="000435D2">
      <w:pPr>
        <w:jc w:val="both"/>
        <w:rPr>
          <w:rFonts w:asciiTheme="minorHAnsi" w:hAnsiTheme="minorHAnsi"/>
          <w:lang w:val="en-GB"/>
        </w:rPr>
      </w:pPr>
    </w:p>
    <w:p w14:paraId="53AC4C2E" w14:textId="6897ECE2" w:rsidR="00382A57" w:rsidRPr="006B51B1" w:rsidRDefault="00382A57" w:rsidP="000435D2">
      <w:pPr>
        <w:jc w:val="both"/>
        <w:rPr>
          <w:rFonts w:asciiTheme="minorHAnsi" w:hAnsiTheme="minorHAnsi"/>
          <w:lang w:val="en-GB"/>
        </w:rPr>
      </w:pPr>
      <w:r w:rsidRPr="006B51B1">
        <w:rPr>
          <w:rFonts w:asciiTheme="minorHAnsi" w:hAnsiTheme="minorHAnsi"/>
          <w:lang w:val="en-GB"/>
        </w:rPr>
        <w:t xml:space="preserve">The assured tenancy is more secure and closer to both the security </w:t>
      </w:r>
      <w:r w:rsidR="00BA52C1">
        <w:rPr>
          <w:rFonts w:asciiTheme="minorHAnsi" w:hAnsiTheme="minorHAnsi"/>
          <w:lang w:val="en-GB"/>
        </w:rPr>
        <w:t>available in the private sector before 1988</w:t>
      </w:r>
      <w:r w:rsidRPr="006B51B1">
        <w:rPr>
          <w:rFonts w:asciiTheme="minorHAnsi" w:hAnsiTheme="minorHAnsi"/>
          <w:lang w:val="en-GB"/>
        </w:rPr>
        <w:t xml:space="preserve"> an</w:t>
      </w:r>
      <w:r w:rsidR="000435D2" w:rsidRPr="006B51B1">
        <w:rPr>
          <w:rFonts w:asciiTheme="minorHAnsi" w:hAnsiTheme="minorHAnsi"/>
          <w:lang w:val="en-GB"/>
        </w:rPr>
        <w:t>d the secure tenancy for social</w:t>
      </w:r>
      <w:r w:rsidRPr="006B51B1">
        <w:rPr>
          <w:rFonts w:asciiTheme="minorHAnsi" w:hAnsiTheme="minorHAnsi"/>
          <w:lang w:val="en-GB"/>
        </w:rPr>
        <w:t xml:space="preserve"> tenants. </w:t>
      </w:r>
      <w:r w:rsidR="00651EDA" w:rsidRPr="006B51B1">
        <w:rPr>
          <w:rFonts w:asciiTheme="minorHAnsi" w:hAnsiTheme="minorHAnsi"/>
          <w:lang w:val="en-GB"/>
        </w:rPr>
        <w:t>The starting point is that the tenancy can not be terminated with</w:t>
      </w:r>
      <w:r w:rsidR="00CE6175">
        <w:rPr>
          <w:rFonts w:asciiTheme="minorHAnsi" w:hAnsiTheme="minorHAnsi"/>
          <w:lang w:val="en-GB"/>
        </w:rPr>
        <w:t>out</w:t>
      </w:r>
      <w:r w:rsidR="00651EDA" w:rsidRPr="006B51B1">
        <w:rPr>
          <w:rFonts w:asciiTheme="minorHAnsi" w:hAnsiTheme="minorHAnsi"/>
          <w:lang w:val="en-GB"/>
        </w:rPr>
        <w:t xml:space="preserve"> a court order.</w:t>
      </w:r>
      <w:r w:rsidR="00651EDA" w:rsidRPr="006B51B1">
        <w:rPr>
          <w:rStyle w:val="FootnoteReference"/>
          <w:rFonts w:asciiTheme="minorHAnsi" w:hAnsiTheme="minorHAnsi"/>
          <w:lang w:val="en-GB"/>
        </w:rPr>
        <w:footnoteReference w:id="41"/>
      </w:r>
      <w:r w:rsidR="00651EDA" w:rsidRPr="006B51B1">
        <w:rPr>
          <w:rFonts w:asciiTheme="minorHAnsi" w:hAnsiTheme="minorHAnsi"/>
          <w:lang w:val="en-GB"/>
        </w:rPr>
        <w:t xml:space="preserve"> The court cannot make an order unless first</w:t>
      </w:r>
      <w:r w:rsidR="000435D2" w:rsidRPr="006B51B1">
        <w:rPr>
          <w:rFonts w:asciiTheme="minorHAnsi" w:hAnsiTheme="minorHAnsi"/>
          <w:lang w:val="en-GB"/>
        </w:rPr>
        <w:t>,</w:t>
      </w:r>
      <w:r w:rsidR="00651EDA" w:rsidRPr="006B51B1">
        <w:rPr>
          <w:rFonts w:asciiTheme="minorHAnsi" w:hAnsiTheme="minorHAnsi"/>
          <w:lang w:val="en-GB"/>
        </w:rPr>
        <w:t xml:space="preserve"> a notice has been property served by the landlord on the tenant</w:t>
      </w:r>
      <w:r w:rsidR="00651EDA" w:rsidRPr="006B51B1">
        <w:rPr>
          <w:rStyle w:val="FootnoteReference"/>
          <w:rFonts w:asciiTheme="minorHAnsi" w:hAnsiTheme="minorHAnsi"/>
          <w:lang w:val="en-GB"/>
        </w:rPr>
        <w:footnoteReference w:id="42"/>
      </w:r>
      <w:r w:rsidR="00651EDA" w:rsidRPr="006B51B1">
        <w:rPr>
          <w:rFonts w:asciiTheme="minorHAnsi" w:hAnsiTheme="minorHAnsi"/>
          <w:lang w:val="en-GB"/>
        </w:rPr>
        <w:t xml:space="preserve"> and second</w:t>
      </w:r>
      <w:r w:rsidR="000435D2" w:rsidRPr="006B51B1">
        <w:rPr>
          <w:rFonts w:asciiTheme="minorHAnsi" w:hAnsiTheme="minorHAnsi"/>
          <w:lang w:val="en-GB"/>
        </w:rPr>
        <w:t>,</w:t>
      </w:r>
      <w:r w:rsidR="00EA6293" w:rsidRPr="006B51B1">
        <w:rPr>
          <w:rFonts w:asciiTheme="minorHAnsi" w:hAnsiTheme="minorHAnsi"/>
          <w:lang w:val="en-GB"/>
        </w:rPr>
        <w:t xml:space="preserve"> a</w:t>
      </w:r>
      <w:r w:rsidR="00651EDA" w:rsidRPr="006B51B1">
        <w:rPr>
          <w:rFonts w:asciiTheme="minorHAnsi" w:hAnsiTheme="minorHAnsi"/>
          <w:lang w:val="en-GB"/>
        </w:rPr>
        <w:t xml:space="preserve"> ground for eviction </w:t>
      </w:r>
      <w:r w:rsidR="000435D2" w:rsidRPr="006B51B1">
        <w:rPr>
          <w:rFonts w:asciiTheme="minorHAnsi" w:hAnsiTheme="minorHAnsi"/>
          <w:lang w:val="en-GB"/>
        </w:rPr>
        <w:t>h</w:t>
      </w:r>
      <w:r w:rsidR="00651EDA" w:rsidRPr="006B51B1">
        <w:rPr>
          <w:rFonts w:asciiTheme="minorHAnsi" w:hAnsiTheme="minorHAnsi"/>
          <w:lang w:val="en-GB"/>
        </w:rPr>
        <w:t>as been proven.</w:t>
      </w:r>
      <w:r w:rsidR="00262724" w:rsidRPr="006B51B1">
        <w:rPr>
          <w:rStyle w:val="FootnoteReference"/>
          <w:rFonts w:asciiTheme="minorHAnsi" w:hAnsiTheme="minorHAnsi"/>
          <w:lang w:val="en-GB"/>
        </w:rPr>
        <w:footnoteReference w:id="43"/>
      </w:r>
      <w:r w:rsidR="00EA6293" w:rsidRPr="006B51B1">
        <w:rPr>
          <w:rFonts w:asciiTheme="minorHAnsi" w:hAnsiTheme="minorHAnsi"/>
          <w:lang w:val="en-GB"/>
        </w:rPr>
        <w:t xml:space="preserve"> For some grounds, </w:t>
      </w:r>
      <w:r w:rsidR="001937B9">
        <w:rPr>
          <w:rFonts w:asciiTheme="minorHAnsi" w:hAnsiTheme="minorHAnsi"/>
          <w:lang w:val="en-GB"/>
        </w:rPr>
        <w:t>for example,</w:t>
      </w:r>
      <w:r w:rsidR="00EA6293" w:rsidRPr="006B51B1">
        <w:rPr>
          <w:rFonts w:asciiTheme="minorHAnsi" w:hAnsiTheme="minorHAnsi"/>
          <w:lang w:val="en-GB"/>
        </w:rPr>
        <w:t xml:space="preserve"> if the landlord </w:t>
      </w:r>
      <w:r w:rsidR="007C61C9" w:rsidRPr="006B51B1">
        <w:rPr>
          <w:rFonts w:asciiTheme="minorHAnsi" w:hAnsiTheme="minorHAnsi"/>
          <w:lang w:val="en-GB"/>
        </w:rPr>
        <w:t>needs</w:t>
      </w:r>
      <w:r w:rsidR="00EA6293" w:rsidRPr="006B51B1">
        <w:rPr>
          <w:rFonts w:asciiTheme="minorHAnsi" w:hAnsiTheme="minorHAnsi"/>
          <w:lang w:val="en-GB"/>
        </w:rPr>
        <w:t xml:space="preserve"> the house for his own use</w:t>
      </w:r>
      <w:r w:rsidR="001937B9">
        <w:rPr>
          <w:rFonts w:asciiTheme="minorHAnsi" w:hAnsiTheme="minorHAnsi"/>
          <w:lang w:val="en-GB"/>
        </w:rPr>
        <w:t>,</w:t>
      </w:r>
      <w:r w:rsidR="00EA6293" w:rsidRPr="006B51B1">
        <w:rPr>
          <w:rFonts w:asciiTheme="minorHAnsi" w:hAnsiTheme="minorHAnsi"/>
          <w:lang w:val="en-GB"/>
        </w:rPr>
        <w:t xml:space="preserve"> the court </w:t>
      </w:r>
      <w:r w:rsidR="00EA6293" w:rsidRPr="00CE6175">
        <w:rPr>
          <w:rFonts w:asciiTheme="minorHAnsi" w:hAnsiTheme="minorHAnsi"/>
          <w:i/>
          <w:lang w:val="en-GB"/>
        </w:rPr>
        <w:t>must</w:t>
      </w:r>
      <w:r w:rsidR="00EA6293" w:rsidRPr="006B51B1">
        <w:rPr>
          <w:rFonts w:asciiTheme="minorHAnsi" w:hAnsiTheme="minorHAnsi"/>
          <w:lang w:val="en-GB"/>
        </w:rPr>
        <w:t xml:space="preserve"> give possession</w:t>
      </w:r>
      <w:r w:rsidR="00BA52C1">
        <w:rPr>
          <w:rFonts w:asciiTheme="minorHAnsi" w:hAnsiTheme="minorHAnsi"/>
          <w:lang w:val="en-GB"/>
        </w:rPr>
        <w:t>;</w:t>
      </w:r>
      <w:r w:rsidR="00EA6293" w:rsidRPr="006B51B1">
        <w:rPr>
          <w:rFonts w:asciiTheme="minorHAnsi" w:hAnsiTheme="minorHAnsi"/>
          <w:lang w:val="en-GB"/>
        </w:rPr>
        <w:t xml:space="preserve"> for others, </w:t>
      </w:r>
      <w:r w:rsidR="001937B9">
        <w:rPr>
          <w:rFonts w:asciiTheme="minorHAnsi" w:hAnsiTheme="minorHAnsi"/>
          <w:lang w:val="en-GB"/>
        </w:rPr>
        <w:t>for example</w:t>
      </w:r>
      <w:r w:rsidR="00EA6293" w:rsidRPr="006B51B1">
        <w:rPr>
          <w:rFonts w:asciiTheme="minorHAnsi" w:hAnsiTheme="minorHAnsi"/>
          <w:lang w:val="en-GB"/>
        </w:rPr>
        <w:t xml:space="preserve"> rent arrears (if not to</w:t>
      </w:r>
      <w:r w:rsidR="00E06E9D" w:rsidRPr="006B51B1">
        <w:rPr>
          <w:rFonts w:asciiTheme="minorHAnsi" w:hAnsiTheme="minorHAnsi"/>
          <w:lang w:val="en-GB"/>
        </w:rPr>
        <w:t>o</w:t>
      </w:r>
      <w:r w:rsidR="00EA6293" w:rsidRPr="006B51B1">
        <w:rPr>
          <w:rFonts w:asciiTheme="minorHAnsi" w:hAnsiTheme="minorHAnsi"/>
          <w:lang w:val="en-GB"/>
        </w:rPr>
        <w:t xml:space="preserve"> great</w:t>
      </w:r>
      <w:r w:rsidR="00E06E9D" w:rsidRPr="006B51B1">
        <w:rPr>
          <w:rStyle w:val="FootnoteReference"/>
          <w:rFonts w:asciiTheme="minorHAnsi" w:hAnsiTheme="minorHAnsi"/>
          <w:lang w:val="en-GB"/>
        </w:rPr>
        <w:footnoteReference w:id="44"/>
      </w:r>
      <w:r w:rsidR="00E06E9D" w:rsidRPr="006B51B1">
        <w:rPr>
          <w:rFonts w:asciiTheme="minorHAnsi" w:hAnsiTheme="minorHAnsi"/>
          <w:lang w:val="en-GB"/>
        </w:rPr>
        <w:t>)</w:t>
      </w:r>
      <w:r w:rsidR="001937B9">
        <w:rPr>
          <w:rFonts w:asciiTheme="minorHAnsi" w:hAnsiTheme="minorHAnsi"/>
          <w:lang w:val="en-GB"/>
        </w:rPr>
        <w:t>,</w:t>
      </w:r>
      <w:r w:rsidR="00EA6293" w:rsidRPr="006B51B1">
        <w:rPr>
          <w:rFonts w:asciiTheme="minorHAnsi" w:hAnsiTheme="minorHAnsi"/>
          <w:lang w:val="en-GB"/>
        </w:rPr>
        <w:t xml:space="preserve"> the court has a </w:t>
      </w:r>
      <w:r w:rsidR="00EA6293" w:rsidRPr="00CE6175">
        <w:rPr>
          <w:rFonts w:asciiTheme="minorHAnsi" w:hAnsiTheme="minorHAnsi"/>
          <w:i/>
          <w:lang w:val="en-GB"/>
        </w:rPr>
        <w:t>discretion</w:t>
      </w:r>
      <w:r w:rsidR="00EA6293" w:rsidRPr="006B51B1">
        <w:rPr>
          <w:rFonts w:asciiTheme="minorHAnsi" w:hAnsiTheme="minorHAnsi"/>
          <w:lang w:val="en-GB"/>
        </w:rPr>
        <w:t xml:space="preserve"> </w:t>
      </w:r>
      <w:r w:rsidR="00E06E9D" w:rsidRPr="006B51B1">
        <w:rPr>
          <w:rFonts w:asciiTheme="minorHAnsi" w:hAnsiTheme="minorHAnsi"/>
          <w:lang w:val="en-GB"/>
        </w:rPr>
        <w:t>and may stay or postpone possession.</w:t>
      </w:r>
      <w:r w:rsidR="00E06E9D" w:rsidRPr="006B51B1">
        <w:rPr>
          <w:rStyle w:val="FootnoteReference"/>
          <w:rFonts w:asciiTheme="minorHAnsi" w:hAnsiTheme="minorHAnsi"/>
          <w:lang w:val="en-GB"/>
        </w:rPr>
        <w:footnoteReference w:id="45"/>
      </w:r>
    </w:p>
    <w:p w14:paraId="695E8718" w14:textId="77777777" w:rsidR="00382A57" w:rsidRPr="006B51B1" w:rsidRDefault="00382A57" w:rsidP="000435D2">
      <w:pPr>
        <w:jc w:val="both"/>
        <w:rPr>
          <w:rFonts w:asciiTheme="minorHAnsi" w:hAnsiTheme="minorHAnsi"/>
          <w:lang w:val="en-GB"/>
        </w:rPr>
      </w:pPr>
    </w:p>
    <w:p w14:paraId="183FCC5F" w14:textId="5FEDC191" w:rsidR="0037571E" w:rsidRPr="006B51B1" w:rsidRDefault="00202690" w:rsidP="000435D2">
      <w:pPr>
        <w:jc w:val="both"/>
        <w:rPr>
          <w:rFonts w:asciiTheme="minorHAnsi" w:hAnsiTheme="minorHAnsi" w:cs="Arial"/>
          <w:i/>
          <w:lang w:val="en-GB"/>
        </w:rPr>
      </w:pPr>
      <w:r>
        <w:rPr>
          <w:rFonts w:asciiTheme="minorHAnsi" w:hAnsiTheme="minorHAnsi" w:cs="Arial"/>
          <w:i/>
          <w:lang w:val="en-GB"/>
        </w:rPr>
        <w:t xml:space="preserve">2.3 </w:t>
      </w:r>
      <w:r w:rsidR="00896D06" w:rsidRPr="006B51B1">
        <w:rPr>
          <w:rFonts w:asciiTheme="minorHAnsi" w:hAnsiTheme="minorHAnsi" w:cs="Arial"/>
          <w:i/>
          <w:lang w:val="en-GB"/>
        </w:rPr>
        <w:t>Social rented tenancies</w:t>
      </w:r>
    </w:p>
    <w:p w14:paraId="249E33D5" w14:textId="7607796C" w:rsidR="00091C49" w:rsidRPr="006B51B1" w:rsidRDefault="0037571E" w:rsidP="000435D2">
      <w:pPr>
        <w:jc w:val="both"/>
        <w:rPr>
          <w:rFonts w:asciiTheme="minorHAnsi" w:hAnsiTheme="minorHAnsi" w:cs="Arial"/>
          <w:lang w:val="en-GB"/>
        </w:rPr>
      </w:pPr>
      <w:r w:rsidRPr="006B51B1">
        <w:rPr>
          <w:rFonts w:asciiTheme="minorHAnsi" w:hAnsiTheme="minorHAnsi" w:cs="Arial"/>
          <w:lang w:val="en-GB"/>
        </w:rPr>
        <w:t>As noted in the introduction</w:t>
      </w:r>
      <w:r w:rsidR="00C412CD" w:rsidRPr="006B51B1">
        <w:rPr>
          <w:rFonts w:asciiTheme="minorHAnsi" w:hAnsiTheme="minorHAnsi" w:cs="Arial"/>
          <w:lang w:val="en-GB"/>
        </w:rPr>
        <w:t>,</w:t>
      </w:r>
      <w:r w:rsidRPr="006B51B1">
        <w:rPr>
          <w:rFonts w:asciiTheme="minorHAnsi" w:hAnsiTheme="minorHAnsi" w:cs="Arial"/>
          <w:lang w:val="en-GB"/>
        </w:rPr>
        <w:t xml:space="preserve"> the </w:t>
      </w:r>
      <w:r w:rsidR="00382A57" w:rsidRPr="006B51B1">
        <w:rPr>
          <w:rFonts w:asciiTheme="minorHAnsi" w:hAnsiTheme="minorHAnsi" w:cs="Arial"/>
          <w:lang w:val="en-GB"/>
        </w:rPr>
        <w:t>main protection for social tenant</w:t>
      </w:r>
      <w:r w:rsidR="00C412CD" w:rsidRPr="006B51B1">
        <w:rPr>
          <w:rFonts w:asciiTheme="minorHAnsi" w:hAnsiTheme="minorHAnsi" w:cs="Arial"/>
          <w:lang w:val="en-GB"/>
        </w:rPr>
        <w:t>s</w:t>
      </w:r>
      <w:r w:rsidR="00382A57" w:rsidRPr="006B51B1">
        <w:rPr>
          <w:rFonts w:asciiTheme="minorHAnsi" w:hAnsiTheme="minorHAnsi" w:cs="Arial"/>
          <w:lang w:val="en-GB"/>
        </w:rPr>
        <w:t xml:space="preserve"> arrived with the Housing Act 1980 and is now found in the Housing Act 1985</w:t>
      </w:r>
      <w:r w:rsidR="003C5219" w:rsidRPr="006B51B1">
        <w:rPr>
          <w:rFonts w:asciiTheme="minorHAnsi" w:hAnsiTheme="minorHAnsi" w:cs="Arial"/>
          <w:lang w:val="en-GB"/>
        </w:rPr>
        <w:t xml:space="preserve"> – the secure tenancy</w:t>
      </w:r>
      <w:r w:rsidR="00382A57" w:rsidRPr="006B51B1">
        <w:rPr>
          <w:rFonts w:asciiTheme="minorHAnsi" w:hAnsiTheme="minorHAnsi" w:cs="Arial"/>
          <w:lang w:val="en-GB"/>
        </w:rPr>
        <w:t xml:space="preserve">. </w:t>
      </w:r>
      <w:r w:rsidR="00651EDA" w:rsidRPr="006B51B1">
        <w:rPr>
          <w:rFonts w:asciiTheme="minorHAnsi" w:hAnsiTheme="minorHAnsi" w:cs="Arial"/>
          <w:lang w:val="en-GB"/>
        </w:rPr>
        <w:t>However, th</w:t>
      </w:r>
      <w:r w:rsidR="00CD0B53" w:rsidRPr="006B51B1">
        <w:rPr>
          <w:rFonts w:asciiTheme="minorHAnsi" w:hAnsiTheme="minorHAnsi" w:cs="Arial"/>
          <w:lang w:val="en-GB"/>
        </w:rPr>
        <w:t xml:space="preserve">is beguiling simplicity was short-lived. </w:t>
      </w:r>
      <w:r w:rsidR="00C51CD0" w:rsidRPr="006B51B1">
        <w:rPr>
          <w:rFonts w:asciiTheme="minorHAnsi" w:hAnsiTheme="minorHAnsi" w:cs="Arial"/>
          <w:lang w:val="en-GB"/>
        </w:rPr>
        <w:t xml:space="preserve">Firstly, as noted above, from 1989 any new housing association tenancy was an assured tenancy under the Housing Act 1988. </w:t>
      </w:r>
      <w:r w:rsidR="006C6AA2" w:rsidRPr="006B51B1">
        <w:rPr>
          <w:rFonts w:asciiTheme="minorHAnsi" w:hAnsiTheme="minorHAnsi" w:cs="Arial"/>
          <w:lang w:val="en-GB"/>
        </w:rPr>
        <w:t xml:space="preserve">This has led to housing association using assured tenancies in the same way as secure tenancies. </w:t>
      </w:r>
      <w:r w:rsidR="00C51CD0" w:rsidRPr="006B51B1">
        <w:rPr>
          <w:rFonts w:asciiTheme="minorHAnsi" w:hAnsiTheme="minorHAnsi" w:cs="Arial"/>
          <w:lang w:val="en-GB"/>
        </w:rPr>
        <w:t>Secondly, o</w:t>
      </w:r>
      <w:r w:rsidR="00CD0B53" w:rsidRPr="006B51B1">
        <w:rPr>
          <w:rFonts w:asciiTheme="minorHAnsi" w:hAnsiTheme="minorHAnsi" w:cs="Arial"/>
          <w:lang w:val="en-GB"/>
        </w:rPr>
        <w:t xml:space="preserve">ver the last 20 years, </w:t>
      </w:r>
      <w:r w:rsidR="00360239" w:rsidRPr="006B51B1">
        <w:rPr>
          <w:rFonts w:asciiTheme="minorHAnsi" w:hAnsiTheme="minorHAnsi" w:cs="Arial"/>
          <w:lang w:val="en-GB"/>
        </w:rPr>
        <w:t>two intertwined policy</w:t>
      </w:r>
      <w:r w:rsidR="00C412CD" w:rsidRPr="006B51B1">
        <w:rPr>
          <w:rFonts w:asciiTheme="minorHAnsi" w:hAnsiTheme="minorHAnsi" w:cs="Arial"/>
          <w:lang w:val="en-GB"/>
        </w:rPr>
        <w:t xml:space="preserve"> agendas</w:t>
      </w:r>
      <w:r w:rsidR="00CD0B53" w:rsidRPr="006B51B1">
        <w:rPr>
          <w:rFonts w:asciiTheme="minorHAnsi" w:hAnsiTheme="minorHAnsi" w:cs="Arial"/>
          <w:lang w:val="en-GB"/>
        </w:rPr>
        <w:t xml:space="preserve"> have </w:t>
      </w:r>
      <w:r w:rsidR="00B35521" w:rsidRPr="006B51B1">
        <w:rPr>
          <w:rFonts w:asciiTheme="minorHAnsi" w:hAnsiTheme="minorHAnsi" w:cs="Arial"/>
          <w:lang w:val="en-GB"/>
        </w:rPr>
        <w:t>fragmented</w:t>
      </w:r>
      <w:r w:rsidR="00CD0B53" w:rsidRPr="006B51B1">
        <w:rPr>
          <w:rFonts w:asciiTheme="minorHAnsi" w:hAnsiTheme="minorHAnsi" w:cs="Arial"/>
          <w:lang w:val="en-GB"/>
        </w:rPr>
        <w:t xml:space="preserve"> the protections</w:t>
      </w:r>
      <w:r w:rsidR="00C51CD0" w:rsidRPr="006B51B1">
        <w:rPr>
          <w:rFonts w:asciiTheme="minorHAnsi" w:hAnsiTheme="minorHAnsi" w:cs="Arial"/>
          <w:lang w:val="en-GB"/>
        </w:rPr>
        <w:t xml:space="preserve"> in the 1985 Act</w:t>
      </w:r>
      <w:r w:rsidR="00262724" w:rsidRPr="006B51B1">
        <w:rPr>
          <w:rFonts w:asciiTheme="minorHAnsi" w:hAnsiTheme="minorHAnsi" w:cs="Arial"/>
          <w:lang w:val="en-GB"/>
        </w:rPr>
        <w:t>: controlling anti-social behavio</w:t>
      </w:r>
      <w:r w:rsidR="003C5219" w:rsidRPr="006B51B1">
        <w:rPr>
          <w:rFonts w:asciiTheme="minorHAnsi" w:hAnsiTheme="minorHAnsi" w:cs="Arial"/>
          <w:lang w:val="en-GB"/>
        </w:rPr>
        <w:t>u</w:t>
      </w:r>
      <w:r w:rsidR="00262724" w:rsidRPr="006B51B1">
        <w:rPr>
          <w:rFonts w:asciiTheme="minorHAnsi" w:hAnsiTheme="minorHAnsi" w:cs="Arial"/>
          <w:lang w:val="en-GB"/>
        </w:rPr>
        <w:t>r</w:t>
      </w:r>
      <w:r w:rsidR="00674A2E" w:rsidRPr="006B51B1">
        <w:rPr>
          <w:rStyle w:val="FootnoteReference"/>
          <w:rFonts w:asciiTheme="minorHAnsi" w:hAnsiTheme="minorHAnsi" w:cs="Arial"/>
          <w:lang w:val="en-GB"/>
        </w:rPr>
        <w:footnoteReference w:id="46"/>
      </w:r>
      <w:r w:rsidR="00262724" w:rsidRPr="006B51B1">
        <w:rPr>
          <w:rFonts w:asciiTheme="minorHAnsi" w:hAnsiTheme="minorHAnsi" w:cs="Arial"/>
          <w:lang w:val="en-GB"/>
        </w:rPr>
        <w:t xml:space="preserve"> and a ‘</w:t>
      </w:r>
      <w:proofErr w:type="spellStart"/>
      <w:r w:rsidR="00262724" w:rsidRPr="006B51B1">
        <w:rPr>
          <w:rFonts w:asciiTheme="minorHAnsi" w:hAnsiTheme="minorHAnsi" w:cs="Arial"/>
          <w:lang w:val="en-GB"/>
        </w:rPr>
        <w:t>welfarist</w:t>
      </w:r>
      <w:proofErr w:type="spellEnd"/>
      <w:r w:rsidR="00262724" w:rsidRPr="006B51B1">
        <w:rPr>
          <w:rFonts w:asciiTheme="minorHAnsi" w:hAnsiTheme="minorHAnsi" w:cs="Arial"/>
          <w:lang w:val="en-GB"/>
        </w:rPr>
        <w:t>’ model of social housing.</w:t>
      </w:r>
      <w:r w:rsidR="00B35521" w:rsidRPr="006B51B1">
        <w:rPr>
          <w:rStyle w:val="FootnoteReference"/>
          <w:rFonts w:asciiTheme="minorHAnsi" w:hAnsiTheme="minorHAnsi" w:cs="Arial"/>
          <w:lang w:val="en-GB"/>
        </w:rPr>
        <w:footnoteReference w:id="47"/>
      </w:r>
      <w:r w:rsidR="006C6AA2" w:rsidRPr="006B51B1">
        <w:rPr>
          <w:rFonts w:asciiTheme="minorHAnsi" w:hAnsiTheme="minorHAnsi" w:cs="Arial"/>
          <w:lang w:val="en-GB"/>
        </w:rPr>
        <w:t xml:space="preserve"> </w:t>
      </w:r>
      <w:r w:rsidR="00091C49" w:rsidRPr="006B51B1">
        <w:rPr>
          <w:rFonts w:asciiTheme="minorHAnsi" w:hAnsiTheme="minorHAnsi" w:cs="Arial"/>
          <w:lang w:val="en-GB"/>
        </w:rPr>
        <w:t>Consequentially</w:t>
      </w:r>
      <w:r w:rsidR="00B45CEE">
        <w:rPr>
          <w:rFonts w:asciiTheme="minorHAnsi" w:hAnsiTheme="minorHAnsi" w:cs="Arial"/>
          <w:lang w:val="en-GB"/>
        </w:rPr>
        <w:t xml:space="preserve"> to these two points</w:t>
      </w:r>
      <w:r w:rsidR="00091C49" w:rsidRPr="006B51B1">
        <w:rPr>
          <w:rFonts w:asciiTheme="minorHAnsi" w:hAnsiTheme="minorHAnsi" w:cs="Arial"/>
          <w:lang w:val="en-GB"/>
        </w:rPr>
        <w:t>,</w:t>
      </w:r>
      <w:r w:rsidR="006C6AA2" w:rsidRPr="006B51B1">
        <w:rPr>
          <w:rFonts w:asciiTheme="minorHAnsi" w:hAnsiTheme="minorHAnsi" w:cs="Arial"/>
          <w:lang w:val="en-GB"/>
        </w:rPr>
        <w:t xml:space="preserve"> similar changes listed below (</w:t>
      </w:r>
      <w:proofErr w:type="spellStart"/>
      <w:r w:rsidR="006C6AA2" w:rsidRPr="006B51B1">
        <w:rPr>
          <w:rFonts w:asciiTheme="minorHAnsi" w:hAnsiTheme="minorHAnsi" w:cs="Arial"/>
          <w:lang w:val="en-GB"/>
        </w:rPr>
        <w:t>eg</w:t>
      </w:r>
      <w:proofErr w:type="spellEnd"/>
      <w:r w:rsidR="006C6AA2" w:rsidRPr="006B51B1">
        <w:rPr>
          <w:rFonts w:asciiTheme="minorHAnsi" w:hAnsiTheme="minorHAnsi" w:cs="Arial"/>
          <w:lang w:val="en-GB"/>
        </w:rPr>
        <w:t xml:space="preserve"> demoted and flexible tenancies) have also been made to the Housing Act 1988, but only </w:t>
      </w:r>
      <w:r w:rsidR="00091C49" w:rsidRPr="006B51B1">
        <w:rPr>
          <w:rFonts w:asciiTheme="minorHAnsi" w:hAnsiTheme="minorHAnsi" w:cs="Arial"/>
          <w:lang w:val="en-GB"/>
        </w:rPr>
        <w:t>for housing association tenancies, not for private tenancies.</w:t>
      </w:r>
    </w:p>
    <w:p w14:paraId="0E797965" w14:textId="77777777" w:rsidR="003C5219" w:rsidRPr="006B51B1" w:rsidRDefault="003C5219" w:rsidP="000435D2">
      <w:pPr>
        <w:jc w:val="both"/>
        <w:rPr>
          <w:rFonts w:asciiTheme="minorHAnsi" w:hAnsiTheme="minorHAnsi" w:cs="Arial"/>
          <w:lang w:val="en-GB"/>
        </w:rPr>
      </w:pPr>
    </w:p>
    <w:p w14:paraId="063847FF" w14:textId="00C2305C" w:rsidR="003F08E8" w:rsidRPr="006B51B1" w:rsidRDefault="003C5219" w:rsidP="000435D2">
      <w:pPr>
        <w:jc w:val="both"/>
        <w:rPr>
          <w:rFonts w:asciiTheme="minorHAnsi" w:hAnsiTheme="minorHAnsi"/>
          <w:lang w:val="en-GB"/>
        </w:rPr>
      </w:pPr>
      <w:r w:rsidRPr="006B51B1">
        <w:rPr>
          <w:rFonts w:asciiTheme="minorHAnsi" w:hAnsiTheme="minorHAnsi" w:cs="Arial"/>
          <w:lang w:val="en-GB"/>
        </w:rPr>
        <w:t xml:space="preserve">The secure tenancy operates in a similar way to assured tenancies, </w:t>
      </w:r>
      <w:r w:rsidR="00C07A6C">
        <w:rPr>
          <w:rFonts w:asciiTheme="minorHAnsi" w:hAnsiTheme="minorHAnsi" w:cs="Arial"/>
          <w:lang w:val="en-GB"/>
        </w:rPr>
        <w:t>namely,</w:t>
      </w:r>
      <w:r w:rsidRPr="006B51B1">
        <w:rPr>
          <w:rFonts w:asciiTheme="minorHAnsi" w:hAnsiTheme="minorHAnsi" w:cs="Arial"/>
          <w:lang w:val="en-GB"/>
        </w:rPr>
        <w:t xml:space="preserve"> </w:t>
      </w:r>
      <w:r w:rsidRPr="006B51B1">
        <w:rPr>
          <w:rFonts w:asciiTheme="minorHAnsi" w:hAnsiTheme="minorHAnsi"/>
          <w:lang w:val="en-GB"/>
        </w:rPr>
        <w:t>the tenancy cannot be terminated with</w:t>
      </w:r>
      <w:r w:rsidR="00B45CEE">
        <w:rPr>
          <w:rFonts w:asciiTheme="minorHAnsi" w:hAnsiTheme="minorHAnsi"/>
          <w:lang w:val="en-GB"/>
        </w:rPr>
        <w:t>out</w:t>
      </w:r>
      <w:r w:rsidRPr="006B51B1">
        <w:rPr>
          <w:rFonts w:asciiTheme="minorHAnsi" w:hAnsiTheme="minorHAnsi"/>
          <w:lang w:val="en-GB"/>
        </w:rPr>
        <w:t xml:space="preserve"> a court order.</w:t>
      </w:r>
      <w:r w:rsidRPr="006B51B1">
        <w:rPr>
          <w:rStyle w:val="FootnoteReference"/>
          <w:rFonts w:asciiTheme="minorHAnsi" w:hAnsiTheme="minorHAnsi"/>
          <w:lang w:val="en-GB"/>
        </w:rPr>
        <w:footnoteReference w:id="48"/>
      </w:r>
      <w:r w:rsidRPr="006B51B1">
        <w:rPr>
          <w:rFonts w:asciiTheme="minorHAnsi" w:hAnsiTheme="minorHAnsi"/>
          <w:lang w:val="en-GB"/>
        </w:rPr>
        <w:t xml:space="preserve"> The court cannot make an order unless first a notice has been property served by the landlord on the tenant</w:t>
      </w:r>
      <w:r w:rsidRPr="006B51B1">
        <w:rPr>
          <w:rStyle w:val="FootnoteReference"/>
          <w:rFonts w:asciiTheme="minorHAnsi" w:hAnsiTheme="minorHAnsi"/>
          <w:lang w:val="en-GB"/>
        </w:rPr>
        <w:footnoteReference w:id="49"/>
      </w:r>
      <w:r w:rsidRPr="006B51B1">
        <w:rPr>
          <w:rFonts w:asciiTheme="minorHAnsi" w:hAnsiTheme="minorHAnsi"/>
          <w:lang w:val="en-GB"/>
        </w:rPr>
        <w:t xml:space="preserve"> and </w:t>
      </w:r>
      <w:r w:rsidR="00EA6293" w:rsidRPr="006B51B1">
        <w:rPr>
          <w:rFonts w:asciiTheme="minorHAnsi" w:hAnsiTheme="minorHAnsi"/>
          <w:lang w:val="en-GB"/>
        </w:rPr>
        <w:t>second</w:t>
      </w:r>
      <w:r w:rsidR="00B45CEE">
        <w:rPr>
          <w:rFonts w:asciiTheme="minorHAnsi" w:hAnsiTheme="minorHAnsi"/>
          <w:lang w:val="en-GB"/>
        </w:rPr>
        <w:t>ly</w:t>
      </w:r>
      <w:r w:rsidR="00EA6293" w:rsidRPr="006B51B1">
        <w:rPr>
          <w:rFonts w:asciiTheme="minorHAnsi" w:hAnsiTheme="minorHAnsi"/>
          <w:lang w:val="en-GB"/>
        </w:rPr>
        <w:t xml:space="preserve"> a</w:t>
      </w:r>
      <w:r w:rsidRPr="006B51B1">
        <w:rPr>
          <w:rFonts w:asciiTheme="minorHAnsi" w:hAnsiTheme="minorHAnsi"/>
          <w:lang w:val="en-GB"/>
        </w:rPr>
        <w:t xml:space="preserve"> ground for eviction as been proven.</w:t>
      </w:r>
      <w:r w:rsidRPr="006B51B1">
        <w:rPr>
          <w:rStyle w:val="FootnoteReference"/>
          <w:rFonts w:asciiTheme="minorHAnsi" w:hAnsiTheme="minorHAnsi"/>
          <w:lang w:val="en-GB"/>
        </w:rPr>
        <w:footnoteReference w:id="50"/>
      </w:r>
      <w:r w:rsidR="00E06E9D" w:rsidRPr="006B51B1">
        <w:rPr>
          <w:rFonts w:asciiTheme="minorHAnsi" w:hAnsiTheme="minorHAnsi"/>
          <w:lang w:val="en-GB"/>
        </w:rPr>
        <w:t xml:space="preserve"> </w:t>
      </w:r>
      <w:r w:rsidR="00674A2E" w:rsidRPr="006B51B1">
        <w:rPr>
          <w:rFonts w:asciiTheme="minorHAnsi" w:hAnsiTheme="minorHAnsi"/>
          <w:lang w:val="en-GB"/>
        </w:rPr>
        <w:t xml:space="preserve">The grounds </w:t>
      </w:r>
      <w:r w:rsidR="002E3EF5" w:rsidRPr="006B51B1">
        <w:rPr>
          <w:rFonts w:asciiTheme="minorHAnsi" w:hAnsiTheme="minorHAnsi"/>
          <w:lang w:val="en-GB"/>
        </w:rPr>
        <w:t xml:space="preserve">are split in to those where the court </w:t>
      </w:r>
      <w:r w:rsidR="002E3EF5" w:rsidRPr="00B45CEE">
        <w:rPr>
          <w:rFonts w:asciiTheme="minorHAnsi" w:hAnsiTheme="minorHAnsi"/>
          <w:i/>
          <w:lang w:val="en-GB"/>
        </w:rPr>
        <w:t>may</w:t>
      </w:r>
      <w:r w:rsidR="002E3EF5" w:rsidRPr="006B51B1">
        <w:rPr>
          <w:rFonts w:asciiTheme="minorHAnsi" w:hAnsiTheme="minorHAnsi"/>
          <w:lang w:val="en-GB"/>
        </w:rPr>
        <w:t xml:space="preserve"> order </w:t>
      </w:r>
      <w:r w:rsidR="002E3EF5" w:rsidRPr="006B51B1">
        <w:rPr>
          <w:rFonts w:asciiTheme="minorHAnsi" w:hAnsiTheme="minorHAnsi"/>
          <w:lang w:val="en-GB"/>
        </w:rPr>
        <w:lastRenderedPageBreak/>
        <w:t xml:space="preserve">possession, </w:t>
      </w:r>
      <w:r w:rsidR="00C07A6C">
        <w:rPr>
          <w:rFonts w:asciiTheme="minorHAnsi" w:hAnsiTheme="minorHAnsi"/>
          <w:lang w:val="en-GB"/>
        </w:rPr>
        <w:t>for</w:t>
      </w:r>
      <w:r w:rsidR="002E3EF5" w:rsidRPr="006B51B1">
        <w:rPr>
          <w:rFonts w:asciiTheme="minorHAnsi" w:hAnsiTheme="minorHAnsi"/>
          <w:lang w:val="en-GB"/>
        </w:rPr>
        <w:t xml:space="preserve"> rent arrears or anti-behaviour </w:t>
      </w:r>
      <w:r w:rsidR="00C07A6C">
        <w:rPr>
          <w:rFonts w:asciiTheme="minorHAnsi" w:hAnsiTheme="minorHAnsi"/>
          <w:lang w:val="en-GB"/>
        </w:rPr>
        <w:t xml:space="preserve">for example, </w:t>
      </w:r>
      <w:r w:rsidR="002E3EF5" w:rsidRPr="006B51B1">
        <w:rPr>
          <w:rFonts w:asciiTheme="minorHAnsi" w:hAnsiTheme="minorHAnsi"/>
          <w:lang w:val="en-GB"/>
        </w:rPr>
        <w:t xml:space="preserve">and those it </w:t>
      </w:r>
      <w:r w:rsidR="002E3EF5" w:rsidRPr="00B45CEE">
        <w:rPr>
          <w:rFonts w:asciiTheme="minorHAnsi" w:hAnsiTheme="minorHAnsi"/>
          <w:i/>
          <w:lang w:val="en-GB"/>
        </w:rPr>
        <w:t xml:space="preserve">may only </w:t>
      </w:r>
      <w:r w:rsidR="000435D2" w:rsidRPr="00B45CEE">
        <w:rPr>
          <w:rFonts w:asciiTheme="minorHAnsi" w:hAnsiTheme="minorHAnsi"/>
          <w:i/>
          <w:lang w:val="en-GB"/>
        </w:rPr>
        <w:t xml:space="preserve">make </w:t>
      </w:r>
      <w:r w:rsidR="002E3EF5" w:rsidRPr="00B45CEE">
        <w:rPr>
          <w:rFonts w:asciiTheme="minorHAnsi" w:hAnsiTheme="minorHAnsi"/>
          <w:i/>
          <w:lang w:val="en-GB"/>
        </w:rPr>
        <w:t>if suitable alternative accommodation is provided</w:t>
      </w:r>
      <w:r w:rsidR="002E3EF5" w:rsidRPr="006B51B1">
        <w:rPr>
          <w:rFonts w:asciiTheme="minorHAnsi" w:hAnsiTheme="minorHAnsi"/>
          <w:lang w:val="en-GB"/>
        </w:rPr>
        <w:t>.</w:t>
      </w:r>
      <w:r w:rsidR="002E3EF5" w:rsidRPr="006B51B1">
        <w:rPr>
          <w:rStyle w:val="FootnoteReference"/>
          <w:rFonts w:asciiTheme="minorHAnsi" w:hAnsiTheme="minorHAnsi"/>
          <w:lang w:val="en-GB"/>
        </w:rPr>
        <w:footnoteReference w:id="51"/>
      </w:r>
      <w:r w:rsidR="002E3EF5" w:rsidRPr="006B51B1">
        <w:rPr>
          <w:rFonts w:asciiTheme="minorHAnsi" w:hAnsiTheme="minorHAnsi"/>
          <w:lang w:val="en-GB"/>
        </w:rPr>
        <w:t xml:space="preserve"> </w:t>
      </w:r>
      <w:r w:rsidR="00B45CEE">
        <w:rPr>
          <w:rFonts w:asciiTheme="minorHAnsi" w:hAnsiTheme="minorHAnsi"/>
          <w:lang w:val="en-GB"/>
        </w:rPr>
        <w:t xml:space="preserve">There are no mandatory grounds. </w:t>
      </w:r>
    </w:p>
    <w:p w14:paraId="72824FBB" w14:textId="77777777" w:rsidR="003F08E8" w:rsidRPr="006B51B1" w:rsidRDefault="003F08E8" w:rsidP="000435D2">
      <w:pPr>
        <w:jc w:val="both"/>
        <w:rPr>
          <w:rFonts w:asciiTheme="minorHAnsi" w:hAnsiTheme="minorHAnsi"/>
          <w:lang w:val="en-GB"/>
        </w:rPr>
      </w:pPr>
    </w:p>
    <w:p w14:paraId="61468B8D" w14:textId="431B1FE9" w:rsidR="00E5099A" w:rsidRPr="006B51B1" w:rsidRDefault="00E06E9D" w:rsidP="000435D2">
      <w:pPr>
        <w:jc w:val="both"/>
        <w:rPr>
          <w:rFonts w:asciiTheme="minorHAnsi" w:hAnsiTheme="minorHAnsi"/>
          <w:lang w:val="en-GB"/>
        </w:rPr>
      </w:pPr>
      <w:r w:rsidRPr="006B51B1">
        <w:rPr>
          <w:rFonts w:asciiTheme="minorHAnsi" w:hAnsiTheme="minorHAnsi"/>
          <w:lang w:val="en-GB"/>
        </w:rPr>
        <w:t>Many of the sub</w:t>
      </w:r>
      <w:r w:rsidR="00674A2E" w:rsidRPr="006B51B1">
        <w:rPr>
          <w:rFonts w:asciiTheme="minorHAnsi" w:hAnsiTheme="minorHAnsi"/>
          <w:lang w:val="en-GB"/>
        </w:rPr>
        <w:t>sequent changes have built on this model</w:t>
      </w:r>
      <w:r w:rsidR="003F08E8" w:rsidRPr="006B51B1">
        <w:rPr>
          <w:rFonts w:asciiTheme="minorHAnsi" w:hAnsiTheme="minorHAnsi"/>
          <w:lang w:val="en-GB"/>
        </w:rPr>
        <w:t xml:space="preserve">, but with a </w:t>
      </w:r>
      <w:r w:rsidR="00041871" w:rsidRPr="006B51B1">
        <w:rPr>
          <w:rFonts w:asciiTheme="minorHAnsi" w:hAnsiTheme="minorHAnsi"/>
          <w:lang w:val="en-GB"/>
        </w:rPr>
        <w:t>move away from discretion residing in</w:t>
      </w:r>
      <w:r w:rsidR="003F08E8" w:rsidRPr="006B51B1">
        <w:rPr>
          <w:rFonts w:asciiTheme="minorHAnsi" w:hAnsiTheme="minorHAnsi"/>
          <w:lang w:val="en-GB"/>
        </w:rPr>
        <w:t xml:space="preserve"> court to mandatory possession orders</w:t>
      </w:r>
      <w:r w:rsidR="00674A2E" w:rsidRPr="006B51B1">
        <w:rPr>
          <w:rFonts w:asciiTheme="minorHAnsi" w:hAnsiTheme="minorHAnsi"/>
          <w:lang w:val="en-GB"/>
        </w:rPr>
        <w:t>.</w:t>
      </w:r>
      <w:r w:rsidR="00041871" w:rsidRPr="006B51B1">
        <w:rPr>
          <w:rFonts w:asciiTheme="minorHAnsi" w:hAnsiTheme="minorHAnsi"/>
          <w:lang w:val="en-GB"/>
        </w:rPr>
        <w:t xml:space="preserve"> </w:t>
      </w:r>
      <w:r w:rsidR="00E5099A" w:rsidRPr="006B51B1">
        <w:rPr>
          <w:rFonts w:asciiTheme="minorHAnsi" w:hAnsiTheme="minorHAnsi"/>
          <w:lang w:val="en-GB"/>
        </w:rPr>
        <w:t xml:space="preserve">Thus Fitzpatrick and Watt conclude: </w:t>
      </w:r>
    </w:p>
    <w:p w14:paraId="74A73387" w14:textId="5AB7B09F" w:rsidR="00E5099A" w:rsidRPr="006B51B1" w:rsidRDefault="00E5099A" w:rsidP="000435D2">
      <w:pPr>
        <w:ind w:left="720"/>
        <w:jc w:val="both"/>
        <w:rPr>
          <w:rFonts w:asciiTheme="minorHAnsi" w:hAnsiTheme="minorHAnsi"/>
          <w:lang w:val="en-GB"/>
        </w:rPr>
      </w:pPr>
      <w:r w:rsidRPr="006B51B1">
        <w:rPr>
          <w:rFonts w:asciiTheme="minorHAnsi" w:hAnsiTheme="minorHAnsi"/>
          <w:lang w:val="en-GB"/>
        </w:rPr>
        <w:t>‘From the mid-1990s onwards, the introduction of ‘probationary’ periods for new tenants</w:t>
      </w:r>
      <w:r w:rsidR="000B19DC" w:rsidRPr="006B51B1">
        <w:rPr>
          <w:rFonts w:asciiTheme="minorHAnsi" w:hAnsiTheme="minorHAnsi"/>
          <w:lang w:val="en-GB"/>
        </w:rPr>
        <w:t xml:space="preserve"> [introductory tenancies]</w:t>
      </w:r>
      <w:r w:rsidRPr="006B51B1">
        <w:rPr>
          <w:rFonts w:asciiTheme="minorHAnsi" w:hAnsiTheme="minorHAnsi"/>
          <w:lang w:val="en-GB"/>
        </w:rPr>
        <w:t>, and then ‘demoted’ tenancies for those subject to behavioural concerns, began to hedge security of tenure for social tenants. The 2010 UK Coalition Government took this agenda considerably further with the Localism Act 2011, introducing ‘flexibilities’ enabling social landlords in England to offer fixed-term (renewable) tenancies to all new tenants so that “… this scarce public resource can be focused on those who need it most, for as long as they need it”.</w:t>
      </w:r>
      <w:r w:rsidR="000B19DC" w:rsidRPr="006B51B1">
        <w:rPr>
          <w:rFonts w:asciiTheme="minorHAnsi" w:hAnsiTheme="minorHAnsi"/>
          <w:lang w:val="en-GB"/>
        </w:rPr>
        <w:t>’</w:t>
      </w:r>
      <w:r w:rsidRPr="006B51B1">
        <w:rPr>
          <w:rStyle w:val="FootnoteReference"/>
          <w:rFonts w:asciiTheme="minorHAnsi" w:hAnsiTheme="minorHAnsi"/>
          <w:lang w:val="en-GB"/>
        </w:rPr>
        <w:footnoteReference w:id="52"/>
      </w:r>
      <w:r w:rsidRPr="006B51B1">
        <w:rPr>
          <w:rFonts w:asciiTheme="minorHAnsi" w:hAnsiTheme="minorHAnsi"/>
          <w:lang w:val="en-GB"/>
        </w:rPr>
        <w:t xml:space="preserve"> </w:t>
      </w:r>
    </w:p>
    <w:p w14:paraId="25B5D6B1" w14:textId="77777777" w:rsidR="00E5099A" w:rsidRPr="006B51B1" w:rsidRDefault="00E5099A" w:rsidP="000435D2">
      <w:pPr>
        <w:jc w:val="both"/>
        <w:rPr>
          <w:rFonts w:asciiTheme="minorHAnsi" w:hAnsiTheme="minorHAnsi"/>
          <w:lang w:val="en-GB"/>
        </w:rPr>
      </w:pPr>
    </w:p>
    <w:p w14:paraId="60E64E72" w14:textId="53FFB02F" w:rsidR="00AE638E" w:rsidRPr="006B51B1" w:rsidRDefault="00E5099A" w:rsidP="000435D2">
      <w:pPr>
        <w:jc w:val="both"/>
        <w:rPr>
          <w:rFonts w:asciiTheme="minorHAnsi" w:hAnsiTheme="minorHAnsi"/>
          <w:lang w:val="en-GB"/>
        </w:rPr>
      </w:pPr>
      <w:r w:rsidRPr="006B51B1">
        <w:rPr>
          <w:rFonts w:asciiTheme="minorHAnsi" w:hAnsiTheme="minorHAnsi"/>
          <w:lang w:val="en-GB"/>
        </w:rPr>
        <w:t>In a</w:t>
      </w:r>
      <w:r w:rsidR="00041871" w:rsidRPr="006B51B1">
        <w:rPr>
          <w:rFonts w:asciiTheme="minorHAnsi" w:hAnsiTheme="minorHAnsi"/>
          <w:lang w:val="en-GB"/>
        </w:rPr>
        <w:t xml:space="preserve"> number of cases</w:t>
      </w:r>
      <w:r w:rsidR="00D82CD8" w:rsidRPr="006B51B1">
        <w:rPr>
          <w:rStyle w:val="FootnoteReference"/>
          <w:rFonts w:asciiTheme="minorHAnsi" w:hAnsiTheme="minorHAnsi"/>
          <w:lang w:val="en-GB"/>
        </w:rPr>
        <w:footnoteReference w:id="53"/>
      </w:r>
      <w:r w:rsidR="00472B66" w:rsidRPr="006B51B1">
        <w:rPr>
          <w:rFonts w:asciiTheme="minorHAnsi" w:hAnsiTheme="minorHAnsi"/>
          <w:lang w:val="en-GB"/>
        </w:rPr>
        <w:t xml:space="preserve"> </w:t>
      </w:r>
      <w:r w:rsidRPr="006B51B1">
        <w:rPr>
          <w:rFonts w:asciiTheme="minorHAnsi" w:hAnsiTheme="minorHAnsi"/>
          <w:lang w:val="en-GB"/>
        </w:rPr>
        <w:t xml:space="preserve">tenants </w:t>
      </w:r>
      <w:r w:rsidR="00472B66" w:rsidRPr="006B51B1">
        <w:rPr>
          <w:rFonts w:asciiTheme="minorHAnsi" w:hAnsiTheme="minorHAnsi"/>
          <w:lang w:val="en-GB"/>
        </w:rPr>
        <w:t>have</w:t>
      </w:r>
      <w:r w:rsidR="00041871" w:rsidRPr="006B51B1">
        <w:rPr>
          <w:rFonts w:asciiTheme="minorHAnsi" w:hAnsiTheme="minorHAnsi"/>
          <w:lang w:val="en-GB"/>
        </w:rPr>
        <w:t xml:space="preserve"> sought to challenge</w:t>
      </w:r>
      <w:r w:rsidR="00472B66" w:rsidRPr="006B51B1">
        <w:rPr>
          <w:rFonts w:asciiTheme="minorHAnsi" w:hAnsiTheme="minorHAnsi"/>
          <w:lang w:val="en-GB"/>
        </w:rPr>
        <w:t xml:space="preserve"> </w:t>
      </w:r>
      <w:r w:rsidRPr="006B51B1">
        <w:rPr>
          <w:rFonts w:asciiTheme="minorHAnsi" w:hAnsiTheme="minorHAnsi"/>
          <w:lang w:val="en-GB"/>
        </w:rPr>
        <w:t>the enhanced power of social landlords to evict</w:t>
      </w:r>
      <w:r w:rsidR="00472B66" w:rsidRPr="006B51B1">
        <w:rPr>
          <w:rFonts w:asciiTheme="minorHAnsi" w:hAnsiTheme="minorHAnsi"/>
          <w:lang w:val="en-GB"/>
        </w:rPr>
        <w:t xml:space="preserve"> </w:t>
      </w:r>
      <w:r w:rsidR="000B19DC" w:rsidRPr="006B51B1">
        <w:rPr>
          <w:rFonts w:asciiTheme="minorHAnsi" w:hAnsiTheme="minorHAnsi"/>
          <w:lang w:val="en-GB"/>
        </w:rPr>
        <w:t xml:space="preserve">in these new tenancy types, </w:t>
      </w:r>
      <w:r w:rsidR="00472B66" w:rsidRPr="006B51B1">
        <w:rPr>
          <w:rFonts w:asciiTheme="minorHAnsi" w:hAnsiTheme="minorHAnsi"/>
          <w:lang w:val="en-GB"/>
        </w:rPr>
        <w:t xml:space="preserve">through </w:t>
      </w:r>
      <w:r w:rsidR="00AE638E" w:rsidRPr="006B51B1">
        <w:rPr>
          <w:rFonts w:asciiTheme="minorHAnsi" w:hAnsiTheme="minorHAnsi"/>
          <w:lang w:val="en-GB"/>
        </w:rPr>
        <w:t>article 8 of the European Convention on Human Rights and Freedoms.</w:t>
      </w:r>
      <w:r w:rsidR="00AE638E" w:rsidRPr="006B51B1">
        <w:rPr>
          <w:rStyle w:val="FootnoteReference"/>
          <w:rFonts w:asciiTheme="minorHAnsi" w:hAnsiTheme="minorHAnsi"/>
          <w:lang w:val="en-GB"/>
        </w:rPr>
        <w:footnoteReference w:id="54"/>
      </w:r>
      <w:r w:rsidR="00AE638E" w:rsidRPr="006B51B1">
        <w:rPr>
          <w:rFonts w:asciiTheme="minorHAnsi" w:hAnsiTheme="minorHAnsi"/>
          <w:lang w:val="en-GB"/>
        </w:rPr>
        <w:t xml:space="preserve"> In order to comply with art. 8, the Supreme Court decided that:</w:t>
      </w:r>
    </w:p>
    <w:p w14:paraId="383239BF" w14:textId="0CC56CD1" w:rsidR="00AE638E" w:rsidRPr="006B51B1" w:rsidRDefault="00AE638E" w:rsidP="000435D2">
      <w:pPr>
        <w:ind w:left="720"/>
        <w:jc w:val="both"/>
        <w:rPr>
          <w:rFonts w:asciiTheme="minorHAnsi" w:hAnsiTheme="minorHAnsi"/>
          <w:lang w:val="en-GB"/>
        </w:rPr>
      </w:pPr>
      <w:r w:rsidRPr="006B51B1">
        <w:rPr>
          <w:rFonts w:asciiTheme="minorHAnsi" w:hAnsiTheme="minorHAnsi"/>
          <w:lang w:val="en-GB"/>
        </w:rPr>
        <w:t>‘… where a court is asked to make an order for possession of a person's home at the suit of a local authority the court must have the power to assess the proportionality of making the order, and, in making that assessment, to resolve any relevant dispute of fact.’</w:t>
      </w:r>
      <w:r w:rsidRPr="006B51B1">
        <w:rPr>
          <w:rStyle w:val="FootnoteReference"/>
          <w:rFonts w:asciiTheme="minorHAnsi" w:hAnsiTheme="minorHAnsi"/>
          <w:lang w:val="en-GB"/>
        </w:rPr>
        <w:footnoteReference w:id="55"/>
      </w:r>
    </w:p>
    <w:p w14:paraId="6632F518" w14:textId="29FD2068" w:rsidR="00AE638E" w:rsidRPr="006B51B1" w:rsidRDefault="00AE638E" w:rsidP="000435D2">
      <w:pPr>
        <w:jc w:val="both"/>
        <w:rPr>
          <w:rFonts w:asciiTheme="minorHAnsi" w:hAnsiTheme="minorHAnsi"/>
          <w:lang w:val="en-GB"/>
        </w:rPr>
      </w:pPr>
      <w:r w:rsidRPr="006B51B1">
        <w:rPr>
          <w:rFonts w:asciiTheme="minorHAnsi" w:hAnsiTheme="minorHAnsi"/>
          <w:lang w:val="en-GB"/>
        </w:rPr>
        <w:t xml:space="preserve">On the face of </w:t>
      </w:r>
      <w:r w:rsidR="000B19DC" w:rsidRPr="006B51B1">
        <w:rPr>
          <w:rFonts w:asciiTheme="minorHAnsi" w:hAnsiTheme="minorHAnsi"/>
          <w:lang w:val="en-GB"/>
        </w:rPr>
        <w:t>it, this seems to re-instate</w:t>
      </w:r>
      <w:r w:rsidRPr="006B51B1">
        <w:rPr>
          <w:rFonts w:asciiTheme="minorHAnsi" w:hAnsiTheme="minorHAnsi"/>
          <w:lang w:val="en-GB"/>
        </w:rPr>
        <w:t xml:space="preserve"> discretion for the court. In practice this </w:t>
      </w:r>
      <w:r w:rsidR="00B45CEE">
        <w:rPr>
          <w:rFonts w:asciiTheme="minorHAnsi" w:hAnsiTheme="minorHAnsi"/>
          <w:lang w:val="en-GB"/>
        </w:rPr>
        <w:t xml:space="preserve">discretion </w:t>
      </w:r>
      <w:r w:rsidR="00E5099A" w:rsidRPr="006B51B1">
        <w:rPr>
          <w:rFonts w:asciiTheme="minorHAnsi" w:hAnsiTheme="minorHAnsi"/>
          <w:lang w:val="en-GB"/>
        </w:rPr>
        <w:t>h</w:t>
      </w:r>
      <w:r w:rsidRPr="006B51B1">
        <w:rPr>
          <w:rFonts w:asciiTheme="minorHAnsi" w:hAnsiTheme="minorHAnsi"/>
          <w:lang w:val="en-GB"/>
        </w:rPr>
        <w:t>as been very limited.</w:t>
      </w:r>
      <w:r w:rsidRPr="006B51B1">
        <w:rPr>
          <w:rStyle w:val="FootnoteReference"/>
          <w:rFonts w:asciiTheme="minorHAnsi" w:hAnsiTheme="minorHAnsi"/>
          <w:lang w:val="en-GB"/>
        </w:rPr>
        <w:footnoteReference w:id="56"/>
      </w:r>
    </w:p>
    <w:p w14:paraId="28493F08" w14:textId="77777777" w:rsidR="00AE638E" w:rsidRPr="006B51B1" w:rsidRDefault="00AE638E" w:rsidP="000435D2">
      <w:pPr>
        <w:jc w:val="both"/>
        <w:rPr>
          <w:rFonts w:asciiTheme="minorHAnsi" w:hAnsiTheme="minorHAnsi"/>
          <w:lang w:val="en-GB"/>
        </w:rPr>
      </w:pPr>
    </w:p>
    <w:p w14:paraId="0FA03373" w14:textId="47C90B5F" w:rsidR="003C5219" w:rsidRPr="006B51B1" w:rsidRDefault="00AE638E" w:rsidP="000435D2">
      <w:pPr>
        <w:jc w:val="both"/>
        <w:rPr>
          <w:rFonts w:asciiTheme="minorHAnsi" w:hAnsiTheme="minorHAnsi"/>
          <w:lang w:val="en-GB"/>
        </w:rPr>
      </w:pPr>
      <w:r w:rsidRPr="006B51B1">
        <w:rPr>
          <w:rFonts w:asciiTheme="minorHAnsi" w:hAnsiTheme="minorHAnsi"/>
          <w:lang w:val="en-GB"/>
        </w:rPr>
        <w:t>With this in mind, i</w:t>
      </w:r>
      <w:r w:rsidR="00674A2E" w:rsidRPr="006B51B1">
        <w:rPr>
          <w:rFonts w:asciiTheme="minorHAnsi" w:hAnsiTheme="minorHAnsi"/>
          <w:lang w:val="en-GB"/>
        </w:rPr>
        <w:t>n the foll</w:t>
      </w:r>
      <w:r w:rsidR="003F08E8" w:rsidRPr="006B51B1">
        <w:rPr>
          <w:rFonts w:asciiTheme="minorHAnsi" w:hAnsiTheme="minorHAnsi"/>
          <w:lang w:val="en-GB"/>
        </w:rPr>
        <w:t>owing table we set-out</w:t>
      </w:r>
      <w:r w:rsidR="00674A2E" w:rsidRPr="006B51B1">
        <w:rPr>
          <w:rFonts w:asciiTheme="minorHAnsi" w:hAnsiTheme="minorHAnsi"/>
          <w:lang w:val="en-GB"/>
        </w:rPr>
        <w:t xml:space="preserve"> this this main form of tenancies that have </w:t>
      </w:r>
      <w:r w:rsidR="002E3EF5" w:rsidRPr="006B51B1">
        <w:rPr>
          <w:rFonts w:asciiTheme="minorHAnsi" w:hAnsiTheme="minorHAnsi"/>
          <w:lang w:val="en-GB"/>
        </w:rPr>
        <w:t>been added</w:t>
      </w:r>
      <w:r w:rsidR="000B19DC" w:rsidRPr="006B51B1">
        <w:rPr>
          <w:rFonts w:asciiTheme="minorHAnsi" w:hAnsiTheme="minorHAnsi"/>
          <w:lang w:val="en-GB"/>
        </w:rPr>
        <w:t>, with a description of security and the process to evict</w:t>
      </w:r>
      <w:r w:rsidR="002E3EF5" w:rsidRPr="006B51B1">
        <w:rPr>
          <w:rFonts w:asciiTheme="minorHAnsi" w:hAnsiTheme="minorHAnsi"/>
          <w:lang w:val="en-GB"/>
        </w:rPr>
        <w:t>.</w:t>
      </w:r>
    </w:p>
    <w:p w14:paraId="3DDD88F7" w14:textId="77777777" w:rsidR="003C5219" w:rsidRPr="006B51B1" w:rsidRDefault="003C5219" w:rsidP="000435D2">
      <w:pPr>
        <w:jc w:val="both"/>
        <w:rPr>
          <w:rFonts w:asciiTheme="minorHAnsi" w:hAnsiTheme="minorHAns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070"/>
        <w:gridCol w:w="2880"/>
        <w:gridCol w:w="2535"/>
      </w:tblGrid>
      <w:tr w:rsidR="00B45CEE" w:rsidRPr="006B51B1" w14:paraId="057CDE2B" w14:textId="77777777" w:rsidTr="00B45CEE">
        <w:tc>
          <w:tcPr>
            <w:tcW w:w="1525" w:type="dxa"/>
          </w:tcPr>
          <w:p w14:paraId="3821E0C7" w14:textId="16A9B844"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Type of tenancy</w:t>
            </w:r>
          </w:p>
        </w:tc>
        <w:tc>
          <w:tcPr>
            <w:tcW w:w="2070" w:type="dxa"/>
          </w:tcPr>
          <w:p w14:paraId="06B9143A" w14:textId="77777777"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Relevant legislation</w:t>
            </w:r>
          </w:p>
        </w:tc>
        <w:tc>
          <w:tcPr>
            <w:tcW w:w="2880" w:type="dxa"/>
          </w:tcPr>
          <w:p w14:paraId="0549B80F" w14:textId="77777777"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Type of security</w:t>
            </w:r>
          </w:p>
        </w:tc>
        <w:tc>
          <w:tcPr>
            <w:tcW w:w="2535" w:type="dxa"/>
          </w:tcPr>
          <w:p w14:paraId="7826D9C2" w14:textId="4E1B9BF9" w:rsidR="00C51CD0" w:rsidRPr="006B51B1" w:rsidRDefault="000B19DC" w:rsidP="000435D2">
            <w:pPr>
              <w:jc w:val="both"/>
              <w:rPr>
                <w:rFonts w:asciiTheme="minorHAnsi" w:hAnsiTheme="minorHAnsi" w:cs="Arial"/>
                <w:lang w:val="en-GB"/>
              </w:rPr>
            </w:pPr>
            <w:r w:rsidRPr="006B51B1">
              <w:rPr>
                <w:rFonts w:asciiTheme="minorHAnsi" w:hAnsiTheme="minorHAnsi" w:cs="Arial"/>
                <w:lang w:val="en-GB"/>
              </w:rPr>
              <w:t>Eviction process</w:t>
            </w:r>
          </w:p>
        </w:tc>
      </w:tr>
      <w:tr w:rsidR="00B45CEE" w:rsidRPr="006B51B1" w14:paraId="275DC302" w14:textId="77777777" w:rsidTr="00B45CEE">
        <w:tc>
          <w:tcPr>
            <w:tcW w:w="1525" w:type="dxa"/>
          </w:tcPr>
          <w:p w14:paraId="67D56260" w14:textId="3164361C"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Introductory</w:t>
            </w:r>
          </w:p>
        </w:tc>
        <w:tc>
          <w:tcPr>
            <w:tcW w:w="2070" w:type="dxa"/>
          </w:tcPr>
          <w:p w14:paraId="002BE840" w14:textId="6C7CA7FC"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Housing Act 1996</w:t>
            </w:r>
          </w:p>
        </w:tc>
        <w:tc>
          <w:tcPr>
            <w:tcW w:w="2880" w:type="dxa"/>
          </w:tcPr>
          <w:p w14:paraId="4A3AF377" w14:textId="091B1687"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 xml:space="preserve">Applies to all new tenants of council if the council have adopted an </w:t>
            </w:r>
            <w:r w:rsidRPr="006B51B1">
              <w:rPr>
                <w:rFonts w:asciiTheme="minorHAnsi" w:hAnsiTheme="minorHAnsi" w:cs="Arial"/>
                <w:lang w:val="en-GB"/>
              </w:rPr>
              <w:lastRenderedPageBreak/>
              <w:t>introductory tenancy scheme</w:t>
            </w:r>
            <w:r w:rsidR="007C61C9" w:rsidRPr="006B51B1">
              <w:rPr>
                <w:rFonts w:asciiTheme="minorHAnsi" w:hAnsiTheme="minorHAnsi" w:cs="Arial"/>
                <w:lang w:val="en-GB"/>
              </w:rPr>
              <w:t>.</w:t>
            </w:r>
            <w:r w:rsidR="007C61C9" w:rsidRPr="006B51B1">
              <w:rPr>
                <w:rStyle w:val="FootnoteReference"/>
                <w:rFonts w:asciiTheme="minorHAnsi" w:hAnsiTheme="minorHAnsi" w:cs="Arial"/>
                <w:lang w:val="en-GB"/>
              </w:rPr>
              <w:footnoteReference w:id="57"/>
            </w:r>
          </w:p>
          <w:p w14:paraId="6765546A" w14:textId="216487CD" w:rsidR="007C61C9" w:rsidRPr="006B51B1" w:rsidRDefault="007C61C9" w:rsidP="000435D2">
            <w:pPr>
              <w:jc w:val="both"/>
              <w:rPr>
                <w:rFonts w:asciiTheme="minorHAnsi" w:hAnsiTheme="minorHAnsi" w:cs="Arial"/>
                <w:lang w:val="en-GB"/>
              </w:rPr>
            </w:pPr>
            <w:r w:rsidRPr="006B51B1">
              <w:rPr>
                <w:rFonts w:asciiTheme="minorHAnsi" w:hAnsiTheme="minorHAnsi" w:cs="Arial"/>
                <w:lang w:val="en-GB"/>
              </w:rPr>
              <w:t>The tenancy lasts to 12 months, at the completion of 12 months without possession the tenant will become secure</w:t>
            </w:r>
            <w:r w:rsidR="00556A4C" w:rsidRPr="006B51B1">
              <w:rPr>
                <w:rFonts w:asciiTheme="minorHAnsi" w:hAnsiTheme="minorHAnsi" w:cs="Arial"/>
                <w:lang w:val="en-GB"/>
              </w:rPr>
              <w:t xml:space="preserve"> unless possession proceeding are commenced</w:t>
            </w:r>
            <w:r w:rsidRPr="006B51B1">
              <w:rPr>
                <w:rFonts w:asciiTheme="minorHAnsi" w:hAnsiTheme="minorHAnsi" w:cs="Arial"/>
                <w:lang w:val="en-GB"/>
              </w:rPr>
              <w:t>.</w:t>
            </w:r>
            <w:r w:rsidRPr="006B51B1">
              <w:rPr>
                <w:rStyle w:val="FootnoteReference"/>
                <w:rFonts w:asciiTheme="minorHAnsi" w:hAnsiTheme="minorHAnsi" w:cs="Arial"/>
                <w:lang w:val="en-GB"/>
              </w:rPr>
              <w:footnoteReference w:id="58"/>
            </w:r>
          </w:p>
          <w:p w14:paraId="529AFD56" w14:textId="28BA9525"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Possession must be granted by the court if necessary procedures have been complied with.</w:t>
            </w:r>
            <w:r w:rsidR="00556A4C" w:rsidRPr="006B51B1">
              <w:rPr>
                <w:rStyle w:val="FootnoteReference"/>
                <w:rFonts w:asciiTheme="minorHAnsi" w:hAnsiTheme="minorHAnsi" w:cs="Arial"/>
                <w:lang w:val="en-GB"/>
              </w:rPr>
              <w:footnoteReference w:id="59"/>
            </w:r>
          </w:p>
          <w:p w14:paraId="2F799DE4" w14:textId="0B2CCF84" w:rsidR="00C51CD0" w:rsidRPr="006B51B1" w:rsidRDefault="00C51CD0" w:rsidP="000435D2">
            <w:pPr>
              <w:jc w:val="both"/>
              <w:rPr>
                <w:rFonts w:asciiTheme="minorHAnsi" w:hAnsiTheme="minorHAnsi" w:cs="Arial"/>
                <w:lang w:val="en-GB"/>
              </w:rPr>
            </w:pPr>
          </w:p>
        </w:tc>
        <w:tc>
          <w:tcPr>
            <w:tcW w:w="2535" w:type="dxa"/>
          </w:tcPr>
          <w:p w14:paraId="67AB07F9" w14:textId="5121A5BD"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lastRenderedPageBreak/>
              <w:t xml:space="preserve">Prior to seeking possession the landlord must give a notice to the tenant and offer the </w:t>
            </w:r>
            <w:r w:rsidRPr="006B51B1">
              <w:rPr>
                <w:rFonts w:asciiTheme="minorHAnsi" w:hAnsiTheme="minorHAnsi" w:cs="Arial"/>
                <w:lang w:val="en-GB"/>
              </w:rPr>
              <w:lastRenderedPageBreak/>
              <w:t>tenant the opportunity of an internal review</w:t>
            </w:r>
            <w:r w:rsidR="00556A4C" w:rsidRPr="006B51B1">
              <w:rPr>
                <w:rFonts w:asciiTheme="minorHAnsi" w:hAnsiTheme="minorHAnsi" w:cs="Arial"/>
                <w:lang w:val="en-GB"/>
              </w:rPr>
              <w:t>.</w:t>
            </w:r>
            <w:r w:rsidR="00556A4C" w:rsidRPr="006B51B1">
              <w:rPr>
                <w:rStyle w:val="FootnoteReference"/>
                <w:rFonts w:asciiTheme="minorHAnsi" w:hAnsiTheme="minorHAnsi" w:cs="Arial"/>
                <w:lang w:val="en-GB"/>
              </w:rPr>
              <w:footnoteReference w:id="60"/>
            </w:r>
          </w:p>
        </w:tc>
      </w:tr>
      <w:tr w:rsidR="00B45CEE" w:rsidRPr="006B51B1" w14:paraId="2106D56A" w14:textId="77777777" w:rsidTr="00B45CEE">
        <w:tc>
          <w:tcPr>
            <w:tcW w:w="1525" w:type="dxa"/>
          </w:tcPr>
          <w:p w14:paraId="014AB38B" w14:textId="3937BBED"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lastRenderedPageBreak/>
              <w:t>Demoted</w:t>
            </w:r>
          </w:p>
        </w:tc>
        <w:tc>
          <w:tcPr>
            <w:tcW w:w="2070" w:type="dxa"/>
          </w:tcPr>
          <w:p w14:paraId="29D67B31" w14:textId="2A313C3B"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Housing Act 1996, as amended by Anti-social behaviour Act 2003</w:t>
            </w:r>
          </w:p>
        </w:tc>
        <w:tc>
          <w:tcPr>
            <w:tcW w:w="2880" w:type="dxa"/>
          </w:tcPr>
          <w:p w14:paraId="65521514" w14:textId="5AC3293D"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Possession must be granted by the court if necessary procedures have been complied with</w:t>
            </w:r>
            <w:r w:rsidR="005364BD" w:rsidRPr="006B51B1">
              <w:rPr>
                <w:rFonts w:asciiTheme="minorHAnsi" w:hAnsiTheme="minorHAnsi" w:cs="Arial"/>
                <w:lang w:val="en-GB"/>
              </w:rPr>
              <w:t>.</w:t>
            </w:r>
            <w:r w:rsidR="005364BD" w:rsidRPr="006B51B1">
              <w:rPr>
                <w:rStyle w:val="FootnoteReference"/>
                <w:rFonts w:asciiTheme="minorHAnsi" w:hAnsiTheme="minorHAnsi" w:cs="Arial"/>
                <w:lang w:val="en-GB"/>
              </w:rPr>
              <w:footnoteReference w:id="61"/>
            </w:r>
          </w:p>
        </w:tc>
        <w:tc>
          <w:tcPr>
            <w:tcW w:w="2535" w:type="dxa"/>
          </w:tcPr>
          <w:p w14:paraId="0CAB4D8F" w14:textId="06771AAC"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 xml:space="preserve">A demoted tenancy only arises on the making of an order by the court demoting a secure tenancy to a demoted tenancy because of anti-social </w:t>
            </w:r>
            <w:r w:rsidR="005364BD" w:rsidRPr="006B51B1">
              <w:rPr>
                <w:rFonts w:asciiTheme="minorHAnsi" w:hAnsiTheme="minorHAnsi" w:cs="Arial"/>
                <w:lang w:val="en-GB"/>
              </w:rPr>
              <w:t>behaviour.</w:t>
            </w:r>
            <w:r w:rsidR="005364BD" w:rsidRPr="006B51B1">
              <w:rPr>
                <w:rStyle w:val="FootnoteReference"/>
                <w:rFonts w:asciiTheme="minorHAnsi" w:hAnsiTheme="minorHAnsi" w:cs="Arial"/>
                <w:lang w:val="en-GB"/>
              </w:rPr>
              <w:footnoteReference w:id="62"/>
            </w:r>
          </w:p>
          <w:p w14:paraId="18FF9BC0" w14:textId="267A7A73"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Prior to seeking possession the landlord must give a notice to the tenant and offer the tenant the opportunity of an internal review</w:t>
            </w:r>
            <w:r w:rsidR="005364BD" w:rsidRPr="006B51B1">
              <w:rPr>
                <w:rFonts w:asciiTheme="minorHAnsi" w:hAnsiTheme="minorHAnsi" w:cs="Arial"/>
                <w:lang w:val="en-GB"/>
              </w:rPr>
              <w:t>.</w:t>
            </w:r>
            <w:r w:rsidR="005364BD" w:rsidRPr="006B51B1">
              <w:rPr>
                <w:rStyle w:val="FootnoteReference"/>
                <w:rFonts w:asciiTheme="minorHAnsi" w:hAnsiTheme="minorHAnsi" w:cs="Arial"/>
                <w:lang w:val="en-GB"/>
              </w:rPr>
              <w:footnoteReference w:id="63"/>
            </w:r>
          </w:p>
        </w:tc>
      </w:tr>
      <w:tr w:rsidR="00B45CEE" w:rsidRPr="006B51B1" w14:paraId="2915225F" w14:textId="77777777" w:rsidTr="00B45CEE">
        <w:tc>
          <w:tcPr>
            <w:tcW w:w="1525" w:type="dxa"/>
          </w:tcPr>
          <w:p w14:paraId="1BA9612C" w14:textId="43B847D9"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Flexible tenancy</w:t>
            </w:r>
          </w:p>
        </w:tc>
        <w:tc>
          <w:tcPr>
            <w:tcW w:w="2070" w:type="dxa"/>
          </w:tcPr>
          <w:p w14:paraId="4C01986B" w14:textId="0FA920E8"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Localism Act 2011 (amending Housing Act 1985)</w:t>
            </w:r>
          </w:p>
        </w:tc>
        <w:tc>
          <w:tcPr>
            <w:tcW w:w="2880" w:type="dxa"/>
          </w:tcPr>
          <w:p w14:paraId="74412CFD" w14:textId="1F9BA026"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t>Security only for the minimum 2 year fixed term of the tenancy.</w:t>
            </w:r>
            <w:r w:rsidR="000B19DC" w:rsidRPr="006B51B1">
              <w:rPr>
                <w:rStyle w:val="FootnoteReference"/>
                <w:rFonts w:asciiTheme="minorHAnsi" w:hAnsiTheme="minorHAnsi" w:cs="Arial"/>
                <w:lang w:val="en-GB"/>
              </w:rPr>
              <w:footnoteReference w:id="64"/>
            </w:r>
            <w:r w:rsidRPr="006B51B1">
              <w:rPr>
                <w:rFonts w:asciiTheme="minorHAnsi" w:hAnsiTheme="minorHAnsi" w:cs="Arial"/>
                <w:lang w:val="en-GB"/>
              </w:rPr>
              <w:t xml:space="preserve"> If the appropriate notices has been served the court must order possession at the end of the fixed term.</w:t>
            </w:r>
            <w:r w:rsidR="000B19DC" w:rsidRPr="006B51B1">
              <w:rPr>
                <w:rStyle w:val="FootnoteReference"/>
                <w:rFonts w:asciiTheme="minorHAnsi" w:hAnsiTheme="minorHAnsi" w:cs="Arial"/>
                <w:lang w:val="en-GB"/>
              </w:rPr>
              <w:footnoteReference w:id="65"/>
            </w:r>
            <w:r w:rsidRPr="006B51B1">
              <w:rPr>
                <w:rFonts w:asciiTheme="minorHAnsi" w:hAnsiTheme="minorHAnsi" w:cs="Arial"/>
                <w:lang w:val="en-GB"/>
              </w:rPr>
              <w:t xml:space="preserve"> As a form of secure tenancy during the fixed term the council can only evict on </w:t>
            </w:r>
            <w:r w:rsidRPr="006B51B1">
              <w:rPr>
                <w:rFonts w:asciiTheme="minorHAnsi" w:hAnsiTheme="minorHAnsi" w:cs="Arial"/>
                <w:lang w:val="en-GB"/>
              </w:rPr>
              <w:lastRenderedPageBreak/>
              <w:t xml:space="preserve">the same basis as for secure tenancies. </w:t>
            </w:r>
          </w:p>
        </w:tc>
        <w:tc>
          <w:tcPr>
            <w:tcW w:w="2535" w:type="dxa"/>
          </w:tcPr>
          <w:p w14:paraId="4491D13E" w14:textId="305B8DC0" w:rsidR="00C51CD0" w:rsidRPr="006B51B1" w:rsidRDefault="00C51CD0" w:rsidP="000435D2">
            <w:pPr>
              <w:jc w:val="both"/>
              <w:rPr>
                <w:rFonts w:asciiTheme="minorHAnsi" w:hAnsiTheme="minorHAnsi" w:cs="Arial"/>
                <w:lang w:val="en-GB"/>
              </w:rPr>
            </w:pPr>
            <w:r w:rsidRPr="006B51B1">
              <w:rPr>
                <w:rFonts w:asciiTheme="minorHAnsi" w:hAnsiTheme="minorHAnsi" w:cs="Arial"/>
                <w:lang w:val="en-GB"/>
              </w:rPr>
              <w:lastRenderedPageBreak/>
              <w:t>To terminate, six months before the end of the tenancy the landlord must give a notice stating that the tenancy will not be renewed and giving reasons. A tenant can seek an internal review of this notice.</w:t>
            </w:r>
            <w:r w:rsidR="000B19DC" w:rsidRPr="006B51B1">
              <w:rPr>
                <w:rStyle w:val="FootnoteReference"/>
                <w:rFonts w:asciiTheme="minorHAnsi" w:hAnsiTheme="minorHAnsi" w:cs="Arial"/>
                <w:lang w:val="en-GB"/>
              </w:rPr>
              <w:footnoteReference w:id="66"/>
            </w:r>
          </w:p>
        </w:tc>
      </w:tr>
    </w:tbl>
    <w:p w14:paraId="45BDC9C6" w14:textId="77777777" w:rsidR="00F361EC" w:rsidRPr="006B51B1" w:rsidRDefault="00F361EC" w:rsidP="000435D2">
      <w:pPr>
        <w:jc w:val="both"/>
        <w:rPr>
          <w:rFonts w:asciiTheme="minorHAnsi" w:hAnsiTheme="minorHAnsi" w:cs="Arial"/>
          <w:lang w:val="en-GB"/>
        </w:rPr>
      </w:pPr>
    </w:p>
    <w:p w14:paraId="2D1B66E8" w14:textId="3F27B7CF" w:rsidR="0016102A" w:rsidRPr="006B51B1" w:rsidRDefault="00202690" w:rsidP="000435D2">
      <w:pPr>
        <w:jc w:val="both"/>
        <w:rPr>
          <w:rFonts w:asciiTheme="minorHAnsi" w:hAnsiTheme="minorHAnsi" w:cs="Arial"/>
          <w:i/>
          <w:lang w:val="en-GB"/>
        </w:rPr>
      </w:pPr>
      <w:r>
        <w:rPr>
          <w:rFonts w:asciiTheme="minorHAnsi" w:hAnsiTheme="minorHAnsi"/>
          <w:i/>
          <w:lang w:val="en-GB"/>
        </w:rPr>
        <w:t xml:space="preserve">2.4 </w:t>
      </w:r>
      <w:r w:rsidR="0016102A" w:rsidRPr="006B51B1">
        <w:rPr>
          <w:rFonts w:asciiTheme="minorHAnsi" w:hAnsiTheme="minorHAnsi"/>
          <w:i/>
          <w:lang w:val="en-GB"/>
        </w:rPr>
        <w:t>Right to succession</w:t>
      </w:r>
    </w:p>
    <w:p w14:paraId="2C188AF5" w14:textId="02CE499D" w:rsidR="0016102A" w:rsidRPr="006B51B1" w:rsidRDefault="000B19DC" w:rsidP="000435D2">
      <w:pPr>
        <w:jc w:val="both"/>
        <w:rPr>
          <w:rFonts w:asciiTheme="minorHAnsi" w:hAnsiTheme="minorHAnsi" w:cs="Arial"/>
          <w:lang w:val="en-GB"/>
        </w:rPr>
      </w:pPr>
      <w:r w:rsidRPr="006B51B1">
        <w:rPr>
          <w:rFonts w:asciiTheme="minorHAnsi" w:hAnsiTheme="minorHAnsi" w:cs="Arial"/>
          <w:lang w:val="en-GB"/>
        </w:rPr>
        <w:t>A further element</w:t>
      </w:r>
      <w:r w:rsidR="008D5B48" w:rsidRPr="006B51B1">
        <w:rPr>
          <w:rFonts w:asciiTheme="minorHAnsi" w:hAnsiTheme="minorHAnsi" w:cs="Arial"/>
          <w:lang w:val="en-GB"/>
        </w:rPr>
        <w:t xml:space="preserve"> of securit</w:t>
      </w:r>
      <w:r w:rsidR="000435D2" w:rsidRPr="006B51B1">
        <w:rPr>
          <w:rFonts w:asciiTheme="minorHAnsi" w:hAnsiTheme="minorHAnsi" w:cs="Arial"/>
          <w:lang w:val="en-GB"/>
        </w:rPr>
        <w:t>y is the right of family members to remain</w:t>
      </w:r>
      <w:r w:rsidR="008D5B48" w:rsidRPr="006B51B1">
        <w:rPr>
          <w:rFonts w:asciiTheme="minorHAnsi" w:hAnsiTheme="minorHAnsi" w:cs="Arial"/>
          <w:lang w:val="en-GB"/>
        </w:rPr>
        <w:t xml:space="preserve"> in the home after the death of the original tenant. This has been a feature of the rights of tenants since</w:t>
      </w:r>
      <w:r w:rsidRPr="006B51B1">
        <w:rPr>
          <w:rFonts w:asciiTheme="minorHAnsi" w:hAnsiTheme="minorHAnsi" w:cs="Arial"/>
          <w:lang w:val="en-GB"/>
        </w:rPr>
        <w:t xml:space="preserve"> </w:t>
      </w:r>
      <w:r w:rsidR="008D5B48" w:rsidRPr="006B51B1">
        <w:rPr>
          <w:rFonts w:asciiTheme="minorHAnsi" w:hAnsiTheme="minorHAnsi" w:cs="Arial"/>
          <w:lang w:val="en-GB"/>
        </w:rPr>
        <w:t>before the Rent Act 1977.</w:t>
      </w:r>
      <w:r w:rsidR="008D5B48" w:rsidRPr="006B51B1">
        <w:rPr>
          <w:rStyle w:val="FootnoteReference"/>
          <w:rFonts w:asciiTheme="minorHAnsi" w:hAnsiTheme="minorHAnsi" w:cs="Arial"/>
          <w:lang w:val="en-GB"/>
        </w:rPr>
        <w:footnoteReference w:id="67"/>
      </w:r>
      <w:r w:rsidR="008D5B48" w:rsidRPr="006B51B1">
        <w:rPr>
          <w:rFonts w:asciiTheme="minorHAnsi" w:hAnsiTheme="minorHAnsi" w:cs="Arial"/>
          <w:lang w:val="en-GB"/>
        </w:rPr>
        <w:t xml:space="preserve"> Both the Housing Act 1988 for </w:t>
      </w:r>
      <w:r w:rsidR="00572E54" w:rsidRPr="006B51B1">
        <w:rPr>
          <w:rFonts w:asciiTheme="minorHAnsi" w:hAnsiTheme="minorHAnsi" w:cs="Arial"/>
          <w:lang w:val="en-GB"/>
        </w:rPr>
        <w:t xml:space="preserve">assured tenants and the Housing Act 1985 for secure tenants provide some </w:t>
      </w:r>
      <w:r w:rsidR="00C77B13" w:rsidRPr="006B51B1">
        <w:rPr>
          <w:rFonts w:asciiTheme="minorHAnsi" w:hAnsiTheme="minorHAnsi" w:cs="Arial"/>
          <w:lang w:val="en-GB"/>
        </w:rPr>
        <w:t xml:space="preserve">rights to </w:t>
      </w:r>
      <w:r w:rsidR="00572E54" w:rsidRPr="006B51B1">
        <w:rPr>
          <w:rFonts w:asciiTheme="minorHAnsi" w:hAnsiTheme="minorHAnsi" w:cs="Arial"/>
          <w:lang w:val="en-GB"/>
        </w:rPr>
        <w:t xml:space="preserve">succession. </w:t>
      </w:r>
    </w:p>
    <w:p w14:paraId="6DEBD02C" w14:textId="77777777" w:rsidR="00572E54" w:rsidRPr="006B51B1" w:rsidRDefault="00572E54" w:rsidP="000435D2">
      <w:pPr>
        <w:jc w:val="both"/>
        <w:rPr>
          <w:rFonts w:asciiTheme="minorHAnsi" w:hAnsiTheme="minorHAnsi" w:cs="Arial"/>
          <w:lang w:val="en-GB"/>
        </w:rPr>
      </w:pPr>
    </w:p>
    <w:p w14:paraId="0A9E2BB6" w14:textId="48366672" w:rsidR="00572E54" w:rsidRPr="006B51B1" w:rsidRDefault="00572E54" w:rsidP="000435D2">
      <w:pPr>
        <w:jc w:val="both"/>
        <w:rPr>
          <w:rFonts w:asciiTheme="minorHAnsi" w:hAnsiTheme="minorHAnsi" w:cs="Arial"/>
          <w:lang w:val="en-GB"/>
        </w:rPr>
      </w:pPr>
      <w:r w:rsidRPr="006B51B1">
        <w:rPr>
          <w:rFonts w:asciiTheme="minorHAnsi" w:hAnsiTheme="minorHAnsi" w:cs="Arial"/>
          <w:lang w:val="en-GB"/>
        </w:rPr>
        <w:t xml:space="preserve">Under the Housing Act 1988 the spouse or civil partner living in </w:t>
      </w:r>
      <w:r w:rsidR="00C94A99">
        <w:rPr>
          <w:rFonts w:asciiTheme="minorHAnsi" w:hAnsiTheme="minorHAnsi" w:cs="Arial"/>
          <w:lang w:val="en-GB"/>
        </w:rPr>
        <w:t xml:space="preserve">the </w:t>
      </w:r>
      <w:r w:rsidRPr="006B51B1">
        <w:rPr>
          <w:rFonts w:asciiTheme="minorHAnsi" w:hAnsiTheme="minorHAnsi" w:cs="Arial"/>
          <w:lang w:val="en-GB"/>
        </w:rPr>
        <w:t>home at the time of the death of the tenant is entitled to succeed.</w:t>
      </w:r>
      <w:r w:rsidRPr="006B51B1">
        <w:rPr>
          <w:rStyle w:val="FootnoteReference"/>
          <w:rFonts w:asciiTheme="minorHAnsi" w:hAnsiTheme="minorHAnsi" w:cs="Arial"/>
          <w:lang w:val="en-GB"/>
        </w:rPr>
        <w:footnoteReference w:id="68"/>
      </w:r>
      <w:r w:rsidR="00C80E67" w:rsidRPr="006B51B1">
        <w:rPr>
          <w:rFonts w:asciiTheme="minorHAnsi" w:hAnsiTheme="minorHAnsi" w:cs="Arial"/>
          <w:lang w:val="en-GB"/>
        </w:rPr>
        <w:t xml:space="preserve"> For secure tenant</w:t>
      </w:r>
      <w:r w:rsidR="00BA52C1">
        <w:rPr>
          <w:rFonts w:asciiTheme="minorHAnsi" w:hAnsiTheme="minorHAnsi" w:cs="Arial"/>
          <w:lang w:val="en-GB"/>
        </w:rPr>
        <w:t>s</w:t>
      </w:r>
      <w:r w:rsidR="00C80E67" w:rsidRPr="006B51B1">
        <w:rPr>
          <w:rFonts w:asciiTheme="minorHAnsi" w:hAnsiTheme="minorHAnsi" w:cs="Arial"/>
          <w:lang w:val="en-GB"/>
        </w:rPr>
        <w:t xml:space="preserve"> this also include</w:t>
      </w:r>
      <w:r w:rsidR="00C94A99">
        <w:rPr>
          <w:rFonts w:asciiTheme="minorHAnsi" w:hAnsiTheme="minorHAnsi" w:cs="Arial"/>
          <w:lang w:val="en-GB"/>
        </w:rPr>
        <w:t>d,</w:t>
      </w:r>
      <w:r w:rsidR="00C80E67" w:rsidRPr="006B51B1">
        <w:rPr>
          <w:rFonts w:asciiTheme="minorHAnsi" w:hAnsiTheme="minorHAnsi" w:cs="Arial"/>
          <w:lang w:val="en-GB"/>
        </w:rPr>
        <w:t xml:space="preserve"> where there no spouse or civil partner, the right to succession of other family members.</w:t>
      </w:r>
      <w:r w:rsidR="00C80E67" w:rsidRPr="006B51B1">
        <w:rPr>
          <w:rStyle w:val="FootnoteReference"/>
          <w:rFonts w:asciiTheme="minorHAnsi" w:hAnsiTheme="minorHAnsi" w:cs="Arial"/>
          <w:lang w:val="en-GB"/>
        </w:rPr>
        <w:footnoteReference w:id="69"/>
      </w:r>
      <w:r w:rsidR="00C80E67" w:rsidRPr="006B51B1">
        <w:rPr>
          <w:rFonts w:asciiTheme="minorHAnsi" w:hAnsiTheme="minorHAnsi" w:cs="Arial"/>
          <w:lang w:val="en-GB"/>
        </w:rPr>
        <w:t xml:space="preserve"> Since 2012,</w:t>
      </w:r>
      <w:r w:rsidR="00F60F49" w:rsidRPr="006B51B1">
        <w:rPr>
          <w:rStyle w:val="FootnoteReference"/>
          <w:rFonts w:asciiTheme="minorHAnsi" w:hAnsiTheme="minorHAnsi" w:cs="Arial"/>
          <w:lang w:val="en-GB"/>
        </w:rPr>
        <w:footnoteReference w:id="70"/>
      </w:r>
      <w:r w:rsidR="00C80E67" w:rsidRPr="006B51B1">
        <w:rPr>
          <w:rFonts w:asciiTheme="minorHAnsi" w:hAnsiTheme="minorHAnsi" w:cs="Arial"/>
          <w:lang w:val="en-GB"/>
        </w:rPr>
        <w:t xml:space="preserve"> the law was amended so other family members either of secure tenant or assured tenants of housing associations have also </w:t>
      </w:r>
      <w:r w:rsidR="000435D2" w:rsidRPr="006B51B1">
        <w:rPr>
          <w:rFonts w:asciiTheme="minorHAnsi" w:hAnsiTheme="minorHAnsi" w:cs="Arial"/>
          <w:lang w:val="en-GB"/>
        </w:rPr>
        <w:t xml:space="preserve">had the right to succeed, </w:t>
      </w:r>
      <w:r w:rsidR="00C80E67" w:rsidRPr="006B51B1">
        <w:rPr>
          <w:rFonts w:asciiTheme="minorHAnsi" w:hAnsiTheme="minorHAnsi" w:cs="Arial"/>
          <w:lang w:val="en-GB"/>
        </w:rPr>
        <w:t>but</w:t>
      </w:r>
      <w:r w:rsidR="000435D2" w:rsidRPr="006B51B1">
        <w:rPr>
          <w:rFonts w:asciiTheme="minorHAnsi" w:hAnsiTheme="minorHAnsi" w:cs="Arial"/>
          <w:lang w:val="en-GB"/>
        </w:rPr>
        <w:t xml:space="preserve"> only</w:t>
      </w:r>
      <w:r w:rsidR="00C80E67" w:rsidRPr="006B51B1">
        <w:rPr>
          <w:rFonts w:asciiTheme="minorHAnsi" w:hAnsiTheme="minorHAnsi" w:cs="Arial"/>
          <w:lang w:val="en-GB"/>
        </w:rPr>
        <w:t xml:space="preserve"> if the tenancy provided for the right</w:t>
      </w:r>
      <w:r w:rsidR="00C94A99">
        <w:rPr>
          <w:rFonts w:asciiTheme="minorHAnsi" w:hAnsiTheme="minorHAnsi" w:cs="Arial"/>
          <w:lang w:val="en-GB"/>
        </w:rPr>
        <w:t>.</w:t>
      </w:r>
      <w:r w:rsidR="00C07A6C">
        <w:rPr>
          <w:rFonts w:asciiTheme="minorHAnsi" w:hAnsiTheme="minorHAnsi" w:cs="Arial"/>
          <w:lang w:val="en-GB"/>
        </w:rPr>
        <w:t xml:space="preserve"> </w:t>
      </w:r>
      <w:r w:rsidR="00C94A99">
        <w:rPr>
          <w:rFonts w:asciiTheme="minorHAnsi" w:hAnsiTheme="minorHAnsi" w:cs="Arial"/>
          <w:lang w:val="en-GB"/>
        </w:rPr>
        <w:t>N</w:t>
      </w:r>
      <w:r w:rsidR="00C07A6C">
        <w:rPr>
          <w:rFonts w:asciiTheme="minorHAnsi" w:hAnsiTheme="minorHAnsi" w:cs="Arial"/>
          <w:lang w:val="en-GB"/>
        </w:rPr>
        <w:t>amely,</w:t>
      </w:r>
      <w:r w:rsidR="00C80E67" w:rsidRPr="006B51B1">
        <w:rPr>
          <w:rFonts w:asciiTheme="minorHAnsi" w:hAnsiTheme="minorHAnsi" w:cs="Arial"/>
          <w:lang w:val="en-GB"/>
        </w:rPr>
        <w:t xml:space="preserve"> the landlord could </w:t>
      </w:r>
      <w:r w:rsidR="00C07A6C">
        <w:rPr>
          <w:rFonts w:asciiTheme="minorHAnsi" w:hAnsiTheme="minorHAnsi" w:cs="Arial"/>
          <w:lang w:val="en-GB"/>
        </w:rPr>
        <w:t xml:space="preserve">opt to </w:t>
      </w:r>
      <w:r w:rsidR="00C80E67" w:rsidRPr="006B51B1">
        <w:rPr>
          <w:rFonts w:asciiTheme="minorHAnsi" w:hAnsiTheme="minorHAnsi" w:cs="Arial"/>
          <w:lang w:val="en-GB"/>
        </w:rPr>
        <w:t xml:space="preserve">exclude the right. </w:t>
      </w:r>
    </w:p>
    <w:p w14:paraId="06C61A60" w14:textId="77777777" w:rsidR="000B19DC" w:rsidRPr="006B51B1" w:rsidRDefault="000B19DC" w:rsidP="000435D2">
      <w:pPr>
        <w:jc w:val="both"/>
        <w:rPr>
          <w:rFonts w:asciiTheme="minorHAnsi" w:hAnsiTheme="minorHAnsi" w:cs="Arial"/>
          <w:b/>
          <w:lang w:val="en-GB"/>
        </w:rPr>
      </w:pPr>
    </w:p>
    <w:p w14:paraId="1CF27DCF" w14:textId="6EA42054" w:rsidR="00F361EC" w:rsidRPr="00202690" w:rsidRDefault="00896D06" w:rsidP="005E6028">
      <w:pPr>
        <w:pStyle w:val="ListParagraph"/>
        <w:numPr>
          <w:ilvl w:val="0"/>
          <w:numId w:val="2"/>
        </w:numPr>
        <w:jc w:val="both"/>
        <w:rPr>
          <w:rFonts w:asciiTheme="minorHAnsi" w:hAnsiTheme="minorHAnsi" w:cs="Arial"/>
          <w:b/>
          <w:lang w:val="en-GB"/>
        </w:rPr>
      </w:pPr>
      <w:r w:rsidRPr="00202690">
        <w:rPr>
          <w:rFonts w:asciiTheme="minorHAnsi" w:hAnsiTheme="minorHAnsi" w:cs="Arial"/>
          <w:b/>
          <w:lang w:val="en-GB"/>
        </w:rPr>
        <w:t>Control</w:t>
      </w:r>
    </w:p>
    <w:p w14:paraId="05DD0F74" w14:textId="78FBE5FB" w:rsidR="00FD0233" w:rsidRPr="006B51B1" w:rsidRDefault="00FD0233" w:rsidP="000435D2">
      <w:pPr>
        <w:jc w:val="both"/>
        <w:rPr>
          <w:rFonts w:asciiTheme="minorHAnsi" w:hAnsiTheme="minorHAnsi"/>
          <w:lang w:val="en-GB"/>
        </w:rPr>
      </w:pPr>
      <w:r w:rsidRPr="006B51B1">
        <w:rPr>
          <w:rFonts w:asciiTheme="minorHAnsi" w:hAnsiTheme="minorHAnsi"/>
          <w:lang w:val="en-GB"/>
        </w:rPr>
        <w:t>The starting point for control is the tenancy</w:t>
      </w:r>
      <w:r w:rsidR="00442430" w:rsidRPr="006B51B1">
        <w:rPr>
          <w:rFonts w:asciiTheme="minorHAnsi" w:hAnsiTheme="minorHAnsi"/>
          <w:lang w:val="en-GB"/>
        </w:rPr>
        <w:t>; the balance between the rights of the tenant and the l</w:t>
      </w:r>
      <w:r w:rsidR="00AD70B2" w:rsidRPr="006B51B1">
        <w:rPr>
          <w:rFonts w:asciiTheme="minorHAnsi" w:hAnsiTheme="minorHAnsi"/>
          <w:lang w:val="en-GB"/>
        </w:rPr>
        <w:t>andlord</w:t>
      </w:r>
      <w:r w:rsidR="00087243">
        <w:rPr>
          <w:rFonts w:asciiTheme="minorHAnsi" w:hAnsiTheme="minorHAnsi"/>
          <w:lang w:val="en-GB"/>
        </w:rPr>
        <w:t xml:space="preserve"> to use or to</w:t>
      </w:r>
      <w:r w:rsidR="00303942">
        <w:rPr>
          <w:rFonts w:asciiTheme="minorHAnsi" w:hAnsiTheme="minorHAnsi"/>
          <w:lang w:val="en-GB"/>
        </w:rPr>
        <w:t xml:space="preserve"> limit the occupancy</w:t>
      </w:r>
      <w:r w:rsidRPr="006B51B1">
        <w:rPr>
          <w:rFonts w:asciiTheme="minorHAnsi" w:hAnsiTheme="minorHAnsi"/>
          <w:lang w:val="en-GB"/>
        </w:rPr>
        <w:t xml:space="preserve">. </w:t>
      </w:r>
      <w:r w:rsidR="00896D06" w:rsidRPr="006B51B1">
        <w:rPr>
          <w:rFonts w:asciiTheme="minorHAnsi" w:hAnsiTheme="minorHAnsi"/>
          <w:lang w:val="en-GB"/>
        </w:rPr>
        <w:t>As summarised by Arden et al</w:t>
      </w:r>
      <w:r w:rsidRPr="006B51B1">
        <w:rPr>
          <w:rFonts w:asciiTheme="minorHAnsi" w:hAnsiTheme="minorHAnsi"/>
          <w:lang w:val="en-GB"/>
        </w:rPr>
        <w:t>:</w:t>
      </w:r>
      <w:r w:rsidRPr="006B51B1">
        <w:rPr>
          <w:rStyle w:val="FootnoteReference"/>
          <w:rFonts w:asciiTheme="minorHAnsi" w:hAnsiTheme="minorHAnsi"/>
          <w:lang w:val="en-GB"/>
        </w:rPr>
        <w:footnoteReference w:id="71"/>
      </w:r>
      <w:r w:rsidR="00896D06" w:rsidRPr="006B51B1">
        <w:rPr>
          <w:rFonts w:asciiTheme="minorHAnsi" w:hAnsiTheme="minorHAnsi"/>
          <w:lang w:val="en-GB"/>
        </w:rPr>
        <w:t xml:space="preserve"> </w:t>
      </w:r>
    </w:p>
    <w:p w14:paraId="638C47CA" w14:textId="7EEBD182" w:rsidR="00651EDA" w:rsidRPr="006B51B1" w:rsidRDefault="003B355A" w:rsidP="000435D2">
      <w:pPr>
        <w:ind w:left="720"/>
        <w:jc w:val="both"/>
        <w:rPr>
          <w:rFonts w:asciiTheme="minorHAnsi" w:hAnsiTheme="minorHAnsi"/>
          <w:lang w:val="en-GB"/>
        </w:rPr>
      </w:pPr>
      <w:r>
        <w:rPr>
          <w:rFonts w:asciiTheme="minorHAnsi" w:hAnsiTheme="minorHAnsi"/>
          <w:lang w:val="en-GB"/>
        </w:rPr>
        <w:t>‘</w:t>
      </w:r>
      <w:r w:rsidR="00896D06" w:rsidRPr="006B51B1">
        <w:rPr>
          <w:rFonts w:asciiTheme="minorHAnsi" w:hAnsiTheme="minorHAnsi"/>
          <w:lang w:val="en-GB"/>
        </w:rPr>
        <w:t>there can be no tenancy unless the occupier takes possession of the premises in question, and that possession is exclusive… [W]hat is means is that the tenant has the right to exclude all others from the pre</w:t>
      </w:r>
      <w:r w:rsidR="00087243">
        <w:rPr>
          <w:rFonts w:asciiTheme="minorHAnsi" w:hAnsiTheme="minorHAnsi"/>
          <w:lang w:val="en-GB"/>
        </w:rPr>
        <w:t>mises, including the landlord.’</w:t>
      </w:r>
    </w:p>
    <w:p w14:paraId="6C6DE85F" w14:textId="0437EB8E" w:rsidR="00BB2DFE" w:rsidRPr="006B51B1" w:rsidRDefault="00303942" w:rsidP="000435D2">
      <w:pPr>
        <w:jc w:val="both"/>
        <w:rPr>
          <w:rFonts w:asciiTheme="minorHAnsi" w:hAnsiTheme="minorHAnsi"/>
          <w:lang w:val="en-GB"/>
        </w:rPr>
      </w:pPr>
      <w:r>
        <w:rPr>
          <w:rFonts w:asciiTheme="minorHAnsi" w:hAnsiTheme="minorHAnsi"/>
          <w:lang w:val="en-GB"/>
        </w:rPr>
        <w:t>Indeed, i</w:t>
      </w:r>
      <w:r w:rsidR="00FD0233" w:rsidRPr="006B51B1">
        <w:rPr>
          <w:rFonts w:asciiTheme="minorHAnsi" w:hAnsiTheme="minorHAnsi"/>
          <w:lang w:val="en-GB"/>
        </w:rPr>
        <w:t xml:space="preserve">t is implied in to any tenancy that the tenant has the </w:t>
      </w:r>
      <w:r>
        <w:rPr>
          <w:rFonts w:asciiTheme="minorHAnsi" w:hAnsiTheme="minorHAnsi"/>
          <w:lang w:val="en-GB"/>
        </w:rPr>
        <w:t>‘</w:t>
      </w:r>
      <w:r w:rsidR="00FD0233" w:rsidRPr="006B51B1">
        <w:rPr>
          <w:rFonts w:asciiTheme="minorHAnsi" w:hAnsiTheme="minorHAnsi"/>
          <w:lang w:val="en-GB"/>
        </w:rPr>
        <w:t>q</w:t>
      </w:r>
      <w:r w:rsidR="00651EDA" w:rsidRPr="006B51B1">
        <w:rPr>
          <w:rFonts w:asciiTheme="minorHAnsi" w:hAnsiTheme="minorHAnsi"/>
          <w:lang w:val="en-GB"/>
        </w:rPr>
        <w:t>uiet enjoyment</w:t>
      </w:r>
      <w:r>
        <w:rPr>
          <w:rFonts w:asciiTheme="minorHAnsi" w:hAnsiTheme="minorHAnsi"/>
          <w:lang w:val="en-GB"/>
        </w:rPr>
        <w:t>’</w:t>
      </w:r>
      <w:r w:rsidR="00C4051B" w:rsidRPr="006B51B1">
        <w:rPr>
          <w:rFonts w:asciiTheme="minorHAnsi" w:hAnsiTheme="minorHAnsi"/>
          <w:lang w:val="en-GB"/>
        </w:rPr>
        <w:t xml:space="preserve"> of the </w:t>
      </w:r>
      <w:r w:rsidR="00CB0753" w:rsidRPr="006B51B1">
        <w:rPr>
          <w:rFonts w:asciiTheme="minorHAnsi" w:hAnsiTheme="minorHAnsi"/>
          <w:lang w:val="en-GB"/>
        </w:rPr>
        <w:t>premises, i</w:t>
      </w:r>
      <w:r w:rsidR="004D0FE0">
        <w:rPr>
          <w:rFonts w:asciiTheme="minorHAnsi" w:hAnsiTheme="minorHAnsi"/>
          <w:lang w:val="en-GB"/>
        </w:rPr>
        <w:t>.</w:t>
      </w:r>
      <w:r w:rsidR="00CB0753" w:rsidRPr="006B51B1">
        <w:rPr>
          <w:rFonts w:asciiTheme="minorHAnsi" w:hAnsiTheme="minorHAnsi"/>
          <w:lang w:val="en-GB"/>
        </w:rPr>
        <w:t>e</w:t>
      </w:r>
      <w:r w:rsidR="004D0FE0">
        <w:rPr>
          <w:rFonts w:asciiTheme="minorHAnsi" w:hAnsiTheme="minorHAnsi"/>
          <w:lang w:val="en-GB"/>
        </w:rPr>
        <w:t>.</w:t>
      </w:r>
      <w:r w:rsidR="00CB0753" w:rsidRPr="006B51B1">
        <w:rPr>
          <w:rFonts w:asciiTheme="minorHAnsi" w:hAnsiTheme="minorHAnsi"/>
          <w:lang w:val="en-GB"/>
        </w:rPr>
        <w:t xml:space="preserve"> the landlord will not interfere with the tenant’s law possession of the premises.</w:t>
      </w:r>
      <w:r w:rsidR="00CB0753" w:rsidRPr="006B51B1">
        <w:rPr>
          <w:rStyle w:val="FootnoteReference"/>
          <w:rFonts w:asciiTheme="minorHAnsi" w:hAnsiTheme="minorHAnsi"/>
          <w:lang w:val="en-GB"/>
        </w:rPr>
        <w:footnoteReference w:id="72"/>
      </w:r>
      <w:r w:rsidR="00896D06" w:rsidRPr="006B51B1">
        <w:rPr>
          <w:rFonts w:asciiTheme="minorHAnsi" w:hAnsiTheme="minorHAnsi"/>
          <w:lang w:val="en-GB"/>
        </w:rPr>
        <w:t xml:space="preserve"> </w:t>
      </w:r>
      <w:r w:rsidR="00CB0753" w:rsidRPr="006B51B1">
        <w:rPr>
          <w:rFonts w:asciiTheme="minorHAnsi" w:hAnsiTheme="minorHAnsi"/>
          <w:lang w:val="en-GB"/>
        </w:rPr>
        <w:t>There does not need to</w:t>
      </w:r>
      <w:r w:rsidR="008672F7">
        <w:rPr>
          <w:rFonts w:asciiTheme="minorHAnsi" w:hAnsiTheme="minorHAnsi"/>
          <w:lang w:val="en-GB"/>
        </w:rPr>
        <w:t xml:space="preserve"> be</w:t>
      </w:r>
      <w:r w:rsidR="00CB0753" w:rsidRPr="006B51B1">
        <w:rPr>
          <w:rFonts w:asciiTheme="minorHAnsi" w:hAnsiTheme="minorHAnsi"/>
          <w:lang w:val="en-GB"/>
        </w:rPr>
        <w:t xml:space="preserve"> physical</w:t>
      </w:r>
      <w:r w:rsidR="007B7CB6" w:rsidRPr="006B51B1">
        <w:rPr>
          <w:rFonts w:asciiTheme="minorHAnsi" w:hAnsiTheme="minorHAnsi"/>
          <w:lang w:val="en-GB"/>
        </w:rPr>
        <w:t xml:space="preserve"> dispossession to breach the co</w:t>
      </w:r>
      <w:r w:rsidR="00CB0753" w:rsidRPr="006B51B1">
        <w:rPr>
          <w:rFonts w:asciiTheme="minorHAnsi" w:hAnsiTheme="minorHAnsi"/>
          <w:lang w:val="en-GB"/>
        </w:rPr>
        <w:t xml:space="preserve">venant. Interference with tenant’s comfort or the comfort </w:t>
      </w:r>
      <w:r w:rsidR="00830B3E">
        <w:rPr>
          <w:rFonts w:asciiTheme="minorHAnsi" w:hAnsiTheme="minorHAnsi"/>
          <w:lang w:val="en-GB"/>
        </w:rPr>
        <w:t xml:space="preserve">of the </w:t>
      </w:r>
      <w:r w:rsidR="00D50631" w:rsidRPr="006B51B1">
        <w:rPr>
          <w:rFonts w:asciiTheme="minorHAnsi" w:hAnsiTheme="minorHAnsi"/>
          <w:lang w:val="en-GB"/>
        </w:rPr>
        <w:t xml:space="preserve">tenant’s </w:t>
      </w:r>
      <w:r w:rsidR="00CB0753" w:rsidRPr="006B51B1">
        <w:rPr>
          <w:rFonts w:asciiTheme="minorHAnsi" w:hAnsiTheme="minorHAnsi"/>
          <w:lang w:val="en-GB"/>
        </w:rPr>
        <w:t>family is sufficient.</w:t>
      </w:r>
      <w:r w:rsidR="007B7CB6" w:rsidRPr="006B51B1">
        <w:rPr>
          <w:rStyle w:val="FootnoteReference"/>
          <w:rFonts w:asciiTheme="minorHAnsi" w:hAnsiTheme="minorHAnsi"/>
          <w:lang w:val="en-GB"/>
        </w:rPr>
        <w:footnoteReference w:id="73"/>
      </w:r>
      <w:r w:rsidR="00CB0753" w:rsidRPr="006B51B1">
        <w:rPr>
          <w:rFonts w:asciiTheme="minorHAnsi" w:hAnsiTheme="minorHAnsi"/>
          <w:lang w:val="en-GB"/>
        </w:rPr>
        <w:t xml:space="preserve"> </w:t>
      </w:r>
      <w:r w:rsidR="00BB2DFE" w:rsidRPr="006B51B1">
        <w:rPr>
          <w:rFonts w:asciiTheme="minorHAnsi" w:hAnsiTheme="minorHAnsi"/>
          <w:lang w:val="en-GB"/>
        </w:rPr>
        <w:t>There are both civil</w:t>
      </w:r>
      <w:r w:rsidR="00BB2DFE" w:rsidRPr="006B51B1">
        <w:rPr>
          <w:rStyle w:val="FootnoteReference"/>
          <w:rFonts w:asciiTheme="minorHAnsi" w:hAnsiTheme="minorHAnsi"/>
          <w:lang w:val="en-GB"/>
        </w:rPr>
        <w:footnoteReference w:id="74"/>
      </w:r>
      <w:r w:rsidR="00BB2DFE" w:rsidRPr="006B51B1">
        <w:rPr>
          <w:rFonts w:asciiTheme="minorHAnsi" w:hAnsiTheme="minorHAnsi"/>
          <w:lang w:val="en-GB"/>
        </w:rPr>
        <w:t xml:space="preserve"> and criminal</w:t>
      </w:r>
      <w:r w:rsidR="00BB2DFE" w:rsidRPr="006B51B1">
        <w:rPr>
          <w:rStyle w:val="FootnoteReference"/>
          <w:rFonts w:asciiTheme="minorHAnsi" w:hAnsiTheme="minorHAnsi"/>
          <w:lang w:val="en-GB"/>
        </w:rPr>
        <w:footnoteReference w:id="75"/>
      </w:r>
      <w:r w:rsidR="00BB2DFE" w:rsidRPr="006B51B1">
        <w:rPr>
          <w:rFonts w:asciiTheme="minorHAnsi" w:hAnsiTheme="minorHAnsi"/>
          <w:lang w:val="en-GB"/>
        </w:rPr>
        <w:t xml:space="preserve"> remedies for tenants whose quiet enjoyment has been breached.</w:t>
      </w:r>
    </w:p>
    <w:p w14:paraId="665F58C1" w14:textId="77777777" w:rsidR="007B7CB6" w:rsidRPr="006B51B1" w:rsidRDefault="007B7CB6" w:rsidP="000435D2">
      <w:pPr>
        <w:jc w:val="both"/>
        <w:rPr>
          <w:rFonts w:asciiTheme="minorHAnsi" w:hAnsiTheme="minorHAnsi"/>
          <w:lang w:val="en-GB"/>
        </w:rPr>
      </w:pPr>
    </w:p>
    <w:p w14:paraId="01C89291" w14:textId="1EC2BD72" w:rsidR="00896D06" w:rsidRPr="006B51B1" w:rsidRDefault="007B7CB6" w:rsidP="000435D2">
      <w:pPr>
        <w:jc w:val="both"/>
        <w:rPr>
          <w:rFonts w:asciiTheme="minorHAnsi" w:hAnsiTheme="minorHAnsi"/>
          <w:lang w:val="en-GB"/>
        </w:rPr>
      </w:pPr>
      <w:r w:rsidRPr="006B51B1">
        <w:rPr>
          <w:rFonts w:asciiTheme="minorHAnsi" w:hAnsiTheme="minorHAnsi"/>
          <w:lang w:val="en-GB"/>
        </w:rPr>
        <w:t>This is not to say that the landlord can not include reasonable terms in the tenancy, e</w:t>
      </w:r>
      <w:r w:rsidR="004D0FE0">
        <w:rPr>
          <w:rFonts w:asciiTheme="minorHAnsi" w:hAnsiTheme="minorHAnsi"/>
          <w:lang w:val="en-GB"/>
        </w:rPr>
        <w:t>.</w:t>
      </w:r>
      <w:r w:rsidRPr="006B51B1">
        <w:rPr>
          <w:rFonts w:asciiTheme="minorHAnsi" w:hAnsiTheme="minorHAnsi"/>
          <w:lang w:val="en-GB"/>
        </w:rPr>
        <w:t>g</w:t>
      </w:r>
      <w:r w:rsidR="004D0FE0">
        <w:rPr>
          <w:rFonts w:asciiTheme="minorHAnsi" w:hAnsiTheme="minorHAnsi"/>
          <w:lang w:val="en-GB"/>
        </w:rPr>
        <w:t>.</w:t>
      </w:r>
      <w:r w:rsidRPr="006B51B1">
        <w:rPr>
          <w:rFonts w:asciiTheme="minorHAnsi" w:hAnsiTheme="minorHAnsi"/>
          <w:lang w:val="en-GB"/>
        </w:rPr>
        <w:t xml:space="preserve"> as to the use of the premises, the behaviour of the tenant and their family. Any terms in the tenancy will the subject to the Consumer Rights Act 2015</w:t>
      </w:r>
      <w:r w:rsidR="00BB2DFE" w:rsidRPr="006B51B1">
        <w:rPr>
          <w:rFonts w:asciiTheme="minorHAnsi" w:hAnsiTheme="minorHAnsi"/>
          <w:lang w:val="en-GB"/>
        </w:rPr>
        <w:t>. This</w:t>
      </w:r>
      <w:r w:rsidR="008614CB" w:rsidRPr="006B51B1">
        <w:rPr>
          <w:rFonts w:asciiTheme="minorHAnsi" w:hAnsiTheme="minorHAnsi"/>
          <w:lang w:val="en-GB"/>
        </w:rPr>
        <w:t xml:space="preserve"> requires contract terms (not including the price, i</w:t>
      </w:r>
      <w:r w:rsidR="004D0FE0">
        <w:rPr>
          <w:rFonts w:asciiTheme="minorHAnsi" w:hAnsiTheme="minorHAnsi"/>
          <w:lang w:val="en-GB"/>
        </w:rPr>
        <w:t>.</w:t>
      </w:r>
      <w:r w:rsidR="008614CB" w:rsidRPr="006B51B1">
        <w:rPr>
          <w:rFonts w:asciiTheme="minorHAnsi" w:hAnsiTheme="minorHAnsi"/>
          <w:lang w:val="en-GB"/>
        </w:rPr>
        <w:t>e</w:t>
      </w:r>
      <w:r w:rsidR="004D0FE0">
        <w:rPr>
          <w:rFonts w:asciiTheme="minorHAnsi" w:hAnsiTheme="minorHAnsi"/>
          <w:lang w:val="en-GB"/>
        </w:rPr>
        <w:t>.</w:t>
      </w:r>
      <w:r w:rsidR="008614CB" w:rsidRPr="006B51B1">
        <w:rPr>
          <w:rFonts w:asciiTheme="minorHAnsi" w:hAnsiTheme="minorHAnsi"/>
          <w:lang w:val="en-GB"/>
        </w:rPr>
        <w:t xml:space="preserve"> the rent) </w:t>
      </w:r>
      <w:r w:rsidR="00380EB9" w:rsidRPr="006B51B1">
        <w:rPr>
          <w:rFonts w:asciiTheme="minorHAnsi" w:hAnsiTheme="minorHAnsi"/>
          <w:lang w:val="en-GB"/>
        </w:rPr>
        <w:t xml:space="preserve">to be fair. A term will be unfair if </w:t>
      </w:r>
      <w:r w:rsidR="00FC7C11" w:rsidRPr="006B51B1">
        <w:rPr>
          <w:rFonts w:asciiTheme="minorHAnsi" w:hAnsiTheme="minorHAnsi"/>
          <w:lang w:val="en-GB"/>
        </w:rPr>
        <w:t>‘</w:t>
      </w:r>
      <w:r w:rsidR="00380EB9" w:rsidRPr="006B51B1">
        <w:rPr>
          <w:rFonts w:asciiTheme="minorHAnsi" w:hAnsiTheme="minorHAnsi"/>
          <w:lang w:val="en-GB"/>
        </w:rPr>
        <w:t>contrary to good faith, it causes a significant imbalance in the parties’ rights to and obligations to</w:t>
      </w:r>
      <w:r w:rsidR="00FC7C11" w:rsidRPr="006B51B1">
        <w:rPr>
          <w:rFonts w:asciiTheme="minorHAnsi" w:hAnsiTheme="minorHAnsi"/>
          <w:lang w:val="en-GB"/>
        </w:rPr>
        <w:t xml:space="preserve"> the detriment of the consumer.’</w:t>
      </w:r>
      <w:r w:rsidR="00380EB9" w:rsidRPr="006B51B1">
        <w:rPr>
          <w:rFonts w:asciiTheme="minorHAnsi" w:hAnsiTheme="minorHAnsi"/>
          <w:lang w:val="en-GB"/>
        </w:rPr>
        <w:t xml:space="preserve"> The predecessor legislation led to guidance</w:t>
      </w:r>
      <w:r w:rsidR="00FC7C11" w:rsidRPr="006B51B1">
        <w:rPr>
          <w:rFonts w:asciiTheme="minorHAnsi" w:hAnsiTheme="minorHAnsi"/>
          <w:lang w:val="en-GB"/>
        </w:rPr>
        <w:t xml:space="preserve"> on unfair terms in tenancy agreements</w:t>
      </w:r>
      <w:r w:rsidR="00380EB9" w:rsidRPr="006B51B1">
        <w:rPr>
          <w:rFonts w:asciiTheme="minorHAnsi" w:hAnsiTheme="minorHAnsi"/>
          <w:lang w:val="en-GB"/>
        </w:rPr>
        <w:t xml:space="preserve"> from the then</w:t>
      </w:r>
      <w:r w:rsidR="001159AB" w:rsidRPr="006B51B1">
        <w:rPr>
          <w:rFonts w:asciiTheme="minorHAnsi" w:hAnsiTheme="minorHAnsi"/>
          <w:lang w:val="en-GB"/>
        </w:rPr>
        <w:t xml:space="preserve"> Office</w:t>
      </w:r>
      <w:r w:rsidR="00380EB9" w:rsidRPr="006B51B1">
        <w:rPr>
          <w:rFonts w:asciiTheme="minorHAnsi" w:hAnsiTheme="minorHAnsi"/>
          <w:lang w:val="en-GB"/>
        </w:rPr>
        <w:t xml:space="preserve"> </w:t>
      </w:r>
      <w:r w:rsidR="00442430" w:rsidRPr="006B51B1">
        <w:rPr>
          <w:rFonts w:asciiTheme="minorHAnsi" w:hAnsiTheme="minorHAnsi"/>
          <w:lang w:val="en-GB"/>
        </w:rPr>
        <w:t>for Fair Trading.</w:t>
      </w:r>
      <w:r w:rsidR="00FC7C11" w:rsidRPr="006B51B1">
        <w:rPr>
          <w:rStyle w:val="FootnoteReference"/>
          <w:rFonts w:asciiTheme="minorHAnsi" w:hAnsiTheme="minorHAnsi"/>
          <w:lang w:val="en-GB"/>
        </w:rPr>
        <w:footnoteReference w:id="76"/>
      </w:r>
      <w:r w:rsidR="00FC7C11" w:rsidRPr="006B51B1">
        <w:rPr>
          <w:rFonts w:asciiTheme="minorHAnsi" w:hAnsiTheme="minorHAnsi"/>
          <w:lang w:val="en-GB"/>
        </w:rPr>
        <w:t xml:space="preserve"> Although no longer</w:t>
      </w:r>
      <w:r w:rsidR="00442430" w:rsidRPr="006B51B1">
        <w:rPr>
          <w:rFonts w:asciiTheme="minorHAnsi" w:hAnsiTheme="minorHAnsi"/>
          <w:lang w:val="en-GB"/>
        </w:rPr>
        <w:t xml:space="preserve"> in force, the examples provide insight to the sort of controlling </w:t>
      </w:r>
      <w:r w:rsidR="00303942" w:rsidRPr="006B51B1">
        <w:rPr>
          <w:rFonts w:asciiTheme="minorHAnsi" w:hAnsiTheme="minorHAnsi"/>
          <w:lang w:val="en-GB"/>
        </w:rPr>
        <w:t>cove</w:t>
      </w:r>
      <w:r w:rsidR="00303942">
        <w:rPr>
          <w:rFonts w:asciiTheme="minorHAnsi" w:hAnsiTheme="minorHAnsi"/>
          <w:lang w:val="en-GB"/>
        </w:rPr>
        <w:t>nants</w:t>
      </w:r>
      <w:r w:rsidR="00442430" w:rsidRPr="006B51B1">
        <w:rPr>
          <w:rFonts w:asciiTheme="minorHAnsi" w:hAnsiTheme="minorHAnsi"/>
          <w:lang w:val="en-GB"/>
        </w:rPr>
        <w:t xml:space="preserve"> used by landlords</w:t>
      </w:r>
      <w:r w:rsidR="00D50631" w:rsidRPr="006B51B1">
        <w:rPr>
          <w:rFonts w:asciiTheme="minorHAnsi" w:hAnsiTheme="minorHAnsi"/>
          <w:lang w:val="en-GB"/>
        </w:rPr>
        <w:t xml:space="preserve"> and whether they might </w:t>
      </w:r>
      <w:r w:rsidR="00D50631" w:rsidRPr="006B51B1">
        <w:rPr>
          <w:rFonts w:asciiTheme="minorHAnsi" w:hAnsiTheme="minorHAnsi"/>
          <w:lang w:val="en-GB"/>
        </w:rPr>
        <w:lastRenderedPageBreak/>
        <w:t>be</w:t>
      </w:r>
      <w:r w:rsidR="00FC7C11" w:rsidRPr="006B51B1">
        <w:rPr>
          <w:rFonts w:asciiTheme="minorHAnsi" w:hAnsiTheme="minorHAnsi"/>
          <w:lang w:val="en-GB"/>
        </w:rPr>
        <w:t xml:space="preserve"> reasonable. Thus a prohibition against guests overnight would by unreasonable, as </w:t>
      </w:r>
      <w:r w:rsidR="00087243">
        <w:rPr>
          <w:rFonts w:asciiTheme="minorHAnsi" w:hAnsiTheme="minorHAnsi"/>
          <w:lang w:val="en-GB"/>
        </w:rPr>
        <w:t>having guests</w:t>
      </w:r>
      <w:r w:rsidR="00D50631" w:rsidRPr="006B51B1">
        <w:rPr>
          <w:rFonts w:asciiTheme="minorHAnsi" w:hAnsiTheme="minorHAnsi"/>
          <w:lang w:val="en-GB"/>
        </w:rPr>
        <w:t xml:space="preserve"> is normal use and enjoyment of the property on an occasional basis.</w:t>
      </w:r>
      <w:r w:rsidR="00D50631" w:rsidRPr="006B51B1">
        <w:rPr>
          <w:rStyle w:val="FootnoteReference"/>
          <w:rFonts w:asciiTheme="minorHAnsi" w:hAnsiTheme="minorHAnsi"/>
          <w:lang w:val="en-GB"/>
        </w:rPr>
        <w:footnoteReference w:id="77"/>
      </w:r>
      <w:r w:rsidR="00D50631" w:rsidRPr="006B51B1">
        <w:rPr>
          <w:rFonts w:asciiTheme="minorHAnsi" w:hAnsiTheme="minorHAnsi"/>
          <w:lang w:val="en-GB"/>
        </w:rPr>
        <w:t xml:space="preserve"> On the issue of </w:t>
      </w:r>
      <w:r w:rsidR="00087243">
        <w:rPr>
          <w:rFonts w:asciiTheme="minorHAnsi" w:hAnsiTheme="minorHAnsi"/>
          <w:lang w:val="en-GB"/>
        </w:rPr>
        <w:t>banning pets the guidance stated</w:t>
      </w:r>
      <w:r w:rsidR="00D50631" w:rsidRPr="006B51B1">
        <w:rPr>
          <w:rFonts w:asciiTheme="minorHAnsi" w:hAnsiTheme="minorHAnsi"/>
          <w:lang w:val="en-GB"/>
        </w:rPr>
        <w:t>:</w:t>
      </w:r>
      <w:r w:rsidR="00D50631" w:rsidRPr="006B51B1">
        <w:rPr>
          <w:rStyle w:val="FootnoteReference"/>
          <w:rFonts w:asciiTheme="minorHAnsi" w:hAnsiTheme="minorHAnsi"/>
          <w:lang w:val="en-GB"/>
        </w:rPr>
        <w:footnoteReference w:id="78"/>
      </w:r>
    </w:p>
    <w:p w14:paraId="06545656" w14:textId="4FCEC059" w:rsidR="00D50631" w:rsidRPr="006B51B1" w:rsidRDefault="00D50631" w:rsidP="00D50631">
      <w:pPr>
        <w:ind w:left="720"/>
        <w:jc w:val="both"/>
        <w:rPr>
          <w:rFonts w:asciiTheme="minorHAnsi" w:hAnsiTheme="minorHAnsi"/>
          <w:lang w:val="en-GB"/>
        </w:rPr>
      </w:pPr>
      <w:r w:rsidRPr="006B51B1">
        <w:rPr>
          <w:rFonts w:asciiTheme="minorHAnsi" w:hAnsiTheme="minorHAnsi"/>
          <w:lang w:val="en-GB"/>
        </w:rPr>
        <w:t>‘Our objection is to blanket exclusions of pets without consideration of all the circumstances. Such a term has been considered unfair under comparable legislation in another EU member state because it could prevent a tenant keeping a goldfish. We are unlikely to object to a term prohibiting the keeping of pets that could harm the property, affect subsequent tenants or be a nuisance to other residents.’</w:t>
      </w:r>
    </w:p>
    <w:p w14:paraId="6D680DC1" w14:textId="77777777" w:rsidR="00FC7C11" w:rsidRPr="006B51B1" w:rsidRDefault="00FC7C11" w:rsidP="000435D2">
      <w:pPr>
        <w:jc w:val="both"/>
        <w:rPr>
          <w:rFonts w:asciiTheme="minorHAnsi" w:hAnsiTheme="minorHAnsi"/>
          <w:lang w:val="en-GB"/>
        </w:rPr>
      </w:pPr>
    </w:p>
    <w:p w14:paraId="49B5E947" w14:textId="3929B8BE" w:rsidR="00D50631" w:rsidRPr="006B51B1" w:rsidRDefault="0034485A" w:rsidP="000435D2">
      <w:pPr>
        <w:jc w:val="both"/>
        <w:rPr>
          <w:rFonts w:asciiTheme="minorHAnsi" w:hAnsiTheme="minorHAnsi"/>
          <w:lang w:val="en-GB"/>
        </w:rPr>
      </w:pPr>
      <w:r w:rsidRPr="006B51B1">
        <w:rPr>
          <w:rFonts w:asciiTheme="minorHAnsi" w:hAnsiTheme="minorHAnsi"/>
          <w:lang w:val="en-GB"/>
        </w:rPr>
        <w:t>While the essence for a tenancy is that the tenant has ‘quiet enjoyment’ of his or her home, the control necessar</w:t>
      </w:r>
      <w:r w:rsidR="00303942">
        <w:rPr>
          <w:rFonts w:asciiTheme="minorHAnsi" w:hAnsiTheme="minorHAnsi"/>
          <w:lang w:val="en-GB"/>
        </w:rPr>
        <w:t>ily</w:t>
      </w:r>
      <w:r w:rsidRPr="006B51B1">
        <w:rPr>
          <w:rFonts w:asciiTheme="minorHAnsi" w:hAnsiTheme="minorHAnsi"/>
          <w:lang w:val="en-GB"/>
        </w:rPr>
        <w:t xml:space="preserve"> less that for a freehold owner-occupier. The </w:t>
      </w:r>
      <w:r w:rsidR="00E862E7" w:rsidRPr="006B51B1">
        <w:rPr>
          <w:rFonts w:asciiTheme="minorHAnsi" w:hAnsiTheme="minorHAnsi"/>
          <w:lang w:val="en-GB"/>
        </w:rPr>
        <w:t xml:space="preserve">law seeks to police the quiet enjoyment and balance the rights of the tenant against unreasonable </w:t>
      </w:r>
      <w:r w:rsidR="00000F1F" w:rsidRPr="006B51B1">
        <w:rPr>
          <w:rFonts w:asciiTheme="minorHAnsi" w:hAnsiTheme="minorHAnsi"/>
          <w:lang w:val="en-GB"/>
        </w:rPr>
        <w:t>covenants</w:t>
      </w:r>
      <w:r w:rsidR="00E862E7" w:rsidRPr="006B51B1">
        <w:rPr>
          <w:rFonts w:asciiTheme="minorHAnsi" w:hAnsiTheme="minorHAnsi"/>
          <w:lang w:val="en-GB"/>
        </w:rPr>
        <w:t>.</w:t>
      </w:r>
    </w:p>
    <w:p w14:paraId="5FCC7104" w14:textId="77777777" w:rsidR="0034485A" w:rsidRPr="006B51B1" w:rsidRDefault="0034485A" w:rsidP="000435D2">
      <w:pPr>
        <w:jc w:val="both"/>
        <w:rPr>
          <w:rFonts w:asciiTheme="minorHAnsi" w:hAnsiTheme="minorHAnsi"/>
          <w:lang w:val="en-GB"/>
        </w:rPr>
      </w:pPr>
    </w:p>
    <w:p w14:paraId="0806A288" w14:textId="452C7D20" w:rsidR="00896D06" w:rsidRPr="00202690" w:rsidRDefault="00896D06" w:rsidP="005E6028">
      <w:pPr>
        <w:pStyle w:val="ListParagraph"/>
        <w:numPr>
          <w:ilvl w:val="0"/>
          <w:numId w:val="2"/>
        </w:numPr>
        <w:jc w:val="both"/>
        <w:rPr>
          <w:rFonts w:asciiTheme="minorHAnsi" w:hAnsiTheme="minorHAnsi"/>
          <w:b/>
          <w:lang w:val="en-GB"/>
        </w:rPr>
      </w:pPr>
      <w:r w:rsidRPr="00202690">
        <w:rPr>
          <w:rFonts w:asciiTheme="minorHAnsi" w:hAnsiTheme="minorHAnsi"/>
          <w:b/>
          <w:lang w:val="en-GB"/>
        </w:rPr>
        <w:t>Costs</w:t>
      </w:r>
    </w:p>
    <w:p w14:paraId="63E13D42" w14:textId="6C56E8CF" w:rsidR="00AA0EFE" w:rsidRPr="006B51B1" w:rsidRDefault="00A45CBF" w:rsidP="000435D2">
      <w:pPr>
        <w:jc w:val="both"/>
        <w:rPr>
          <w:rFonts w:asciiTheme="minorHAnsi" w:hAnsiTheme="minorHAnsi"/>
          <w:lang w:val="en-GB"/>
        </w:rPr>
      </w:pPr>
      <w:r w:rsidRPr="006B51B1">
        <w:rPr>
          <w:rFonts w:asciiTheme="minorHAnsi" w:hAnsiTheme="minorHAnsi"/>
          <w:lang w:val="en-GB"/>
        </w:rPr>
        <w:t>The</w:t>
      </w:r>
      <w:r w:rsidR="00B81D13" w:rsidRPr="006B51B1">
        <w:rPr>
          <w:rFonts w:asciiTheme="minorHAnsi" w:hAnsiTheme="minorHAnsi"/>
          <w:lang w:val="en-GB"/>
        </w:rPr>
        <w:t xml:space="preserve"> main form of cost for a tenant</w:t>
      </w:r>
      <w:r w:rsidRPr="006B51B1">
        <w:rPr>
          <w:rFonts w:asciiTheme="minorHAnsi" w:hAnsiTheme="minorHAnsi"/>
          <w:lang w:val="en-GB"/>
        </w:rPr>
        <w:t xml:space="preserve"> is</w:t>
      </w:r>
      <w:r w:rsidR="00B81D13" w:rsidRPr="006B51B1">
        <w:rPr>
          <w:rFonts w:asciiTheme="minorHAnsi" w:hAnsiTheme="minorHAnsi"/>
          <w:lang w:val="en-GB"/>
        </w:rPr>
        <w:t>,</w:t>
      </w:r>
      <w:r w:rsidRPr="006B51B1">
        <w:rPr>
          <w:rFonts w:asciiTheme="minorHAnsi" w:hAnsiTheme="minorHAnsi"/>
          <w:lang w:val="en-GB"/>
        </w:rPr>
        <w:t xml:space="preserve"> of course</w:t>
      </w:r>
      <w:r w:rsidR="00B81D13" w:rsidRPr="006B51B1">
        <w:rPr>
          <w:rFonts w:asciiTheme="minorHAnsi" w:hAnsiTheme="minorHAnsi"/>
          <w:lang w:val="en-GB"/>
        </w:rPr>
        <w:t>,</w:t>
      </w:r>
      <w:r w:rsidRPr="006B51B1">
        <w:rPr>
          <w:rFonts w:asciiTheme="minorHAnsi" w:hAnsiTheme="minorHAnsi"/>
          <w:lang w:val="en-GB"/>
        </w:rPr>
        <w:t xml:space="preserve"> the rent. </w:t>
      </w:r>
      <w:r w:rsidR="00AD70B2" w:rsidRPr="006B51B1">
        <w:rPr>
          <w:rFonts w:asciiTheme="minorHAnsi" w:hAnsiTheme="minorHAnsi"/>
          <w:lang w:val="en-GB"/>
        </w:rPr>
        <w:t>Rent control was a feature of the private rented sector for decades in England. The Rent Act 1977 limited rent</w:t>
      </w:r>
      <w:r w:rsidR="00B81D13" w:rsidRPr="006B51B1">
        <w:rPr>
          <w:rFonts w:asciiTheme="minorHAnsi" w:hAnsiTheme="minorHAnsi"/>
          <w:lang w:val="en-GB"/>
        </w:rPr>
        <w:t>s</w:t>
      </w:r>
      <w:r w:rsidR="00AD70B2" w:rsidRPr="006B51B1">
        <w:rPr>
          <w:rFonts w:asciiTheme="minorHAnsi" w:hAnsiTheme="minorHAnsi"/>
          <w:lang w:val="en-GB"/>
        </w:rPr>
        <w:t xml:space="preserve"> to ‘fair rent</w:t>
      </w:r>
      <w:r w:rsidR="0031360C" w:rsidRPr="006B51B1">
        <w:rPr>
          <w:rFonts w:asciiTheme="minorHAnsi" w:hAnsiTheme="minorHAnsi"/>
          <w:lang w:val="en-GB"/>
        </w:rPr>
        <w:t>s</w:t>
      </w:r>
      <w:r w:rsidR="00AD70B2" w:rsidRPr="006B51B1">
        <w:rPr>
          <w:rFonts w:asciiTheme="minorHAnsi" w:hAnsiTheme="minorHAnsi"/>
          <w:lang w:val="en-GB"/>
        </w:rPr>
        <w:t>’.</w:t>
      </w:r>
      <w:r w:rsidR="00E862E7" w:rsidRPr="006B51B1">
        <w:rPr>
          <w:rFonts w:asciiTheme="minorHAnsi" w:hAnsiTheme="minorHAnsi"/>
          <w:lang w:val="en-GB"/>
        </w:rPr>
        <w:t xml:space="preserve"> The core principal </w:t>
      </w:r>
      <w:r w:rsidR="00EF4D3B" w:rsidRPr="006B51B1">
        <w:rPr>
          <w:rFonts w:asciiTheme="minorHAnsi" w:hAnsiTheme="minorHAnsi"/>
          <w:lang w:val="en-GB"/>
        </w:rPr>
        <w:t xml:space="preserve">of the Rent Act 1977 </w:t>
      </w:r>
      <w:r w:rsidR="006E0264" w:rsidRPr="006B51B1">
        <w:rPr>
          <w:rFonts w:asciiTheme="minorHAnsi" w:hAnsiTheme="minorHAnsi"/>
          <w:lang w:val="en-GB"/>
        </w:rPr>
        <w:t xml:space="preserve">was </w:t>
      </w:r>
      <w:r w:rsidR="00EF4D3B" w:rsidRPr="006B51B1">
        <w:rPr>
          <w:rFonts w:asciiTheme="minorHAnsi" w:hAnsiTheme="minorHAnsi"/>
          <w:lang w:val="en-GB"/>
        </w:rPr>
        <w:t xml:space="preserve">that in setting the rent the rent officer </w:t>
      </w:r>
      <w:r w:rsidR="006E0264" w:rsidRPr="006B51B1">
        <w:rPr>
          <w:rFonts w:asciiTheme="minorHAnsi" w:hAnsiTheme="minorHAnsi"/>
          <w:lang w:val="en-GB"/>
        </w:rPr>
        <w:t>(</w:t>
      </w:r>
      <w:r w:rsidR="00EF4D3B" w:rsidRPr="006B51B1">
        <w:rPr>
          <w:rFonts w:asciiTheme="minorHAnsi" w:hAnsiTheme="minorHAnsi"/>
          <w:lang w:val="en-GB"/>
        </w:rPr>
        <w:t>or tribun</w:t>
      </w:r>
      <w:r w:rsidR="006E0264" w:rsidRPr="006B51B1">
        <w:rPr>
          <w:rFonts w:asciiTheme="minorHAnsi" w:hAnsiTheme="minorHAnsi"/>
          <w:lang w:val="en-GB"/>
        </w:rPr>
        <w:t>al on appeal)</w:t>
      </w:r>
      <w:r w:rsidR="00EF4D3B" w:rsidRPr="006B51B1">
        <w:rPr>
          <w:rFonts w:asciiTheme="minorHAnsi" w:hAnsiTheme="minorHAnsi"/>
          <w:lang w:val="en-GB"/>
        </w:rPr>
        <w:t xml:space="preserve"> </w:t>
      </w:r>
      <w:r w:rsidR="006E0264" w:rsidRPr="006B51B1">
        <w:rPr>
          <w:rFonts w:asciiTheme="minorHAnsi" w:hAnsiTheme="minorHAnsi"/>
          <w:lang w:val="en-GB"/>
        </w:rPr>
        <w:t xml:space="preserve">had to assume </w:t>
      </w:r>
      <w:r w:rsidR="00AA0EFE" w:rsidRPr="006B51B1">
        <w:rPr>
          <w:rFonts w:asciiTheme="minorHAnsi" w:hAnsiTheme="minorHAnsi"/>
          <w:lang w:val="en-GB"/>
        </w:rPr>
        <w:t>any scarcity did not exist.</w:t>
      </w:r>
      <w:r w:rsidR="00AA0EFE" w:rsidRPr="006B51B1">
        <w:rPr>
          <w:rStyle w:val="FootnoteReference"/>
          <w:rFonts w:asciiTheme="minorHAnsi" w:hAnsiTheme="minorHAnsi"/>
          <w:lang w:val="en-GB"/>
        </w:rPr>
        <w:footnoteReference w:id="79"/>
      </w:r>
      <w:r w:rsidR="00AA0EFE" w:rsidRPr="006B51B1">
        <w:rPr>
          <w:rFonts w:asciiTheme="minorHAnsi" w:hAnsiTheme="minorHAnsi"/>
          <w:lang w:val="en-GB"/>
        </w:rPr>
        <w:t xml:space="preserve"> The system sought to ‘deprive a landlord or a wholly unmeritorious increase in rent which has come about simply because there is a scarcity of houses in the district and thus an excess of demand over supply.’ </w:t>
      </w:r>
      <w:r w:rsidR="00AA0EFE" w:rsidRPr="006B51B1">
        <w:rPr>
          <w:rStyle w:val="FootnoteReference"/>
          <w:rFonts w:asciiTheme="minorHAnsi" w:hAnsiTheme="minorHAnsi"/>
          <w:lang w:val="en-GB"/>
        </w:rPr>
        <w:footnoteReference w:id="80"/>
      </w:r>
    </w:p>
    <w:p w14:paraId="42D72C65" w14:textId="77777777" w:rsidR="00AA0EFE" w:rsidRPr="006B51B1" w:rsidRDefault="00AA0EFE" w:rsidP="000435D2">
      <w:pPr>
        <w:jc w:val="both"/>
        <w:rPr>
          <w:rFonts w:asciiTheme="minorHAnsi" w:hAnsiTheme="minorHAnsi"/>
          <w:lang w:val="en-GB"/>
        </w:rPr>
      </w:pPr>
    </w:p>
    <w:p w14:paraId="7ED7F86E" w14:textId="308817D6" w:rsidR="006E0264" w:rsidRPr="006B51B1" w:rsidRDefault="00A45CBF" w:rsidP="000435D2">
      <w:pPr>
        <w:jc w:val="both"/>
        <w:rPr>
          <w:rFonts w:asciiTheme="minorHAnsi" w:hAnsiTheme="minorHAnsi"/>
          <w:lang w:val="en-GB"/>
        </w:rPr>
      </w:pPr>
      <w:r w:rsidRPr="006B51B1">
        <w:rPr>
          <w:rFonts w:asciiTheme="minorHAnsi" w:hAnsiTheme="minorHAnsi"/>
          <w:lang w:val="en-GB"/>
        </w:rPr>
        <w:t xml:space="preserve">However, this was swept away by the Housing Act 1988, which essentially moved England </w:t>
      </w:r>
      <w:r w:rsidR="006E0264" w:rsidRPr="006B51B1">
        <w:rPr>
          <w:rFonts w:asciiTheme="minorHAnsi" w:hAnsiTheme="minorHAnsi"/>
          <w:lang w:val="en-GB"/>
        </w:rPr>
        <w:t xml:space="preserve">to a market based system. </w:t>
      </w:r>
      <w:r w:rsidR="00B81D13" w:rsidRPr="006B51B1">
        <w:rPr>
          <w:rFonts w:asciiTheme="minorHAnsi" w:hAnsiTheme="minorHAnsi"/>
          <w:lang w:val="en-GB"/>
        </w:rPr>
        <w:t xml:space="preserve">There is a residual right for shorthold tenants to challenge the rent. </w:t>
      </w:r>
      <w:r w:rsidR="006E0264" w:rsidRPr="006B51B1">
        <w:rPr>
          <w:rFonts w:asciiTheme="minorHAnsi" w:hAnsiTheme="minorHAnsi"/>
          <w:lang w:val="en-GB"/>
        </w:rPr>
        <w:t xml:space="preserve">In the initial fixed term, assured shorthold tenants are able to apply to the Tribunal for </w:t>
      </w:r>
      <w:r w:rsidR="00303942">
        <w:rPr>
          <w:rFonts w:asciiTheme="minorHAnsi" w:hAnsiTheme="minorHAnsi"/>
          <w:lang w:val="en-GB"/>
        </w:rPr>
        <w:t>a determination of</w:t>
      </w:r>
      <w:r w:rsidR="006E0264" w:rsidRPr="006B51B1">
        <w:rPr>
          <w:rFonts w:asciiTheme="minorHAnsi" w:hAnsiTheme="minorHAnsi"/>
          <w:lang w:val="en-GB"/>
        </w:rPr>
        <w:t xml:space="preserve"> the </w:t>
      </w:r>
      <w:r w:rsidR="00FE74C5" w:rsidRPr="006B51B1">
        <w:rPr>
          <w:rFonts w:asciiTheme="minorHAnsi" w:hAnsiTheme="minorHAnsi"/>
          <w:lang w:val="en-GB"/>
        </w:rPr>
        <w:t xml:space="preserve">rent that </w:t>
      </w:r>
      <w:r w:rsidR="00303942">
        <w:rPr>
          <w:rFonts w:asciiTheme="minorHAnsi" w:hAnsiTheme="minorHAnsi"/>
          <w:lang w:val="en-GB"/>
        </w:rPr>
        <w:t xml:space="preserve">the </w:t>
      </w:r>
      <w:r w:rsidR="00FE74C5" w:rsidRPr="006B51B1">
        <w:rPr>
          <w:rFonts w:asciiTheme="minorHAnsi" w:hAnsiTheme="minorHAnsi"/>
          <w:lang w:val="en-GB"/>
        </w:rPr>
        <w:t>landlord ‘might reasonably be expected to obtain.</w:t>
      </w:r>
      <w:r w:rsidR="005155DF" w:rsidRPr="006B51B1">
        <w:rPr>
          <w:rFonts w:asciiTheme="minorHAnsi" w:hAnsiTheme="minorHAnsi"/>
          <w:lang w:val="en-GB"/>
        </w:rPr>
        <w:t>’</w:t>
      </w:r>
      <w:r w:rsidR="006E0264" w:rsidRPr="006B51B1">
        <w:rPr>
          <w:rStyle w:val="FootnoteReference"/>
          <w:rFonts w:asciiTheme="minorHAnsi" w:hAnsiTheme="minorHAnsi"/>
          <w:lang w:val="en-GB"/>
        </w:rPr>
        <w:footnoteReference w:id="81"/>
      </w:r>
      <w:r w:rsidR="006E0264" w:rsidRPr="006B51B1">
        <w:rPr>
          <w:rFonts w:asciiTheme="minorHAnsi" w:hAnsiTheme="minorHAnsi"/>
          <w:lang w:val="en-GB"/>
        </w:rPr>
        <w:t xml:space="preserve"> The Tribunal can only make </w:t>
      </w:r>
      <w:r w:rsidR="00FE74C5" w:rsidRPr="006B51B1">
        <w:rPr>
          <w:rFonts w:asciiTheme="minorHAnsi" w:hAnsiTheme="minorHAnsi"/>
          <w:lang w:val="en-GB"/>
        </w:rPr>
        <w:t xml:space="preserve">a determination if it has evidence of a </w:t>
      </w:r>
      <w:r w:rsidR="005155DF" w:rsidRPr="006B51B1">
        <w:rPr>
          <w:rFonts w:asciiTheme="minorHAnsi" w:hAnsiTheme="minorHAnsi"/>
          <w:lang w:val="en-GB"/>
        </w:rPr>
        <w:t>‘</w:t>
      </w:r>
      <w:r w:rsidR="00FE74C5" w:rsidRPr="006B51B1">
        <w:rPr>
          <w:rFonts w:asciiTheme="minorHAnsi" w:hAnsiTheme="minorHAnsi"/>
          <w:lang w:val="en-GB"/>
        </w:rPr>
        <w:t>sufficient number</w:t>
      </w:r>
      <w:r w:rsidR="005155DF" w:rsidRPr="006B51B1">
        <w:rPr>
          <w:rFonts w:asciiTheme="minorHAnsi" w:hAnsiTheme="minorHAnsi"/>
          <w:lang w:val="en-GB"/>
        </w:rPr>
        <w:t>’</w:t>
      </w:r>
      <w:r w:rsidR="00FE74C5" w:rsidRPr="006B51B1">
        <w:rPr>
          <w:rFonts w:asciiTheme="minorHAnsi" w:hAnsiTheme="minorHAnsi"/>
          <w:lang w:val="en-GB"/>
        </w:rPr>
        <w:t xml:space="preserve"> of similar houses let in the locality and </w:t>
      </w:r>
      <w:r w:rsidR="00303942">
        <w:rPr>
          <w:rFonts w:asciiTheme="minorHAnsi" w:hAnsiTheme="minorHAnsi"/>
          <w:lang w:val="en-GB"/>
        </w:rPr>
        <w:t xml:space="preserve">if </w:t>
      </w:r>
      <w:r w:rsidR="00FE74C5" w:rsidRPr="006B51B1">
        <w:rPr>
          <w:rFonts w:asciiTheme="minorHAnsi" w:hAnsiTheme="minorHAnsi"/>
          <w:lang w:val="en-GB"/>
        </w:rPr>
        <w:t>the rent charged by the landlord in ‘significantly higher’ than pay</w:t>
      </w:r>
      <w:r w:rsidR="005155DF" w:rsidRPr="006B51B1">
        <w:rPr>
          <w:rFonts w:asciiTheme="minorHAnsi" w:hAnsiTheme="minorHAnsi"/>
          <w:lang w:val="en-GB"/>
        </w:rPr>
        <w:t>able</w:t>
      </w:r>
      <w:r w:rsidR="00FE74C5" w:rsidRPr="006B51B1">
        <w:rPr>
          <w:rFonts w:asciiTheme="minorHAnsi" w:hAnsiTheme="minorHAnsi"/>
          <w:lang w:val="en-GB"/>
        </w:rPr>
        <w:t xml:space="preserve"> on those similar tenancies.</w:t>
      </w:r>
      <w:r w:rsidR="00FE74C5" w:rsidRPr="006B51B1">
        <w:rPr>
          <w:rStyle w:val="FootnoteReference"/>
          <w:rFonts w:asciiTheme="minorHAnsi" w:hAnsiTheme="minorHAnsi"/>
          <w:lang w:val="en-GB"/>
        </w:rPr>
        <w:footnoteReference w:id="82"/>
      </w:r>
      <w:r w:rsidR="00FE74C5" w:rsidRPr="006B51B1">
        <w:rPr>
          <w:rFonts w:asciiTheme="minorHAnsi" w:hAnsiTheme="minorHAnsi"/>
          <w:lang w:val="en-GB"/>
        </w:rPr>
        <w:t xml:space="preserve"> In practice this </w:t>
      </w:r>
      <w:r w:rsidR="00CE29F6" w:rsidRPr="006B51B1">
        <w:rPr>
          <w:rFonts w:asciiTheme="minorHAnsi" w:hAnsiTheme="minorHAnsi"/>
          <w:lang w:val="en-GB"/>
        </w:rPr>
        <w:t>procedure is little used.</w:t>
      </w:r>
    </w:p>
    <w:p w14:paraId="62631B45" w14:textId="77777777" w:rsidR="00000F1F" w:rsidRPr="006B51B1" w:rsidRDefault="00000F1F" w:rsidP="000435D2">
      <w:pPr>
        <w:jc w:val="both"/>
        <w:rPr>
          <w:rFonts w:asciiTheme="minorHAnsi" w:hAnsiTheme="minorHAnsi"/>
          <w:lang w:val="en-GB"/>
        </w:rPr>
      </w:pPr>
    </w:p>
    <w:p w14:paraId="0F1A0634" w14:textId="1968BF1D" w:rsidR="00000F1F" w:rsidRPr="006B51B1" w:rsidRDefault="00303942" w:rsidP="000435D2">
      <w:pPr>
        <w:jc w:val="both"/>
        <w:rPr>
          <w:rFonts w:asciiTheme="minorHAnsi" w:hAnsiTheme="minorHAnsi"/>
          <w:lang w:val="en-GB"/>
        </w:rPr>
      </w:pPr>
      <w:r>
        <w:rPr>
          <w:rFonts w:asciiTheme="minorHAnsi" w:hAnsiTheme="minorHAnsi"/>
          <w:lang w:val="en-GB"/>
        </w:rPr>
        <w:t xml:space="preserve">Once a tenancy has </w:t>
      </w:r>
      <w:r w:rsidR="0096321E">
        <w:rPr>
          <w:rFonts w:asciiTheme="minorHAnsi" w:hAnsiTheme="minorHAnsi"/>
          <w:lang w:val="en-GB"/>
        </w:rPr>
        <w:t>started, a</w:t>
      </w:r>
      <w:r w:rsidR="00000F1F" w:rsidRPr="006B51B1">
        <w:rPr>
          <w:rFonts w:asciiTheme="minorHAnsi" w:hAnsiTheme="minorHAnsi"/>
          <w:lang w:val="en-GB"/>
        </w:rPr>
        <w:t xml:space="preserve">ny </w:t>
      </w:r>
      <w:r w:rsidR="0096321E">
        <w:rPr>
          <w:rFonts w:asciiTheme="minorHAnsi" w:hAnsiTheme="minorHAnsi"/>
          <w:lang w:val="en-GB"/>
        </w:rPr>
        <w:t xml:space="preserve">further </w:t>
      </w:r>
      <w:r w:rsidR="00000F1F" w:rsidRPr="006B51B1">
        <w:rPr>
          <w:rFonts w:asciiTheme="minorHAnsi" w:hAnsiTheme="minorHAnsi"/>
          <w:lang w:val="en-GB"/>
        </w:rPr>
        <w:t>rent increases are covered by the terms of the tenancy. If the tenancy is periodic and does</w:t>
      </w:r>
      <w:r w:rsidR="00B81D13" w:rsidRPr="006B51B1">
        <w:rPr>
          <w:rFonts w:asciiTheme="minorHAnsi" w:hAnsiTheme="minorHAnsi"/>
          <w:lang w:val="en-GB"/>
        </w:rPr>
        <w:t xml:space="preserve"> </w:t>
      </w:r>
      <w:r w:rsidR="00000F1F" w:rsidRPr="006B51B1">
        <w:rPr>
          <w:rFonts w:asciiTheme="minorHAnsi" w:hAnsiTheme="minorHAnsi"/>
          <w:lang w:val="en-GB"/>
        </w:rPr>
        <w:t>not have any</w:t>
      </w:r>
      <w:r w:rsidR="0096321E">
        <w:rPr>
          <w:rFonts w:asciiTheme="minorHAnsi" w:hAnsiTheme="minorHAnsi"/>
          <w:lang w:val="en-GB"/>
        </w:rPr>
        <w:t xml:space="preserve"> tenancy terms permitting variation of</w:t>
      </w:r>
      <w:r w:rsidR="00B81D13" w:rsidRPr="006B51B1">
        <w:rPr>
          <w:rFonts w:asciiTheme="minorHAnsi" w:hAnsiTheme="minorHAnsi"/>
          <w:lang w:val="en-GB"/>
        </w:rPr>
        <w:t xml:space="preserve"> the rent, then there is a statutory mechanism </w:t>
      </w:r>
      <w:r w:rsidR="0096321E">
        <w:rPr>
          <w:rFonts w:asciiTheme="minorHAnsi" w:hAnsiTheme="minorHAnsi"/>
          <w:lang w:val="en-GB"/>
        </w:rPr>
        <w:t xml:space="preserve">for the landlord </w:t>
      </w:r>
      <w:r w:rsidR="00B81D13" w:rsidRPr="006B51B1">
        <w:rPr>
          <w:rFonts w:asciiTheme="minorHAnsi" w:hAnsiTheme="minorHAnsi"/>
          <w:lang w:val="en-GB"/>
        </w:rPr>
        <w:t>to increase the rent</w:t>
      </w:r>
      <w:r w:rsidR="0096321E">
        <w:rPr>
          <w:rFonts w:asciiTheme="minorHAnsi" w:hAnsiTheme="minorHAnsi"/>
          <w:lang w:val="en-GB"/>
        </w:rPr>
        <w:t xml:space="preserve">. </w:t>
      </w:r>
      <w:r w:rsidR="00B81D13" w:rsidRPr="006B51B1">
        <w:rPr>
          <w:rFonts w:asciiTheme="minorHAnsi" w:hAnsiTheme="minorHAnsi"/>
          <w:lang w:val="en-GB"/>
        </w:rPr>
        <w:t>The process can be used annually.</w:t>
      </w:r>
      <w:r w:rsidR="00B81D13" w:rsidRPr="006B51B1">
        <w:rPr>
          <w:rStyle w:val="FootnoteReference"/>
          <w:rFonts w:asciiTheme="minorHAnsi" w:hAnsiTheme="minorHAnsi"/>
          <w:lang w:val="en-GB"/>
        </w:rPr>
        <w:footnoteReference w:id="83"/>
      </w:r>
      <w:r w:rsidR="00B81D13" w:rsidRPr="006B51B1">
        <w:rPr>
          <w:rFonts w:asciiTheme="minorHAnsi" w:hAnsiTheme="minorHAnsi"/>
          <w:lang w:val="en-GB"/>
        </w:rPr>
        <w:t xml:space="preserve"> The landlord must ser</w:t>
      </w:r>
      <w:r w:rsidR="0096321E">
        <w:rPr>
          <w:rFonts w:asciiTheme="minorHAnsi" w:hAnsiTheme="minorHAnsi"/>
          <w:lang w:val="en-GB"/>
        </w:rPr>
        <w:t>ve a notice on the tenant with the</w:t>
      </w:r>
      <w:r w:rsidR="00B81D13" w:rsidRPr="006B51B1">
        <w:rPr>
          <w:rFonts w:asciiTheme="minorHAnsi" w:hAnsiTheme="minorHAnsi"/>
          <w:lang w:val="en-GB"/>
        </w:rPr>
        <w:t xml:space="preserve"> proposed </w:t>
      </w:r>
      <w:r w:rsidR="004D5CDE" w:rsidRPr="006B51B1">
        <w:rPr>
          <w:rFonts w:asciiTheme="minorHAnsi" w:hAnsiTheme="minorHAnsi"/>
          <w:lang w:val="en-GB"/>
        </w:rPr>
        <w:t>rent.</w:t>
      </w:r>
      <w:r w:rsidR="004D5CDE" w:rsidRPr="006B51B1">
        <w:rPr>
          <w:rStyle w:val="FootnoteReference"/>
          <w:rFonts w:asciiTheme="minorHAnsi" w:hAnsiTheme="minorHAnsi"/>
          <w:lang w:val="en-GB"/>
        </w:rPr>
        <w:footnoteReference w:id="84"/>
      </w:r>
      <w:r w:rsidR="004D5CDE" w:rsidRPr="006B51B1">
        <w:rPr>
          <w:rFonts w:asciiTheme="minorHAnsi" w:hAnsiTheme="minorHAnsi"/>
          <w:lang w:val="en-GB"/>
        </w:rPr>
        <w:t xml:space="preserve"> The rent take</w:t>
      </w:r>
      <w:r w:rsidR="0096321E">
        <w:rPr>
          <w:rFonts w:asciiTheme="minorHAnsi" w:hAnsiTheme="minorHAnsi"/>
          <w:lang w:val="en-GB"/>
        </w:rPr>
        <w:t>s</w:t>
      </w:r>
      <w:r w:rsidR="004D5CDE" w:rsidRPr="006B51B1">
        <w:rPr>
          <w:rFonts w:asciiTheme="minorHAnsi" w:hAnsiTheme="minorHAnsi"/>
          <w:lang w:val="en-GB"/>
        </w:rPr>
        <w:t xml:space="preserve"> effect unless the tenant refers it to the Tribunal.</w:t>
      </w:r>
      <w:r w:rsidR="004D5CDE" w:rsidRPr="006B51B1">
        <w:rPr>
          <w:rStyle w:val="FootnoteReference"/>
          <w:rFonts w:asciiTheme="minorHAnsi" w:hAnsiTheme="minorHAnsi"/>
          <w:lang w:val="en-GB"/>
        </w:rPr>
        <w:footnoteReference w:id="85"/>
      </w:r>
      <w:r w:rsidR="0096321E">
        <w:rPr>
          <w:rFonts w:asciiTheme="minorHAnsi" w:hAnsiTheme="minorHAnsi"/>
          <w:lang w:val="en-GB"/>
        </w:rPr>
        <w:t xml:space="preserve"> The Tribunal has the power to set a</w:t>
      </w:r>
      <w:r w:rsidR="004D5CDE" w:rsidRPr="006B51B1">
        <w:rPr>
          <w:rFonts w:asciiTheme="minorHAnsi" w:hAnsiTheme="minorHAnsi"/>
          <w:lang w:val="en-GB"/>
        </w:rPr>
        <w:t xml:space="preserve"> market rent.</w:t>
      </w:r>
      <w:r w:rsidR="004D5CDE" w:rsidRPr="006B51B1">
        <w:rPr>
          <w:rStyle w:val="FootnoteReference"/>
          <w:rFonts w:asciiTheme="minorHAnsi" w:hAnsiTheme="minorHAnsi"/>
          <w:lang w:val="en-GB"/>
        </w:rPr>
        <w:footnoteReference w:id="86"/>
      </w:r>
    </w:p>
    <w:p w14:paraId="05DF8504" w14:textId="77777777" w:rsidR="00A45CBF" w:rsidRPr="006B51B1" w:rsidRDefault="00A45CBF" w:rsidP="000435D2">
      <w:pPr>
        <w:jc w:val="both"/>
        <w:rPr>
          <w:rFonts w:asciiTheme="minorHAnsi" w:hAnsiTheme="minorHAnsi"/>
          <w:lang w:val="en-GB"/>
        </w:rPr>
      </w:pPr>
    </w:p>
    <w:p w14:paraId="4B49153E" w14:textId="728F8C7B" w:rsidR="005155DF" w:rsidRPr="006B51B1" w:rsidRDefault="00A45CBF" w:rsidP="000435D2">
      <w:pPr>
        <w:jc w:val="both"/>
        <w:rPr>
          <w:rFonts w:asciiTheme="minorHAnsi" w:hAnsiTheme="minorHAnsi"/>
          <w:lang w:val="en-GB"/>
        </w:rPr>
      </w:pPr>
      <w:r w:rsidRPr="006B51B1">
        <w:rPr>
          <w:rFonts w:asciiTheme="minorHAnsi" w:hAnsiTheme="minorHAnsi"/>
          <w:lang w:val="en-GB"/>
        </w:rPr>
        <w:t xml:space="preserve">By design rents for social rented housing are not market-based. </w:t>
      </w:r>
      <w:r w:rsidR="009C67A8" w:rsidRPr="006B51B1">
        <w:rPr>
          <w:rFonts w:asciiTheme="minorHAnsi" w:hAnsiTheme="minorHAnsi"/>
          <w:lang w:val="en-GB"/>
        </w:rPr>
        <w:t xml:space="preserve">In legal terms there is little direct </w:t>
      </w:r>
      <w:r w:rsidR="003B65CC" w:rsidRPr="006B51B1">
        <w:rPr>
          <w:rFonts w:asciiTheme="minorHAnsi" w:hAnsiTheme="minorHAnsi"/>
          <w:lang w:val="en-GB"/>
        </w:rPr>
        <w:t xml:space="preserve">law </w:t>
      </w:r>
      <w:r w:rsidR="00CE29F6" w:rsidRPr="006B51B1">
        <w:rPr>
          <w:rFonts w:asciiTheme="minorHAnsi" w:hAnsiTheme="minorHAnsi"/>
          <w:lang w:val="en-GB"/>
        </w:rPr>
        <w:t xml:space="preserve">that </w:t>
      </w:r>
      <w:r w:rsidR="0096321E">
        <w:rPr>
          <w:rFonts w:asciiTheme="minorHAnsi" w:hAnsiTheme="minorHAnsi"/>
          <w:lang w:val="en-GB"/>
        </w:rPr>
        <w:t>limits</w:t>
      </w:r>
      <w:r w:rsidR="003B65CC" w:rsidRPr="006B51B1">
        <w:rPr>
          <w:rFonts w:asciiTheme="minorHAnsi" w:hAnsiTheme="minorHAnsi"/>
          <w:lang w:val="en-GB"/>
        </w:rPr>
        <w:t xml:space="preserve"> the rents set by social landlords.</w:t>
      </w:r>
      <w:r w:rsidR="00CE29F6" w:rsidRPr="006B51B1">
        <w:rPr>
          <w:rFonts w:asciiTheme="minorHAnsi" w:hAnsiTheme="minorHAnsi"/>
          <w:lang w:val="en-GB"/>
        </w:rPr>
        <w:t xml:space="preserve"> Local authorities ‘may make such </w:t>
      </w:r>
      <w:r w:rsidR="00CE29F6" w:rsidRPr="006B51B1">
        <w:rPr>
          <w:rFonts w:asciiTheme="minorHAnsi" w:hAnsiTheme="minorHAnsi"/>
          <w:lang w:val="en-GB"/>
        </w:rPr>
        <w:lastRenderedPageBreak/>
        <w:t>charges as they may determine for the tenancy or occupation of their houses.’</w:t>
      </w:r>
      <w:r w:rsidR="00CE29F6" w:rsidRPr="006B51B1">
        <w:rPr>
          <w:rStyle w:val="FootnoteReference"/>
          <w:rFonts w:asciiTheme="minorHAnsi" w:hAnsiTheme="minorHAnsi"/>
          <w:lang w:val="en-GB"/>
        </w:rPr>
        <w:footnoteReference w:id="87"/>
      </w:r>
      <w:r w:rsidR="005155DF" w:rsidRPr="006B51B1">
        <w:rPr>
          <w:rFonts w:asciiTheme="minorHAnsi" w:hAnsiTheme="minorHAnsi"/>
          <w:lang w:val="en-GB"/>
        </w:rPr>
        <w:t xml:space="preserve"> There are also provision</w:t>
      </w:r>
      <w:r w:rsidR="0096321E">
        <w:rPr>
          <w:rFonts w:asciiTheme="minorHAnsi" w:hAnsiTheme="minorHAnsi"/>
          <w:lang w:val="en-GB"/>
        </w:rPr>
        <w:t>s</w:t>
      </w:r>
      <w:r w:rsidR="005155DF" w:rsidRPr="006B51B1">
        <w:rPr>
          <w:rFonts w:asciiTheme="minorHAnsi" w:hAnsiTheme="minorHAnsi"/>
          <w:lang w:val="en-GB"/>
        </w:rPr>
        <w:t xml:space="preserve"> for the rent</w:t>
      </w:r>
      <w:r w:rsidR="0096321E">
        <w:rPr>
          <w:rFonts w:asciiTheme="minorHAnsi" w:hAnsiTheme="minorHAnsi"/>
          <w:lang w:val="en-GB"/>
        </w:rPr>
        <w:t>s</w:t>
      </w:r>
      <w:r w:rsidR="005155DF" w:rsidRPr="006B51B1">
        <w:rPr>
          <w:rFonts w:asciiTheme="minorHAnsi" w:hAnsiTheme="minorHAnsi"/>
          <w:lang w:val="en-GB"/>
        </w:rPr>
        <w:t xml:space="preserve"> for secure tenancies to be increased annually </w:t>
      </w:r>
      <w:r w:rsidR="00000F1F" w:rsidRPr="006B51B1">
        <w:rPr>
          <w:rFonts w:asciiTheme="minorHAnsi" w:hAnsiTheme="minorHAnsi"/>
          <w:lang w:val="en-GB"/>
        </w:rPr>
        <w:t>by</w:t>
      </w:r>
      <w:r w:rsidR="005155DF" w:rsidRPr="006B51B1">
        <w:rPr>
          <w:rFonts w:asciiTheme="minorHAnsi" w:hAnsiTheme="minorHAnsi"/>
          <w:lang w:val="en-GB"/>
        </w:rPr>
        <w:t xml:space="preserve"> notice.</w:t>
      </w:r>
      <w:r w:rsidR="005155DF" w:rsidRPr="006B51B1">
        <w:rPr>
          <w:rStyle w:val="FootnoteReference"/>
          <w:rFonts w:asciiTheme="minorHAnsi" w:hAnsiTheme="minorHAnsi"/>
          <w:lang w:val="en-GB"/>
        </w:rPr>
        <w:footnoteReference w:id="88"/>
      </w:r>
      <w:r w:rsidR="005155DF" w:rsidRPr="006B51B1">
        <w:rPr>
          <w:rFonts w:asciiTheme="minorHAnsi" w:hAnsiTheme="minorHAnsi"/>
          <w:lang w:val="en-GB"/>
        </w:rPr>
        <w:t xml:space="preserve"> The tenants of housing associations are </w:t>
      </w:r>
      <w:r w:rsidR="00D861F4" w:rsidRPr="006B51B1">
        <w:rPr>
          <w:rFonts w:asciiTheme="minorHAnsi" w:hAnsiTheme="minorHAnsi"/>
          <w:lang w:val="en-GB"/>
        </w:rPr>
        <w:t>theoretically able to charge market rents. Historical</w:t>
      </w:r>
      <w:r w:rsidR="0096321E">
        <w:rPr>
          <w:rFonts w:asciiTheme="minorHAnsi" w:hAnsiTheme="minorHAnsi"/>
          <w:lang w:val="en-GB"/>
        </w:rPr>
        <w:t>ly</w:t>
      </w:r>
      <w:r w:rsidR="00D861F4" w:rsidRPr="006B51B1">
        <w:rPr>
          <w:rFonts w:asciiTheme="minorHAnsi" w:hAnsiTheme="minorHAnsi"/>
          <w:lang w:val="en-GB"/>
        </w:rPr>
        <w:t xml:space="preserve"> rents have been let on the basis of landlord</w:t>
      </w:r>
      <w:r w:rsidR="0096321E">
        <w:rPr>
          <w:rFonts w:asciiTheme="minorHAnsi" w:hAnsiTheme="minorHAnsi"/>
          <w:lang w:val="en-GB"/>
        </w:rPr>
        <w:t>s</w:t>
      </w:r>
      <w:r w:rsidR="006B65E4">
        <w:rPr>
          <w:rFonts w:asciiTheme="minorHAnsi" w:hAnsiTheme="minorHAnsi"/>
          <w:lang w:val="en-GB"/>
        </w:rPr>
        <w:t>’</w:t>
      </w:r>
      <w:r w:rsidR="00D861F4" w:rsidRPr="006B51B1">
        <w:rPr>
          <w:rFonts w:asciiTheme="minorHAnsi" w:hAnsiTheme="minorHAnsi"/>
          <w:lang w:val="en-GB"/>
        </w:rPr>
        <w:t xml:space="preserve"> pooled costs. </w:t>
      </w:r>
      <w:r w:rsidR="0096321E">
        <w:rPr>
          <w:rFonts w:asciiTheme="minorHAnsi" w:hAnsiTheme="minorHAnsi"/>
          <w:lang w:val="en-GB"/>
        </w:rPr>
        <w:t>However, i</w:t>
      </w:r>
      <w:r w:rsidR="00D861F4" w:rsidRPr="006B51B1">
        <w:rPr>
          <w:rFonts w:asciiTheme="minorHAnsi" w:hAnsiTheme="minorHAnsi"/>
          <w:lang w:val="en-GB"/>
        </w:rPr>
        <w:t xml:space="preserve">n recent years </w:t>
      </w:r>
      <w:r w:rsidR="0096321E">
        <w:rPr>
          <w:rFonts w:asciiTheme="minorHAnsi" w:hAnsiTheme="minorHAnsi"/>
          <w:lang w:val="en-GB"/>
        </w:rPr>
        <w:t>the practice of</w:t>
      </w:r>
      <w:r w:rsidR="00D861F4" w:rsidRPr="006B51B1">
        <w:rPr>
          <w:rFonts w:asciiTheme="minorHAnsi" w:hAnsiTheme="minorHAnsi"/>
          <w:lang w:val="en-GB"/>
        </w:rPr>
        <w:t xml:space="preserve"> setting of</w:t>
      </w:r>
      <w:r w:rsidR="0096321E">
        <w:rPr>
          <w:rFonts w:asciiTheme="minorHAnsi" w:hAnsiTheme="minorHAnsi"/>
          <w:lang w:val="en-GB"/>
        </w:rPr>
        <w:t xml:space="preserve"> rents for social landlords</w:t>
      </w:r>
      <w:r w:rsidR="0096321E" w:rsidRPr="006B51B1">
        <w:rPr>
          <w:rFonts w:asciiTheme="minorHAnsi" w:hAnsiTheme="minorHAnsi"/>
          <w:lang w:val="en-GB"/>
        </w:rPr>
        <w:t xml:space="preserve"> </w:t>
      </w:r>
      <w:r w:rsidR="0096321E">
        <w:rPr>
          <w:rFonts w:asciiTheme="minorHAnsi" w:hAnsiTheme="minorHAnsi"/>
          <w:lang w:val="en-GB"/>
        </w:rPr>
        <w:t xml:space="preserve">has been limited </w:t>
      </w:r>
      <w:r w:rsidR="00D861F4" w:rsidRPr="006B51B1">
        <w:rPr>
          <w:rFonts w:asciiTheme="minorHAnsi" w:hAnsiTheme="minorHAnsi"/>
          <w:lang w:val="en-GB"/>
        </w:rPr>
        <w:t>by regulatory constraints</w:t>
      </w:r>
      <w:r w:rsidR="00FD6C68" w:rsidRPr="006B51B1">
        <w:rPr>
          <w:rFonts w:asciiTheme="minorHAnsi" w:hAnsiTheme="minorHAnsi"/>
          <w:lang w:val="en-GB"/>
        </w:rPr>
        <w:t xml:space="preserve"> from the government and the regulator of housing associations</w:t>
      </w:r>
      <w:r w:rsidR="00D861F4" w:rsidRPr="006B51B1">
        <w:rPr>
          <w:rFonts w:asciiTheme="minorHAnsi" w:hAnsiTheme="minorHAnsi"/>
          <w:lang w:val="en-GB"/>
        </w:rPr>
        <w:t>,</w:t>
      </w:r>
      <w:r w:rsidR="00FD6C68" w:rsidRPr="006B51B1">
        <w:rPr>
          <w:rStyle w:val="FootnoteReference"/>
          <w:rFonts w:asciiTheme="minorHAnsi" w:hAnsiTheme="minorHAnsi"/>
          <w:lang w:val="en-GB"/>
        </w:rPr>
        <w:footnoteReference w:id="89"/>
      </w:r>
      <w:r w:rsidR="00D861F4" w:rsidRPr="006B51B1">
        <w:rPr>
          <w:rFonts w:asciiTheme="minorHAnsi" w:hAnsiTheme="minorHAnsi"/>
          <w:lang w:val="en-GB"/>
        </w:rPr>
        <w:t xml:space="preserve"> which </w:t>
      </w:r>
      <w:r w:rsidR="00FD6C68" w:rsidRPr="006B51B1">
        <w:rPr>
          <w:rFonts w:asciiTheme="minorHAnsi" w:hAnsiTheme="minorHAnsi"/>
          <w:lang w:val="en-GB"/>
        </w:rPr>
        <w:t>have limited rent increase and in some years required rent reductions.</w:t>
      </w:r>
      <w:r w:rsidR="00FD6C68" w:rsidRPr="006B51B1">
        <w:rPr>
          <w:rStyle w:val="FootnoteReference"/>
          <w:rFonts w:asciiTheme="minorHAnsi" w:hAnsiTheme="minorHAnsi"/>
          <w:lang w:val="en-GB"/>
        </w:rPr>
        <w:footnoteReference w:id="90"/>
      </w:r>
    </w:p>
    <w:p w14:paraId="7E200EA0" w14:textId="77777777" w:rsidR="00AA0EFE" w:rsidRPr="006B51B1" w:rsidRDefault="00AA0EFE" w:rsidP="00AA0EFE">
      <w:pPr>
        <w:jc w:val="both"/>
        <w:rPr>
          <w:rFonts w:asciiTheme="minorHAnsi" w:hAnsiTheme="minorHAnsi"/>
          <w:lang w:val="en-GB"/>
        </w:rPr>
      </w:pPr>
    </w:p>
    <w:p w14:paraId="2D49AA89" w14:textId="622D03BC" w:rsidR="00AA0EFE" w:rsidRPr="006B51B1" w:rsidRDefault="004D5CDE" w:rsidP="00AA0EFE">
      <w:pPr>
        <w:jc w:val="both"/>
        <w:rPr>
          <w:rFonts w:asciiTheme="minorHAnsi" w:hAnsiTheme="minorHAnsi"/>
          <w:lang w:val="en-GB"/>
        </w:rPr>
      </w:pPr>
      <w:r w:rsidRPr="006B51B1">
        <w:rPr>
          <w:rFonts w:asciiTheme="minorHAnsi" w:hAnsiTheme="minorHAnsi"/>
          <w:lang w:val="en-GB"/>
        </w:rPr>
        <w:t>The other aspect of costs that is regulated i</w:t>
      </w:r>
      <w:r w:rsidR="007F00F0">
        <w:rPr>
          <w:rFonts w:asciiTheme="minorHAnsi" w:hAnsiTheme="minorHAnsi"/>
          <w:lang w:val="en-GB"/>
        </w:rPr>
        <w:t>s</w:t>
      </w:r>
      <w:r w:rsidRPr="006B51B1">
        <w:rPr>
          <w:rFonts w:asciiTheme="minorHAnsi" w:hAnsiTheme="minorHAnsi"/>
          <w:lang w:val="en-GB"/>
        </w:rPr>
        <w:t xml:space="preserve"> the taking of deposits </w:t>
      </w:r>
      <w:r w:rsidR="0053215E" w:rsidRPr="006B51B1">
        <w:rPr>
          <w:rFonts w:asciiTheme="minorHAnsi" w:hAnsiTheme="minorHAnsi"/>
          <w:lang w:val="en-GB"/>
        </w:rPr>
        <w:t>by landlord</w:t>
      </w:r>
      <w:r w:rsidR="0096321E">
        <w:rPr>
          <w:rFonts w:asciiTheme="minorHAnsi" w:hAnsiTheme="minorHAnsi"/>
          <w:lang w:val="en-GB"/>
        </w:rPr>
        <w:t>s</w:t>
      </w:r>
      <w:r w:rsidR="0053215E" w:rsidRPr="006B51B1">
        <w:rPr>
          <w:rFonts w:asciiTheme="minorHAnsi" w:hAnsiTheme="minorHAnsi"/>
          <w:lang w:val="en-GB"/>
        </w:rPr>
        <w:t xml:space="preserve"> </w:t>
      </w:r>
      <w:r w:rsidRPr="006B51B1">
        <w:rPr>
          <w:rFonts w:asciiTheme="minorHAnsi" w:hAnsiTheme="minorHAnsi"/>
          <w:lang w:val="en-GB"/>
        </w:rPr>
        <w:t xml:space="preserve">as security for </w:t>
      </w:r>
      <w:r w:rsidR="0053215E" w:rsidRPr="006B51B1">
        <w:rPr>
          <w:rFonts w:asciiTheme="minorHAnsi" w:hAnsiTheme="minorHAnsi"/>
          <w:lang w:val="en-GB"/>
        </w:rPr>
        <w:t xml:space="preserve">tenant’s </w:t>
      </w:r>
      <w:r w:rsidRPr="006B51B1">
        <w:rPr>
          <w:rFonts w:asciiTheme="minorHAnsi" w:hAnsiTheme="minorHAnsi"/>
          <w:lang w:val="en-GB"/>
        </w:rPr>
        <w:t>perf</w:t>
      </w:r>
      <w:r w:rsidR="0053215E" w:rsidRPr="006B51B1">
        <w:rPr>
          <w:rFonts w:asciiTheme="minorHAnsi" w:hAnsiTheme="minorHAnsi"/>
          <w:lang w:val="en-GB"/>
        </w:rPr>
        <w:t>ormance of obligations or liability under the tenancy</w:t>
      </w:r>
      <w:r w:rsidRPr="006B51B1">
        <w:rPr>
          <w:rFonts w:asciiTheme="minorHAnsi" w:hAnsiTheme="minorHAnsi"/>
          <w:lang w:val="en-GB"/>
        </w:rPr>
        <w:t xml:space="preserve">. </w:t>
      </w:r>
      <w:r w:rsidR="00F20D98" w:rsidRPr="006B51B1">
        <w:rPr>
          <w:rFonts w:asciiTheme="minorHAnsi" w:hAnsiTheme="minorHAnsi"/>
          <w:lang w:val="en-GB"/>
        </w:rPr>
        <w:t>After a lengthy campaign by housing charities,</w:t>
      </w:r>
      <w:r w:rsidR="004100B6" w:rsidRPr="006B51B1">
        <w:rPr>
          <w:rStyle w:val="FootnoteReference"/>
          <w:rFonts w:asciiTheme="minorHAnsi" w:hAnsiTheme="minorHAnsi"/>
          <w:lang w:val="en-GB"/>
        </w:rPr>
        <w:footnoteReference w:id="91"/>
      </w:r>
      <w:r w:rsidR="00F20D98" w:rsidRPr="006B51B1">
        <w:rPr>
          <w:rFonts w:asciiTheme="minorHAnsi" w:hAnsiTheme="minorHAnsi"/>
          <w:lang w:val="en-GB"/>
        </w:rPr>
        <w:t xml:space="preserve"> t</w:t>
      </w:r>
      <w:r w:rsidRPr="006B51B1">
        <w:rPr>
          <w:rFonts w:asciiTheme="minorHAnsi" w:hAnsiTheme="minorHAnsi"/>
          <w:lang w:val="en-GB"/>
        </w:rPr>
        <w:t xml:space="preserve">he Housing </w:t>
      </w:r>
      <w:r w:rsidR="0053215E" w:rsidRPr="006B51B1">
        <w:rPr>
          <w:rFonts w:asciiTheme="minorHAnsi" w:hAnsiTheme="minorHAnsi"/>
          <w:lang w:val="en-GB"/>
        </w:rPr>
        <w:t xml:space="preserve">Act 2004 provided </w:t>
      </w:r>
      <w:r w:rsidR="00D10199" w:rsidRPr="006B51B1">
        <w:rPr>
          <w:rFonts w:asciiTheme="minorHAnsi" w:hAnsiTheme="minorHAnsi"/>
          <w:lang w:val="en-GB"/>
        </w:rPr>
        <w:t>for the safeguarding of tenancy deposits in the case of assured shorthold tenancies.</w:t>
      </w:r>
      <w:r w:rsidR="00D10199" w:rsidRPr="006B51B1">
        <w:rPr>
          <w:rStyle w:val="FootnoteReference"/>
          <w:rFonts w:asciiTheme="minorHAnsi" w:hAnsiTheme="minorHAnsi"/>
          <w:lang w:val="en-GB"/>
        </w:rPr>
        <w:footnoteReference w:id="92"/>
      </w:r>
      <w:r w:rsidR="00D10199" w:rsidRPr="006B51B1">
        <w:rPr>
          <w:rFonts w:asciiTheme="minorHAnsi" w:hAnsiTheme="minorHAnsi"/>
          <w:lang w:val="en-GB"/>
        </w:rPr>
        <w:t xml:space="preserve"> All deposits must be dealt with in accordance with an authorised scheme.</w:t>
      </w:r>
      <w:r w:rsidR="00D10199" w:rsidRPr="006B51B1">
        <w:rPr>
          <w:rStyle w:val="FootnoteReference"/>
          <w:rFonts w:asciiTheme="minorHAnsi" w:hAnsiTheme="minorHAnsi"/>
          <w:lang w:val="en-GB"/>
        </w:rPr>
        <w:footnoteReference w:id="93"/>
      </w:r>
      <w:r w:rsidR="00D10199" w:rsidRPr="006B51B1">
        <w:rPr>
          <w:rFonts w:asciiTheme="minorHAnsi" w:hAnsiTheme="minorHAnsi"/>
          <w:lang w:val="en-GB"/>
        </w:rPr>
        <w:t xml:space="preserve"> Scheme</w:t>
      </w:r>
      <w:r w:rsidR="0096321E">
        <w:rPr>
          <w:rFonts w:asciiTheme="minorHAnsi" w:hAnsiTheme="minorHAnsi"/>
          <w:lang w:val="en-GB"/>
        </w:rPr>
        <w:t>s</w:t>
      </w:r>
      <w:r w:rsidR="00D10199" w:rsidRPr="006B51B1">
        <w:rPr>
          <w:rFonts w:asciiTheme="minorHAnsi" w:hAnsiTheme="minorHAnsi"/>
          <w:lang w:val="en-GB"/>
        </w:rPr>
        <w:t xml:space="preserve"> may be custodial – where the deposit is </w:t>
      </w:r>
      <w:r w:rsidR="007F00F0">
        <w:rPr>
          <w:rFonts w:asciiTheme="minorHAnsi" w:hAnsiTheme="minorHAnsi"/>
          <w:lang w:val="en-GB"/>
        </w:rPr>
        <w:t>transferred in full</w:t>
      </w:r>
      <w:r w:rsidR="00D10199" w:rsidRPr="006B51B1">
        <w:rPr>
          <w:rFonts w:asciiTheme="minorHAnsi" w:hAnsiTheme="minorHAnsi"/>
          <w:lang w:val="en-GB"/>
        </w:rPr>
        <w:t xml:space="preserve"> by the landlord to the scheme.</w:t>
      </w:r>
      <w:r w:rsidR="00250D72" w:rsidRPr="006B51B1">
        <w:rPr>
          <w:rStyle w:val="FootnoteReference"/>
          <w:rFonts w:asciiTheme="minorHAnsi" w:hAnsiTheme="minorHAnsi"/>
          <w:lang w:val="en-GB"/>
        </w:rPr>
        <w:footnoteReference w:id="94"/>
      </w:r>
      <w:r w:rsidR="00D10199" w:rsidRPr="006B51B1">
        <w:rPr>
          <w:rFonts w:asciiTheme="minorHAnsi" w:hAnsiTheme="minorHAnsi"/>
          <w:lang w:val="en-GB"/>
        </w:rPr>
        <w:t xml:space="preserve"> Alternatively, under an insurance scheme the landlo</w:t>
      </w:r>
      <w:r w:rsidR="00250D72" w:rsidRPr="006B51B1">
        <w:rPr>
          <w:rFonts w:asciiTheme="minorHAnsi" w:hAnsiTheme="minorHAnsi"/>
          <w:lang w:val="en-GB"/>
        </w:rPr>
        <w:t>rd retains the deposit, but any failure by the landlord to repay the deposit is cover</w:t>
      </w:r>
      <w:r w:rsidR="007F00F0">
        <w:rPr>
          <w:rFonts w:asciiTheme="minorHAnsi" w:hAnsiTheme="minorHAnsi"/>
          <w:lang w:val="en-GB"/>
        </w:rPr>
        <w:t>ed</w:t>
      </w:r>
      <w:r w:rsidR="00250D72" w:rsidRPr="006B51B1">
        <w:rPr>
          <w:rFonts w:asciiTheme="minorHAnsi" w:hAnsiTheme="minorHAnsi"/>
          <w:lang w:val="en-GB"/>
        </w:rPr>
        <w:t xml:space="preserve"> by </w:t>
      </w:r>
      <w:r w:rsidR="007F00F0">
        <w:rPr>
          <w:rFonts w:asciiTheme="minorHAnsi" w:hAnsiTheme="minorHAnsi"/>
          <w:lang w:val="en-GB"/>
        </w:rPr>
        <w:t xml:space="preserve">the </w:t>
      </w:r>
      <w:r w:rsidR="00250D72" w:rsidRPr="006B51B1">
        <w:rPr>
          <w:rFonts w:asciiTheme="minorHAnsi" w:hAnsiTheme="minorHAnsi"/>
          <w:lang w:val="en-GB"/>
        </w:rPr>
        <w:t>scheme</w:t>
      </w:r>
      <w:r w:rsidR="007F00F0">
        <w:rPr>
          <w:rFonts w:asciiTheme="minorHAnsi" w:hAnsiTheme="minorHAnsi"/>
          <w:lang w:val="en-GB"/>
        </w:rPr>
        <w:t>’s</w:t>
      </w:r>
      <w:r w:rsidR="00250D72" w:rsidRPr="006B51B1">
        <w:rPr>
          <w:rFonts w:asciiTheme="minorHAnsi" w:hAnsiTheme="minorHAnsi"/>
          <w:lang w:val="en-GB"/>
        </w:rPr>
        <w:t xml:space="preserve"> insurance that the landlord pays for.</w:t>
      </w:r>
      <w:r w:rsidR="00250D72" w:rsidRPr="006B51B1">
        <w:rPr>
          <w:rStyle w:val="FootnoteReference"/>
          <w:rFonts w:asciiTheme="minorHAnsi" w:hAnsiTheme="minorHAnsi"/>
          <w:lang w:val="en-GB"/>
        </w:rPr>
        <w:footnoteReference w:id="95"/>
      </w:r>
      <w:r w:rsidR="00D10199" w:rsidRPr="006B51B1">
        <w:rPr>
          <w:rFonts w:asciiTheme="minorHAnsi" w:hAnsiTheme="minorHAnsi"/>
          <w:lang w:val="en-GB"/>
        </w:rPr>
        <w:t xml:space="preserve"> The Government has contracted with three </w:t>
      </w:r>
      <w:r w:rsidR="00250D72" w:rsidRPr="006B51B1">
        <w:rPr>
          <w:rFonts w:asciiTheme="minorHAnsi" w:hAnsiTheme="minorHAnsi"/>
          <w:lang w:val="en-GB"/>
        </w:rPr>
        <w:t>schemes</w:t>
      </w:r>
      <w:r w:rsidR="003E4A3F" w:rsidRPr="006B51B1">
        <w:rPr>
          <w:rFonts w:asciiTheme="minorHAnsi" w:hAnsiTheme="minorHAnsi"/>
          <w:lang w:val="en-GB"/>
        </w:rPr>
        <w:t xml:space="preserve"> to provide tenancy deposit protection</w:t>
      </w:r>
      <w:r w:rsidR="00250D72" w:rsidRPr="006B51B1">
        <w:rPr>
          <w:rFonts w:asciiTheme="minorHAnsi" w:hAnsiTheme="minorHAnsi"/>
          <w:lang w:val="en-GB"/>
        </w:rPr>
        <w:t>.</w:t>
      </w:r>
      <w:r w:rsidR="00250D72" w:rsidRPr="006B51B1">
        <w:rPr>
          <w:rStyle w:val="FootnoteReference"/>
          <w:rFonts w:asciiTheme="minorHAnsi" w:hAnsiTheme="minorHAnsi"/>
          <w:lang w:val="en-GB"/>
        </w:rPr>
        <w:footnoteReference w:id="96"/>
      </w:r>
      <w:r w:rsidR="003E4A3F" w:rsidRPr="006B51B1">
        <w:rPr>
          <w:rFonts w:asciiTheme="minorHAnsi" w:hAnsiTheme="minorHAnsi"/>
          <w:lang w:val="en-GB"/>
        </w:rPr>
        <w:t xml:space="preserve"> If</w:t>
      </w:r>
      <w:r w:rsidR="00250D72" w:rsidRPr="006B51B1">
        <w:rPr>
          <w:rFonts w:asciiTheme="minorHAnsi" w:hAnsiTheme="minorHAnsi"/>
          <w:lang w:val="en-GB"/>
        </w:rPr>
        <w:t xml:space="preserve"> </w:t>
      </w:r>
      <w:r w:rsidR="003E4A3F" w:rsidRPr="006B51B1">
        <w:rPr>
          <w:rFonts w:asciiTheme="minorHAnsi" w:hAnsiTheme="minorHAnsi"/>
          <w:lang w:val="en-GB"/>
        </w:rPr>
        <w:t>a deposit is not properly safeguarded in a scheme</w:t>
      </w:r>
      <w:r w:rsidR="0096321E">
        <w:rPr>
          <w:rFonts w:asciiTheme="minorHAnsi" w:hAnsiTheme="minorHAnsi"/>
          <w:lang w:val="en-GB"/>
        </w:rPr>
        <w:t>,</w:t>
      </w:r>
      <w:r w:rsidR="003E4A3F" w:rsidRPr="006B51B1">
        <w:rPr>
          <w:rFonts w:asciiTheme="minorHAnsi" w:hAnsiTheme="minorHAnsi"/>
          <w:lang w:val="en-GB"/>
        </w:rPr>
        <w:t xml:space="preserve"> a tenant can apply to the court for the return of the deposit and damages.</w:t>
      </w:r>
      <w:r w:rsidR="003E4A3F" w:rsidRPr="006B51B1">
        <w:rPr>
          <w:rStyle w:val="FootnoteReference"/>
          <w:rFonts w:asciiTheme="minorHAnsi" w:hAnsiTheme="minorHAnsi"/>
          <w:lang w:val="en-GB"/>
        </w:rPr>
        <w:footnoteReference w:id="97"/>
      </w:r>
      <w:r w:rsidR="003E4A3F" w:rsidRPr="006B51B1">
        <w:rPr>
          <w:rFonts w:asciiTheme="minorHAnsi" w:hAnsiTheme="minorHAnsi"/>
          <w:lang w:val="en-GB"/>
        </w:rPr>
        <w:t xml:space="preserve"> Further a landlord cannot terminate </w:t>
      </w:r>
      <w:r w:rsidR="003140D1" w:rsidRPr="006B51B1">
        <w:rPr>
          <w:rFonts w:asciiTheme="minorHAnsi" w:hAnsiTheme="minorHAnsi"/>
          <w:lang w:val="en-GB"/>
        </w:rPr>
        <w:t xml:space="preserve">an assured </w:t>
      </w:r>
      <w:r w:rsidR="00C77B13" w:rsidRPr="006B51B1">
        <w:rPr>
          <w:rFonts w:asciiTheme="minorHAnsi" w:hAnsiTheme="minorHAnsi"/>
          <w:lang w:val="en-GB"/>
        </w:rPr>
        <w:t xml:space="preserve">shorthold tenancy by serving a section 21 </w:t>
      </w:r>
      <w:r w:rsidR="0096321E">
        <w:rPr>
          <w:rFonts w:asciiTheme="minorHAnsi" w:hAnsiTheme="minorHAnsi"/>
          <w:lang w:val="en-GB"/>
        </w:rPr>
        <w:t xml:space="preserve">notice </w:t>
      </w:r>
      <w:r w:rsidR="00C77B13" w:rsidRPr="006B51B1">
        <w:rPr>
          <w:rFonts w:asciiTheme="minorHAnsi" w:hAnsiTheme="minorHAnsi"/>
          <w:lang w:val="en-GB"/>
        </w:rPr>
        <w:t xml:space="preserve">while a deposit </w:t>
      </w:r>
      <w:r w:rsidR="00EE5216">
        <w:rPr>
          <w:rFonts w:asciiTheme="minorHAnsi" w:hAnsiTheme="minorHAnsi"/>
          <w:lang w:val="en-GB"/>
        </w:rPr>
        <w:t xml:space="preserve">is not </w:t>
      </w:r>
      <w:r w:rsidR="00C77B13" w:rsidRPr="006B51B1">
        <w:rPr>
          <w:rFonts w:asciiTheme="minorHAnsi" w:hAnsiTheme="minorHAnsi"/>
          <w:lang w:val="en-GB"/>
        </w:rPr>
        <w:t>properly protected.</w:t>
      </w:r>
      <w:r w:rsidR="00C77B13" w:rsidRPr="006B51B1">
        <w:rPr>
          <w:rStyle w:val="FootnoteReference"/>
          <w:rFonts w:asciiTheme="minorHAnsi" w:hAnsiTheme="minorHAnsi"/>
          <w:lang w:val="en-GB"/>
        </w:rPr>
        <w:footnoteReference w:id="98"/>
      </w:r>
    </w:p>
    <w:p w14:paraId="70EB398A" w14:textId="77777777" w:rsidR="00651EDA" w:rsidRPr="006B51B1" w:rsidRDefault="00651EDA" w:rsidP="000435D2">
      <w:pPr>
        <w:jc w:val="both"/>
        <w:rPr>
          <w:rFonts w:asciiTheme="minorHAnsi" w:hAnsiTheme="minorHAnsi"/>
          <w:lang w:val="en-GB"/>
        </w:rPr>
      </w:pPr>
    </w:p>
    <w:p w14:paraId="06AB87E4" w14:textId="08471664" w:rsidR="00896D06" w:rsidRPr="00C94A99" w:rsidRDefault="00896D06" w:rsidP="005E6028">
      <w:pPr>
        <w:pStyle w:val="ListParagraph"/>
        <w:numPr>
          <w:ilvl w:val="0"/>
          <w:numId w:val="2"/>
        </w:numPr>
        <w:jc w:val="both"/>
        <w:rPr>
          <w:rFonts w:asciiTheme="minorHAnsi" w:hAnsiTheme="minorHAnsi"/>
          <w:b/>
          <w:lang w:val="en-GB"/>
        </w:rPr>
      </w:pPr>
      <w:r w:rsidRPr="00202690">
        <w:rPr>
          <w:rFonts w:asciiTheme="minorHAnsi" w:hAnsiTheme="minorHAnsi"/>
          <w:b/>
          <w:lang w:val="en-GB"/>
        </w:rPr>
        <w:t>Conditions</w:t>
      </w:r>
      <w:r w:rsidR="00C94A99">
        <w:rPr>
          <w:rFonts w:asciiTheme="minorHAnsi" w:hAnsiTheme="minorHAnsi"/>
          <w:b/>
          <w:lang w:val="en-GB"/>
        </w:rPr>
        <w:t xml:space="preserve"> </w:t>
      </w:r>
      <w:r w:rsidR="00C94A99" w:rsidRPr="002237E3">
        <w:rPr>
          <w:rFonts w:asciiTheme="minorHAnsi" w:hAnsiTheme="minorHAnsi"/>
          <w:b/>
          <w:lang w:val="en-GB"/>
        </w:rPr>
        <w:t>(habitability)</w:t>
      </w:r>
    </w:p>
    <w:p w14:paraId="0E58A328" w14:textId="46CEB1B8" w:rsidR="00D92484" w:rsidRPr="006B51B1" w:rsidRDefault="00360239" w:rsidP="00D92484">
      <w:pPr>
        <w:jc w:val="both"/>
        <w:rPr>
          <w:rFonts w:asciiTheme="minorHAnsi" w:hAnsiTheme="minorHAnsi"/>
          <w:lang w:val="en-GB"/>
        </w:rPr>
      </w:pPr>
      <w:r w:rsidRPr="006B51B1">
        <w:rPr>
          <w:rFonts w:asciiTheme="minorHAnsi" w:hAnsiTheme="minorHAnsi"/>
          <w:lang w:val="en-GB"/>
        </w:rPr>
        <w:t xml:space="preserve">The fourth </w:t>
      </w:r>
      <w:r w:rsidR="0037571E" w:rsidRPr="006B51B1">
        <w:rPr>
          <w:rFonts w:asciiTheme="minorHAnsi" w:hAnsiTheme="minorHAnsi"/>
          <w:lang w:val="en-GB"/>
        </w:rPr>
        <w:t>element of the legal determinants</w:t>
      </w:r>
      <w:r w:rsidR="001971F2">
        <w:rPr>
          <w:rFonts w:asciiTheme="minorHAnsi" w:hAnsiTheme="minorHAnsi"/>
          <w:lang w:val="en-GB"/>
        </w:rPr>
        <w:t xml:space="preserve"> of </w:t>
      </w:r>
      <w:proofErr w:type="spellStart"/>
      <w:r w:rsidR="001971F2">
        <w:rPr>
          <w:rFonts w:asciiTheme="minorHAnsi" w:hAnsiTheme="minorHAnsi"/>
          <w:lang w:val="en-GB"/>
        </w:rPr>
        <w:t>precarity</w:t>
      </w:r>
      <w:proofErr w:type="spellEnd"/>
      <w:r w:rsidR="0037571E" w:rsidRPr="006B51B1">
        <w:rPr>
          <w:rFonts w:asciiTheme="minorHAnsi" w:hAnsiTheme="minorHAnsi"/>
          <w:lang w:val="en-GB"/>
        </w:rPr>
        <w:t xml:space="preserve"> is control of property standards</w:t>
      </w:r>
      <w:r w:rsidR="00C94A99">
        <w:rPr>
          <w:rFonts w:asciiTheme="minorHAnsi" w:hAnsiTheme="minorHAnsi"/>
          <w:lang w:val="en-GB"/>
        </w:rPr>
        <w:t xml:space="preserve"> or habitability</w:t>
      </w:r>
      <w:r w:rsidR="002237E3">
        <w:rPr>
          <w:rFonts w:asciiTheme="minorHAnsi" w:hAnsiTheme="minorHAnsi"/>
          <w:lang w:val="en-GB"/>
        </w:rPr>
        <w:t xml:space="preserve"> to use the language of the UN</w:t>
      </w:r>
      <w:r w:rsidR="0037571E" w:rsidRPr="006B51B1">
        <w:rPr>
          <w:rFonts w:asciiTheme="minorHAnsi" w:hAnsiTheme="minorHAnsi"/>
          <w:lang w:val="en-GB"/>
        </w:rPr>
        <w:t>.</w:t>
      </w:r>
      <w:r w:rsidR="002237E3">
        <w:rPr>
          <w:rStyle w:val="FootnoteReference"/>
          <w:rFonts w:asciiTheme="minorHAnsi" w:hAnsiTheme="minorHAnsi"/>
          <w:lang w:val="en-GB"/>
        </w:rPr>
        <w:footnoteReference w:id="99"/>
      </w:r>
      <w:r w:rsidR="0037571E" w:rsidRPr="006B51B1">
        <w:rPr>
          <w:rFonts w:asciiTheme="minorHAnsi" w:hAnsiTheme="minorHAnsi"/>
          <w:lang w:val="en-GB"/>
        </w:rPr>
        <w:t xml:space="preserve"> </w:t>
      </w:r>
      <w:r w:rsidR="00D92484" w:rsidRPr="006B51B1">
        <w:rPr>
          <w:rFonts w:asciiTheme="minorHAnsi" w:hAnsiTheme="minorHAnsi"/>
          <w:lang w:val="en-GB"/>
        </w:rPr>
        <w:t>The wors</w:t>
      </w:r>
      <w:r w:rsidR="001971F2">
        <w:rPr>
          <w:rFonts w:asciiTheme="minorHAnsi" w:hAnsiTheme="minorHAnsi"/>
          <w:lang w:val="en-GB"/>
        </w:rPr>
        <w:t>t</w:t>
      </w:r>
      <w:r w:rsidR="00D92484" w:rsidRPr="006B51B1">
        <w:rPr>
          <w:rFonts w:asciiTheme="minorHAnsi" w:hAnsiTheme="minorHAnsi"/>
          <w:lang w:val="en-GB"/>
        </w:rPr>
        <w:t xml:space="preserve"> conditions </w:t>
      </w:r>
      <w:r w:rsidR="00EE5216">
        <w:rPr>
          <w:rFonts w:asciiTheme="minorHAnsi" w:hAnsiTheme="minorHAnsi"/>
          <w:lang w:val="en-GB"/>
        </w:rPr>
        <w:t xml:space="preserve">in English homes </w:t>
      </w:r>
      <w:r w:rsidR="00D92484" w:rsidRPr="006B51B1">
        <w:rPr>
          <w:rFonts w:asciiTheme="minorHAnsi" w:hAnsiTheme="minorHAnsi"/>
          <w:lang w:val="en-GB"/>
        </w:rPr>
        <w:t>are found in the private rented sector.</w:t>
      </w:r>
      <w:r w:rsidR="00D92484" w:rsidRPr="006B51B1">
        <w:rPr>
          <w:rStyle w:val="FootnoteReference"/>
          <w:rFonts w:asciiTheme="minorHAnsi" w:hAnsiTheme="minorHAnsi"/>
          <w:lang w:val="en-GB"/>
        </w:rPr>
        <w:footnoteReference w:id="100"/>
      </w:r>
      <w:r w:rsidR="00D92484" w:rsidRPr="006B51B1">
        <w:rPr>
          <w:rFonts w:asciiTheme="minorHAnsi" w:hAnsiTheme="minorHAnsi"/>
          <w:lang w:val="en-GB"/>
        </w:rPr>
        <w:t xml:space="preserve"> More than a quarter (28%) of privately rented homes did not </w:t>
      </w:r>
      <w:r w:rsidR="00D92484" w:rsidRPr="006B51B1">
        <w:rPr>
          <w:rFonts w:asciiTheme="minorHAnsi" w:hAnsiTheme="minorHAnsi"/>
          <w:lang w:val="en-GB"/>
        </w:rPr>
        <w:lastRenderedPageBreak/>
        <w:t>meet the government’s Decent Homes Standard</w:t>
      </w:r>
      <w:r w:rsidR="00D92484" w:rsidRPr="006B51B1">
        <w:rPr>
          <w:rStyle w:val="FootnoteReference"/>
          <w:rFonts w:asciiTheme="minorHAnsi" w:hAnsiTheme="minorHAnsi"/>
          <w:lang w:val="en-GB"/>
        </w:rPr>
        <w:footnoteReference w:id="101"/>
      </w:r>
      <w:r w:rsidR="00D92484" w:rsidRPr="006B51B1">
        <w:rPr>
          <w:rFonts w:asciiTheme="minorHAnsi" w:hAnsiTheme="minorHAnsi"/>
          <w:lang w:val="en-GB"/>
        </w:rPr>
        <w:t xml:space="preserve"> in 2015. This compares to 13% in the social rented sector a</w:t>
      </w:r>
      <w:r w:rsidR="00F00340" w:rsidRPr="006B51B1">
        <w:rPr>
          <w:rFonts w:asciiTheme="minorHAnsi" w:hAnsiTheme="minorHAnsi"/>
          <w:lang w:val="en-GB"/>
        </w:rPr>
        <w:t>nd 18% of owner-occupied homes.</w:t>
      </w:r>
      <w:r w:rsidR="00F00340" w:rsidRPr="006B51B1">
        <w:rPr>
          <w:rStyle w:val="FootnoteReference"/>
          <w:rFonts w:asciiTheme="minorHAnsi" w:hAnsiTheme="minorHAnsi"/>
          <w:lang w:val="en-GB"/>
        </w:rPr>
        <w:footnoteReference w:id="102"/>
      </w:r>
      <w:r w:rsidR="00D92484" w:rsidRPr="006B51B1">
        <w:rPr>
          <w:rFonts w:asciiTheme="minorHAnsi" w:hAnsiTheme="minorHAnsi"/>
          <w:lang w:val="en-GB"/>
        </w:rPr>
        <w:t xml:space="preserve"> </w:t>
      </w:r>
    </w:p>
    <w:p w14:paraId="081604B2" w14:textId="77777777" w:rsidR="00D92484" w:rsidRPr="006B51B1" w:rsidRDefault="00D92484" w:rsidP="000435D2">
      <w:pPr>
        <w:jc w:val="both"/>
        <w:rPr>
          <w:rFonts w:asciiTheme="minorHAnsi" w:hAnsiTheme="minorHAnsi"/>
          <w:lang w:val="en-GB"/>
        </w:rPr>
      </w:pPr>
    </w:p>
    <w:p w14:paraId="6CFDAB4D" w14:textId="1FEF7C6C" w:rsidR="0037571E" w:rsidRPr="006B51B1" w:rsidRDefault="00D430BB" w:rsidP="000435D2">
      <w:pPr>
        <w:jc w:val="both"/>
        <w:rPr>
          <w:rFonts w:asciiTheme="minorHAnsi" w:hAnsiTheme="minorHAnsi"/>
          <w:lang w:val="en-GB"/>
        </w:rPr>
      </w:pPr>
      <w:r w:rsidRPr="006B51B1">
        <w:rPr>
          <w:rFonts w:asciiTheme="minorHAnsi" w:hAnsiTheme="minorHAnsi"/>
          <w:lang w:val="en-GB"/>
        </w:rPr>
        <w:t xml:space="preserve">The legal response to the issue of standards </w:t>
      </w:r>
      <w:r w:rsidR="0037571E" w:rsidRPr="006B51B1">
        <w:rPr>
          <w:rFonts w:asciiTheme="minorHAnsi" w:hAnsiTheme="minorHAnsi"/>
          <w:lang w:val="en-GB"/>
        </w:rPr>
        <w:t xml:space="preserve">takes a </w:t>
      </w:r>
      <w:r w:rsidR="00EE5216">
        <w:rPr>
          <w:rFonts w:asciiTheme="minorHAnsi" w:hAnsiTheme="minorHAnsi"/>
          <w:lang w:val="en-GB"/>
        </w:rPr>
        <w:t>number of legal forms in English law</w:t>
      </w:r>
      <w:r w:rsidR="0037571E" w:rsidRPr="006B51B1">
        <w:rPr>
          <w:rFonts w:asciiTheme="minorHAnsi" w:hAnsiTheme="minorHAnsi"/>
          <w:lang w:val="en-GB"/>
        </w:rPr>
        <w:t>. Some are right</w:t>
      </w:r>
      <w:r w:rsidRPr="006B51B1">
        <w:rPr>
          <w:rFonts w:asciiTheme="minorHAnsi" w:hAnsiTheme="minorHAnsi"/>
          <w:lang w:val="en-GB"/>
        </w:rPr>
        <w:t>s given directly to the tenant</w:t>
      </w:r>
      <w:r w:rsidR="0037571E" w:rsidRPr="006B51B1">
        <w:rPr>
          <w:rFonts w:asciiTheme="minorHAnsi" w:hAnsiTheme="minorHAnsi"/>
          <w:lang w:val="en-GB"/>
        </w:rPr>
        <w:t>. The most important example of this is the Landlord and Tenant Act 1985, s.11</w:t>
      </w:r>
      <w:r w:rsidR="001971F2">
        <w:rPr>
          <w:rFonts w:asciiTheme="minorHAnsi" w:hAnsiTheme="minorHAnsi"/>
          <w:lang w:val="en-GB"/>
        </w:rPr>
        <w:t xml:space="preserve"> of</w:t>
      </w:r>
      <w:r w:rsidR="0037571E" w:rsidRPr="006B51B1">
        <w:rPr>
          <w:rFonts w:asciiTheme="minorHAnsi" w:hAnsiTheme="minorHAnsi"/>
          <w:lang w:val="en-GB"/>
        </w:rPr>
        <w:t xml:space="preserve"> which implies a term in to all short-term tenancy agreements that the landlord is responsible </w:t>
      </w:r>
      <w:r w:rsidR="00EE5216">
        <w:rPr>
          <w:rFonts w:asciiTheme="minorHAnsi" w:hAnsiTheme="minorHAnsi"/>
          <w:lang w:val="en-GB"/>
        </w:rPr>
        <w:t xml:space="preserve">for </w:t>
      </w:r>
      <w:r w:rsidR="0037571E" w:rsidRPr="006B51B1">
        <w:rPr>
          <w:rFonts w:asciiTheme="minorHAnsi" w:hAnsiTheme="minorHAnsi"/>
          <w:lang w:val="en-GB"/>
        </w:rPr>
        <w:t xml:space="preserve">repairs to the structure, exterior and utilities serving a property. </w:t>
      </w:r>
      <w:r w:rsidR="00442430" w:rsidRPr="006B51B1">
        <w:rPr>
          <w:rFonts w:asciiTheme="minorHAnsi" w:hAnsiTheme="minorHAnsi"/>
          <w:lang w:val="en-GB"/>
        </w:rPr>
        <w:t xml:space="preserve">The Act applies to ‘short’ </w:t>
      </w:r>
      <w:r w:rsidR="00A45CBF" w:rsidRPr="006B51B1">
        <w:rPr>
          <w:rFonts w:asciiTheme="minorHAnsi" w:hAnsiTheme="minorHAnsi"/>
          <w:lang w:val="en-GB"/>
        </w:rPr>
        <w:t xml:space="preserve">tenancies, </w:t>
      </w:r>
      <w:r w:rsidR="001971F2">
        <w:rPr>
          <w:rFonts w:asciiTheme="minorHAnsi" w:hAnsiTheme="minorHAnsi"/>
          <w:lang w:val="en-GB"/>
        </w:rPr>
        <w:t>namely</w:t>
      </w:r>
      <w:r w:rsidR="00A45CBF" w:rsidRPr="006B51B1">
        <w:rPr>
          <w:rFonts w:asciiTheme="minorHAnsi" w:hAnsiTheme="minorHAnsi"/>
          <w:lang w:val="en-GB"/>
        </w:rPr>
        <w:t xml:space="preserve"> periodic tenancies or fixed-term tenancies of less than seven years.</w:t>
      </w:r>
      <w:r w:rsidR="00A45CBF" w:rsidRPr="006B51B1">
        <w:rPr>
          <w:rStyle w:val="FootnoteReference"/>
          <w:rFonts w:asciiTheme="minorHAnsi" w:hAnsiTheme="minorHAnsi"/>
          <w:lang w:val="en-GB"/>
        </w:rPr>
        <w:footnoteReference w:id="103"/>
      </w:r>
      <w:r w:rsidR="00420884" w:rsidRPr="006B51B1">
        <w:rPr>
          <w:rFonts w:asciiTheme="minorHAnsi" w:hAnsiTheme="minorHAnsi"/>
          <w:lang w:val="en-GB"/>
        </w:rPr>
        <w:t xml:space="preserve"> </w:t>
      </w:r>
      <w:r w:rsidR="00886B33">
        <w:rPr>
          <w:rFonts w:asciiTheme="minorHAnsi" w:hAnsiTheme="minorHAnsi"/>
          <w:lang w:val="en-GB"/>
        </w:rPr>
        <w:t>It applies to all tenancies</w:t>
      </w:r>
      <w:r w:rsidR="00ED6540" w:rsidRPr="006B51B1">
        <w:rPr>
          <w:rFonts w:asciiTheme="minorHAnsi" w:hAnsiTheme="minorHAnsi"/>
          <w:lang w:val="en-GB"/>
        </w:rPr>
        <w:t>, both private rented and social.</w:t>
      </w:r>
    </w:p>
    <w:p w14:paraId="67E47548" w14:textId="77777777" w:rsidR="00D430BB" w:rsidRPr="006B51B1" w:rsidRDefault="00D430BB" w:rsidP="000435D2">
      <w:pPr>
        <w:jc w:val="both"/>
        <w:rPr>
          <w:rFonts w:asciiTheme="minorHAnsi" w:hAnsiTheme="minorHAnsi"/>
          <w:lang w:val="en-GB"/>
        </w:rPr>
      </w:pPr>
    </w:p>
    <w:p w14:paraId="4274431E" w14:textId="0ED61791" w:rsidR="00D430BB" w:rsidRPr="006B51B1" w:rsidRDefault="00420884" w:rsidP="000435D2">
      <w:pPr>
        <w:jc w:val="both"/>
        <w:rPr>
          <w:rFonts w:asciiTheme="minorHAnsi" w:hAnsiTheme="minorHAnsi"/>
          <w:lang w:val="en-GB"/>
        </w:rPr>
      </w:pPr>
      <w:r w:rsidRPr="006B51B1">
        <w:rPr>
          <w:rFonts w:asciiTheme="minorHAnsi" w:hAnsiTheme="minorHAnsi"/>
          <w:lang w:val="en-GB"/>
        </w:rPr>
        <w:t>Landlord</w:t>
      </w:r>
      <w:r w:rsidR="00ED6540" w:rsidRPr="006B51B1">
        <w:rPr>
          <w:rFonts w:asciiTheme="minorHAnsi" w:hAnsiTheme="minorHAnsi"/>
          <w:lang w:val="en-GB"/>
        </w:rPr>
        <w:t>s can</w:t>
      </w:r>
      <w:r w:rsidRPr="006B51B1">
        <w:rPr>
          <w:rFonts w:asciiTheme="minorHAnsi" w:hAnsiTheme="minorHAnsi"/>
          <w:lang w:val="en-GB"/>
        </w:rPr>
        <w:t>not contract-out of the term</w:t>
      </w:r>
      <w:r w:rsidRPr="006B51B1">
        <w:rPr>
          <w:rStyle w:val="FootnoteReference"/>
          <w:rFonts w:asciiTheme="minorHAnsi" w:hAnsiTheme="minorHAnsi"/>
          <w:lang w:val="en-GB"/>
        </w:rPr>
        <w:footnoteReference w:id="104"/>
      </w:r>
      <w:r w:rsidRPr="006B51B1">
        <w:rPr>
          <w:rFonts w:asciiTheme="minorHAnsi" w:hAnsiTheme="minorHAnsi"/>
          <w:lang w:val="en-GB"/>
        </w:rPr>
        <w:t xml:space="preserve"> and a breach of the term can sound in damages.</w:t>
      </w:r>
      <w:r w:rsidRPr="006B51B1">
        <w:rPr>
          <w:rStyle w:val="FootnoteReference"/>
          <w:rFonts w:asciiTheme="minorHAnsi" w:hAnsiTheme="minorHAnsi"/>
          <w:lang w:val="en-GB"/>
        </w:rPr>
        <w:footnoteReference w:id="105"/>
      </w:r>
      <w:r w:rsidRPr="006B51B1">
        <w:rPr>
          <w:rFonts w:asciiTheme="minorHAnsi" w:hAnsiTheme="minorHAnsi"/>
          <w:lang w:val="en-GB"/>
        </w:rPr>
        <w:t xml:space="preserve"> A mandatory injunction can be awarded to require a landlord to effect the repair.</w:t>
      </w:r>
      <w:r w:rsidRPr="006B51B1">
        <w:rPr>
          <w:rStyle w:val="FootnoteReference"/>
          <w:rFonts w:asciiTheme="minorHAnsi" w:hAnsiTheme="minorHAnsi"/>
          <w:lang w:val="en-GB"/>
        </w:rPr>
        <w:footnoteReference w:id="106"/>
      </w:r>
      <w:r w:rsidR="00C91796" w:rsidRPr="006B51B1">
        <w:rPr>
          <w:rFonts w:asciiTheme="minorHAnsi" w:hAnsiTheme="minorHAnsi"/>
          <w:lang w:val="en-GB"/>
        </w:rPr>
        <w:t xml:space="preserve"> However, the implied term is limited to </w:t>
      </w:r>
      <w:r w:rsidR="00712FA8" w:rsidRPr="006B51B1">
        <w:rPr>
          <w:rFonts w:asciiTheme="minorHAnsi" w:hAnsiTheme="minorHAnsi"/>
          <w:lang w:val="en-GB"/>
        </w:rPr>
        <w:t>‘</w:t>
      </w:r>
      <w:r w:rsidR="00C91796" w:rsidRPr="006B51B1">
        <w:rPr>
          <w:rFonts w:asciiTheme="minorHAnsi" w:hAnsiTheme="minorHAnsi"/>
          <w:lang w:val="en-GB"/>
        </w:rPr>
        <w:t>repairing</w:t>
      </w:r>
      <w:r w:rsidR="00712FA8" w:rsidRPr="006B51B1">
        <w:rPr>
          <w:rFonts w:asciiTheme="minorHAnsi" w:hAnsiTheme="minorHAnsi"/>
          <w:lang w:val="en-GB"/>
        </w:rPr>
        <w:t>’</w:t>
      </w:r>
      <w:r w:rsidR="00C91796" w:rsidRPr="006B51B1">
        <w:rPr>
          <w:rFonts w:asciiTheme="minorHAnsi" w:hAnsiTheme="minorHAnsi"/>
          <w:lang w:val="en-GB"/>
        </w:rPr>
        <w:t xml:space="preserve"> the home and landlords are not required to improve the home, either by providing utilities that were not present in the dwelling when it was let, or to correct an inherent design fault that does not create a </w:t>
      </w:r>
      <w:r w:rsidR="001971F2">
        <w:rPr>
          <w:rFonts w:asciiTheme="minorHAnsi" w:hAnsiTheme="minorHAnsi"/>
          <w:lang w:val="en-GB"/>
        </w:rPr>
        <w:t>dis</w:t>
      </w:r>
      <w:r w:rsidR="00C91796" w:rsidRPr="006B51B1">
        <w:rPr>
          <w:rFonts w:asciiTheme="minorHAnsi" w:hAnsiTheme="minorHAnsi"/>
          <w:lang w:val="en-GB"/>
        </w:rPr>
        <w:t>repair. This was illustrate</w:t>
      </w:r>
      <w:r w:rsidR="00712FA8" w:rsidRPr="006B51B1">
        <w:rPr>
          <w:rFonts w:asciiTheme="minorHAnsi" w:hAnsiTheme="minorHAnsi"/>
          <w:lang w:val="en-GB"/>
        </w:rPr>
        <w:t>d</w:t>
      </w:r>
      <w:r w:rsidR="00C91796" w:rsidRPr="006B51B1">
        <w:rPr>
          <w:rFonts w:asciiTheme="minorHAnsi" w:hAnsiTheme="minorHAnsi"/>
          <w:lang w:val="en-GB"/>
        </w:rPr>
        <w:t xml:space="preserve"> in the case of </w:t>
      </w:r>
      <w:r w:rsidR="00C91796" w:rsidRPr="004D0FE0">
        <w:rPr>
          <w:rFonts w:asciiTheme="minorHAnsi" w:hAnsiTheme="minorHAnsi"/>
          <w:i/>
          <w:lang w:val="en-GB"/>
        </w:rPr>
        <w:t>Quick v Taff BC</w:t>
      </w:r>
      <w:r w:rsidR="00ED6540" w:rsidRPr="006B51B1">
        <w:rPr>
          <w:rStyle w:val="FootnoteReference"/>
          <w:rFonts w:asciiTheme="minorHAnsi" w:hAnsiTheme="minorHAnsi"/>
          <w:i/>
          <w:lang w:val="en-GB"/>
        </w:rPr>
        <w:footnoteReference w:id="107"/>
      </w:r>
      <w:r w:rsidR="00C91796" w:rsidRPr="006B51B1">
        <w:rPr>
          <w:rFonts w:asciiTheme="minorHAnsi" w:hAnsiTheme="minorHAnsi"/>
          <w:i/>
          <w:lang w:val="en-GB"/>
        </w:rPr>
        <w:t xml:space="preserve"> </w:t>
      </w:r>
      <w:r w:rsidR="00ED6540" w:rsidRPr="006B51B1">
        <w:rPr>
          <w:rFonts w:asciiTheme="minorHAnsi" w:hAnsiTheme="minorHAnsi"/>
          <w:lang w:val="en-GB"/>
        </w:rPr>
        <w:t>where condensation ca</w:t>
      </w:r>
      <w:r w:rsidR="00712FA8" w:rsidRPr="006B51B1">
        <w:rPr>
          <w:rFonts w:asciiTheme="minorHAnsi" w:hAnsiTheme="minorHAnsi"/>
          <w:lang w:val="en-GB"/>
        </w:rPr>
        <w:t>u</w:t>
      </w:r>
      <w:r w:rsidR="00ED6540" w:rsidRPr="006B51B1">
        <w:rPr>
          <w:rFonts w:asciiTheme="minorHAnsi" w:hAnsiTheme="minorHAnsi"/>
          <w:lang w:val="en-GB"/>
        </w:rPr>
        <w:t>sed by design faults (single glazed metal framed windows, no insulating and inadequate he</w:t>
      </w:r>
      <w:r w:rsidR="00712FA8" w:rsidRPr="006B51B1">
        <w:rPr>
          <w:rFonts w:asciiTheme="minorHAnsi" w:hAnsiTheme="minorHAnsi"/>
          <w:lang w:val="en-GB"/>
        </w:rPr>
        <w:t>ating) was found not to breach</w:t>
      </w:r>
      <w:r w:rsidR="00ED6540" w:rsidRPr="006B51B1">
        <w:rPr>
          <w:rFonts w:asciiTheme="minorHAnsi" w:hAnsiTheme="minorHAnsi"/>
          <w:lang w:val="en-GB"/>
        </w:rPr>
        <w:t xml:space="preserve"> </w:t>
      </w:r>
      <w:r w:rsidR="00712FA8" w:rsidRPr="006B51B1">
        <w:rPr>
          <w:rFonts w:asciiTheme="minorHAnsi" w:hAnsiTheme="minorHAnsi"/>
          <w:lang w:val="en-GB"/>
        </w:rPr>
        <w:t>section 11.</w:t>
      </w:r>
    </w:p>
    <w:p w14:paraId="230BF32D" w14:textId="77777777" w:rsidR="00FB6F17" w:rsidRPr="006B51B1" w:rsidRDefault="00FB6F17" w:rsidP="000435D2">
      <w:pPr>
        <w:jc w:val="both"/>
        <w:rPr>
          <w:rFonts w:asciiTheme="minorHAnsi" w:hAnsiTheme="minorHAnsi"/>
          <w:lang w:val="en-GB"/>
        </w:rPr>
      </w:pPr>
    </w:p>
    <w:p w14:paraId="3C68F363" w14:textId="343A781D" w:rsidR="00FB6F17" w:rsidRPr="006B51B1" w:rsidRDefault="00D430BB" w:rsidP="00546C53">
      <w:pPr>
        <w:jc w:val="both"/>
        <w:rPr>
          <w:rFonts w:asciiTheme="minorHAnsi" w:hAnsiTheme="minorHAnsi"/>
          <w:lang w:val="en-GB"/>
        </w:rPr>
      </w:pPr>
      <w:r w:rsidRPr="006B51B1">
        <w:rPr>
          <w:rFonts w:asciiTheme="minorHAnsi" w:hAnsiTheme="minorHAnsi"/>
          <w:lang w:val="en-GB"/>
        </w:rPr>
        <w:t>There is also a structure of p</w:t>
      </w:r>
      <w:r w:rsidR="00FB6F17" w:rsidRPr="006B51B1">
        <w:rPr>
          <w:rFonts w:asciiTheme="minorHAnsi" w:hAnsiTheme="minorHAnsi"/>
          <w:lang w:val="en-GB"/>
        </w:rPr>
        <w:t>ublic law responses</w:t>
      </w:r>
      <w:r w:rsidRPr="006B51B1">
        <w:rPr>
          <w:rFonts w:asciiTheme="minorHAnsi" w:hAnsiTheme="minorHAnsi"/>
          <w:lang w:val="en-GB"/>
        </w:rPr>
        <w:t xml:space="preserve"> providing local authorities duties and powers to take action</w:t>
      </w:r>
      <w:r w:rsidR="00712FA8" w:rsidRPr="006B51B1">
        <w:rPr>
          <w:rFonts w:asciiTheme="minorHAnsi" w:hAnsiTheme="minorHAnsi"/>
          <w:lang w:val="en-GB"/>
        </w:rPr>
        <w:t xml:space="preserve"> to tackle poor standards in housing</w:t>
      </w:r>
      <w:r w:rsidRPr="006B51B1">
        <w:rPr>
          <w:rFonts w:asciiTheme="minorHAnsi" w:hAnsiTheme="minorHAnsi"/>
          <w:lang w:val="en-GB"/>
        </w:rPr>
        <w:t>.</w:t>
      </w:r>
      <w:r w:rsidR="00546C53" w:rsidRPr="006B51B1">
        <w:rPr>
          <w:rFonts w:asciiTheme="minorHAnsi" w:hAnsiTheme="minorHAnsi"/>
          <w:lang w:val="en-GB"/>
        </w:rPr>
        <w:t xml:space="preserve"> The Housing Health and Safety Rating System (HHSRS) in the Housing </w:t>
      </w:r>
      <w:r w:rsidR="00EE5216">
        <w:rPr>
          <w:rFonts w:asciiTheme="minorHAnsi" w:hAnsiTheme="minorHAnsi"/>
          <w:lang w:val="en-GB"/>
        </w:rPr>
        <w:t xml:space="preserve">Act </w:t>
      </w:r>
      <w:r w:rsidR="00546C53" w:rsidRPr="006B51B1">
        <w:rPr>
          <w:rFonts w:asciiTheme="minorHAnsi" w:hAnsiTheme="minorHAnsi"/>
          <w:lang w:val="en-GB"/>
        </w:rPr>
        <w:t>2004 is</w:t>
      </w:r>
      <w:r w:rsidR="00886B33">
        <w:rPr>
          <w:rFonts w:asciiTheme="minorHAnsi" w:hAnsiTheme="minorHAnsi"/>
          <w:lang w:val="en-GB"/>
        </w:rPr>
        <w:t xml:space="preserve"> a</w:t>
      </w:r>
      <w:r w:rsidR="00546C53" w:rsidRPr="006B51B1">
        <w:rPr>
          <w:rFonts w:asciiTheme="minorHAnsi" w:hAnsiTheme="minorHAnsi"/>
          <w:lang w:val="en-GB"/>
        </w:rPr>
        <w:t>:</w:t>
      </w:r>
      <w:r w:rsidR="00546C53" w:rsidRPr="006B51B1">
        <w:rPr>
          <w:rStyle w:val="FootnoteReference"/>
          <w:rFonts w:asciiTheme="minorHAnsi" w:hAnsiTheme="minorHAnsi"/>
          <w:lang w:val="en-GB"/>
        </w:rPr>
        <w:footnoteReference w:id="108"/>
      </w:r>
    </w:p>
    <w:p w14:paraId="6AE5508A" w14:textId="51DAE3A9" w:rsidR="00546C53" w:rsidRPr="006B51B1" w:rsidRDefault="00546C53" w:rsidP="00D03D22">
      <w:pPr>
        <w:ind w:left="720"/>
        <w:jc w:val="both"/>
        <w:rPr>
          <w:rFonts w:asciiTheme="minorHAnsi" w:hAnsiTheme="minorHAnsi"/>
        </w:rPr>
      </w:pPr>
      <w:r w:rsidRPr="006B51B1">
        <w:rPr>
          <w:rFonts w:asciiTheme="minorHAnsi" w:hAnsiTheme="minorHAnsi"/>
        </w:rPr>
        <w:t xml:space="preserve">‘risk based assessment tool which is used by environmental health officers [in local authorities] to assess the risk (the likelihood and severity) of a hazard in residential housing to the health and safety of occupants or visitors. The HHSRS is tenure neutral; it can be used to assess hazards in private and social rented housing and also in owner occupied housing.’ </w:t>
      </w:r>
    </w:p>
    <w:p w14:paraId="1E487209" w14:textId="4184EC03" w:rsidR="00D45658" w:rsidRPr="006B51B1" w:rsidRDefault="00EE5216" w:rsidP="00546C53">
      <w:pPr>
        <w:jc w:val="both"/>
        <w:rPr>
          <w:rFonts w:asciiTheme="minorHAnsi" w:hAnsiTheme="minorHAnsi"/>
        </w:rPr>
      </w:pPr>
      <w:r>
        <w:rPr>
          <w:rFonts w:asciiTheme="minorHAnsi" w:hAnsiTheme="minorHAnsi"/>
          <w:lang w:val="en-GB"/>
        </w:rPr>
        <w:t>The Act</w:t>
      </w:r>
      <w:r w:rsidR="00546C53" w:rsidRPr="006B51B1">
        <w:rPr>
          <w:rFonts w:asciiTheme="minorHAnsi" w:hAnsiTheme="minorHAnsi"/>
          <w:lang w:val="en-GB"/>
        </w:rPr>
        <w:t xml:space="preserve"> provides a number of notices and orders that officers </w:t>
      </w:r>
      <w:r w:rsidR="00D03D22" w:rsidRPr="006B51B1">
        <w:rPr>
          <w:rFonts w:asciiTheme="minorHAnsi" w:hAnsiTheme="minorHAnsi"/>
          <w:i/>
          <w:lang w:val="en-GB"/>
        </w:rPr>
        <w:t>must</w:t>
      </w:r>
      <w:r w:rsidR="00D03D22" w:rsidRPr="006B51B1">
        <w:rPr>
          <w:rFonts w:asciiTheme="minorHAnsi" w:hAnsiTheme="minorHAnsi"/>
          <w:lang w:val="en-GB"/>
        </w:rPr>
        <w:t xml:space="preserve"> enforce ag</w:t>
      </w:r>
      <w:r w:rsidR="00546C53" w:rsidRPr="006B51B1">
        <w:rPr>
          <w:rFonts w:asciiTheme="minorHAnsi" w:hAnsiTheme="minorHAnsi"/>
          <w:lang w:val="en-GB"/>
        </w:rPr>
        <w:t>ainst land</w:t>
      </w:r>
      <w:r w:rsidR="00D03D22" w:rsidRPr="006B51B1">
        <w:rPr>
          <w:rFonts w:asciiTheme="minorHAnsi" w:hAnsiTheme="minorHAnsi"/>
          <w:lang w:val="en-GB"/>
        </w:rPr>
        <w:t>lords</w:t>
      </w:r>
      <w:r w:rsidR="000372F5" w:rsidRPr="006B51B1">
        <w:rPr>
          <w:rFonts w:asciiTheme="minorHAnsi" w:hAnsiTheme="minorHAnsi"/>
          <w:lang w:val="en-GB"/>
        </w:rPr>
        <w:t xml:space="preserve"> if there are</w:t>
      </w:r>
      <w:r w:rsidR="00D03D22" w:rsidRPr="006B51B1">
        <w:rPr>
          <w:rFonts w:asciiTheme="minorHAnsi" w:hAnsiTheme="minorHAnsi"/>
          <w:lang w:val="en-GB"/>
        </w:rPr>
        <w:t xml:space="preserve"> Category 1 hazard</w:t>
      </w:r>
      <w:r w:rsidR="000F126B" w:rsidRPr="006B51B1">
        <w:rPr>
          <w:rFonts w:asciiTheme="minorHAnsi" w:hAnsiTheme="minorHAnsi"/>
          <w:lang w:val="en-GB"/>
        </w:rPr>
        <w:t>s</w:t>
      </w:r>
      <w:r w:rsidR="000F126B" w:rsidRPr="006B51B1">
        <w:rPr>
          <w:rStyle w:val="FootnoteReference"/>
          <w:rFonts w:asciiTheme="minorHAnsi" w:hAnsiTheme="minorHAnsi"/>
          <w:lang w:val="en-GB"/>
        </w:rPr>
        <w:footnoteReference w:id="109"/>
      </w:r>
      <w:r w:rsidR="00D03D22" w:rsidRPr="006B51B1">
        <w:rPr>
          <w:rFonts w:asciiTheme="minorHAnsi" w:hAnsiTheme="minorHAnsi"/>
          <w:lang w:val="en-GB"/>
        </w:rPr>
        <w:t xml:space="preserve"> and </w:t>
      </w:r>
      <w:r w:rsidR="00D03D22" w:rsidRPr="006B51B1">
        <w:rPr>
          <w:rFonts w:asciiTheme="minorHAnsi" w:hAnsiTheme="minorHAnsi"/>
          <w:i/>
          <w:lang w:val="en-GB"/>
        </w:rPr>
        <w:t>may</w:t>
      </w:r>
      <w:r w:rsidR="00D03D22" w:rsidRPr="006B51B1">
        <w:rPr>
          <w:rFonts w:asciiTheme="minorHAnsi" w:hAnsiTheme="minorHAnsi"/>
          <w:lang w:val="en-GB"/>
        </w:rPr>
        <w:t xml:space="preserve"> enforce if the haza</w:t>
      </w:r>
      <w:r>
        <w:rPr>
          <w:rFonts w:asciiTheme="minorHAnsi" w:hAnsiTheme="minorHAnsi"/>
          <w:lang w:val="en-GB"/>
        </w:rPr>
        <w:t>rd is</w:t>
      </w:r>
      <w:r w:rsidR="00D03D22" w:rsidRPr="006B51B1">
        <w:rPr>
          <w:rFonts w:asciiTheme="minorHAnsi" w:hAnsiTheme="minorHAnsi"/>
          <w:lang w:val="en-GB"/>
        </w:rPr>
        <w:t xml:space="preserve"> </w:t>
      </w:r>
      <w:r>
        <w:rPr>
          <w:rFonts w:asciiTheme="minorHAnsi" w:hAnsiTheme="minorHAnsi"/>
          <w:lang w:val="en-GB"/>
        </w:rPr>
        <w:t>less serious</w:t>
      </w:r>
      <w:r w:rsidR="00D03D22" w:rsidRPr="006B51B1">
        <w:rPr>
          <w:rFonts w:asciiTheme="minorHAnsi" w:hAnsiTheme="minorHAnsi"/>
          <w:lang w:val="en-GB"/>
        </w:rPr>
        <w:t>.</w:t>
      </w:r>
      <w:r w:rsidR="00D03D22" w:rsidRPr="006B51B1">
        <w:rPr>
          <w:rStyle w:val="FootnoteReference"/>
          <w:rFonts w:asciiTheme="minorHAnsi" w:hAnsiTheme="minorHAnsi"/>
          <w:lang w:val="en-GB"/>
        </w:rPr>
        <w:footnoteReference w:id="110"/>
      </w:r>
      <w:r w:rsidR="00D03D22" w:rsidRPr="006B51B1">
        <w:rPr>
          <w:rFonts w:asciiTheme="minorHAnsi" w:hAnsiTheme="minorHAnsi"/>
          <w:lang w:val="en-GB"/>
        </w:rPr>
        <w:t xml:space="preserve"> </w:t>
      </w:r>
      <w:r w:rsidR="00E26A8D" w:rsidRPr="006B51B1">
        <w:rPr>
          <w:rFonts w:asciiTheme="minorHAnsi" w:hAnsiTheme="minorHAnsi"/>
          <w:lang w:val="en-GB"/>
        </w:rPr>
        <w:t>Some actions (e</w:t>
      </w:r>
      <w:r w:rsidR="00886B33">
        <w:rPr>
          <w:rFonts w:asciiTheme="minorHAnsi" w:hAnsiTheme="minorHAnsi"/>
          <w:lang w:val="en-GB"/>
        </w:rPr>
        <w:t>.</w:t>
      </w:r>
      <w:r w:rsidR="00E26A8D" w:rsidRPr="006B51B1">
        <w:rPr>
          <w:rFonts w:asciiTheme="minorHAnsi" w:hAnsiTheme="minorHAnsi"/>
          <w:lang w:val="en-GB"/>
        </w:rPr>
        <w:t>g</w:t>
      </w:r>
      <w:r w:rsidR="00886B33">
        <w:rPr>
          <w:rFonts w:asciiTheme="minorHAnsi" w:hAnsiTheme="minorHAnsi"/>
          <w:lang w:val="en-GB"/>
        </w:rPr>
        <w:t>.</w:t>
      </w:r>
      <w:r w:rsidR="00E26A8D" w:rsidRPr="006B51B1">
        <w:rPr>
          <w:rFonts w:asciiTheme="minorHAnsi" w:hAnsiTheme="minorHAnsi"/>
          <w:lang w:val="en-GB"/>
        </w:rPr>
        <w:t xml:space="preserve"> a prohibition order closing a dwelling or a demolition order) will lead the the tenant los</w:t>
      </w:r>
      <w:r w:rsidR="00712FA8" w:rsidRPr="006B51B1">
        <w:rPr>
          <w:rFonts w:asciiTheme="minorHAnsi" w:hAnsiTheme="minorHAnsi"/>
          <w:lang w:val="en-GB"/>
        </w:rPr>
        <w:t>ing their security.</w:t>
      </w:r>
      <w:r w:rsidR="00712FA8" w:rsidRPr="006B51B1">
        <w:rPr>
          <w:rStyle w:val="FootnoteReference"/>
          <w:rFonts w:asciiTheme="minorHAnsi" w:hAnsiTheme="minorHAnsi"/>
          <w:lang w:val="en-GB"/>
        </w:rPr>
        <w:footnoteReference w:id="111"/>
      </w:r>
      <w:r w:rsidR="00E26A8D" w:rsidRPr="006B51B1">
        <w:rPr>
          <w:rFonts w:asciiTheme="minorHAnsi" w:hAnsiTheme="minorHAnsi"/>
          <w:lang w:val="en-GB"/>
        </w:rPr>
        <w:t xml:space="preserve"> </w:t>
      </w:r>
      <w:r w:rsidR="00712FA8" w:rsidRPr="006B51B1">
        <w:rPr>
          <w:rFonts w:asciiTheme="minorHAnsi" w:hAnsiTheme="minorHAnsi"/>
          <w:lang w:val="en-GB"/>
        </w:rPr>
        <w:t>However, i</w:t>
      </w:r>
      <w:r w:rsidR="00073674" w:rsidRPr="006B51B1">
        <w:rPr>
          <w:rFonts w:asciiTheme="minorHAnsi" w:hAnsiTheme="minorHAnsi"/>
          <w:lang w:val="en-GB"/>
        </w:rPr>
        <w:t xml:space="preserve">n order </w:t>
      </w:r>
      <w:r>
        <w:rPr>
          <w:rFonts w:asciiTheme="minorHAnsi" w:hAnsiTheme="minorHAnsi"/>
          <w:lang w:val="en-GB"/>
        </w:rPr>
        <w:t xml:space="preserve">to </w:t>
      </w:r>
      <w:r w:rsidR="00073674" w:rsidRPr="006B51B1">
        <w:rPr>
          <w:rFonts w:asciiTheme="minorHAnsi" w:hAnsiTheme="minorHAnsi"/>
          <w:lang w:val="en-GB"/>
        </w:rPr>
        <w:t xml:space="preserve">prevent </w:t>
      </w:r>
      <w:r w:rsidR="00073674" w:rsidRPr="006B51B1">
        <w:rPr>
          <w:rFonts w:asciiTheme="minorHAnsi" w:hAnsiTheme="minorHAnsi"/>
        </w:rPr>
        <w:t xml:space="preserve">retaliatory eviction, </w:t>
      </w:r>
      <w:r w:rsidR="00E26A8D" w:rsidRPr="006B51B1">
        <w:rPr>
          <w:rFonts w:asciiTheme="minorHAnsi" w:hAnsiTheme="minorHAnsi"/>
          <w:lang w:val="en-GB"/>
        </w:rPr>
        <w:t xml:space="preserve">in cases </w:t>
      </w:r>
      <w:r w:rsidR="00E26A8D" w:rsidRPr="006B51B1">
        <w:rPr>
          <w:rFonts w:asciiTheme="minorHAnsi" w:hAnsiTheme="minorHAnsi"/>
          <w:lang w:val="en-GB"/>
        </w:rPr>
        <w:lastRenderedPageBreak/>
        <w:t>where the landlord is require</w:t>
      </w:r>
      <w:r w:rsidR="001971F2">
        <w:rPr>
          <w:rFonts w:asciiTheme="minorHAnsi" w:hAnsiTheme="minorHAnsi"/>
          <w:lang w:val="en-GB"/>
        </w:rPr>
        <w:t>d</w:t>
      </w:r>
      <w:r w:rsidR="00E26A8D" w:rsidRPr="006B51B1">
        <w:rPr>
          <w:rFonts w:asciiTheme="minorHAnsi" w:hAnsiTheme="minorHAnsi"/>
          <w:lang w:val="en-GB"/>
        </w:rPr>
        <w:t xml:space="preserve"> to improve the dwelling, s</w:t>
      </w:r>
      <w:proofErr w:type="spellStart"/>
      <w:r w:rsidR="00E26A8D" w:rsidRPr="006B51B1">
        <w:rPr>
          <w:rFonts w:asciiTheme="minorHAnsi" w:hAnsiTheme="minorHAnsi"/>
        </w:rPr>
        <w:t>ection</w:t>
      </w:r>
      <w:proofErr w:type="spellEnd"/>
      <w:r w:rsidR="00E26A8D" w:rsidRPr="006B51B1">
        <w:rPr>
          <w:rFonts w:asciiTheme="minorHAnsi" w:hAnsiTheme="minorHAnsi"/>
        </w:rPr>
        <w:t xml:space="preserve"> 33 of the Deregulation Act 2015 prevents landlords from issuing a </w:t>
      </w:r>
      <w:r w:rsidR="000372F5" w:rsidRPr="006B51B1">
        <w:rPr>
          <w:rFonts w:asciiTheme="minorHAnsi" w:hAnsiTheme="minorHAnsi"/>
        </w:rPr>
        <w:t xml:space="preserve">Housing Act 1988 </w:t>
      </w:r>
      <w:r w:rsidR="00E26A8D" w:rsidRPr="006B51B1">
        <w:rPr>
          <w:rFonts w:asciiTheme="minorHAnsi" w:hAnsiTheme="minorHAnsi"/>
        </w:rPr>
        <w:t xml:space="preserve">section 21 eviction notice </w:t>
      </w:r>
      <w:r w:rsidR="000372F5" w:rsidRPr="006B51B1">
        <w:rPr>
          <w:rFonts w:asciiTheme="minorHAnsi" w:hAnsiTheme="minorHAnsi"/>
        </w:rPr>
        <w:t xml:space="preserve">against a </w:t>
      </w:r>
      <w:proofErr w:type="spellStart"/>
      <w:r w:rsidR="000372F5" w:rsidRPr="006B51B1">
        <w:rPr>
          <w:rFonts w:asciiTheme="minorHAnsi" w:hAnsiTheme="minorHAnsi"/>
        </w:rPr>
        <w:t>shorthold</w:t>
      </w:r>
      <w:proofErr w:type="spellEnd"/>
      <w:r w:rsidR="000372F5" w:rsidRPr="006B51B1">
        <w:rPr>
          <w:rFonts w:asciiTheme="minorHAnsi" w:hAnsiTheme="minorHAnsi"/>
        </w:rPr>
        <w:t xml:space="preserve"> tenant </w:t>
      </w:r>
      <w:r w:rsidR="00E26A8D" w:rsidRPr="006B51B1">
        <w:rPr>
          <w:rFonts w:asciiTheme="minorHAnsi" w:hAnsiTheme="minorHAnsi"/>
        </w:rPr>
        <w:t>within 6 months of having been issued an improvement notice</w:t>
      </w:r>
      <w:r>
        <w:rPr>
          <w:rFonts w:asciiTheme="minorHAnsi" w:hAnsiTheme="minorHAnsi"/>
        </w:rPr>
        <w:t>.</w:t>
      </w:r>
      <w:r w:rsidR="00E26A8D" w:rsidRPr="006B51B1">
        <w:rPr>
          <w:rFonts w:asciiTheme="minorHAnsi" w:hAnsiTheme="minorHAnsi"/>
        </w:rPr>
        <w:t xml:space="preserve"> </w:t>
      </w:r>
      <w:r w:rsidR="00D03D22" w:rsidRPr="006B51B1">
        <w:rPr>
          <w:rFonts w:asciiTheme="minorHAnsi" w:hAnsiTheme="minorHAnsi"/>
          <w:lang w:val="en-GB"/>
        </w:rPr>
        <w:t xml:space="preserve">Despite the intention of </w:t>
      </w:r>
      <w:r w:rsidR="000F126B" w:rsidRPr="006B51B1">
        <w:rPr>
          <w:rFonts w:asciiTheme="minorHAnsi" w:hAnsiTheme="minorHAnsi"/>
          <w:lang w:val="en-GB"/>
        </w:rPr>
        <w:t xml:space="preserve">tenure </w:t>
      </w:r>
      <w:r w:rsidR="00D03D22" w:rsidRPr="006B51B1">
        <w:rPr>
          <w:rFonts w:asciiTheme="minorHAnsi" w:hAnsiTheme="minorHAnsi"/>
          <w:lang w:val="en-GB"/>
        </w:rPr>
        <w:t>neutral</w:t>
      </w:r>
      <w:r w:rsidR="000F126B" w:rsidRPr="006B51B1">
        <w:rPr>
          <w:rFonts w:asciiTheme="minorHAnsi" w:hAnsiTheme="minorHAnsi"/>
          <w:lang w:val="en-GB"/>
        </w:rPr>
        <w:t>ity</w:t>
      </w:r>
      <w:r w:rsidR="00E23DF9">
        <w:rPr>
          <w:rFonts w:asciiTheme="minorHAnsi" w:hAnsiTheme="minorHAnsi"/>
          <w:lang w:val="en-GB"/>
        </w:rPr>
        <w:t>,</w:t>
      </w:r>
      <w:r w:rsidR="000F126B" w:rsidRPr="006B51B1">
        <w:rPr>
          <w:rFonts w:asciiTheme="minorHAnsi" w:hAnsiTheme="minorHAnsi"/>
          <w:lang w:val="en-GB"/>
        </w:rPr>
        <w:t xml:space="preserve"> in fact local authorities cannot take action against themselves.</w:t>
      </w:r>
      <w:r w:rsidR="000F126B" w:rsidRPr="006B51B1">
        <w:rPr>
          <w:rStyle w:val="FootnoteReference"/>
          <w:rFonts w:asciiTheme="minorHAnsi" w:hAnsiTheme="minorHAnsi"/>
          <w:lang w:val="en-GB"/>
        </w:rPr>
        <w:footnoteReference w:id="112"/>
      </w:r>
      <w:r w:rsidR="000F126B" w:rsidRPr="006B51B1">
        <w:rPr>
          <w:rFonts w:asciiTheme="minorHAnsi" w:hAnsiTheme="minorHAnsi"/>
          <w:lang w:val="en-GB"/>
        </w:rPr>
        <w:t xml:space="preserve"> Accordingly,</w:t>
      </w:r>
      <w:r w:rsidR="00D45658" w:rsidRPr="006B51B1">
        <w:rPr>
          <w:rFonts w:asciiTheme="minorHAnsi" w:hAnsiTheme="minorHAnsi"/>
          <w:lang w:val="en-GB"/>
        </w:rPr>
        <w:t xml:space="preserve"> their tenants cannot use this method</w:t>
      </w:r>
      <w:r w:rsidR="000F126B" w:rsidRPr="006B51B1">
        <w:rPr>
          <w:rFonts w:asciiTheme="minorHAnsi" w:hAnsiTheme="minorHAnsi"/>
          <w:lang w:val="en-GB"/>
        </w:rPr>
        <w:t xml:space="preserve"> to complain about their homes.</w:t>
      </w:r>
    </w:p>
    <w:p w14:paraId="57987DBA" w14:textId="77777777" w:rsidR="00D45658" w:rsidRPr="006B51B1" w:rsidRDefault="00D45658" w:rsidP="00546C53">
      <w:pPr>
        <w:jc w:val="both"/>
        <w:rPr>
          <w:rFonts w:asciiTheme="minorHAnsi" w:hAnsiTheme="minorHAnsi"/>
          <w:lang w:val="en-GB"/>
        </w:rPr>
      </w:pPr>
    </w:p>
    <w:p w14:paraId="5BA3DC7B" w14:textId="34BE6708" w:rsidR="00BF78D5" w:rsidRPr="006B51B1" w:rsidRDefault="00D45658" w:rsidP="00BF78D5">
      <w:pPr>
        <w:jc w:val="both"/>
        <w:rPr>
          <w:rFonts w:asciiTheme="minorHAnsi" w:hAnsiTheme="minorHAnsi"/>
        </w:rPr>
      </w:pPr>
      <w:r w:rsidRPr="006B51B1">
        <w:rPr>
          <w:rFonts w:asciiTheme="minorHAnsi" w:hAnsiTheme="minorHAnsi"/>
          <w:lang w:val="en-GB"/>
        </w:rPr>
        <w:t>Unlike other part</w:t>
      </w:r>
      <w:r w:rsidR="00E23DF9">
        <w:rPr>
          <w:rFonts w:asciiTheme="minorHAnsi" w:hAnsiTheme="minorHAnsi"/>
          <w:lang w:val="en-GB"/>
        </w:rPr>
        <w:t>s</w:t>
      </w:r>
      <w:r w:rsidRPr="006B51B1">
        <w:rPr>
          <w:rFonts w:asciiTheme="minorHAnsi" w:hAnsiTheme="minorHAnsi"/>
          <w:lang w:val="en-GB"/>
        </w:rPr>
        <w:t xml:space="preserve"> of the UK,</w:t>
      </w:r>
      <w:r w:rsidR="001F5B0D" w:rsidRPr="006B51B1">
        <w:rPr>
          <w:rStyle w:val="FootnoteReference"/>
          <w:rFonts w:asciiTheme="minorHAnsi" w:hAnsiTheme="minorHAnsi"/>
          <w:lang w:val="en-GB"/>
        </w:rPr>
        <w:footnoteReference w:id="113"/>
      </w:r>
      <w:r w:rsidRPr="006B51B1">
        <w:rPr>
          <w:rFonts w:asciiTheme="minorHAnsi" w:hAnsiTheme="minorHAnsi"/>
          <w:lang w:val="en-GB"/>
        </w:rPr>
        <w:t xml:space="preserve"> England does not have a universal licencing scheme for all private landlords. However</w:t>
      </w:r>
      <w:r w:rsidR="001F5B0D" w:rsidRPr="006B51B1">
        <w:rPr>
          <w:rFonts w:asciiTheme="minorHAnsi" w:hAnsiTheme="minorHAnsi"/>
          <w:lang w:val="en-GB"/>
        </w:rPr>
        <w:t>, Parts 2 and 3 of the Housing Act 2004 create tw</w:t>
      </w:r>
      <w:r w:rsidR="000372F5" w:rsidRPr="006B51B1">
        <w:rPr>
          <w:rFonts w:asciiTheme="minorHAnsi" w:hAnsiTheme="minorHAnsi"/>
          <w:lang w:val="en-GB"/>
        </w:rPr>
        <w:t>o different licence regimes. Because of the greater risk in shared dwellings, Part 2 requires licences for all larger houses on multiple occupation</w:t>
      </w:r>
      <w:r w:rsidR="00372836" w:rsidRPr="006B51B1">
        <w:rPr>
          <w:rFonts w:asciiTheme="minorHAnsi" w:hAnsiTheme="minorHAnsi"/>
          <w:lang w:val="en-GB"/>
        </w:rPr>
        <w:t xml:space="preserve"> (HMOs)</w:t>
      </w:r>
      <w:r w:rsidR="000372F5" w:rsidRPr="006B51B1">
        <w:rPr>
          <w:rFonts w:asciiTheme="minorHAnsi" w:hAnsiTheme="minorHAnsi"/>
          <w:lang w:val="en-GB"/>
        </w:rPr>
        <w:t>.</w:t>
      </w:r>
      <w:r w:rsidR="00372836" w:rsidRPr="006B51B1">
        <w:rPr>
          <w:rStyle w:val="FootnoteReference"/>
          <w:rFonts w:asciiTheme="minorHAnsi" w:hAnsiTheme="minorHAnsi"/>
          <w:lang w:val="en-GB"/>
        </w:rPr>
        <w:footnoteReference w:id="114"/>
      </w:r>
      <w:r w:rsidR="00372836" w:rsidRPr="006B51B1">
        <w:rPr>
          <w:rFonts w:asciiTheme="minorHAnsi" w:hAnsiTheme="minorHAnsi"/>
          <w:lang w:val="en-GB"/>
        </w:rPr>
        <w:t xml:space="preserve"> Local authorities have power to create licence schemes </w:t>
      </w:r>
      <w:r w:rsidR="00E23DF9">
        <w:rPr>
          <w:rFonts w:asciiTheme="minorHAnsi" w:hAnsiTheme="minorHAnsi"/>
          <w:lang w:val="en-GB"/>
        </w:rPr>
        <w:t xml:space="preserve">for </w:t>
      </w:r>
      <w:r w:rsidR="00372836" w:rsidRPr="006B51B1">
        <w:rPr>
          <w:rFonts w:asciiTheme="minorHAnsi" w:hAnsiTheme="minorHAnsi"/>
          <w:lang w:val="en-GB"/>
        </w:rPr>
        <w:t>other categories</w:t>
      </w:r>
      <w:r w:rsidR="00E23DF9">
        <w:rPr>
          <w:rFonts w:asciiTheme="minorHAnsi" w:hAnsiTheme="minorHAnsi"/>
          <w:lang w:val="en-GB"/>
        </w:rPr>
        <w:t xml:space="preserve"> of</w:t>
      </w:r>
      <w:r w:rsidR="00372836" w:rsidRPr="006B51B1">
        <w:rPr>
          <w:rFonts w:asciiTheme="minorHAnsi" w:hAnsiTheme="minorHAnsi"/>
          <w:lang w:val="en-GB"/>
        </w:rPr>
        <w:t xml:space="preserve"> smaller HMOs.</w:t>
      </w:r>
      <w:r w:rsidR="00BF78D5" w:rsidRPr="006B51B1">
        <w:rPr>
          <w:rStyle w:val="FootnoteReference"/>
          <w:rFonts w:asciiTheme="minorHAnsi" w:hAnsiTheme="minorHAnsi"/>
          <w:lang w:val="en-GB"/>
        </w:rPr>
        <w:footnoteReference w:id="115"/>
      </w:r>
      <w:r w:rsidR="00BF78D5" w:rsidRPr="006B51B1">
        <w:rPr>
          <w:rFonts w:asciiTheme="minorHAnsi" w:hAnsiTheme="minorHAnsi"/>
          <w:lang w:val="en-GB"/>
        </w:rPr>
        <w:t xml:space="preserve"> Part 3 </w:t>
      </w:r>
      <w:r w:rsidR="00BF78D5" w:rsidRPr="006B51B1">
        <w:rPr>
          <w:rFonts w:asciiTheme="minorHAnsi" w:hAnsiTheme="minorHAnsi"/>
        </w:rPr>
        <w:t>provides for the introduction of a scheme of selective licensing of private landlords in a local housing authority’s area.</w:t>
      </w:r>
    </w:p>
    <w:p w14:paraId="6393A3B8" w14:textId="07B296DA" w:rsidR="00BF78D5" w:rsidRPr="006B51B1" w:rsidRDefault="00BF78D5" w:rsidP="00BF78D5">
      <w:pPr>
        <w:ind w:left="720"/>
        <w:jc w:val="both"/>
        <w:rPr>
          <w:rFonts w:asciiTheme="minorHAnsi" w:hAnsiTheme="minorHAnsi"/>
        </w:rPr>
      </w:pPr>
      <w:r w:rsidRPr="006B51B1">
        <w:rPr>
          <w:rFonts w:asciiTheme="minorHAnsi" w:hAnsiTheme="minorHAnsi"/>
        </w:rPr>
        <w:t>‘The power for authorities to introduce selective licensing was intended to address the impact of poor quality private landlords and anti-social tenants. It was primarily developed with the need to tackle problems in areas of low housing demand in mind – although the Act also allows for selective licensing in some other circumstances.’</w:t>
      </w:r>
      <w:r w:rsidRPr="006B51B1">
        <w:rPr>
          <w:rStyle w:val="FootnoteReference"/>
          <w:rFonts w:asciiTheme="minorHAnsi" w:hAnsiTheme="minorHAnsi"/>
        </w:rPr>
        <w:footnoteReference w:id="116"/>
      </w:r>
      <w:r w:rsidRPr="006B51B1">
        <w:rPr>
          <w:rFonts w:asciiTheme="minorHAnsi" w:hAnsiTheme="minorHAnsi"/>
        </w:rPr>
        <w:t xml:space="preserve"> </w:t>
      </w:r>
    </w:p>
    <w:p w14:paraId="5E13AB98" w14:textId="384E520C" w:rsidR="00BF78D5" w:rsidRPr="006B51B1" w:rsidRDefault="00BF78D5" w:rsidP="00BF78D5">
      <w:pPr>
        <w:jc w:val="both"/>
        <w:rPr>
          <w:rFonts w:asciiTheme="minorHAnsi" w:hAnsiTheme="minorHAnsi"/>
        </w:rPr>
      </w:pPr>
      <w:r w:rsidRPr="006B51B1">
        <w:rPr>
          <w:rFonts w:asciiTheme="minorHAnsi" w:hAnsiTheme="minorHAnsi"/>
        </w:rPr>
        <w:t xml:space="preserve"> </w:t>
      </w:r>
    </w:p>
    <w:p w14:paraId="69452463" w14:textId="5955B2E1" w:rsidR="00546C53" w:rsidRPr="006B51B1" w:rsidRDefault="00BF78D5" w:rsidP="00546C53">
      <w:pPr>
        <w:jc w:val="both"/>
        <w:rPr>
          <w:rFonts w:asciiTheme="minorHAnsi" w:hAnsiTheme="minorHAnsi"/>
        </w:rPr>
      </w:pPr>
      <w:r w:rsidRPr="006B51B1">
        <w:rPr>
          <w:rFonts w:asciiTheme="minorHAnsi" w:hAnsiTheme="minorHAnsi"/>
        </w:rPr>
        <w:t xml:space="preserve">Both Parts </w:t>
      </w:r>
      <w:r w:rsidR="00EE5216">
        <w:rPr>
          <w:rFonts w:asciiTheme="minorHAnsi" w:hAnsiTheme="minorHAnsi"/>
        </w:rPr>
        <w:t xml:space="preserve">2 and 3 </w:t>
      </w:r>
      <w:r w:rsidRPr="006B51B1">
        <w:rPr>
          <w:rFonts w:asciiTheme="minorHAnsi" w:hAnsiTheme="minorHAnsi"/>
        </w:rPr>
        <w:t>of the 2004 Act have similar provision</w:t>
      </w:r>
      <w:r w:rsidR="00EE5216">
        <w:rPr>
          <w:rFonts w:asciiTheme="minorHAnsi" w:hAnsiTheme="minorHAnsi"/>
        </w:rPr>
        <w:t>s</w:t>
      </w:r>
      <w:r w:rsidR="00D24881">
        <w:rPr>
          <w:rFonts w:asciiTheme="minorHAnsi" w:hAnsiTheme="minorHAnsi"/>
        </w:rPr>
        <w:t xml:space="preserve"> requiring</w:t>
      </w:r>
      <w:r w:rsidRPr="006B51B1">
        <w:rPr>
          <w:rFonts w:asciiTheme="minorHAnsi" w:hAnsiTheme="minorHAnsi"/>
        </w:rPr>
        <w:t xml:space="preserve"> landlord</w:t>
      </w:r>
      <w:r w:rsidR="00712FA8" w:rsidRPr="006B51B1">
        <w:rPr>
          <w:rFonts w:asciiTheme="minorHAnsi" w:hAnsiTheme="minorHAnsi"/>
        </w:rPr>
        <w:t>s</w:t>
      </w:r>
      <w:r w:rsidRPr="006B51B1">
        <w:rPr>
          <w:rFonts w:asciiTheme="minorHAnsi" w:hAnsiTheme="minorHAnsi"/>
        </w:rPr>
        <w:t xml:space="preserve"> to be ‘fit and proper’ persons. Sanction</w:t>
      </w:r>
      <w:r w:rsidR="00073674" w:rsidRPr="006B51B1">
        <w:rPr>
          <w:rFonts w:asciiTheme="minorHAnsi" w:hAnsiTheme="minorHAnsi"/>
        </w:rPr>
        <w:t>s</w:t>
      </w:r>
      <w:r w:rsidRPr="006B51B1">
        <w:rPr>
          <w:rFonts w:asciiTheme="minorHAnsi" w:hAnsiTheme="minorHAnsi"/>
        </w:rPr>
        <w:t xml:space="preserve"> for failure to register are either criminal pros</w:t>
      </w:r>
      <w:r w:rsidR="00073674" w:rsidRPr="006B51B1">
        <w:rPr>
          <w:rFonts w:asciiTheme="minorHAnsi" w:hAnsiTheme="minorHAnsi"/>
        </w:rPr>
        <w:t xml:space="preserve">ecution or, </w:t>
      </w:r>
      <w:r w:rsidRPr="006B51B1">
        <w:rPr>
          <w:rFonts w:asciiTheme="minorHAnsi" w:hAnsiTheme="minorHAnsi"/>
        </w:rPr>
        <w:t>since 2017,</w:t>
      </w:r>
      <w:r w:rsidR="00712FA8" w:rsidRPr="006B51B1">
        <w:rPr>
          <w:rStyle w:val="FootnoteReference"/>
          <w:rFonts w:asciiTheme="minorHAnsi" w:hAnsiTheme="minorHAnsi"/>
        </w:rPr>
        <w:footnoteReference w:id="117"/>
      </w:r>
      <w:r w:rsidRPr="006B51B1">
        <w:rPr>
          <w:rFonts w:asciiTheme="minorHAnsi" w:hAnsiTheme="minorHAnsi"/>
        </w:rPr>
        <w:t xml:space="preserve"> </w:t>
      </w:r>
      <w:r w:rsidR="00073674" w:rsidRPr="006B51B1">
        <w:rPr>
          <w:rFonts w:asciiTheme="minorHAnsi" w:hAnsiTheme="minorHAnsi"/>
        </w:rPr>
        <w:t xml:space="preserve">a </w:t>
      </w:r>
      <w:r w:rsidRPr="006B51B1">
        <w:rPr>
          <w:rFonts w:asciiTheme="minorHAnsi" w:hAnsiTheme="minorHAnsi"/>
        </w:rPr>
        <w:t>civil</w:t>
      </w:r>
      <w:r w:rsidR="00712FA8" w:rsidRPr="006B51B1">
        <w:rPr>
          <w:rFonts w:asciiTheme="minorHAnsi" w:hAnsiTheme="minorHAnsi"/>
        </w:rPr>
        <w:t xml:space="preserve"> penalty.</w:t>
      </w:r>
    </w:p>
    <w:p w14:paraId="4308C7C3" w14:textId="77777777" w:rsidR="00896D06" w:rsidRPr="006B51B1" w:rsidRDefault="00896D06" w:rsidP="000435D2">
      <w:pPr>
        <w:jc w:val="both"/>
        <w:rPr>
          <w:rFonts w:asciiTheme="minorHAnsi" w:hAnsiTheme="minorHAnsi"/>
          <w:lang w:val="en-GB"/>
        </w:rPr>
      </w:pPr>
    </w:p>
    <w:p w14:paraId="1028085E" w14:textId="2A7F6FD4" w:rsidR="00896D06" w:rsidRPr="005E6028" w:rsidRDefault="00896D06" w:rsidP="005E6028">
      <w:pPr>
        <w:pStyle w:val="ListParagraph"/>
        <w:numPr>
          <w:ilvl w:val="0"/>
          <w:numId w:val="2"/>
        </w:numPr>
        <w:jc w:val="both"/>
        <w:rPr>
          <w:rFonts w:asciiTheme="minorHAnsi" w:hAnsiTheme="minorHAnsi"/>
          <w:b/>
          <w:lang w:val="en-GB"/>
        </w:rPr>
      </w:pPr>
      <w:r w:rsidRPr="005E6028">
        <w:rPr>
          <w:rFonts w:asciiTheme="minorHAnsi" w:hAnsiTheme="minorHAnsi"/>
          <w:b/>
          <w:lang w:val="en-GB"/>
        </w:rPr>
        <w:t>Immigration Status</w:t>
      </w:r>
    </w:p>
    <w:p w14:paraId="553176C6" w14:textId="235F1272" w:rsidR="00073674" w:rsidRPr="006B51B1" w:rsidRDefault="00360239" w:rsidP="000435D2">
      <w:pPr>
        <w:jc w:val="both"/>
        <w:rPr>
          <w:rFonts w:asciiTheme="minorHAnsi" w:hAnsiTheme="minorHAnsi"/>
        </w:rPr>
      </w:pPr>
      <w:r w:rsidRPr="006B51B1">
        <w:rPr>
          <w:rFonts w:asciiTheme="minorHAnsi" w:hAnsiTheme="minorHAnsi"/>
          <w:lang w:val="en-GB"/>
        </w:rPr>
        <w:t>Our final legal determinant is immigration status of the tenant.</w:t>
      </w:r>
      <w:r w:rsidR="00073674" w:rsidRPr="006B51B1">
        <w:rPr>
          <w:rFonts w:asciiTheme="minorHAnsi" w:hAnsiTheme="minorHAnsi"/>
          <w:lang w:val="en-GB"/>
        </w:rPr>
        <w:t xml:space="preserve"> </w:t>
      </w:r>
      <w:proofErr w:type="spellStart"/>
      <w:r w:rsidR="00073674" w:rsidRPr="006B51B1">
        <w:rPr>
          <w:rFonts w:asciiTheme="minorHAnsi" w:hAnsiTheme="minorHAnsi"/>
          <w:lang w:val="en-GB"/>
        </w:rPr>
        <w:t>Kountouris</w:t>
      </w:r>
      <w:proofErr w:type="spellEnd"/>
      <w:r w:rsidR="00073674" w:rsidRPr="006B51B1">
        <w:rPr>
          <w:rFonts w:asciiTheme="minorHAnsi" w:hAnsiTheme="minorHAnsi"/>
        </w:rPr>
        <w:t xml:space="preserve"> in her work on </w:t>
      </w:r>
      <w:r w:rsidR="00073674" w:rsidRPr="006B51B1">
        <w:rPr>
          <w:rFonts w:asciiTheme="minorHAnsi" w:hAnsiTheme="minorHAnsi"/>
          <w:lang w:val="en-GB"/>
        </w:rPr>
        <w:t>legal determinants of precariousness in work relations</w:t>
      </w:r>
      <w:r w:rsidR="00073674" w:rsidRPr="006B51B1">
        <w:rPr>
          <w:rFonts w:asciiTheme="minorHAnsi" w:hAnsiTheme="minorHAnsi"/>
          <w:vertAlign w:val="superscript"/>
          <w:lang w:val="en-GB"/>
        </w:rPr>
        <w:t xml:space="preserve"> </w:t>
      </w:r>
      <w:r w:rsidR="00073674" w:rsidRPr="006B51B1">
        <w:rPr>
          <w:rFonts w:asciiTheme="minorHAnsi" w:hAnsiTheme="minorHAnsi"/>
        </w:rPr>
        <w:t>notes that:</w:t>
      </w:r>
    </w:p>
    <w:p w14:paraId="4CC013A5" w14:textId="77777777" w:rsidR="00073674" w:rsidRPr="006B51B1" w:rsidRDefault="00073674" w:rsidP="00073674">
      <w:pPr>
        <w:ind w:left="720"/>
        <w:jc w:val="both"/>
        <w:rPr>
          <w:rFonts w:asciiTheme="minorHAnsi" w:hAnsiTheme="minorHAnsi"/>
          <w:lang w:val="en-GB"/>
        </w:rPr>
      </w:pPr>
      <w:r w:rsidRPr="006B51B1">
        <w:rPr>
          <w:rFonts w:asciiTheme="minorHAnsi" w:hAnsiTheme="minorHAnsi"/>
        </w:rPr>
        <w:t xml:space="preserve"> ‘[</w:t>
      </w:r>
      <w:proofErr w:type="spellStart"/>
      <w:r w:rsidRPr="006B51B1">
        <w:rPr>
          <w:rFonts w:asciiTheme="minorHAnsi" w:hAnsiTheme="minorHAnsi"/>
        </w:rPr>
        <w:t>i</w:t>
      </w:r>
      <w:proofErr w:type="spellEnd"/>
      <w:r w:rsidRPr="006B51B1">
        <w:rPr>
          <w:rFonts w:asciiTheme="minorHAnsi" w:hAnsiTheme="minorHAnsi"/>
        </w:rPr>
        <w:t>]t is often ignored that one's immigration status plays a crucial role in determining whether she will be in a position to enter a secure and rewarding work contract or relation, or instead will be confined at the margins of the labor market, in an inherently precarious, and often undeclared work, relation.’</w:t>
      </w:r>
      <w:r w:rsidRPr="006B51B1">
        <w:rPr>
          <w:rFonts w:asciiTheme="minorHAnsi" w:hAnsiTheme="minorHAnsi"/>
          <w:vertAlign w:val="superscript"/>
        </w:rPr>
        <w:footnoteReference w:id="118"/>
      </w:r>
      <w:r w:rsidRPr="006B51B1">
        <w:rPr>
          <w:rFonts w:asciiTheme="minorHAnsi" w:hAnsiTheme="minorHAnsi"/>
          <w:lang w:val="en-GB"/>
        </w:rPr>
        <w:t xml:space="preserve"> </w:t>
      </w:r>
    </w:p>
    <w:p w14:paraId="0809EC53" w14:textId="41AA6E2E" w:rsidR="00360239" w:rsidRPr="006B51B1" w:rsidRDefault="00073674" w:rsidP="000435D2">
      <w:pPr>
        <w:jc w:val="both"/>
        <w:rPr>
          <w:rFonts w:asciiTheme="minorHAnsi" w:hAnsiTheme="minorHAnsi"/>
        </w:rPr>
      </w:pPr>
      <w:r w:rsidRPr="006B51B1">
        <w:rPr>
          <w:rFonts w:asciiTheme="minorHAnsi" w:hAnsiTheme="minorHAnsi"/>
          <w:lang w:val="en-GB"/>
        </w:rPr>
        <w:t xml:space="preserve">The same is true </w:t>
      </w:r>
      <w:r w:rsidR="00EB439D">
        <w:rPr>
          <w:rFonts w:asciiTheme="minorHAnsi" w:hAnsiTheme="minorHAnsi"/>
          <w:lang w:val="en-GB"/>
        </w:rPr>
        <w:t xml:space="preserve">in </w:t>
      </w:r>
      <w:r w:rsidRPr="006B51B1">
        <w:rPr>
          <w:rFonts w:asciiTheme="minorHAnsi" w:hAnsiTheme="minorHAnsi"/>
          <w:lang w:val="en-GB"/>
        </w:rPr>
        <w:t>the housing market. Access to ownership is tied to access to capital, leaving most immigrants to rented housing.</w:t>
      </w:r>
      <w:r w:rsidR="0010364E">
        <w:rPr>
          <w:rFonts w:asciiTheme="minorHAnsi" w:hAnsiTheme="minorHAnsi"/>
          <w:lang w:val="en-GB"/>
        </w:rPr>
        <w:t xml:space="preserve"> In both the social and private rented sectors landlords are limited in offering tenancies to some immigrants.</w:t>
      </w:r>
    </w:p>
    <w:p w14:paraId="1C624F87" w14:textId="77777777" w:rsidR="00360239" w:rsidRPr="006B51B1" w:rsidRDefault="00360239" w:rsidP="000435D2">
      <w:pPr>
        <w:jc w:val="both"/>
        <w:rPr>
          <w:rFonts w:asciiTheme="minorHAnsi" w:hAnsiTheme="minorHAnsi"/>
          <w:lang w:val="en-GB"/>
        </w:rPr>
      </w:pPr>
    </w:p>
    <w:p w14:paraId="44AF566F" w14:textId="765EFB9F" w:rsidR="00073674" w:rsidRPr="006B51B1" w:rsidRDefault="00360239" w:rsidP="000435D2">
      <w:pPr>
        <w:jc w:val="both"/>
        <w:rPr>
          <w:rFonts w:asciiTheme="minorHAnsi" w:hAnsiTheme="minorHAnsi"/>
          <w:lang w:val="en-GB"/>
        </w:rPr>
      </w:pPr>
      <w:r w:rsidRPr="006B51B1">
        <w:rPr>
          <w:rFonts w:asciiTheme="minorHAnsi" w:hAnsiTheme="minorHAnsi"/>
          <w:lang w:val="en-GB"/>
        </w:rPr>
        <w:lastRenderedPageBreak/>
        <w:t>For over 20 years, access to social housing in England has been limited by immigration status.</w:t>
      </w:r>
      <w:r w:rsidRPr="006B51B1">
        <w:rPr>
          <w:rFonts w:asciiTheme="minorHAnsi" w:hAnsiTheme="minorHAnsi"/>
          <w:vertAlign w:val="superscript"/>
          <w:lang w:val="en-GB"/>
        </w:rPr>
        <w:footnoteReference w:id="119"/>
      </w:r>
      <w:r w:rsidRPr="006B51B1">
        <w:rPr>
          <w:rFonts w:asciiTheme="minorHAnsi" w:hAnsiTheme="minorHAnsi"/>
          <w:lang w:val="en-GB"/>
        </w:rPr>
        <w:t xml:space="preserve"> Despite the popular view, amounting to a moral panic, that immigrants have privileged access to social housing, the reality is the opposite.</w:t>
      </w:r>
      <w:r w:rsidRPr="006B51B1">
        <w:rPr>
          <w:rFonts w:asciiTheme="minorHAnsi" w:hAnsiTheme="minorHAnsi"/>
          <w:vertAlign w:val="superscript"/>
          <w:lang w:val="en-GB"/>
        </w:rPr>
        <w:footnoteReference w:id="120"/>
      </w:r>
      <w:r w:rsidR="00073674" w:rsidRPr="006B51B1">
        <w:rPr>
          <w:rFonts w:asciiTheme="minorHAnsi" w:hAnsiTheme="minorHAnsi"/>
          <w:lang w:val="en-GB"/>
        </w:rPr>
        <w:t xml:space="preserve"> Rather the evidence is that:</w:t>
      </w:r>
    </w:p>
    <w:p w14:paraId="5617780D" w14:textId="5D8AE3C0" w:rsidR="00360239" w:rsidRPr="006B51B1" w:rsidRDefault="00073674" w:rsidP="00073674">
      <w:pPr>
        <w:ind w:left="720"/>
        <w:jc w:val="both"/>
        <w:rPr>
          <w:rFonts w:asciiTheme="minorHAnsi" w:hAnsiTheme="minorHAnsi"/>
          <w:lang w:val="en-GB"/>
        </w:rPr>
      </w:pPr>
      <w:r w:rsidRPr="006B51B1">
        <w:rPr>
          <w:rFonts w:asciiTheme="minorHAnsi" w:hAnsiTheme="minorHAnsi"/>
          <w:lang w:val="en-GB"/>
        </w:rPr>
        <w:t>‘</w:t>
      </w:r>
      <w:r w:rsidR="00360239" w:rsidRPr="006B51B1">
        <w:rPr>
          <w:rFonts w:asciiTheme="minorHAnsi" w:hAnsiTheme="minorHAnsi"/>
          <w:lang w:val="en-GB"/>
        </w:rPr>
        <w:t>new immigrants and migrants are being revealed to encounter major problems accessing and maintaining accommodation and to be experiencing poor housing conditions, overcrowding and homelessness, as well as exploitation by landlord</w:t>
      </w:r>
      <w:r w:rsidRPr="006B51B1">
        <w:rPr>
          <w:rFonts w:asciiTheme="minorHAnsi" w:hAnsiTheme="minorHAnsi"/>
          <w:lang w:val="en-GB"/>
        </w:rPr>
        <w:t>s in the private rented sector.’</w:t>
      </w:r>
      <w:r w:rsidR="00360239" w:rsidRPr="006B51B1">
        <w:rPr>
          <w:rFonts w:asciiTheme="minorHAnsi" w:hAnsiTheme="minorHAnsi"/>
          <w:vertAlign w:val="superscript"/>
          <w:lang w:val="en-GB"/>
        </w:rPr>
        <w:footnoteReference w:id="121"/>
      </w:r>
      <w:r w:rsidR="00360239" w:rsidRPr="006B51B1">
        <w:rPr>
          <w:rFonts w:asciiTheme="minorHAnsi" w:hAnsiTheme="minorHAnsi"/>
          <w:lang w:val="en-GB"/>
        </w:rPr>
        <w:t xml:space="preserve"> </w:t>
      </w:r>
    </w:p>
    <w:p w14:paraId="4C94EB0B" w14:textId="77777777" w:rsidR="00360239" w:rsidRPr="006B51B1" w:rsidRDefault="00360239" w:rsidP="000435D2">
      <w:pPr>
        <w:jc w:val="both"/>
        <w:rPr>
          <w:rFonts w:asciiTheme="minorHAnsi" w:hAnsiTheme="minorHAnsi"/>
          <w:lang w:val="en-GB"/>
        </w:rPr>
      </w:pPr>
    </w:p>
    <w:p w14:paraId="561E6523" w14:textId="77556FFC" w:rsidR="006B51B1" w:rsidRPr="006B51B1" w:rsidRDefault="00360239" w:rsidP="000435D2">
      <w:pPr>
        <w:jc w:val="both"/>
        <w:rPr>
          <w:rFonts w:asciiTheme="minorHAnsi" w:hAnsiTheme="minorHAnsi"/>
          <w:lang w:val="en-GB"/>
        </w:rPr>
      </w:pPr>
      <w:r w:rsidRPr="006B51B1">
        <w:rPr>
          <w:rFonts w:asciiTheme="minorHAnsi" w:hAnsiTheme="minorHAnsi"/>
          <w:lang w:val="en-GB"/>
        </w:rPr>
        <w:t>For the private rented sector, the Immigration Act 2014 required private landlords to police the immigr</w:t>
      </w:r>
      <w:r w:rsidR="00EB439D">
        <w:rPr>
          <w:rFonts w:asciiTheme="minorHAnsi" w:hAnsiTheme="minorHAnsi"/>
          <w:lang w:val="en-GB"/>
        </w:rPr>
        <w:t>ation status of any new tenant.</w:t>
      </w:r>
    </w:p>
    <w:p w14:paraId="77488B27" w14:textId="6823092E" w:rsidR="006B51B1" w:rsidRPr="006B51B1" w:rsidRDefault="00EB439D" w:rsidP="00EB439D">
      <w:pPr>
        <w:ind w:left="720"/>
        <w:jc w:val="both"/>
        <w:rPr>
          <w:rFonts w:asciiTheme="minorHAnsi" w:hAnsiTheme="minorHAnsi" w:cstheme="minorBidi"/>
        </w:rPr>
      </w:pPr>
      <w:r>
        <w:rPr>
          <w:rFonts w:asciiTheme="minorHAnsi" w:hAnsiTheme="minorHAnsi" w:cstheme="minorBidi"/>
        </w:rPr>
        <w:t>‘</w:t>
      </w:r>
      <w:r w:rsidR="006B51B1" w:rsidRPr="006B51B1">
        <w:rPr>
          <w:rFonts w:asciiTheme="minorHAnsi" w:hAnsiTheme="minorHAnsi" w:cstheme="minorBidi"/>
        </w:rPr>
        <w:t xml:space="preserve">Given the additional burdens this it was expected to place on landlords, the policy has proved controversial within the private rented sector, with a number of concerns raised by landlord associations at the consultation stage and during the 2014 Act’s progress through Parliament. These concerns </w:t>
      </w:r>
      <w:proofErr w:type="spellStart"/>
      <w:r w:rsidR="006B51B1" w:rsidRPr="006B51B1">
        <w:rPr>
          <w:rFonts w:asciiTheme="minorHAnsi" w:hAnsiTheme="minorHAnsi" w:cstheme="minorBidi"/>
        </w:rPr>
        <w:t>centred</w:t>
      </w:r>
      <w:proofErr w:type="spellEnd"/>
      <w:r w:rsidR="006B51B1" w:rsidRPr="006B51B1">
        <w:rPr>
          <w:rFonts w:asciiTheme="minorHAnsi" w:hAnsiTheme="minorHAnsi" w:cstheme="minorBidi"/>
        </w:rPr>
        <w:t xml:space="preserve"> on the potential burden placed on landlords and the possible incentives for discrimination.</w:t>
      </w:r>
      <w:r>
        <w:rPr>
          <w:rFonts w:asciiTheme="minorHAnsi" w:hAnsiTheme="minorHAnsi" w:cstheme="minorBidi"/>
        </w:rPr>
        <w:t>’</w:t>
      </w:r>
      <w:r>
        <w:rPr>
          <w:rStyle w:val="FootnoteReference"/>
          <w:rFonts w:asciiTheme="minorHAnsi" w:hAnsiTheme="minorHAnsi" w:cstheme="minorBidi"/>
        </w:rPr>
        <w:footnoteReference w:id="122"/>
      </w:r>
    </w:p>
    <w:p w14:paraId="0A2EB8B3" w14:textId="5154F03E" w:rsidR="006B51B1" w:rsidRDefault="00EB439D" w:rsidP="000435D2">
      <w:pPr>
        <w:jc w:val="both"/>
        <w:rPr>
          <w:rFonts w:asciiTheme="minorHAnsi" w:hAnsiTheme="minorHAnsi"/>
          <w:lang w:val="en-GB"/>
        </w:rPr>
      </w:pPr>
      <w:r>
        <w:rPr>
          <w:rFonts w:asciiTheme="minorHAnsi" w:hAnsiTheme="minorHAnsi"/>
          <w:lang w:val="en-GB"/>
        </w:rPr>
        <w:t>Accordingly government first piloted it in limited areas</w:t>
      </w:r>
      <w:r w:rsidRPr="006B51B1">
        <w:rPr>
          <w:rFonts w:asciiTheme="minorHAnsi" w:hAnsiTheme="minorHAnsi"/>
          <w:vertAlign w:val="superscript"/>
          <w:lang w:val="en-GB"/>
        </w:rPr>
        <w:footnoteReference w:id="123"/>
      </w:r>
      <w:r>
        <w:rPr>
          <w:rFonts w:asciiTheme="minorHAnsi" w:hAnsiTheme="minorHAnsi"/>
          <w:lang w:val="en-GB"/>
        </w:rPr>
        <w:t xml:space="preserve"> but in 201</w:t>
      </w:r>
      <w:r w:rsidR="0010364E">
        <w:rPr>
          <w:rFonts w:asciiTheme="minorHAnsi" w:hAnsiTheme="minorHAnsi"/>
          <w:lang w:val="en-GB"/>
        </w:rPr>
        <w:t>6 the law</w:t>
      </w:r>
      <w:r>
        <w:rPr>
          <w:rFonts w:asciiTheme="minorHAnsi" w:hAnsiTheme="minorHAnsi"/>
          <w:lang w:val="en-GB"/>
        </w:rPr>
        <w:t xml:space="preserve"> was rolled-out across England.</w:t>
      </w:r>
      <w:r>
        <w:rPr>
          <w:rStyle w:val="FootnoteReference"/>
          <w:rFonts w:asciiTheme="minorHAnsi" w:hAnsiTheme="minorHAnsi"/>
          <w:lang w:val="en-GB"/>
        </w:rPr>
        <w:footnoteReference w:id="124"/>
      </w:r>
    </w:p>
    <w:p w14:paraId="42D17079" w14:textId="77777777" w:rsidR="00EB439D" w:rsidRPr="006B51B1" w:rsidRDefault="00EB439D" w:rsidP="000435D2">
      <w:pPr>
        <w:jc w:val="both"/>
        <w:rPr>
          <w:rFonts w:asciiTheme="minorHAnsi" w:hAnsiTheme="minorHAnsi"/>
          <w:lang w:val="en-GB"/>
        </w:rPr>
      </w:pPr>
    </w:p>
    <w:p w14:paraId="184F7D12" w14:textId="5C9D829C" w:rsidR="00896D06" w:rsidRPr="006B51B1" w:rsidRDefault="00360239" w:rsidP="000435D2">
      <w:pPr>
        <w:jc w:val="both"/>
        <w:rPr>
          <w:rFonts w:asciiTheme="minorHAnsi" w:hAnsiTheme="minorHAnsi"/>
          <w:lang w:val="en-GB"/>
        </w:rPr>
      </w:pPr>
      <w:r w:rsidRPr="006B51B1">
        <w:rPr>
          <w:rFonts w:asciiTheme="minorHAnsi" w:hAnsiTheme="minorHAnsi"/>
          <w:lang w:val="en-GB"/>
        </w:rPr>
        <w:t>To have the ‘right to rent’ a person must have the requisite qualifying status.</w:t>
      </w:r>
      <w:r w:rsidRPr="006B51B1">
        <w:rPr>
          <w:rFonts w:asciiTheme="minorHAnsi" w:hAnsiTheme="minorHAnsi"/>
          <w:vertAlign w:val="superscript"/>
          <w:lang w:val="en-GB"/>
        </w:rPr>
        <w:footnoteReference w:id="125"/>
      </w:r>
      <w:r w:rsidRPr="006B51B1">
        <w:rPr>
          <w:rFonts w:asciiTheme="minorHAnsi" w:hAnsiTheme="minorHAnsi"/>
          <w:lang w:val="en-GB"/>
        </w:rPr>
        <w:t xml:space="preserve"> </w:t>
      </w:r>
      <w:r w:rsidR="00EB439D">
        <w:rPr>
          <w:rFonts w:asciiTheme="minorHAnsi" w:hAnsiTheme="minorHAnsi"/>
          <w:lang w:val="en-GB"/>
        </w:rPr>
        <w:t>Landlord</w:t>
      </w:r>
      <w:r w:rsidR="00ED0337">
        <w:rPr>
          <w:rFonts w:asciiTheme="minorHAnsi" w:hAnsiTheme="minorHAnsi"/>
          <w:lang w:val="en-GB"/>
        </w:rPr>
        <w:t>s</w:t>
      </w:r>
      <w:r w:rsidR="00EB439D">
        <w:rPr>
          <w:rFonts w:asciiTheme="minorHAnsi" w:hAnsiTheme="minorHAnsi"/>
          <w:lang w:val="en-GB"/>
        </w:rPr>
        <w:t xml:space="preserve"> are require to check </w:t>
      </w:r>
      <w:r w:rsidR="00ED0337">
        <w:rPr>
          <w:rFonts w:asciiTheme="minorHAnsi" w:hAnsiTheme="minorHAnsi"/>
          <w:lang w:val="en-GB"/>
        </w:rPr>
        <w:t xml:space="preserve">the tenant’s (and any other adults members of the household) immigration documents </w:t>
      </w:r>
      <w:r w:rsidR="00EB439D">
        <w:rPr>
          <w:rFonts w:asciiTheme="minorHAnsi" w:hAnsiTheme="minorHAnsi"/>
          <w:lang w:val="en-GB"/>
        </w:rPr>
        <w:t>b</w:t>
      </w:r>
      <w:r w:rsidR="00ED0337">
        <w:rPr>
          <w:rFonts w:asciiTheme="minorHAnsi" w:hAnsiTheme="minorHAnsi"/>
          <w:lang w:val="en-GB"/>
        </w:rPr>
        <w:t>efore they enter into a tenancy. If the check is failed, the landlord must not allow the tenant to occupy the dwelling.</w:t>
      </w:r>
      <w:r w:rsidR="00EB439D">
        <w:rPr>
          <w:rFonts w:asciiTheme="minorHAnsi" w:hAnsiTheme="minorHAnsi"/>
          <w:lang w:val="en-GB"/>
        </w:rPr>
        <w:t xml:space="preserve"> </w:t>
      </w:r>
      <w:r w:rsidR="00722F72">
        <w:rPr>
          <w:rFonts w:asciiTheme="minorHAnsi" w:hAnsiTheme="minorHAnsi"/>
          <w:lang w:val="en-GB"/>
        </w:rPr>
        <w:t>Further if the tenan</w:t>
      </w:r>
      <w:r w:rsidR="00D7461D">
        <w:rPr>
          <w:rFonts w:asciiTheme="minorHAnsi" w:hAnsiTheme="minorHAnsi"/>
          <w:lang w:val="en-GB"/>
        </w:rPr>
        <w:t>t has a time-limited right to remain in the UK, the landlord may be required</w:t>
      </w:r>
      <w:r w:rsidR="0010364E">
        <w:rPr>
          <w:rFonts w:asciiTheme="minorHAnsi" w:hAnsiTheme="minorHAnsi"/>
          <w:lang w:val="en-GB"/>
        </w:rPr>
        <w:t xml:space="preserve"> to carry </w:t>
      </w:r>
      <w:r w:rsidR="00D7461D">
        <w:rPr>
          <w:rFonts w:asciiTheme="minorHAnsi" w:hAnsiTheme="minorHAnsi"/>
          <w:lang w:val="en-GB"/>
        </w:rPr>
        <w:t>out follow-up checks.</w:t>
      </w:r>
      <w:r w:rsidR="00D7461D">
        <w:rPr>
          <w:rStyle w:val="FootnoteReference"/>
          <w:rFonts w:asciiTheme="minorHAnsi" w:hAnsiTheme="minorHAnsi"/>
          <w:lang w:val="en-GB"/>
        </w:rPr>
        <w:footnoteReference w:id="126"/>
      </w:r>
      <w:r w:rsidR="00D7461D">
        <w:rPr>
          <w:rFonts w:asciiTheme="minorHAnsi" w:hAnsiTheme="minorHAnsi"/>
          <w:lang w:val="en-GB"/>
        </w:rPr>
        <w:t xml:space="preserve"> </w:t>
      </w:r>
      <w:r w:rsidR="00ED0337">
        <w:rPr>
          <w:rFonts w:asciiTheme="minorHAnsi" w:hAnsiTheme="minorHAnsi"/>
          <w:lang w:val="en-GB"/>
        </w:rPr>
        <w:t>A landlord may receive a civil or criminal sanction for failing to carry out the checks.</w:t>
      </w:r>
      <w:r w:rsidR="00D7461D">
        <w:rPr>
          <w:rStyle w:val="FootnoteReference"/>
          <w:rFonts w:asciiTheme="minorHAnsi" w:hAnsiTheme="minorHAnsi"/>
          <w:lang w:val="en-GB"/>
        </w:rPr>
        <w:footnoteReference w:id="127"/>
      </w:r>
      <w:r w:rsidR="00ED0337">
        <w:rPr>
          <w:rFonts w:asciiTheme="minorHAnsi" w:hAnsiTheme="minorHAnsi"/>
          <w:lang w:val="en-GB"/>
        </w:rPr>
        <w:t xml:space="preserve"> </w:t>
      </w:r>
      <w:r w:rsidRPr="006B51B1">
        <w:rPr>
          <w:rFonts w:asciiTheme="minorHAnsi" w:hAnsiTheme="minorHAnsi"/>
          <w:lang w:val="en-GB"/>
        </w:rPr>
        <w:t xml:space="preserve">Further, an amendment of the </w:t>
      </w:r>
      <w:r w:rsidR="00ED0337">
        <w:rPr>
          <w:rFonts w:asciiTheme="minorHAnsi" w:hAnsiTheme="minorHAnsi"/>
          <w:lang w:val="en-GB"/>
        </w:rPr>
        <w:t xml:space="preserve">2014 </w:t>
      </w:r>
      <w:r w:rsidRPr="006B51B1">
        <w:rPr>
          <w:rFonts w:asciiTheme="minorHAnsi" w:hAnsiTheme="minorHAnsi"/>
          <w:lang w:val="en-GB"/>
        </w:rPr>
        <w:t>Act in 2016, permits landlords to terminate an agreement if the occupiers are disqualified.</w:t>
      </w:r>
      <w:r w:rsidRPr="006B51B1">
        <w:rPr>
          <w:rFonts w:asciiTheme="minorHAnsi" w:hAnsiTheme="minorHAnsi"/>
          <w:vertAlign w:val="superscript"/>
          <w:lang w:val="en-GB"/>
        </w:rPr>
        <w:footnoteReference w:id="128"/>
      </w:r>
      <w:r w:rsidRPr="006B51B1">
        <w:rPr>
          <w:rFonts w:asciiTheme="minorHAnsi" w:hAnsiTheme="minorHAnsi"/>
          <w:lang w:val="en-GB"/>
        </w:rPr>
        <w:t xml:space="preserve"> </w:t>
      </w:r>
    </w:p>
    <w:p w14:paraId="6AD5ADCD" w14:textId="77777777" w:rsidR="00896D06" w:rsidRPr="006B51B1" w:rsidRDefault="00896D06" w:rsidP="000435D2">
      <w:pPr>
        <w:jc w:val="both"/>
        <w:rPr>
          <w:rFonts w:asciiTheme="minorHAnsi" w:hAnsiTheme="minorHAnsi"/>
          <w:lang w:val="en-GB"/>
        </w:rPr>
      </w:pPr>
    </w:p>
    <w:p w14:paraId="1383A016" w14:textId="0C013557" w:rsidR="007E09C8" w:rsidRPr="005E6028" w:rsidRDefault="00CE5C22" w:rsidP="005E6028">
      <w:pPr>
        <w:pStyle w:val="ListParagraph"/>
        <w:numPr>
          <w:ilvl w:val="0"/>
          <w:numId w:val="2"/>
        </w:numPr>
        <w:jc w:val="both"/>
        <w:rPr>
          <w:rFonts w:asciiTheme="minorHAnsi" w:hAnsiTheme="minorHAnsi"/>
          <w:b/>
          <w:lang w:val="en-GB"/>
        </w:rPr>
      </w:pPr>
      <w:r w:rsidRPr="005E6028">
        <w:rPr>
          <w:rFonts w:asciiTheme="minorHAnsi" w:hAnsiTheme="minorHAnsi"/>
          <w:b/>
          <w:lang w:val="en-GB"/>
        </w:rPr>
        <w:t>Conclusion</w:t>
      </w:r>
    </w:p>
    <w:p w14:paraId="7628C988" w14:textId="6C0D32DD" w:rsidR="007E09C8" w:rsidRDefault="00C841D5" w:rsidP="000435D2">
      <w:pPr>
        <w:jc w:val="both"/>
        <w:rPr>
          <w:rFonts w:asciiTheme="minorHAnsi" w:hAnsiTheme="minorHAnsi"/>
          <w:lang w:val="en-GB"/>
        </w:rPr>
      </w:pPr>
      <w:r>
        <w:rPr>
          <w:rFonts w:asciiTheme="minorHAnsi" w:hAnsiTheme="minorHAnsi"/>
          <w:lang w:val="en-GB"/>
        </w:rPr>
        <w:t xml:space="preserve">We started this article with an apology. Readers may now appreciate why. The legal framework surrounding rental housing in England is a complex and messy beast, </w:t>
      </w:r>
      <w:r w:rsidR="00A217A8">
        <w:rPr>
          <w:rFonts w:asciiTheme="minorHAnsi" w:hAnsiTheme="minorHAnsi"/>
          <w:lang w:val="en-GB"/>
        </w:rPr>
        <w:t xml:space="preserve">with its limitations described </w:t>
      </w:r>
      <w:r>
        <w:rPr>
          <w:rFonts w:asciiTheme="minorHAnsi" w:hAnsiTheme="minorHAnsi"/>
          <w:lang w:val="en-GB"/>
        </w:rPr>
        <w:t>here across five legal determinants of precariousness: tenure/time, control, cost, condition</w:t>
      </w:r>
      <w:r w:rsidR="00456188">
        <w:rPr>
          <w:rFonts w:asciiTheme="minorHAnsi" w:hAnsiTheme="minorHAnsi"/>
          <w:lang w:val="en-GB"/>
        </w:rPr>
        <w:t>s</w:t>
      </w:r>
      <w:r>
        <w:rPr>
          <w:rFonts w:asciiTheme="minorHAnsi" w:hAnsiTheme="minorHAnsi"/>
          <w:lang w:val="en-GB"/>
        </w:rPr>
        <w:t xml:space="preserve">, and immigration status. </w:t>
      </w:r>
      <w:r w:rsidR="00F555DF">
        <w:rPr>
          <w:rFonts w:asciiTheme="minorHAnsi" w:hAnsiTheme="minorHAnsi"/>
          <w:lang w:val="en-GB"/>
        </w:rPr>
        <w:t xml:space="preserve">The difficulties occupiers and landlords face </w:t>
      </w:r>
      <w:r w:rsidR="00F555DF">
        <w:rPr>
          <w:rFonts w:asciiTheme="minorHAnsi" w:hAnsiTheme="minorHAnsi"/>
          <w:lang w:val="en-GB"/>
        </w:rPr>
        <w:lastRenderedPageBreak/>
        <w:t xml:space="preserve">in untangling this patchwork of protections is an overarching element which unites these different strands. </w:t>
      </w:r>
      <w:r w:rsidR="00A04BD6">
        <w:rPr>
          <w:rFonts w:asciiTheme="minorHAnsi" w:hAnsiTheme="minorHAnsi"/>
          <w:lang w:val="en-GB"/>
        </w:rPr>
        <w:t>But does it need to be this way?</w:t>
      </w:r>
      <w:r w:rsidR="00815027">
        <w:rPr>
          <w:rFonts w:asciiTheme="minorHAnsi" w:hAnsiTheme="minorHAnsi"/>
          <w:lang w:val="en-GB"/>
        </w:rPr>
        <w:t xml:space="preserve"> Surely there is a better way fo</w:t>
      </w:r>
      <w:r w:rsidR="005C6BD7">
        <w:rPr>
          <w:rFonts w:asciiTheme="minorHAnsi" w:hAnsiTheme="minorHAnsi"/>
          <w:lang w:val="en-GB"/>
        </w:rPr>
        <w:t>r</w:t>
      </w:r>
      <w:r w:rsidR="00815027">
        <w:rPr>
          <w:rFonts w:asciiTheme="minorHAnsi" w:hAnsiTheme="minorHAnsi"/>
          <w:lang w:val="en-GB"/>
        </w:rPr>
        <w:t>ward?</w:t>
      </w:r>
      <w:r w:rsidR="00A04BD6">
        <w:rPr>
          <w:rFonts w:asciiTheme="minorHAnsi" w:hAnsiTheme="minorHAnsi"/>
          <w:lang w:val="en-GB"/>
        </w:rPr>
        <w:t xml:space="preserve"> </w:t>
      </w:r>
    </w:p>
    <w:p w14:paraId="2E669A19" w14:textId="77777777" w:rsidR="007E09C8" w:rsidRDefault="007E09C8" w:rsidP="000435D2">
      <w:pPr>
        <w:jc w:val="both"/>
        <w:rPr>
          <w:rFonts w:asciiTheme="minorHAnsi" w:hAnsiTheme="minorHAnsi"/>
          <w:lang w:val="en-GB"/>
        </w:rPr>
      </w:pPr>
    </w:p>
    <w:p w14:paraId="3D3FF3AF" w14:textId="5165329C" w:rsidR="00D24881" w:rsidRDefault="00D24881" w:rsidP="000435D2">
      <w:pPr>
        <w:jc w:val="both"/>
        <w:rPr>
          <w:rFonts w:asciiTheme="minorHAnsi" w:hAnsiTheme="minorHAnsi"/>
          <w:lang w:val="en-GB"/>
        </w:rPr>
      </w:pPr>
      <w:r>
        <w:rPr>
          <w:rFonts w:asciiTheme="minorHAnsi" w:hAnsiTheme="minorHAnsi"/>
          <w:lang w:val="en-GB"/>
        </w:rPr>
        <w:t xml:space="preserve">In 2006 </w:t>
      </w:r>
      <w:r w:rsidR="0096021D">
        <w:rPr>
          <w:rFonts w:asciiTheme="minorHAnsi" w:hAnsiTheme="minorHAnsi"/>
          <w:lang w:val="en-GB"/>
        </w:rPr>
        <w:t>the Law Commission of England and Wa</w:t>
      </w:r>
      <w:r w:rsidR="00BC1FD7">
        <w:rPr>
          <w:rFonts w:asciiTheme="minorHAnsi" w:hAnsiTheme="minorHAnsi"/>
          <w:lang w:val="en-GB"/>
        </w:rPr>
        <w:t xml:space="preserve">les </w:t>
      </w:r>
      <w:r w:rsidR="00A04BD6">
        <w:rPr>
          <w:rFonts w:asciiTheme="minorHAnsi" w:hAnsiTheme="minorHAnsi"/>
          <w:lang w:val="en-GB"/>
        </w:rPr>
        <w:t xml:space="preserve">offered </w:t>
      </w:r>
      <w:r w:rsidR="00815027">
        <w:rPr>
          <w:rFonts w:asciiTheme="minorHAnsi" w:hAnsiTheme="minorHAnsi"/>
          <w:lang w:val="en-GB"/>
        </w:rPr>
        <w:t>a potential route</w:t>
      </w:r>
      <w:r w:rsidR="00A04BD6">
        <w:rPr>
          <w:rFonts w:asciiTheme="minorHAnsi" w:hAnsiTheme="minorHAnsi"/>
          <w:lang w:val="en-GB"/>
        </w:rPr>
        <w:t xml:space="preserve">, </w:t>
      </w:r>
      <w:r w:rsidR="00BC1FD7">
        <w:rPr>
          <w:rFonts w:asciiTheme="minorHAnsi" w:hAnsiTheme="minorHAnsi"/>
          <w:lang w:val="en-GB"/>
        </w:rPr>
        <w:t>recommend</w:t>
      </w:r>
      <w:r w:rsidR="00A04BD6">
        <w:rPr>
          <w:rFonts w:asciiTheme="minorHAnsi" w:hAnsiTheme="minorHAnsi"/>
          <w:lang w:val="en-GB"/>
        </w:rPr>
        <w:t>ing a</w:t>
      </w:r>
      <w:r w:rsidR="00BC1FD7">
        <w:rPr>
          <w:rFonts w:asciiTheme="minorHAnsi" w:hAnsiTheme="minorHAnsi"/>
          <w:lang w:val="en-GB"/>
        </w:rPr>
        <w:t xml:space="preserve"> major </w:t>
      </w:r>
      <w:r w:rsidR="006F04F9">
        <w:rPr>
          <w:rFonts w:asciiTheme="minorHAnsi" w:hAnsiTheme="minorHAnsi"/>
          <w:lang w:val="en-GB"/>
        </w:rPr>
        <w:t>simpli</w:t>
      </w:r>
      <w:r w:rsidR="00B574C6">
        <w:rPr>
          <w:rFonts w:asciiTheme="minorHAnsi" w:hAnsiTheme="minorHAnsi"/>
          <w:lang w:val="en-GB"/>
        </w:rPr>
        <w:t>fi</w:t>
      </w:r>
      <w:r w:rsidR="006F04F9">
        <w:rPr>
          <w:rFonts w:asciiTheme="minorHAnsi" w:hAnsiTheme="minorHAnsi"/>
          <w:lang w:val="en-GB"/>
        </w:rPr>
        <w:t>cation</w:t>
      </w:r>
      <w:r w:rsidR="0096021D">
        <w:rPr>
          <w:rFonts w:asciiTheme="minorHAnsi" w:hAnsiTheme="minorHAnsi"/>
          <w:lang w:val="en-GB"/>
        </w:rPr>
        <w:t xml:space="preserve"> to the law of </w:t>
      </w:r>
      <w:r w:rsidR="00D647E4">
        <w:rPr>
          <w:rFonts w:asciiTheme="minorHAnsi" w:hAnsiTheme="minorHAnsi"/>
          <w:lang w:val="en-GB"/>
        </w:rPr>
        <w:t xml:space="preserve">rented homes. </w:t>
      </w:r>
    </w:p>
    <w:p w14:paraId="014D4A69" w14:textId="2F4DC4A3" w:rsidR="0096021D" w:rsidRDefault="004D0FE0" w:rsidP="00D647E4">
      <w:pPr>
        <w:ind w:left="720"/>
        <w:jc w:val="both"/>
        <w:rPr>
          <w:rFonts w:asciiTheme="minorHAnsi" w:hAnsiTheme="minorHAnsi"/>
        </w:rPr>
      </w:pPr>
      <w:r>
        <w:rPr>
          <w:rFonts w:asciiTheme="minorHAnsi" w:hAnsiTheme="minorHAnsi"/>
        </w:rPr>
        <w:t>‘</w:t>
      </w:r>
      <w:r w:rsidR="0096021D" w:rsidRPr="0096021D">
        <w:rPr>
          <w:rFonts w:asciiTheme="minorHAnsi" w:hAnsiTheme="minorHAnsi"/>
        </w:rPr>
        <w:t>First, we recommend the creation of a single social tenure. At present, local authorities can only let on secure tenanc</w:t>
      </w:r>
      <w:r w:rsidR="003D46E8">
        <w:rPr>
          <w:rFonts w:asciiTheme="minorHAnsi" w:hAnsiTheme="minorHAnsi"/>
        </w:rPr>
        <w:t>ies; [housing associations]</w:t>
      </w:r>
      <w:r w:rsidR="0096021D" w:rsidRPr="0096021D">
        <w:rPr>
          <w:rFonts w:asciiTheme="minorHAnsi" w:hAnsiTheme="minorHAnsi"/>
        </w:rPr>
        <w:t xml:space="preserve"> only on assured tenancies. Our recommendations are “landlord-neutral”. They enable social hou</w:t>
      </w:r>
      <w:r w:rsidR="00D647E4">
        <w:rPr>
          <w:rFonts w:asciiTheme="minorHAnsi" w:hAnsiTheme="minorHAnsi"/>
        </w:rPr>
        <w:t xml:space="preserve">sing </w:t>
      </w:r>
      <w:proofErr w:type="gramStart"/>
      <w:r w:rsidR="00D647E4">
        <w:rPr>
          <w:rFonts w:asciiTheme="minorHAnsi" w:hAnsiTheme="minorHAnsi"/>
        </w:rPr>
        <w:t>providers</w:t>
      </w:r>
      <w:r w:rsidR="0096021D" w:rsidRPr="0096021D">
        <w:rPr>
          <w:rFonts w:asciiTheme="minorHAnsi" w:hAnsiTheme="minorHAnsi"/>
        </w:rPr>
        <w:t>,</w:t>
      </w:r>
      <w:r w:rsidR="00D647E4">
        <w:rPr>
          <w:rFonts w:asciiTheme="minorHAnsi" w:hAnsiTheme="minorHAnsi"/>
        </w:rPr>
        <w:t>…</w:t>
      </w:r>
      <w:proofErr w:type="gramEnd"/>
      <w:r w:rsidR="0096021D" w:rsidRPr="0096021D">
        <w:rPr>
          <w:rFonts w:asciiTheme="minorHAnsi" w:hAnsiTheme="minorHAnsi"/>
        </w:rPr>
        <w:t xml:space="preserve"> and those private sector landlords who so wish to rent on identical terms</w:t>
      </w:r>
      <w:r w:rsidR="003D46E8">
        <w:rPr>
          <w:rFonts w:asciiTheme="minorHAnsi" w:hAnsiTheme="minorHAnsi"/>
        </w:rPr>
        <w:t>…</w:t>
      </w:r>
      <w:r w:rsidR="0096021D" w:rsidRPr="0096021D">
        <w:rPr>
          <w:rFonts w:asciiTheme="minorHAnsi" w:hAnsiTheme="minorHAnsi"/>
        </w:rPr>
        <w:t xml:space="preserve"> </w:t>
      </w:r>
    </w:p>
    <w:p w14:paraId="79C227BE" w14:textId="77777777" w:rsidR="0096021D" w:rsidRDefault="0096021D" w:rsidP="00D647E4">
      <w:pPr>
        <w:ind w:left="720"/>
        <w:jc w:val="both"/>
        <w:rPr>
          <w:rFonts w:asciiTheme="minorHAnsi" w:hAnsiTheme="minorHAnsi"/>
        </w:rPr>
      </w:pPr>
    </w:p>
    <w:p w14:paraId="28F104E4" w14:textId="4C831E00" w:rsidR="0096021D" w:rsidRPr="0096021D" w:rsidRDefault="0096021D" w:rsidP="00D647E4">
      <w:pPr>
        <w:ind w:left="720"/>
        <w:jc w:val="both"/>
        <w:rPr>
          <w:rFonts w:asciiTheme="minorHAnsi" w:hAnsiTheme="minorHAnsi"/>
        </w:rPr>
      </w:pPr>
      <w:r w:rsidRPr="0096021D">
        <w:rPr>
          <w:rFonts w:asciiTheme="minorHAnsi" w:hAnsiTheme="minorHAnsi"/>
        </w:rPr>
        <w:t xml:space="preserve">Secondly, we recommend a new “consumer protection” approach which focuses on the contract between the landlord and the occupier (the contract-holder), incorporating consumer protection principles of fairness and transparency. Thus our recommended scheme does not depend on technical legal issues of whether or not there is a tenancy as opposed to a </w:t>
      </w:r>
      <w:proofErr w:type="spellStart"/>
      <w:r w:rsidRPr="0096021D">
        <w:rPr>
          <w:rFonts w:asciiTheme="minorHAnsi" w:hAnsiTheme="minorHAnsi"/>
        </w:rPr>
        <w:t>licence</w:t>
      </w:r>
      <w:proofErr w:type="spellEnd"/>
      <w:r w:rsidRPr="0096021D">
        <w:rPr>
          <w:rFonts w:asciiTheme="minorHAnsi" w:hAnsiTheme="minorHAnsi"/>
        </w:rPr>
        <w:t xml:space="preserve"> (as has usually been the case in the past). This ensures that both landlords and occupiers have a much clearer understanding o</w:t>
      </w:r>
      <w:r w:rsidR="00D647E4">
        <w:rPr>
          <w:rFonts w:asciiTheme="minorHAnsi" w:hAnsiTheme="minorHAnsi"/>
        </w:rPr>
        <w:t>f their rights and obligations.</w:t>
      </w:r>
      <w:r w:rsidR="004D0FE0">
        <w:rPr>
          <w:rFonts w:asciiTheme="minorHAnsi" w:hAnsiTheme="minorHAnsi"/>
        </w:rPr>
        <w:t>’</w:t>
      </w:r>
      <w:r w:rsidR="00D647E4">
        <w:rPr>
          <w:rStyle w:val="FootnoteReference"/>
          <w:rFonts w:asciiTheme="minorHAnsi" w:hAnsiTheme="minorHAnsi"/>
        </w:rPr>
        <w:footnoteReference w:id="129"/>
      </w:r>
    </w:p>
    <w:p w14:paraId="4303335B" w14:textId="77777777" w:rsidR="0096021D" w:rsidRDefault="0096021D" w:rsidP="000435D2">
      <w:pPr>
        <w:jc w:val="both"/>
        <w:rPr>
          <w:rFonts w:asciiTheme="minorHAnsi" w:hAnsiTheme="minorHAnsi"/>
          <w:lang w:val="en-GB"/>
        </w:rPr>
      </w:pPr>
    </w:p>
    <w:p w14:paraId="5FB1E29C" w14:textId="42D3D7D1" w:rsidR="00D647E4" w:rsidRDefault="004D0FE0" w:rsidP="000435D2">
      <w:pPr>
        <w:jc w:val="both"/>
        <w:rPr>
          <w:rFonts w:asciiTheme="minorHAnsi" w:hAnsiTheme="minorHAnsi"/>
          <w:lang w:val="en-GB"/>
        </w:rPr>
      </w:pPr>
      <w:r>
        <w:rPr>
          <w:rFonts w:asciiTheme="minorHAnsi" w:hAnsiTheme="minorHAnsi"/>
          <w:lang w:val="en-GB"/>
        </w:rPr>
        <w:t>While the proposals are being</w:t>
      </w:r>
      <w:r w:rsidR="00D647E4">
        <w:rPr>
          <w:rFonts w:asciiTheme="minorHAnsi" w:hAnsiTheme="minorHAnsi"/>
          <w:lang w:val="en-GB"/>
        </w:rPr>
        <w:t xml:space="preserve"> enacted in Wales</w:t>
      </w:r>
      <w:r w:rsidR="003D46E8">
        <w:rPr>
          <w:rFonts w:asciiTheme="minorHAnsi" w:hAnsiTheme="minorHAnsi"/>
          <w:lang w:val="en-GB"/>
        </w:rPr>
        <w:t>,</w:t>
      </w:r>
      <w:r w:rsidR="003D46E8">
        <w:rPr>
          <w:rStyle w:val="FootnoteReference"/>
          <w:rFonts w:asciiTheme="minorHAnsi" w:hAnsiTheme="minorHAnsi"/>
          <w:lang w:val="en-GB"/>
        </w:rPr>
        <w:footnoteReference w:id="130"/>
      </w:r>
      <w:r w:rsidR="003D46E8">
        <w:rPr>
          <w:rFonts w:asciiTheme="minorHAnsi" w:hAnsiTheme="minorHAnsi"/>
          <w:lang w:val="en-GB"/>
        </w:rPr>
        <w:t xml:space="preserve"> there is no evidence of </w:t>
      </w:r>
      <w:r w:rsidR="00E17378">
        <w:rPr>
          <w:rFonts w:asciiTheme="minorHAnsi" w:hAnsiTheme="minorHAnsi"/>
          <w:lang w:val="en-GB"/>
        </w:rPr>
        <w:t>an appetite in</w:t>
      </w:r>
      <w:r w:rsidR="003D46E8">
        <w:rPr>
          <w:rFonts w:asciiTheme="minorHAnsi" w:hAnsiTheme="minorHAnsi"/>
          <w:lang w:val="en-GB"/>
        </w:rPr>
        <w:t xml:space="preserve"> government in England </w:t>
      </w:r>
      <w:r w:rsidR="00E17378">
        <w:rPr>
          <w:rFonts w:asciiTheme="minorHAnsi" w:hAnsiTheme="minorHAnsi"/>
          <w:lang w:val="en-GB"/>
        </w:rPr>
        <w:t>for updating the law</w:t>
      </w:r>
      <w:r w:rsidR="003D46E8">
        <w:rPr>
          <w:rFonts w:asciiTheme="minorHAnsi" w:hAnsiTheme="minorHAnsi"/>
          <w:lang w:val="en-GB"/>
        </w:rPr>
        <w:t xml:space="preserve">. We would suggest that this </w:t>
      </w:r>
      <w:r w:rsidR="00B71524">
        <w:rPr>
          <w:rFonts w:asciiTheme="minorHAnsi" w:hAnsiTheme="minorHAnsi"/>
          <w:lang w:val="en-GB"/>
        </w:rPr>
        <w:t xml:space="preserve">is </w:t>
      </w:r>
      <w:r w:rsidR="003D46E8">
        <w:rPr>
          <w:rFonts w:asciiTheme="minorHAnsi" w:hAnsiTheme="minorHAnsi"/>
          <w:lang w:val="en-GB"/>
        </w:rPr>
        <w:t xml:space="preserve">a mistake. </w:t>
      </w:r>
      <w:r w:rsidR="00586886">
        <w:rPr>
          <w:rFonts w:asciiTheme="minorHAnsi" w:hAnsiTheme="minorHAnsi"/>
          <w:lang w:val="en-GB"/>
        </w:rPr>
        <w:t xml:space="preserve">For both landlords and tenants (and their advisors) the </w:t>
      </w:r>
      <w:r w:rsidR="003F5BBC">
        <w:rPr>
          <w:rFonts w:asciiTheme="minorHAnsi" w:hAnsiTheme="minorHAnsi"/>
          <w:lang w:val="en-GB"/>
        </w:rPr>
        <w:t xml:space="preserve">simplicity it would bring would </w:t>
      </w:r>
      <w:r w:rsidR="00E17378">
        <w:rPr>
          <w:rFonts w:asciiTheme="minorHAnsi" w:hAnsiTheme="minorHAnsi"/>
          <w:lang w:val="en-GB"/>
        </w:rPr>
        <w:t xml:space="preserve">be </w:t>
      </w:r>
      <w:r w:rsidR="003F5BBC">
        <w:rPr>
          <w:rFonts w:asciiTheme="minorHAnsi" w:hAnsiTheme="minorHAnsi"/>
          <w:lang w:val="en-GB"/>
        </w:rPr>
        <w:t>welcome.</w:t>
      </w:r>
    </w:p>
    <w:p w14:paraId="089A5A77" w14:textId="77777777" w:rsidR="00CD4D45" w:rsidRDefault="00CD4D45" w:rsidP="000435D2">
      <w:pPr>
        <w:jc w:val="both"/>
        <w:rPr>
          <w:rFonts w:asciiTheme="minorHAnsi" w:hAnsiTheme="minorHAnsi"/>
          <w:lang w:val="en-GB"/>
        </w:rPr>
      </w:pPr>
    </w:p>
    <w:p w14:paraId="5D3712EE" w14:textId="77777777" w:rsidR="00F637C3" w:rsidRDefault="00CD4D45" w:rsidP="003F5BBC">
      <w:pPr>
        <w:jc w:val="both"/>
        <w:rPr>
          <w:rFonts w:asciiTheme="minorHAnsi" w:hAnsiTheme="minorHAnsi"/>
        </w:rPr>
      </w:pPr>
      <w:r>
        <w:rPr>
          <w:rFonts w:asciiTheme="minorHAnsi" w:hAnsiTheme="minorHAnsi"/>
          <w:lang w:val="en-GB"/>
        </w:rPr>
        <w:t xml:space="preserve">The recommendations of the Law Commission would </w:t>
      </w:r>
      <w:r w:rsidR="00586886">
        <w:rPr>
          <w:rFonts w:asciiTheme="minorHAnsi" w:hAnsiTheme="minorHAnsi"/>
          <w:lang w:val="en-GB"/>
        </w:rPr>
        <w:t>leave</w:t>
      </w:r>
      <w:r>
        <w:rPr>
          <w:rFonts w:asciiTheme="minorHAnsi" w:hAnsiTheme="minorHAnsi"/>
          <w:lang w:val="en-GB"/>
        </w:rPr>
        <w:t xml:space="preserve"> the balance </w:t>
      </w:r>
      <w:r w:rsidR="00586886">
        <w:rPr>
          <w:rFonts w:asciiTheme="minorHAnsi" w:hAnsiTheme="minorHAnsi"/>
          <w:lang w:val="en-GB"/>
        </w:rPr>
        <w:t xml:space="preserve">between the position of landlords and tenants </w:t>
      </w:r>
      <w:r>
        <w:rPr>
          <w:rFonts w:asciiTheme="minorHAnsi" w:hAnsiTheme="minorHAnsi"/>
          <w:lang w:val="en-GB"/>
        </w:rPr>
        <w:t xml:space="preserve">largely untouched. </w:t>
      </w:r>
      <w:r w:rsidR="00F637C3">
        <w:rPr>
          <w:rFonts w:asciiTheme="minorHAnsi" w:hAnsiTheme="minorHAnsi"/>
          <w:lang w:val="en-GB"/>
        </w:rPr>
        <w:t xml:space="preserve">It suggested </w:t>
      </w:r>
      <w:r w:rsidR="003F5BBC" w:rsidRPr="003F5BBC">
        <w:rPr>
          <w:rFonts w:asciiTheme="minorHAnsi" w:hAnsiTheme="minorHAnsi"/>
        </w:rPr>
        <w:t>two types of occupation contract:</w:t>
      </w:r>
    </w:p>
    <w:p w14:paraId="18AF1032" w14:textId="658ECAE6" w:rsidR="003F5BBC" w:rsidRPr="003F5BBC" w:rsidRDefault="002530D7" w:rsidP="00F637C3">
      <w:pPr>
        <w:ind w:left="720"/>
        <w:jc w:val="both"/>
        <w:rPr>
          <w:rFonts w:asciiTheme="minorHAnsi" w:hAnsiTheme="minorHAnsi"/>
        </w:rPr>
      </w:pPr>
      <w:r>
        <w:rPr>
          <w:rFonts w:asciiTheme="minorHAnsi" w:hAnsiTheme="minorHAnsi"/>
        </w:rPr>
        <w:t>‘</w:t>
      </w:r>
      <w:r w:rsidR="003F5BBC" w:rsidRPr="003F5BBC">
        <w:rPr>
          <w:rFonts w:asciiTheme="minorHAnsi" w:hAnsiTheme="minorHAnsi"/>
        </w:rPr>
        <w:t xml:space="preserve">(1) the secure contract, modelled on the present secure tenancy, giving substantial security of tenure protected by statute; and (2) the standard contract, modelled on the present assured </w:t>
      </w:r>
      <w:proofErr w:type="spellStart"/>
      <w:r w:rsidR="003F5BBC" w:rsidRPr="003F5BBC">
        <w:rPr>
          <w:rFonts w:asciiTheme="minorHAnsi" w:hAnsiTheme="minorHAnsi"/>
        </w:rPr>
        <w:t>shorthold</w:t>
      </w:r>
      <w:proofErr w:type="spellEnd"/>
      <w:r w:rsidR="003F5BBC" w:rsidRPr="003F5BBC">
        <w:rPr>
          <w:rFonts w:asciiTheme="minorHAnsi" w:hAnsiTheme="minorHAnsi"/>
        </w:rPr>
        <w:t xml:space="preserve"> tenancy, where the duration of the occupation is determined by th</w:t>
      </w:r>
      <w:r w:rsidR="00F637C3">
        <w:rPr>
          <w:rFonts w:asciiTheme="minorHAnsi" w:hAnsiTheme="minorHAnsi"/>
        </w:rPr>
        <w:t xml:space="preserve">e contract. [Social landlords] </w:t>
      </w:r>
      <w:r w:rsidR="003F5BBC" w:rsidRPr="003F5BBC">
        <w:rPr>
          <w:rFonts w:asciiTheme="minorHAnsi" w:hAnsiTheme="minorHAnsi"/>
        </w:rPr>
        <w:t>will be required to enter into secure contracts, except where the Bill allows them to enter into standard contracts (for example as probationary contracts, or following a court order after the anti-social behaviour term has been breached).</w:t>
      </w:r>
      <w:r>
        <w:rPr>
          <w:rFonts w:asciiTheme="minorHAnsi" w:hAnsiTheme="minorHAnsi"/>
        </w:rPr>
        <w:t>’</w:t>
      </w:r>
      <w:r w:rsidR="00F637C3">
        <w:rPr>
          <w:rStyle w:val="FootnoteReference"/>
          <w:rFonts w:asciiTheme="minorHAnsi" w:hAnsiTheme="minorHAnsi"/>
        </w:rPr>
        <w:footnoteReference w:id="131"/>
      </w:r>
    </w:p>
    <w:p w14:paraId="082723E4" w14:textId="77777777" w:rsidR="003F5BBC" w:rsidRDefault="003F5BBC" w:rsidP="000435D2">
      <w:pPr>
        <w:jc w:val="both"/>
        <w:rPr>
          <w:rFonts w:asciiTheme="minorHAnsi" w:hAnsiTheme="minorHAnsi"/>
          <w:lang w:val="en-GB"/>
        </w:rPr>
      </w:pPr>
    </w:p>
    <w:p w14:paraId="0DF4D21F" w14:textId="6A2B085F" w:rsidR="000559E9" w:rsidRDefault="00586886" w:rsidP="004278C1">
      <w:pPr>
        <w:jc w:val="both"/>
        <w:rPr>
          <w:rFonts w:asciiTheme="minorHAnsi" w:hAnsiTheme="minorHAnsi"/>
          <w:lang w:val="en-GB"/>
        </w:rPr>
      </w:pPr>
      <w:r>
        <w:rPr>
          <w:rFonts w:asciiTheme="minorHAnsi" w:hAnsiTheme="minorHAnsi"/>
          <w:lang w:val="en-GB"/>
        </w:rPr>
        <w:t xml:space="preserve">As we have </w:t>
      </w:r>
      <w:r w:rsidR="00151457">
        <w:rPr>
          <w:rFonts w:asciiTheme="minorHAnsi" w:hAnsiTheme="minorHAnsi"/>
          <w:lang w:val="en-GB"/>
        </w:rPr>
        <w:t xml:space="preserve">demonstrated the </w:t>
      </w:r>
      <w:r w:rsidR="00B71524">
        <w:rPr>
          <w:rFonts w:asciiTheme="minorHAnsi" w:hAnsiTheme="minorHAnsi"/>
          <w:lang w:val="en-GB"/>
        </w:rPr>
        <w:t>position</w:t>
      </w:r>
      <w:r w:rsidR="00151457">
        <w:rPr>
          <w:rFonts w:asciiTheme="minorHAnsi" w:hAnsiTheme="minorHAnsi"/>
          <w:lang w:val="en-GB"/>
        </w:rPr>
        <w:t xml:space="preserve"> of tenants</w:t>
      </w:r>
      <w:r w:rsidR="00B71524">
        <w:rPr>
          <w:rFonts w:asciiTheme="minorHAnsi" w:hAnsiTheme="minorHAnsi"/>
          <w:lang w:val="en-GB"/>
        </w:rPr>
        <w:t xml:space="preserve"> has become in some ways more precarious </w:t>
      </w:r>
      <w:r w:rsidR="00151457">
        <w:rPr>
          <w:rFonts w:asciiTheme="minorHAnsi" w:hAnsiTheme="minorHAnsi"/>
          <w:lang w:val="en-GB"/>
        </w:rPr>
        <w:t xml:space="preserve">in the last 30 years </w:t>
      </w:r>
      <w:r w:rsidR="00B71524">
        <w:rPr>
          <w:rFonts w:asciiTheme="minorHAnsi" w:hAnsiTheme="minorHAnsi"/>
          <w:lang w:val="en-GB"/>
        </w:rPr>
        <w:t xml:space="preserve">– in terms of the </w:t>
      </w:r>
      <w:r w:rsidR="00151457">
        <w:rPr>
          <w:rFonts w:asciiTheme="minorHAnsi" w:hAnsiTheme="minorHAnsi"/>
          <w:lang w:val="en-GB"/>
        </w:rPr>
        <w:t xml:space="preserve">ease of </w:t>
      </w:r>
      <w:r w:rsidR="00B71524">
        <w:rPr>
          <w:rFonts w:asciiTheme="minorHAnsi" w:hAnsiTheme="minorHAnsi"/>
          <w:lang w:val="en-GB"/>
        </w:rPr>
        <w:t>eviction and</w:t>
      </w:r>
      <w:r w:rsidR="004D0FE0">
        <w:rPr>
          <w:rFonts w:asciiTheme="minorHAnsi" w:hAnsiTheme="minorHAnsi"/>
          <w:lang w:val="en-GB"/>
        </w:rPr>
        <w:t>,</w:t>
      </w:r>
      <w:r w:rsidR="00B71524">
        <w:rPr>
          <w:rFonts w:asciiTheme="minorHAnsi" w:hAnsiTheme="minorHAnsi"/>
          <w:lang w:val="en-GB"/>
        </w:rPr>
        <w:t xml:space="preserve"> for private tenant</w:t>
      </w:r>
      <w:r w:rsidR="00151457">
        <w:rPr>
          <w:rFonts w:asciiTheme="minorHAnsi" w:hAnsiTheme="minorHAnsi"/>
          <w:lang w:val="en-GB"/>
        </w:rPr>
        <w:t>s</w:t>
      </w:r>
      <w:r w:rsidR="004D0FE0">
        <w:rPr>
          <w:rFonts w:asciiTheme="minorHAnsi" w:hAnsiTheme="minorHAnsi"/>
          <w:lang w:val="en-GB"/>
        </w:rPr>
        <w:t>,</w:t>
      </w:r>
      <w:r w:rsidR="00151457">
        <w:rPr>
          <w:rFonts w:asciiTheme="minorHAnsi" w:hAnsiTheme="minorHAnsi"/>
          <w:lang w:val="en-GB"/>
        </w:rPr>
        <w:t xml:space="preserve"> for rents. Whether the current settlement has hit the right balance is not the focus of this article</w:t>
      </w:r>
      <w:r w:rsidR="004D0FE0">
        <w:rPr>
          <w:rFonts w:asciiTheme="minorHAnsi" w:hAnsiTheme="minorHAnsi"/>
          <w:lang w:val="en-GB"/>
        </w:rPr>
        <w:t>.</w:t>
      </w:r>
      <w:r w:rsidR="00151457">
        <w:rPr>
          <w:rFonts w:asciiTheme="minorHAnsi" w:hAnsiTheme="minorHAnsi"/>
          <w:lang w:val="en-GB"/>
        </w:rPr>
        <w:t xml:space="preserve"> </w:t>
      </w:r>
      <w:r w:rsidR="00E17378">
        <w:rPr>
          <w:rFonts w:asciiTheme="minorHAnsi" w:hAnsiTheme="minorHAnsi"/>
          <w:lang w:val="en-GB"/>
        </w:rPr>
        <w:t>Our role here has instead been limited to an overview of the key legal framework. W</w:t>
      </w:r>
      <w:r w:rsidR="00151457">
        <w:rPr>
          <w:rFonts w:asciiTheme="minorHAnsi" w:hAnsiTheme="minorHAnsi"/>
          <w:lang w:val="en-GB"/>
        </w:rPr>
        <w:t>e would comment</w:t>
      </w:r>
      <w:r w:rsidR="00E17378">
        <w:rPr>
          <w:rFonts w:asciiTheme="minorHAnsi" w:hAnsiTheme="minorHAnsi"/>
          <w:lang w:val="en-GB"/>
        </w:rPr>
        <w:t>, however,</w:t>
      </w:r>
      <w:r w:rsidR="00151457">
        <w:rPr>
          <w:rFonts w:asciiTheme="minorHAnsi" w:hAnsiTheme="minorHAnsi"/>
          <w:lang w:val="en-GB"/>
        </w:rPr>
        <w:t xml:space="preserve"> that the law i</w:t>
      </w:r>
      <w:r w:rsidR="00B574C6">
        <w:rPr>
          <w:rFonts w:asciiTheme="minorHAnsi" w:hAnsiTheme="minorHAnsi"/>
          <w:lang w:val="en-GB"/>
        </w:rPr>
        <w:t>s</w:t>
      </w:r>
      <w:r w:rsidR="00151457">
        <w:rPr>
          <w:rFonts w:asciiTheme="minorHAnsi" w:hAnsiTheme="minorHAnsi"/>
          <w:lang w:val="en-GB"/>
        </w:rPr>
        <w:t xml:space="preserve"> </w:t>
      </w:r>
      <w:r w:rsidR="00B574C6">
        <w:rPr>
          <w:rFonts w:asciiTheme="minorHAnsi" w:hAnsiTheme="minorHAnsi"/>
          <w:lang w:val="en-GB"/>
        </w:rPr>
        <w:t>a</w:t>
      </w:r>
      <w:r w:rsidR="00151457">
        <w:rPr>
          <w:rFonts w:asciiTheme="minorHAnsi" w:hAnsiTheme="minorHAnsi"/>
          <w:lang w:val="en-GB"/>
        </w:rPr>
        <w:t xml:space="preserve"> creature of housing policy</w:t>
      </w:r>
      <w:r w:rsidR="004D0FE0">
        <w:rPr>
          <w:rFonts w:asciiTheme="minorHAnsi" w:hAnsiTheme="minorHAnsi"/>
          <w:lang w:val="en-GB"/>
        </w:rPr>
        <w:t>; t</w:t>
      </w:r>
      <w:r w:rsidR="00151457">
        <w:rPr>
          <w:rFonts w:asciiTheme="minorHAnsi" w:hAnsiTheme="minorHAnsi"/>
          <w:lang w:val="en-GB"/>
        </w:rPr>
        <w:t xml:space="preserve">he law is not </w:t>
      </w:r>
      <w:r w:rsidR="004D0FE0">
        <w:rPr>
          <w:rFonts w:asciiTheme="minorHAnsi" w:hAnsiTheme="minorHAnsi"/>
          <w:lang w:val="en-GB"/>
        </w:rPr>
        <w:t>neutral and the current position</w:t>
      </w:r>
      <w:r w:rsidR="008D4A59">
        <w:rPr>
          <w:rFonts w:asciiTheme="minorHAnsi" w:hAnsiTheme="minorHAnsi"/>
          <w:lang w:val="en-GB"/>
        </w:rPr>
        <w:t xml:space="preserve"> – with all the problems it carries with it -</w:t>
      </w:r>
      <w:r w:rsidR="004D0FE0">
        <w:rPr>
          <w:rFonts w:asciiTheme="minorHAnsi" w:hAnsiTheme="minorHAnsi"/>
          <w:lang w:val="en-GB"/>
        </w:rPr>
        <w:t xml:space="preserve"> is a political choice.</w:t>
      </w:r>
    </w:p>
    <w:p w14:paraId="0FED1C66" w14:textId="77777777" w:rsidR="000559E9" w:rsidRDefault="000559E9">
      <w:pPr>
        <w:rPr>
          <w:rFonts w:asciiTheme="minorHAnsi" w:hAnsiTheme="minorHAnsi"/>
          <w:lang w:val="en-GB"/>
        </w:rPr>
      </w:pPr>
      <w:r>
        <w:rPr>
          <w:rFonts w:asciiTheme="minorHAnsi" w:hAnsiTheme="minorHAnsi"/>
          <w:lang w:val="en-GB"/>
        </w:rPr>
        <w:br w:type="page"/>
      </w:r>
    </w:p>
    <w:p w14:paraId="16674083" w14:textId="77777777" w:rsidR="000559E9" w:rsidRPr="00FE3E27" w:rsidRDefault="000559E9" w:rsidP="000559E9">
      <w:pPr>
        <w:jc w:val="both"/>
        <w:rPr>
          <w:rFonts w:asciiTheme="minorHAnsi" w:hAnsiTheme="minorHAnsi"/>
          <w:b/>
          <w:color w:val="000000"/>
        </w:rPr>
      </w:pPr>
      <w:r w:rsidRPr="00FE3E27">
        <w:rPr>
          <w:rFonts w:asciiTheme="minorHAnsi" w:hAnsiTheme="minorHAnsi"/>
          <w:b/>
          <w:color w:val="000000"/>
        </w:rPr>
        <w:lastRenderedPageBreak/>
        <w:t>Bibliography</w:t>
      </w:r>
    </w:p>
    <w:p w14:paraId="122291B2" w14:textId="77777777" w:rsidR="000559E9" w:rsidRPr="000854B6" w:rsidRDefault="000559E9" w:rsidP="000559E9">
      <w:pPr>
        <w:rPr>
          <w:rFonts w:asciiTheme="minorHAnsi" w:hAnsiTheme="minorHAnsi"/>
          <w:color w:val="000000"/>
          <w:lang w:val="en-GB"/>
        </w:rPr>
      </w:pPr>
      <w:r w:rsidRPr="000854B6">
        <w:rPr>
          <w:rFonts w:asciiTheme="minorHAnsi" w:hAnsiTheme="minorHAnsi"/>
          <w:color w:val="000000"/>
          <w:lang w:val="en-GB"/>
        </w:rPr>
        <w:t>Adcock</w:t>
      </w:r>
      <w:r>
        <w:rPr>
          <w:rFonts w:asciiTheme="minorHAnsi" w:hAnsiTheme="minorHAnsi"/>
          <w:color w:val="000000"/>
          <w:lang w:val="en-GB"/>
        </w:rPr>
        <w:t>, Alex</w:t>
      </w:r>
      <w:r w:rsidRPr="000854B6">
        <w:rPr>
          <w:rFonts w:asciiTheme="minorHAnsi" w:hAnsiTheme="minorHAnsi"/>
          <w:color w:val="000000"/>
          <w:lang w:val="en-GB"/>
        </w:rPr>
        <w:t xml:space="preserve"> and Wendy Wilson, </w:t>
      </w:r>
      <w:r w:rsidRPr="000854B6">
        <w:rPr>
          <w:rFonts w:asciiTheme="minorHAnsi" w:hAnsiTheme="minorHAnsi"/>
          <w:i/>
          <w:color w:val="000000"/>
          <w:lang w:val="en-GB"/>
        </w:rPr>
        <w:t>Housing Health and Safety Rating System (HHSRS)</w:t>
      </w:r>
      <w:r w:rsidRPr="000854B6">
        <w:rPr>
          <w:rFonts w:asciiTheme="minorHAnsi" w:hAnsiTheme="minorHAnsi"/>
          <w:color w:val="000000"/>
          <w:lang w:val="en-GB"/>
        </w:rPr>
        <w:t xml:space="preserve"> Briefing Paper, No. 01917 (May 2016, House of Commons Library).</w:t>
      </w:r>
    </w:p>
    <w:p w14:paraId="533C24AB" w14:textId="77777777" w:rsidR="000559E9" w:rsidRDefault="000559E9" w:rsidP="000559E9">
      <w:pPr>
        <w:rPr>
          <w:rFonts w:asciiTheme="minorHAnsi" w:hAnsiTheme="minorHAnsi"/>
          <w:color w:val="000000"/>
        </w:rPr>
      </w:pPr>
      <w:r w:rsidRPr="00E82468">
        <w:rPr>
          <w:rFonts w:asciiTheme="minorHAnsi" w:hAnsiTheme="minorHAnsi"/>
          <w:color w:val="000000"/>
        </w:rPr>
        <w:t>Arden</w:t>
      </w:r>
      <w:r>
        <w:rPr>
          <w:rFonts w:asciiTheme="minorHAnsi" w:hAnsiTheme="minorHAnsi"/>
          <w:color w:val="000000"/>
        </w:rPr>
        <w:t>, Andrew</w:t>
      </w:r>
      <w:r w:rsidRPr="00E82468">
        <w:rPr>
          <w:rFonts w:asciiTheme="minorHAnsi" w:hAnsiTheme="minorHAnsi"/>
          <w:color w:val="000000"/>
        </w:rPr>
        <w:t xml:space="preserve">, Martin </w:t>
      </w:r>
      <w:proofErr w:type="spellStart"/>
      <w:r w:rsidRPr="00E82468">
        <w:rPr>
          <w:rFonts w:asciiTheme="minorHAnsi" w:hAnsiTheme="minorHAnsi"/>
          <w:color w:val="000000"/>
        </w:rPr>
        <w:t>Partington</w:t>
      </w:r>
      <w:proofErr w:type="spellEnd"/>
      <w:r w:rsidRPr="00E82468">
        <w:rPr>
          <w:rFonts w:asciiTheme="minorHAnsi" w:hAnsiTheme="minorHAnsi"/>
          <w:color w:val="000000"/>
        </w:rPr>
        <w:t xml:space="preserve"> &amp; Caroline Hunter, </w:t>
      </w:r>
      <w:r w:rsidRPr="00E82468">
        <w:rPr>
          <w:rFonts w:asciiTheme="minorHAnsi" w:hAnsiTheme="minorHAnsi"/>
          <w:i/>
          <w:color w:val="000000"/>
        </w:rPr>
        <w:t xml:space="preserve">Arden &amp; </w:t>
      </w:r>
      <w:proofErr w:type="spellStart"/>
      <w:r w:rsidRPr="00E82468">
        <w:rPr>
          <w:rFonts w:asciiTheme="minorHAnsi" w:hAnsiTheme="minorHAnsi"/>
          <w:i/>
          <w:color w:val="000000"/>
        </w:rPr>
        <w:t>Partington</w:t>
      </w:r>
      <w:proofErr w:type="spellEnd"/>
      <w:r w:rsidRPr="00E82468">
        <w:rPr>
          <w:rFonts w:asciiTheme="minorHAnsi" w:hAnsiTheme="minorHAnsi"/>
          <w:i/>
          <w:color w:val="000000"/>
        </w:rPr>
        <w:t xml:space="preserve"> on Housing Law </w:t>
      </w:r>
      <w:r w:rsidRPr="00E82468">
        <w:rPr>
          <w:rFonts w:asciiTheme="minorHAnsi" w:hAnsiTheme="minorHAnsi"/>
          <w:color w:val="000000"/>
        </w:rPr>
        <w:t>(Loose-leaf: Sweet &amp; Maxwell</w:t>
      </w:r>
      <w:r>
        <w:rPr>
          <w:rFonts w:asciiTheme="minorHAnsi" w:hAnsiTheme="minorHAnsi"/>
          <w:color w:val="000000"/>
        </w:rPr>
        <w:t>)</w:t>
      </w:r>
    </w:p>
    <w:p w14:paraId="45578724" w14:textId="77777777" w:rsidR="000559E9" w:rsidRDefault="000559E9" w:rsidP="000559E9">
      <w:pPr>
        <w:rPr>
          <w:rFonts w:asciiTheme="minorHAnsi" w:hAnsiTheme="minorHAnsi"/>
          <w:color w:val="000000"/>
          <w:lang w:val="en-GB"/>
        </w:rPr>
      </w:pPr>
      <w:r w:rsidRPr="000854B6">
        <w:rPr>
          <w:rFonts w:asciiTheme="minorHAnsi" w:hAnsiTheme="minorHAnsi"/>
          <w:color w:val="000000"/>
        </w:rPr>
        <w:t>Bate</w:t>
      </w:r>
      <w:r>
        <w:rPr>
          <w:rFonts w:asciiTheme="minorHAnsi" w:hAnsiTheme="minorHAnsi"/>
          <w:color w:val="000000"/>
        </w:rPr>
        <w:t>, Alex</w:t>
      </w:r>
      <w:r w:rsidRPr="000854B6">
        <w:rPr>
          <w:rFonts w:asciiTheme="minorHAnsi" w:hAnsiTheme="minorHAnsi"/>
          <w:color w:val="000000"/>
        </w:rPr>
        <w:t xml:space="preserve"> and Alexander Bellis, </w:t>
      </w:r>
      <w:proofErr w:type="gramStart"/>
      <w:r w:rsidRPr="000854B6">
        <w:rPr>
          <w:rFonts w:asciiTheme="minorHAnsi" w:hAnsiTheme="minorHAnsi"/>
          <w:i/>
          <w:color w:val="000000"/>
        </w:rPr>
        <w:t>Right</w:t>
      </w:r>
      <w:proofErr w:type="gramEnd"/>
      <w:r w:rsidRPr="000854B6">
        <w:rPr>
          <w:rFonts w:asciiTheme="minorHAnsi" w:hAnsiTheme="minorHAnsi"/>
          <w:i/>
          <w:color w:val="000000"/>
        </w:rPr>
        <w:t xml:space="preserve"> to Rent: private landlords' duty to carry out immigration status checks </w:t>
      </w:r>
      <w:r w:rsidRPr="000854B6">
        <w:rPr>
          <w:rFonts w:asciiTheme="minorHAnsi" w:hAnsiTheme="minorHAnsi"/>
          <w:color w:val="000000"/>
          <w:lang w:val="en-GB"/>
        </w:rPr>
        <w:t>Briefing Paper, No. 7025 (August 2017, House of Commons Library)</w:t>
      </w:r>
    </w:p>
    <w:p w14:paraId="49E853CF" w14:textId="77777777" w:rsidR="000559E9" w:rsidRDefault="000559E9" w:rsidP="000559E9">
      <w:pPr>
        <w:rPr>
          <w:rFonts w:asciiTheme="minorHAnsi" w:hAnsiTheme="minorHAnsi"/>
          <w:color w:val="000000"/>
          <w:lang w:val="en-GB"/>
        </w:rPr>
      </w:pPr>
      <w:r w:rsidRPr="000854B6">
        <w:rPr>
          <w:rFonts w:asciiTheme="minorHAnsi" w:hAnsiTheme="minorHAnsi"/>
          <w:color w:val="000000"/>
        </w:rPr>
        <w:t>Brickell</w:t>
      </w:r>
      <w:r>
        <w:rPr>
          <w:rFonts w:asciiTheme="minorHAnsi" w:hAnsiTheme="minorHAnsi"/>
          <w:color w:val="000000"/>
        </w:rPr>
        <w:t>, Claire</w:t>
      </w:r>
      <w:r w:rsidRPr="000854B6">
        <w:rPr>
          <w:rFonts w:asciiTheme="minorHAnsi" w:hAnsiTheme="minorHAnsi"/>
          <w:color w:val="000000"/>
        </w:rPr>
        <w:t xml:space="preserve">, Tom </w:t>
      </w:r>
      <w:proofErr w:type="spellStart"/>
      <w:r w:rsidRPr="000854B6">
        <w:rPr>
          <w:rFonts w:asciiTheme="minorHAnsi" w:hAnsiTheme="minorHAnsi"/>
          <w:color w:val="000000"/>
        </w:rPr>
        <w:t>Bucke</w:t>
      </w:r>
      <w:proofErr w:type="spellEnd"/>
      <w:r w:rsidRPr="000854B6">
        <w:rPr>
          <w:rFonts w:asciiTheme="minorHAnsi" w:hAnsiTheme="minorHAnsi"/>
          <w:color w:val="000000"/>
        </w:rPr>
        <w:t xml:space="preserve">, Jonathan </w:t>
      </w:r>
      <w:proofErr w:type="spellStart"/>
      <w:r w:rsidRPr="000854B6">
        <w:rPr>
          <w:rFonts w:asciiTheme="minorHAnsi" w:hAnsiTheme="minorHAnsi"/>
          <w:color w:val="000000"/>
        </w:rPr>
        <w:t>Burchell</w:t>
      </w:r>
      <w:proofErr w:type="spellEnd"/>
      <w:r w:rsidRPr="000854B6">
        <w:rPr>
          <w:rFonts w:asciiTheme="minorHAnsi" w:hAnsiTheme="minorHAnsi"/>
          <w:color w:val="000000"/>
        </w:rPr>
        <w:t xml:space="preserve">, Miriam Davidson, Ewan Kennedy, Rebecca Linley, Andrew </w:t>
      </w:r>
      <w:proofErr w:type="spellStart"/>
      <w:r w:rsidRPr="000854B6">
        <w:rPr>
          <w:rFonts w:asciiTheme="minorHAnsi" w:hAnsiTheme="minorHAnsi"/>
          <w:color w:val="000000"/>
        </w:rPr>
        <w:t>Zurawan</w:t>
      </w:r>
      <w:proofErr w:type="spellEnd"/>
      <w:r w:rsidRPr="000854B6">
        <w:rPr>
          <w:rFonts w:asciiTheme="minorHAnsi" w:hAnsiTheme="minorHAnsi"/>
          <w:color w:val="000000"/>
        </w:rPr>
        <w:t>, ‘Evaluation of the Right to Rent scheme. Full evaluation report of phase one’ (Research Report 83, Migration and Border Analysis, Home Office Science, October 2015)</w:t>
      </w:r>
    </w:p>
    <w:p w14:paraId="70E3FCF8" w14:textId="77777777" w:rsidR="000559E9" w:rsidRDefault="000559E9" w:rsidP="000559E9">
      <w:pPr>
        <w:rPr>
          <w:rFonts w:asciiTheme="minorHAnsi" w:hAnsiTheme="minorHAnsi"/>
          <w:color w:val="000000"/>
          <w:lang w:val="en-GB"/>
        </w:rPr>
      </w:pPr>
      <w:r w:rsidRPr="00E82468">
        <w:rPr>
          <w:rFonts w:asciiTheme="minorHAnsi" w:hAnsiTheme="minorHAnsi"/>
          <w:color w:val="000000"/>
          <w:lang w:val="en-GB"/>
        </w:rPr>
        <w:t>Cowan</w:t>
      </w:r>
      <w:r>
        <w:rPr>
          <w:rFonts w:asciiTheme="minorHAnsi" w:hAnsiTheme="minorHAnsi"/>
          <w:color w:val="000000"/>
          <w:lang w:val="en-GB"/>
        </w:rPr>
        <w:t>, David</w:t>
      </w:r>
      <w:r w:rsidRPr="00E82468">
        <w:rPr>
          <w:rFonts w:asciiTheme="minorHAnsi" w:hAnsiTheme="minorHAnsi"/>
          <w:color w:val="000000"/>
          <w:lang w:val="en-GB"/>
        </w:rPr>
        <w:t xml:space="preserve"> and Caroline Hunter (2012), ‘Yeah but, no but’ – Pinnock and Powell in the Supreme Court. </w:t>
      </w:r>
      <w:r w:rsidRPr="00E82468">
        <w:rPr>
          <w:rFonts w:asciiTheme="minorHAnsi" w:hAnsiTheme="minorHAnsi"/>
          <w:i/>
          <w:color w:val="000000"/>
          <w:lang w:val="en-GB"/>
        </w:rPr>
        <w:t>Mod. L. Rev</w:t>
      </w:r>
      <w:r>
        <w:rPr>
          <w:rFonts w:asciiTheme="minorHAnsi" w:hAnsiTheme="minorHAnsi"/>
          <w:color w:val="000000"/>
          <w:lang w:val="en-GB"/>
        </w:rPr>
        <w:t xml:space="preserve">., 75: 78–91 </w:t>
      </w:r>
    </w:p>
    <w:p w14:paraId="756CAEF3" w14:textId="77777777" w:rsidR="000559E9" w:rsidRDefault="000559E9" w:rsidP="000559E9">
      <w:pPr>
        <w:rPr>
          <w:rFonts w:asciiTheme="minorHAnsi" w:hAnsiTheme="minorHAnsi"/>
          <w:color w:val="000000"/>
        </w:rPr>
      </w:pPr>
      <w:r w:rsidRPr="00E82468">
        <w:rPr>
          <w:rFonts w:asciiTheme="minorHAnsi" w:hAnsiTheme="minorHAnsi"/>
          <w:color w:val="000000"/>
          <w:lang w:val="en-GB"/>
        </w:rPr>
        <w:t>Cowan</w:t>
      </w:r>
      <w:r>
        <w:rPr>
          <w:rFonts w:asciiTheme="minorHAnsi" w:hAnsiTheme="minorHAnsi"/>
          <w:color w:val="000000"/>
          <w:lang w:val="en-GB"/>
        </w:rPr>
        <w:t>, David</w:t>
      </w:r>
      <w:r w:rsidRPr="00E82468">
        <w:rPr>
          <w:rFonts w:asciiTheme="minorHAnsi" w:hAnsiTheme="minorHAnsi"/>
          <w:color w:val="000000"/>
          <w:lang w:val="en-GB"/>
        </w:rPr>
        <w:t xml:space="preserve"> and Caroline Hunter (2012), "Yeah but, no but", or just "no"? Life after Pinnock and Powell, </w:t>
      </w:r>
      <w:r w:rsidRPr="00E82468">
        <w:rPr>
          <w:rFonts w:asciiTheme="minorHAnsi" w:hAnsiTheme="minorHAnsi"/>
          <w:i/>
          <w:color w:val="000000"/>
          <w:lang w:val="en-GB"/>
        </w:rPr>
        <w:t>Journal of Housing Law</w:t>
      </w:r>
      <w:r>
        <w:rPr>
          <w:rFonts w:asciiTheme="minorHAnsi" w:hAnsiTheme="minorHAnsi"/>
          <w:color w:val="000000"/>
          <w:lang w:val="en-GB"/>
        </w:rPr>
        <w:t>, 15(3), 58-62</w:t>
      </w:r>
    </w:p>
    <w:p w14:paraId="6580A007" w14:textId="77777777" w:rsidR="000559E9" w:rsidRDefault="000559E9" w:rsidP="000559E9">
      <w:pPr>
        <w:rPr>
          <w:rFonts w:asciiTheme="minorHAnsi" w:hAnsiTheme="minorHAnsi"/>
          <w:color w:val="000000"/>
          <w:lang w:val="en-GB"/>
        </w:rPr>
      </w:pPr>
      <w:r w:rsidRPr="00E82468">
        <w:rPr>
          <w:rFonts w:asciiTheme="minorHAnsi" w:hAnsiTheme="minorHAnsi"/>
          <w:color w:val="000000"/>
        </w:rPr>
        <w:t>D</w:t>
      </w:r>
      <w:r>
        <w:rPr>
          <w:rFonts w:asciiTheme="minorHAnsi" w:hAnsiTheme="minorHAnsi"/>
          <w:color w:val="000000"/>
        </w:rPr>
        <w:t xml:space="preserve">epartment for </w:t>
      </w:r>
      <w:r w:rsidRPr="00E82468">
        <w:rPr>
          <w:rFonts w:asciiTheme="minorHAnsi" w:hAnsiTheme="minorHAnsi"/>
          <w:color w:val="000000"/>
        </w:rPr>
        <w:t>C</w:t>
      </w:r>
      <w:r>
        <w:rPr>
          <w:rFonts w:asciiTheme="minorHAnsi" w:hAnsiTheme="minorHAnsi"/>
          <w:color w:val="000000"/>
        </w:rPr>
        <w:t xml:space="preserve">ommunities and </w:t>
      </w:r>
      <w:r w:rsidRPr="00E82468">
        <w:rPr>
          <w:rFonts w:asciiTheme="minorHAnsi" w:hAnsiTheme="minorHAnsi"/>
          <w:color w:val="000000"/>
        </w:rPr>
        <w:t>L</w:t>
      </w:r>
      <w:r>
        <w:rPr>
          <w:rFonts w:asciiTheme="minorHAnsi" w:hAnsiTheme="minorHAnsi"/>
          <w:color w:val="000000"/>
        </w:rPr>
        <w:t>ocal Government</w:t>
      </w:r>
      <w:r w:rsidRPr="00E82468">
        <w:rPr>
          <w:rFonts w:asciiTheme="minorHAnsi" w:hAnsiTheme="minorHAnsi"/>
          <w:color w:val="000000"/>
        </w:rPr>
        <w:t xml:space="preserve"> (2010) </w:t>
      </w:r>
      <w:r w:rsidRPr="00E82468">
        <w:rPr>
          <w:rFonts w:asciiTheme="minorHAnsi" w:hAnsiTheme="minorHAnsi"/>
          <w:i/>
          <w:color w:val="000000"/>
        </w:rPr>
        <w:t>Local Decisions: A Fairer Future for Social Housing.</w:t>
      </w:r>
      <w:r w:rsidRPr="00E82468">
        <w:rPr>
          <w:rFonts w:asciiTheme="minorHAnsi" w:hAnsiTheme="minorHAnsi"/>
          <w:color w:val="000000"/>
        </w:rPr>
        <w:t xml:space="preserve"> (London: DCLG)</w:t>
      </w:r>
    </w:p>
    <w:p w14:paraId="12882136" w14:textId="77777777" w:rsidR="000559E9" w:rsidRDefault="000559E9" w:rsidP="000559E9">
      <w:pPr>
        <w:rPr>
          <w:rFonts w:asciiTheme="minorHAnsi" w:hAnsiTheme="minorHAnsi"/>
          <w:color w:val="000000"/>
          <w:lang w:val="en-GB"/>
        </w:rPr>
      </w:pPr>
      <w:r w:rsidRPr="00E82468">
        <w:rPr>
          <w:rFonts w:asciiTheme="minorHAnsi" w:hAnsiTheme="minorHAnsi"/>
          <w:color w:val="000000"/>
        </w:rPr>
        <w:t>D</w:t>
      </w:r>
      <w:r>
        <w:rPr>
          <w:rFonts w:asciiTheme="minorHAnsi" w:hAnsiTheme="minorHAnsi"/>
          <w:color w:val="000000"/>
        </w:rPr>
        <w:t xml:space="preserve">epartment for </w:t>
      </w:r>
      <w:r w:rsidRPr="00E82468">
        <w:rPr>
          <w:rFonts w:asciiTheme="minorHAnsi" w:hAnsiTheme="minorHAnsi"/>
          <w:color w:val="000000"/>
        </w:rPr>
        <w:t>C</w:t>
      </w:r>
      <w:r>
        <w:rPr>
          <w:rFonts w:asciiTheme="minorHAnsi" w:hAnsiTheme="minorHAnsi"/>
          <w:color w:val="000000"/>
        </w:rPr>
        <w:t xml:space="preserve">ommunities and </w:t>
      </w:r>
      <w:r w:rsidRPr="00E82468">
        <w:rPr>
          <w:rFonts w:asciiTheme="minorHAnsi" w:hAnsiTheme="minorHAnsi"/>
          <w:color w:val="000000"/>
        </w:rPr>
        <w:t>L</w:t>
      </w:r>
      <w:r>
        <w:rPr>
          <w:rFonts w:asciiTheme="minorHAnsi" w:hAnsiTheme="minorHAnsi"/>
          <w:color w:val="000000"/>
        </w:rPr>
        <w:t>ocal Government</w:t>
      </w:r>
      <w:r w:rsidRPr="00E82468">
        <w:rPr>
          <w:rFonts w:asciiTheme="minorHAnsi" w:hAnsiTheme="minorHAnsi"/>
          <w:color w:val="000000"/>
          <w:lang w:val="en-GB"/>
        </w:rPr>
        <w:t xml:space="preserve">, </w:t>
      </w:r>
      <w:r w:rsidRPr="00E82468">
        <w:rPr>
          <w:rFonts w:asciiTheme="minorHAnsi" w:hAnsiTheme="minorHAnsi"/>
          <w:i/>
          <w:color w:val="000000"/>
          <w:lang w:val="en-GB"/>
        </w:rPr>
        <w:t xml:space="preserve">Guidance on Rents for Social Housing </w:t>
      </w:r>
      <w:r w:rsidRPr="00E82468">
        <w:rPr>
          <w:rFonts w:asciiTheme="minorHAnsi" w:hAnsiTheme="minorHAnsi"/>
          <w:color w:val="000000"/>
          <w:lang w:val="en-GB"/>
        </w:rPr>
        <w:t xml:space="preserve">(2014) </w:t>
      </w:r>
      <w:hyperlink r:id="rId10" w:history="1">
        <w:r w:rsidRPr="00E82468">
          <w:rPr>
            <w:rStyle w:val="Hyperlink"/>
            <w:rFonts w:asciiTheme="minorHAnsi" w:hAnsiTheme="minorHAnsi"/>
            <w:lang w:val="en-GB"/>
          </w:rPr>
          <w:t>https://www.gov.uk/government/uploads/system/uploads/attachment_data/file/313355/14-05-07_Guidance_on_Rents_for_Social_Housing__Final_.pdf</w:t>
        </w:r>
      </w:hyperlink>
    </w:p>
    <w:p w14:paraId="0B6EC0FA" w14:textId="77777777" w:rsidR="000559E9" w:rsidRDefault="000559E9" w:rsidP="000559E9">
      <w:pPr>
        <w:rPr>
          <w:rFonts w:asciiTheme="minorHAnsi" w:hAnsiTheme="minorHAnsi"/>
          <w:color w:val="000000"/>
        </w:rPr>
      </w:pPr>
      <w:r w:rsidRPr="00E82468">
        <w:rPr>
          <w:rFonts w:asciiTheme="minorHAnsi" w:hAnsiTheme="minorHAnsi"/>
          <w:color w:val="000000"/>
          <w:lang w:val="en-GB"/>
        </w:rPr>
        <w:t xml:space="preserve">English Housing Survey, 2016 - </w:t>
      </w:r>
      <w:hyperlink r:id="rId11" w:history="1">
        <w:r w:rsidRPr="00E82468">
          <w:rPr>
            <w:rStyle w:val="Hyperlink"/>
            <w:rFonts w:asciiTheme="minorHAnsi" w:hAnsiTheme="minorHAnsi"/>
            <w:lang w:val="en-GB"/>
          </w:rPr>
          <w:t>https://www.gov.uk/government/statistics/english-housing-survey-2015-to-2016-headline-report</w:t>
        </w:r>
      </w:hyperlink>
    </w:p>
    <w:p w14:paraId="32EDFEAD" w14:textId="77777777" w:rsidR="000559E9" w:rsidRDefault="000559E9" w:rsidP="000559E9">
      <w:pPr>
        <w:rPr>
          <w:rFonts w:asciiTheme="minorHAnsi" w:hAnsiTheme="minorHAnsi"/>
          <w:color w:val="000000"/>
        </w:rPr>
      </w:pPr>
      <w:r w:rsidRPr="00E82468">
        <w:rPr>
          <w:rFonts w:asciiTheme="minorHAnsi" w:hAnsiTheme="minorHAnsi"/>
          <w:color w:val="000000"/>
        </w:rPr>
        <w:t>Fitzpatrick</w:t>
      </w:r>
      <w:r>
        <w:rPr>
          <w:rFonts w:asciiTheme="minorHAnsi" w:hAnsiTheme="minorHAnsi"/>
          <w:color w:val="000000"/>
        </w:rPr>
        <w:t>, Suzanne</w:t>
      </w:r>
      <w:r w:rsidRPr="00E82468">
        <w:rPr>
          <w:rFonts w:asciiTheme="minorHAnsi" w:hAnsiTheme="minorHAnsi"/>
          <w:color w:val="000000"/>
        </w:rPr>
        <w:t xml:space="preserve"> and Beth Watts (2017) ‘Competing visions: security of tenure and the </w:t>
      </w:r>
      <w:proofErr w:type="spellStart"/>
      <w:r w:rsidRPr="00E82468">
        <w:rPr>
          <w:rFonts w:asciiTheme="minorHAnsi" w:hAnsiTheme="minorHAnsi"/>
          <w:color w:val="000000"/>
        </w:rPr>
        <w:t>welfarisation</w:t>
      </w:r>
      <w:proofErr w:type="spellEnd"/>
      <w:r w:rsidRPr="00E82468">
        <w:rPr>
          <w:rFonts w:asciiTheme="minorHAnsi" w:hAnsiTheme="minorHAnsi"/>
          <w:color w:val="000000"/>
        </w:rPr>
        <w:t xml:space="preserve"> of English social housing’ </w:t>
      </w:r>
      <w:r w:rsidRPr="00E82468">
        <w:rPr>
          <w:rFonts w:asciiTheme="minorHAnsi" w:hAnsiTheme="minorHAnsi"/>
          <w:i/>
          <w:color w:val="000000"/>
        </w:rPr>
        <w:t>Housing Studies</w:t>
      </w:r>
      <w:r w:rsidRPr="00E82468">
        <w:rPr>
          <w:rFonts w:asciiTheme="minorHAnsi" w:hAnsiTheme="minorHAnsi"/>
          <w:color w:val="000000"/>
        </w:rPr>
        <w:t xml:space="preserve"> On-line http://dx.doi.org/10.1080/02673037.2017.1291916</w:t>
      </w:r>
    </w:p>
    <w:p w14:paraId="6F50141A" w14:textId="77777777" w:rsidR="000559E9" w:rsidRPr="00FE3E27" w:rsidRDefault="000559E9" w:rsidP="000559E9">
      <w:pPr>
        <w:rPr>
          <w:rFonts w:asciiTheme="minorHAnsi" w:hAnsiTheme="minorHAnsi"/>
          <w:color w:val="000000"/>
          <w:lang w:val="en-GB"/>
        </w:rPr>
      </w:pPr>
      <w:r w:rsidRPr="00E82468">
        <w:rPr>
          <w:rFonts w:asciiTheme="minorHAnsi" w:hAnsiTheme="minorHAnsi"/>
          <w:color w:val="000000"/>
          <w:lang w:val="en-GB"/>
        </w:rPr>
        <w:t>H</w:t>
      </w:r>
      <w:r>
        <w:rPr>
          <w:rFonts w:asciiTheme="minorHAnsi" w:hAnsiTheme="minorHAnsi"/>
          <w:color w:val="000000"/>
          <w:lang w:val="en-GB"/>
        </w:rPr>
        <w:t xml:space="preserve">omes and </w:t>
      </w:r>
      <w:r w:rsidRPr="00E82468">
        <w:rPr>
          <w:rFonts w:asciiTheme="minorHAnsi" w:hAnsiTheme="minorHAnsi"/>
          <w:color w:val="000000"/>
          <w:lang w:val="en-GB"/>
        </w:rPr>
        <w:t>C</w:t>
      </w:r>
      <w:r>
        <w:rPr>
          <w:rFonts w:asciiTheme="minorHAnsi" w:hAnsiTheme="minorHAnsi"/>
          <w:color w:val="000000"/>
          <w:lang w:val="en-GB"/>
        </w:rPr>
        <w:t xml:space="preserve">ommunities </w:t>
      </w:r>
      <w:r w:rsidRPr="00E82468">
        <w:rPr>
          <w:rFonts w:asciiTheme="minorHAnsi" w:hAnsiTheme="minorHAnsi"/>
          <w:color w:val="000000"/>
          <w:lang w:val="en-GB"/>
        </w:rPr>
        <w:t>A</w:t>
      </w:r>
      <w:r>
        <w:rPr>
          <w:rFonts w:asciiTheme="minorHAnsi" w:hAnsiTheme="minorHAnsi"/>
          <w:color w:val="000000"/>
          <w:lang w:val="en-GB"/>
        </w:rPr>
        <w:t>gency</w:t>
      </w:r>
      <w:r w:rsidRPr="00E82468">
        <w:rPr>
          <w:rFonts w:asciiTheme="minorHAnsi" w:hAnsiTheme="minorHAnsi"/>
          <w:color w:val="000000"/>
          <w:lang w:val="en-GB"/>
        </w:rPr>
        <w:t xml:space="preserve">, </w:t>
      </w:r>
      <w:r w:rsidRPr="00E82468">
        <w:rPr>
          <w:rFonts w:asciiTheme="minorHAnsi" w:hAnsiTheme="minorHAnsi"/>
          <w:i/>
          <w:color w:val="000000"/>
          <w:lang w:val="en-GB"/>
        </w:rPr>
        <w:t xml:space="preserve">Rent Standard Guidance </w:t>
      </w:r>
      <w:r w:rsidRPr="00E82468">
        <w:rPr>
          <w:rFonts w:asciiTheme="minorHAnsi" w:hAnsiTheme="minorHAnsi"/>
          <w:color w:val="000000"/>
          <w:lang w:val="en-GB"/>
        </w:rPr>
        <w:t xml:space="preserve">(2015) </w:t>
      </w:r>
      <w:hyperlink r:id="rId12" w:history="1">
        <w:r w:rsidRPr="00E82468">
          <w:rPr>
            <w:rStyle w:val="Hyperlink"/>
            <w:rFonts w:asciiTheme="minorHAnsi" w:hAnsiTheme="minorHAnsi"/>
            <w:lang w:val="en-GB"/>
          </w:rPr>
          <w:t>https://www.gov.uk/government/publications/rent-standard-guidance</w:t>
        </w:r>
      </w:hyperlink>
    </w:p>
    <w:p w14:paraId="6E2020CE" w14:textId="77777777" w:rsidR="000559E9" w:rsidRDefault="000559E9" w:rsidP="000559E9">
      <w:pPr>
        <w:rPr>
          <w:rFonts w:asciiTheme="minorHAnsi" w:hAnsiTheme="minorHAnsi"/>
          <w:color w:val="000000"/>
        </w:rPr>
      </w:pPr>
      <w:proofErr w:type="spellStart"/>
      <w:r w:rsidRPr="00E82468">
        <w:rPr>
          <w:rFonts w:asciiTheme="minorHAnsi" w:hAnsiTheme="minorHAnsi"/>
          <w:color w:val="000000"/>
        </w:rPr>
        <w:t>Honore</w:t>
      </w:r>
      <w:proofErr w:type="spellEnd"/>
      <w:r>
        <w:rPr>
          <w:rFonts w:asciiTheme="minorHAnsi" w:hAnsiTheme="minorHAnsi"/>
          <w:color w:val="000000"/>
        </w:rPr>
        <w:t>, Anthony</w:t>
      </w:r>
      <w:r w:rsidRPr="00E82468">
        <w:rPr>
          <w:rFonts w:asciiTheme="minorHAnsi" w:hAnsiTheme="minorHAnsi"/>
          <w:color w:val="000000"/>
        </w:rPr>
        <w:t xml:space="preserve">, </w:t>
      </w:r>
      <w:r w:rsidRPr="00E82468">
        <w:rPr>
          <w:rFonts w:asciiTheme="minorHAnsi" w:hAnsiTheme="minorHAnsi"/>
          <w:i/>
          <w:iCs/>
          <w:color w:val="000000"/>
        </w:rPr>
        <w:t>The Quest for Security: Employees, Tenants, Wives</w:t>
      </w:r>
      <w:r w:rsidRPr="00E82468">
        <w:rPr>
          <w:rFonts w:asciiTheme="minorHAnsi" w:hAnsiTheme="minorHAnsi"/>
          <w:color w:val="000000"/>
        </w:rPr>
        <w:t xml:space="preserve"> (Stevens, 1982)</w:t>
      </w:r>
    </w:p>
    <w:p w14:paraId="6197664F" w14:textId="77777777" w:rsidR="000559E9" w:rsidRDefault="000559E9" w:rsidP="000559E9">
      <w:pPr>
        <w:rPr>
          <w:rFonts w:asciiTheme="minorHAnsi" w:hAnsiTheme="minorHAnsi"/>
          <w:color w:val="000000"/>
        </w:rPr>
      </w:pPr>
      <w:r w:rsidRPr="00E82468">
        <w:rPr>
          <w:rFonts w:asciiTheme="minorHAnsi" w:hAnsiTheme="minorHAnsi"/>
          <w:color w:val="000000"/>
          <w:lang w:val="en-GB"/>
        </w:rPr>
        <w:t>Hunter</w:t>
      </w:r>
      <w:r>
        <w:rPr>
          <w:rFonts w:asciiTheme="minorHAnsi" w:hAnsiTheme="minorHAnsi"/>
          <w:color w:val="000000"/>
          <w:lang w:val="en-GB"/>
        </w:rPr>
        <w:t>, Caroline</w:t>
      </w:r>
      <w:r w:rsidRPr="00E82468">
        <w:rPr>
          <w:rFonts w:asciiTheme="minorHAnsi" w:hAnsiTheme="minorHAnsi"/>
          <w:color w:val="000000"/>
          <w:lang w:val="en-GB"/>
        </w:rPr>
        <w:t>, "From landlords to agents of social control” in Flint J., (</w:t>
      </w:r>
      <w:proofErr w:type="spellStart"/>
      <w:r w:rsidRPr="00E82468">
        <w:rPr>
          <w:rFonts w:asciiTheme="minorHAnsi" w:hAnsiTheme="minorHAnsi"/>
          <w:color w:val="000000"/>
          <w:lang w:val="en-GB"/>
        </w:rPr>
        <w:t>ed</w:t>
      </w:r>
      <w:proofErr w:type="spellEnd"/>
      <w:r w:rsidRPr="00E82468">
        <w:rPr>
          <w:rFonts w:asciiTheme="minorHAnsi" w:hAnsiTheme="minorHAnsi"/>
          <w:color w:val="000000"/>
          <w:lang w:val="en-GB"/>
        </w:rPr>
        <w:t xml:space="preserve">) </w:t>
      </w:r>
      <w:r w:rsidRPr="00E82468">
        <w:rPr>
          <w:rFonts w:asciiTheme="minorHAnsi" w:hAnsiTheme="minorHAnsi"/>
          <w:i/>
          <w:color w:val="000000"/>
          <w:lang w:val="en-GB"/>
        </w:rPr>
        <w:t>Housing and Anti-social behaviour: theory, policy and practice</w:t>
      </w:r>
      <w:r w:rsidRPr="00E82468">
        <w:rPr>
          <w:rFonts w:asciiTheme="minorHAnsi" w:hAnsiTheme="minorHAnsi"/>
          <w:color w:val="000000"/>
          <w:lang w:val="en-GB"/>
        </w:rPr>
        <w:t xml:space="preserve"> (2006: Policy Press)</w:t>
      </w:r>
    </w:p>
    <w:p w14:paraId="083CDF10" w14:textId="77777777" w:rsidR="000559E9" w:rsidRDefault="000559E9" w:rsidP="000559E9">
      <w:pPr>
        <w:rPr>
          <w:rFonts w:asciiTheme="minorHAnsi" w:hAnsiTheme="minorHAnsi"/>
          <w:color w:val="000000"/>
        </w:rPr>
      </w:pPr>
      <w:r w:rsidRPr="00E82468">
        <w:rPr>
          <w:rFonts w:asciiTheme="minorHAnsi" w:hAnsiTheme="minorHAnsi"/>
          <w:color w:val="000000"/>
        </w:rPr>
        <w:t>Hunter</w:t>
      </w:r>
      <w:r>
        <w:rPr>
          <w:rFonts w:asciiTheme="minorHAnsi" w:hAnsiTheme="minorHAnsi"/>
          <w:color w:val="000000"/>
        </w:rPr>
        <w:t>, Caroline</w:t>
      </w:r>
      <w:r w:rsidRPr="00E82468">
        <w:rPr>
          <w:rFonts w:asciiTheme="minorHAnsi" w:hAnsiTheme="minorHAnsi"/>
          <w:color w:val="000000"/>
        </w:rPr>
        <w:t xml:space="preserve"> and Jed </w:t>
      </w:r>
      <w:proofErr w:type="spellStart"/>
      <w:r w:rsidRPr="00E82468">
        <w:rPr>
          <w:rFonts w:asciiTheme="minorHAnsi" w:hAnsiTheme="minorHAnsi"/>
          <w:color w:val="000000"/>
        </w:rPr>
        <w:t>Meers</w:t>
      </w:r>
      <w:proofErr w:type="spellEnd"/>
      <w:r w:rsidRPr="00E82468">
        <w:rPr>
          <w:rFonts w:asciiTheme="minorHAnsi" w:hAnsiTheme="minorHAnsi"/>
          <w:color w:val="000000"/>
        </w:rPr>
        <w:t xml:space="preserve">, ‘The “Affordable Alternative to Renting:” Property Guardians and Legal Dimensions of Housing Precariousness’ in Helen </w:t>
      </w:r>
      <w:proofErr w:type="spellStart"/>
      <w:r w:rsidRPr="00E82468">
        <w:rPr>
          <w:rFonts w:asciiTheme="minorHAnsi" w:hAnsiTheme="minorHAnsi"/>
          <w:color w:val="000000"/>
        </w:rPr>
        <w:t>Carr</w:t>
      </w:r>
      <w:proofErr w:type="spellEnd"/>
      <w:r w:rsidRPr="00E82468">
        <w:rPr>
          <w:rFonts w:asciiTheme="minorHAnsi" w:hAnsiTheme="minorHAnsi"/>
          <w:color w:val="000000"/>
        </w:rPr>
        <w:t>, Brendan Edgeworth and Caroline Hunter (</w:t>
      </w:r>
      <w:proofErr w:type="spellStart"/>
      <w:r w:rsidRPr="00E82468">
        <w:rPr>
          <w:rFonts w:asciiTheme="minorHAnsi" w:hAnsiTheme="minorHAnsi"/>
          <w:color w:val="000000"/>
        </w:rPr>
        <w:t>eds</w:t>
      </w:r>
      <w:proofErr w:type="spellEnd"/>
      <w:r w:rsidRPr="00E82468">
        <w:rPr>
          <w:rFonts w:asciiTheme="minorHAnsi" w:hAnsiTheme="minorHAnsi"/>
          <w:color w:val="000000"/>
        </w:rPr>
        <w:t xml:space="preserve">) </w:t>
      </w:r>
      <w:r w:rsidRPr="00E82468">
        <w:rPr>
          <w:rFonts w:asciiTheme="minorHAnsi" w:hAnsiTheme="minorHAnsi"/>
          <w:i/>
          <w:color w:val="000000"/>
        </w:rPr>
        <w:t xml:space="preserve">Law and The Precarious Home: Socio-Legal Perspectives on the Home in Insecure Times </w:t>
      </w:r>
      <w:r w:rsidRPr="00E82468">
        <w:rPr>
          <w:rFonts w:asciiTheme="minorHAnsi" w:hAnsiTheme="minorHAnsi"/>
          <w:color w:val="000000"/>
        </w:rPr>
        <w:t>(2018, Hart)</w:t>
      </w:r>
    </w:p>
    <w:p w14:paraId="22460DAE" w14:textId="77777777" w:rsidR="000559E9" w:rsidRDefault="000559E9" w:rsidP="000559E9">
      <w:pPr>
        <w:rPr>
          <w:rFonts w:asciiTheme="minorHAnsi" w:hAnsiTheme="minorHAnsi"/>
          <w:color w:val="000000"/>
        </w:rPr>
      </w:pPr>
      <w:proofErr w:type="spellStart"/>
      <w:r w:rsidRPr="00E82468">
        <w:rPr>
          <w:rFonts w:asciiTheme="minorHAnsi" w:hAnsiTheme="minorHAnsi"/>
          <w:color w:val="000000"/>
        </w:rPr>
        <w:t>Hulse</w:t>
      </w:r>
      <w:proofErr w:type="spellEnd"/>
      <w:r>
        <w:rPr>
          <w:rFonts w:asciiTheme="minorHAnsi" w:hAnsiTheme="minorHAnsi"/>
          <w:color w:val="000000"/>
        </w:rPr>
        <w:t>, Kath</w:t>
      </w:r>
      <w:r w:rsidRPr="00E82468">
        <w:rPr>
          <w:rFonts w:asciiTheme="minorHAnsi" w:hAnsiTheme="minorHAnsi"/>
          <w:color w:val="000000"/>
        </w:rPr>
        <w:t xml:space="preserve"> and Vivienne Milligan, ‘Secure Occupancy: A New Framework for </w:t>
      </w:r>
      <w:proofErr w:type="spellStart"/>
      <w:r w:rsidRPr="00E82468">
        <w:rPr>
          <w:rFonts w:asciiTheme="minorHAnsi" w:hAnsiTheme="minorHAnsi"/>
          <w:color w:val="000000"/>
        </w:rPr>
        <w:t>Analysing</w:t>
      </w:r>
      <w:proofErr w:type="spellEnd"/>
      <w:r w:rsidRPr="00E82468">
        <w:rPr>
          <w:rFonts w:asciiTheme="minorHAnsi" w:hAnsiTheme="minorHAnsi"/>
          <w:color w:val="000000"/>
        </w:rPr>
        <w:t xml:space="preserve"> Security in Rental Housing’ (2014) 29</w:t>
      </w:r>
      <w:r w:rsidRPr="00E82468">
        <w:rPr>
          <w:rFonts w:asciiTheme="minorHAnsi" w:hAnsiTheme="minorHAnsi"/>
          <w:i/>
          <w:color w:val="000000"/>
        </w:rPr>
        <w:t xml:space="preserve"> Housing Studies </w:t>
      </w:r>
      <w:r w:rsidRPr="00E82468">
        <w:rPr>
          <w:rFonts w:asciiTheme="minorHAnsi" w:hAnsiTheme="minorHAnsi"/>
          <w:color w:val="000000"/>
        </w:rPr>
        <w:t>638</w:t>
      </w:r>
    </w:p>
    <w:p w14:paraId="74878DC5" w14:textId="77777777" w:rsidR="000559E9" w:rsidRDefault="000559E9" w:rsidP="000559E9">
      <w:pPr>
        <w:rPr>
          <w:rFonts w:asciiTheme="minorHAnsi" w:hAnsiTheme="minorHAnsi"/>
          <w:color w:val="000000"/>
        </w:rPr>
      </w:pPr>
      <w:r w:rsidRPr="000854B6">
        <w:rPr>
          <w:rFonts w:asciiTheme="minorHAnsi" w:hAnsiTheme="minorHAnsi"/>
          <w:color w:val="000000"/>
        </w:rPr>
        <w:fldChar w:fldCharType="begin"/>
      </w:r>
      <w:r w:rsidRPr="000854B6">
        <w:rPr>
          <w:rFonts w:asciiTheme="minorHAnsi" w:hAnsiTheme="minorHAnsi"/>
          <w:color w:val="000000"/>
        </w:rPr>
        <w:instrText xml:space="preserve"> ADDIN ZOTERO_ITEM CSL_CITATION {"citationID":"yWGvmnER","properties":{"formattedCitation":"{\\rtf Nicola Kountouris, \\uc0\\u8216{}Legal Determinants of Precariousness in Personal Work Relations: A European Perspective\\uc0\\u8217{} (2013) 34 Comparative Labor Law &amp; Policy Journal 21.}","plainCitation":"Nicola Kountouris, ‘Legal Determinants of Precariousness in Personal Work Relations: A European Perspective’ (2013) 34 Comparative Labor Law &amp; Policy Journal 21."},"citationItems":[{"id":1654,"uris":["http://zotero.org/users/1848022/items/NRVSDPIF"],"uri":["http://zotero.org/users/1848022/items/NRVSDPIF"],"itemData":{"id":1654,"type":"article-journal","title":"Legal Determinants of Precariousness in Personal Work Relations: A European Perspective","container-title":"Comparative Labor Law &amp; Policy Journal","page":"21","volume":"34","issue":"1","author":[{"family":"Kountouris","given":"Nicola"}],"issued":{"date-parts":[["2013"]]}}}],"schema":"https://github.com/citation-style-language/schema/raw/master/csl-citation.json"} </w:instrText>
      </w:r>
      <w:r w:rsidRPr="000854B6">
        <w:rPr>
          <w:rFonts w:asciiTheme="minorHAnsi" w:hAnsiTheme="minorHAnsi"/>
          <w:color w:val="000000"/>
        </w:rPr>
        <w:fldChar w:fldCharType="separate"/>
      </w:r>
      <w:r w:rsidRPr="000854B6">
        <w:rPr>
          <w:rFonts w:asciiTheme="minorHAnsi" w:hAnsiTheme="minorHAnsi"/>
          <w:color w:val="000000"/>
        </w:rPr>
        <w:t>Kountouris</w:t>
      </w:r>
      <w:r>
        <w:rPr>
          <w:rFonts w:asciiTheme="minorHAnsi" w:hAnsiTheme="minorHAnsi"/>
          <w:color w:val="000000"/>
        </w:rPr>
        <w:t>, Nicola</w:t>
      </w:r>
      <w:r w:rsidRPr="000854B6">
        <w:rPr>
          <w:rFonts w:asciiTheme="minorHAnsi" w:hAnsiTheme="minorHAnsi"/>
          <w:color w:val="000000"/>
        </w:rPr>
        <w:t xml:space="preserve">, ‘Legal Determinants of Precariousness in Personal Work Relations: A European Perspective’ (2013) </w:t>
      </w:r>
      <w:r w:rsidRPr="000854B6">
        <w:rPr>
          <w:rFonts w:asciiTheme="minorHAnsi" w:hAnsiTheme="minorHAnsi"/>
          <w:i/>
          <w:color w:val="000000"/>
        </w:rPr>
        <w:t xml:space="preserve">34 Comparative Labor Law &amp; Policy Journal </w:t>
      </w:r>
      <w:r w:rsidRPr="000854B6">
        <w:rPr>
          <w:rFonts w:asciiTheme="minorHAnsi" w:hAnsiTheme="minorHAnsi"/>
          <w:color w:val="000000"/>
        </w:rPr>
        <w:t>21,</w:t>
      </w:r>
      <w:r w:rsidRPr="000854B6">
        <w:rPr>
          <w:rFonts w:asciiTheme="minorHAnsi" w:hAnsiTheme="minorHAnsi"/>
          <w:color w:val="000000"/>
        </w:rPr>
        <w:fldChar w:fldCharType="end"/>
      </w:r>
    </w:p>
    <w:p w14:paraId="0F56BC4D" w14:textId="77777777" w:rsidR="000559E9" w:rsidRDefault="000559E9" w:rsidP="000559E9">
      <w:pPr>
        <w:rPr>
          <w:rFonts w:asciiTheme="minorHAnsi" w:hAnsiTheme="minorHAnsi"/>
          <w:color w:val="000000"/>
        </w:rPr>
      </w:pPr>
      <w:r w:rsidRPr="000854B6">
        <w:rPr>
          <w:rFonts w:asciiTheme="minorHAnsi" w:hAnsiTheme="minorHAnsi"/>
          <w:color w:val="000000"/>
          <w:lang w:val="en-GB"/>
        </w:rPr>
        <w:t xml:space="preserve">Law Commission, </w:t>
      </w:r>
      <w:r w:rsidRPr="000854B6">
        <w:rPr>
          <w:rFonts w:asciiTheme="minorHAnsi" w:hAnsiTheme="minorHAnsi"/>
          <w:i/>
          <w:color w:val="000000"/>
          <w:lang w:val="en-GB"/>
        </w:rPr>
        <w:t xml:space="preserve">Renting Homes: The Final Report Volume 1: Report </w:t>
      </w:r>
      <w:r w:rsidRPr="000854B6">
        <w:rPr>
          <w:rFonts w:asciiTheme="minorHAnsi" w:hAnsiTheme="minorHAnsi"/>
          <w:color w:val="000000"/>
        </w:rPr>
        <w:t>(Law Com No 297, 2006)</w:t>
      </w:r>
    </w:p>
    <w:p w14:paraId="0D8281A9" w14:textId="77777777" w:rsidR="000559E9" w:rsidRDefault="000559E9" w:rsidP="000559E9">
      <w:pPr>
        <w:rPr>
          <w:rFonts w:asciiTheme="minorHAnsi" w:hAnsiTheme="minorHAnsi"/>
          <w:color w:val="000000"/>
        </w:rPr>
      </w:pPr>
      <w:r w:rsidRPr="00E82468">
        <w:rPr>
          <w:rFonts w:asciiTheme="minorHAnsi" w:hAnsiTheme="minorHAnsi"/>
          <w:color w:val="000000"/>
        </w:rPr>
        <w:t>Morgan,</w:t>
      </w:r>
      <w:r>
        <w:rPr>
          <w:rFonts w:asciiTheme="minorHAnsi" w:hAnsiTheme="minorHAnsi"/>
          <w:color w:val="000000"/>
        </w:rPr>
        <w:t xml:space="preserve"> Jill</w:t>
      </w:r>
      <w:r w:rsidRPr="00E82468">
        <w:rPr>
          <w:rFonts w:asciiTheme="minorHAnsi" w:hAnsiTheme="minorHAnsi"/>
          <w:color w:val="000000"/>
        </w:rPr>
        <w:t xml:space="preserve"> (1996), “The </w:t>
      </w:r>
      <w:proofErr w:type="spellStart"/>
      <w:r w:rsidRPr="00E82468">
        <w:rPr>
          <w:rFonts w:asciiTheme="minorHAnsi" w:hAnsiTheme="minorHAnsi"/>
          <w:color w:val="000000"/>
        </w:rPr>
        <w:t>casualisation</w:t>
      </w:r>
      <w:proofErr w:type="spellEnd"/>
      <w:r w:rsidRPr="00E82468">
        <w:rPr>
          <w:rFonts w:asciiTheme="minorHAnsi" w:hAnsiTheme="minorHAnsi"/>
          <w:color w:val="000000"/>
        </w:rPr>
        <w:t xml:space="preserve"> of housing” (1996) 18 </w:t>
      </w:r>
      <w:r w:rsidRPr="00FE3E27">
        <w:rPr>
          <w:rFonts w:asciiTheme="minorHAnsi" w:hAnsiTheme="minorHAnsi"/>
          <w:i/>
          <w:color w:val="000000"/>
        </w:rPr>
        <w:t>Journal of Social Welfare and Family Law</w:t>
      </w:r>
      <w:r w:rsidRPr="00E82468">
        <w:rPr>
          <w:rFonts w:asciiTheme="minorHAnsi" w:hAnsiTheme="minorHAnsi"/>
          <w:color w:val="000000"/>
        </w:rPr>
        <w:t xml:space="preserve"> 445</w:t>
      </w:r>
    </w:p>
    <w:p w14:paraId="62B4DFE6" w14:textId="77777777" w:rsidR="000559E9" w:rsidRDefault="000559E9" w:rsidP="000559E9">
      <w:pPr>
        <w:rPr>
          <w:rFonts w:asciiTheme="minorHAnsi" w:hAnsiTheme="minorHAnsi"/>
          <w:color w:val="000000"/>
        </w:rPr>
      </w:pPr>
      <w:r w:rsidRPr="00E82468">
        <w:rPr>
          <w:rFonts w:asciiTheme="minorHAnsi" w:hAnsiTheme="minorHAnsi"/>
          <w:color w:val="000000"/>
        </w:rPr>
        <w:t>Morgan</w:t>
      </w:r>
      <w:r>
        <w:rPr>
          <w:rFonts w:asciiTheme="minorHAnsi" w:hAnsiTheme="minorHAnsi"/>
          <w:color w:val="000000"/>
        </w:rPr>
        <w:t>, Jill</w:t>
      </w:r>
      <w:r w:rsidRPr="00E82468">
        <w:rPr>
          <w:rFonts w:asciiTheme="minorHAnsi" w:hAnsiTheme="minorHAnsi"/>
          <w:color w:val="000000"/>
        </w:rPr>
        <w:t xml:space="preserve"> “Housing and security in England and Wales: </w:t>
      </w:r>
      <w:proofErr w:type="spellStart"/>
      <w:r w:rsidRPr="00E82468">
        <w:rPr>
          <w:rFonts w:asciiTheme="minorHAnsi" w:hAnsiTheme="minorHAnsi"/>
          <w:color w:val="000000"/>
        </w:rPr>
        <w:t>casualisation</w:t>
      </w:r>
      <w:proofErr w:type="spellEnd"/>
      <w:r w:rsidRPr="00E82468">
        <w:rPr>
          <w:rFonts w:asciiTheme="minorHAnsi" w:hAnsiTheme="minorHAnsi"/>
          <w:color w:val="000000"/>
        </w:rPr>
        <w:t xml:space="preserve"> revisited” (2009) 1 </w:t>
      </w:r>
      <w:r w:rsidRPr="00FE3E27">
        <w:rPr>
          <w:rFonts w:asciiTheme="minorHAnsi" w:hAnsiTheme="minorHAnsi"/>
          <w:i/>
          <w:color w:val="000000"/>
        </w:rPr>
        <w:t>International Journal of Law in the Built Environment</w:t>
      </w:r>
      <w:r w:rsidRPr="00E82468">
        <w:rPr>
          <w:rFonts w:asciiTheme="minorHAnsi" w:hAnsiTheme="minorHAnsi"/>
          <w:color w:val="000000"/>
        </w:rPr>
        <w:t xml:space="preserve"> 42</w:t>
      </w:r>
    </w:p>
    <w:p w14:paraId="4FFE5A8A" w14:textId="77777777" w:rsidR="000559E9" w:rsidRDefault="000559E9" w:rsidP="000559E9">
      <w:pPr>
        <w:rPr>
          <w:rFonts w:asciiTheme="minorHAnsi" w:hAnsiTheme="minorHAnsi"/>
          <w:color w:val="000000"/>
        </w:rPr>
      </w:pPr>
      <w:r w:rsidRPr="00E82468">
        <w:rPr>
          <w:rFonts w:asciiTheme="minorHAnsi" w:hAnsiTheme="minorHAnsi"/>
          <w:color w:val="000000"/>
        </w:rPr>
        <w:t xml:space="preserve">Office of Fair Trading, </w:t>
      </w:r>
      <w:r w:rsidRPr="00E82468">
        <w:rPr>
          <w:rFonts w:asciiTheme="minorHAnsi" w:hAnsiTheme="minorHAnsi"/>
          <w:i/>
          <w:color w:val="000000"/>
        </w:rPr>
        <w:t xml:space="preserve">Guidance on unfair terms in tenancy agreements </w:t>
      </w:r>
      <w:r w:rsidRPr="00E82468">
        <w:rPr>
          <w:rFonts w:asciiTheme="minorHAnsi" w:hAnsiTheme="minorHAnsi"/>
          <w:color w:val="000000"/>
        </w:rPr>
        <w:t>(September, 2005),</w:t>
      </w:r>
    </w:p>
    <w:p w14:paraId="6BE42DC2" w14:textId="77777777" w:rsidR="000559E9" w:rsidRDefault="000559E9" w:rsidP="000559E9">
      <w:pPr>
        <w:rPr>
          <w:rFonts w:asciiTheme="minorHAnsi" w:hAnsiTheme="minorHAnsi"/>
          <w:color w:val="000000"/>
        </w:rPr>
      </w:pPr>
      <w:proofErr w:type="spellStart"/>
      <w:r w:rsidRPr="000854B6">
        <w:rPr>
          <w:rFonts w:asciiTheme="minorHAnsi" w:hAnsiTheme="minorHAnsi"/>
          <w:color w:val="000000"/>
        </w:rPr>
        <w:lastRenderedPageBreak/>
        <w:t>Partington</w:t>
      </w:r>
      <w:proofErr w:type="spellEnd"/>
      <w:r w:rsidRPr="000854B6">
        <w:rPr>
          <w:rFonts w:asciiTheme="minorHAnsi" w:hAnsiTheme="minorHAnsi"/>
          <w:color w:val="000000"/>
        </w:rPr>
        <w:t>,</w:t>
      </w:r>
      <w:r>
        <w:rPr>
          <w:rFonts w:asciiTheme="minorHAnsi" w:hAnsiTheme="minorHAnsi"/>
          <w:color w:val="000000"/>
        </w:rPr>
        <w:t xml:space="preserve"> Martin</w:t>
      </w:r>
      <w:r w:rsidRPr="000854B6">
        <w:rPr>
          <w:rFonts w:asciiTheme="minorHAnsi" w:hAnsiTheme="minorHAnsi"/>
          <w:color w:val="000000"/>
        </w:rPr>
        <w:t xml:space="preserve"> ‘Wales’ Housing Law (R)evolution: An Overview Part 2’ (2016) </w:t>
      </w:r>
      <w:r w:rsidRPr="000854B6">
        <w:rPr>
          <w:rFonts w:asciiTheme="minorHAnsi" w:hAnsiTheme="minorHAnsi"/>
          <w:i/>
          <w:color w:val="000000"/>
        </w:rPr>
        <w:t xml:space="preserve">Journal of Housing Law </w:t>
      </w:r>
      <w:r w:rsidRPr="000854B6">
        <w:rPr>
          <w:rFonts w:asciiTheme="minorHAnsi" w:hAnsiTheme="minorHAnsi"/>
          <w:color w:val="000000"/>
        </w:rPr>
        <w:t>19(3), 45</w:t>
      </w:r>
    </w:p>
    <w:p w14:paraId="2BBC4C36" w14:textId="77777777" w:rsidR="000559E9" w:rsidRDefault="000559E9" w:rsidP="000559E9">
      <w:pPr>
        <w:rPr>
          <w:rFonts w:asciiTheme="minorHAnsi" w:hAnsiTheme="minorHAnsi"/>
          <w:color w:val="000000"/>
        </w:rPr>
      </w:pPr>
      <w:r w:rsidRPr="000854B6">
        <w:rPr>
          <w:rFonts w:asciiTheme="minorHAnsi" w:hAnsiTheme="minorHAnsi"/>
          <w:color w:val="000000"/>
        </w:rPr>
        <w:t>Robinson</w:t>
      </w:r>
      <w:r>
        <w:rPr>
          <w:rFonts w:asciiTheme="minorHAnsi" w:hAnsiTheme="minorHAnsi"/>
          <w:color w:val="000000"/>
        </w:rPr>
        <w:t>, David</w:t>
      </w:r>
      <w:r w:rsidRPr="000854B6">
        <w:rPr>
          <w:rFonts w:asciiTheme="minorHAnsi" w:hAnsiTheme="minorHAnsi"/>
          <w:color w:val="000000"/>
        </w:rPr>
        <w:t xml:space="preserve"> “New immigrants and migrants in social housing in Britain: discursive themes and lived realities” (2010) 38 </w:t>
      </w:r>
      <w:r w:rsidRPr="000854B6">
        <w:rPr>
          <w:rFonts w:asciiTheme="minorHAnsi" w:hAnsiTheme="minorHAnsi"/>
          <w:i/>
          <w:color w:val="000000"/>
        </w:rPr>
        <w:t>Policy &amp; Politics</w:t>
      </w:r>
      <w:r w:rsidRPr="000854B6">
        <w:rPr>
          <w:rFonts w:asciiTheme="minorHAnsi" w:hAnsiTheme="minorHAnsi"/>
          <w:color w:val="000000"/>
        </w:rPr>
        <w:t xml:space="preserve"> 57</w:t>
      </w:r>
    </w:p>
    <w:p w14:paraId="71C47A46" w14:textId="77777777" w:rsidR="000559E9" w:rsidRDefault="000559E9" w:rsidP="000559E9">
      <w:pPr>
        <w:rPr>
          <w:rFonts w:asciiTheme="minorHAnsi" w:hAnsiTheme="minorHAnsi"/>
          <w:color w:val="000000"/>
        </w:rPr>
      </w:pPr>
      <w:proofErr w:type="spellStart"/>
      <w:r>
        <w:rPr>
          <w:rFonts w:asciiTheme="minorHAnsi" w:hAnsiTheme="minorHAnsi"/>
          <w:color w:val="000000"/>
        </w:rPr>
        <w:t>Rugg</w:t>
      </w:r>
      <w:proofErr w:type="spellEnd"/>
      <w:r>
        <w:rPr>
          <w:rFonts w:asciiTheme="minorHAnsi" w:hAnsiTheme="minorHAnsi"/>
          <w:color w:val="000000"/>
        </w:rPr>
        <w:t xml:space="preserve">, Julie and David Rhodes, </w:t>
      </w:r>
      <w:r w:rsidRPr="00E82468">
        <w:rPr>
          <w:rFonts w:asciiTheme="minorHAnsi" w:hAnsiTheme="minorHAnsi"/>
          <w:i/>
          <w:color w:val="000000"/>
        </w:rPr>
        <w:t>The Private Rented Sector: Its Contribution and Potential</w:t>
      </w:r>
      <w:r>
        <w:rPr>
          <w:rFonts w:asciiTheme="minorHAnsi" w:hAnsiTheme="minorHAnsi"/>
          <w:color w:val="000000"/>
        </w:rPr>
        <w:t xml:space="preserve"> </w:t>
      </w:r>
      <w:r w:rsidRPr="00E82468">
        <w:rPr>
          <w:rFonts w:asciiTheme="minorHAnsi" w:hAnsiTheme="minorHAnsi"/>
          <w:color w:val="000000"/>
        </w:rPr>
        <w:t>(Centre for Housing Policy</w:t>
      </w:r>
      <w:r>
        <w:rPr>
          <w:rFonts w:asciiTheme="minorHAnsi" w:hAnsiTheme="minorHAnsi"/>
          <w:color w:val="000000"/>
        </w:rPr>
        <w:t>,</w:t>
      </w:r>
      <w:r w:rsidRPr="00E82468">
        <w:rPr>
          <w:rFonts w:asciiTheme="minorHAnsi" w:hAnsiTheme="minorHAnsi"/>
          <w:color w:val="000000"/>
        </w:rPr>
        <w:t xml:space="preserve"> 2008)</w:t>
      </w:r>
    </w:p>
    <w:p w14:paraId="1993B449" w14:textId="77777777" w:rsidR="000559E9" w:rsidRDefault="000559E9" w:rsidP="000559E9">
      <w:pPr>
        <w:rPr>
          <w:rFonts w:asciiTheme="minorHAnsi" w:hAnsiTheme="minorHAnsi"/>
          <w:color w:val="000000"/>
        </w:rPr>
      </w:pPr>
      <w:r w:rsidRPr="00E82468">
        <w:rPr>
          <w:rFonts w:asciiTheme="minorHAnsi" w:hAnsiTheme="minorHAnsi"/>
          <w:color w:val="000000"/>
          <w:lang w:val="en-GB"/>
        </w:rPr>
        <w:t xml:space="preserve">Shelter, </w:t>
      </w:r>
      <w:r w:rsidRPr="00E82468">
        <w:rPr>
          <w:rFonts w:asciiTheme="minorHAnsi" w:hAnsiTheme="minorHAnsi"/>
          <w:i/>
          <w:color w:val="000000"/>
          <w:lang w:val="en-GB"/>
        </w:rPr>
        <w:t xml:space="preserve">Happier and healthier: improving conditions in the private rented sector </w:t>
      </w:r>
      <w:r w:rsidRPr="00E82468">
        <w:rPr>
          <w:rFonts w:asciiTheme="minorHAnsi" w:hAnsiTheme="minorHAnsi"/>
          <w:color w:val="000000"/>
          <w:lang w:val="en-GB"/>
        </w:rPr>
        <w:t xml:space="preserve">(2017) </w:t>
      </w:r>
      <w:hyperlink r:id="rId13" w:history="1">
        <w:r w:rsidRPr="00E82468">
          <w:rPr>
            <w:rStyle w:val="Hyperlink"/>
            <w:rFonts w:asciiTheme="minorHAnsi" w:hAnsiTheme="minorHAnsi"/>
            <w:lang w:val="en-GB"/>
          </w:rPr>
          <w:t>http://england.shelter.org.uk/professional_resources/policy_and_research/policy_library/policy_library_folder/briefing_happier_and_healthier_improving_conditions_in_the_prs</w:t>
        </w:r>
      </w:hyperlink>
    </w:p>
    <w:p w14:paraId="52781AE0" w14:textId="77777777" w:rsidR="000559E9" w:rsidRDefault="000559E9" w:rsidP="000559E9">
      <w:pPr>
        <w:rPr>
          <w:rFonts w:asciiTheme="minorHAnsi" w:hAnsiTheme="minorHAnsi"/>
          <w:color w:val="000000"/>
        </w:rPr>
      </w:pPr>
      <w:r w:rsidRPr="00E82468">
        <w:rPr>
          <w:rFonts w:asciiTheme="minorHAnsi" w:hAnsiTheme="minorHAnsi"/>
          <w:color w:val="000000"/>
        </w:rPr>
        <w:t>Whitehead</w:t>
      </w:r>
      <w:r>
        <w:rPr>
          <w:rFonts w:asciiTheme="minorHAnsi" w:hAnsiTheme="minorHAnsi"/>
          <w:color w:val="000000"/>
        </w:rPr>
        <w:t>, Christine</w:t>
      </w:r>
      <w:r w:rsidRPr="00E82468">
        <w:rPr>
          <w:rFonts w:asciiTheme="minorHAnsi" w:hAnsiTheme="minorHAnsi"/>
          <w:color w:val="000000"/>
        </w:rPr>
        <w:t>, ‘Social Housing in England’ in Christine Whitehead (</w:t>
      </w:r>
      <w:proofErr w:type="spellStart"/>
      <w:r w:rsidRPr="00E82468">
        <w:rPr>
          <w:rFonts w:asciiTheme="minorHAnsi" w:hAnsiTheme="minorHAnsi"/>
          <w:color w:val="000000"/>
        </w:rPr>
        <w:t>ed</w:t>
      </w:r>
      <w:proofErr w:type="spellEnd"/>
      <w:r w:rsidRPr="00E82468">
        <w:rPr>
          <w:rFonts w:asciiTheme="minorHAnsi" w:hAnsiTheme="minorHAnsi"/>
          <w:color w:val="000000"/>
        </w:rPr>
        <w:t xml:space="preserve">), </w:t>
      </w:r>
      <w:r w:rsidRPr="00E82468">
        <w:rPr>
          <w:rFonts w:asciiTheme="minorHAnsi" w:hAnsiTheme="minorHAnsi"/>
          <w:i/>
          <w:iCs/>
          <w:color w:val="000000"/>
        </w:rPr>
        <w:t>Social Housing in Europe</w:t>
      </w:r>
      <w:r w:rsidRPr="00E82468">
        <w:rPr>
          <w:rFonts w:asciiTheme="minorHAnsi" w:hAnsiTheme="minorHAnsi"/>
          <w:color w:val="000000"/>
        </w:rPr>
        <w:t xml:space="preserve"> (</w:t>
      </w:r>
      <w:r>
        <w:rPr>
          <w:rFonts w:asciiTheme="minorHAnsi" w:hAnsiTheme="minorHAnsi"/>
          <w:color w:val="000000"/>
        </w:rPr>
        <w:t xml:space="preserve">2014; </w:t>
      </w:r>
      <w:r w:rsidRPr="00E82468">
        <w:rPr>
          <w:rFonts w:asciiTheme="minorHAnsi" w:hAnsiTheme="minorHAnsi"/>
          <w:color w:val="000000"/>
        </w:rPr>
        <w:t>Wiley)</w:t>
      </w:r>
    </w:p>
    <w:p w14:paraId="64ABF2B7" w14:textId="77777777" w:rsidR="000559E9" w:rsidRDefault="000559E9" w:rsidP="000559E9">
      <w:pPr>
        <w:rPr>
          <w:rFonts w:asciiTheme="minorHAnsi" w:hAnsiTheme="minorHAnsi"/>
          <w:color w:val="000000"/>
          <w:lang w:val="en-GB"/>
        </w:rPr>
      </w:pPr>
      <w:r w:rsidRPr="00E82468">
        <w:rPr>
          <w:rFonts w:asciiTheme="minorHAnsi" w:hAnsiTheme="minorHAnsi"/>
          <w:color w:val="000000"/>
          <w:lang w:val="en-GB"/>
        </w:rPr>
        <w:t>Wilson,</w:t>
      </w:r>
      <w:r>
        <w:rPr>
          <w:rFonts w:asciiTheme="minorHAnsi" w:hAnsiTheme="minorHAnsi"/>
          <w:color w:val="000000"/>
          <w:lang w:val="en-GB"/>
        </w:rPr>
        <w:t xml:space="preserve"> Wendy</w:t>
      </w:r>
      <w:r w:rsidRPr="00E82468">
        <w:rPr>
          <w:rFonts w:asciiTheme="minorHAnsi" w:hAnsiTheme="minorHAnsi"/>
          <w:color w:val="000000"/>
          <w:lang w:val="en-GB"/>
        </w:rPr>
        <w:t xml:space="preserve"> </w:t>
      </w:r>
      <w:r w:rsidRPr="00E82468">
        <w:rPr>
          <w:rFonts w:asciiTheme="minorHAnsi" w:hAnsiTheme="minorHAnsi"/>
          <w:i/>
          <w:color w:val="000000"/>
          <w:lang w:val="en-GB"/>
        </w:rPr>
        <w:t xml:space="preserve">Tenancy deposit schemes </w:t>
      </w:r>
      <w:r w:rsidRPr="00E82468">
        <w:rPr>
          <w:rFonts w:asciiTheme="minorHAnsi" w:hAnsiTheme="minorHAnsi"/>
          <w:color w:val="000000"/>
          <w:lang w:val="en-GB"/>
        </w:rPr>
        <w:t>Briefing Paper, No. 2121 (August 2017, House of Commons Library)</w:t>
      </w:r>
    </w:p>
    <w:p w14:paraId="338B5389" w14:textId="77777777" w:rsidR="000559E9" w:rsidRDefault="000559E9" w:rsidP="000559E9">
      <w:pPr>
        <w:rPr>
          <w:rFonts w:asciiTheme="minorHAnsi" w:hAnsiTheme="minorHAnsi"/>
          <w:color w:val="000000"/>
        </w:rPr>
      </w:pPr>
      <w:r w:rsidRPr="000854B6">
        <w:rPr>
          <w:rFonts w:asciiTheme="minorHAnsi" w:hAnsiTheme="minorHAnsi"/>
          <w:color w:val="000000"/>
          <w:lang w:val="en-GB"/>
        </w:rPr>
        <w:t>Wilson,</w:t>
      </w:r>
      <w:r>
        <w:rPr>
          <w:rFonts w:asciiTheme="minorHAnsi" w:hAnsiTheme="minorHAnsi"/>
          <w:color w:val="000000"/>
          <w:lang w:val="en-GB"/>
        </w:rPr>
        <w:t xml:space="preserve"> Wendy</w:t>
      </w:r>
      <w:r w:rsidRPr="000854B6">
        <w:rPr>
          <w:rFonts w:asciiTheme="minorHAnsi" w:hAnsiTheme="minorHAnsi"/>
          <w:color w:val="000000"/>
          <w:lang w:val="en-GB"/>
        </w:rPr>
        <w:t xml:space="preserve"> </w:t>
      </w:r>
      <w:r w:rsidRPr="000854B6">
        <w:rPr>
          <w:rFonts w:asciiTheme="minorHAnsi" w:hAnsiTheme="minorHAnsi"/>
          <w:i/>
          <w:color w:val="000000"/>
        </w:rPr>
        <w:t xml:space="preserve">Selective licensing of private rented housing in England and Wales </w:t>
      </w:r>
      <w:r w:rsidRPr="000854B6">
        <w:rPr>
          <w:rFonts w:asciiTheme="minorHAnsi" w:hAnsiTheme="minorHAnsi"/>
          <w:color w:val="000000"/>
          <w:lang w:val="en-GB"/>
        </w:rPr>
        <w:t>Briefing Paper, No. 4634 (June 2017, House of Commons Library).</w:t>
      </w:r>
    </w:p>
    <w:p w14:paraId="03108EAF" w14:textId="77777777" w:rsidR="000559E9" w:rsidRDefault="000559E9" w:rsidP="000559E9">
      <w:pPr>
        <w:rPr>
          <w:rFonts w:asciiTheme="minorHAnsi" w:hAnsiTheme="minorHAnsi"/>
          <w:color w:val="000000"/>
        </w:rPr>
      </w:pPr>
    </w:p>
    <w:p w14:paraId="2D3E6FDF" w14:textId="77777777" w:rsidR="000559E9" w:rsidRPr="00FE3E27" w:rsidRDefault="000559E9" w:rsidP="000559E9">
      <w:pPr>
        <w:rPr>
          <w:rFonts w:asciiTheme="minorHAnsi" w:hAnsiTheme="minorHAnsi"/>
          <w:b/>
          <w:color w:val="000000"/>
        </w:rPr>
      </w:pPr>
      <w:r w:rsidRPr="00FE3E27">
        <w:rPr>
          <w:rFonts w:asciiTheme="minorHAnsi" w:hAnsiTheme="minorHAnsi"/>
          <w:b/>
          <w:color w:val="000000"/>
        </w:rPr>
        <w:t>Case references</w:t>
      </w:r>
    </w:p>
    <w:p w14:paraId="4F567C81" w14:textId="77777777" w:rsidR="000559E9" w:rsidRPr="000559E9" w:rsidRDefault="000559E9" w:rsidP="000559E9">
      <w:pPr>
        <w:rPr>
          <w:rFonts w:asciiTheme="minorHAnsi" w:hAnsiTheme="minorHAnsi"/>
          <w:i/>
        </w:rPr>
      </w:pPr>
      <w:r w:rsidRPr="000559E9">
        <w:rPr>
          <w:rFonts w:asciiTheme="minorHAnsi" w:hAnsiTheme="minorHAnsi"/>
          <w:i/>
          <w:lang w:val="en-GB"/>
        </w:rPr>
        <w:t xml:space="preserve">Metropolitan Property Holding v </w:t>
      </w:r>
      <w:proofErr w:type="spellStart"/>
      <w:r w:rsidRPr="000559E9">
        <w:rPr>
          <w:rFonts w:asciiTheme="minorHAnsi" w:hAnsiTheme="minorHAnsi"/>
          <w:i/>
          <w:lang w:val="en-GB"/>
        </w:rPr>
        <w:t>Finegold</w:t>
      </w:r>
      <w:proofErr w:type="spellEnd"/>
      <w:r w:rsidRPr="000559E9">
        <w:rPr>
          <w:rFonts w:asciiTheme="minorHAnsi" w:hAnsiTheme="minorHAnsi"/>
          <w:i/>
          <w:lang w:val="en-GB"/>
        </w:rPr>
        <w:t xml:space="preserve"> </w:t>
      </w:r>
      <w:r w:rsidRPr="000559E9">
        <w:rPr>
          <w:rFonts w:asciiTheme="minorHAnsi" w:hAnsiTheme="minorHAnsi"/>
          <w:lang w:val="en-GB"/>
        </w:rPr>
        <w:t>[1975] 1 WLR 349</w:t>
      </w:r>
    </w:p>
    <w:p w14:paraId="43F33E13" w14:textId="77777777" w:rsidR="000559E9" w:rsidRPr="000559E9" w:rsidRDefault="000559E9" w:rsidP="000559E9">
      <w:pPr>
        <w:rPr>
          <w:rFonts w:asciiTheme="minorHAnsi" w:hAnsiTheme="minorHAnsi"/>
        </w:rPr>
      </w:pPr>
      <w:r w:rsidRPr="000559E9">
        <w:rPr>
          <w:rFonts w:asciiTheme="minorHAnsi" w:hAnsiTheme="minorHAnsi"/>
          <w:i/>
          <w:lang w:val="en-GB"/>
        </w:rPr>
        <w:t xml:space="preserve">R v Cardiff CC Ex </w:t>
      </w:r>
      <w:proofErr w:type="gramStart"/>
      <w:r w:rsidRPr="000559E9">
        <w:rPr>
          <w:rFonts w:asciiTheme="minorHAnsi" w:hAnsiTheme="minorHAnsi"/>
          <w:i/>
          <w:lang w:val="en-GB"/>
        </w:rPr>
        <w:t>p</w:t>
      </w:r>
      <w:proofErr w:type="gramEnd"/>
      <w:r w:rsidRPr="000559E9">
        <w:rPr>
          <w:rFonts w:asciiTheme="minorHAnsi" w:hAnsiTheme="minorHAnsi"/>
          <w:i/>
          <w:lang w:val="en-GB"/>
        </w:rPr>
        <w:t xml:space="preserve"> Cross </w:t>
      </w:r>
      <w:r w:rsidRPr="000559E9">
        <w:rPr>
          <w:rFonts w:asciiTheme="minorHAnsi" w:hAnsiTheme="minorHAnsi"/>
          <w:lang w:val="en-GB"/>
        </w:rPr>
        <w:t>(1982) 6 HLR 1, CA</w:t>
      </w:r>
    </w:p>
    <w:p w14:paraId="65A1373E" w14:textId="77777777" w:rsidR="000559E9" w:rsidRPr="000559E9" w:rsidRDefault="000559E9" w:rsidP="000559E9">
      <w:pPr>
        <w:rPr>
          <w:rFonts w:asciiTheme="minorHAnsi" w:hAnsiTheme="minorHAnsi"/>
          <w:i/>
        </w:rPr>
      </w:pPr>
      <w:proofErr w:type="spellStart"/>
      <w:r w:rsidRPr="000559E9">
        <w:rPr>
          <w:rFonts w:asciiTheme="minorHAnsi" w:hAnsiTheme="minorHAnsi"/>
          <w:i/>
          <w:lang w:val="en-GB"/>
        </w:rPr>
        <w:t>McGreal</w:t>
      </w:r>
      <w:proofErr w:type="spellEnd"/>
      <w:r w:rsidRPr="000559E9">
        <w:rPr>
          <w:rFonts w:asciiTheme="minorHAnsi" w:hAnsiTheme="minorHAnsi"/>
          <w:i/>
          <w:lang w:val="en-GB"/>
        </w:rPr>
        <w:t xml:space="preserve"> v Wake </w:t>
      </w:r>
      <w:r w:rsidRPr="000559E9">
        <w:rPr>
          <w:rFonts w:asciiTheme="minorHAnsi" w:hAnsiTheme="minorHAnsi"/>
          <w:lang w:val="en-GB"/>
        </w:rPr>
        <w:t>(1984) 13 HLR 107, CA</w:t>
      </w:r>
      <w:r w:rsidRPr="000559E9">
        <w:rPr>
          <w:rFonts w:asciiTheme="minorHAnsi" w:hAnsiTheme="minorHAnsi"/>
          <w:i/>
        </w:rPr>
        <w:t xml:space="preserve"> </w:t>
      </w:r>
    </w:p>
    <w:p w14:paraId="74D12547" w14:textId="77777777" w:rsidR="000559E9" w:rsidRPr="000559E9" w:rsidRDefault="000559E9" w:rsidP="000559E9">
      <w:pPr>
        <w:rPr>
          <w:rFonts w:asciiTheme="minorHAnsi" w:hAnsiTheme="minorHAnsi"/>
        </w:rPr>
      </w:pPr>
      <w:r w:rsidRPr="000559E9">
        <w:rPr>
          <w:rFonts w:asciiTheme="minorHAnsi" w:hAnsiTheme="minorHAnsi"/>
          <w:i/>
        </w:rPr>
        <w:t xml:space="preserve">Street v </w:t>
      </w:r>
      <w:proofErr w:type="spellStart"/>
      <w:r w:rsidRPr="000559E9">
        <w:rPr>
          <w:rFonts w:asciiTheme="minorHAnsi" w:hAnsiTheme="minorHAnsi"/>
          <w:i/>
        </w:rPr>
        <w:t>Mountford</w:t>
      </w:r>
      <w:proofErr w:type="spellEnd"/>
      <w:r w:rsidRPr="000559E9">
        <w:rPr>
          <w:rFonts w:asciiTheme="minorHAnsi" w:hAnsiTheme="minorHAnsi"/>
          <w:i/>
        </w:rPr>
        <w:t xml:space="preserve"> </w:t>
      </w:r>
      <w:r w:rsidRPr="000559E9">
        <w:rPr>
          <w:rFonts w:asciiTheme="minorHAnsi" w:hAnsiTheme="minorHAnsi"/>
        </w:rPr>
        <w:t>[1985] AC 809, HL.</w:t>
      </w:r>
    </w:p>
    <w:p w14:paraId="16901A3E" w14:textId="77777777" w:rsidR="000559E9" w:rsidRPr="000559E9" w:rsidRDefault="000559E9" w:rsidP="000559E9">
      <w:pPr>
        <w:rPr>
          <w:rFonts w:asciiTheme="minorHAnsi" w:hAnsiTheme="minorHAnsi"/>
        </w:rPr>
      </w:pPr>
      <w:r w:rsidRPr="000559E9">
        <w:rPr>
          <w:rFonts w:asciiTheme="minorHAnsi" w:hAnsiTheme="minorHAnsi"/>
          <w:i/>
          <w:lang w:val="en-GB"/>
        </w:rPr>
        <w:t>Quick v Taff BC</w:t>
      </w:r>
      <w:r w:rsidRPr="000559E9">
        <w:rPr>
          <w:rFonts w:asciiTheme="minorHAnsi" w:hAnsiTheme="minorHAnsi"/>
        </w:rPr>
        <w:t xml:space="preserve"> [1986] QB 809, CA</w:t>
      </w:r>
    </w:p>
    <w:p w14:paraId="314B8355" w14:textId="77777777" w:rsidR="000559E9" w:rsidRPr="000559E9" w:rsidRDefault="000559E9" w:rsidP="000559E9">
      <w:pPr>
        <w:rPr>
          <w:rFonts w:asciiTheme="minorHAnsi" w:hAnsiTheme="minorHAnsi"/>
        </w:rPr>
      </w:pPr>
      <w:r w:rsidRPr="000559E9">
        <w:rPr>
          <w:rFonts w:asciiTheme="minorHAnsi" w:hAnsiTheme="minorHAnsi"/>
          <w:i/>
        </w:rPr>
        <w:t xml:space="preserve">AG Securities v. Vaughan; </w:t>
      </w:r>
      <w:proofErr w:type="spellStart"/>
      <w:r w:rsidRPr="000559E9">
        <w:rPr>
          <w:rFonts w:asciiTheme="minorHAnsi" w:hAnsiTheme="minorHAnsi"/>
          <w:i/>
        </w:rPr>
        <w:t>Antoniades</w:t>
      </w:r>
      <w:proofErr w:type="spellEnd"/>
      <w:r w:rsidRPr="000559E9">
        <w:rPr>
          <w:rFonts w:asciiTheme="minorHAnsi" w:hAnsiTheme="minorHAnsi"/>
          <w:i/>
        </w:rPr>
        <w:t xml:space="preserve"> v Villiers</w:t>
      </w:r>
      <w:r w:rsidRPr="000559E9">
        <w:rPr>
          <w:rFonts w:asciiTheme="minorHAnsi" w:hAnsiTheme="minorHAnsi"/>
        </w:rPr>
        <w:t xml:space="preserve"> [1990] 1 AC 417, HL</w:t>
      </w:r>
    </w:p>
    <w:p w14:paraId="38FA204E" w14:textId="77777777" w:rsidR="000559E9" w:rsidRPr="000559E9" w:rsidRDefault="000559E9" w:rsidP="000559E9">
      <w:pPr>
        <w:rPr>
          <w:rFonts w:asciiTheme="minorHAnsi" w:hAnsiTheme="minorHAnsi"/>
          <w:i/>
          <w:lang w:val="en-GB"/>
        </w:rPr>
      </w:pPr>
      <w:r w:rsidRPr="000559E9">
        <w:rPr>
          <w:rFonts w:asciiTheme="minorHAnsi" w:hAnsiTheme="minorHAnsi"/>
          <w:i/>
          <w:lang w:val="en-GB"/>
        </w:rPr>
        <w:t xml:space="preserve">Southwark LBC v Tanner </w:t>
      </w:r>
      <w:r w:rsidRPr="000559E9">
        <w:rPr>
          <w:rFonts w:asciiTheme="minorHAnsi" w:hAnsiTheme="minorHAnsi"/>
          <w:lang w:val="en-GB"/>
        </w:rPr>
        <w:t>[2001] 1 AC 1</w:t>
      </w:r>
    </w:p>
    <w:p w14:paraId="6EB634AA" w14:textId="77777777" w:rsidR="000559E9" w:rsidRPr="000559E9" w:rsidRDefault="000559E9" w:rsidP="000559E9">
      <w:pPr>
        <w:rPr>
          <w:rFonts w:asciiTheme="minorHAnsi" w:hAnsiTheme="minorHAnsi"/>
          <w:lang w:val="en-GB"/>
        </w:rPr>
      </w:pPr>
      <w:r w:rsidRPr="000559E9">
        <w:rPr>
          <w:rFonts w:asciiTheme="minorHAnsi" w:hAnsiTheme="minorHAnsi"/>
          <w:i/>
          <w:lang w:val="en-GB"/>
        </w:rPr>
        <w:t>Manchester City Council v Pinnock</w:t>
      </w:r>
      <w:r w:rsidRPr="000559E9">
        <w:rPr>
          <w:rFonts w:asciiTheme="minorHAnsi" w:hAnsiTheme="minorHAnsi"/>
          <w:lang w:val="en-GB"/>
        </w:rPr>
        <w:t xml:space="preserve"> [2010] UKSC 45; [2011] 2 A.C. 104 </w:t>
      </w:r>
    </w:p>
    <w:p w14:paraId="5F0F3FEA" w14:textId="77777777" w:rsidR="000559E9" w:rsidRPr="000559E9" w:rsidRDefault="000559E9" w:rsidP="000559E9">
      <w:pPr>
        <w:rPr>
          <w:rFonts w:asciiTheme="minorHAnsi" w:hAnsiTheme="minorHAnsi"/>
          <w:lang w:val="en-GB"/>
        </w:rPr>
      </w:pPr>
      <w:r w:rsidRPr="000559E9">
        <w:rPr>
          <w:rFonts w:asciiTheme="minorHAnsi" w:hAnsiTheme="minorHAnsi"/>
          <w:i/>
          <w:lang w:val="en-GB"/>
        </w:rPr>
        <w:t xml:space="preserve">Hounslow LBC v Powell </w:t>
      </w:r>
      <w:r w:rsidRPr="000559E9">
        <w:rPr>
          <w:rFonts w:asciiTheme="minorHAnsi" w:hAnsiTheme="minorHAnsi"/>
          <w:lang w:val="en-GB"/>
        </w:rPr>
        <w:t>[2011] UKCS 8</w:t>
      </w:r>
    </w:p>
    <w:p w14:paraId="6713CC0C" w14:textId="77777777" w:rsidR="000559E9" w:rsidRPr="000559E9" w:rsidRDefault="000559E9" w:rsidP="000559E9">
      <w:pPr>
        <w:rPr>
          <w:rFonts w:asciiTheme="minorHAnsi" w:hAnsiTheme="minorHAnsi"/>
          <w:lang w:val="en-GB"/>
        </w:rPr>
      </w:pPr>
      <w:r w:rsidRPr="000559E9">
        <w:rPr>
          <w:rFonts w:asciiTheme="minorHAnsi" w:hAnsiTheme="minorHAnsi"/>
          <w:i/>
          <w:lang w:val="en-GB"/>
        </w:rPr>
        <w:t xml:space="preserve">Corby Borough Council v Scott, West Kent Housing Association Ltd v </w:t>
      </w:r>
      <w:proofErr w:type="spellStart"/>
      <w:r w:rsidRPr="000559E9">
        <w:rPr>
          <w:rFonts w:asciiTheme="minorHAnsi" w:hAnsiTheme="minorHAnsi"/>
          <w:i/>
          <w:lang w:val="en-GB"/>
        </w:rPr>
        <w:t>Haycraft</w:t>
      </w:r>
      <w:proofErr w:type="spellEnd"/>
      <w:r w:rsidRPr="000559E9">
        <w:rPr>
          <w:rFonts w:asciiTheme="minorHAnsi" w:hAnsiTheme="minorHAnsi"/>
          <w:lang w:val="en-GB"/>
        </w:rPr>
        <w:t xml:space="preserve"> [2012] EWCA </w:t>
      </w:r>
      <w:proofErr w:type="spellStart"/>
      <w:r w:rsidRPr="000559E9">
        <w:rPr>
          <w:rFonts w:asciiTheme="minorHAnsi" w:hAnsiTheme="minorHAnsi"/>
          <w:lang w:val="en-GB"/>
        </w:rPr>
        <w:t>Civ</w:t>
      </w:r>
      <w:proofErr w:type="spellEnd"/>
      <w:r w:rsidRPr="000559E9">
        <w:rPr>
          <w:rFonts w:asciiTheme="minorHAnsi" w:hAnsiTheme="minorHAnsi"/>
          <w:lang w:val="en-GB"/>
        </w:rPr>
        <w:t xml:space="preserve"> 276, [2012] HLR 23</w:t>
      </w:r>
    </w:p>
    <w:p w14:paraId="7D87D29B" w14:textId="77777777" w:rsidR="000559E9" w:rsidRPr="000559E9" w:rsidRDefault="000559E9" w:rsidP="000559E9">
      <w:pPr>
        <w:rPr>
          <w:rFonts w:asciiTheme="minorHAnsi" w:hAnsiTheme="minorHAnsi"/>
        </w:rPr>
      </w:pPr>
      <w:r w:rsidRPr="000559E9">
        <w:rPr>
          <w:rFonts w:asciiTheme="minorHAnsi" w:hAnsiTheme="minorHAnsi"/>
          <w:i/>
          <w:lang w:val="en-GB"/>
        </w:rPr>
        <w:t>Southend-on-Sea BC v Armour</w:t>
      </w:r>
      <w:r w:rsidRPr="000559E9">
        <w:rPr>
          <w:rFonts w:asciiTheme="minorHAnsi" w:hAnsiTheme="minorHAnsi"/>
          <w:lang w:val="en-GB"/>
        </w:rPr>
        <w:t xml:space="preserve"> [2014] EWCA </w:t>
      </w:r>
      <w:proofErr w:type="spellStart"/>
      <w:r w:rsidRPr="000559E9">
        <w:rPr>
          <w:rFonts w:asciiTheme="minorHAnsi" w:hAnsiTheme="minorHAnsi"/>
          <w:lang w:val="en-GB"/>
        </w:rPr>
        <w:t>Civ</w:t>
      </w:r>
      <w:proofErr w:type="spellEnd"/>
      <w:r w:rsidRPr="000559E9">
        <w:rPr>
          <w:rFonts w:asciiTheme="minorHAnsi" w:hAnsiTheme="minorHAnsi"/>
          <w:lang w:val="en-GB"/>
        </w:rPr>
        <w:t xml:space="preserve"> 231; [2014] H.L.R. 23</w:t>
      </w:r>
    </w:p>
    <w:p w14:paraId="5123EC3F" w14:textId="77777777" w:rsidR="0010364E" w:rsidRPr="000559E9" w:rsidRDefault="0010364E" w:rsidP="004278C1">
      <w:pPr>
        <w:jc w:val="both"/>
        <w:rPr>
          <w:rFonts w:asciiTheme="minorHAnsi" w:hAnsiTheme="minorHAnsi"/>
          <w:lang w:val="en-GB"/>
        </w:rPr>
      </w:pPr>
    </w:p>
    <w:sectPr w:rsidR="0010364E" w:rsidRPr="000559E9" w:rsidSect="000318B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72F61" w14:textId="77777777" w:rsidR="0039592B" w:rsidRDefault="0039592B" w:rsidP="00102A3D">
      <w:r>
        <w:separator/>
      </w:r>
    </w:p>
  </w:endnote>
  <w:endnote w:type="continuationSeparator" w:id="0">
    <w:p w14:paraId="070F4741" w14:textId="77777777" w:rsidR="0039592B" w:rsidRDefault="0039592B" w:rsidP="0010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C8A55" w14:textId="77777777" w:rsidR="0039592B" w:rsidRDefault="0039592B" w:rsidP="00102A3D">
      <w:r>
        <w:separator/>
      </w:r>
    </w:p>
  </w:footnote>
  <w:footnote w:type="continuationSeparator" w:id="0">
    <w:p w14:paraId="09227EBC" w14:textId="77777777" w:rsidR="0039592B" w:rsidRDefault="0039592B" w:rsidP="00102A3D">
      <w:r>
        <w:continuationSeparator/>
      </w:r>
    </w:p>
  </w:footnote>
  <w:footnote w:id="1">
    <w:p w14:paraId="380FA162" w14:textId="5033FE24" w:rsidR="008A2CBA" w:rsidRPr="008A2CBA" w:rsidRDefault="008A2CBA" w:rsidP="008A2CBA">
      <w:pPr>
        <w:rPr>
          <w:rFonts w:asciiTheme="minorHAnsi" w:eastAsia="Times New Roman" w:hAnsiTheme="minorHAnsi"/>
          <w:sz w:val="20"/>
          <w:szCs w:val="20"/>
        </w:rPr>
      </w:pPr>
      <w:r w:rsidRPr="008A2CBA">
        <w:rPr>
          <w:rStyle w:val="FootnoteReference"/>
          <w:rFonts w:asciiTheme="minorHAnsi" w:hAnsiTheme="minorHAnsi"/>
          <w:sz w:val="20"/>
          <w:szCs w:val="20"/>
        </w:rPr>
        <w:footnoteRef/>
      </w:r>
      <w:r w:rsidRPr="008A2CBA">
        <w:rPr>
          <w:rFonts w:asciiTheme="minorHAnsi" w:hAnsiTheme="minorHAnsi"/>
          <w:sz w:val="20"/>
          <w:szCs w:val="20"/>
        </w:rPr>
        <w:t xml:space="preserve"> </w:t>
      </w:r>
      <w:r w:rsidRPr="008A2CBA">
        <w:rPr>
          <w:rFonts w:asciiTheme="minorHAnsi" w:hAnsiTheme="minorHAnsi"/>
          <w:sz w:val="20"/>
          <w:szCs w:val="20"/>
          <w:lang w:val="en-GB"/>
        </w:rPr>
        <w:t xml:space="preserve">Professor of Law, </w:t>
      </w:r>
      <w:r w:rsidRPr="008A2CBA">
        <w:rPr>
          <w:rFonts w:asciiTheme="minorHAnsi" w:eastAsia="Times New Roman" w:hAnsiTheme="minorHAnsi"/>
          <w:color w:val="494A4C"/>
          <w:sz w:val="20"/>
          <w:szCs w:val="20"/>
          <w:shd w:val="clear" w:color="auto" w:fill="FFFFFF"/>
        </w:rPr>
        <w:t>orcid.org/0000-0002-7504-3422</w:t>
      </w:r>
    </w:p>
  </w:footnote>
  <w:footnote w:id="2">
    <w:p w14:paraId="6CF33B94" w14:textId="4EE20704" w:rsidR="008A2CBA" w:rsidRPr="008A2CBA" w:rsidRDefault="008A2CBA" w:rsidP="008A2CBA">
      <w:pPr>
        <w:rPr>
          <w:rFonts w:asciiTheme="minorHAnsi" w:eastAsia="Times New Roman" w:hAnsiTheme="minorHAnsi"/>
          <w:sz w:val="20"/>
          <w:szCs w:val="20"/>
        </w:rPr>
      </w:pPr>
      <w:r w:rsidRPr="008A2CBA">
        <w:rPr>
          <w:rStyle w:val="FootnoteReference"/>
          <w:rFonts w:asciiTheme="minorHAnsi" w:hAnsiTheme="minorHAnsi"/>
          <w:sz w:val="20"/>
          <w:szCs w:val="20"/>
        </w:rPr>
        <w:footnoteRef/>
      </w:r>
      <w:r w:rsidRPr="008A2CBA">
        <w:rPr>
          <w:rFonts w:asciiTheme="minorHAnsi" w:hAnsiTheme="minorHAnsi"/>
          <w:sz w:val="20"/>
          <w:szCs w:val="20"/>
        </w:rPr>
        <w:t xml:space="preserve"> </w:t>
      </w:r>
      <w:r w:rsidRPr="008A2CBA">
        <w:rPr>
          <w:rFonts w:asciiTheme="minorHAnsi" w:hAnsiTheme="minorHAnsi"/>
          <w:sz w:val="20"/>
          <w:szCs w:val="20"/>
          <w:lang w:val="en-GB"/>
        </w:rPr>
        <w:t xml:space="preserve">Lecturer in Law, </w:t>
      </w:r>
      <w:r w:rsidRPr="008A2CBA">
        <w:rPr>
          <w:rFonts w:asciiTheme="minorHAnsi" w:eastAsia="Times New Roman" w:hAnsiTheme="minorHAnsi"/>
          <w:color w:val="494A4C"/>
          <w:sz w:val="20"/>
          <w:szCs w:val="20"/>
          <w:shd w:val="clear" w:color="auto" w:fill="FFFFFF"/>
        </w:rPr>
        <w:t>orcid.org</w:t>
      </w:r>
      <w:r w:rsidRPr="008A2CBA">
        <w:rPr>
          <w:rFonts w:asciiTheme="minorHAnsi" w:eastAsia="Times New Roman" w:hAnsiTheme="minorHAnsi" w:cs="Arial"/>
          <w:color w:val="222222"/>
          <w:sz w:val="20"/>
          <w:szCs w:val="20"/>
          <w:shd w:val="clear" w:color="auto" w:fill="FFFFFF"/>
        </w:rPr>
        <w:t>/0000-0001-7993-3062</w:t>
      </w:r>
    </w:p>
    <w:p w14:paraId="3290BF59" w14:textId="5B81BC24" w:rsidR="008A2CBA" w:rsidRPr="008A2CBA" w:rsidRDefault="008A2CBA">
      <w:pPr>
        <w:pStyle w:val="FootnoteText"/>
        <w:rPr>
          <w:lang w:val="en-GB"/>
        </w:rPr>
      </w:pPr>
    </w:p>
  </w:footnote>
  <w:footnote w:id="3">
    <w:p w14:paraId="2A2B78E2" w14:textId="6B8D3F8F"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Pr>
          <w:rFonts w:cs="Arial"/>
          <w:sz w:val="20"/>
          <w:szCs w:val="20"/>
          <w:lang w:val="en-GB"/>
        </w:rPr>
        <w:t>[1925] 1 KB 111 at p.</w:t>
      </w:r>
      <w:r w:rsidRPr="006C6AA2">
        <w:rPr>
          <w:rFonts w:cs="Arial"/>
          <w:sz w:val="20"/>
          <w:szCs w:val="20"/>
          <w:lang w:val="en-GB"/>
        </w:rPr>
        <w:t>114.</w:t>
      </w:r>
    </w:p>
  </w:footnote>
  <w:footnote w:id="4">
    <w:p w14:paraId="60C92DC6" w14:textId="3FA94AB4"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Law of Property Act 1925, s.1.</w:t>
      </w:r>
    </w:p>
  </w:footnote>
  <w:footnote w:id="5">
    <w:p w14:paraId="20EDDD33" w14:textId="77777777"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Leasehold Reform Act 1967.</w:t>
      </w:r>
    </w:p>
  </w:footnote>
  <w:footnote w:id="6">
    <w:p w14:paraId="604B9FF4" w14:textId="49EAA9E0"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Leasehold Reform </w:t>
      </w:r>
      <w:proofErr w:type="spellStart"/>
      <w:r w:rsidRPr="006C6AA2">
        <w:rPr>
          <w:rFonts w:cs="Arial"/>
          <w:sz w:val="20"/>
          <w:szCs w:val="20"/>
        </w:rPr>
        <w:t>etc</w:t>
      </w:r>
      <w:proofErr w:type="spellEnd"/>
      <w:r w:rsidRPr="006C6AA2">
        <w:rPr>
          <w:rFonts w:cs="Arial"/>
          <w:sz w:val="20"/>
          <w:szCs w:val="20"/>
        </w:rPr>
        <w:t xml:space="preserve"> Act 1993.</w:t>
      </w:r>
    </w:p>
  </w:footnote>
  <w:footnote w:id="7">
    <w:p w14:paraId="441BDFE7" w14:textId="7A8F42D7"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 xml:space="preserve">Housing Act 1985, s.79 and Housing Act 1988, 1. </w:t>
      </w:r>
    </w:p>
  </w:footnote>
  <w:footnote w:id="8">
    <w:p w14:paraId="173B0572" w14:textId="77777777" w:rsidR="000559E9" w:rsidRPr="006C6AA2" w:rsidRDefault="000559E9" w:rsidP="00814F72">
      <w:pPr>
        <w:pStyle w:val="FootnoteText"/>
        <w:rPr>
          <w:rFonts w:cs="Arial"/>
          <w:sz w:val="20"/>
          <w:szCs w:val="20"/>
        </w:rPr>
      </w:pPr>
      <w:r w:rsidRPr="006C6AA2">
        <w:rPr>
          <w:rStyle w:val="FootnoteReference"/>
          <w:rFonts w:cs="Arial"/>
          <w:sz w:val="20"/>
          <w:szCs w:val="20"/>
        </w:rPr>
        <w:footnoteRef/>
      </w:r>
      <w:r w:rsidRPr="006C6AA2">
        <w:rPr>
          <w:rFonts w:cs="Arial"/>
          <w:sz w:val="20"/>
          <w:szCs w:val="20"/>
        </w:rPr>
        <w:t xml:space="preserve"> </w:t>
      </w:r>
      <w:r w:rsidRPr="006C6AA2">
        <w:rPr>
          <w:rFonts w:cs="Arial"/>
          <w:i/>
          <w:sz w:val="20"/>
          <w:szCs w:val="20"/>
        </w:rPr>
        <w:t xml:space="preserve">Street v </w:t>
      </w:r>
      <w:proofErr w:type="spellStart"/>
      <w:r w:rsidRPr="006C6AA2">
        <w:rPr>
          <w:rFonts w:cs="Arial"/>
          <w:i/>
          <w:sz w:val="20"/>
          <w:szCs w:val="20"/>
        </w:rPr>
        <w:t>Mountford</w:t>
      </w:r>
      <w:proofErr w:type="spellEnd"/>
      <w:r w:rsidRPr="006C6AA2">
        <w:rPr>
          <w:rFonts w:cs="Arial"/>
          <w:i/>
          <w:sz w:val="20"/>
          <w:szCs w:val="20"/>
        </w:rPr>
        <w:t xml:space="preserve"> </w:t>
      </w:r>
      <w:r w:rsidRPr="006C6AA2">
        <w:rPr>
          <w:rFonts w:cs="Arial"/>
          <w:sz w:val="20"/>
          <w:szCs w:val="20"/>
        </w:rPr>
        <w:t>[1985] AC 809, HL.</w:t>
      </w:r>
    </w:p>
  </w:footnote>
  <w:footnote w:id="9">
    <w:p w14:paraId="4E4CB4B7" w14:textId="77777777" w:rsidR="000559E9" w:rsidRPr="006C6AA2" w:rsidRDefault="000559E9" w:rsidP="00814F72">
      <w:pPr>
        <w:pStyle w:val="FootnoteText"/>
        <w:rPr>
          <w:rFonts w:cs="Arial"/>
          <w:sz w:val="20"/>
          <w:szCs w:val="20"/>
        </w:rPr>
      </w:pPr>
      <w:r w:rsidRPr="006C6AA2">
        <w:rPr>
          <w:rStyle w:val="FootnoteReference"/>
          <w:rFonts w:cs="Arial"/>
          <w:sz w:val="20"/>
          <w:szCs w:val="20"/>
        </w:rPr>
        <w:footnoteRef/>
      </w:r>
      <w:r w:rsidRPr="006C6AA2">
        <w:rPr>
          <w:rFonts w:cs="Arial"/>
          <w:sz w:val="20"/>
          <w:szCs w:val="20"/>
        </w:rPr>
        <w:t xml:space="preserve"> </w:t>
      </w:r>
      <w:r w:rsidRPr="006C6AA2">
        <w:rPr>
          <w:rFonts w:cs="Arial"/>
          <w:i/>
          <w:sz w:val="20"/>
          <w:szCs w:val="20"/>
        </w:rPr>
        <w:t xml:space="preserve">AG Securities v. Vaughan; </w:t>
      </w:r>
      <w:proofErr w:type="spellStart"/>
      <w:r w:rsidRPr="006C6AA2">
        <w:rPr>
          <w:rFonts w:cs="Arial"/>
          <w:i/>
          <w:sz w:val="20"/>
          <w:szCs w:val="20"/>
        </w:rPr>
        <w:t>Antoniades</w:t>
      </w:r>
      <w:proofErr w:type="spellEnd"/>
      <w:r w:rsidRPr="006C6AA2">
        <w:rPr>
          <w:rFonts w:cs="Arial"/>
          <w:i/>
          <w:sz w:val="20"/>
          <w:szCs w:val="20"/>
        </w:rPr>
        <w:t xml:space="preserve"> v Villiers</w:t>
      </w:r>
      <w:r w:rsidRPr="006C6AA2">
        <w:rPr>
          <w:rFonts w:cs="Arial"/>
          <w:sz w:val="20"/>
          <w:szCs w:val="20"/>
        </w:rPr>
        <w:t xml:space="preserve"> [1990] 1 AC 417, HL</w:t>
      </w:r>
    </w:p>
  </w:footnote>
  <w:footnote w:id="10">
    <w:p w14:paraId="6FBDA333" w14:textId="5CA3A558" w:rsidR="000559E9" w:rsidRPr="006C6AA2" w:rsidRDefault="000559E9" w:rsidP="00814F72">
      <w:pPr>
        <w:pStyle w:val="FootnoteText"/>
        <w:rPr>
          <w:rFonts w:cs="Arial"/>
          <w:sz w:val="20"/>
          <w:szCs w:val="20"/>
        </w:rPr>
      </w:pPr>
      <w:r w:rsidRPr="006C6AA2">
        <w:rPr>
          <w:rStyle w:val="FootnoteReference"/>
          <w:rFonts w:cs="Arial"/>
          <w:sz w:val="20"/>
          <w:szCs w:val="20"/>
        </w:rPr>
        <w:footnoteRef/>
      </w:r>
      <w:r w:rsidRPr="006C6AA2">
        <w:rPr>
          <w:rFonts w:cs="Arial"/>
          <w:sz w:val="20"/>
          <w:szCs w:val="20"/>
        </w:rPr>
        <w:t xml:space="preserve"> Andrew Arden, Martin </w:t>
      </w:r>
      <w:proofErr w:type="spellStart"/>
      <w:r w:rsidRPr="006C6AA2">
        <w:rPr>
          <w:rFonts w:cs="Arial"/>
          <w:sz w:val="20"/>
          <w:szCs w:val="20"/>
        </w:rPr>
        <w:t>Partington</w:t>
      </w:r>
      <w:proofErr w:type="spellEnd"/>
      <w:r w:rsidRPr="006C6AA2">
        <w:rPr>
          <w:rFonts w:cs="Arial"/>
          <w:sz w:val="20"/>
          <w:szCs w:val="20"/>
        </w:rPr>
        <w:t xml:space="preserve"> &amp; Caroline Hunter, </w:t>
      </w:r>
      <w:r w:rsidRPr="006C6AA2">
        <w:rPr>
          <w:rFonts w:cs="Arial"/>
          <w:i/>
          <w:sz w:val="20"/>
          <w:szCs w:val="20"/>
        </w:rPr>
        <w:t xml:space="preserve">Arden &amp; </w:t>
      </w:r>
      <w:proofErr w:type="spellStart"/>
      <w:r w:rsidRPr="006C6AA2">
        <w:rPr>
          <w:rFonts w:cs="Arial"/>
          <w:i/>
          <w:sz w:val="20"/>
          <w:szCs w:val="20"/>
        </w:rPr>
        <w:t>Partington</w:t>
      </w:r>
      <w:proofErr w:type="spellEnd"/>
      <w:r w:rsidRPr="006C6AA2">
        <w:rPr>
          <w:rFonts w:cs="Arial"/>
          <w:i/>
          <w:sz w:val="20"/>
          <w:szCs w:val="20"/>
        </w:rPr>
        <w:t xml:space="preserve"> on Housing Law </w:t>
      </w:r>
      <w:r w:rsidRPr="006C6AA2">
        <w:rPr>
          <w:rFonts w:cs="Arial"/>
          <w:sz w:val="20"/>
          <w:szCs w:val="20"/>
        </w:rPr>
        <w:t xml:space="preserve">(Loose-leaf: Sweet &amp; Maxwell), para. 2-06, 2-07. </w:t>
      </w:r>
    </w:p>
  </w:footnote>
  <w:footnote w:id="11">
    <w:p w14:paraId="07BEDD7A" w14:textId="1E365352" w:rsidR="000559E9" w:rsidRPr="004307EB" w:rsidRDefault="000559E9">
      <w:pPr>
        <w:pStyle w:val="FootnoteText"/>
        <w:rPr>
          <w:rFonts w:cs="Arial"/>
          <w:sz w:val="20"/>
          <w:szCs w:val="20"/>
        </w:rPr>
      </w:pPr>
      <w:r w:rsidRPr="00EE3CAD">
        <w:rPr>
          <w:rStyle w:val="FootnoteReference"/>
          <w:sz w:val="20"/>
          <w:szCs w:val="20"/>
        </w:rPr>
        <w:footnoteRef/>
      </w:r>
      <w:r w:rsidRPr="00EE3CAD">
        <w:rPr>
          <w:sz w:val="20"/>
          <w:szCs w:val="20"/>
        </w:rPr>
        <w:t xml:space="preserve"> </w:t>
      </w:r>
      <w:r w:rsidRPr="00EE3CAD">
        <w:rPr>
          <w:sz w:val="20"/>
          <w:szCs w:val="20"/>
          <w:lang w:val="en-GB"/>
        </w:rPr>
        <w:t xml:space="preserve">For a current example of the use of licences, see </w:t>
      </w:r>
      <w:r w:rsidRPr="00EE3CAD">
        <w:rPr>
          <w:rFonts w:cs="Arial"/>
          <w:sz w:val="20"/>
          <w:szCs w:val="20"/>
        </w:rPr>
        <w:t xml:space="preserve">Caroline Hunter and Jed </w:t>
      </w:r>
      <w:proofErr w:type="spellStart"/>
      <w:r w:rsidRPr="00EE3CAD">
        <w:rPr>
          <w:rFonts w:cs="Arial"/>
          <w:sz w:val="20"/>
          <w:szCs w:val="20"/>
        </w:rPr>
        <w:t>Meers</w:t>
      </w:r>
      <w:proofErr w:type="spellEnd"/>
      <w:r w:rsidRPr="00EE3CAD">
        <w:rPr>
          <w:rFonts w:cs="Arial"/>
          <w:sz w:val="20"/>
          <w:szCs w:val="20"/>
        </w:rPr>
        <w:t xml:space="preserve">, ‘The “Affordable Alternative to Renting:” Property Guardians and Legal Dimensions of Housing </w:t>
      </w:r>
      <w:r>
        <w:rPr>
          <w:rFonts w:cs="Arial"/>
          <w:sz w:val="20"/>
          <w:szCs w:val="20"/>
        </w:rPr>
        <w:t xml:space="preserve">Precariousness’ in Helen </w:t>
      </w:r>
      <w:proofErr w:type="spellStart"/>
      <w:r>
        <w:rPr>
          <w:rFonts w:cs="Arial"/>
          <w:sz w:val="20"/>
          <w:szCs w:val="20"/>
        </w:rPr>
        <w:t>Carr</w:t>
      </w:r>
      <w:proofErr w:type="spellEnd"/>
      <w:r>
        <w:rPr>
          <w:rFonts w:cs="Arial"/>
          <w:sz w:val="20"/>
          <w:szCs w:val="20"/>
        </w:rPr>
        <w:t xml:space="preserve">, </w:t>
      </w:r>
      <w:r w:rsidRPr="00EE3CAD">
        <w:rPr>
          <w:rFonts w:cs="Arial"/>
          <w:sz w:val="20"/>
          <w:szCs w:val="20"/>
        </w:rPr>
        <w:t>Brendan Edgeworth and Caroline Hunter (</w:t>
      </w:r>
      <w:proofErr w:type="spellStart"/>
      <w:r w:rsidRPr="00EE3CAD">
        <w:rPr>
          <w:rFonts w:cs="Arial"/>
          <w:sz w:val="20"/>
          <w:szCs w:val="20"/>
        </w:rPr>
        <w:t>eds</w:t>
      </w:r>
      <w:proofErr w:type="spellEnd"/>
      <w:r w:rsidRPr="00EE3CAD">
        <w:rPr>
          <w:rFonts w:cs="Arial"/>
          <w:sz w:val="20"/>
          <w:szCs w:val="20"/>
        </w:rPr>
        <w:t xml:space="preserve">) </w:t>
      </w:r>
      <w:r w:rsidRPr="00EE3CAD">
        <w:rPr>
          <w:rFonts w:cs="Arial"/>
          <w:i/>
          <w:sz w:val="20"/>
          <w:szCs w:val="20"/>
        </w:rPr>
        <w:t xml:space="preserve">Law and The Precarious Home: Socio-Legal Perspectives on the Home in Insecure Times </w:t>
      </w:r>
      <w:r w:rsidRPr="00EE3CAD">
        <w:rPr>
          <w:rFonts w:cs="Arial"/>
          <w:sz w:val="20"/>
          <w:szCs w:val="20"/>
        </w:rPr>
        <w:t>(2018, Hart).</w:t>
      </w:r>
    </w:p>
  </w:footnote>
  <w:footnote w:id="12">
    <w:p w14:paraId="504436D8" w14:textId="47FE19A4"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 xml:space="preserve">Namely, housing provided via </w:t>
      </w:r>
      <w:r>
        <w:rPr>
          <w:rFonts w:cs="Arial"/>
          <w:sz w:val="20"/>
          <w:szCs w:val="20"/>
          <w:lang w:val="en-GB"/>
        </w:rPr>
        <w:t>either local government or not-for-profit organisations usually with government subsidy</w:t>
      </w:r>
      <w:r w:rsidRPr="006C6AA2">
        <w:rPr>
          <w:rFonts w:cs="Arial"/>
          <w:sz w:val="20"/>
          <w:szCs w:val="20"/>
          <w:lang w:val="en-GB"/>
        </w:rPr>
        <w:t xml:space="preserve">. In common with the social rented sector across Europe, there are specific controls on affordability, allocations and (to a lesser extent than before) tenure security. For a comprehensive overview, see: </w:t>
      </w:r>
      <w:r w:rsidRPr="006C6AA2">
        <w:rPr>
          <w:rFonts w:cs="Arial"/>
          <w:sz w:val="20"/>
          <w:szCs w:val="20"/>
          <w:lang w:val="en-GB"/>
        </w:rPr>
        <w:fldChar w:fldCharType="begin"/>
      </w:r>
      <w:r w:rsidRPr="006C6AA2">
        <w:rPr>
          <w:rFonts w:cs="Arial"/>
          <w:sz w:val="20"/>
          <w:szCs w:val="20"/>
          <w:lang w:val="en-GB"/>
        </w:rPr>
        <w:instrText xml:space="preserve"> ADDIN ZOTERO_ITEM CSL_CITATION {"citationID":"nzkFBHjH","properties":{"formattedCitation":"{\\rtf Christine Whitehead, \\uc0\\u8216{}Social Housing in England\\uc0\\u8217{} in Christine Whitehead (ed), {\\i{}Social Housing in Europe} (Wiley 2014).}","plainCitation":"Christine Whitehead, ‘Social Housing in England’ in Christine Whitehead (ed), Social Housing in Europe (Wiley 2014)."},"citationItems":[{"id":102,"uris":["http://zotero.org/users/1848022/items/B9M38SXT"],"uri":["http://zotero.org/users/1848022/items/B9M38SXT"],"itemData":{"id":102,"type":"chapter","title":"Social Housing in England","container-title":"Social Housing in Europe","publisher":"Wiley","page":"105-120","URL":"http://dx.doi.org/10.1002/9781118412367.ch7","ISBN":"978-1-118-41236-7","note":"DOI: 10.1002/9781118412367.ch7","author":[{"family":"Whitehead","given":"Christine"}],"editor":[{"family":"Whitehead","given":"Christine"}],"issued":{"date-parts":[["2014"]]}}}],"schema":"https://github.com/citation-style-language/schema/raw/master/csl-citation.json"} </w:instrText>
      </w:r>
      <w:r w:rsidRPr="006C6AA2">
        <w:rPr>
          <w:rFonts w:cs="Arial"/>
          <w:sz w:val="20"/>
          <w:szCs w:val="20"/>
          <w:lang w:val="en-GB"/>
        </w:rPr>
        <w:fldChar w:fldCharType="separate"/>
      </w:r>
      <w:r w:rsidRPr="006C6AA2">
        <w:rPr>
          <w:rFonts w:eastAsia="Times New Roman" w:cs="Arial"/>
          <w:sz w:val="20"/>
          <w:szCs w:val="20"/>
        </w:rPr>
        <w:t xml:space="preserve">Christine Whitehead, ‘Social Housing in England’ in Christine Whitehead (ed), </w:t>
      </w:r>
      <w:r w:rsidRPr="006C6AA2">
        <w:rPr>
          <w:rFonts w:eastAsia="Times New Roman" w:cs="Arial"/>
          <w:i/>
          <w:iCs/>
          <w:sz w:val="20"/>
          <w:szCs w:val="20"/>
        </w:rPr>
        <w:t>Social Housing in Europe</w:t>
      </w:r>
      <w:r w:rsidRPr="006C6AA2">
        <w:rPr>
          <w:rFonts w:eastAsia="Times New Roman" w:cs="Arial"/>
          <w:sz w:val="20"/>
          <w:szCs w:val="20"/>
        </w:rPr>
        <w:t xml:space="preserve"> (Wiley 2014).</w:t>
      </w:r>
      <w:r w:rsidRPr="006C6AA2">
        <w:rPr>
          <w:rFonts w:cs="Arial"/>
          <w:sz w:val="20"/>
          <w:szCs w:val="20"/>
          <w:lang w:val="en-GB"/>
        </w:rPr>
        <w:fldChar w:fldCharType="end"/>
      </w:r>
      <w:r w:rsidRPr="006C6AA2">
        <w:rPr>
          <w:rFonts w:cs="Arial"/>
          <w:sz w:val="20"/>
          <w:szCs w:val="20"/>
          <w:lang w:val="en-GB"/>
        </w:rPr>
        <w:t xml:space="preserve"> 105-120.</w:t>
      </w:r>
    </w:p>
  </w:footnote>
  <w:footnote w:id="13">
    <w:p w14:paraId="2AE02866" w14:textId="117F6131" w:rsidR="000559E9" w:rsidRPr="006C6AA2" w:rsidRDefault="000559E9">
      <w:pPr>
        <w:pStyle w:val="FootnoteText"/>
        <w:rPr>
          <w:rFonts w:cs="Arial"/>
          <w:sz w:val="20"/>
          <w:szCs w:val="20"/>
          <w:lang w:val="en-GB"/>
        </w:rPr>
      </w:pPr>
      <w:r w:rsidRPr="006C6AA2">
        <w:rPr>
          <w:rStyle w:val="FootnoteReference"/>
          <w:rFonts w:cs="Arial"/>
          <w:sz w:val="20"/>
          <w:szCs w:val="20"/>
        </w:rPr>
        <w:footnoteRef/>
      </w:r>
      <w:r>
        <w:rPr>
          <w:rFonts w:cs="Arial"/>
          <w:sz w:val="20"/>
          <w:szCs w:val="20"/>
        </w:rPr>
        <w:t xml:space="preserve"> Private rented continued to fall the 1980s, the surge in private sector renting as largely happened since 2000. </w:t>
      </w:r>
    </w:p>
  </w:footnote>
  <w:footnote w:id="14">
    <w:p w14:paraId="63F8E930" w14:textId="54385A11" w:rsidR="000559E9" w:rsidRPr="006C6AA2" w:rsidRDefault="000559E9">
      <w:pPr>
        <w:pStyle w:val="FootnoteText"/>
        <w:rPr>
          <w:rFonts w:cs="Arial"/>
          <w:sz w:val="20"/>
          <w:szCs w:val="20"/>
          <w:highlight w:val="yellow"/>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 xml:space="preserve">English Housing Survey, 2016 - </w:t>
      </w:r>
      <w:hyperlink r:id="rId1" w:history="1">
        <w:r w:rsidRPr="006C6AA2">
          <w:rPr>
            <w:rStyle w:val="Hyperlink"/>
            <w:rFonts w:cs="Arial"/>
            <w:sz w:val="20"/>
            <w:szCs w:val="20"/>
            <w:lang w:val="en-GB"/>
          </w:rPr>
          <w:t>https://www.gov.uk/government/statistics/english-housing-survey-2015-to-2016-headline-report</w:t>
        </w:r>
      </w:hyperlink>
    </w:p>
  </w:footnote>
  <w:footnote w:id="15">
    <w:p w14:paraId="60C3BFFD" w14:textId="245E0FD1"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All English Housing Survey, 2012/13</w:t>
      </w:r>
    </w:p>
  </w:footnote>
  <w:footnote w:id="16">
    <w:p w14:paraId="5F16C5C8" w14:textId="1D59D683"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 xml:space="preserve">English Housing Survey, 2016 - </w:t>
      </w:r>
      <w:hyperlink r:id="rId2" w:history="1">
        <w:r w:rsidRPr="006C6AA2">
          <w:rPr>
            <w:rStyle w:val="Hyperlink"/>
            <w:rFonts w:cs="Arial"/>
            <w:sz w:val="20"/>
            <w:szCs w:val="20"/>
            <w:lang w:val="en-GB"/>
          </w:rPr>
          <w:t>https://www.gov.uk/government/statistics/english-housing-survey-2015-to-2016-headline-report</w:t>
        </w:r>
      </w:hyperlink>
      <w:r w:rsidRPr="006C6AA2">
        <w:rPr>
          <w:rFonts w:cs="Arial"/>
          <w:sz w:val="20"/>
          <w:szCs w:val="20"/>
          <w:lang w:val="en-GB"/>
        </w:rPr>
        <w:t xml:space="preserve"> </w:t>
      </w:r>
    </w:p>
  </w:footnote>
  <w:footnote w:id="17">
    <w:p w14:paraId="07AE605A" w14:textId="76D2CDBD"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Consolidated into the Housing Act 1985.</w:t>
      </w:r>
    </w:p>
  </w:footnote>
  <w:footnote w:id="18">
    <w:p w14:paraId="2774F710" w14:textId="5B6D237C"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Pr>
          <w:rFonts w:cs="Arial"/>
          <w:sz w:val="20"/>
          <w:szCs w:val="20"/>
          <w:lang w:val="en-GB"/>
        </w:rPr>
        <w:t>The</w:t>
      </w:r>
      <w:r w:rsidRPr="006C6AA2">
        <w:rPr>
          <w:rFonts w:cs="Arial"/>
          <w:sz w:val="20"/>
          <w:szCs w:val="20"/>
          <w:lang w:val="en-GB"/>
        </w:rPr>
        <w:t xml:space="preserve"> regulatory terms used have changes over time from ‘registered housing associations’ to ‘registered social landlords’ to ‘registered providers of social housing housing’ the latter two for some purposes also encompassing local councils</w:t>
      </w:r>
      <w:r>
        <w:rPr>
          <w:rFonts w:cs="Arial"/>
          <w:sz w:val="20"/>
          <w:szCs w:val="20"/>
          <w:lang w:val="en-GB"/>
        </w:rPr>
        <w:t>: see Housing and Regeneration 2008</w:t>
      </w:r>
      <w:r w:rsidRPr="006C6AA2">
        <w:rPr>
          <w:rFonts w:cs="Arial"/>
          <w:sz w:val="20"/>
          <w:szCs w:val="20"/>
          <w:lang w:val="en-GB"/>
        </w:rPr>
        <w:t>. We have chosen to use the more colloquial ‘housing association’ throughout this article.</w:t>
      </w:r>
    </w:p>
  </w:footnote>
  <w:footnote w:id="19">
    <w:p w14:paraId="2CB6BF20" w14:textId="3951ADA2"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Table 101, https://www.gov.uk/government/statistical-data-sets/live-tables-on-dwelling-stock-including-vacants</w:t>
      </w:r>
    </w:p>
  </w:footnote>
  <w:footnote w:id="20">
    <w:p w14:paraId="2FE06F1B" w14:textId="57B74731"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 xml:space="preserve">English Housing Survey, 2016 - </w:t>
      </w:r>
      <w:hyperlink r:id="rId3" w:history="1">
        <w:r w:rsidRPr="006C6AA2">
          <w:rPr>
            <w:rStyle w:val="Hyperlink"/>
            <w:rFonts w:cs="Arial"/>
            <w:sz w:val="20"/>
            <w:szCs w:val="20"/>
            <w:lang w:val="en-GB"/>
          </w:rPr>
          <w:t>https://www.gov.uk/government/statistics/english-housing-survey-2015-to-2016-headline-report</w:t>
        </w:r>
      </w:hyperlink>
    </w:p>
  </w:footnote>
  <w:footnote w:id="21">
    <w:p w14:paraId="5043EBF3" w14:textId="0A6793EE" w:rsidR="00ED5227" w:rsidRPr="00ED5227" w:rsidRDefault="000559E9" w:rsidP="00ED5227">
      <w:pPr>
        <w:pStyle w:val="FootnoteText"/>
        <w:rPr>
          <w:rFonts w:cs="Arial"/>
          <w:sz w:val="20"/>
          <w:szCs w:val="20"/>
        </w:rPr>
      </w:pPr>
      <w:r w:rsidRPr="006C6AA2">
        <w:rPr>
          <w:rStyle w:val="FootnoteReference"/>
          <w:rFonts w:cs="Arial"/>
          <w:sz w:val="20"/>
          <w:szCs w:val="20"/>
        </w:rPr>
        <w:footnoteRef/>
      </w:r>
      <w:r>
        <w:rPr>
          <w:rFonts w:cs="Arial"/>
          <w:sz w:val="20"/>
          <w:szCs w:val="20"/>
        </w:rPr>
        <w:t xml:space="preserve"> Hunter and </w:t>
      </w:r>
      <w:proofErr w:type="spellStart"/>
      <w:r w:rsidRPr="006C6AA2">
        <w:rPr>
          <w:rFonts w:cs="Arial"/>
          <w:sz w:val="20"/>
          <w:szCs w:val="20"/>
        </w:rPr>
        <w:t>Meers</w:t>
      </w:r>
      <w:proofErr w:type="spellEnd"/>
      <w:r w:rsidRPr="006C6AA2">
        <w:rPr>
          <w:rFonts w:cs="Arial"/>
          <w:sz w:val="20"/>
          <w:szCs w:val="20"/>
        </w:rPr>
        <w:t xml:space="preserve">, </w:t>
      </w:r>
      <w:r>
        <w:rPr>
          <w:rFonts w:cs="Arial"/>
          <w:sz w:val="20"/>
          <w:szCs w:val="20"/>
        </w:rPr>
        <w:t>op cit.</w:t>
      </w:r>
      <w:r w:rsidR="00720CBD">
        <w:rPr>
          <w:rFonts w:cs="Arial"/>
          <w:sz w:val="20"/>
          <w:szCs w:val="20"/>
        </w:rPr>
        <w:t xml:space="preserve"> We are using the term ‘</w:t>
      </w:r>
      <w:proofErr w:type="spellStart"/>
      <w:r w:rsidR="00720CBD">
        <w:rPr>
          <w:rFonts w:cs="Arial"/>
          <w:sz w:val="20"/>
          <w:szCs w:val="20"/>
        </w:rPr>
        <w:t>precarity</w:t>
      </w:r>
      <w:proofErr w:type="spellEnd"/>
      <w:r w:rsidR="00720CBD">
        <w:rPr>
          <w:rFonts w:cs="Arial"/>
          <w:sz w:val="20"/>
          <w:szCs w:val="20"/>
        </w:rPr>
        <w:t xml:space="preserve">’ as explained in </w:t>
      </w:r>
      <w:r w:rsidR="00720CBD" w:rsidRPr="00720CBD">
        <w:rPr>
          <w:rFonts w:cs="Arial"/>
          <w:sz w:val="20"/>
          <w:szCs w:val="20"/>
          <w:lang w:val="en-GB"/>
        </w:rPr>
        <w:t xml:space="preserve">Mara </w:t>
      </w:r>
      <w:proofErr w:type="spellStart"/>
      <w:r w:rsidR="00720CBD" w:rsidRPr="00720CBD">
        <w:rPr>
          <w:rFonts w:cs="Arial"/>
          <w:sz w:val="20"/>
          <w:szCs w:val="20"/>
          <w:lang w:val="en-GB"/>
        </w:rPr>
        <w:t>Ferreri</w:t>
      </w:r>
      <w:proofErr w:type="spellEnd"/>
      <w:r w:rsidR="00720CBD" w:rsidRPr="00720CBD">
        <w:rPr>
          <w:rFonts w:cs="Arial"/>
          <w:sz w:val="20"/>
          <w:szCs w:val="20"/>
          <w:lang w:val="en-GB"/>
        </w:rPr>
        <w:t xml:space="preserve">, Gloria Dawson and Alexander </w:t>
      </w:r>
      <w:proofErr w:type="spellStart"/>
      <w:r w:rsidR="00720CBD" w:rsidRPr="00720CBD">
        <w:rPr>
          <w:rFonts w:cs="Arial"/>
          <w:sz w:val="20"/>
          <w:szCs w:val="20"/>
          <w:lang w:val="en-GB"/>
        </w:rPr>
        <w:t>Vasudevan</w:t>
      </w:r>
      <w:proofErr w:type="spellEnd"/>
      <w:r w:rsidR="00720CBD" w:rsidRPr="00720CBD">
        <w:rPr>
          <w:rFonts w:cs="Arial"/>
          <w:sz w:val="20"/>
          <w:szCs w:val="20"/>
          <w:lang w:val="en-GB"/>
        </w:rPr>
        <w:t xml:space="preserve"> ‘Living precariously: property guardianship and the flexible city’ (2016) 42 Transactions of the Institute of British Geographers 246</w:t>
      </w:r>
      <w:r w:rsidR="00720CBD">
        <w:rPr>
          <w:rFonts w:cs="Arial"/>
          <w:sz w:val="20"/>
          <w:szCs w:val="20"/>
          <w:lang w:val="en-GB"/>
        </w:rPr>
        <w:t xml:space="preserve">, </w:t>
      </w:r>
      <w:r w:rsidR="00ED5227">
        <w:rPr>
          <w:rFonts w:cs="Arial"/>
          <w:sz w:val="20"/>
          <w:szCs w:val="20"/>
          <w:lang w:val="en-GB"/>
        </w:rPr>
        <w:t>at 247 as:</w:t>
      </w:r>
      <w:r w:rsidR="00720CBD">
        <w:rPr>
          <w:rFonts w:cs="Arial"/>
          <w:sz w:val="20"/>
          <w:szCs w:val="20"/>
          <w:lang w:val="en-GB"/>
        </w:rPr>
        <w:t xml:space="preserve"> </w:t>
      </w:r>
      <w:r w:rsidR="00ED5227">
        <w:rPr>
          <w:rFonts w:cs="Arial"/>
          <w:sz w:val="20"/>
          <w:szCs w:val="20"/>
          <w:lang w:val="en-GB"/>
        </w:rPr>
        <w:t>‘</w:t>
      </w:r>
      <w:r w:rsidR="00ED5227" w:rsidRPr="00ED5227">
        <w:rPr>
          <w:rFonts w:cs="Arial"/>
          <w:sz w:val="20"/>
          <w:szCs w:val="20"/>
        </w:rPr>
        <w:t>the intersection of new conditions of heightened</w:t>
      </w:r>
    </w:p>
    <w:p w14:paraId="7FE476FE" w14:textId="23278EB5" w:rsidR="000559E9" w:rsidRPr="006C6AA2" w:rsidRDefault="00ED5227" w:rsidP="00ED5227">
      <w:pPr>
        <w:pStyle w:val="FootnoteText"/>
        <w:rPr>
          <w:rFonts w:cs="Arial"/>
          <w:sz w:val="20"/>
          <w:szCs w:val="20"/>
        </w:rPr>
      </w:pPr>
      <w:r w:rsidRPr="00ED5227">
        <w:rPr>
          <w:rFonts w:cs="Arial"/>
          <w:sz w:val="20"/>
          <w:szCs w:val="20"/>
        </w:rPr>
        <w:t>economic and political insecurity and their</w:t>
      </w:r>
      <w:r>
        <w:rPr>
          <w:rFonts w:cs="Arial"/>
          <w:sz w:val="20"/>
          <w:szCs w:val="20"/>
        </w:rPr>
        <w:t xml:space="preserve"> </w:t>
      </w:r>
      <w:proofErr w:type="spellStart"/>
      <w:r w:rsidRPr="00ED5227">
        <w:rPr>
          <w:rFonts w:cs="Arial"/>
          <w:sz w:val="20"/>
          <w:szCs w:val="20"/>
        </w:rPr>
        <w:t>normalisation</w:t>
      </w:r>
      <w:proofErr w:type="spellEnd"/>
      <w:r w:rsidRPr="00ED5227">
        <w:rPr>
          <w:rFonts w:cs="Arial"/>
          <w:sz w:val="20"/>
          <w:szCs w:val="20"/>
        </w:rPr>
        <w:t xml:space="preserve"> as specific ‘structures of feelings’ and</w:t>
      </w:r>
      <w:r>
        <w:rPr>
          <w:rFonts w:cs="Arial"/>
          <w:sz w:val="20"/>
          <w:szCs w:val="20"/>
        </w:rPr>
        <w:t xml:space="preserve"> </w:t>
      </w:r>
      <w:r w:rsidRPr="00ED5227">
        <w:rPr>
          <w:rFonts w:cs="Arial"/>
          <w:sz w:val="20"/>
          <w:szCs w:val="20"/>
        </w:rPr>
        <w:t>subjectivities.</w:t>
      </w:r>
      <w:r>
        <w:rPr>
          <w:rFonts w:cs="Arial"/>
          <w:sz w:val="20"/>
          <w:szCs w:val="20"/>
        </w:rPr>
        <w:t>’</w:t>
      </w:r>
    </w:p>
  </w:footnote>
  <w:footnote w:id="22">
    <w:p w14:paraId="5B2BDFE5" w14:textId="77777777" w:rsidR="000559E9" w:rsidRPr="006C6AA2" w:rsidRDefault="000559E9" w:rsidP="006C080D">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See Jill Morgan, (1996), “The </w:t>
      </w:r>
      <w:proofErr w:type="spellStart"/>
      <w:r w:rsidRPr="006C6AA2">
        <w:rPr>
          <w:rFonts w:cs="Arial"/>
          <w:sz w:val="20"/>
          <w:szCs w:val="20"/>
        </w:rPr>
        <w:t>casualisation</w:t>
      </w:r>
      <w:proofErr w:type="spellEnd"/>
      <w:r w:rsidRPr="006C6AA2">
        <w:rPr>
          <w:rFonts w:cs="Arial"/>
          <w:sz w:val="20"/>
          <w:szCs w:val="20"/>
        </w:rPr>
        <w:t xml:space="preserve"> of housing” (1996) 18 Journal of Social Welfare and Family Law 445; Jill Morgan “Housing and security in England and Wales: </w:t>
      </w:r>
      <w:proofErr w:type="spellStart"/>
      <w:r w:rsidRPr="006C6AA2">
        <w:rPr>
          <w:rFonts w:cs="Arial"/>
          <w:sz w:val="20"/>
          <w:szCs w:val="20"/>
        </w:rPr>
        <w:t>casualisation</w:t>
      </w:r>
      <w:proofErr w:type="spellEnd"/>
      <w:r w:rsidRPr="006C6AA2">
        <w:rPr>
          <w:rFonts w:cs="Arial"/>
          <w:sz w:val="20"/>
          <w:szCs w:val="20"/>
        </w:rPr>
        <w:t xml:space="preserve"> revisited” (2009) 1 International Journal of Law in the Built Environment 42 and Suzanne Fitzpatrick and Beth Watts (2017) ‘Competing visions: security of tenure and the </w:t>
      </w:r>
      <w:proofErr w:type="spellStart"/>
      <w:r w:rsidRPr="006C6AA2">
        <w:rPr>
          <w:rFonts w:cs="Arial"/>
          <w:sz w:val="20"/>
          <w:szCs w:val="20"/>
        </w:rPr>
        <w:t>welfarisation</w:t>
      </w:r>
      <w:proofErr w:type="spellEnd"/>
      <w:r w:rsidRPr="006C6AA2">
        <w:rPr>
          <w:rFonts w:cs="Arial"/>
          <w:sz w:val="20"/>
          <w:szCs w:val="20"/>
        </w:rPr>
        <w:t xml:space="preserve"> of English social housing’ </w:t>
      </w:r>
      <w:r w:rsidRPr="00656F69">
        <w:rPr>
          <w:rFonts w:cs="Arial"/>
          <w:i/>
          <w:sz w:val="20"/>
          <w:szCs w:val="20"/>
        </w:rPr>
        <w:t>Housing Studies</w:t>
      </w:r>
      <w:r w:rsidRPr="006C6AA2">
        <w:rPr>
          <w:rFonts w:cs="Arial"/>
          <w:sz w:val="20"/>
          <w:szCs w:val="20"/>
        </w:rPr>
        <w:t xml:space="preserve"> On-line http://dx.doi.org/10.1080/02673037.2017.1291916</w:t>
      </w:r>
    </w:p>
  </w:footnote>
  <w:footnote w:id="23">
    <w:p w14:paraId="16399AF3" w14:textId="6AA6A93A"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56F69">
        <w:rPr>
          <w:rFonts w:cs="Arial"/>
          <w:sz w:val="20"/>
          <w:szCs w:val="20"/>
        </w:rPr>
        <w:t xml:space="preserve">Kath </w:t>
      </w:r>
      <w:proofErr w:type="spellStart"/>
      <w:r w:rsidRPr="00656F69">
        <w:rPr>
          <w:rFonts w:cs="Arial"/>
          <w:sz w:val="20"/>
          <w:szCs w:val="20"/>
        </w:rPr>
        <w:t>Hulse</w:t>
      </w:r>
      <w:proofErr w:type="spellEnd"/>
      <w:r w:rsidRPr="00656F69">
        <w:rPr>
          <w:rFonts w:cs="Arial"/>
          <w:sz w:val="20"/>
          <w:szCs w:val="20"/>
        </w:rPr>
        <w:t xml:space="preserve"> and Vivienne Milligan, ‘Secure Occupancy: A New Framework for Analysing Security in Rental Housing’ (2014) 29</w:t>
      </w:r>
      <w:r w:rsidRPr="00656F69">
        <w:rPr>
          <w:rFonts w:cs="Arial"/>
          <w:i/>
          <w:sz w:val="20"/>
          <w:szCs w:val="20"/>
        </w:rPr>
        <w:t xml:space="preserve"> Housing Studies </w:t>
      </w:r>
      <w:r w:rsidRPr="00656F69">
        <w:rPr>
          <w:rFonts w:cs="Arial"/>
          <w:sz w:val="20"/>
          <w:szCs w:val="20"/>
        </w:rPr>
        <w:t>638</w:t>
      </w:r>
    </w:p>
  </w:footnote>
  <w:footnote w:id="24">
    <w:p w14:paraId="349D005F" w14:textId="4B8627F7"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 xml:space="preserve">Hunter and Meers, op </w:t>
      </w:r>
      <w:proofErr w:type="spellStart"/>
      <w:r w:rsidRPr="006C6AA2">
        <w:rPr>
          <w:rFonts w:cs="Arial"/>
          <w:sz w:val="20"/>
          <w:szCs w:val="20"/>
          <w:lang w:val="en-GB"/>
        </w:rPr>
        <w:t>cit</w:t>
      </w:r>
      <w:proofErr w:type="spellEnd"/>
      <w:r w:rsidRPr="006C6AA2">
        <w:rPr>
          <w:rFonts w:cs="Arial"/>
          <w:sz w:val="20"/>
          <w:szCs w:val="20"/>
          <w:lang w:val="en-GB"/>
        </w:rPr>
        <w:t xml:space="preserve">, </w:t>
      </w:r>
      <w:proofErr w:type="gramStart"/>
      <w:r w:rsidRPr="006C6AA2">
        <w:rPr>
          <w:rFonts w:cs="Arial"/>
          <w:sz w:val="20"/>
          <w:szCs w:val="20"/>
          <w:lang w:val="en-GB"/>
        </w:rPr>
        <w:t>p.??.</w:t>
      </w:r>
      <w:proofErr w:type="gramEnd"/>
    </w:p>
  </w:footnote>
  <w:footnote w:id="25">
    <w:p w14:paraId="5C3943C1" w14:textId="091D8A43"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proofErr w:type="spellStart"/>
      <w:r w:rsidRPr="006C6AA2">
        <w:rPr>
          <w:rFonts w:cs="Arial"/>
          <w:sz w:val="20"/>
          <w:szCs w:val="20"/>
          <w:lang w:val="en-GB"/>
        </w:rPr>
        <w:t>Hulse</w:t>
      </w:r>
      <w:proofErr w:type="spellEnd"/>
      <w:r w:rsidRPr="006C6AA2">
        <w:rPr>
          <w:rFonts w:cs="Arial"/>
          <w:sz w:val="20"/>
          <w:szCs w:val="20"/>
          <w:lang w:val="en-GB"/>
        </w:rPr>
        <w:t xml:space="preserve"> and Milligan, op </w:t>
      </w:r>
      <w:proofErr w:type="spellStart"/>
      <w:r w:rsidRPr="006C6AA2">
        <w:rPr>
          <w:rFonts w:cs="Arial"/>
          <w:sz w:val="20"/>
          <w:szCs w:val="20"/>
          <w:lang w:val="en-GB"/>
        </w:rPr>
        <w:t>cit</w:t>
      </w:r>
      <w:proofErr w:type="spellEnd"/>
      <w:r w:rsidRPr="006C6AA2">
        <w:rPr>
          <w:rFonts w:cs="Arial"/>
          <w:sz w:val="20"/>
          <w:szCs w:val="20"/>
          <w:lang w:val="en-GB"/>
        </w:rPr>
        <w:t>, p.641.</w:t>
      </w:r>
    </w:p>
  </w:footnote>
  <w:footnote w:id="26">
    <w:p w14:paraId="7B0568DA" w14:textId="6F00950B"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 xml:space="preserve">See </w:t>
      </w:r>
      <w:r w:rsidRPr="006C6AA2">
        <w:rPr>
          <w:rFonts w:cs="Arial"/>
          <w:sz w:val="20"/>
          <w:szCs w:val="20"/>
        </w:rPr>
        <w:t xml:space="preserve">Andrew Arden et al, op </w:t>
      </w:r>
      <w:proofErr w:type="spellStart"/>
      <w:r w:rsidRPr="006C6AA2">
        <w:rPr>
          <w:rFonts w:cs="Arial"/>
          <w:sz w:val="20"/>
          <w:szCs w:val="20"/>
        </w:rPr>
        <w:t>cit</w:t>
      </w:r>
      <w:proofErr w:type="spellEnd"/>
      <w:r w:rsidRPr="006C6AA2">
        <w:rPr>
          <w:rFonts w:cs="Arial"/>
          <w:sz w:val="20"/>
          <w:szCs w:val="20"/>
        </w:rPr>
        <w:t>, para. 2-24.</w:t>
      </w:r>
    </w:p>
  </w:footnote>
  <w:footnote w:id="27">
    <w:p w14:paraId="72F163F5" w14:textId="5D31061A"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Ibid, para. 19-80.</w:t>
      </w:r>
    </w:p>
  </w:footnote>
  <w:footnote w:id="28">
    <w:p w14:paraId="1551892B" w14:textId="6F8CD0BF"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Ibid, para. 2-22.</w:t>
      </w:r>
    </w:p>
  </w:footnote>
  <w:footnote w:id="29">
    <w:p w14:paraId="445983F0" w14:textId="64C2AA11"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Ibid, para. 19-43.</w:t>
      </w:r>
    </w:p>
  </w:footnote>
  <w:footnote w:id="30">
    <w:p w14:paraId="2494863B" w14:textId="6D110F68"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See Protection from Eviction Act 1977, s.3A for the tenancy and licence agreements that are even excluded from the 1977 Act protection.</w:t>
      </w:r>
    </w:p>
  </w:footnote>
  <w:footnote w:id="31">
    <w:p w14:paraId="6338C881" w14:textId="6487A380"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Protection from Eviction Act 1977, s.5.</w:t>
      </w:r>
    </w:p>
  </w:footnote>
  <w:footnote w:id="32">
    <w:p w14:paraId="630C29D9" w14:textId="53AB21F7"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Protection from Eviction Act 1977, s.3.</w:t>
      </w:r>
    </w:p>
  </w:footnote>
  <w:footnote w:id="33">
    <w:p w14:paraId="2DC20D4F" w14:textId="0772323C"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 xml:space="preserve">Housing Act 1980, 89(1). This was held to be compatible with article 8 of the European Convention on Human Rights in </w:t>
      </w:r>
      <w:r w:rsidRPr="006C6AA2">
        <w:rPr>
          <w:rFonts w:cs="Arial"/>
          <w:i/>
          <w:sz w:val="20"/>
          <w:szCs w:val="20"/>
          <w:lang w:val="en-GB"/>
        </w:rPr>
        <w:t xml:space="preserve">Hounslow LBC v Powell </w:t>
      </w:r>
      <w:r w:rsidRPr="006C6AA2">
        <w:rPr>
          <w:rFonts w:cs="Arial"/>
          <w:sz w:val="20"/>
          <w:szCs w:val="20"/>
          <w:lang w:val="en-GB"/>
        </w:rPr>
        <w:t>[2011] UKCS 8.</w:t>
      </w:r>
    </w:p>
  </w:footnote>
  <w:footnote w:id="34">
    <w:p w14:paraId="5D7B3FCB" w14:textId="6AB14B6D" w:rsidR="000559E9" w:rsidRPr="006C6AA2" w:rsidRDefault="000559E9" w:rsidP="00DB56E4">
      <w:pPr>
        <w:pStyle w:val="FootnoteText"/>
        <w:rPr>
          <w:rFonts w:cs="Arial"/>
          <w:color w:val="000000" w:themeColor="text1"/>
          <w:sz w:val="20"/>
          <w:szCs w:val="20"/>
        </w:rPr>
      </w:pPr>
      <w:r w:rsidRPr="006C6AA2">
        <w:rPr>
          <w:rStyle w:val="FootnoteReference"/>
          <w:rFonts w:cs="Arial"/>
          <w:color w:val="000000" w:themeColor="text1"/>
          <w:sz w:val="20"/>
          <w:szCs w:val="20"/>
        </w:rPr>
        <w:footnoteRef/>
      </w:r>
      <w:r w:rsidRPr="006C6AA2">
        <w:rPr>
          <w:rFonts w:cs="Arial"/>
          <w:color w:val="000000" w:themeColor="text1"/>
          <w:sz w:val="20"/>
          <w:szCs w:val="20"/>
        </w:rPr>
        <w:t xml:space="preserve"> </w:t>
      </w:r>
      <w:r w:rsidRPr="006C6AA2">
        <w:rPr>
          <w:rFonts w:cs="Arial"/>
          <w:color w:val="000000" w:themeColor="text1"/>
          <w:sz w:val="20"/>
          <w:szCs w:val="20"/>
        </w:rPr>
        <w:fldChar w:fldCharType="begin"/>
      </w:r>
      <w:r w:rsidRPr="006C6AA2">
        <w:rPr>
          <w:rFonts w:cs="Arial"/>
          <w:color w:val="000000" w:themeColor="text1"/>
          <w:sz w:val="20"/>
          <w:szCs w:val="20"/>
        </w:rPr>
        <w:instrText xml:space="preserve"> ADDIN ZOTERO_ITEM CSL_CITATION {"citationID":"WO59b9Pz","properties":{"formattedCitation":"{\\rtf A Honore, {\\i{}The Quest for Security: Employees, Tenants, Wives} (Stevens 1982).}","plainCitation":"A Honore, The Quest for Security: Employees, Tenants, Wives (Stevens 1982)."},"citationItems":[{"id":1668,"uris":["http://zotero.org/users/1848022/items/SQZ2ZPVK"],"uri":["http://zotero.org/users/1848022/items/SQZ2ZPVK"],"itemData":{"id":1668,"type":"book","title":"The Quest for Security: Employees, Tenants, Wives","publisher":"Stevens","publisher-place":"London","event-place":"London","author":[{"family":"Honore","given":"A"}],"issued":{"date-parts":[["1982"]]}}}],"schema":"https://github.com/citation-style-language/schema/raw/master/csl-citation.json"} </w:instrText>
      </w:r>
      <w:r w:rsidRPr="006C6AA2">
        <w:rPr>
          <w:rFonts w:cs="Arial"/>
          <w:color w:val="000000" w:themeColor="text1"/>
          <w:sz w:val="20"/>
          <w:szCs w:val="20"/>
        </w:rPr>
        <w:fldChar w:fldCharType="separate"/>
      </w:r>
      <w:r w:rsidRPr="006C6AA2">
        <w:rPr>
          <w:rFonts w:cs="Arial"/>
          <w:color w:val="000000" w:themeColor="text1"/>
          <w:sz w:val="20"/>
          <w:szCs w:val="20"/>
        </w:rPr>
        <w:t xml:space="preserve">Anthony Honore, </w:t>
      </w:r>
      <w:r w:rsidRPr="006C6AA2">
        <w:rPr>
          <w:rFonts w:cs="Arial"/>
          <w:i/>
          <w:iCs/>
          <w:color w:val="000000" w:themeColor="text1"/>
          <w:sz w:val="20"/>
          <w:szCs w:val="20"/>
        </w:rPr>
        <w:t>The Quest for Security: Employees, Tenants, Wives</w:t>
      </w:r>
      <w:r w:rsidRPr="006C6AA2">
        <w:rPr>
          <w:rFonts w:cs="Arial"/>
          <w:color w:val="000000" w:themeColor="text1"/>
          <w:sz w:val="20"/>
          <w:szCs w:val="20"/>
        </w:rPr>
        <w:t xml:space="preserve"> (Stevens, 1982).</w:t>
      </w:r>
      <w:r w:rsidRPr="006C6AA2">
        <w:rPr>
          <w:rFonts w:cs="Arial"/>
          <w:color w:val="000000" w:themeColor="text1"/>
          <w:sz w:val="20"/>
          <w:szCs w:val="20"/>
        </w:rPr>
        <w:fldChar w:fldCharType="end"/>
      </w:r>
      <w:r w:rsidRPr="006C6AA2">
        <w:rPr>
          <w:rFonts w:cs="Arial"/>
          <w:color w:val="000000" w:themeColor="text1"/>
          <w:sz w:val="20"/>
          <w:szCs w:val="20"/>
        </w:rPr>
        <w:t xml:space="preserve"> 37</w:t>
      </w:r>
    </w:p>
  </w:footnote>
  <w:footnote w:id="35">
    <w:p w14:paraId="04CC1F9C" w14:textId="769D59A0"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1988, s.19A and Sch2A.</w:t>
      </w:r>
    </w:p>
  </w:footnote>
  <w:footnote w:id="36">
    <w:p w14:paraId="47A25AC1" w14:textId="65FB84E3"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1988, s.21(5).</w:t>
      </w:r>
    </w:p>
  </w:footnote>
  <w:footnote w:id="37">
    <w:p w14:paraId="3CC46986" w14:textId="77777777" w:rsidR="000559E9" w:rsidRPr="006C6AA2" w:rsidRDefault="000559E9" w:rsidP="001118E6">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1988, s.21(1).</w:t>
      </w:r>
    </w:p>
  </w:footnote>
  <w:footnote w:id="38">
    <w:p w14:paraId="7204014B" w14:textId="0D48C882"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English Housing Survey 2015/16: https://www.gov.uk/government/uploads/system/uploads/attachment_data/file/627686/Private_rented_sector_report_2015-16.pdf</w:t>
      </w:r>
    </w:p>
  </w:footnote>
  <w:footnote w:id="39">
    <w:p w14:paraId="0E1BADFA" w14:textId="53774286"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rPr>
        <w:fldChar w:fldCharType="begin"/>
      </w:r>
      <w:r w:rsidRPr="006C6AA2">
        <w:rPr>
          <w:rFonts w:cs="Arial"/>
          <w:sz w:val="20"/>
          <w:szCs w:val="20"/>
        </w:rPr>
        <w:instrText xml:space="preserve"> ADDIN ZOTERO_ITEM CSL_CITATION {"citationID":"I4mG5ryM","properties":{"formattedCitation":"{\\rtf Julie Rugg and David Rhodes, \\uc0\\u8216{}The Private Rented Sector: Its Contribution and Potential\\uc0\\u8217{} (Centre for Housing Policy 2008).}","plainCitation":"Julie Rugg and David Rhodes, ‘The Private Rented Sector: Its Contribution and Potential’ (Centre for Housing Policy 2008)."},"citationItems":[{"id":123,"uris":["http://zotero.org/users/1848022/items/JRAN8N2K"],"uri":["http://zotero.org/users/1848022/items/JRAN8N2K"],"itemData":{"id":123,"type":"report","title":"The Private Rented Sector: Its contribution and potential","publisher":"Centre for Housing Policy","URL":"https://www.york.ac.uk/media/chp/documents/2008/prsreviewweb.pdf","author":[{"family":"Rugg","given":"Julie"},{"family":"Rhodes","given":"David"}],"issued":{"date-parts":[["2008"]]},"accessed":{"date-parts":[["2017",8,27]]}}}],"schema":"https://github.com/citation-style-language/schema/raw/master/csl-citation.json"} </w:instrText>
      </w:r>
      <w:r w:rsidRPr="006C6AA2">
        <w:rPr>
          <w:rFonts w:cs="Arial"/>
          <w:sz w:val="20"/>
          <w:szCs w:val="20"/>
        </w:rPr>
        <w:fldChar w:fldCharType="separate"/>
      </w:r>
      <w:r>
        <w:rPr>
          <w:rFonts w:eastAsia="Times New Roman" w:cs="Arial"/>
          <w:sz w:val="20"/>
          <w:szCs w:val="20"/>
        </w:rPr>
        <w:t xml:space="preserve">Julie Rugg and David Rhodes, </w:t>
      </w:r>
      <w:r w:rsidRPr="00656F69">
        <w:rPr>
          <w:rFonts w:eastAsia="Times New Roman" w:cs="Arial"/>
          <w:i/>
          <w:sz w:val="20"/>
          <w:szCs w:val="20"/>
        </w:rPr>
        <w:t>The Private Rented Sector: Its Contribution and Potential</w:t>
      </w:r>
      <w:r w:rsidRPr="006C6AA2">
        <w:rPr>
          <w:rFonts w:eastAsia="Times New Roman" w:cs="Arial"/>
          <w:sz w:val="20"/>
          <w:szCs w:val="20"/>
        </w:rPr>
        <w:t xml:space="preserve"> (Centre for Housing Policy 2008).</w:t>
      </w:r>
      <w:r w:rsidRPr="006C6AA2">
        <w:rPr>
          <w:rFonts w:cs="Arial"/>
          <w:sz w:val="20"/>
          <w:szCs w:val="20"/>
        </w:rPr>
        <w:fldChar w:fldCharType="end"/>
      </w:r>
      <w:r w:rsidRPr="006C6AA2">
        <w:rPr>
          <w:rFonts w:cs="Arial"/>
          <w:sz w:val="20"/>
          <w:szCs w:val="20"/>
        </w:rPr>
        <w:t xml:space="preserve"> 77-79.</w:t>
      </w:r>
    </w:p>
  </w:footnote>
  <w:footnote w:id="40">
    <w:p w14:paraId="250F0F0D" w14:textId="77777777" w:rsidR="000559E9" w:rsidRPr="006C6AA2" w:rsidRDefault="000559E9" w:rsidP="00DE619B">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English Housing Survey 2015/16: https://www.gov.uk/government/uploads/system/uploads/attachment_data/file/627686/Private_rented_sector_report_2015-16.pdf</w:t>
      </w:r>
    </w:p>
  </w:footnote>
  <w:footnote w:id="41">
    <w:p w14:paraId="44D4DF8E" w14:textId="2EA795ED"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1988, s.5.</w:t>
      </w:r>
    </w:p>
  </w:footnote>
  <w:footnote w:id="42">
    <w:p w14:paraId="129B0B74" w14:textId="6E2F77AB"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1988, s.8.</w:t>
      </w:r>
    </w:p>
  </w:footnote>
  <w:footnote w:id="43">
    <w:p w14:paraId="62CDF0B6" w14:textId="2E0EBB68"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1988, s.7.</w:t>
      </w:r>
    </w:p>
  </w:footnote>
  <w:footnote w:id="44">
    <w:p w14:paraId="6A76552C" w14:textId="5C9B0446"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There is a mandatory ground for rent arrears if the rent is 8 weeks in arrears at the time of the notice and the hearing: Housing Act 1988, Sched. 2, para. 8.</w:t>
      </w:r>
    </w:p>
  </w:footnote>
  <w:footnote w:id="45">
    <w:p w14:paraId="31ED728F" w14:textId="34C4E762"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1988, ss. 7 and 9.</w:t>
      </w:r>
    </w:p>
  </w:footnote>
  <w:footnote w:id="46">
    <w:p w14:paraId="56EE8417" w14:textId="76AC41EF"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See Caroline Hunter, "From landlords to agents of social control” in Flint J., (</w:t>
      </w:r>
      <w:proofErr w:type="spellStart"/>
      <w:r w:rsidRPr="006C6AA2">
        <w:rPr>
          <w:rFonts w:cs="Arial"/>
          <w:sz w:val="20"/>
          <w:szCs w:val="20"/>
          <w:lang w:val="en-GB"/>
        </w:rPr>
        <w:t>ed</w:t>
      </w:r>
      <w:proofErr w:type="spellEnd"/>
      <w:r w:rsidRPr="006C6AA2">
        <w:rPr>
          <w:rFonts w:cs="Arial"/>
          <w:sz w:val="20"/>
          <w:szCs w:val="20"/>
          <w:lang w:val="en-GB"/>
        </w:rPr>
        <w:t xml:space="preserve">) </w:t>
      </w:r>
      <w:r w:rsidRPr="006C6AA2">
        <w:rPr>
          <w:rFonts w:cs="Arial"/>
          <w:i/>
          <w:sz w:val="20"/>
          <w:szCs w:val="20"/>
          <w:lang w:val="en-GB"/>
        </w:rPr>
        <w:t>Housing and Anti-social behaviour: theory, policy and practice</w:t>
      </w:r>
      <w:r w:rsidRPr="006C6AA2">
        <w:rPr>
          <w:rFonts w:cs="Arial"/>
          <w:sz w:val="20"/>
          <w:szCs w:val="20"/>
          <w:lang w:val="en-GB"/>
        </w:rPr>
        <w:t xml:space="preserve"> (2006: Policy Press)</w:t>
      </w:r>
    </w:p>
  </w:footnote>
  <w:footnote w:id="47">
    <w:p w14:paraId="25A27562" w14:textId="39CAE4AB" w:rsidR="000559E9" w:rsidRPr="006C6AA2" w:rsidRDefault="000559E9">
      <w:pPr>
        <w:pStyle w:val="FootnoteText"/>
        <w:rPr>
          <w:rFonts w:cs="Arial"/>
          <w:sz w:val="20"/>
          <w:szCs w:val="20"/>
          <w:lang w:val="en-GB"/>
        </w:rPr>
      </w:pPr>
      <w:r w:rsidRPr="006C6AA2">
        <w:rPr>
          <w:rStyle w:val="FootnoteReference"/>
          <w:rFonts w:cs="Arial"/>
          <w:sz w:val="20"/>
          <w:szCs w:val="20"/>
        </w:rPr>
        <w:footnoteRef/>
      </w:r>
      <w:r>
        <w:rPr>
          <w:rFonts w:cs="Arial"/>
          <w:sz w:val="20"/>
          <w:szCs w:val="20"/>
        </w:rPr>
        <w:t xml:space="preserve"> Fitzpatrick and </w:t>
      </w:r>
      <w:r w:rsidRPr="006C6AA2">
        <w:rPr>
          <w:rFonts w:cs="Arial"/>
          <w:sz w:val="20"/>
          <w:szCs w:val="20"/>
        </w:rPr>
        <w:t xml:space="preserve">Watts, op cit. </w:t>
      </w:r>
    </w:p>
  </w:footnote>
  <w:footnote w:id="48">
    <w:p w14:paraId="0C806574" w14:textId="60F59140" w:rsidR="000559E9" w:rsidRPr="006C6AA2" w:rsidRDefault="000559E9" w:rsidP="003C521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1985, s.82.</w:t>
      </w:r>
    </w:p>
  </w:footnote>
  <w:footnote w:id="49">
    <w:p w14:paraId="34C0D18F" w14:textId="2EB31EBB" w:rsidR="000559E9" w:rsidRPr="006C6AA2" w:rsidRDefault="000559E9" w:rsidP="003C521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1985, s.83.</w:t>
      </w:r>
    </w:p>
  </w:footnote>
  <w:footnote w:id="50">
    <w:p w14:paraId="64341A30" w14:textId="50A1943C" w:rsidR="000559E9" w:rsidRPr="006C6AA2" w:rsidRDefault="000559E9" w:rsidP="003C521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1985, s.84.</w:t>
      </w:r>
    </w:p>
  </w:footnote>
  <w:footnote w:id="51">
    <w:p w14:paraId="6B1601A0" w14:textId="61C0A526"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1985, Sched. 2.</w:t>
      </w:r>
    </w:p>
  </w:footnote>
  <w:footnote w:id="52">
    <w:p w14:paraId="5D7A03CD" w14:textId="56482D42" w:rsidR="000559E9" w:rsidRPr="00E5099A" w:rsidRDefault="000559E9">
      <w:pPr>
        <w:pStyle w:val="FootnoteText"/>
        <w:rPr>
          <w:lang w:val="en-GB"/>
        </w:rPr>
      </w:pPr>
      <w:r w:rsidRPr="00E5099A">
        <w:rPr>
          <w:rStyle w:val="FootnoteReference"/>
          <w:sz w:val="20"/>
          <w:szCs w:val="20"/>
        </w:rPr>
        <w:footnoteRef/>
      </w:r>
      <w:r>
        <w:t xml:space="preserve"> </w:t>
      </w:r>
      <w:r>
        <w:rPr>
          <w:rFonts w:cs="Arial"/>
          <w:sz w:val="20"/>
          <w:szCs w:val="20"/>
        </w:rPr>
        <w:t xml:space="preserve">Fitzpatrick and </w:t>
      </w:r>
      <w:r w:rsidRPr="006C6AA2">
        <w:rPr>
          <w:rFonts w:cs="Arial"/>
          <w:sz w:val="20"/>
          <w:szCs w:val="20"/>
        </w:rPr>
        <w:t>Watts, op cit.</w:t>
      </w:r>
      <w:r>
        <w:rPr>
          <w:rFonts w:cs="Arial"/>
          <w:sz w:val="20"/>
          <w:szCs w:val="20"/>
        </w:rPr>
        <w:t xml:space="preserve">, p.1022, citing: </w:t>
      </w:r>
      <w:r w:rsidRPr="00E5099A">
        <w:rPr>
          <w:rFonts w:cs="Arial"/>
          <w:sz w:val="20"/>
          <w:szCs w:val="20"/>
        </w:rPr>
        <w:t xml:space="preserve">DCLG. (2010) </w:t>
      </w:r>
      <w:r w:rsidRPr="00E5099A">
        <w:rPr>
          <w:rFonts w:cs="Arial"/>
          <w:i/>
          <w:sz w:val="20"/>
          <w:szCs w:val="20"/>
        </w:rPr>
        <w:t>Local Decisions: A Fairer Future for Social Housing.</w:t>
      </w:r>
      <w:r w:rsidRPr="00E5099A">
        <w:rPr>
          <w:rFonts w:cs="Arial"/>
          <w:sz w:val="20"/>
          <w:szCs w:val="20"/>
        </w:rPr>
        <w:t xml:space="preserve"> (London: DCLG).</w:t>
      </w:r>
    </w:p>
  </w:footnote>
  <w:footnote w:id="53">
    <w:p w14:paraId="3C921A7D" w14:textId="52AF261C"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 xml:space="preserve">See </w:t>
      </w:r>
      <w:r w:rsidRPr="006C6AA2">
        <w:rPr>
          <w:rFonts w:cs="Arial"/>
          <w:i/>
          <w:sz w:val="20"/>
          <w:szCs w:val="20"/>
          <w:lang w:val="en-GB"/>
        </w:rPr>
        <w:t>Manchester City Council v Pinnock</w:t>
      </w:r>
      <w:r w:rsidRPr="006C6AA2">
        <w:rPr>
          <w:rFonts w:cs="Arial"/>
          <w:sz w:val="20"/>
          <w:szCs w:val="20"/>
          <w:lang w:val="en-GB"/>
        </w:rPr>
        <w:t xml:space="preserve"> [2010] UKSC 45; [2011] 2 A.C. 104; </w:t>
      </w:r>
      <w:r w:rsidRPr="006C6AA2">
        <w:rPr>
          <w:rFonts w:cs="Arial"/>
          <w:i/>
          <w:sz w:val="20"/>
          <w:szCs w:val="20"/>
          <w:lang w:val="en-GB"/>
        </w:rPr>
        <w:t xml:space="preserve">Corby Borough Council v Scott, West Kent Housing Association Ltd v </w:t>
      </w:r>
      <w:proofErr w:type="spellStart"/>
      <w:r w:rsidRPr="006C6AA2">
        <w:rPr>
          <w:rFonts w:cs="Arial"/>
          <w:i/>
          <w:sz w:val="20"/>
          <w:szCs w:val="20"/>
          <w:lang w:val="en-GB"/>
        </w:rPr>
        <w:t>Haycraft</w:t>
      </w:r>
      <w:proofErr w:type="spellEnd"/>
      <w:r w:rsidRPr="006C6AA2">
        <w:rPr>
          <w:rFonts w:cs="Arial"/>
          <w:sz w:val="20"/>
          <w:szCs w:val="20"/>
          <w:lang w:val="en-GB"/>
        </w:rPr>
        <w:t xml:space="preserve"> [2012] EWCA </w:t>
      </w:r>
      <w:proofErr w:type="spellStart"/>
      <w:r w:rsidRPr="006C6AA2">
        <w:rPr>
          <w:rFonts w:cs="Arial"/>
          <w:sz w:val="20"/>
          <w:szCs w:val="20"/>
          <w:lang w:val="en-GB"/>
        </w:rPr>
        <w:t>Civ</w:t>
      </w:r>
      <w:proofErr w:type="spellEnd"/>
      <w:r w:rsidRPr="006C6AA2">
        <w:rPr>
          <w:rFonts w:cs="Arial"/>
          <w:sz w:val="20"/>
          <w:szCs w:val="20"/>
          <w:lang w:val="en-GB"/>
        </w:rPr>
        <w:t xml:space="preserve"> 276, [2012] HLR 23; </w:t>
      </w:r>
      <w:r w:rsidRPr="006C6AA2">
        <w:rPr>
          <w:rFonts w:cs="Arial"/>
          <w:i/>
          <w:sz w:val="20"/>
          <w:szCs w:val="20"/>
          <w:lang w:val="en-GB"/>
        </w:rPr>
        <w:t>Southend-on-Sea BC v Armour</w:t>
      </w:r>
      <w:r w:rsidRPr="006C6AA2">
        <w:rPr>
          <w:rFonts w:cs="Arial"/>
          <w:sz w:val="20"/>
          <w:szCs w:val="20"/>
          <w:lang w:val="en-GB"/>
        </w:rPr>
        <w:t xml:space="preserve"> [2014] EWCA </w:t>
      </w:r>
      <w:proofErr w:type="spellStart"/>
      <w:r w:rsidRPr="006C6AA2">
        <w:rPr>
          <w:rFonts w:cs="Arial"/>
          <w:sz w:val="20"/>
          <w:szCs w:val="20"/>
          <w:lang w:val="en-GB"/>
        </w:rPr>
        <w:t>Civ</w:t>
      </w:r>
      <w:proofErr w:type="spellEnd"/>
      <w:r w:rsidRPr="006C6AA2">
        <w:rPr>
          <w:rFonts w:cs="Arial"/>
          <w:sz w:val="20"/>
          <w:szCs w:val="20"/>
          <w:lang w:val="en-GB"/>
        </w:rPr>
        <w:t xml:space="preserve"> 231; [2014] H.L.R. 23.</w:t>
      </w:r>
    </w:p>
  </w:footnote>
  <w:footnote w:id="54">
    <w:p w14:paraId="341DFAF1" w14:textId="342E884F"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Article 8(1) provides that ‘everyone has the right to respect for his private and family life, his home and his correspondence’. The right is, however, a qualified one, which may not be interfered with by a public authority ‘except as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footnote>
  <w:footnote w:id="55">
    <w:p w14:paraId="0CEC405B" w14:textId="77D44A5B"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i/>
          <w:sz w:val="20"/>
          <w:szCs w:val="20"/>
          <w:lang w:val="en-GB"/>
        </w:rPr>
        <w:t>Manchester City Council v Pinnock</w:t>
      </w:r>
      <w:r w:rsidRPr="006C6AA2">
        <w:rPr>
          <w:rFonts w:cs="Arial"/>
          <w:sz w:val="20"/>
          <w:szCs w:val="20"/>
          <w:lang w:val="en-GB"/>
        </w:rPr>
        <w:t xml:space="preserve"> [2010] UKSC 45; [2011] 2 A.C. 104, para. 49</w:t>
      </w:r>
    </w:p>
  </w:footnote>
  <w:footnote w:id="56">
    <w:p w14:paraId="15551C3B" w14:textId="357EF3DD"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 xml:space="preserve">See </w:t>
      </w:r>
      <w:r>
        <w:rPr>
          <w:rFonts w:cs="Arial"/>
          <w:sz w:val="20"/>
          <w:szCs w:val="20"/>
          <w:lang w:val="en-GB"/>
        </w:rPr>
        <w:t xml:space="preserve">David Cowan </w:t>
      </w:r>
      <w:r w:rsidRPr="006C6AA2">
        <w:rPr>
          <w:rFonts w:cs="Arial"/>
          <w:sz w:val="20"/>
          <w:szCs w:val="20"/>
          <w:lang w:val="en-GB"/>
        </w:rPr>
        <w:t xml:space="preserve">and </w:t>
      </w:r>
      <w:r>
        <w:rPr>
          <w:rFonts w:cs="Arial"/>
          <w:sz w:val="20"/>
          <w:szCs w:val="20"/>
          <w:lang w:val="en-GB"/>
        </w:rPr>
        <w:t>Caroline Hunter</w:t>
      </w:r>
      <w:r w:rsidRPr="006C6AA2">
        <w:rPr>
          <w:rFonts w:cs="Arial"/>
          <w:sz w:val="20"/>
          <w:szCs w:val="20"/>
          <w:lang w:val="en-GB"/>
        </w:rPr>
        <w:t xml:space="preserve"> (2012), ‘Yeah but, no but’ – Pinnock and Powell in the Supreme Court. </w:t>
      </w:r>
      <w:r w:rsidRPr="006C6AA2">
        <w:rPr>
          <w:rFonts w:cs="Arial"/>
          <w:i/>
          <w:sz w:val="20"/>
          <w:szCs w:val="20"/>
          <w:lang w:val="en-GB"/>
        </w:rPr>
        <w:t>Mod. L. Rev</w:t>
      </w:r>
      <w:r w:rsidRPr="006C6AA2">
        <w:rPr>
          <w:rFonts w:cs="Arial"/>
          <w:sz w:val="20"/>
          <w:szCs w:val="20"/>
          <w:lang w:val="en-GB"/>
        </w:rPr>
        <w:t xml:space="preserve">., 75: 78–91 and </w:t>
      </w:r>
      <w:r>
        <w:rPr>
          <w:rFonts w:cs="Arial"/>
          <w:sz w:val="20"/>
          <w:szCs w:val="20"/>
          <w:lang w:val="en-GB"/>
        </w:rPr>
        <w:t>David Cowan</w:t>
      </w:r>
      <w:r w:rsidRPr="006C6AA2">
        <w:rPr>
          <w:rFonts w:cs="Arial"/>
          <w:sz w:val="20"/>
          <w:szCs w:val="20"/>
          <w:lang w:val="en-GB"/>
        </w:rPr>
        <w:t xml:space="preserve"> and </w:t>
      </w:r>
      <w:r>
        <w:rPr>
          <w:rFonts w:cs="Arial"/>
          <w:sz w:val="20"/>
          <w:szCs w:val="20"/>
          <w:lang w:val="en-GB"/>
        </w:rPr>
        <w:t xml:space="preserve">Caroline </w:t>
      </w:r>
      <w:r w:rsidRPr="006C6AA2">
        <w:rPr>
          <w:rFonts w:cs="Arial"/>
          <w:sz w:val="20"/>
          <w:szCs w:val="20"/>
          <w:lang w:val="en-GB"/>
        </w:rPr>
        <w:t>Hunter</w:t>
      </w:r>
      <w:r>
        <w:rPr>
          <w:rFonts w:cs="Arial"/>
          <w:sz w:val="20"/>
          <w:szCs w:val="20"/>
          <w:lang w:val="en-GB"/>
        </w:rPr>
        <w:t xml:space="preserve"> </w:t>
      </w:r>
      <w:r w:rsidRPr="006C6AA2">
        <w:rPr>
          <w:rFonts w:cs="Arial"/>
          <w:sz w:val="20"/>
          <w:szCs w:val="20"/>
          <w:lang w:val="en-GB"/>
        </w:rPr>
        <w:t xml:space="preserve">(2012), "Yeah but, no but", or just "no"? Life after Pinnock and Powell, </w:t>
      </w:r>
      <w:r w:rsidRPr="006C6AA2">
        <w:rPr>
          <w:rFonts w:cs="Arial"/>
          <w:i/>
          <w:sz w:val="20"/>
          <w:szCs w:val="20"/>
          <w:lang w:val="en-GB"/>
        </w:rPr>
        <w:t>Journal of Housing Law</w:t>
      </w:r>
      <w:r w:rsidRPr="006C6AA2">
        <w:rPr>
          <w:rFonts w:cs="Arial"/>
          <w:sz w:val="20"/>
          <w:szCs w:val="20"/>
          <w:lang w:val="en-GB"/>
        </w:rPr>
        <w:t>, 15(3), 58-62.</w:t>
      </w:r>
    </w:p>
  </w:footnote>
  <w:footnote w:id="57">
    <w:p w14:paraId="6F3BF13D" w14:textId="067BDB6B"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1996, s.124(1).</w:t>
      </w:r>
    </w:p>
  </w:footnote>
  <w:footnote w:id="58">
    <w:p w14:paraId="770BC5DA" w14:textId="677D7016"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1996, s.125. The landlord can extend this time for a further six months: s.125A.</w:t>
      </w:r>
    </w:p>
  </w:footnote>
  <w:footnote w:id="59">
    <w:p w14:paraId="18F885D5" w14:textId="757E39C9"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1996, s.127.</w:t>
      </w:r>
    </w:p>
  </w:footnote>
  <w:footnote w:id="60">
    <w:p w14:paraId="76446611" w14:textId="0824638D"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1996, s.128.</w:t>
      </w:r>
    </w:p>
  </w:footnote>
  <w:footnote w:id="61">
    <w:p w14:paraId="238CC684" w14:textId="548B1D3F"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1996, s.143D.</w:t>
      </w:r>
    </w:p>
  </w:footnote>
  <w:footnote w:id="62">
    <w:p w14:paraId="2246ED76" w14:textId="2FA04B76"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1985, s.82A</w:t>
      </w:r>
    </w:p>
  </w:footnote>
  <w:footnote w:id="63">
    <w:p w14:paraId="4ACBF50C" w14:textId="3293BA49" w:rsidR="000559E9" w:rsidRPr="006C6AA2" w:rsidRDefault="000559E9">
      <w:pPr>
        <w:pStyle w:val="FootnoteText"/>
        <w:rPr>
          <w:rFonts w:cs="Arial"/>
          <w:sz w:val="20"/>
          <w:szCs w:val="20"/>
          <w:lang w:val="en-GB"/>
        </w:rPr>
      </w:pPr>
      <w:r w:rsidRPr="006C6AA2">
        <w:rPr>
          <w:rStyle w:val="FootnoteReference"/>
          <w:rFonts w:cs="Arial"/>
          <w:sz w:val="20"/>
          <w:szCs w:val="20"/>
        </w:rPr>
        <w:footnoteRef/>
      </w:r>
      <w:r w:rsidRPr="006C6AA2">
        <w:rPr>
          <w:rFonts w:cs="Arial"/>
          <w:sz w:val="20"/>
          <w:szCs w:val="20"/>
        </w:rPr>
        <w:t xml:space="preserve"> </w:t>
      </w:r>
      <w:r w:rsidRPr="006C6AA2">
        <w:rPr>
          <w:rFonts w:cs="Arial"/>
          <w:sz w:val="20"/>
          <w:szCs w:val="20"/>
          <w:lang w:val="en-GB"/>
        </w:rPr>
        <w:t>Housing Act 1996, ss.143E, 143F.</w:t>
      </w:r>
    </w:p>
  </w:footnote>
  <w:footnote w:id="64">
    <w:p w14:paraId="687D92EF" w14:textId="3C008FDC" w:rsidR="000559E9" w:rsidRPr="000B19DC" w:rsidRDefault="000559E9">
      <w:pPr>
        <w:pStyle w:val="FootnoteText"/>
        <w:rPr>
          <w:sz w:val="20"/>
          <w:szCs w:val="20"/>
          <w:lang w:val="en-GB"/>
        </w:rPr>
      </w:pPr>
      <w:r w:rsidRPr="000B19DC">
        <w:rPr>
          <w:rStyle w:val="FootnoteReference"/>
          <w:sz w:val="20"/>
          <w:szCs w:val="20"/>
        </w:rPr>
        <w:footnoteRef/>
      </w:r>
      <w:r w:rsidRPr="000B19DC">
        <w:rPr>
          <w:sz w:val="20"/>
          <w:szCs w:val="20"/>
        </w:rPr>
        <w:t xml:space="preserve"> </w:t>
      </w:r>
      <w:r w:rsidRPr="000B19DC">
        <w:rPr>
          <w:sz w:val="20"/>
          <w:szCs w:val="20"/>
          <w:lang w:val="en-GB"/>
        </w:rPr>
        <w:t>Housing Act, s.107A.</w:t>
      </w:r>
    </w:p>
  </w:footnote>
  <w:footnote w:id="65">
    <w:p w14:paraId="7E2EA623" w14:textId="2C0AC117" w:rsidR="000559E9" w:rsidRPr="000B19DC" w:rsidRDefault="000559E9">
      <w:pPr>
        <w:pStyle w:val="FootnoteText"/>
        <w:rPr>
          <w:sz w:val="20"/>
          <w:szCs w:val="20"/>
          <w:lang w:val="en-GB"/>
        </w:rPr>
      </w:pPr>
      <w:r w:rsidRPr="000B19DC">
        <w:rPr>
          <w:rStyle w:val="FootnoteReference"/>
          <w:sz w:val="20"/>
          <w:szCs w:val="20"/>
        </w:rPr>
        <w:footnoteRef/>
      </w:r>
      <w:r w:rsidRPr="000B19DC">
        <w:rPr>
          <w:sz w:val="20"/>
          <w:szCs w:val="20"/>
        </w:rPr>
        <w:t xml:space="preserve"> </w:t>
      </w:r>
      <w:r w:rsidRPr="000B19DC">
        <w:rPr>
          <w:sz w:val="20"/>
          <w:szCs w:val="20"/>
          <w:lang w:val="en-GB"/>
        </w:rPr>
        <w:t>Housing Act 1995, s.107D.</w:t>
      </w:r>
    </w:p>
  </w:footnote>
  <w:footnote w:id="66">
    <w:p w14:paraId="4359BE37" w14:textId="5D7EA89F" w:rsidR="000559E9" w:rsidRPr="000B19DC" w:rsidRDefault="000559E9">
      <w:pPr>
        <w:pStyle w:val="FootnoteText"/>
        <w:rPr>
          <w:sz w:val="20"/>
          <w:szCs w:val="20"/>
          <w:lang w:val="en-GB"/>
        </w:rPr>
      </w:pPr>
      <w:r w:rsidRPr="000B19DC">
        <w:rPr>
          <w:rStyle w:val="FootnoteReference"/>
          <w:sz w:val="20"/>
          <w:szCs w:val="20"/>
        </w:rPr>
        <w:footnoteRef/>
      </w:r>
      <w:r w:rsidRPr="000B19DC">
        <w:rPr>
          <w:sz w:val="20"/>
          <w:szCs w:val="20"/>
        </w:rPr>
        <w:t xml:space="preserve"> </w:t>
      </w:r>
      <w:r w:rsidRPr="000B19DC">
        <w:rPr>
          <w:sz w:val="20"/>
          <w:szCs w:val="20"/>
          <w:lang w:val="en-GB"/>
        </w:rPr>
        <w:t>ibid.</w:t>
      </w:r>
    </w:p>
  </w:footnote>
  <w:footnote w:id="67">
    <w:p w14:paraId="55F04681" w14:textId="1A70BB2B" w:rsidR="000559E9" w:rsidRPr="008D5B48" w:rsidRDefault="000559E9">
      <w:pPr>
        <w:pStyle w:val="FootnoteText"/>
        <w:rPr>
          <w:sz w:val="20"/>
          <w:szCs w:val="20"/>
          <w:lang w:val="en-GB"/>
        </w:rPr>
      </w:pPr>
      <w:r w:rsidRPr="008D5B48">
        <w:rPr>
          <w:rStyle w:val="FootnoteReference"/>
          <w:sz w:val="20"/>
          <w:szCs w:val="20"/>
        </w:rPr>
        <w:footnoteRef/>
      </w:r>
      <w:r w:rsidRPr="008D5B48">
        <w:rPr>
          <w:sz w:val="20"/>
          <w:szCs w:val="20"/>
        </w:rPr>
        <w:t xml:space="preserve"> </w:t>
      </w:r>
      <w:r w:rsidRPr="008D5B48">
        <w:rPr>
          <w:sz w:val="20"/>
          <w:szCs w:val="20"/>
          <w:lang w:val="en-GB"/>
        </w:rPr>
        <w:t>The Rent Act 1977 had generous succession provision to a spouse and then to a further member of the family</w:t>
      </w:r>
      <w:r>
        <w:rPr>
          <w:sz w:val="20"/>
          <w:szCs w:val="20"/>
          <w:lang w:val="en-GB"/>
        </w:rPr>
        <w:t>: see Rent Act 1977, Sched. 1.</w:t>
      </w:r>
    </w:p>
  </w:footnote>
  <w:footnote w:id="68">
    <w:p w14:paraId="49C45860" w14:textId="77290B8E" w:rsidR="000559E9" w:rsidRPr="00F60F49" w:rsidRDefault="000559E9">
      <w:pPr>
        <w:pStyle w:val="FootnoteText"/>
        <w:rPr>
          <w:sz w:val="20"/>
          <w:szCs w:val="20"/>
          <w:lang w:val="en-GB"/>
        </w:rPr>
      </w:pPr>
      <w:r w:rsidRPr="00F60F49">
        <w:rPr>
          <w:rStyle w:val="FootnoteReference"/>
          <w:sz w:val="20"/>
          <w:szCs w:val="20"/>
        </w:rPr>
        <w:footnoteRef/>
      </w:r>
      <w:r w:rsidRPr="00F60F49">
        <w:rPr>
          <w:sz w:val="20"/>
          <w:szCs w:val="20"/>
        </w:rPr>
        <w:t xml:space="preserve"> </w:t>
      </w:r>
      <w:r w:rsidRPr="00F60F49">
        <w:rPr>
          <w:sz w:val="20"/>
          <w:szCs w:val="20"/>
          <w:lang w:val="en-GB"/>
        </w:rPr>
        <w:t>Housing Act 1988, s.17.</w:t>
      </w:r>
    </w:p>
  </w:footnote>
  <w:footnote w:id="69">
    <w:p w14:paraId="6FB7C3EF" w14:textId="1B4FAD97" w:rsidR="000559E9" w:rsidRPr="00F60F49" w:rsidRDefault="000559E9">
      <w:pPr>
        <w:pStyle w:val="FootnoteText"/>
        <w:rPr>
          <w:sz w:val="20"/>
          <w:szCs w:val="20"/>
          <w:lang w:val="en-GB"/>
        </w:rPr>
      </w:pPr>
      <w:r w:rsidRPr="00F60F49">
        <w:rPr>
          <w:rStyle w:val="FootnoteReference"/>
          <w:sz w:val="20"/>
          <w:szCs w:val="20"/>
        </w:rPr>
        <w:footnoteRef/>
      </w:r>
      <w:r w:rsidRPr="00F60F49">
        <w:rPr>
          <w:sz w:val="20"/>
          <w:szCs w:val="20"/>
        </w:rPr>
        <w:t xml:space="preserve"> </w:t>
      </w:r>
      <w:r w:rsidRPr="00F60F49">
        <w:rPr>
          <w:sz w:val="20"/>
          <w:szCs w:val="20"/>
          <w:lang w:val="en-GB"/>
        </w:rPr>
        <w:t>Housing Act 1985, s.87.</w:t>
      </w:r>
    </w:p>
  </w:footnote>
  <w:footnote w:id="70">
    <w:p w14:paraId="6FD19522" w14:textId="72B2CE02" w:rsidR="000559E9" w:rsidRPr="00F60F49" w:rsidRDefault="000559E9">
      <w:pPr>
        <w:pStyle w:val="FootnoteText"/>
        <w:rPr>
          <w:sz w:val="20"/>
          <w:szCs w:val="20"/>
          <w:lang w:val="en-GB"/>
        </w:rPr>
      </w:pPr>
      <w:r w:rsidRPr="00F60F49">
        <w:rPr>
          <w:rStyle w:val="FootnoteReference"/>
          <w:sz w:val="20"/>
          <w:szCs w:val="20"/>
        </w:rPr>
        <w:footnoteRef/>
      </w:r>
      <w:r w:rsidRPr="00F60F49">
        <w:rPr>
          <w:sz w:val="20"/>
          <w:szCs w:val="20"/>
        </w:rPr>
        <w:t xml:space="preserve"> </w:t>
      </w:r>
      <w:r w:rsidRPr="00F60F49">
        <w:rPr>
          <w:sz w:val="20"/>
          <w:szCs w:val="20"/>
          <w:lang w:val="en-GB"/>
        </w:rPr>
        <w:t>See Localism Act</w:t>
      </w:r>
      <w:r>
        <w:rPr>
          <w:sz w:val="20"/>
          <w:szCs w:val="20"/>
          <w:lang w:val="en-GB"/>
        </w:rPr>
        <w:t xml:space="preserve"> 2011,</w:t>
      </w:r>
      <w:r w:rsidRPr="00F60F49">
        <w:rPr>
          <w:sz w:val="20"/>
          <w:szCs w:val="20"/>
          <w:lang w:val="en-GB"/>
        </w:rPr>
        <w:t xml:space="preserve"> s.160.</w:t>
      </w:r>
    </w:p>
  </w:footnote>
  <w:footnote w:id="71">
    <w:p w14:paraId="4185978C" w14:textId="37552834" w:rsidR="000559E9" w:rsidRPr="00CF642C" w:rsidRDefault="000559E9">
      <w:pPr>
        <w:pStyle w:val="FootnoteText"/>
        <w:rPr>
          <w:sz w:val="20"/>
          <w:szCs w:val="20"/>
          <w:lang w:val="en-GB"/>
        </w:rPr>
      </w:pPr>
      <w:r w:rsidRPr="00CF642C">
        <w:rPr>
          <w:rStyle w:val="FootnoteReference"/>
          <w:sz w:val="20"/>
          <w:szCs w:val="20"/>
        </w:rPr>
        <w:footnoteRef/>
      </w:r>
      <w:r w:rsidRPr="00CF642C">
        <w:rPr>
          <w:sz w:val="20"/>
          <w:szCs w:val="20"/>
        </w:rPr>
        <w:t xml:space="preserve"> Andrew Arden et al, </w:t>
      </w:r>
      <w:r w:rsidRPr="00CF642C">
        <w:rPr>
          <w:sz w:val="20"/>
          <w:szCs w:val="20"/>
          <w:lang w:val="en-GB"/>
        </w:rPr>
        <w:t xml:space="preserve">op </w:t>
      </w:r>
      <w:proofErr w:type="spellStart"/>
      <w:r w:rsidRPr="00CF642C">
        <w:rPr>
          <w:sz w:val="20"/>
          <w:szCs w:val="20"/>
          <w:lang w:val="en-GB"/>
        </w:rPr>
        <w:t>cit</w:t>
      </w:r>
      <w:proofErr w:type="spellEnd"/>
      <w:r w:rsidRPr="00CF642C">
        <w:rPr>
          <w:sz w:val="20"/>
          <w:szCs w:val="20"/>
          <w:lang w:val="en-GB"/>
        </w:rPr>
        <w:t>, para.2-05.</w:t>
      </w:r>
    </w:p>
  </w:footnote>
  <w:footnote w:id="72">
    <w:p w14:paraId="28CF2BA0" w14:textId="58F41FB1" w:rsidR="000559E9" w:rsidRPr="00CF642C" w:rsidRDefault="000559E9">
      <w:pPr>
        <w:pStyle w:val="FootnoteText"/>
        <w:rPr>
          <w:sz w:val="20"/>
          <w:szCs w:val="20"/>
          <w:lang w:val="en-GB"/>
        </w:rPr>
      </w:pPr>
      <w:r w:rsidRPr="00CF642C">
        <w:rPr>
          <w:rStyle w:val="FootnoteReference"/>
          <w:sz w:val="20"/>
          <w:szCs w:val="20"/>
        </w:rPr>
        <w:footnoteRef/>
      </w:r>
      <w:r w:rsidRPr="00CF642C">
        <w:rPr>
          <w:sz w:val="20"/>
          <w:szCs w:val="20"/>
        </w:rPr>
        <w:t xml:space="preserve"> </w:t>
      </w:r>
      <w:r w:rsidRPr="00CF642C">
        <w:rPr>
          <w:sz w:val="20"/>
          <w:szCs w:val="20"/>
          <w:lang w:val="en-GB"/>
        </w:rPr>
        <w:t>Ibid. para. 16-07.</w:t>
      </w:r>
    </w:p>
  </w:footnote>
  <w:footnote w:id="73">
    <w:p w14:paraId="5B1D016D" w14:textId="6F09CF37" w:rsidR="000559E9" w:rsidRPr="00CF642C" w:rsidRDefault="000559E9">
      <w:pPr>
        <w:pStyle w:val="FootnoteText"/>
        <w:rPr>
          <w:sz w:val="20"/>
          <w:szCs w:val="20"/>
          <w:lang w:val="en-GB"/>
        </w:rPr>
      </w:pPr>
      <w:r w:rsidRPr="00CF642C">
        <w:rPr>
          <w:rStyle w:val="FootnoteReference"/>
          <w:sz w:val="20"/>
          <w:szCs w:val="20"/>
        </w:rPr>
        <w:footnoteRef/>
      </w:r>
      <w:r w:rsidRPr="00CF642C">
        <w:rPr>
          <w:sz w:val="20"/>
          <w:szCs w:val="20"/>
        </w:rPr>
        <w:t xml:space="preserve"> </w:t>
      </w:r>
      <w:r w:rsidRPr="00CF642C">
        <w:rPr>
          <w:sz w:val="20"/>
          <w:szCs w:val="20"/>
          <w:lang w:val="en-GB"/>
        </w:rPr>
        <w:t xml:space="preserve">Ibid, citing </w:t>
      </w:r>
      <w:r w:rsidRPr="00CF642C">
        <w:rPr>
          <w:i/>
          <w:sz w:val="20"/>
          <w:szCs w:val="20"/>
          <w:lang w:val="en-GB"/>
        </w:rPr>
        <w:t xml:space="preserve">Southwark LBC v Tanner </w:t>
      </w:r>
      <w:r w:rsidRPr="00CF642C">
        <w:rPr>
          <w:sz w:val="20"/>
          <w:szCs w:val="20"/>
          <w:lang w:val="en-GB"/>
        </w:rPr>
        <w:t>[2001] 1 AC 1.</w:t>
      </w:r>
    </w:p>
  </w:footnote>
  <w:footnote w:id="74">
    <w:p w14:paraId="7458ED02" w14:textId="06C964D4" w:rsidR="000559E9" w:rsidRPr="00CF642C" w:rsidRDefault="000559E9">
      <w:pPr>
        <w:pStyle w:val="FootnoteText"/>
        <w:rPr>
          <w:sz w:val="20"/>
          <w:szCs w:val="20"/>
          <w:lang w:val="en-GB"/>
        </w:rPr>
      </w:pPr>
      <w:r w:rsidRPr="00CF642C">
        <w:rPr>
          <w:rStyle w:val="FootnoteReference"/>
          <w:sz w:val="20"/>
          <w:szCs w:val="20"/>
        </w:rPr>
        <w:footnoteRef/>
      </w:r>
      <w:r w:rsidRPr="00CF642C">
        <w:rPr>
          <w:sz w:val="20"/>
          <w:szCs w:val="20"/>
        </w:rPr>
        <w:t xml:space="preserve"> </w:t>
      </w:r>
      <w:r w:rsidRPr="00CF642C">
        <w:rPr>
          <w:sz w:val="20"/>
          <w:szCs w:val="20"/>
          <w:lang w:val="en-GB"/>
        </w:rPr>
        <w:t>In contract proceedings and a statutory tort: see Housing Act 1988, s.27.</w:t>
      </w:r>
    </w:p>
  </w:footnote>
  <w:footnote w:id="75">
    <w:p w14:paraId="34E23A3D" w14:textId="434F734B" w:rsidR="000559E9" w:rsidRPr="00CF642C" w:rsidRDefault="000559E9">
      <w:pPr>
        <w:pStyle w:val="FootnoteText"/>
        <w:rPr>
          <w:sz w:val="20"/>
          <w:szCs w:val="20"/>
          <w:lang w:val="en-GB"/>
        </w:rPr>
      </w:pPr>
      <w:r w:rsidRPr="00CF642C">
        <w:rPr>
          <w:rStyle w:val="FootnoteReference"/>
          <w:sz w:val="20"/>
          <w:szCs w:val="20"/>
        </w:rPr>
        <w:footnoteRef/>
      </w:r>
      <w:r w:rsidRPr="00CF642C">
        <w:rPr>
          <w:sz w:val="20"/>
          <w:szCs w:val="20"/>
        </w:rPr>
        <w:t xml:space="preserve"> </w:t>
      </w:r>
      <w:r w:rsidRPr="00CF642C">
        <w:rPr>
          <w:sz w:val="20"/>
          <w:szCs w:val="20"/>
          <w:lang w:val="en-GB"/>
        </w:rPr>
        <w:t>Protection Eviction Act 1977, s.</w:t>
      </w:r>
      <w:r>
        <w:rPr>
          <w:sz w:val="20"/>
          <w:szCs w:val="20"/>
          <w:lang w:val="en-GB"/>
        </w:rPr>
        <w:t xml:space="preserve">1(3) and </w:t>
      </w:r>
      <w:r w:rsidRPr="00CF642C">
        <w:rPr>
          <w:sz w:val="20"/>
          <w:szCs w:val="20"/>
          <w:lang w:val="en-GB"/>
        </w:rPr>
        <w:t>(3</w:t>
      </w:r>
      <w:r>
        <w:rPr>
          <w:sz w:val="20"/>
          <w:szCs w:val="20"/>
          <w:lang w:val="en-GB"/>
        </w:rPr>
        <w:t>A</w:t>
      </w:r>
      <w:r w:rsidRPr="00CF642C">
        <w:rPr>
          <w:sz w:val="20"/>
          <w:szCs w:val="20"/>
          <w:lang w:val="en-GB"/>
        </w:rPr>
        <w:t>) creating crime</w:t>
      </w:r>
      <w:r>
        <w:rPr>
          <w:sz w:val="20"/>
          <w:szCs w:val="20"/>
          <w:lang w:val="en-GB"/>
        </w:rPr>
        <w:t>s</w:t>
      </w:r>
      <w:r w:rsidRPr="00CF642C">
        <w:rPr>
          <w:sz w:val="20"/>
          <w:szCs w:val="20"/>
          <w:lang w:val="en-GB"/>
        </w:rPr>
        <w:t xml:space="preserve"> of harassment by landlords or their agents.</w:t>
      </w:r>
    </w:p>
  </w:footnote>
  <w:footnote w:id="76">
    <w:p w14:paraId="37B645C4" w14:textId="42E89452" w:rsidR="000559E9" w:rsidRPr="00FC7C11" w:rsidRDefault="000559E9">
      <w:pPr>
        <w:pStyle w:val="FootnoteText"/>
        <w:rPr>
          <w:sz w:val="20"/>
          <w:szCs w:val="20"/>
          <w:lang w:val="en-GB"/>
        </w:rPr>
      </w:pPr>
      <w:r w:rsidRPr="00FC7C11">
        <w:rPr>
          <w:rStyle w:val="FootnoteReference"/>
          <w:sz w:val="20"/>
          <w:szCs w:val="20"/>
        </w:rPr>
        <w:footnoteRef/>
      </w:r>
      <w:r w:rsidRPr="00FC7C11">
        <w:rPr>
          <w:sz w:val="20"/>
          <w:szCs w:val="20"/>
        </w:rPr>
        <w:t xml:space="preserve"> </w:t>
      </w:r>
      <w:r w:rsidRPr="00FC7C11">
        <w:rPr>
          <w:sz w:val="20"/>
          <w:szCs w:val="20"/>
          <w:lang w:val="en-GB"/>
        </w:rPr>
        <w:t>See</w:t>
      </w:r>
      <w:r>
        <w:rPr>
          <w:sz w:val="20"/>
          <w:szCs w:val="20"/>
          <w:lang w:val="en-GB"/>
        </w:rPr>
        <w:t>:</w:t>
      </w:r>
      <w:r w:rsidRPr="00FC7C11">
        <w:rPr>
          <w:sz w:val="20"/>
          <w:szCs w:val="20"/>
          <w:lang w:val="en-GB"/>
        </w:rPr>
        <w:t xml:space="preserve"> https://www.gov.uk/government/publications/unfair-terms-in-tenancy-agreements--2</w:t>
      </w:r>
    </w:p>
  </w:footnote>
  <w:footnote w:id="77">
    <w:p w14:paraId="67C4DCB3" w14:textId="5E055AB2" w:rsidR="000559E9" w:rsidRPr="00D50631" w:rsidRDefault="000559E9">
      <w:pPr>
        <w:pStyle w:val="FootnoteText"/>
        <w:rPr>
          <w:sz w:val="20"/>
          <w:szCs w:val="20"/>
          <w:lang w:val="en-GB"/>
        </w:rPr>
      </w:pPr>
      <w:r w:rsidRPr="00D50631">
        <w:rPr>
          <w:rStyle w:val="FootnoteReference"/>
          <w:sz w:val="20"/>
          <w:szCs w:val="20"/>
        </w:rPr>
        <w:footnoteRef/>
      </w:r>
      <w:r w:rsidRPr="00D50631">
        <w:rPr>
          <w:sz w:val="20"/>
          <w:szCs w:val="20"/>
        </w:rPr>
        <w:t xml:space="preserve"> Office of Fair Trading, </w:t>
      </w:r>
      <w:r w:rsidRPr="00D50631">
        <w:rPr>
          <w:i/>
          <w:sz w:val="20"/>
          <w:szCs w:val="20"/>
        </w:rPr>
        <w:t xml:space="preserve">Guidance on unfair terms in tenancy agreements </w:t>
      </w:r>
      <w:r w:rsidRPr="00D50631">
        <w:rPr>
          <w:sz w:val="20"/>
          <w:szCs w:val="20"/>
        </w:rPr>
        <w:t>(September, 2005), 64</w:t>
      </w:r>
    </w:p>
  </w:footnote>
  <w:footnote w:id="78">
    <w:p w14:paraId="73848D7A" w14:textId="0E753E6D" w:rsidR="000559E9" w:rsidRPr="00D50631" w:rsidRDefault="000559E9">
      <w:pPr>
        <w:pStyle w:val="FootnoteText"/>
        <w:rPr>
          <w:sz w:val="20"/>
          <w:szCs w:val="20"/>
          <w:lang w:val="en-GB"/>
        </w:rPr>
      </w:pPr>
      <w:r w:rsidRPr="00D50631">
        <w:rPr>
          <w:rStyle w:val="FootnoteReference"/>
          <w:sz w:val="20"/>
          <w:szCs w:val="20"/>
        </w:rPr>
        <w:footnoteRef/>
      </w:r>
      <w:r w:rsidRPr="00D50631">
        <w:rPr>
          <w:sz w:val="20"/>
          <w:szCs w:val="20"/>
        </w:rPr>
        <w:t xml:space="preserve"> Ibid.</w:t>
      </w:r>
    </w:p>
  </w:footnote>
  <w:footnote w:id="79">
    <w:p w14:paraId="5700A28A" w14:textId="7548A596" w:rsidR="000559E9" w:rsidRPr="006E0264" w:rsidRDefault="000559E9">
      <w:pPr>
        <w:pStyle w:val="FootnoteText"/>
        <w:rPr>
          <w:sz w:val="20"/>
          <w:szCs w:val="20"/>
          <w:lang w:val="en-GB"/>
        </w:rPr>
      </w:pPr>
      <w:r w:rsidRPr="006E0264">
        <w:rPr>
          <w:rStyle w:val="FootnoteReference"/>
          <w:sz w:val="20"/>
          <w:szCs w:val="20"/>
        </w:rPr>
        <w:footnoteRef/>
      </w:r>
      <w:r w:rsidRPr="006E0264">
        <w:rPr>
          <w:sz w:val="20"/>
          <w:szCs w:val="20"/>
        </w:rPr>
        <w:t xml:space="preserve"> </w:t>
      </w:r>
      <w:r w:rsidRPr="006E0264">
        <w:rPr>
          <w:sz w:val="20"/>
          <w:szCs w:val="20"/>
          <w:lang w:val="en-GB"/>
        </w:rPr>
        <w:t>Rent Act 1977, s.70(2).</w:t>
      </w:r>
    </w:p>
  </w:footnote>
  <w:footnote w:id="80">
    <w:p w14:paraId="0E859777" w14:textId="764F237E" w:rsidR="000559E9" w:rsidRPr="006E0264" w:rsidRDefault="000559E9">
      <w:pPr>
        <w:pStyle w:val="FootnoteText"/>
        <w:rPr>
          <w:sz w:val="20"/>
          <w:szCs w:val="20"/>
          <w:lang w:val="en-GB"/>
        </w:rPr>
      </w:pPr>
      <w:r w:rsidRPr="006E0264">
        <w:rPr>
          <w:rStyle w:val="FootnoteReference"/>
          <w:sz w:val="20"/>
          <w:szCs w:val="20"/>
        </w:rPr>
        <w:footnoteRef/>
      </w:r>
      <w:r w:rsidRPr="006E0264">
        <w:rPr>
          <w:sz w:val="20"/>
          <w:szCs w:val="20"/>
        </w:rPr>
        <w:t xml:space="preserve"> </w:t>
      </w:r>
      <w:r w:rsidRPr="006E0264">
        <w:rPr>
          <w:sz w:val="20"/>
          <w:szCs w:val="20"/>
          <w:lang w:val="en-GB"/>
        </w:rPr>
        <w:t xml:space="preserve">Per Lord </w:t>
      </w:r>
      <w:proofErr w:type="spellStart"/>
      <w:r w:rsidRPr="006E0264">
        <w:rPr>
          <w:sz w:val="20"/>
          <w:szCs w:val="20"/>
          <w:lang w:val="en-GB"/>
        </w:rPr>
        <w:t>Widgery</w:t>
      </w:r>
      <w:proofErr w:type="spellEnd"/>
      <w:r w:rsidRPr="006E0264">
        <w:rPr>
          <w:sz w:val="20"/>
          <w:szCs w:val="20"/>
          <w:lang w:val="en-GB"/>
        </w:rPr>
        <w:t xml:space="preserve"> CJ in </w:t>
      </w:r>
      <w:r w:rsidRPr="006E0264">
        <w:rPr>
          <w:i/>
          <w:sz w:val="20"/>
          <w:szCs w:val="20"/>
          <w:lang w:val="en-GB"/>
        </w:rPr>
        <w:t xml:space="preserve">Metropolitan Property Holding v </w:t>
      </w:r>
      <w:proofErr w:type="spellStart"/>
      <w:r w:rsidRPr="006E0264">
        <w:rPr>
          <w:i/>
          <w:sz w:val="20"/>
          <w:szCs w:val="20"/>
          <w:lang w:val="en-GB"/>
        </w:rPr>
        <w:t>Finegold</w:t>
      </w:r>
      <w:proofErr w:type="spellEnd"/>
      <w:r w:rsidRPr="006E0264">
        <w:rPr>
          <w:i/>
          <w:sz w:val="20"/>
          <w:szCs w:val="20"/>
          <w:lang w:val="en-GB"/>
        </w:rPr>
        <w:t xml:space="preserve"> </w:t>
      </w:r>
      <w:r w:rsidRPr="006E0264">
        <w:rPr>
          <w:sz w:val="20"/>
          <w:szCs w:val="20"/>
          <w:lang w:val="en-GB"/>
        </w:rPr>
        <w:t>[1975] 1 WLR 349, 352.</w:t>
      </w:r>
    </w:p>
  </w:footnote>
  <w:footnote w:id="81">
    <w:p w14:paraId="69D0BBC2" w14:textId="6E1280D1" w:rsidR="000559E9" w:rsidRPr="00CE29F6" w:rsidRDefault="000559E9">
      <w:pPr>
        <w:pStyle w:val="FootnoteText"/>
        <w:rPr>
          <w:sz w:val="20"/>
          <w:szCs w:val="20"/>
          <w:lang w:val="en-GB"/>
        </w:rPr>
      </w:pPr>
      <w:r w:rsidRPr="00CE29F6">
        <w:rPr>
          <w:rStyle w:val="FootnoteReference"/>
          <w:sz w:val="20"/>
          <w:szCs w:val="20"/>
        </w:rPr>
        <w:footnoteRef/>
      </w:r>
      <w:r w:rsidRPr="00CE29F6">
        <w:rPr>
          <w:sz w:val="20"/>
          <w:szCs w:val="20"/>
        </w:rPr>
        <w:t xml:space="preserve"> </w:t>
      </w:r>
      <w:r w:rsidRPr="00CE29F6">
        <w:rPr>
          <w:sz w:val="20"/>
          <w:szCs w:val="20"/>
          <w:lang w:val="en-GB"/>
        </w:rPr>
        <w:t>Housing Act 1988, s.22.</w:t>
      </w:r>
    </w:p>
  </w:footnote>
  <w:footnote w:id="82">
    <w:p w14:paraId="4F969992" w14:textId="6F180C8D" w:rsidR="000559E9" w:rsidRPr="00CE29F6" w:rsidRDefault="000559E9">
      <w:pPr>
        <w:pStyle w:val="FootnoteText"/>
        <w:rPr>
          <w:sz w:val="20"/>
          <w:szCs w:val="20"/>
          <w:lang w:val="en-GB"/>
        </w:rPr>
      </w:pPr>
      <w:r w:rsidRPr="00CE29F6">
        <w:rPr>
          <w:rStyle w:val="FootnoteReference"/>
          <w:sz w:val="20"/>
          <w:szCs w:val="20"/>
        </w:rPr>
        <w:footnoteRef/>
      </w:r>
      <w:r w:rsidRPr="00CE29F6">
        <w:rPr>
          <w:sz w:val="20"/>
          <w:szCs w:val="20"/>
        </w:rPr>
        <w:t xml:space="preserve"> </w:t>
      </w:r>
      <w:r w:rsidRPr="00CE29F6">
        <w:rPr>
          <w:sz w:val="20"/>
          <w:szCs w:val="20"/>
          <w:lang w:val="en-GB"/>
        </w:rPr>
        <w:t>Ibid.</w:t>
      </w:r>
    </w:p>
  </w:footnote>
  <w:footnote w:id="83">
    <w:p w14:paraId="6CAB776E" w14:textId="09815F58" w:rsidR="000559E9" w:rsidRPr="004D5CDE" w:rsidRDefault="000559E9">
      <w:pPr>
        <w:pStyle w:val="FootnoteText"/>
        <w:rPr>
          <w:sz w:val="20"/>
          <w:szCs w:val="20"/>
          <w:lang w:val="en-GB"/>
        </w:rPr>
      </w:pPr>
      <w:r w:rsidRPr="004D5CDE">
        <w:rPr>
          <w:rStyle w:val="FootnoteReference"/>
          <w:sz w:val="20"/>
          <w:szCs w:val="20"/>
        </w:rPr>
        <w:footnoteRef/>
      </w:r>
      <w:r w:rsidRPr="004D5CDE">
        <w:rPr>
          <w:sz w:val="20"/>
          <w:szCs w:val="20"/>
        </w:rPr>
        <w:t xml:space="preserve"> </w:t>
      </w:r>
      <w:r w:rsidRPr="004D5CDE">
        <w:rPr>
          <w:sz w:val="20"/>
          <w:szCs w:val="20"/>
          <w:lang w:val="en-GB"/>
        </w:rPr>
        <w:t>Housing Act 1988, s.13(2).</w:t>
      </w:r>
    </w:p>
  </w:footnote>
  <w:footnote w:id="84">
    <w:p w14:paraId="420ADEB0" w14:textId="6E20523B" w:rsidR="000559E9" w:rsidRPr="004D5CDE" w:rsidRDefault="000559E9">
      <w:pPr>
        <w:pStyle w:val="FootnoteText"/>
        <w:rPr>
          <w:sz w:val="20"/>
          <w:szCs w:val="20"/>
          <w:lang w:val="en-GB"/>
        </w:rPr>
      </w:pPr>
      <w:r w:rsidRPr="004D5CDE">
        <w:rPr>
          <w:rStyle w:val="FootnoteReference"/>
          <w:sz w:val="20"/>
          <w:szCs w:val="20"/>
        </w:rPr>
        <w:footnoteRef/>
      </w:r>
      <w:r w:rsidRPr="004D5CDE">
        <w:rPr>
          <w:sz w:val="20"/>
          <w:szCs w:val="20"/>
        </w:rPr>
        <w:t xml:space="preserve"> Ibid.</w:t>
      </w:r>
    </w:p>
  </w:footnote>
  <w:footnote w:id="85">
    <w:p w14:paraId="7CD3899E" w14:textId="32953434" w:rsidR="000559E9" w:rsidRPr="004D5CDE" w:rsidRDefault="000559E9">
      <w:pPr>
        <w:pStyle w:val="FootnoteText"/>
        <w:rPr>
          <w:sz w:val="20"/>
          <w:szCs w:val="20"/>
          <w:lang w:val="en-GB"/>
        </w:rPr>
      </w:pPr>
      <w:r w:rsidRPr="004D5CDE">
        <w:rPr>
          <w:rStyle w:val="FootnoteReference"/>
          <w:sz w:val="20"/>
          <w:szCs w:val="20"/>
        </w:rPr>
        <w:footnoteRef/>
      </w:r>
      <w:r w:rsidRPr="004D5CDE">
        <w:rPr>
          <w:sz w:val="20"/>
          <w:szCs w:val="20"/>
        </w:rPr>
        <w:t xml:space="preserve"> Housing Act 1988, s.13(4).</w:t>
      </w:r>
    </w:p>
  </w:footnote>
  <w:footnote w:id="86">
    <w:p w14:paraId="40CF030D" w14:textId="68FFA621" w:rsidR="000559E9" w:rsidRPr="004D5CDE" w:rsidRDefault="000559E9">
      <w:pPr>
        <w:pStyle w:val="FootnoteText"/>
        <w:rPr>
          <w:sz w:val="20"/>
          <w:szCs w:val="20"/>
          <w:lang w:val="en-GB"/>
        </w:rPr>
      </w:pPr>
      <w:r w:rsidRPr="004D5CDE">
        <w:rPr>
          <w:rStyle w:val="FootnoteReference"/>
          <w:sz w:val="20"/>
          <w:szCs w:val="20"/>
        </w:rPr>
        <w:footnoteRef/>
      </w:r>
      <w:r w:rsidRPr="004D5CDE">
        <w:rPr>
          <w:sz w:val="20"/>
          <w:szCs w:val="20"/>
        </w:rPr>
        <w:t xml:space="preserve"> Housing Act 1988, s.14.</w:t>
      </w:r>
    </w:p>
  </w:footnote>
  <w:footnote w:id="87">
    <w:p w14:paraId="1C473078" w14:textId="4FB4D10A" w:rsidR="000559E9" w:rsidRPr="005155DF" w:rsidRDefault="000559E9">
      <w:pPr>
        <w:pStyle w:val="FootnoteText"/>
        <w:rPr>
          <w:sz w:val="20"/>
          <w:szCs w:val="20"/>
          <w:lang w:val="en-GB"/>
        </w:rPr>
      </w:pPr>
      <w:r w:rsidRPr="005155DF">
        <w:rPr>
          <w:rStyle w:val="FootnoteReference"/>
          <w:sz w:val="20"/>
          <w:szCs w:val="20"/>
        </w:rPr>
        <w:footnoteRef/>
      </w:r>
      <w:r w:rsidRPr="005155DF">
        <w:rPr>
          <w:sz w:val="20"/>
          <w:szCs w:val="20"/>
        </w:rPr>
        <w:t xml:space="preserve"> </w:t>
      </w:r>
      <w:r w:rsidRPr="005155DF">
        <w:rPr>
          <w:sz w:val="20"/>
          <w:szCs w:val="20"/>
          <w:lang w:val="en-GB"/>
        </w:rPr>
        <w:t>Housing Act 1985, s.24(1).</w:t>
      </w:r>
    </w:p>
  </w:footnote>
  <w:footnote w:id="88">
    <w:p w14:paraId="230638FB" w14:textId="2E8A23B8" w:rsidR="000559E9" w:rsidRPr="005155DF" w:rsidRDefault="000559E9">
      <w:pPr>
        <w:pStyle w:val="FootnoteText"/>
        <w:rPr>
          <w:sz w:val="20"/>
          <w:szCs w:val="20"/>
          <w:lang w:val="en-GB"/>
        </w:rPr>
      </w:pPr>
      <w:r w:rsidRPr="005155DF">
        <w:rPr>
          <w:rStyle w:val="FootnoteReference"/>
          <w:sz w:val="20"/>
          <w:szCs w:val="20"/>
        </w:rPr>
        <w:footnoteRef/>
      </w:r>
      <w:r w:rsidRPr="005155DF">
        <w:rPr>
          <w:sz w:val="20"/>
          <w:szCs w:val="20"/>
        </w:rPr>
        <w:t xml:space="preserve"> </w:t>
      </w:r>
      <w:r w:rsidRPr="005155DF">
        <w:rPr>
          <w:sz w:val="20"/>
          <w:szCs w:val="20"/>
          <w:lang w:val="en-GB"/>
        </w:rPr>
        <w:t>Housing Act 1985, s.102.</w:t>
      </w:r>
    </w:p>
  </w:footnote>
  <w:footnote w:id="89">
    <w:p w14:paraId="0BCA9393" w14:textId="5EFF4F22" w:rsidR="000559E9" w:rsidRPr="00FD6C68" w:rsidRDefault="000559E9">
      <w:pPr>
        <w:pStyle w:val="FootnoteText"/>
        <w:rPr>
          <w:sz w:val="20"/>
          <w:szCs w:val="20"/>
          <w:lang w:val="en-GB"/>
        </w:rPr>
      </w:pPr>
      <w:r w:rsidRPr="00FD6C68">
        <w:rPr>
          <w:rStyle w:val="FootnoteReference"/>
          <w:sz w:val="20"/>
          <w:szCs w:val="20"/>
        </w:rPr>
        <w:footnoteRef/>
      </w:r>
      <w:r w:rsidRPr="00FD6C68">
        <w:rPr>
          <w:sz w:val="20"/>
          <w:szCs w:val="20"/>
        </w:rPr>
        <w:t xml:space="preserve"> </w:t>
      </w:r>
      <w:r w:rsidRPr="00FD6C68">
        <w:rPr>
          <w:sz w:val="20"/>
          <w:szCs w:val="20"/>
          <w:lang w:val="en-GB"/>
        </w:rPr>
        <w:t>The Homes and Communities Agency.</w:t>
      </w:r>
    </w:p>
  </w:footnote>
  <w:footnote w:id="90">
    <w:p w14:paraId="203BAFBE" w14:textId="10A570EE" w:rsidR="000559E9" w:rsidRPr="00000F1F" w:rsidRDefault="000559E9">
      <w:pPr>
        <w:pStyle w:val="FootnoteText"/>
        <w:rPr>
          <w:sz w:val="20"/>
          <w:szCs w:val="20"/>
          <w:lang w:val="en-GB"/>
        </w:rPr>
      </w:pPr>
      <w:r w:rsidRPr="00000F1F">
        <w:rPr>
          <w:rStyle w:val="FootnoteReference"/>
          <w:sz w:val="20"/>
          <w:szCs w:val="20"/>
        </w:rPr>
        <w:footnoteRef/>
      </w:r>
      <w:r w:rsidRPr="00000F1F">
        <w:rPr>
          <w:sz w:val="20"/>
          <w:szCs w:val="20"/>
        </w:rPr>
        <w:t xml:space="preserve"> </w:t>
      </w:r>
      <w:r w:rsidRPr="00000F1F">
        <w:rPr>
          <w:sz w:val="20"/>
          <w:szCs w:val="20"/>
          <w:lang w:val="en-GB"/>
        </w:rPr>
        <w:t xml:space="preserve">See Welfare Reform and Work Act 2016, s.23, DCLG, </w:t>
      </w:r>
      <w:r w:rsidRPr="00000F1F">
        <w:rPr>
          <w:i/>
          <w:sz w:val="20"/>
          <w:szCs w:val="20"/>
          <w:lang w:val="en-GB"/>
        </w:rPr>
        <w:t xml:space="preserve">Guidance on Rents for Social Housing </w:t>
      </w:r>
      <w:r w:rsidRPr="00000F1F">
        <w:rPr>
          <w:sz w:val="20"/>
          <w:szCs w:val="20"/>
          <w:lang w:val="en-GB"/>
        </w:rPr>
        <w:t xml:space="preserve">(2014) </w:t>
      </w:r>
      <w:hyperlink r:id="rId4" w:history="1">
        <w:r w:rsidRPr="00000F1F">
          <w:rPr>
            <w:rStyle w:val="Hyperlink"/>
            <w:sz w:val="20"/>
            <w:szCs w:val="20"/>
            <w:lang w:val="en-GB"/>
          </w:rPr>
          <w:t>https://www.gov.uk/government/uploads/system/uploads/attachment_data/file/313355/14-05-07_Guidance_on_Rents_for_Social_Housing__Final_.pdf</w:t>
        </w:r>
      </w:hyperlink>
      <w:r w:rsidRPr="00000F1F">
        <w:rPr>
          <w:sz w:val="20"/>
          <w:szCs w:val="20"/>
          <w:lang w:val="en-GB"/>
        </w:rPr>
        <w:t xml:space="preserve"> and HCA, </w:t>
      </w:r>
      <w:r w:rsidRPr="00000F1F">
        <w:rPr>
          <w:i/>
          <w:sz w:val="20"/>
          <w:szCs w:val="20"/>
          <w:lang w:val="en-GB"/>
        </w:rPr>
        <w:t xml:space="preserve">Rent Standard Guidance </w:t>
      </w:r>
      <w:r w:rsidRPr="00000F1F">
        <w:rPr>
          <w:sz w:val="20"/>
          <w:szCs w:val="20"/>
          <w:lang w:val="en-GB"/>
        </w:rPr>
        <w:t xml:space="preserve">(2015) </w:t>
      </w:r>
      <w:hyperlink r:id="rId5" w:history="1">
        <w:r w:rsidRPr="00000F1F">
          <w:rPr>
            <w:rStyle w:val="Hyperlink"/>
            <w:sz w:val="20"/>
            <w:szCs w:val="20"/>
            <w:lang w:val="en-GB"/>
          </w:rPr>
          <w:t>https://www.gov.uk/government/publications/rent-standard-guidance</w:t>
        </w:r>
      </w:hyperlink>
      <w:r w:rsidRPr="00000F1F">
        <w:rPr>
          <w:sz w:val="20"/>
          <w:szCs w:val="20"/>
          <w:lang w:val="en-GB"/>
        </w:rPr>
        <w:t xml:space="preserve"> </w:t>
      </w:r>
    </w:p>
  </w:footnote>
  <w:footnote w:id="91">
    <w:p w14:paraId="1046160F" w14:textId="3CD9E5FB" w:rsidR="000559E9" w:rsidRPr="00D92484" w:rsidRDefault="000559E9">
      <w:pPr>
        <w:pStyle w:val="FootnoteText"/>
        <w:rPr>
          <w:sz w:val="20"/>
          <w:szCs w:val="20"/>
          <w:lang w:val="en-GB"/>
        </w:rPr>
      </w:pPr>
      <w:r w:rsidRPr="00D92484">
        <w:rPr>
          <w:rStyle w:val="FootnoteReference"/>
          <w:sz w:val="20"/>
          <w:szCs w:val="20"/>
        </w:rPr>
        <w:footnoteRef/>
      </w:r>
      <w:r w:rsidRPr="00D92484">
        <w:rPr>
          <w:sz w:val="20"/>
          <w:szCs w:val="20"/>
        </w:rPr>
        <w:t xml:space="preserve"> </w:t>
      </w:r>
      <w:r w:rsidRPr="00D92484">
        <w:rPr>
          <w:sz w:val="20"/>
          <w:szCs w:val="20"/>
          <w:lang w:val="en-GB"/>
        </w:rPr>
        <w:t xml:space="preserve">See Wendy Wilson, </w:t>
      </w:r>
      <w:r w:rsidRPr="00D92484">
        <w:rPr>
          <w:i/>
          <w:sz w:val="20"/>
          <w:szCs w:val="20"/>
          <w:lang w:val="en-GB"/>
        </w:rPr>
        <w:t xml:space="preserve">Tenancy deposit schemes </w:t>
      </w:r>
      <w:r w:rsidRPr="00D92484">
        <w:rPr>
          <w:sz w:val="20"/>
          <w:szCs w:val="20"/>
          <w:lang w:val="en-GB"/>
        </w:rPr>
        <w:t>Briefing Paper, No. 2121 (August 2017, House of Commons Library)</w:t>
      </w:r>
    </w:p>
  </w:footnote>
  <w:footnote w:id="92">
    <w:p w14:paraId="62CC61C6" w14:textId="4688B2AD" w:rsidR="000559E9" w:rsidRPr="00250D72" w:rsidRDefault="000559E9">
      <w:pPr>
        <w:pStyle w:val="FootnoteText"/>
        <w:rPr>
          <w:sz w:val="20"/>
          <w:szCs w:val="20"/>
          <w:lang w:val="en-GB"/>
        </w:rPr>
      </w:pPr>
      <w:r w:rsidRPr="00250D72">
        <w:rPr>
          <w:rStyle w:val="FootnoteReference"/>
          <w:sz w:val="20"/>
          <w:szCs w:val="20"/>
        </w:rPr>
        <w:footnoteRef/>
      </w:r>
      <w:r w:rsidRPr="00250D72">
        <w:rPr>
          <w:sz w:val="20"/>
          <w:szCs w:val="20"/>
        </w:rPr>
        <w:t xml:space="preserve"> </w:t>
      </w:r>
      <w:r w:rsidRPr="00250D72">
        <w:rPr>
          <w:sz w:val="20"/>
          <w:szCs w:val="20"/>
          <w:lang w:val="en-GB"/>
        </w:rPr>
        <w:t>Housing Act 2004, s.212.</w:t>
      </w:r>
    </w:p>
  </w:footnote>
  <w:footnote w:id="93">
    <w:p w14:paraId="2564C2A6" w14:textId="46E5550A" w:rsidR="000559E9" w:rsidRPr="00250D72" w:rsidRDefault="000559E9">
      <w:pPr>
        <w:pStyle w:val="FootnoteText"/>
        <w:rPr>
          <w:sz w:val="20"/>
          <w:szCs w:val="20"/>
          <w:lang w:val="en-GB"/>
        </w:rPr>
      </w:pPr>
      <w:r w:rsidRPr="00250D72">
        <w:rPr>
          <w:rStyle w:val="FootnoteReference"/>
          <w:sz w:val="20"/>
          <w:szCs w:val="20"/>
        </w:rPr>
        <w:footnoteRef/>
      </w:r>
      <w:r w:rsidRPr="00250D72">
        <w:rPr>
          <w:sz w:val="20"/>
          <w:szCs w:val="20"/>
        </w:rPr>
        <w:t xml:space="preserve"> </w:t>
      </w:r>
      <w:r w:rsidRPr="00250D72">
        <w:rPr>
          <w:sz w:val="20"/>
          <w:szCs w:val="20"/>
          <w:lang w:val="en-GB"/>
        </w:rPr>
        <w:t>Housing Act 2004, s.213.</w:t>
      </w:r>
    </w:p>
  </w:footnote>
  <w:footnote w:id="94">
    <w:p w14:paraId="57E744C9" w14:textId="372FFC0D" w:rsidR="000559E9" w:rsidRPr="00250D72" w:rsidRDefault="000559E9">
      <w:pPr>
        <w:pStyle w:val="FootnoteText"/>
        <w:rPr>
          <w:sz w:val="20"/>
          <w:szCs w:val="20"/>
          <w:lang w:val="en-GB"/>
        </w:rPr>
      </w:pPr>
      <w:r w:rsidRPr="00250D72">
        <w:rPr>
          <w:rStyle w:val="FootnoteReference"/>
          <w:sz w:val="20"/>
          <w:szCs w:val="20"/>
        </w:rPr>
        <w:footnoteRef/>
      </w:r>
      <w:r w:rsidRPr="00250D72">
        <w:rPr>
          <w:sz w:val="20"/>
          <w:szCs w:val="20"/>
        </w:rPr>
        <w:t xml:space="preserve"> </w:t>
      </w:r>
      <w:r w:rsidRPr="00250D72">
        <w:rPr>
          <w:sz w:val="20"/>
          <w:szCs w:val="20"/>
          <w:lang w:val="en-GB"/>
        </w:rPr>
        <w:t>Housing Act 2004, Sched. 10, para. 1.</w:t>
      </w:r>
    </w:p>
  </w:footnote>
  <w:footnote w:id="95">
    <w:p w14:paraId="76CBF512" w14:textId="63D54995" w:rsidR="000559E9" w:rsidRPr="00250D72" w:rsidRDefault="000559E9">
      <w:pPr>
        <w:pStyle w:val="FootnoteText"/>
        <w:rPr>
          <w:sz w:val="20"/>
          <w:szCs w:val="20"/>
          <w:lang w:val="en-GB"/>
        </w:rPr>
      </w:pPr>
      <w:r w:rsidRPr="00250D72">
        <w:rPr>
          <w:rStyle w:val="FootnoteReference"/>
          <w:sz w:val="20"/>
          <w:szCs w:val="20"/>
        </w:rPr>
        <w:footnoteRef/>
      </w:r>
      <w:r w:rsidRPr="00250D72">
        <w:rPr>
          <w:sz w:val="20"/>
          <w:szCs w:val="20"/>
        </w:rPr>
        <w:t xml:space="preserve"> </w:t>
      </w:r>
      <w:r w:rsidRPr="00250D72">
        <w:rPr>
          <w:sz w:val="20"/>
          <w:szCs w:val="20"/>
          <w:lang w:val="en-GB"/>
        </w:rPr>
        <w:t>Housing Act 2004, Sched. 10, para.3.</w:t>
      </w:r>
    </w:p>
  </w:footnote>
  <w:footnote w:id="96">
    <w:p w14:paraId="4EA39DDB" w14:textId="3E3B2FC6" w:rsidR="000559E9" w:rsidRPr="00250D72" w:rsidRDefault="000559E9">
      <w:pPr>
        <w:pStyle w:val="FootnoteText"/>
        <w:rPr>
          <w:sz w:val="20"/>
          <w:szCs w:val="20"/>
          <w:lang w:val="en-GB"/>
        </w:rPr>
      </w:pPr>
      <w:r w:rsidRPr="00250D72">
        <w:rPr>
          <w:rStyle w:val="FootnoteReference"/>
          <w:sz w:val="20"/>
          <w:szCs w:val="20"/>
        </w:rPr>
        <w:footnoteRef/>
      </w:r>
      <w:r w:rsidRPr="00250D72">
        <w:rPr>
          <w:sz w:val="20"/>
          <w:szCs w:val="20"/>
        </w:rPr>
        <w:t xml:space="preserve"> </w:t>
      </w:r>
      <w:r w:rsidRPr="00250D72">
        <w:rPr>
          <w:sz w:val="20"/>
          <w:szCs w:val="20"/>
          <w:lang w:val="en-GB"/>
        </w:rPr>
        <w:t xml:space="preserve">See </w:t>
      </w:r>
      <w:hyperlink r:id="rId6" w:history="1">
        <w:r w:rsidRPr="00250D72">
          <w:rPr>
            <w:rStyle w:val="Hyperlink"/>
            <w:sz w:val="20"/>
            <w:szCs w:val="20"/>
            <w:lang w:val="en-GB"/>
          </w:rPr>
          <w:t>https://www.gov.uk/tenancy-deposit-protection</w:t>
        </w:r>
      </w:hyperlink>
      <w:r w:rsidRPr="00250D72">
        <w:rPr>
          <w:sz w:val="20"/>
          <w:szCs w:val="20"/>
          <w:lang w:val="en-GB"/>
        </w:rPr>
        <w:t xml:space="preserve"> </w:t>
      </w:r>
    </w:p>
  </w:footnote>
  <w:footnote w:id="97">
    <w:p w14:paraId="163F0BDF" w14:textId="59FBF60C" w:rsidR="000559E9" w:rsidRPr="0096321E" w:rsidRDefault="000559E9">
      <w:pPr>
        <w:pStyle w:val="FootnoteText"/>
        <w:rPr>
          <w:sz w:val="20"/>
          <w:szCs w:val="20"/>
          <w:lang w:val="en-GB"/>
        </w:rPr>
      </w:pPr>
      <w:r w:rsidRPr="0096321E">
        <w:rPr>
          <w:rStyle w:val="FootnoteReference"/>
          <w:sz w:val="20"/>
          <w:szCs w:val="20"/>
        </w:rPr>
        <w:footnoteRef/>
      </w:r>
      <w:r w:rsidRPr="0096321E">
        <w:rPr>
          <w:sz w:val="20"/>
          <w:szCs w:val="20"/>
        </w:rPr>
        <w:t xml:space="preserve"> </w:t>
      </w:r>
      <w:r w:rsidRPr="0096321E">
        <w:rPr>
          <w:sz w:val="20"/>
          <w:szCs w:val="20"/>
          <w:lang w:val="en-GB"/>
        </w:rPr>
        <w:t>Housing Act 2004, s.214.</w:t>
      </w:r>
    </w:p>
  </w:footnote>
  <w:footnote w:id="98">
    <w:p w14:paraId="1A2CA2DE" w14:textId="1FA92CF6" w:rsidR="000559E9" w:rsidRPr="00C77B13" w:rsidRDefault="000559E9">
      <w:pPr>
        <w:pStyle w:val="FootnoteText"/>
        <w:rPr>
          <w:sz w:val="20"/>
          <w:szCs w:val="20"/>
          <w:lang w:val="en-GB"/>
        </w:rPr>
      </w:pPr>
      <w:r w:rsidRPr="00C77B13">
        <w:rPr>
          <w:rStyle w:val="FootnoteReference"/>
          <w:sz w:val="20"/>
          <w:szCs w:val="20"/>
        </w:rPr>
        <w:footnoteRef/>
      </w:r>
      <w:r w:rsidRPr="00C77B13">
        <w:rPr>
          <w:sz w:val="20"/>
          <w:szCs w:val="20"/>
        </w:rPr>
        <w:t xml:space="preserve"> </w:t>
      </w:r>
      <w:r w:rsidRPr="00C77B13">
        <w:rPr>
          <w:sz w:val="20"/>
          <w:szCs w:val="20"/>
          <w:lang w:val="en-GB"/>
        </w:rPr>
        <w:t xml:space="preserve">Housing Act 2004. </w:t>
      </w:r>
      <w:r>
        <w:rPr>
          <w:sz w:val="20"/>
          <w:szCs w:val="20"/>
          <w:lang w:val="en-GB"/>
        </w:rPr>
        <w:t>s</w:t>
      </w:r>
      <w:r w:rsidRPr="00C77B13">
        <w:rPr>
          <w:sz w:val="20"/>
          <w:szCs w:val="20"/>
          <w:lang w:val="en-GB"/>
        </w:rPr>
        <w:t>.</w:t>
      </w:r>
      <w:r>
        <w:rPr>
          <w:sz w:val="20"/>
          <w:szCs w:val="20"/>
          <w:lang w:val="en-GB"/>
        </w:rPr>
        <w:t>2</w:t>
      </w:r>
      <w:r w:rsidRPr="00C77B13">
        <w:rPr>
          <w:sz w:val="20"/>
          <w:szCs w:val="20"/>
          <w:lang w:val="en-GB"/>
        </w:rPr>
        <w:t>15.</w:t>
      </w:r>
    </w:p>
  </w:footnote>
  <w:footnote w:id="99">
    <w:p w14:paraId="0284C753" w14:textId="0A3A1183" w:rsidR="002237E3" w:rsidRPr="002237E3" w:rsidRDefault="002237E3">
      <w:pPr>
        <w:pStyle w:val="FootnoteText"/>
        <w:rPr>
          <w:sz w:val="20"/>
          <w:szCs w:val="20"/>
          <w:lang w:val="en-GB"/>
        </w:rPr>
      </w:pPr>
      <w:r w:rsidRPr="002237E3">
        <w:rPr>
          <w:rStyle w:val="FootnoteReference"/>
          <w:sz w:val="20"/>
          <w:szCs w:val="20"/>
        </w:rPr>
        <w:footnoteRef/>
      </w:r>
      <w:r w:rsidRPr="002237E3">
        <w:rPr>
          <w:sz w:val="20"/>
          <w:szCs w:val="20"/>
        </w:rPr>
        <w:t xml:space="preserve"> </w:t>
      </w:r>
      <w:r>
        <w:rPr>
          <w:sz w:val="20"/>
          <w:szCs w:val="20"/>
        </w:rPr>
        <w:t xml:space="preserve">UN </w:t>
      </w:r>
      <w:r w:rsidRPr="002237E3">
        <w:rPr>
          <w:sz w:val="20"/>
          <w:szCs w:val="20"/>
          <w:lang w:val="en-GB"/>
        </w:rPr>
        <w:t>Covenant on Economic, Social Cultural Rights</w:t>
      </w:r>
      <w:r>
        <w:rPr>
          <w:sz w:val="20"/>
          <w:szCs w:val="20"/>
          <w:lang w:val="en-GB"/>
        </w:rPr>
        <w:t>:</w:t>
      </w:r>
      <w:r w:rsidRPr="002237E3">
        <w:rPr>
          <w:sz w:val="20"/>
          <w:szCs w:val="20"/>
          <w:lang w:val="en-GB"/>
        </w:rPr>
        <w:t xml:space="preserve"> General Comment 4 (1991) E/1992/23.</w:t>
      </w:r>
    </w:p>
  </w:footnote>
  <w:footnote w:id="100">
    <w:p w14:paraId="2EB69DFE" w14:textId="68E717BC" w:rsidR="000559E9" w:rsidRPr="00F00340" w:rsidRDefault="000559E9" w:rsidP="00F00340">
      <w:pPr>
        <w:pStyle w:val="FootnoteText"/>
        <w:rPr>
          <w:sz w:val="20"/>
          <w:szCs w:val="20"/>
          <w:lang w:val="en-GB"/>
        </w:rPr>
      </w:pPr>
      <w:r w:rsidRPr="00F00340">
        <w:rPr>
          <w:rStyle w:val="FootnoteReference"/>
          <w:sz w:val="20"/>
          <w:szCs w:val="20"/>
        </w:rPr>
        <w:footnoteRef/>
      </w:r>
      <w:r w:rsidRPr="00F00340">
        <w:rPr>
          <w:sz w:val="20"/>
          <w:szCs w:val="20"/>
        </w:rPr>
        <w:t xml:space="preserve"> </w:t>
      </w:r>
      <w:r w:rsidRPr="00F00340">
        <w:rPr>
          <w:sz w:val="20"/>
          <w:szCs w:val="20"/>
          <w:lang w:val="en-GB"/>
        </w:rPr>
        <w:t xml:space="preserve">See Shelter, </w:t>
      </w:r>
      <w:r w:rsidRPr="00F00340">
        <w:rPr>
          <w:i/>
          <w:sz w:val="20"/>
          <w:szCs w:val="20"/>
          <w:lang w:val="en-GB"/>
        </w:rPr>
        <w:t xml:space="preserve">Happier and healthier: improving conditions in the private rented sector </w:t>
      </w:r>
      <w:r w:rsidRPr="00F00340">
        <w:rPr>
          <w:sz w:val="20"/>
          <w:szCs w:val="20"/>
          <w:lang w:val="en-GB"/>
        </w:rPr>
        <w:t xml:space="preserve">(2017) </w:t>
      </w:r>
      <w:hyperlink r:id="rId7" w:history="1">
        <w:r w:rsidRPr="00F00340">
          <w:rPr>
            <w:rStyle w:val="Hyperlink"/>
            <w:sz w:val="20"/>
            <w:szCs w:val="20"/>
            <w:lang w:val="en-GB"/>
          </w:rPr>
          <w:t>http://england.shelter.org.uk/professional_resources/policy_and_research/policy_library/policy_library_folder/briefing_happier_and_healthier_improving_conditions_in_the_prs</w:t>
        </w:r>
      </w:hyperlink>
      <w:r w:rsidRPr="00F00340">
        <w:rPr>
          <w:sz w:val="20"/>
          <w:szCs w:val="20"/>
          <w:lang w:val="en-GB"/>
        </w:rPr>
        <w:t xml:space="preserve"> </w:t>
      </w:r>
    </w:p>
  </w:footnote>
  <w:footnote w:id="101">
    <w:p w14:paraId="704A965D" w14:textId="542E1824" w:rsidR="000559E9" w:rsidRPr="00D92484" w:rsidRDefault="000559E9" w:rsidP="00D92484">
      <w:pPr>
        <w:pStyle w:val="FootnoteText"/>
        <w:rPr>
          <w:sz w:val="20"/>
          <w:szCs w:val="20"/>
        </w:rPr>
      </w:pPr>
      <w:r w:rsidRPr="00D92484">
        <w:rPr>
          <w:rStyle w:val="FootnoteReference"/>
          <w:sz w:val="20"/>
          <w:szCs w:val="20"/>
        </w:rPr>
        <w:footnoteRef/>
      </w:r>
      <w:r w:rsidRPr="00D92484">
        <w:rPr>
          <w:sz w:val="20"/>
          <w:szCs w:val="20"/>
        </w:rPr>
        <w:t xml:space="preserve"> The Decent Homes Standard was introduced in 2000 to provide a minimum standard of housing conditions in the social rented sector. The Government uses it to measure and compare standards across all housing tenures. It is not a legally binding standard. </w:t>
      </w:r>
    </w:p>
  </w:footnote>
  <w:footnote w:id="102">
    <w:p w14:paraId="48538A69" w14:textId="1C4EAE17" w:rsidR="000559E9" w:rsidRPr="00F00340" w:rsidRDefault="000559E9">
      <w:pPr>
        <w:pStyle w:val="FootnoteText"/>
        <w:rPr>
          <w:sz w:val="20"/>
          <w:szCs w:val="20"/>
          <w:lang w:val="en-GB"/>
        </w:rPr>
      </w:pPr>
      <w:r w:rsidRPr="00F00340">
        <w:rPr>
          <w:rStyle w:val="FootnoteReference"/>
          <w:sz w:val="20"/>
          <w:szCs w:val="20"/>
        </w:rPr>
        <w:footnoteRef/>
      </w:r>
      <w:r w:rsidRPr="00F00340">
        <w:rPr>
          <w:sz w:val="20"/>
          <w:szCs w:val="20"/>
        </w:rPr>
        <w:t xml:space="preserve"> </w:t>
      </w:r>
      <w:r>
        <w:rPr>
          <w:sz w:val="20"/>
          <w:szCs w:val="20"/>
        </w:rPr>
        <w:t xml:space="preserve">DCLG </w:t>
      </w:r>
      <w:r w:rsidRPr="00181EBD">
        <w:rPr>
          <w:i/>
          <w:sz w:val="20"/>
          <w:szCs w:val="20"/>
        </w:rPr>
        <w:t>English Housing Survey Headline Report 2015-16</w:t>
      </w:r>
      <w:r>
        <w:rPr>
          <w:sz w:val="20"/>
          <w:szCs w:val="20"/>
        </w:rPr>
        <w:t xml:space="preserve"> (2017) </w:t>
      </w:r>
      <w:hyperlink r:id="rId8" w:history="1">
        <w:r w:rsidRPr="001A40C3">
          <w:rPr>
            <w:rStyle w:val="Hyperlink"/>
            <w:sz w:val="20"/>
            <w:szCs w:val="20"/>
          </w:rPr>
          <w:t>https://www.gov.uk/government/statistics/english-housing-survey-2015-to-2016-headline-report</w:t>
        </w:r>
      </w:hyperlink>
      <w:r>
        <w:rPr>
          <w:sz w:val="20"/>
          <w:szCs w:val="20"/>
        </w:rPr>
        <w:t xml:space="preserve"> </w:t>
      </w:r>
    </w:p>
  </w:footnote>
  <w:footnote w:id="103">
    <w:p w14:paraId="6C8EDFC1" w14:textId="28CACB15" w:rsidR="000559E9" w:rsidRPr="00FB6F17" w:rsidRDefault="000559E9">
      <w:pPr>
        <w:pStyle w:val="FootnoteText"/>
        <w:rPr>
          <w:sz w:val="20"/>
          <w:szCs w:val="20"/>
          <w:lang w:val="en-GB"/>
        </w:rPr>
      </w:pPr>
      <w:r w:rsidRPr="00FB6F17">
        <w:rPr>
          <w:rStyle w:val="FootnoteReference"/>
          <w:sz w:val="20"/>
          <w:szCs w:val="20"/>
        </w:rPr>
        <w:footnoteRef/>
      </w:r>
      <w:r w:rsidRPr="00FB6F17">
        <w:rPr>
          <w:sz w:val="20"/>
          <w:szCs w:val="20"/>
        </w:rPr>
        <w:t xml:space="preserve"> </w:t>
      </w:r>
      <w:r w:rsidRPr="00FB6F17">
        <w:rPr>
          <w:sz w:val="20"/>
          <w:szCs w:val="20"/>
          <w:lang w:val="en-GB"/>
        </w:rPr>
        <w:t>Landlord and Tenant Act 1985, s.13.</w:t>
      </w:r>
      <w:r>
        <w:rPr>
          <w:sz w:val="20"/>
          <w:szCs w:val="20"/>
          <w:lang w:val="en-GB"/>
        </w:rPr>
        <w:t xml:space="preserve"> Meaning that for tenants with longer terms, the legal responsibility will be determined by the terms of the tenancy agreement.</w:t>
      </w:r>
    </w:p>
  </w:footnote>
  <w:footnote w:id="104">
    <w:p w14:paraId="587B8B7E" w14:textId="624E7675" w:rsidR="000559E9" w:rsidRPr="00C91796" w:rsidRDefault="000559E9">
      <w:pPr>
        <w:pStyle w:val="FootnoteText"/>
        <w:rPr>
          <w:sz w:val="20"/>
          <w:szCs w:val="20"/>
          <w:lang w:val="en-GB"/>
        </w:rPr>
      </w:pPr>
      <w:r w:rsidRPr="00C91796">
        <w:rPr>
          <w:rStyle w:val="FootnoteReference"/>
          <w:sz w:val="20"/>
          <w:szCs w:val="20"/>
        </w:rPr>
        <w:footnoteRef/>
      </w:r>
      <w:r w:rsidRPr="00C91796">
        <w:rPr>
          <w:sz w:val="20"/>
          <w:szCs w:val="20"/>
        </w:rPr>
        <w:t xml:space="preserve"> </w:t>
      </w:r>
      <w:r w:rsidRPr="00C91796">
        <w:rPr>
          <w:sz w:val="20"/>
          <w:szCs w:val="20"/>
          <w:lang w:val="en-GB"/>
        </w:rPr>
        <w:t>Landlord and Tenant Act 1985, s.12.</w:t>
      </w:r>
    </w:p>
  </w:footnote>
  <w:footnote w:id="105">
    <w:p w14:paraId="232DEAAE" w14:textId="3505471A" w:rsidR="000559E9" w:rsidRPr="00C91796" w:rsidRDefault="000559E9">
      <w:pPr>
        <w:pStyle w:val="FootnoteText"/>
        <w:rPr>
          <w:sz w:val="20"/>
          <w:szCs w:val="20"/>
          <w:lang w:val="en-GB"/>
        </w:rPr>
      </w:pPr>
      <w:r w:rsidRPr="00C91796">
        <w:rPr>
          <w:rStyle w:val="FootnoteReference"/>
          <w:sz w:val="20"/>
          <w:szCs w:val="20"/>
        </w:rPr>
        <w:footnoteRef/>
      </w:r>
      <w:r w:rsidRPr="00C91796">
        <w:rPr>
          <w:sz w:val="20"/>
          <w:szCs w:val="20"/>
        </w:rPr>
        <w:t xml:space="preserve"> </w:t>
      </w:r>
      <w:r w:rsidRPr="00C91796">
        <w:rPr>
          <w:sz w:val="20"/>
          <w:szCs w:val="20"/>
          <w:lang w:val="en-GB"/>
        </w:rPr>
        <w:t xml:space="preserve">On the normal contractual basis: </w:t>
      </w:r>
      <w:proofErr w:type="spellStart"/>
      <w:r w:rsidRPr="00C91796">
        <w:rPr>
          <w:i/>
          <w:sz w:val="20"/>
          <w:szCs w:val="20"/>
          <w:lang w:val="en-GB"/>
        </w:rPr>
        <w:t>McGreal</w:t>
      </w:r>
      <w:proofErr w:type="spellEnd"/>
      <w:r w:rsidRPr="00C91796">
        <w:rPr>
          <w:i/>
          <w:sz w:val="20"/>
          <w:szCs w:val="20"/>
          <w:lang w:val="en-GB"/>
        </w:rPr>
        <w:t xml:space="preserve"> v Wake </w:t>
      </w:r>
      <w:r w:rsidRPr="00C91796">
        <w:rPr>
          <w:sz w:val="20"/>
          <w:szCs w:val="20"/>
          <w:lang w:val="en-GB"/>
        </w:rPr>
        <w:t xml:space="preserve">(1984) 13 HLR 107, CA. </w:t>
      </w:r>
    </w:p>
  </w:footnote>
  <w:footnote w:id="106">
    <w:p w14:paraId="4D934416" w14:textId="0FF6E69A" w:rsidR="000559E9" w:rsidRPr="00C91796" w:rsidRDefault="000559E9">
      <w:pPr>
        <w:pStyle w:val="FootnoteText"/>
        <w:rPr>
          <w:sz w:val="20"/>
          <w:szCs w:val="20"/>
          <w:lang w:val="en-GB"/>
        </w:rPr>
      </w:pPr>
      <w:r w:rsidRPr="00C91796">
        <w:rPr>
          <w:rStyle w:val="FootnoteReference"/>
          <w:sz w:val="20"/>
          <w:szCs w:val="20"/>
        </w:rPr>
        <w:footnoteRef/>
      </w:r>
      <w:r w:rsidRPr="00C91796">
        <w:rPr>
          <w:sz w:val="20"/>
          <w:szCs w:val="20"/>
        </w:rPr>
        <w:t xml:space="preserve"> </w:t>
      </w:r>
      <w:r w:rsidRPr="00C91796">
        <w:rPr>
          <w:sz w:val="20"/>
          <w:szCs w:val="20"/>
          <w:lang w:val="en-GB"/>
        </w:rPr>
        <w:t>Landlord and Tenant Act 1985, s.17.</w:t>
      </w:r>
    </w:p>
  </w:footnote>
  <w:footnote w:id="107">
    <w:p w14:paraId="52D8DC76" w14:textId="34594BB4" w:rsidR="000559E9" w:rsidRPr="004D0FE0" w:rsidRDefault="000559E9">
      <w:pPr>
        <w:pStyle w:val="FootnoteText"/>
        <w:rPr>
          <w:sz w:val="20"/>
          <w:szCs w:val="20"/>
          <w:lang w:val="en-GB"/>
        </w:rPr>
      </w:pPr>
      <w:r w:rsidRPr="004D0FE0">
        <w:rPr>
          <w:rStyle w:val="FootnoteReference"/>
          <w:sz w:val="20"/>
          <w:szCs w:val="20"/>
        </w:rPr>
        <w:footnoteRef/>
      </w:r>
      <w:r w:rsidRPr="004D0FE0">
        <w:rPr>
          <w:sz w:val="20"/>
          <w:szCs w:val="20"/>
        </w:rPr>
        <w:t xml:space="preserve"> </w:t>
      </w:r>
      <w:r w:rsidRPr="004D0FE0">
        <w:rPr>
          <w:i/>
          <w:sz w:val="20"/>
          <w:szCs w:val="20"/>
          <w:lang w:val="en-GB"/>
        </w:rPr>
        <w:t>Quick v Taff BC</w:t>
      </w:r>
      <w:r w:rsidRPr="004D0FE0">
        <w:rPr>
          <w:sz w:val="20"/>
          <w:szCs w:val="20"/>
        </w:rPr>
        <w:t xml:space="preserve"> [1986] QB 809, CA.</w:t>
      </w:r>
    </w:p>
  </w:footnote>
  <w:footnote w:id="108">
    <w:p w14:paraId="0DB3592E" w14:textId="5ADB5A5E" w:rsidR="000559E9" w:rsidRPr="00546C53" w:rsidRDefault="000559E9">
      <w:pPr>
        <w:pStyle w:val="FootnoteText"/>
        <w:rPr>
          <w:sz w:val="20"/>
          <w:szCs w:val="20"/>
          <w:lang w:val="en-GB"/>
        </w:rPr>
      </w:pPr>
      <w:r w:rsidRPr="00546C53">
        <w:rPr>
          <w:rStyle w:val="FootnoteReference"/>
          <w:sz w:val="20"/>
          <w:szCs w:val="20"/>
        </w:rPr>
        <w:footnoteRef/>
      </w:r>
      <w:r w:rsidRPr="00546C53">
        <w:rPr>
          <w:sz w:val="20"/>
          <w:szCs w:val="20"/>
        </w:rPr>
        <w:t xml:space="preserve"> </w:t>
      </w:r>
      <w:r w:rsidRPr="00546C53">
        <w:rPr>
          <w:sz w:val="20"/>
          <w:szCs w:val="20"/>
          <w:lang w:val="en-GB"/>
        </w:rPr>
        <w:t xml:space="preserve">Alex Adcock and Wendy Wilson, </w:t>
      </w:r>
      <w:r w:rsidRPr="00546C53">
        <w:rPr>
          <w:i/>
          <w:sz w:val="20"/>
          <w:szCs w:val="20"/>
          <w:lang w:val="en-GB"/>
        </w:rPr>
        <w:t>Housing Health and Safety Rating System (HHSRS)</w:t>
      </w:r>
      <w:r w:rsidRPr="00546C53">
        <w:rPr>
          <w:sz w:val="20"/>
          <w:szCs w:val="20"/>
          <w:lang w:val="en-GB"/>
        </w:rPr>
        <w:t xml:space="preserve"> Briefing Paper, No. 01917 (May 2016, House of Commons Library)</w:t>
      </w:r>
      <w:r>
        <w:rPr>
          <w:sz w:val="20"/>
          <w:szCs w:val="20"/>
          <w:lang w:val="en-GB"/>
        </w:rPr>
        <w:t>.</w:t>
      </w:r>
    </w:p>
  </w:footnote>
  <w:footnote w:id="109">
    <w:p w14:paraId="042644CD" w14:textId="5B7B3DC2" w:rsidR="000559E9" w:rsidRPr="000F126B" w:rsidRDefault="000559E9">
      <w:pPr>
        <w:pStyle w:val="FootnoteText"/>
        <w:rPr>
          <w:sz w:val="20"/>
          <w:szCs w:val="20"/>
          <w:lang w:val="en-GB"/>
        </w:rPr>
      </w:pPr>
      <w:r w:rsidRPr="000F126B">
        <w:rPr>
          <w:rStyle w:val="FootnoteReference"/>
          <w:sz w:val="20"/>
          <w:szCs w:val="20"/>
        </w:rPr>
        <w:footnoteRef/>
      </w:r>
      <w:r w:rsidRPr="000F126B">
        <w:rPr>
          <w:sz w:val="20"/>
          <w:szCs w:val="20"/>
        </w:rPr>
        <w:t xml:space="preserve"> </w:t>
      </w:r>
      <w:r>
        <w:rPr>
          <w:sz w:val="20"/>
          <w:szCs w:val="20"/>
          <w:lang w:val="en-GB"/>
        </w:rPr>
        <w:t>There are</w:t>
      </w:r>
      <w:r w:rsidRPr="000F126B">
        <w:rPr>
          <w:sz w:val="20"/>
          <w:szCs w:val="20"/>
          <w:lang w:val="en-GB"/>
        </w:rPr>
        <w:t xml:space="preserve"> 29 hazards covering such matters as damp, excess cold, inadequate provision of facilities for food preparation and personal hygiene.</w:t>
      </w:r>
    </w:p>
  </w:footnote>
  <w:footnote w:id="110">
    <w:p w14:paraId="138DD92F" w14:textId="111B3E74" w:rsidR="000559E9" w:rsidRPr="00D45658" w:rsidRDefault="000559E9">
      <w:pPr>
        <w:pStyle w:val="FootnoteText"/>
        <w:rPr>
          <w:sz w:val="20"/>
          <w:szCs w:val="20"/>
          <w:lang w:val="en-GB"/>
        </w:rPr>
      </w:pPr>
      <w:r w:rsidRPr="00D45658">
        <w:rPr>
          <w:rStyle w:val="FootnoteReference"/>
          <w:sz w:val="20"/>
          <w:szCs w:val="20"/>
        </w:rPr>
        <w:footnoteRef/>
      </w:r>
      <w:r w:rsidRPr="00D45658">
        <w:rPr>
          <w:sz w:val="20"/>
          <w:szCs w:val="20"/>
        </w:rPr>
        <w:t xml:space="preserve"> </w:t>
      </w:r>
      <w:r w:rsidRPr="00D45658">
        <w:rPr>
          <w:sz w:val="20"/>
          <w:szCs w:val="20"/>
          <w:lang w:val="en-GB"/>
        </w:rPr>
        <w:t>See Housing Act 2004, Part 1.</w:t>
      </w:r>
    </w:p>
  </w:footnote>
  <w:footnote w:id="111">
    <w:p w14:paraId="1268DE84" w14:textId="49AD3764" w:rsidR="000559E9" w:rsidRPr="00712FA8" w:rsidRDefault="000559E9">
      <w:pPr>
        <w:pStyle w:val="FootnoteText"/>
        <w:rPr>
          <w:sz w:val="20"/>
          <w:szCs w:val="20"/>
          <w:lang w:val="en-GB"/>
        </w:rPr>
      </w:pPr>
      <w:r w:rsidRPr="00712FA8">
        <w:rPr>
          <w:rStyle w:val="FootnoteReference"/>
          <w:sz w:val="20"/>
          <w:szCs w:val="20"/>
        </w:rPr>
        <w:footnoteRef/>
      </w:r>
      <w:r w:rsidRPr="00712FA8">
        <w:rPr>
          <w:sz w:val="20"/>
          <w:szCs w:val="20"/>
        </w:rPr>
        <w:t xml:space="preserve"> </w:t>
      </w:r>
      <w:r w:rsidRPr="00712FA8">
        <w:rPr>
          <w:sz w:val="20"/>
          <w:szCs w:val="20"/>
          <w:lang w:val="en-GB"/>
        </w:rPr>
        <w:t>See e</w:t>
      </w:r>
      <w:r>
        <w:rPr>
          <w:sz w:val="20"/>
          <w:szCs w:val="20"/>
          <w:lang w:val="en-GB"/>
        </w:rPr>
        <w:t>.</w:t>
      </w:r>
      <w:r w:rsidRPr="00712FA8">
        <w:rPr>
          <w:sz w:val="20"/>
          <w:szCs w:val="20"/>
          <w:lang w:val="en-GB"/>
        </w:rPr>
        <w:t>g</w:t>
      </w:r>
      <w:r>
        <w:rPr>
          <w:sz w:val="20"/>
          <w:szCs w:val="20"/>
          <w:lang w:val="en-GB"/>
        </w:rPr>
        <w:t>.</w:t>
      </w:r>
      <w:r w:rsidRPr="00712FA8">
        <w:rPr>
          <w:sz w:val="20"/>
          <w:szCs w:val="20"/>
          <w:lang w:val="en-GB"/>
        </w:rPr>
        <w:t xml:space="preserve"> Housing Act 2004, s.33 in the case of prohibition orders.</w:t>
      </w:r>
    </w:p>
  </w:footnote>
  <w:footnote w:id="112">
    <w:p w14:paraId="7DA166BC" w14:textId="5FEB50D4" w:rsidR="000559E9" w:rsidRPr="00D45658" w:rsidRDefault="000559E9">
      <w:pPr>
        <w:pStyle w:val="FootnoteText"/>
        <w:rPr>
          <w:sz w:val="20"/>
          <w:szCs w:val="20"/>
          <w:lang w:val="en-GB"/>
        </w:rPr>
      </w:pPr>
      <w:r w:rsidRPr="00D45658">
        <w:rPr>
          <w:rStyle w:val="FootnoteReference"/>
          <w:sz w:val="20"/>
          <w:szCs w:val="20"/>
        </w:rPr>
        <w:footnoteRef/>
      </w:r>
      <w:r w:rsidRPr="00D45658">
        <w:rPr>
          <w:sz w:val="20"/>
          <w:szCs w:val="20"/>
        </w:rPr>
        <w:t xml:space="preserve"> </w:t>
      </w:r>
      <w:r w:rsidRPr="00D45658">
        <w:rPr>
          <w:i/>
          <w:sz w:val="20"/>
          <w:szCs w:val="20"/>
          <w:lang w:val="en-GB"/>
        </w:rPr>
        <w:t xml:space="preserve">R v Cardiff CC Ex </w:t>
      </w:r>
      <w:proofErr w:type="gramStart"/>
      <w:r w:rsidRPr="00D45658">
        <w:rPr>
          <w:i/>
          <w:sz w:val="20"/>
          <w:szCs w:val="20"/>
          <w:lang w:val="en-GB"/>
        </w:rPr>
        <w:t>p</w:t>
      </w:r>
      <w:proofErr w:type="gramEnd"/>
      <w:r w:rsidRPr="00D45658">
        <w:rPr>
          <w:i/>
          <w:sz w:val="20"/>
          <w:szCs w:val="20"/>
          <w:lang w:val="en-GB"/>
        </w:rPr>
        <w:t xml:space="preserve"> Cross </w:t>
      </w:r>
      <w:r w:rsidRPr="00D45658">
        <w:rPr>
          <w:sz w:val="20"/>
          <w:szCs w:val="20"/>
          <w:lang w:val="en-GB"/>
        </w:rPr>
        <w:t>(1982) 6 HLR 1, CA.</w:t>
      </w:r>
    </w:p>
  </w:footnote>
  <w:footnote w:id="113">
    <w:p w14:paraId="5D2581CF" w14:textId="755BEA8E" w:rsidR="000559E9" w:rsidRPr="00BC7D45" w:rsidRDefault="000559E9">
      <w:pPr>
        <w:pStyle w:val="FootnoteText"/>
        <w:rPr>
          <w:sz w:val="20"/>
          <w:szCs w:val="20"/>
          <w:lang w:val="en-GB"/>
        </w:rPr>
      </w:pPr>
      <w:r w:rsidRPr="00BC7D45">
        <w:rPr>
          <w:rStyle w:val="FootnoteReference"/>
          <w:sz w:val="20"/>
          <w:szCs w:val="20"/>
        </w:rPr>
        <w:footnoteRef/>
      </w:r>
      <w:r w:rsidRPr="00BC7D45">
        <w:rPr>
          <w:sz w:val="20"/>
          <w:szCs w:val="20"/>
        </w:rPr>
        <w:t xml:space="preserve"> </w:t>
      </w:r>
      <w:r>
        <w:rPr>
          <w:sz w:val="20"/>
          <w:szCs w:val="20"/>
        </w:rPr>
        <w:t xml:space="preserve">See </w:t>
      </w:r>
      <w:r w:rsidRPr="00BC7D45">
        <w:rPr>
          <w:sz w:val="20"/>
          <w:szCs w:val="20"/>
        </w:rPr>
        <w:t xml:space="preserve">the Anti-Social </w:t>
      </w:r>
      <w:proofErr w:type="spellStart"/>
      <w:r w:rsidRPr="00BC7D45">
        <w:rPr>
          <w:sz w:val="20"/>
          <w:szCs w:val="20"/>
        </w:rPr>
        <w:t>Behaviour</w:t>
      </w:r>
      <w:proofErr w:type="spellEnd"/>
      <w:r w:rsidRPr="00BC7D45">
        <w:rPr>
          <w:sz w:val="20"/>
          <w:szCs w:val="20"/>
        </w:rPr>
        <w:t xml:space="preserve"> </w:t>
      </w:r>
      <w:proofErr w:type="spellStart"/>
      <w:r w:rsidRPr="00BC7D45">
        <w:rPr>
          <w:sz w:val="20"/>
          <w:szCs w:val="20"/>
        </w:rPr>
        <w:t>etc</w:t>
      </w:r>
      <w:proofErr w:type="spellEnd"/>
      <w:r w:rsidRPr="00BC7D45">
        <w:rPr>
          <w:sz w:val="20"/>
          <w:szCs w:val="20"/>
        </w:rPr>
        <w:t xml:space="preserve"> (Scotland) Act 2004, Part 8 and Housing (Wales) Act 2014, Part 1.</w:t>
      </w:r>
    </w:p>
  </w:footnote>
  <w:footnote w:id="114">
    <w:p w14:paraId="090BEB06" w14:textId="64F699DD" w:rsidR="000559E9" w:rsidRPr="00372836" w:rsidRDefault="000559E9">
      <w:pPr>
        <w:pStyle w:val="FootnoteText"/>
        <w:rPr>
          <w:sz w:val="20"/>
          <w:szCs w:val="20"/>
        </w:rPr>
      </w:pPr>
      <w:r w:rsidRPr="00372836">
        <w:rPr>
          <w:rStyle w:val="FootnoteReference"/>
          <w:sz w:val="20"/>
          <w:szCs w:val="20"/>
        </w:rPr>
        <w:footnoteRef/>
      </w:r>
      <w:r w:rsidRPr="00372836">
        <w:rPr>
          <w:sz w:val="20"/>
          <w:szCs w:val="20"/>
        </w:rPr>
        <w:t xml:space="preserve"> </w:t>
      </w:r>
      <w:r w:rsidRPr="00372836">
        <w:rPr>
          <w:sz w:val="20"/>
          <w:szCs w:val="20"/>
          <w:lang w:val="en-GB"/>
        </w:rPr>
        <w:t xml:space="preserve">See Housing Act 2004, s.55 and </w:t>
      </w:r>
      <w:r w:rsidRPr="00372836">
        <w:rPr>
          <w:sz w:val="20"/>
          <w:szCs w:val="20"/>
        </w:rPr>
        <w:t>the Licensing of Houses in Multiple Occupation (Prescribed Descriptions) England Order 2006 (SI 2006/371).</w:t>
      </w:r>
    </w:p>
  </w:footnote>
  <w:footnote w:id="115">
    <w:p w14:paraId="52E72B2C" w14:textId="64D87B18" w:rsidR="000559E9" w:rsidRPr="00712FA8" w:rsidRDefault="000559E9">
      <w:pPr>
        <w:pStyle w:val="FootnoteText"/>
        <w:rPr>
          <w:sz w:val="20"/>
          <w:szCs w:val="20"/>
          <w:lang w:val="en-GB"/>
        </w:rPr>
      </w:pPr>
      <w:r w:rsidRPr="00712FA8">
        <w:rPr>
          <w:rStyle w:val="FootnoteReference"/>
          <w:sz w:val="20"/>
          <w:szCs w:val="20"/>
        </w:rPr>
        <w:footnoteRef/>
      </w:r>
      <w:r w:rsidRPr="00712FA8">
        <w:rPr>
          <w:sz w:val="20"/>
          <w:szCs w:val="20"/>
        </w:rPr>
        <w:t xml:space="preserve"> </w:t>
      </w:r>
      <w:r w:rsidRPr="00712FA8">
        <w:rPr>
          <w:sz w:val="20"/>
          <w:szCs w:val="20"/>
          <w:lang w:val="en-GB"/>
        </w:rPr>
        <w:t>Housing Act 2004, s.56.</w:t>
      </w:r>
    </w:p>
  </w:footnote>
  <w:footnote w:id="116">
    <w:p w14:paraId="6951E177" w14:textId="4C2FE7B2" w:rsidR="000559E9" w:rsidRPr="00712FA8" w:rsidRDefault="000559E9">
      <w:pPr>
        <w:pStyle w:val="FootnoteText"/>
        <w:rPr>
          <w:sz w:val="20"/>
          <w:szCs w:val="20"/>
        </w:rPr>
      </w:pPr>
      <w:r w:rsidRPr="00712FA8">
        <w:rPr>
          <w:rStyle w:val="FootnoteReference"/>
          <w:sz w:val="20"/>
          <w:szCs w:val="20"/>
        </w:rPr>
        <w:footnoteRef/>
      </w:r>
      <w:r w:rsidRPr="00712FA8">
        <w:rPr>
          <w:sz w:val="20"/>
          <w:szCs w:val="20"/>
        </w:rPr>
        <w:t xml:space="preserve"> </w:t>
      </w:r>
      <w:r w:rsidRPr="00712FA8">
        <w:rPr>
          <w:sz w:val="20"/>
          <w:szCs w:val="20"/>
          <w:lang w:val="en-GB"/>
        </w:rPr>
        <w:t xml:space="preserve">Wendy Wilson, </w:t>
      </w:r>
      <w:r w:rsidRPr="00712FA8">
        <w:rPr>
          <w:i/>
          <w:sz w:val="20"/>
          <w:szCs w:val="20"/>
        </w:rPr>
        <w:t xml:space="preserve">Selective licensing of private rented housing in England and Wales </w:t>
      </w:r>
      <w:r w:rsidRPr="00712FA8">
        <w:rPr>
          <w:sz w:val="20"/>
          <w:szCs w:val="20"/>
          <w:lang w:val="en-GB"/>
        </w:rPr>
        <w:t>Briefing Paper, No. 4634 (June 2017, House of Commons Library).</w:t>
      </w:r>
    </w:p>
  </w:footnote>
  <w:footnote w:id="117">
    <w:p w14:paraId="4B718CA9" w14:textId="09BBDB51" w:rsidR="000559E9" w:rsidRPr="00712FA8" w:rsidRDefault="000559E9">
      <w:pPr>
        <w:pStyle w:val="FootnoteText"/>
        <w:rPr>
          <w:sz w:val="20"/>
          <w:szCs w:val="20"/>
          <w:lang w:val="en-GB"/>
        </w:rPr>
      </w:pPr>
      <w:r w:rsidRPr="00712FA8">
        <w:rPr>
          <w:rStyle w:val="FootnoteReference"/>
          <w:sz w:val="20"/>
          <w:szCs w:val="20"/>
        </w:rPr>
        <w:footnoteRef/>
      </w:r>
      <w:r w:rsidRPr="00712FA8">
        <w:rPr>
          <w:sz w:val="20"/>
          <w:szCs w:val="20"/>
        </w:rPr>
        <w:t xml:space="preserve"> </w:t>
      </w:r>
      <w:r w:rsidRPr="00712FA8">
        <w:rPr>
          <w:sz w:val="20"/>
          <w:szCs w:val="20"/>
          <w:lang w:val="en-GB"/>
        </w:rPr>
        <w:t>When the Housing and Planning 2017 came in to effect.</w:t>
      </w:r>
    </w:p>
  </w:footnote>
  <w:footnote w:id="118">
    <w:p w14:paraId="082A98F2" w14:textId="14165CF0" w:rsidR="000559E9" w:rsidRPr="00073674" w:rsidRDefault="000559E9" w:rsidP="00073674">
      <w:pPr>
        <w:pStyle w:val="FootnoteText"/>
        <w:rPr>
          <w:rFonts w:cs="Arial"/>
          <w:sz w:val="20"/>
          <w:szCs w:val="20"/>
        </w:rPr>
      </w:pPr>
      <w:r w:rsidRPr="00073674">
        <w:rPr>
          <w:rStyle w:val="FootnoteReference"/>
          <w:rFonts w:cs="Arial"/>
          <w:sz w:val="20"/>
          <w:szCs w:val="20"/>
        </w:rPr>
        <w:footnoteRef/>
      </w:r>
      <w:r w:rsidRPr="00073674">
        <w:rPr>
          <w:rFonts w:cs="Arial"/>
          <w:sz w:val="20"/>
          <w:szCs w:val="20"/>
        </w:rPr>
        <w:t xml:space="preserve"> </w:t>
      </w:r>
      <w:r w:rsidRPr="00073674">
        <w:rPr>
          <w:rFonts w:cs="Arial"/>
          <w:color w:val="000000" w:themeColor="text1"/>
          <w:sz w:val="20"/>
          <w:szCs w:val="20"/>
        </w:rPr>
        <w:fldChar w:fldCharType="begin"/>
      </w:r>
      <w:r w:rsidRPr="00073674">
        <w:rPr>
          <w:rFonts w:cs="Arial"/>
          <w:color w:val="000000" w:themeColor="text1"/>
          <w:sz w:val="20"/>
          <w:szCs w:val="20"/>
        </w:rPr>
        <w:instrText xml:space="preserve"> ADDIN ZOTERO_ITEM CSL_CITATION {"citationID":"yWGvmnER","properties":{"formattedCitation":"{\\rtf Nicola Kountouris, \\uc0\\u8216{}Legal Determinants of Precariousness in Personal Work Relations: A European Perspective\\uc0\\u8217{} (2013) 34 Comparative Labor Law &amp; Policy Journal 21.}","plainCitation":"Nicola Kountouris, ‘Legal Determinants of Precariousness in Personal Work Relations: A European Perspective’ (2013) 34 Comparative Labor Law &amp; Policy Journal 21."},"citationItems":[{"id":1654,"uris":["http://zotero.org/users/1848022/items/NRVSDPIF"],"uri":["http://zotero.org/users/1848022/items/NRVSDPIF"],"itemData":{"id":1654,"type":"article-journal","title":"Legal Determinants of Precariousness in Personal Work Relations: A European Perspective","container-title":"Comparative Labor Law &amp; Policy Journal","page":"21","volume":"34","issue":"1","author":[{"family":"Kountouris","given":"Nicola"}],"issued":{"date-parts":[["2013"]]}}}],"schema":"https://github.com/citation-style-language/schema/raw/master/csl-citation.json"} </w:instrText>
      </w:r>
      <w:r w:rsidRPr="00073674">
        <w:rPr>
          <w:rFonts w:cs="Arial"/>
          <w:color w:val="000000" w:themeColor="text1"/>
          <w:sz w:val="20"/>
          <w:szCs w:val="20"/>
        </w:rPr>
        <w:fldChar w:fldCharType="separate"/>
      </w:r>
      <w:r w:rsidRPr="00073674">
        <w:rPr>
          <w:rFonts w:cs="Arial"/>
          <w:color w:val="000000" w:themeColor="text1"/>
          <w:sz w:val="20"/>
          <w:szCs w:val="20"/>
        </w:rPr>
        <w:t xml:space="preserve">Nicola Kountouris, ‘Legal Determinants of Precariousness in Personal Work Relations: A European Perspective’ (2013) 34 </w:t>
      </w:r>
      <w:r w:rsidRPr="00656F69">
        <w:rPr>
          <w:rFonts w:cs="Arial"/>
          <w:i/>
          <w:color w:val="000000" w:themeColor="text1"/>
          <w:sz w:val="20"/>
          <w:szCs w:val="20"/>
        </w:rPr>
        <w:t>Comparative Labor Law &amp; Policy Journal</w:t>
      </w:r>
      <w:r w:rsidRPr="00073674">
        <w:rPr>
          <w:rFonts w:cs="Arial"/>
          <w:color w:val="000000" w:themeColor="text1"/>
          <w:sz w:val="20"/>
          <w:szCs w:val="20"/>
        </w:rPr>
        <w:t xml:space="preserve"> 21,</w:t>
      </w:r>
      <w:r w:rsidRPr="00073674">
        <w:rPr>
          <w:rFonts w:cs="Arial"/>
          <w:color w:val="000000" w:themeColor="text1"/>
          <w:sz w:val="20"/>
          <w:szCs w:val="20"/>
        </w:rPr>
        <w:fldChar w:fldCharType="end"/>
      </w:r>
      <w:r w:rsidRPr="00073674">
        <w:rPr>
          <w:rFonts w:cs="Arial"/>
          <w:sz w:val="20"/>
          <w:szCs w:val="20"/>
        </w:rPr>
        <w:t xml:space="preserve"> 27.</w:t>
      </w:r>
    </w:p>
  </w:footnote>
  <w:footnote w:id="119">
    <w:p w14:paraId="3B353276" w14:textId="77777777" w:rsidR="000559E9" w:rsidRPr="006C6AA2" w:rsidRDefault="000559E9" w:rsidP="00360239">
      <w:pPr>
        <w:pStyle w:val="FootnoteText"/>
        <w:rPr>
          <w:rFonts w:cs="Arial"/>
          <w:sz w:val="20"/>
          <w:szCs w:val="20"/>
        </w:rPr>
      </w:pPr>
      <w:r w:rsidRPr="006C6AA2">
        <w:rPr>
          <w:rStyle w:val="FootnoteReference"/>
          <w:rFonts w:cs="Arial"/>
          <w:sz w:val="20"/>
          <w:szCs w:val="20"/>
        </w:rPr>
        <w:footnoteRef/>
      </w:r>
      <w:r w:rsidRPr="006C6AA2">
        <w:rPr>
          <w:rFonts w:cs="Arial"/>
          <w:sz w:val="20"/>
          <w:szCs w:val="20"/>
        </w:rPr>
        <w:t xml:space="preserve"> Housing Act 1996, s.160ZA and the Allocation of Housing and Homelessness (Eligibility) (England) Regulations 2006, SI 2006/1294.</w:t>
      </w:r>
    </w:p>
  </w:footnote>
  <w:footnote w:id="120">
    <w:p w14:paraId="02DDB1A9" w14:textId="77777777" w:rsidR="000559E9" w:rsidRPr="006C6AA2" w:rsidRDefault="000559E9" w:rsidP="00360239">
      <w:pPr>
        <w:pStyle w:val="FootnoteText"/>
        <w:rPr>
          <w:rFonts w:cs="Arial"/>
          <w:sz w:val="20"/>
          <w:szCs w:val="20"/>
        </w:rPr>
      </w:pPr>
      <w:r w:rsidRPr="006C6AA2">
        <w:rPr>
          <w:rStyle w:val="FootnoteReference"/>
          <w:rFonts w:cs="Arial"/>
          <w:sz w:val="20"/>
          <w:szCs w:val="20"/>
        </w:rPr>
        <w:footnoteRef/>
      </w:r>
      <w:r w:rsidRPr="006C6AA2">
        <w:rPr>
          <w:rFonts w:cs="Arial"/>
          <w:sz w:val="20"/>
          <w:szCs w:val="20"/>
        </w:rPr>
        <w:t xml:space="preserve"> David Robinson “New immigrants and migrants in social housing in Britain: discursive themes and lived realities” (2010) 38 </w:t>
      </w:r>
      <w:r w:rsidRPr="00656F69">
        <w:rPr>
          <w:rFonts w:cs="Arial"/>
          <w:i/>
          <w:sz w:val="20"/>
          <w:szCs w:val="20"/>
        </w:rPr>
        <w:t>Policy &amp; Politics</w:t>
      </w:r>
      <w:r w:rsidRPr="006C6AA2">
        <w:rPr>
          <w:rFonts w:cs="Arial"/>
          <w:sz w:val="20"/>
          <w:szCs w:val="20"/>
        </w:rPr>
        <w:t xml:space="preserve"> 57</w:t>
      </w:r>
    </w:p>
  </w:footnote>
  <w:footnote w:id="121">
    <w:p w14:paraId="0DF55D3D" w14:textId="77777777" w:rsidR="000559E9" w:rsidRPr="006C6AA2" w:rsidRDefault="000559E9" w:rsidP="00360239">
      <w:pPr>
        <w:pStyle w:val="FootnoteText"/>
        <w:rPr>
          <w:rFonts w:cs="Arial"/>
          <w:sz w:val="20"/>
          <w:szCs w:val="20"/>
        </w:rPr>
      </w:pPr>
      <w:r w:rsidRPr="006C6AA2">
        <w:rPr>
          <w:rStyle w:val="FootnoteReference"/>
          <w:rFonts w:cs="Arial"/>
          <w:sz w:val="20"/>
          <w:szCs w:val="20"/>
        </w:rPr>
        <w:footnoteRef/>
      </w:r>
      <w:r w:rsidRPr="006C6AA2">
        <w:rPr>
          <w:rFonts w:cs="Arial"/>
          <w:sz w:val="20"/>
          <w:szCs w:val="20"/>
        </w:rPr>
        <w:t xml:space="preserve"> Ibid, 64.</w:t>
      </w:r>
    </w:p>
  </w:footnote>
  <w:footnote w:id="122">
    <w:p w14:paraId="23241815" w14:textId="59DE5E38" w:rsidR="000559E9" w:rsidRPr="00EB439D" w:rsidRDefault="000559E9">
      <w:pPr>
        <w:pStyle w:val="FootnoteText"/>
        <w:rPr>
          <w:sz w:val="20"/>
          <w:szCs w:val="20"/>
        </w:rPr>
      </w:pPr>
      <w:r w:rsidRPr="00EB439D">
        <w:rPr>
          <w:rStyle w:val="FootnoteReference"/>
          <w:sz w:val="20"/>
          <w:szCs w:val="20"/>
        </w:rPr>
        <w:footnoteRef/>
      </w:r>
      <w:r w:rsidRPr="00EB439D">
        <w:rPr>
          <w:sz w:val="20"/>
          <w:szCs w:val="20"/>
        </w:rPr>
        <w:t xml:space="preserve"> Alex Bate and Alexander Bellis, </w:t>
      </w:r>
      <w:proofErr w:type="gramStart"/>
      <w:r w:rsidRPr="00EB439D">
        <w:rPr>
          <w:i/>
          <w:sz w:val="20"/>
          <w:szCs w:val="20"/>
        </w:rPr>
        <w:t>Right</w:t>
      </w:r>
      <w:proofErr w:type="gramEnd"/>
      <w:r w:rsidRPr="00EB439D">
        <w:rPr>
          <w:i/>
          <w:sz w:val="20"/>
          <w:szCs w:val="20"/>
        </w:rPr>
        <w:t xml:space="preserve"> to Rent: private landlords' duty to carry out immigration status checks </w:t>
      </w:r>
      <w:r w:rsidRPr="00EB439D">
        <w:rPr>
          <w:sz w:val="20"/>
          <w:szCs w:val="20"/>
          <w:lang w:val="en-GB"/>
        </w:rPr>
        <w:t>Briefing Paper, No. 7025 (August 2017, House of Commons Library)</w:t>
      </w:r>
      <w:r>
        <w:rPr>
          <w:sz w:val="20"/>
          <w:szCs w:val="20"/>
          <w:lang w:val="en-GB"/>
        </w:rPr>
        <w:t>,</w:t>
      </w:r>
      <w:r w:rsidRPr="00EB439D">
        <w:rPr>
          <w:sz w:val="20"/>
          <w:szCs w:val="20"/>
          <w:lang w:val="en-GB"/>
        </w:rPr>
        <w:t xml:space="preserve"> 2.</w:t>
      </w:r>
    </w:p>
  </w:footnote>
  <w:footnote w:id="123">
    <w:p w14:paraId="1C76936F" w14:textId="77777777" w:rsidR="000559E9" w:rsidRPr="006C6AA2" w:rsidRDefault="000559E9" w:rsidP="00EB439D">
      <w:pPr>
        <w:pStyle w:val="FootnoteText"/>
        <w:rPr>
          <w:rFonts w:cs="Arial"/>
          <w:sz w:val="20"/>
          <w:szCs w:val="20"/>
        </w:rPr>
      </w:pPr>
      <w:r w:rsidRPr="006C6AA2">
        <w:rPr>
          <w:rStyle w:val="FootnoteReference"/>
          <w:rFonts w:cs="Arial"/>
          <w:sz w:val="20"/>
          <w:szCs w:val="20"/>
        </w:rPr>
        <w:footnoteRef/>
      </w:r>
      <w:r w:rsidRPr="006C6AA2">
        <w:rPr>
          <w:rFonts w:cs="Arial"/>
          <w:sz w:val="20"/>
          <w:szCs w:val="20"/>
        </w:rPr>
        <w:t xml:space="preserve"> Although see: Claire Brickell, Tom </w:t>
      </w:r>
      <w:proofErr w:type="spellStart"/>
      <w:r w:rsidRPr="006C6AA2">
        <w:rPr>
          <w:rFonts w:cs="Arial"/>
          <w:sz w:val="20"/>
          <w:szCs w:val="20"/>
        </w:rPr>
        <w:t>Bucke</w:t>
      </w:r>
      <w:proofErr w:type="spellEnd"/>
      <w:r w:rsidRPr="006C6AA2">
        <w:rPr>
          <w:rFonts w:cs="Arial"/>
          <w:sz w:val="20"/>
          <w:szCs w:val="20"/>
        </w:rPr>
        <w:t xml:space="preserve">, Jonathan </w:t>
      </w:r>
      <w:proofErr w:type="spellStart"/>
      <w:r w:rsidRPr="006C6AA2">
        <w:rPr>
          <w:rFonts w:cs="Arial"/>
          <w:sz w:val="20"/>
          <w:szCs w:val="20"/>
        </w:rPr>
        <w:t>Burchell</w:t>
      </w:r>
      <w:proofErr w:type="spellEnd"/>
      <w:r w:rsidRPr="006C6AA2">
        <w:rPr>
          <w:rFonts w:cs="Arial"/>
          <w:sz w:val="20"/>
          <w:szCs w:val="20"/>
        </w:rPr>
        <w:t xml:space="preserve">, Miriam Davidson, Ewan Kennedy, Rebecca Linley, Andrew </w:t>
      </w:r>
      <w:proofErr w:type="spellStart"/>
      <w:r w:rsidRPr="006C6AA2">
        <w:rPr>
          <w:rFonts w:cs="Arial"/>
          <w:sz w:val="20"/>
          <w:szCs w:val="20"/>
        </w:rPr>
        <w:t>Zurawan</w:t>
      </w:r>
      <w:proofErr w:type="spellEnd"/>
      <w:r w:rsidRPr="006C6AA2">
        <w:rPr>
          <w:rFonts w:cs="Arial"/>
          <w:sz w:val="20"/>
          <w:szCs w:val="20"/>
        </w:rPr>
        <w:t xml:space="preserve">, ‘Evaluation of the Right to Rent scheme. Full evaluation report of phase one’ (Research Report 83, Migration and Border Analysis, Home Office Science, October 2015) https://www.gov.uk/government/uploads/system/uploads/attachment_data/file/468934/horr83.pdf </w:t>
      </w:r>
    </w:p>
  </w:footnote>
  <w:footnote w:id="124">
    <w:p w14:paraId="30AE6A5F" w14:textId="24F52267" w:rsidR="000559E9" w:rsidRPr="00EB439D" w:rsidRDefault="000559E9">
      <w:pPr>
        <w:pStyle w:val="FootnoteText"/>
        <w:rPr>
          <w:sz w:val="20"/>
          <w:szCs w:val="20"/>
          <w:lang w:val="en-GB"/>
        </w:rPr>
      </w:pPr>
      <w:r w:rsidRPr="00EB439D">
        <w:rPr>
          <w:rStyle w:val="FootnoteReference"/>
          <w:sz w:val="20"/>
          <w:szCs w:val="20"/>
        </w:rPr>
        <w:footnoteRef/>
      </w:r>
      <w:r w:rsidRPr="00EB439D">
        <w:rPr>
          <w:sz w:val="20"/>
          <w:szCs w:val="20"/>
        </w:rPr>
        <w:t xml:space="preserve"> Alex Bate and Alexander Bellis</w:t>
      </w:r>
      <w:r>
        <w:rPr>
          <w:sz w:val="20"/>
          <w:szCs w:val="20"/>
        </w:rPr>
        <w:t>, op cit.</w:t>
      </w:r>
    </w:p>
  </w:footnote>
  <w:footnote w:id="125">
    <w:p w14:paraId="1906B386" w14:textId="77777777" w:rsidR="000559E9" w:rsidRPr="006C6AA2" w:rsidRDefault="000559E9" w:rsidP="00360239">
      <w:pPr>
        <w:pStyle w:val="FootnoteText"/>
        <w:rPr>
          <w:rFonts w:cs="Arial"/>
          <w:sz w:val="20"/>
          <w:szCs w:val="20"/>
        </w:rPr>
      </w:pPr>
      <w:r w:rsidRPr="006C6AA2">
        <w:rPr>
          <w:rStyle w:val="FootnoteReference"/>
          <w:rFonts w:cs="Arial"/>
          <w:sz w:val="20"/>
          <w:szCs w:val="20"/>
        </w:rPr>
        <w:footnoteRef/>
      </w:r>
      <w:r w:rsidRPr="006C6AA2">
        <w:rPr>
          <w:rFonts w:cs="Arial"/>
          <w:sz w:val="20"/>
          <w:szCs w:val="20"/>
        </w:rPr>
        <w:t xml:space="preserve"> Immigration Act 2014, s.22.</w:t>
      </w:r>
    </w:p>
  </w:footnote>
  <w:footnote w:id="126">
    <w:p w14:paraId="169B338E" w14:textId="6B6685EB" w:rsidR="000559E9" w:rsidRPr="00D7461D" w:rsidRDefault="000559E9">
      <w:pPr>
        <w:pStyle w:val="FootnoteText"/>
        <w:rPr>
          <w:sz w:val="20"/>
          <w:szCs w:val="20"/>
          <w:lang w:val="en-GB"/>
        </w:rPr>
      </w:pPr>
      <w:r w:rsidRPr="00D7461D">
        <w:rPr>
          <w:rStyle w:val="FootnoteReference"/>
          <w:sz w:val="20"/>
          <w:szCs w:val="20"/>
        </w:rPr>
        <w:footnoteRef/>
      </w:r>
      <w:r w:rsidRPr="00D7461D">
        <w:rPr>
          <w:sz w:val="20"/>
          <w:szCs w:val="20"/>
        </w:rPr>
        <w:t xml:space="preserve"> </w:t>
      </w:r>
      <w:r w:rsidRPr="00D7461D">
        <w:rPr>
          <w:sz w:val="20"/>
          <w:szCs w:val="20"/>
          <w:lang w:val="en-GB"/>
        </w:rPr>
        <w:t>Ibid.</w:t>
      </w:r>
    </w:p>
  </w:footnote>
  <w:footnote w:id="127">
    <w:p w14:paraId="5E756FB4" w14:textId="239F1A26" w:rsidR="000559E9" w:rsidRPr="00D7461D" w:rsidRDefault="000559E9">
      <w:pPr>
        <w:pStyle w:val="FootnoteText"/>
        <w:rPr>
          <w:sz w:val="20"/>
          <w:szCs w:val="20"/>
          <w:lang w:val="en-GB"/>
        </w:rPr>
      </w:pPr>
      <w:r w:rsidRPr="00D7461D">
        <w:rPr>
          <w:rStyle w:val="FootnoteReference"/>
          <w:sz w:val="20"/>
          <w:szCs w:val="20"/>
        </w:rPr>
        <w:footnoteRef/>
      </w:r>
      <w:r w:rsidRPr="00D7461D">
        <w:rPr>
          <w:sz w:val="20"/>
          <w:szCs w:val="20"/>
        </w:rPr>
        <w:t xml:space="preserve"> </w:t>
      </w:r>
      <w:r w:rsidRPr="00D7461D">
        <w:rPr>
          <w:sz w:val="20"/>
          <w:szCs w:val="20"/>
          <w:lang w:val="en-GB"/>
        </w:rPr>
        <w:t>Immigration Act 2014, ss. 23 and 33A.</w:t>
      </w:r>
    </w:p>
  </w:footnote>
  <w:footnote w:id="128">
    <w:p w14:paraId="3121D54D" w14:textId="77777777" w:rsidR="000559E9" w:rsidRPr="006C6AA2" w:rsidRDefault="000559E9" w:rsidP="00360239">
      <w:pPr>
        <w:pStyle w:val="FootnoteText"/>
        <w:rPr>
          <w:rFonts w:cs="Arial"/>
          <w:sz w:val="20"/>
          <w:szCs w:val="20"/>
        </w:rPr>
      </w:pPr>
      <w:r w:rsidRPr="006C6AA2">
        <w:rPr>
          <w:rStyle w:val="FootnoteReference"/>
          <w:rFonts w:cs="Arial"/>
          <w:sz w:val="20"/>
          <w:szCs w:val="20"/>
        </w:rPr>
        <w:footnoteRef/>
      </w:r>
      <w:r w:rsidRPr="006C6AA2">
        <w:rPr>
          <w:rFonts w:cs="Arial"/>
          <w:sz w:val="20"/>
          <w:szCs w:val="20"/>
        </w:rPr>
        <w:t xml:space="preserve"> Immigration Act 2014, s.33D.</w:t>
      </w:r>
    </w:p>
  </w:footnote>
  <w:footnote w:id="129">
    <w:p w14:paraId="136CFEA6" w14:textId="01411F8A" w:rsidR="000559E9" w:rsidRPr="003D46E8" w:rsidRDefault="000559E9" w:rsidP="003D46E8">
      <w:pPr>
        <w:rPr>
          <w:rFonts w:asciiTheme="minorHAnsi" w:eastAsia="Times New Roman" w:hAnsiTheme="minorHAnsi"/>
          <w:sz w:val="20"/>
          <w:szCs w:val="20"/>
        </w:rPr>
      </w:pPr>
      <w:r w:rsidRPr="00D647E4">
        <w:rPr>
          <w:rStyle w:val="FootnoteReference"/>
          <w:rFonts w:asciiTheme="minorHAnsi" w:hAnsiTheme="minorHAnsi"/>
          <w:sz w:val="20"/>
          <w:szCs w:val="20"/>
        </w:rPr>
        <w:footnoteRef/>
      </w:r>
      <w:r w:rsidRPr="00D647E4">
        <w:rPr>
          <w:rFonts w:asciiTheme="minorHAnsi" w:hAnsiTheme="minorHAnsi"/>
          <w:sz w:val="20"/>
          <w:szCs w:val="20"/>
        </w:rPr>
        <w:t xml:space="preserve"> </w:t>
      </w:r>
      <w:r w:rsidRPr="00D647E4">
        <w:rPr>
          <w:rFonts w:asciiTheme="minorHAnsi" w:hAnsiTheme="minorHAnsi"/>
          <w:sz w:val="20"/>
          <w:szCs w:val="20"/>
          <w:lang w:val="en-GB"/>
        </w:rPr>
        <w:t xml:space="preserve">Law Commission, </w:t>
      </w:r>
      <w:r w:rsidRPr="00D647E4">
        <w:rPr>
          <w:rFonts w:asciiTheme="minorHAnsi" w:hAnsiTheme="minorHAnsi"/>
          <w:i/>
          <w:sz w:val="20"/>
          <w:szCs w:val="20"/>
          <w:lang w:val="en-GB"/>
        </w:rPr>
        <w:t xml:space="preserve">Renting Homes: The Final Report Volume 1: Report </w:t>
      </w:r>
      <w:r w:rsidRPr="00D647E4">
        <w:rPr>
          <w:rFonts w:asciiTheme="minorHAnsi" w:eastAsia="Times New Roman" w:hAnsiTheme="minorHAnsi"/>
          <w:sz w:val="20"/>
          <w:szCs w:val="20"/>
        </w:rPr>
        <w:t>(Law Com No 297, 2006)</w:t>
      </w:r>
      <w:r>
        <w:rPr>
          <w:rFonts w:asciiTheme="minorHAnsi" w:eastAsia="Times New Roman" w:hAnsiTheme="minorHAnsi"/>
          <w:sz w:val="20"/>
          <w:szCs w:val="20"/>
        </w:rPr>
        <w:t>, paras 1.4 and 1.5.</w:t>
      </w:r>
    </w:p>
  </w:footnote>
  <w:footnote w:id="130">
    <w:p w14:paraId="3AF0D27F" w14:textId="53F6B078" w:rsidR="000559E9" w:rsidRPr="00B71524" w:rsidRDefault="000559E9">
      <w:pPr>
        <w:pStyle w:val="FootnoteText"/>
        <w:rPr>
          <w:sz w:val="20"/>
          <w:szCs w:val="20"/>
          <w:lang w:val="en-GB"/>
        </w:rPr>
      </w:pPr>
      <w:r w:rsidRPr="00B71524">
        <w:rPr>
          <w:rStyle w:val="FootnoteReference"/>
          <w:sz w:val="20"/>
          <w:szCs w:val="20"/>
        </w:rPr>
        <w:footnoteRef/>
      </w:r>
      <w:r w:rsidRPr="00B71524">
        <w:rPr>
          <w:sz w:val="20"/>
          <w:szCs w:val="20"/>
        </w:rPr>
        <w:t xml:space="preserve"> Renting Homes (Wales) Act 2016 and Martin </w:t>
      </w:r>
      <w:proofErr w:type="spellStart"/>
      <w:r w:rsidRPr="00B71524">
        <w:rPr>
          <w:sz w:val="20"/>
          <w:szCs w:val="20"/>
        </w:rPr>
        <w:t>Partington</w:t>
      </w:r>
      <w:proofErr w:type="spellEnd"/>
      <w:r w:rsidRPr="00B71524">
        <w:rPr>
          <w:sz w:val="20"/>
          <w:szCs w:val="20"/>
        </w:rPr>
        <w:t xml:space="preserve">, ‘Wales’ Housing Law </w:t>
      </w:r>
      <w:r>
        <w:rPr>
          <w:sz w:val="20"/>
          <w:szCs w:val="20"/>
        </w:rPr>
        <w:t>(R)</w:t>
      </w:r>
      <w:r w:rsidR="00090E90">
        <w:rPr>
          <w:sz w:val="20"/>
          <w:szCs w:val="20"/>
        </w:rPr>
        <w:t>evolution: An Overview Part 2</w:t>
      </w:r>
      <w:r w:rsidRPr="00B71524">
        <w:rPr>
          <w:sz w:val="20"/>
          <w:szCs w:val="20"/>
        </w:rPr>
        <w:t xml:space="preserve"> (2016) </w:t>
      </w:r>
      <w:r w:rsidRPr="00B71524">
        <w:rPr>
          <w:i/>
          <w:sz w:val="20"/>
          <w:szCs w:val="20"/>
        </w:rPr>
        <w:t xml:space="preserve">Journal of Housing Law </w:t>
      </w:r>
      <w:r>
        <w:rPr>
          <w:sz w:val="20"/>
          <w:szCs w:val="20"/>
        </w:rPr>
        <w:t>19(</w:t>
      </w:r>
      <w:r w:rsidRPr="00B71524">
        <w:rPr>
          <w:sz w:val="20"/>
          <w:szCs w:val="20"/>
        </w:rPr>
        <w:t>3</w:t>
      </w:r>
      <w:r>
        <w:rPr>
          <w:sz w:val="20"/>
          <w:szCs w:val="20"/>
        </w:rPr>
        <w:t>), 45</w:t>
      </w:r>
      <w:r w:rsidRPr="00B71524">
        <w:rPr>
          <w:sz w:val="20"/>
          <w:szCs w:val="20"/>
        </w:rPr>
        <w:t>.</w:t>
      </w:r>
    </w:p>
  </w:footnote>
  <w:footnote w:id="131">
    <w:p w14:paraId="4ECBC122" w14:textId="701C4219" w:rsidR="000559E9" w:rsidRPr="00A0734E" w:rsidRDefault="000559E9">
      <w:pPr>
        <w:pStyle w:val="FootnoteText"/>
        <w:rPr>
          <w:sz w:val="20"/>
          <w:szCs w:val="20"/>
          <w:lang w:val="en-GB"/>
        </w:rPr>
      </w:pPr>
      <w:r w:rsidRPr="00A0734E">
        <w:rPr>
          <w:rStyle w:val="FootnoteReference"/>
          <w:sz w:val="20"/>
          <w:szCs w:val="20"/>
        </w:rPr>
        <w:footnoteRef/>
      </w:r>
      <w:r w:rsidRPr="00A0734E">
        <w:rPr>
          <w:sz w:val="20"/>
          <w:szCs w:val="20"/>
        </w:rPr>
        <w:t xml:space="preserve"> </w:t>
      </w:r>
      <w:r w:rsidRPr="00A0734E">
        <w:rPr>
          <w:sz w:val="20"/>
          <w:szCs w:val="20"/>
          <w:lang w:val="en-GB"/>
        </w:rPr>
        <w:t>Law Commission, op cit., para. 2.3.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53A11"/>
    <w:multiLevelType w:val="hybridMultilevel"/>
    <w:tmpl w:val="9294D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98476C"/>
    <w:multiLevelType w:val="hybridMultilevel"/>
    <w:tmpl w:val="6518DA5C"/>
    <w:lvl w:ilvl="0" w:tplc="0A165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2064ED"/>
    <w:multiLevelType w:val="hybridMultilevel"/>
    <w:tmpl w:val="90B4C970"/>
    <w:lvl w:ilvl="0" w:tplc="C3121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E85DBD"/>
    <w:multiLevelType w:val="hybridMultilevel"/>
    <w:tmpl w:val="455E7554"/>
    <w:lvl w:ilvl="0" w:tplc="4D4AA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952BB7"/>
    <w:multiLevelType w:val="hybridMultilevel"/>
    <w:tmpl w:val="9294D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9D"/>
    <w:rsid w:val="00000F1F"/>
    <w:rsid w:val="00016C31"/>
    <w:rsid w:val="000318BD"/>
    <w:rsid w:val="000323AB"/>
    <w:rsid w:val="000372F5"/>
    <w:rsid w:val="00040897"/>
    <w:rsid w:val="00041871"/>
    <w:rsid w:val="000435D2"/>
    <w:rsid w:val="000454D7"/>
    <w:rsid w:val="000559E9"/>
    <w:rsid w:val="0006038A"/>
    <w:rsid w:val="00073297"/>
    <w:rsid w:val="00073674"/>
    <w:rsid w:val="00087243"/>
    <w:rsid w:val="00090E90"/>
    <w:rsid w:val="00091C49"/>
    <w:rsid w:val="0009243E"/>
    <w:rsid w:val="00097AC3"/>
    <w:rsid w:val="000A1BF9"/>
    <w:rsid w:val="000B19DC"/>
    <w:rsid w:val="000D05CD"/>
    <w:rsid w:val="000D1788"/>
    <w:rsid w:val="000E6AEA"/>
    <w:rsid w:val="000F126B"/>
    <w:rsid w:val="000F6A09"/>
    <w:rsid w:val="00102A3D"/>
    <w:rsid w:val="0010364E"/>
    <w:rsid w:val="001118E6"/>
    <w:rsid w:val="001159AB"/>
    <w:rsid w:val="0012261E"/>
    <w:rsid w:val="00151457"/>
    <w:rsid w:val="0016102A"/>
    <w:rsid w:val="00172320"/>
    <w:rsid w:val="00181EBD"/>
    <w:rsid w:val="001833BC"/>
    <w:rsid w:val="001937B9"/>
    <w:rsid w:val="00196A34"/>
    <w:rsid w:val="001971F2"/>
    <w:rsid w:val="00197EA8"/>
    <w:rsid w:val="001D2A12"/>
    <w:rsid w:val="001E662A"/>
    <w:rsid w:val="001F238F"/>
    <w:rsid w:val="001F5B0D"/>
    <w:rsid w:val="00202690"/>
    <w:rsid w:val="00213090"/>
    <w:rsid w:val="002237E3"/>
    <w:rsid w:val="00250D72"/>
    <w:rsid w:val="002530D7"/>
    <w:rsid w:val="0025421A"/>
    <w:rsid w:val="00262724"/>
    <w:rsid w:val="00286722"/>
    <w:rsid w:val="002929F8"/>
    <w:rsid w:val="002A5A91"/>
    <w:rsid w:val="002C2A04"/>
    <w:rsid w:val="002E3EF5"/>
    <w:rsid w:val="002F65F5"/>
    <w:rsid w:val="00303942"/>
    <w:rsid w:val="0031360C"/>
    <w:rsid w:val="003140D1"/>
    <w:rsid w:val="0031723A"/>
    <w:rsid w:val="0034485A"/>
    <w:rsid w:val="00360239"/>
    <w:rsid w:val="00364579"/>
    <w:rsid w:val="00372836"/>
    <w:rsid w:val="0037571E"/>
    <w:rsid w:val="00375D91"/>
    <w:rsid w:val="00380EB9"/>
    <w:rsid w:val="00382A57"/>
    <w:rsid w:val="0039592B"/>
    <w:rsid w:val="003B355A"/>
    <w:rsid w:val="003B65CC"/>
    <w:rsid w:val="003C5219"/>
    <w:rsid w:val="003D46E8"/>
    <w:rsid w:val="003E4A3F"/>
    <w:rsid w:val="003E5F1B"/>
    <w:rsid w:val="003F08E8"/>
    <w:rsid w:val="003F5BBC"/>
    <w:rsid w:val="003F7526"/>
    <w:rsid w:val="004100B6"/>
    <w:rsid w:val="00420884"/>
    <w:rsid w:val="004278C1"/>
    <w:rsid w:val="004307EB"/>
    <w:rsid w:val="00436212"/>
    <w:rsid w:val="004373BB"/>
    <w:rsid w:val="00442430"/>
    <w:rsid w:val="00456188"/>
    <w:rsid w:val="0046603D"/>
    <w:rsid w:val="00472B66"/>
    <w:rsid w:val="004730E8"/>
    <w:rsid w:val="00477E03"/>
    <w:rsid w:val="00480FEB"/>
    <w:rsid w:val="004855C2"/>
    <w:rsid w:val="004A4ED5"/>
    <w:rsid w:val="004B7DEC"/>
    <w:rsid w:val="004C7FE1"/>
    <w:rsid w:val="004D0FE0"/>
    <w:rsid w:val="004D5CDE"/>
    <w:rsid w:val="00513CE3"/>
    <w:rsid w:val="005155DF"/>
    <w:rsid w:val="005304C9"/>
    <w:rsid w:val="0053215E"/>
    <w:rsid w:val="005364BD"/>
    <w:rsid w:val="005400C1"/>
    <w:rsid w:val="00546C53"/>
    <w:rsid w:val="00553B7A"/>
    <w:rsid w:val="00556839"/>
    <w:rsid w:val="00556A4C"/>
    <w:rsid w:val="00570270"/>
    <w:rsid w:val="00572DF5"/>
    <w:rsid w:val="00572E54"/>
    <w:rsid w:val="00586886"/>
    <w:rsid w:val="005A1C1F"/>
    <w:rsid w:val="005A3DB3"/>
    <w:rsid w:val="005B29A2"/>
    <w:rsid w:val="005C6BD7"/>
    <w:rsid w:val="005E6028"/>
    <w:rsid w:val="006038DC"/>
    <w:rsid w:val="00607CA1"/>
    <w:rsid w:val="006375A1"/>
    <w:rsid w:val="00647CDF"/>
    <w:rsid w:val="00651EDA"/>
    <w:rsid w:val="00656775"/>
    <w:rsid w:val="00656F69"/>
    <w:rsid w:val="00674A2E"/>
    <w:rsid w:val="006854B6"/>
    <w:rsid w:val="00687240"/>
    <w:rsid w:val="0069120D"/>
    <w:rsid w:val="006B1583"/>
    <w:rsid w:val="006B51B1"/>
    <w:rsid w:val="006B65E4"/>
    <w:rsid w:val="006C080D"/>
    <w:rsid w:val="006C6AA2"/>
    <w:rsid w:val="006C7E31"/>
    <w:rsid w:val="006E0264"/>
    <w:rsid w:val="006F04F9"/>
    <w:rsid w:val="00712FA8"/>
    <w:rsid w:val="007169D1"/>
    <w:rsid w:val="00720CBD"/>
    <w:rsid w:val="00722F72"/>
    <w:rsid w:val="007301BC"/>
    <w:rsid w:val="00735EE9"/>
    <w:rsid w:val="007404CF"/>
    <w:rsid w:val="00775524"/>
    <w:rsid w:val="007B7CB6"/>
    <w:rsid w:val="007C37B5"/>
    <w:rsid w:val="007C61C9"/>
    <w:rsid w:val="007E09C8"/>
    <w:rsid w:val="007E73E1"/>
    <w:rsid w:val="007F00F0"/>
    <w:rsid w:val="007F6DFD"/>
    <w:rsid w:val="0080274E"/>
    <w:rsid w:val="0081113C"/>
    <w:rsid w:val="00813187"/>
    <w:rsid w:val="00814F72"/>
    <w:rsid w:val="00815027"/>
    <w:rsid w:val="00830B3E"/>
    <w:rsid w:val="00850172"/>
    <w:rsid w:val="008579E8"/>
    <w:rsid w:val="008614CB"/>
    <w:rsid w:val="008672F7"/>
    <w:rsid w:val="00872315"/>
    <w:rsid w:val="00872499"/>
    <w:rsid w:val="00886B33"/>
    <w:rsid w:val="00896D06"/>
    <w:rsid w:val="008A2CBA"/>
    <w:rsid w:val="008D4A59"/>
    <w:rsid w:val="008D5B48"/>
    <w:rsid w:val="008E4EDA"/>
    <w:rsid w:val="008F439D"/>
    <w:rsid w:val="00901336"/>
    <w:rsid w:val="00927E1B"/>
    <w:rsid w:val="00956292"/>
    <w:rsid w:val="0096021D"/>
    <w:rsid w:val="0096321E"/>
    <w:rsid w:val="00994CAC"/>
    <w:rsid w:val="00995505"/>
    <w:rsid w:val="009A60D7"/>
    <w:rsid w:val="009A65C6"/>
    <w:rsid w:val="009B40DA"/>
    <w:rsid w:val="009C00FC"/>
    <w:rsid w:val="009C67A8"/>
    <w:rsid w:val="009E1F25"/>
    <w:rsid w:val="009F6E13"/>
    <w:rsid w:val="00A04BD6"/>
    <w:rsid w:val="00A0578A"/>
    <w:rsid w:val="00A0734E"/>
    <w:rsid w:val="00A217A8"/>
    <w:rsid w:val="00A26F04"/>
    <w:rsid w:val="00A3078C"/>
    <w:rsid w:val="00A43F33"/>
    <w:rsid w:val="00A45CBF"/>
    <w:rsid w:val="00A524ED"/>
    <w:rsid w:val="00A87CDE"/>
    <w:rsid w:val="00A903E2"/>
    <w:rsid w:val="00A972E7"/>
    <w:rsid w:val="00AA0EFE"/>
    <w:rsid w:val="00AA6DA1"/>
    <w:rsid w:val="00AC5D2D"/>
    <w:rsid w:val="00AD70B2"/>
    <w:rsid w:val="00AE638E"/>
    <w:rsid w:val="00AF00A2"/>
    <w:rsid w:val="00B345BF"/>
    <w:rsid w:val="00B35463"/>
    <w:rsid w:val="00B35521"/>
    <w:rsid w:val="00B45CEE"/>
    <w:rsid w:val="00B574C6"/>
    <w:rsid w:val="00B6010E"/>
    <w:rsid w:val="00B71524"/>
    <w:rsid w:val="00B81D13"/>
    <w:rsid w:val="00B8795D"/>
    <w:rsid w:val="00B9290A"/>
    <w:rsid w:val="00B94BC3"/>
    <w:rsid w:val="00BA06EE"/>
    <w:rsid w:val="00BA08F5"/>
    <w:rsid w:val="00BA52C1"/>
    <w:rsid w:val="00BB2DFE"/>
    <w:rsid w:val="00BC03FE"/>
    <w:rsid w:val="00BC1FD7"/>
    <w:rsid w:val="00BC7D45"/>
    <w:rsid w:val="00BE6A8B"/>
    <w:rsid w:val="00BF78D5"/>
    <w:rsid w:val="00C07A6C"/>
    <w:rsid w:val="00C12A65"/>
    <w:rsid w:val="00C26778"/>
    <w:rsid w:val="00C4051B"/>
    <w:rsid w:val="00C412CD"/>
    <w:rsid w:val="00C51CD0"/>
    <w:rsid w:val="00C51D21"/>
    <w:rsid w:val="00C63343"/>
    <w:rsid w:val="00C73231"/>
    <w:rsid w:val="00C76610"/>
    <w:rsid w:val="00C77B13"/>
    <w:rsid w:val="00C80E67"/>
    <w:rsid w:val="00C841D5"/>
    <w:rsid w:val="00C91796"/>
    <w:rsid w:val="00C93F71"/>
    <w:rsid w:val="00C94A99"/>
    <w:rsid w:val="00CA5051"/>
    <w:rsid w:val="00CB0753"/>
    <w:rsid w:val="00CB1873"/>
    <w:rsid w:val="00CB2C0E"/>
    <w:rsid w:val="00CC782F"/>
    <w:rsid w:val="00CD0B53"/>
    <w:rsid w:val="00CD0CDE"/>
    <w:rsid w:val="00CD4D45"/>
    <w:rsid w:val="00CE1197"/>
    <w:rsid w:val="00CE29F6"/>
    <w:rsid w:val="00CE5C22"/>
    <w:rsid w:val="00CE6175"/>
    <w:rsid w:val="00CF079A"/>
    <w:rsid w:val="00CF2A30"/>
    <w:rsid w:val="00CF642C"/>
    <w:rsid w:val="00D03D22"/>
    <w:rsid w:val="00D10199"/>
    <w:rsid w:val="00D1647B"/>
    <w:rsid w:val="00D24881"/>
    <w:rsid w:val="00D430BB"/>
    <w:rsid w:val="00D45658"/>
    <w:rsid w:val="00D4716B"/>
    <w:rsid w:val="00D50631"/>
    <w:rsid w:val="00D53A83"/>
    <w:rsid w:val="00D56AC2"/>
    <w:rsid w:val="00D647E4"/>
    <w:rsid w:val="00D64C7F"/>
    <w:rsid w:val="00D674E2"/>
    <w:rsid w:val="00D7461D"/>
    <w:rsid w:val="00D82CD8"/>
    <w:rsid w:val="00D861F4"/>
    <w:rsid w:val="00D92484"/>
    <w:rsid w:val="00D92B6A"/>
    <w:rsid w:val="00DB56E4"/>
    <w:rsid w:val="00DE619B"/>
    <w:rsid w:val="00E05737"/>
    <w:rsid w:val="00E06E9D"/>
    <w:rsid w:val="00E17378"/>
    <w:rsid w:val="00E229E7"/>
    <w:rsid w:val="00E23DF9"/>
    <w:rsid w:val="00E26A8D"/>
    <w:rsid w:val="00E30DC8"/>
    <w:rsid w:val="00E5099A"/>
    <w:rsid w:val="00E5519D"/>
    <w:rsid w:val="00E560E1"/>
    <w:rsid w:val="00E67437"/>
    <w:rsid w:val="00E67772"/>
    <w:rsid w:val="00E80C43"/>
    <w:rsid w:val="00E83104"/>
    <w:rsid w:val="00E862E7"/>
    <w:rsid w:val="00E968CF"/>
    <w:rsid w:val="00E971E1"/>
    <w:rsid w:val="00EA35A9"/>
    <w:rsid w:val="00EA5AF3"/>
    <w:rsid w:val="00EA6293"/>
    <w:rsid w:val="00EB439D"/>
    <w:rsid w:val="00EC5A1E"/>
    <w:rsid w:val="00ED0337"/>
    <w:rsid w:val="00ED5227"/>
    <w:rsid w:val="00ED6540"/>
    <w:rsid w:val="00ED672C"/>
    <w:rsid w:val="00EE3CAD"/>
    <w:rsid w:val="00EE5216"/>
    <w:rsid w:val="00EF4D3B"/>
    <w:rsid w:val="00EF5788"/>
    <w:rsid w:val="00F00340"/>
    <w:rsid w:val="00F17757"/>
    <w:rsid w:val="00F20392"/>
    <w:rsid w:val="00F20D98"/>
    <w:rsid w:val="00F3324D"/>
    <w:rsid w:val="00F3414B"/>
    <w:rsid w:val="00F361EC"/>
    <w:rsid w:val="00F4469B"/>
    <w:rsid w:val="00F555DF"/>
    <w:rsid w:val="00F60F49"/>
    <w:rsid w:val="00F637C3"/>
    <w:rsid w:val="00F7468F"/>
    <w:rsid w:val="00F94354"/>
    <w:rsid w:val="00FA6B16"/>
    <w:rsid w:val="00FB6F17"/>
    <w:rsid w:val="00FC7C11"/>
    <w:rsid w:val="00FD0233"/>
    <w:rsid w:val="00FD6C68"/>
    <w:rsid w:val="00FE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3C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B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2A3D"/>
    <w:rPr>
      <w:rFonts w:asciiTheme="minorHAnsi" w:hAnsiTheme="minorHAnsi" w:cstheme="minorBidi"/>
    </w:rPr>
  </w:style>
  <w:style w:type="character" w:customStyle="1" w:styleId="FootnoteTextChar">
    <w:name w:val="Footnote Text Char"/>
    <w:basedOn w:val="DefaultParagraphFont"/>
    <w:link w:val="FootnoteText"/>
    <w:uiPriority w:val="99"/>
    <w:rsid w:val="00102A3D"/>
  </w:style>
  <w:style w:type="character" w:styleId="FootnoteReference">
    <w:name w:val="footnote reference"/>
    <w:basedOn w:val="DefaultParagraphFont"/>
    <w:uiPriority w:val="99"/>
    <w:unhideWhenUsed/>
    <w:rsid w:val="00102A3D"/>
    <w:rPr>
      <w:vertAlign w:val="superscript"/>
    </w:rPr>
  </w:style>
  <w:style w:type="paragraph" w:styleId="BalloonText">
    <w:name w:val="Balloon Text"/>
    <w:basedOn w:val="Normal"/>
    <w:link w:val="BalloonTextChar"/>
    <w:uiPriority w:val="99"/>
    <w:semiHidden/>
    <w:unhideWhenUsed/>
    <w:rsid w:val="00F3324D"/>
    <w:rPr>
      <w:sz w:val="18"/>
      <w:szCs w:val="18"/>
    </w:rPr>
  </w:style>
  <w:style w:type="character" w:customStyle="1" w:styleId="BalloonTextChar">
    <w:name w:val="Balloon Text Char"/>
    <w:basedOn w:val="DefaultParagraphFont"/>
    <w:link w:val="BalloonText"/>
    <w:uiPriority w:val="99"/>
    <w:semiHidden/>
    <w:rsid w:val="00F3324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9290A"/>
    <w:rPr>
      <w:sz w:val="18"/>
      <w:szCs w:val="18"/>
    </w:rPr>
  </w:style>
  <w:style w:type="paragraph" w:styleId="CommentText">
    <w:name w:val="annotation text"/>
    <w:basedOn w:val="Normal"/>
    <w:link w:val="CommentTextChar"/>
    <w:uiPriority w:val="99"/>
    <w:semiHidden/>
    <w:unhideWhenUsed/>
    <w:rsid w:val="00B9290A"/>
    <w:rPr>
      <w:rFonts w:asciiTheme="minorHAnsi" w:hAnsiTheme="minorHAnsi" w:cstheme="minorBidi"/>
    </w:rPr>
  </w:style>
  <w:style w:type="character" w:customStyle="1" w:styleId="CommentTextChar">
    <w:name w:val="Comment Text Char"/>
    <w:basedOn w:val="DefaultParagraphFont"/>
    <w:link w:val="CommentText"/>
    <w:uiPriority w:val="99"/>
    <w:semiHidden/>
    <w:rsid w:val="00B9290A"/>
  </w:style>
  <w:style w:type="paragraph" w:styleId="CommentSubject">
    <w:name w:val="annotation subject"/>
    <w:basedOn w:val="CommentText"/>
    <w:next w:val="CommentText"/>
    <w:link w:val="CommentSubjectChar"/>
    <w:uiPriority w:val="99"/>
    <w:semiHidden/>
    <w:unhideWhenUsed/>
    <w:rsid w:val="00B9290A"/>
    <w:rPr>
      <w:b/>
      <w:bCs/>
      <w:sz w:val="20"/>
      <w:szCs w:val="20"/>
    </w:rPr>
  </w:style>
  <w:style w:type="character" w:customStyle="1" w:styleId="CommentSubjectChar">
    <w:name w:val="Comment Subject Char"/>
    <w:basedOn w:val="CommentTextChar"/>
    <w:link w:val="CommentSubject"/>
    <w:uiPriority w:val="99"/>
    <w:semiHidden/>
    <w:rsid w:val="00B9290A"/>
    <w:rPr>
      <w:b/>
      <w:bCs/>
      <w:sz w:val="20"/>
      <w:szCs w:val="20"/>
    </w:rPr>
  </w:style>
  <w:style w:type="character" w:styleId="Hyperlink">
    <w:name w:val="Hyperlink"/>
    <w:basedOn w:val="DefaultParagraphFont"/>
    <w:uiPriority w:val="99"/>
    <w:unhideWhenUsed/>
    <w:rsid w:val="0069120D"/>
    <w:rPr>
      <w:color w:val="0563C1" w:themeColor="hyperlink"/>
      <w:u w:val="single"/>
    </w:rPr>
  </w:style>
  <w:style w:type="paragraph" w:styleId="Revision">
    <w:name w:val="Revision"/>
    <w:hidden/>
    <w:uiPriority w:val="99"/>
    <w:semiHidden/>
    <w:rsid w:val="002E3EF5"/>
  </w:style>
  <w:style w:type="character" w:styleId="FollowedHyperlink">
    <w:name w:val="FollowedHyperlink"/>
    <w:basedOn w:val="DefaultParagraphFont"/>
    <w:uiPriority w:val="99"/>
    <w:semiHidden/>
    <w:unhideWhenUsed/>
    <w:rsid w:val="003F08E8"/>
    <w:rPr>
      <w:color w:val="954F72" w:themeColor="followedHyperlink"/>
      <w:u w:val="single"/>
    </w:rPr>
  </w:style>
  <w:style w:type="paragraph" w:styleId="ListParagraph">
    <w:name w:val="List Paragraph"/>
    <w:basedOn w:val="Normal"/>
    <w:uiPriority w:val="34"/>
    <w:qFormat/>
    <w:rsid w:val="00202690"/>
    <w:pPr>
      <w:ind w:left="720"/>
      <w:contextualSpacing/>
    </w:pPr>
  </w:style>
  <w:style w:type="paragraph" w:styleId="NormalWeb">
    <w:name w:val="Normal (Web)"/>
    <w:basedOn w:val="Normal"/>
    <w:uiPriority w:val="99"/>
    <w:semiHidden/>
    <w:unhideWhenUsed/>
    <w:rsid w:val="005E60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8849">
      <w:bodyDiv w:val="1"/>
      <w:marLeft w:val="0"/>
      <w:marRight w:val="0"/>
      <w:marTop w:val="0"/>
      <w:marBottom w:val="0"/>
      <w:divBdr>
        <w:top w:val="none" w:sz="0" w:space="0" w:color="auto"/>
        <w:left w:val="none" w:sz="0" w:space="0" w:color="auto"/>
        <w:bottom w:val="none" w:sz="0" w:space="0" w:color="auto"/>
        <w:right w:val="none" w:sz="0" w:space="0" w:color="auto"/>
      </w:divBdr>
    </w:div>
    <w:div w:id="180363918">
      <w:bodyDiv w:val="1"/>
      <w:marLeft w:val="0"/>
      <w:marRight w:val="0"/>
      <w:marTop w:val="0"/>
      <w:marBottom w:val="0"/>
      <w:divBdr>
        <w:top w:val="none" w:sz="0" w:space="0" w:color="auto"/>
        <w:left w:val="none" w:sz="0" w:space="0" w:color="auto"/>
        <w:bottom w:val="none" w:sz="0" w:space="0" w:color="auto"/>
        <w:right w:val="none" w:sz="0" w:space="0" w:color="auto"/>
      </w:divBdr>
    </w:div>
    <w:div w:id="254940056">
      <w:bodyDiv w:val="1"/>
      <w:marLeft w:val="0"/>
      <w:marRight w:val="0"/>
      <w:marTop w:val="0"/>
      <w:marBottom w:val="0"/>
      <w:divBdr>
        <w:top w:val="none" w:sz="0" w:space="0" w:color="auto"/>
        <w:left w:val="none" w:sz="0" w:space="0" w:color="auto"/>
        <w:bottom w:val="none" w:sz="0" w:space="0" w:color="auto"/>
        <w:right w:val="none" w:sz="0" w:space="0" w:color="auto"/>
      </w:divBdr>
    </w:div>
    <w:div w:id="280495091">
      <w:bodyDiv w:val="1"/>
      <w:marLeft w:val="0"/>
      <w:marRight w:val="0"/>
      <w:marTop w:val="0"/>
      <w:marBottom w:val="0"/>
      <w:divBdr>
        <w:top w:val="none" w:sz="0" w:space="0" w:color="auto"/>
        <w:left w:val="none" w:sz="0" w:space="0" w:color="auto"/>
        <w:bottom w:val="none" w:sz="0" w:space="0" w:color="auto"/>
        <w:right w:val="none" w:sz="0" w:space="0" w:color="auto"/>
      </w:divBdr>
    </w:div>
    <w:div w:id="348065568">
      <w:bodyDiv w:val="1"/>
      <w:marLeft w:val="0"/>
      <w:marRight w:val="0"/>
      <w:marTop w:val="0"/>
      <w:marBottom w:val="0"/>
      <w:divBdr>
        <w:top w:val="none" w:sz="0" w:space="0" w:color="auto"/>
        <w:left w:val="none" w:sz="0" w:space="0" w:color="auto"/>
        <w:bottom w:val="none" w:sz="0" w:space="0" w:color="auto"/>
        <w:right w:val="none" w:sz="0" w:space="0" w:color="auto"/>
      </w:divBdr>
    </w:div>
    <w:div w:id="414787324">
      <w:bodyDiv w:val="1"/>
      <w:marLeft w:val="0"/>
      <w:marRight w:val="0"/>
      <w:marTop w:val="0"/>
      <w:marBottom w:val="0"/>
      <w:divBdr>
        <w:top w:val="none" w:sz="0" w:space="0" w:color="auto"/>
        <w:left w:val="none" w:sz="0" w:space="0" w:color="auto"/>
        <w:bottom w:val="none" w:sz="0" w:space="0" w:color="auto"/>
        <w:right w:val="none" w:sz="0" w:space="0" w:color="auto"/>
      </w:divBdr>
    </w:div>
    <w:div w:id="441923616">
      <w:bodyDiv w:val="1"/>
      <w:marLeft w:val="0"/>
      <w:marRight w:val="0"/>
      <w:marTop w:val="0"/>
      <w:marBottom w:val="0"/>
      <w:divBdr>
        <w:top w:val="none" w:sz="0" w:space="0" w:color="auto"/>
        <w:left w:val="none" w:sz="0" w:space="0" w:color="auto"/>
        <w:bottom w:val="none" w:sz="0" w:space="0" w:color="auto"/>
        <w:right w:val="none" w:sz="0" w:space="0" w:color="auto"/>
      </w:divBdr>
    </w:div>
    <w:div w:id="554200217">
      <w:bodyDiv w:val="1"/>
      <w:marLeft w:val="0"/>
      <w:marRight w:val="0"/>
      <w:marTop w:val="0"/>
      <w:marBottom w:val="0"/>
      <w:divBdr>
        <w:top w:val="none" w:sz="0" w:space="0" w:color="auto"/>
        <w:left w:val="none" w:sz="0" w:space="0" w:color="auto"/>
        <w:bottom w:val="none" w:sz="0" w:space="0" w:color="auto"/>
        <w:right w:val="none" w:sz="0" w:space="0" w:color="auto"/>
      </w:divBdr>
    </w:div>
    <w:div w:id="578709559">
      <w:bodyDiv w:val="1"/>
      <w:marLeft w:val="0"/>
      <w:marRight w:val="0"/>
      <w:marTop w:val="0"/>
      <w:marBottom w:val="0"/>
      <w:divBdr>
        <w:top w:val="none" w:sz="0" w:space="0" w:color="auto"/>
        <w:left w:val="none" w:sz="0" w:space="0" w:color="auto"/>
        <w:bottom w:val="none" w:sz="0" w:space="0" w:color="auto"/>
        <w:right w:val="none" w:sz="0" w:space="0" w:color="auto"/>
      </w:divBdr>
    </w:div>
    <w:div w:id="722678666">
      <w:bodyDiv w:val="1"/>
      <w:marLeft w:val="0"/>
      <w:marRight w:val="0"/>
      <w:marTop w:val="0"/>
      <w:marBottom w:val="0"/>
      <w:divBdr>
        <w:top w:val="none" w:sz="0" w:space="0" w:color="auto"/>
        <w:left w:val="none" w:sz="0" w:space="0" w:color="auto"/>
        <w:bottom w:val="none" w:sz="0" w:space="0" w:color="auto"/>
        <w:right w:val="none" w:sz="0" w:space="0" w:color="auto"/>
      </w:divBdr>
    </w:div>
    <w:div w:id="805510247">
      <w:bodyDiv w:val="1"/>
      <w:marLeft w:val="0"/>
      <w:marRight w:val="0"/>
      <w:marTop w:val="0"/>
      <w:marBottom w:val="0"/>
      <w:divBdr>
        <w:top w:val="none" w:sz="0" w:space="0" w:color="auto"/>
        <w:left w:val="none" w:sz="0" w:space="0" w:color="auto"/>
        <w:bottom w:val="none" w:sz="0" w:space="0" w:color="auto"/>
        <w:right w:val="none" w:sz="0" w:space="0" w:color="auto"/>
      </w:divBdr>
    </w:div>
    <w:div w:id="822046308">
      <w:bodyDiv w:val="1"/>
      <w:marLeft w:val="0"/>
      <w:marRight w:val="0"/>
      <w:marTop w:val="0"/>
      <w:marBottom w:val="0"/>
      <w:divBdr>
        <w:top w:val="none" w:sz="0" w:space="0" w:color="auto"/>
        <w:left w:val="none" w:sz="0" w:space="0" w:color="auto"/>
        <w:bottom w:val="none" w:sz="0" w:space="0" w:color="auto"/>
        <w:right w:val="none" w:sz="0" w:space="0" w:color="auto"/>
      </w:divBdr>
    </w:div>
    <w:div w:id="844783960">
      <w:bodyDiv w:val="1"/>
      <w:marLeft w:val="0"/>
      <w:marRight w:val="0"/>
      <w:marTop w:val="0"/>
      <w:marBottom w:val="0"/>
      <w:divBdr>
        <w:top w:val="none" w:sz="0" w:space="0" w:color="auto"/>
        <w:left w:val="none" w:sz="0" w:space="0" w:color="auto"/>
        <w:bottom w:val="none" w:sz="0" w:space="0" w:color="auto"/>
        <w:right w:val="none" w:sz="0" w:space="0" w:color="auto"/>
      </w:divBdr>
    </w:div>
    <w:div w:id="913972226">
      <w:bodyDiv w:val="1"/>
      <w:marLeft w:val="0"/>
      <w:marRight w:val="0"/>
      <w:marTop w:val="0"/>
      <w:marBottom w:val="0"/>
      <w:divBdr>
        <w:top w:val="none" w:sz="0" w:space="0" w:color="auto"/>
        <w:left w:val="none" w:sz="0" w:space="0" w:color="auto"/>
        <w:bottom w:val="none" w:sz="0" w:space="0" w:color="auto"/>
        <w:right w:val="none" w:sz="0" w:space="0" w:color="auto"/>
      </w:divBdr>
    </w:div>
    <w:div w:id="959146087">
      <w:bodyDiv w:val="1"/>
      <w:marLeft w:val="0"/>
      <w:marRight w:val="0"/>
      <w:marTop w:val="0"/>
      <w:marBottom w:val="0"/>
      <w:divBdr>
        <w:top w:val="none" w:sz="0" w:space="0" w:color="auto"/>
        <w:left w:val="none" w:sz="0" w:space="0" w:color="auto"/>
        <w:bottom w:val="none" w:sz="0" w:space="0" w:color="auto"/>
        <w:right w:val="none" w:sz="0" w:space="0" w:color="auto"/>
      </w:divBdr>
    </w:div>
    <w:div w:id="1000932198">
      <w:bodyDiv w:val="1"/>
      <w:marLeft w:val="0"/>
      <w:marRight w:val="0"/>
      <w:marTop w:val="0"/>
      <w:marBottom w:val="0"/>
      <w:divBdr>
        <w:top w:val="none" w:sz="0" w:space="0" w:color="auto"/>
        <w:left w:val="none" w:sz="0" w:space="0" w:color="auto"/>
        <w:bottom w:val="none" w:sz="0" w:space="0" w:color="auto"/>
        <w:right w:val="none" w:sz="0" w:space="0" w:color="auto"/>
      </w:divBdr>
    </w:div>
    <w:div w:id="1021903254">
      <w:bodyDiv w:val="1"/>
      <w:marLeft w:val="0"/>
      <w:marRight w:val="0"/>
      <w:marTop w:val="0"/>
      <w:marBottom w:val="0"/>
      <w:divBdr>
        <w:top w:val="none" w:sz="0" w:space="0" w:color="auto"/>
        <w:left w:val="none" w:sz="0" w:space="0" w:color="auto"/>
        <w:bottom w:val="none" w:sz="0" w:space="0" w:color="auto"/>
        <w:right w:val="none" w:sz="0" w:space="0" w:color="auto"/>
      </w:divBdr>
    </w:div>
    <w:div w:id="1057163778">
      <w:bodyDiv w:val="1"/>
      <w:marLeft w:val="0"/>
      <w:marRight w:val="0"/>
      <w:marTop w:val="0"/>
      <w:marBottom w:val="0"/>
      <w:divBdr>
        <w:top w:val="none" w:sz="0" w:space="0" w:color="auto"/>
        <w:left w:val="none" w:sz="0" w:space="0" w:color="auto"/>
        <w:bottom w:val="none" w:sz="0" w:space="0" w:color="auto"/>
        <w:right w:val="none" w:sz="0" w:space="0" w:color="auto"/>
      </w:divBdr>
    </w:div>
    <w:div w:id="1082070896">
      <w:bodyDiv w:val="1"/>
      <w:marLeft w:val="0"/>
      <w:marRight w:val="0"/>
      <w:marTop w:val="0"/>
      <w:marBottom w:val="0"/>
      <w:divBdr>
        <w:top w:val="none" w:sz="0" w:space="0" w:color="auto"/>
        <w:left w:val="none" w:sz="0" w:space="0" w:color="auto"/>
        <w:bottom w:val="none" w:sz="0" w:space="0" w:color="auto"/>
        <w:right w:val="none" w:sz="0" w:space="0" w:color="auto"/>
      </w:divBdr>
    </w:div>
    <w:div w:id="1197960751">
      <w:bodyDiv w:val="1"/>
      <w:marLeft w:val="0"/>
      <w:marRight w:val="0"/>
      <w:marTop w:val="0"/>
      <w:marBottom w:val="0"/>
      <w:divBdr>
        <w:top w:val="none" w:sz="0" w:space="0" w:color="auto"/>
        <w:left w:val="none" w:sz="0" w:space="0" w:color="auto"/>
        <w:bottom w:val="none" w:sz="0" w:space="0" w:color="auto"/>
        <w:right w:val="none" w:sz="0" w:space="0" w:color="auto"/>
      </w:divBdr>
    </w:div>
    <w:div w:id="1327056904">
      <w:bodyDiv w:val="1"/>
      <w:marLeft w:val="0"/>
      <w:marRight w:val="0"/>
      <w:marTop w:val="0"/>
      <w:marBottom w:val="0"/>
      <w:divBdr>
        <w:top w:val="none" w:sz="0" w:space="0" w:color="auto"/>
        <w:left w:val="none" w:sz="0" w:space="0" w:color="auto"/>
        <w:bottom w:val="none" w:sz="0" w:space="0" w:color="auto"/>
        <w:right w:val="none" w:sz="0" w:space="0" w:color="auto"/>
      </w:divBdr>
    </w:div>
    <w:div w:id="1459831659">
      <w:bodyDiv w:val="1"/>
      <w:marLeft w:val="0"/>
      <w:marRight w:val="0"/>
      <w:marTop w:val="0"/>
      <w:marBottom w:val="0"/>
      <w:divBdr>
        <w:top w:val="none" w:sz="0" w:space="0" w:color="auto"/>
        <w:left w:val="none" w:sz="0" w:space="0" w:color="auto"/>
        <w:bottom w:val="none" w:sz="0" w:space="0" w:color="auto"/>
        <w:right w:val="none" w:sz="0" w:space="0" w:color="auto"/>
      </w:divBdr>
    </w:div>
    <w:div w:id="1558276003">
      <w:bodyDiv w:val="1"/>
      <w:marLeft w:val="0"/>
      <w:marRight w:val="0"/>
      <w:marTop w:val="0"/>
      <w:marBottom w:val="0"/>
      <w:divBdr>
        <w:top w:val="none" w:sz="0" w:space="0" w:color="auto"/>
        <w:left w:val="none" w:sz="0" w:space="0" w:color="auto"/>
        <w:bottom w:val="none" w:sz="0" w:space="0" w:color="auto"/>
        <w:right w:val="none" w:sz="0" w:space="0" w:color="auto"/>
      </w:divBdr>
    </w:div>
    <w:div w:id="1567689185">
      <w:bodyDiv w:val="1"/>
      <w:marLeft w:val="0"/>
      <w:marRight w:val="0"/>
      <w:marTop w:val="0"/>
      <w:marBottom w:val="0"/>
      <w:divBdr>
        <w:top w:val="none" w:sz="0" w:space="0" w:color="auto"/>
        <w:left w:val="none" w:sz="0" w:space="0" w:color="auto"/>
        <w:bottom w:val="none" w:sz="0" w:space="0" w:color="auto"/>
        <w:right w:val="none" w:sz="0" w:space="0" w:color="auto"/>
      </w:divBdr>
    </w:div>
    <w:div w:id="1696537396">
      <w:bodyDiv w:val="1"/>
      <w:marLeft w:val="0"/>
      <w:marRight w:val="0"/>
      <w:marTop w:val="0"/>
      <w:marBottom w:val="0"/>
      <w:divBdr>
        <w:top w:val="none" w:sz="0" w:space="0" w:color="auto"/>
        <w:left w:val="none" w:sz="0" w:space="0" w:color="auto"/>
        <w:bottom w:val="none" w:sz="0" w:space="0" w:color="auto"/>
        <w:right w:val="none" w:sz="0" w:space="0" w:color="auto"/>
      </w:divBdr>
    </w:div>
    <w:div w:id="1713455495">
      <w:bodyDiv w:val="1"/>
      <w:marLeft w:val="0"/>
      <w:marRight w:val="0"/>
      <w:marTop w:val="0"/>
      <w:marBottom w:val="0"/>
      <w:divBdr>
        <w:top w:val="none" w:sz="0" w:space="0" w:color="auto"/>
        <w:left w:val="none" w:sz="0" w:space="0" w:color="auto"/>
        <w:bottom w:val="none" w:sz="0" w:space="0" w:color="auto"/>
        <w:right w:val="none" w:sz="0" w:space="0" w:color="auto"/>
      </w:divBdr>
    </w:div>
    <w:div w:id="1871213444">
      <w:bodyDiv w:val="1"/>
      <w:marLeft w:val="0"/>
      <w:marRight w:val="0"/>
      <w:marTop w:val="0"/>
      <w:marBottom w:val="0"/>
      <w:divBdr>
        <w:top w:val="none" w:sz="0" w:space="0" w:color="auto"/>
        <w:left w:val="none" w:sz="0" w:space="0" w:color="auto"/>
        <w:bottom w:val="none" w:sz="0" w:space="0" w:color="auto"/>
        <w:right w:val="none" w:sz="0" w:space="0" w:color="auto"/>
      </w:divBdr>
    </w:div>
    <w:div w:id="1878661180">
      <w:bodyDiv w:val="1"/>
      <w:marLeft w:val="0"/>
      <w:marRight w:val="0"/>
      <w:marTop w:val="0"/>
      <w:marBottom w:val="0"/>
      <w:divBdr>
        <w:top w:val="none" w:sz="0" w:space="0" w:color="auto"/>
        <w:left w:val="none" w:sz="0" w:space="0" w:color="auto"/>
        <w:bottom w:val="none" w:sz="0" w:space="0" w:color="auto"/>
        <w:right w:val="none" w:sz="0" w:space="0" w:color="auto"/>
      </w:divBdr>
    </w:div>
    <w:div w:id="1945920598">
      <w:bodyDiv w:val="1"/>
      <w:marLeft w:val="0"/>
      <w:marRight w:val="0"/>
      <w:marTop w:val="0"/>
      <w:marBottom w:val="0"/>
      <w:divBdr>
        <w:top w:val="none" w:sz="0" w:space="0" w:color="auto"/>
        <w:left w:val="none" w:sz="0" w:space="0" w:color="auto"/>
        <w:bottom w:val="none" w:sz="0" w:space="0" w:color="auto"/>
        <w:right w:val="none" w:sz="0" w:space="0" w:color="auto"/>
      </w:divBdr>
    </w:div>
    <w:div w:id="2030250026">
      <w:bodyDiv w:val="1"/>
      <w:marLeft w:val="0"/>
      <w:marRight w:val="0"/>
      <w:marTop w:val="0"/>
      <w:marBottom w:val="0"/>
      <w:divBdr>
        <w:top w:val="none" w:sz="0" w:space="0" w:color="auto"/>
        <w:left w:val="none" w:sz="0" w:space="0" w:color="auto"/>
        <w:bottom w:val="none" w:sz="0" w:space="0" w:color="auto"/>
        <w:right w:val="none" w:sz="0" w:space="0" w:color="auto"/>
      </w:divBdr>
    </w:div>
    <w:div w:id="2038773610">
      <w:bodyDiv w:val="1"/>
      <w:marLeft w:val="0"/>
      <w:marRight w:val="0"/>
      <w:marTop w:val="0"/>
      <w:marBottom w:val="0"/>
      <w:divBdr>
        <w:top w:val="none" w:sz="0" w:space="0" w:color="auto"/>
        <w:left w:val="none" w:sz="0" w:space="0" w:color="auto"/>
        <w:bottom w:val="none" w:sz="0" w:space="0" w:color="auto"/>
        <w:right w:val="none" w:sz="0" w:space="0" w:color="auto"/>
      </w:divBdr>
    </w:div>
    <w:div w:id="2077625819">
      <w:bodyDiv w:val="1"/>
      <w:marLeft w:val="0"/>
      <w:marRight w:val="0"/>
      <w:marTop w:val="0"/>
      <w:marBottom w:val="0"/>
      <w:divBdr>
        <w:top w:val="none" w:sz="0" w:space="0" w:color="auto"/>
        <w:left w:val="none" w:sz="0" w:space="0" w:color="auto"/>
        <w:bottom w:val="none" w:sz="0" w:space="0" w:color="auto"/>
        <w:right w:val="none" w:sz="0" w:space="0" w:color="auto"/>
      </w:divBdr>
    </w:div>
    <w:div w:id="2082285676">
      <w:bodyDiv w:val="1"/>
      <w:marLeft w:val="0"/>
      <w:marRight w:val="0"/>
      <w:marTop w:val="0"/>
      <w:marBottom w:val="0"/>
      <w:divBdr>
        <w:top w:val="none" w:sz="0" w:space="0" w:color="auto"/>
        <w:left w:val="none" w:sz="0" w:space="0" w:color="auto"/>
        <w:bottom w:val="none" w:sz="0" w:space="0" w:color="auto"/>
        <w:right w:val="none" w:sz="0" w:space="0" w:color="auto"/>
      </w:divBdr>
    </w:div>
    <w:div w:id="21427229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v.uk/government/statistics/english-housing-survey-2015-to-2016-headline-report" TargetMode="External"/><Relationship Id="rId12" Type="http://schemas.openxmlformats.org/officeDocument/2006/relationships/hyperlink" Target="https://www.gov.uk/government/publications/rent-standard-guidance" TargetMode="External"/><Relationship Id="rId13" Type="http://schemas.openxmlformats.org/officeDocument/2006/relationships/hyperlink" Target="http://england.shelter.org.uk/professional_resources/policy_and_research/policy_library/policy_library_folder/briefing_happier_and_healthier_improving_conditions_in_the_pr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roline.hunter@york.ac.uk" TargetMode="External"/><Relationship Id="rId9" Type="http://schemas.openxmlformats.org/officeDocument/2006/relationships/hyperlink" Target="mailto:jed.meers@york.ac.uk" TargetMode="External"/><Relationship Id="rId10" Type="http://schemas.openxmlformats.org/officeDocument/2006/relationships/hyperlink" Target="https://www.gov.uk/government/uploads/system/uploads/attachment_data/file/313355/14-05-07_Guidance_on_Rents_for_Social_Housing__Final_.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statistics/english-housing-survey-2015-to-2016-headline-report" TargetMode="External"/><Relationship Id="rId4" Type="http://schemas.openxmlformats.org/officeDocument/2006/relationships/hyperlink" Target="https://www.gov.uk/government/uploads/system/uploads/attachment_data/file/313355/14-05-07_Guidance_on_Rents_for_Social_Housing__Final_.pdf" TargetMode="External"/><Relationship Id="rId5" Type="http://schemas.openxmlformats.org/officeDocument/2006/relationships/hyperlink" Target="https://www.gov.uk/government/publications/rent-standard-guidance" TargetMode="External"/><Relationship Id="rId6" Type="http://schemas.openxmlformats.org/officeDocument/2006/relationships/hyperlink" Target="https://www.gov.uk/tenancy-deposit-protection" TargetMode="External"/><Relationship Id="rId7" Type="http://schemas.openxmlformats.org/officeDocument/2006/relationships/hyperlink" Target="http://england.shelter.org.uk/professional_resources/policy_and_research/policy_library/policy_library_folder/briefing_happier_and_healthier_improving_conditions_in_the_prs" TargetMode="External"/><Relationship Id="rId8" Type="http://schemas.openxmlformats.org/officeDocument/2006/relationships/hyperlink" Target="https://www.gov.uk/government/statistics/english-housing-survey-2015-to-2016-headline-report" TargetMode="External"/><Relationship Id="rId1" Type="http://schemas.openxmlformats.org/officeDocument/2006/relationships/hyperlink" Target="https://www.gov.uk/government/statistics/english-housing-survey-2015-to-2016-headline-report" TargetMode="External"/><Relationship Id="rId2" Type="http://schemas.openxmlformats.org/officeDocument/2006/relationships/hyperlink" Target="https://www.gov.uk/government/statistics/english-housing-survey-2015-to-2016-headlin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92D8B9-6253-0A4D-822B-BB8B66F5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5985</Words>
  <Characters>34120</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Hunter</dc:creator>
  <cp:keywords/>
  <dc:description/>
  <cp:lastModifiedBy>Caroline Hunter</cp:lastModifiedBy>
  <cp:revision>3</cp:revision>
  <cp:lastPrinted>2017-09-04T14:23:00Z</cp:lastPrinted>
  <dcterms:created xsi:type="dcterms:W3CDTF">2017-10-05T16:23:00Z</dcterms:created>
  <dcterms:modified xsi:type="dcterms:W3CDTF">2017-10-31T17:53:00Z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id="GYHCep5o"/&gt;&lt;style id="http://citationstylist.org/styles/mlz-oscola" hasBibliography="1" bibliographyStyleHasBeenSet="0"/&gt;&lt;prefs&gt;&lt;pref name="fieldType" value="Field"/&gt;&lt;pref name="storeReferences</vt:lpwstr>
  </property>
  <property fmtid="{D5CDD505-2E9C-101B-9397-08002B2CF9AE}" pid="3" name="ZOTERO_PREF_2">
    <vt:lpwstr>" value="true"/&gt;&lt;pref name="automaticJournalAbbreviations" value=""/&gt;&lt;pref name="noteType" value="1"/&gt;&lt;/prefs&gt;&lt;/data&gt;</vt:lpwstr>
  </property>
</Properties>
</file>