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9C1F7E" w14:textId="45EF8B31" w:rsidR="00091679" w:rsidRDefault="0019141D" w:rsidP="0061282A">
      <w:pPr>
        <w:pStyle w:val="Title"/>
        <w:pBdr>
          <w:bottom w:val="single" w:sz="12" w:space="1" w:color="auto"/>
        </w:pBdr>
        <w:spacing w:line="480" w:lineRule="auto"/>
        <w:rPr>
          <w:rFonts w:ascii="Times New Roman" w:hAnsi="Times New Roman" w:cs="Times New Roman"/>
        </w:rPr>
      </w:pPr>
      <w:bookmarkStart w:id="0" w:name="_GoBack"/>
      <w:bookmarkEnd w:id="0"/>
      <w:r w:rsidRPr="0061282A">
        <w:rPr>
          <w:rFonts w:ascii="Times New Roman" w:hAnsi="Times New Roman" w:cs="Times New Roman"/>
        </w:rPr>
        <w:t>Tropical forests are thermally buffered despite intensive selective logging</w:t>
      </w:r>
    </w:p>
    <w:p w14:paraId="3D28621E" w14:textId="22CF9F0A" w:rsidR="00ED76E9" w:rsidRPr="0061282A" w:rsidRDefault="00ED76E9" w:rsidP="0061282A">
      <w:pPr>
        <w:spacing w:before="240"/>
        <w:rPr>
          <w:b/>
        </w:rPr>
      </w:pPr>
      <w:r w:rsidRPr="0061282A">
        <w:rPr>
          <w:b/>
        </w:rPr>
        <w:t>Running head: Logged forests retain high thermal variation</w:t>
      </w:r>
    </w:p>
    <w:p w14:paraId="3B4BE2D0" w14:textId="4F2666C4" w:rsidR="00EA41AB" w:rsidRPr="00CF7ED3" w:rsidRDefault="00EA41AB" w:rsidP="0061282A">
      <w:r w:rsidRPr="00CF7ED3">
        <w:t>Rebecca A. Senior</w:t>
      </w:r>
      <w:r w:rsidRPr="00CF7ED3">
        <w:rPr>
          <w:vertAlign w:val="superscript"/>
        </w:rPr>
        <w:t>1*</w:t>
      </w:r>
      <w:r w:rsidRPr="00CF7ED3">
        <w:t>, Jane K. Hill</w:t>
      </w:r>
      <w:r w:rsidRPr="00CF7ED3">
        <w:rPr>
          <w:vertAlign w:val="superscript"/>
        </w:rPr>
        <w:t>2</w:t>
      </w:r>
      <w:r w:rsidR="00FA3182" w:rsidRPr="00CF7ED3">
        <w:t>, Suzan Benedick</w:t>
      </w:r>
      <w:r w:rsidR="00FA3182" w:rsidRPr="00CF7ED3">
        <w:rPr>
          <w:vertAlign w:val="superscript"/>
        </w:rPr>
        <w:t>3</w:t>
      </w:r>
      <w:r w:rsidRPr="00CF7ED3">
        <w:t xml:space="preserve"> and David P. Edwards</w:t>
      </w:r>
      <w:r w:rsidRPr="00CF7ED3">
        <w:rPr>
          <w:vertAlign w:val="superscript"/>
        </w:rPr>
        <w:t>1</w:t>
      </w:r>
    </w:p>
    <w:p w14:paraId="694925B1" w14:textId="77777777" w:rsidR="00EA41AB" w:rsidRPr="00CF7ED3" w:rsidRDefault="00EA41AB" w:rsidP="0061282A">
      <w:r w:rsidRPr="00CF7ED3">
        <w:rPr>
          <w:vertAlign w:val="superscript"/>
        </w:rPr>
        <w:t>1</w:t>
      </w:r>
      <w:r w:rsidRPr="00CF7ED3">
        <w:t>Department of Animal and Plant Sciences, Alfred Denny Building, University of Sheffield, Western Bank, Sheffield, 210 2TN, UK</w:t>
      </w:r>
    </w:p>
    <w:p w14:paraId="3637F93A" w14:textId="77777777" w:rsidR="00EA41AB" w:rsidRPr="00CF7ED3" w:rsidRDefault="00EA41AB" w:rsidP="00CF7ED3">
      <w:r w:rsidRPr="00CF7ED3">
        <w:rPr>
          <w:vertAlign w:val="superscript"/>
        </w:rPr>
        <w:t>2</w:t>
      </w:r>
      <w:r w:rsidRPr="00CF7ED3">
        <w:t>Department of Biology, University of York, Wentworth Way, York, YO10 5DD, UK</w:t>
      </w:r>
    </w:p>
    <w:p w14:paraId="0F413BBB" w14:textId="4E904782" w:rsidR="00FA3182" w:rsidRPr="00CF7ED3" w:rsidRDefault="00FA3182" w:rsidP="00E54113">
      <w:r w:rsidRPr="00CF7ED3">
        <w:rPr>
          <w:vertAlign w:val="superscript"/>
        </w:rPr>
        <w:t>3</w:t>
      </w:r>
      <w:r w:rsidRPr="00CF7ED3">
        <w:t xml:space="preserve"> </w:t>
      </w:r>
      <w:r w:rsidR="00E54113">
        <w:t>Faculty of Sustainable Agriculture, Universiti Malaysia Sabah, Locked Bag No. 3, 90509, Sandakan, Sabah</w:t>
      </w:r>
      <w:r w:rsidRPr="00CF7ED3">
        <w:t>, Malaysia</w:t>
      </w:r>
    </w:p>
    <w:p w14:paraId="1C60FE90" w14:textId="78D3AA3D" w:rsidR="005C4163" w:rsidRPr="00CF7ED3" w:rsidRDefault="005C4163" w:rsidP="00CF7ED3">
      <w:r w:rsidRPr="00CF7ED3">
        <w:rPr>
          <w:b/>
          <w:vertAlign w:val="superscript"/>
        </w:rPr>
        <w:t>*</w:t>
      </w:r>
      <w:r w:rsidRPr="00CF7ED3">
        <w:rPr>
          <w:b/>
        </w:rPr>
        <w:t>Corresponding author:</w:t>
      </w:r>
      <w:r w:rsidRPr="00CF7ED3">
        <w:t xml:space="preserve"> </w:t>
      </w:r>
      <w:r w:rsidR="00ED76E9" w:rsidRPr="00CF7ED3">
        <w:t>rebecca.a.senior@gmail.com, +44(0)114 2220123</w:t>
      </w:r>
      <w:r w:rsidRPr="00CF7ED3">
        <w:t xml:space="preserve"> (R.A. Senior)</w:t>
      </w:r>
    </w:p>
    <w:p w14:paraId="7D7A2EF4" w14:textId="77777777" w:rsidR="00E31AE3" w:rsidRPr="00CF7ED3" w:rsidRDefault="0080211B" w:rsidP="00CF7ED3">
      <w:r w:rsidRPr="00CF7ED3">
        <w:rPr>
          <w:b/>
        </w:rPr>
        <w:t>Key words:</w:t>
      </w:r>
      <w:r w:rsidRPr="00CF7ED3">
        <w:t xml:space="preserve"> land-use change, microclimate, tropics, thermal buffering, climate change</w:t>
      </w:r>
    </w:p>
    <w:p w14:paraId="5012A1A5" w14:textId="17106CC0" w:rsidR="005C4163" w:rsidRPr="00CF7ED3" w:rsidRDefault="00E31AE3" w:rsidP="00CF7ED3">
      <w:pPr>
        <w:rPr>
          <w:rFonts w:eastAsiaTheme="majorEastAsia"/>
          <w:b/>
          <w:bCs/>
          <w:color w:val="5B9BD5" w:themeColor="accent1"/>
          <w:sz w:val="26"/>
          <w:szCs w:val="26"/>
        </w:rPr>
      </w:pPr>
      <w:r w:rsidRPr="00CF7ED3">
        <w:rPr>
          <w:b/>
        </w:rPr>
        <w:t xml:space="preserve">Type of </w:t>
      </w:r>
      <w:r w:rsidR="00402913">
        <w:rPr>
          <w:b/>
        </w:rPr>
        <w:t>p</w:t>
      </w:r>
      <w:r w:rsidRPr="00CF7ED3">
        <w:rPr>
          <w:b/>
        </w:rPr>
        <w:t xml:space="preserve">aper: </w:t>
      </w:r>
      <w:r w:rsidRPr="00CF7ED3">
        <w:t>Primary Research Article</w:t>
      </w:r>
      <w:r w:rsidR="005C4163" w:rsidRPr="00CF7ED3">
        <w:rPr>
          <w:b/>
        </w:rPr>
        <w:br w:type="page"/>
      </w:r>
    </w:p>
    <w:p w14:paraId="75D00DC8" w14:textId="77777777" w:rsidR="005C4163" w:rsidRPr="00CF7ED3" w:rsidRDefault="005C4163" w:rsidP="00CF7ED3">
      <w:pPr>
        <w:pStyle w:val="Heading1"/>
      </w:pPr>
      <w:r w:rsidRPr="00CF7ED3">
        <w:lastRenderedPageBreak/>
        <w:t>Abstract</w:t>
      </w:r>
    </w:p>
    <w:p w14:paraId="4E8BD5F6" w14:textId="4A6457D2" w:rsidR="00343B13" w:rsidRPr="00CF7ED3" w:rsidRDefault="00BE01F4" w:rsidP="0061780D">
      <w:r>
        <w:t xml:space="preserve">Tropical rainforests are subject to extensive degradation by commercial selective logging. Despite pervasive changes to forest structure, selectively logged forests represent vital refugia for global biodiversity. The ability of these forests to buffer temperature-sensitive species from climate warming will be an important determinant of their future conservation value, </w:t>
      </w:r>
      <w:r w:rsidR="0061780D">
        <w:t>although</w:t>
      </w:r>
      <w:r>
        <w:t xml:space="preserve"> this topic remains largely unexplored. </w:t>
      </w:r>
      <w:r w:rsidR="0061780D">
        <w:t>T</w:t>
      </w:r>
      <w:r w:rsidR="00343B13">
        <w:t xml:space="preserve">hermal buffering </w:t>
      </w:r>
      <w:r w:rsidR="0061780D">
        <w:t xml:space="preserve">potential </w:t>
      </w:r>
      <w:r w:rsidR="00980466">
        <w:t>is broadly determined by: (1) the difference between the ‘macroclimate’ (climate at a local scale, 10</w:t>
      </w:r>
      <w:r w:rsidR="00980466">
        <w:rPr>
          <w:vertAlign w:val="superscript"/>
        </w:rPr>
        <w:t>1</w:t>
      </w:r>
      <w:r w:rsidR="00980466">
        <w:t xml:space="preserve"> to 10</w:t>
      </w:r>
      <w:r w:rsidR="00980466">
        <w:rPr>
          <w:vertAlign w:val="superscript"/>
        </w:rPr>
        <w:t>3</w:t>
      </w:r>
      <w:r w:rsidR="00980466">
        <w:t xml:space="preserve"> m) and the ‘microcli</w:t>
      </w:r>
      <w:r w:rsidR="0061780D">
        <w:t>mate’ (climate at a fine-scale,</w:t>
      </w:r>
      <w:r w:rsidR="00980466">
        <w:t xml:space="preserve"> 10</w:t>
      </w:r>
      <w:r w:rsidR="00980466">
        <w:rPr>
          <w:vertAlign w:val="superscript"/>
        </w:rPr>
        <w:t>-3</w:t>
      </w:r>
      <w:r w:rsidR="00980466">
        <w:t xml:space="preserve"> to 10</w:t>
      </w:r>
      <w:r w:rsidR="00980466">
        <w:rPr>
          <w:vertAlign w:val="superscript"/>
        </w:rPr>
        <w:t>-1</w:t>
      </w:r>
      <w:r w:rsidR="0061780D">
        <w:t xml:space="preserve"> m,</w:t>
      </w:r>
      <w:r w:rsidR="00980466">
        <w:t xml:space="preserve"> that is distinct from the macroclimate); and (2) the </w:t>
      </w:r>
      <w:r w:rsidR="0061780D">
        <w:t>a</w:t>
      </w:r>
      <w:r w:rsidR="00343B13">
        <w:t>vailability</w:t>
      </w:r>
      <w:r w:rsidR="00980466">
        <w:t xml:space="preserve"> of microclimates</w:t>
      </w:r>
      <w:r w:rsidR="00343B13">
        <w:t xml:space="preserve"> to organisms. We compared these metrics in </w:t>
      </w:r>
      <w:r w:rsidR="00692ACE">
        <w:t xml:space="preserve">undisturbed </w:t>
      </w:r>
      <w:r w:rsidR="00692ACE" w:rsidRPr="00CF7ED3">
        <w:t>primary forest and inte</w:t>
      </w:r>
      <w:r w:rsidR="00692ACE">
        <w:t xml:space="preserve">nsively logged forest on Borneo, using thermal images to </w:t>
      </w:r>
      <w:r w:rsidR="00343B13">
        <w:t>capture cool microclimates</w:t>
      </w:r>
      <w:r w:rsidR="0061780D">
        <w:t xml:space="preserve"> </w:t>
      </w:r>
      <w:r w:rsidR="003B0E76">
        <w:t xml:space="preserve">on the surface of the forest floor, and </w:t>
      </w:r>
      <w:r w:rsidR="009B4EBF">
        <w:t>datalogger</w:t>
      </w:r>
      <w:r w:rsidR="003B0E76">
        <w:t>s to capture those inside leaf litter, tree holes and deadwood</w:t>
      </w:r>
      <w:r w:rsidR="00343B13">
        <w:t xml:space="preserve">. </w:t>
      </w:r>
      <w:r w:rsidR="00692ACE" w:rsidRPr="00CF7ED3">
        <w:t xml:space="preserve">Despite major differences in forest structure 9-12 years after </w:t>
      </w:r>
      <w:r w:rsidR="00692ACE">
        <w:t xml:space="preserve">repeated </w:t>
      </w:r>
      <w:r w:rsidR="00692ACE" w:rsidRPr="00CF7ED3">
        <w:t xml:space="preserve">selective logging, </w:t>
      </w:r>
      <w:r w:rsidR="00692ACE">
        <w:t xml:space="preserve">we found </w:t>
      </w:r>
      <w:r w:rsidR="00343B13">
        <w:t xml:space="preserve">that </w:t>
      </w:r>
      <w:r w:rsidR="0061780D">
        <w:t xml:space="preserve">logged forest was largely indistinguishable from primary forest </w:t>
      </w:r>
      <w:r w:rsidR="00343B13">
        <w:t xml:space="preserve">in terms of macroclimate and microclimate temperature, and the </w:t>
      </w:r>
      <w:r w:rsidR="003B0E76">
        <w:t xml:space="preserve">overall </w:t>
      </w:r>
      <w:r w:rsidR="00343B13">
        <w:t xml:space="preserve">availability of microclimates. </w:t>
      </w:r>
      <w:r w:rsidR="003E08F5">
        <w:t>Microclimate temperature inside d</w:t>
      </w:r>
      <w:r w:rsidR="00343B13">
        <w:t>eadwood warm</w:t>
      </w:r>
      <w:r w:rsidR="0061780D">
        <w:t>ed</w:t>
      </w:r>
      <w:r w:rsidR="00343B13" w:rsidRPr="00CF7ED3">
        <w:t xml:space="preserve"> slightly faster in </w:t>
      </w:r>
      <w:r w:rsidR="00343B13">
        <w:t>logged</w:t>
      </w:r>
      <w:r w:rsidR="00343B13" w:rsidRPr="00CF7ED3">
        <w:t xml:space="preserve"> forests than in </w:t>
      </w:r>
      <w:r w:rsidR="00343B13">
        <w:t>primary</w:t>
      </w:r>
      <w:r w:rsidR="00343B13" w:rsidRPr="00CF7ED3">
        <w:t xml:space="preserve"> forests, </w:t>
      </w:r>
      <w:r w:rsidR="00343B13">
        <w:t>but</w:t>
      </w:r>
      <w:r w:rsidR="00343B13" w:rsidRPr="00CF7ED3">
        <w:t xml:space="preserve"> the opposite was true </w:t>
      </w:r>
      <w:r w:rsidR="003E08F5">
        <w:t>within</w:t>
      </w:r>
      <w:r w:rsidR="00343B13">
        <w:t xml:space="preserve"> </w:t>
      </w:r>
      <w:r w:rsidR="00343B13" w:rsidRPr="00391FC4">
        <w:t>leaf litter and tree holes</w:t>
      </w:r>
      <w:r w:rsidR="00343B13">
        <w:t>,</w:t>
      </w:r>
      <w:r w:rsidR="00343B13" w:rsidRPr="00391FC4">
        <w:t xml:space="preserve"> </w:t>
      </w:r>
      <w:r w:rsidR="00343B13">
        <w:t xml:space="preserve">and </w:t>
      </w:r>
      <w:r w:rsidR="00343B13" w:rsidRPr="00CF7ED3">
        <w:t xml:space="preserve">the effect amounted to less than 0.1°C difference between forest types for 1°C </w:t>
      </w:r>
      <w:r w:rsidR="0061780D">
        <w:t xml:space="preserve">warming in </w:t>
      </w:r>
      <w:r w:rsidR="00343B13">
        <w:t>the macroclimate</w:t>
      </w:r>
      <w:r w:rsidR="00343B13" w:rsidRPr="00CF7ED3">
        <w:t xml:space="preserve">. We therefore conclude that selectively logged forests are similar to primary forests in their potential for thermal buffering, and subsequent ability to retain temperature-sensitive species under climate change. Selectively logged forests can play a </w:t>
      </w:r>
      <w:r w:rsidR="00343B13">
        <w:t>crucial</w:t>
      </w:r>
      <w:r w:rsidR="00343B13" w:rsidRPr="00CF7ED3">
        <w:t xml:space="preserve"> role in the long-term maintenance of global biodiversity.</w:t>
      </w:r>
    </w:p>
    <w:p w14:paraId="56145BEC" w14:textId="0B01EE5E" w:rsidR="00164BD9" w:rsidRPr="00F017E9" w:rsidRDefault="003B0E76" w:rsidP="00F017E9">
      <w:pPr>
        <w:spacing w:after="160"/>
        <w:rPr>
          <w:rFonts w:asciiTheme="majorHAnsi" w:eastAsiaTheme="majorEastAsia" w:hAnsiTheme="majorHAnsi" w:cstheme="majorBidi"/>
          <w:b/>
          <w:bCs/>
          <w:smallCaps/>
          <w:color w:val="000000" w:themeColor="text1"/>
          <w:sz w:val="36"/>
          <w:szCs w:val="36"/>
        </w:rPr>
      </w:pPr>
      <w:r>
        <w:rPr>
          <w:b/>
        </w:rPr>
        <w:t>263</w:t>
      </w:r>
      <w:r w:rsidR="00343B13" w:rsidRPr="00F017E9">
        <w:rPr>
          <w:b/>
        </w:rPr>
        <w:t xml:space="preserve"> words (max. 300)</w:t>
      </w:r>
      <w:r w:rsidR="00164BD9" w:rsidRPr="00F017E9">
        <w:rPr>
          <w:rFonts w:asciiTheme="majorHAnsi" w:eastAsiaTheme="majorEastAsia" w:hAnsiTheme="majorHAnsi" w:cstheme="majorBidi"/>
          <w:b/>
          <w:bCs/>
          <w:smallCaps/>
          <w:color w:val="000000" w:themeColor="text1"/>
          <w:sz w:val="36"/>
          <w:szCs w:val="36"/>
        </w:rPr>
        <w:br w:type="page"/>
      </w:r>
    </w:p>
    <w:p w14:paraId="3D7E6C23" w14:textId="090D1612" w:rsidR="00620108" w:rsidRPr="00CF7ED3" w:rsidRDefault="00EA41AB" w:rsidP="00CF7ED3">
      <w:pPr>
        <w:pStyle w:val="Heading1"/>
      </w:pPr>
      <w:r w:rsidRPr="00CF7ED3">
        <w:lastRenderedPageBreak/>
        <w:t>Introduction</w:t>
      </w:r>
    </w:p>
    <w:p w14:paraId="44EA545C" w14:textId="6AE174FD" w:rsidR="0007488B" w:rsidRPr="00CF7ED3" w:rsidRDefault="0007488B" w:rsidP="00CF7ED3">
      <w:r w:rsidRPr="00CF7ED3">
        <w:t xml:space="preserve">Land-use change </w:t>
      </w:r>
      <w:r w:rsidR="00BE14DD" w:rsidRPr="00CF7ED3">
        <w:t>is</w:t>
      </w:r>
      <w:r w:rsidRPr="00CF7ED3">
        <w:t xml:space="preserve"> </w:t>
      </w:r>
      <w:r w:rsidR="005E5515" w:rsidRPr="00CF7ED3">
        <w:t>a</w:t>
      </w:r>
      <w:r w:rsidRPr="00CF7ED3">
        <w:t xml:space="preserve"> </w:t>
      </w:r>
      <w:r w:rsidR="00C95DF6" w:rsidRPr="00CF7ED3">
        <w:t>profound</w:t>
      </w:r>
      <w:r w:rsidR="009470A4" w:rsidRPr="00CF7ED3">
        <w:t xml:space="preserve"> </w:t>
      </w:r>
      <w:r w:rsidRPr="00CF7ED3">
        <w:t xml:space="preserve">threat to </w:t>
      </w:r>
      <w:r w:rsidR="002F7B38" w:rsidRPr="00CF7ED3">
        <w:t xml:space="preserve">Earth’s </w:t>
      </w:r>
      <w:r w:rsidRPr="00CF7ED3">
        <w:t xml:space="preserve">terrestrial biodiversity </w:t>
      </w:r>
      <w:r w:rsidRPr="00CF7ED3">
        <w:fldChar w:fldCharType="begin"/>
      </w:r>
      <w:r w:rsidR="004E4368">
        <w:instrText xml:space="preserve"> ADDIN ZOTERO_ITEM CSL_CITATION {"citationID":"JjUNhBNE","properties":{"formattedCitation":"{\\rtf (Sala {\\i{}et al.}, 2000; Maxwell {\\i{}et al.}, 2016)}","plainCitation":"(Sala et al., 2000; Maxwell et al., 2016)"},"citationItems":[{"id":414,"uris":["http://zotero.org/users/1177238/items/S4QAEXM9"],"uri":["http://zotero.org/users/1177238/items/S4QAEXM9"],"itemData":{"id":414,"type":"article-journal","title":"Global biodiversity scenarios for the year 2100","container-title":"Science","page":"1770-1774","volume":"287","issue":"5459","source":"libsta28.lib.cam.ac.uk:2237","abstract":"Scenarios of changes in biodiversity for the year 2100 can now be developed based on scenarios of changes in atmospheric carbon dioxide, climate, vegetation, and land use and the known sensitivity of biodiversity to these changes. This study identified a ranking of the importance of drivers of change, a ranking of the biomes with respect to expected changes, and the major sources of uncertainties. For terrestrial ecosystems, land-use change probably will have the largest effect, followed by climate change, nitrogen deposition, biotic exchange, and elevated carbon dioxide concentration. For freshwater ecosystems, biotic exchange is much more important. Mediterranean climate and grassland ecosystems likely will experience the greatest proportional change in biodiversity because of the substantial influence of all drivers of biodiversity change. Northern temperate ecosystems are estimated to experience the least biodiversity change because major land-use change has already occurred. Plausible changes in biodiversity in other biomes depend on interactions among the causes of biodiversity change. These interactions represent one of the largest uncertainties in projections of future biodiversity change.","DOI":"10.1126/science.287.5459.1770","ISSN":"0036-8075, 1095-9203","note":"PMID: 10710299","journalAbbreviation":"Science","language":"en","author":[{"family":"Sala","given":"Osvaldo E."},{"family":"Chapin","given":"F. Stuart"},{"family":"Iii","given":""},{"family":"Armesto","given":"Juan J."},{"family":"Berlow","given":"Eric"},{"family":"Bloomfield","given":"Janine"},{"family":"Dirzo","given":"Rodolfo"},{"family":"Huber-Sanwald","given":"Elisabeth"},{"family":"Huenneke","given":"Laura F."},{"family":"Jackson","given":"Robert B."},{"family":"Kinzig","given":"Ann"},{"family":"Leemans","given":"Rik"},{"family":"Lodge","given":"David M."},{"family":"Mooney","given":"Harold A."},{"family":"Oesterheld","given":"Martı́n"},{"family":"Poff","given":"N. LeRoy"},{"family":"Sykes","given":"Martin T."},{"family":"Walker","given":"Brian H."},{"family":"Walker","given":"Marilyn"},{"family":"Wall","given":"Diana H."}],"issued":{"date-parts":[["2000",3,10]]}}},{"id":12511,"uris":["http://zotero.org/users/1177238/items/7J4Q75SA"],"uri":["http://zotero.org/users/1177238/items/7J4Q75SA"],"itemData":{"id":12511,"type":"article-journal","title":"Biodiversity: The ravages of guns, nets and bulldozers","container-title":"Nature News","page":"143","volume":"536","issue":"7615","source":"www.nature.com","abstract":"The threats of old are still the dominant drivers of current species loss, indicates an analysis of IUCN Red List data by Sean Maxwell and colleagues.","DOI":"10.1038/536143a","shortTitle":"Biodiversity","author":[{"family":"Maxwell","given":"Sean L."},{"family":"Fuller","given":"Richard A."},{"family":"Brooks","given":"Thomas M."},{"family":"Watson","given":"James E. M."}],"issued":{"date-parts":[["2016",8,11]]}}}],"schema":"https://github.com/citation-style-language/schema/raw/master/csl-citation.json"} </w:instrText>
      </w:r>
      <w:r w:rsidRPr="00CF7ED3">
        <w:fldChar w:fldCharType="separate"/>
      </w:r>
      <w:r w:rsidR="00342CFF" w:rsidRPr="00342CFF">
        <w:t xml:space="preserve">(Sala </w:t>
      </w:r>
      <w:r w:rsidR="00342CFF" w:rsidRPr="00342CFF">
        <w:rPr>
          <w:i/>
          <w:iCs/>
        </w:rPr>
        <w:t>et al.</w:t>
      </w:r>
      <w:r w:rsidR="00342CFF" w:rsidRPr="00342CFF">
        <w:t xml:space="preserve">, 2000; Maxwell </w:t>
      </w:r>
      <w:r w:rsidR="00342CFF" w:rsidRPr="00342CFF">
        <w:rPr>
          <w:i/>
          <w:iCs/>
        </w:rPr>
        <w:t>et al.</w:t>
      </w:r>
      <w:r w:rsidR="00342CFF" w:rsidRPr="00342CFF">
        <w:t>, 2016)</w:t>
      </w:r>
      <w:r w:rsidRPr="00CF7ED3">
        <w:fldChar w:fldCharType="end"/>
      </w:r>
      <w:r w:rsidRPr="00CF7ED3">
        <w:t xml:space="preserve">. </w:t>
      </w:r>
      <w:r w:rsidR="002F7B38" w:rsidRPr="00CF7ED3">
        <w:t>Most of this biodiversity is found in tropic</w:t>
      </w:r>
      <w:r w:rsidR="005E5515" w:rsidRPr="00CF7ED3">
        <w:t>al region</w:t>
      </w:r>
      <w:r w:rsidR="002F7B38" w:rsidRPr="00CF7ED3">
        <w:t xml:space="preserve">s </w:t>
      </w:r>
      <w:r w:rsidR="002F7B38" w:rsidRPr="00CF7ED3">
        <w:fldChar w:fldCharType="begin"/>
      </w:r>
      <w:r w:rsidR="004E4368">
        <w:instrText xml:space="preserve"> ADDIN ZOTERO_ITEM CSL_CITATION {"citationID":"191gfq2oju","properties":{"formattedCitation":"{\\rtf (Jenkins {\\i{}et al.}, 2013)}","plainCitation":"(Jenkins et al., 2013)"},"citationItems":[{"id":11723,"uris":["http://zotero.org/users/1177238/items/TFRK4WVD"],"uri":["http://zotero.org/users/1177238/items/TFRK4WVD"],"itemData":{"id":11723,"type":"article-journal","title":"Global patterns of terrestrial vertebrate diversity and conservation","container-title":"Proceedings of the National Academy of Sciences","page":"E2602-E2610","volume":"110","issue":"28","source":"www.pnas.org","abstract":"Identifying priority areas for biodiversity is essential for directing conservation resources. Fundamentally, we must know where individual species live, which ones are vulnerable, where human actions threaten them, and their levels of protection. As conservation knowledge and threats change, we must reevaluate priorities. We mapped priority areas for vertebrates using newly updated data on &gt;21,000 species of mammals, amphibians, and birds. For each taxon, we identified centers of richness for all species, small-ranged species, and threatened species listed with the International Union for the Conservation of Nature. Importantly, all analyses were at a spatial grain of 10 × 10 km, 100 times finer than previous assessments. This fine scale is a significant methodological improvement, because it brings mapping to scales comparable with regional decisions on where to place protected areas. We also mapped recent species discoveries, because they suggest where as-yet-unknown species might be living. To assess the protection of the priority areas, we calculated the percentage of priority areas within protected areas using the latest data from the World Database of Protected Areas, providing a snapshot of how well the planet’s protected area system encompasses vertebrate biodiversity. Although the priority areas do have more protection than the global average, the level of protection still is insufficient given the importance of these areas for preventing vertebrate extinctions. We also found substantial differences between our identified vertebrate priorities and the leading map of global conservation priorities, the biodiversity hotspots. Our findings suggest a need to reassess the global allocation of conservation resources to reflect today’s improved knowledge of biodiversity and conservation.","DOI":"10.1073/pnas.1302251110","ISSN":"0027-8424, 1091-6490","note":"PMID: 23803854","journalAbbreviation":"PNAS","language":"en","author":[{"family":"Jenkins","given":"Clinton N."},{"family":"Pimm","given":"Stuart L."},{"family":"Joppa","given":"Lucas N."}],"issued":{"date-parts":[["2013",7,9]]}}}],"schema":"https://github.com/citation-style-language/schema/raw/master/csl-citation.json"} </w:instrText>
      </w:r>
      <w:r w:rsidR="002F7B38" w:rsidRPr="00CF7ED3">
        <w:fldChar w:fldCharType="separate"/>
      </w:r>
      <w:r w:rsidR="00342CFF" w:rsidRPr="00342CFF">
        <w:t xml:space="preserve">(Jenkins </w:t>
      </w:r>
      <w:r w:rsidR="00342CFF" w:rsidRPr="00342CFF">
        <w:rPr>
          <w:i/>
          <w:iCs/>
        </w:rPr>
        <w:t>et al.</w:t>
      </w:r>
      <w:r w:rsidR="00342CFF" w:rsidRPr="00342CFF">
        <w:t>, 2013)</w:t>
      </w:r>
      <w:r w:rsidR="002F7B38" w:rsidRPr="00CF7ED3">
        <w:fldChar w:fldCharType="end"/>
      </w:r>
      <w:r w:rsidR="00D03F5F" w:rsidRPr="00CF7ED3">
        <w:t xml:space="preserve">, where rates of deforestation and </w:t>
      </w:r>
      <w:r w:rsidR="005E5515" w:rsidRPr="00CF7ED3">
        <w:t xml:space="preserve">forest </w:t>
      </w:r>
      <w:r w:rsidR="00D03F5F" w:rsidRPr="00CF7ED3">
        <w:t xml:space="preserve">degradation are among the highest </w:t>
      </w:r>
      <w:r w:rsidR="001E1D60" w:rsidRPr="00CF7ED3">
        <w:t>globally</w:t>
      </w:r>
      <w:r w:rsidR="00D03F5F" w:rsidRPr="00CF7ED3">
        <w:t xml:space="preserve"> </w:t>
      </w:r>
      <w:r w:rsidR="00D03F5F" w:rsidRPr="00CF7ED3">
        <w:fldChar w:fldCharType="begin"/>
      </w:r>
      <w:r w:rsidR="00342CFF">
        <w:instrText xml:space="preserve"> ADDIN ZOTERO_ITEM CSL_CITATION {"citationID":"5vhc8310p","properties":{"formattedCitation":"{\\rtf (Hansen {\\i{}et al.}, 2013)}","plainCitation":"(Hansen et al., 2013)"},"citationItems":[{"id":402,"uris":["http://zotero.org/users/1177238/items/3X43UA4P"],"uri":["http://zotero.org/users/1177238/items/3X43UA4P"],"itemData":{"id":402,"type":"article-journal","title":"High-resolution global maps of 21st-century forest cover change","container-title":"Science","page":"850-853","volume":"342","issue":"6160","source":"CrossRef","DOI":"10.1126/science.1244693","ISSN":"0036-8075, 1095-9203","language":"en","author":[{"family":"Hansen","given":"M. C."},{"family":"Potapov","given":"P. V."},{"family":"Moore","given":"R."},{"family":"Hancher","given":"M."},{"family":"Turubanova","given":"S. A."},{"family":"Tyukavina","given":"A."},{"family":"Thau","given":"D."},{"family":"Stehman","given":"S. V."},{"family":"Goetz","given":"S. J."},{"family":"Loveland","given":"T. R."},{"family":"Kommareddy","given":"A."},{"family":"Egorov","given":"A."},{"family":"Chini","given":"L."},{"family":"Justice","given":"C. O."},{"family":"Townshend","given":"J. R. G."}],"issued":{"date-parts":[["2013",11,15]]}}}],"schema":"https://github.com/citation-style-language/schema/raw/master/csl-citation.json"} </w:instrText>
      </w:r>
      <w:r w:rsidR="00D03F5F" w:rsidRPr="00CF7ED3">
        <w:fldChar w:fldCharType="separate"/>
      </w:r>
      <w:r w:rsidR="00342CFF" w:rsidRPr="00342CFF">
        <w:t xml:space="preserve">(Hansen </w:t>
      </w:r>
      <w:r w:rsidR="00342CFF" w:rsidRPr="00342CFF">
        <w:rPr>
          <w:i/>
          <w:iCs/>
        </w:rPr>
        <w:t>et al.</w:t>
      </w:r>
      <w:r w:rsidR="00342CFF" w:rsidRPr="00342CFF">
        <w:t>, 2013)</w:t>
      </w:r>
      <w:r w:rsidR="00D03F5F" w:rsidRPr="00CF7ED3">
        <w:fldChar w:fldCharType="end"/>
      </w:r>
      <w:r w:rsidR="00D03F5F" w:rsidRPr="00CF7ED3">
        <w:t>. The</w:t>
      </w:r>
      <w:r w:rsidR="005E5515" w:rsidRPr="00CF7ED3">
        <w:t xml:space="preserve"> detrimental</w:t>
      </w:r>
      <w:r w:rsidR="00D03F5F" w:rsidRPr="00CF7ED3">
        <w:t xml:space="preserve"> impacts of deforestation on tropical biodiversity are </w:t>
      </w:r>
      <w:r w:rsidR="005E5515" w:rsidRPr="00CF7ED3">
        <w:t xml:space="preserve">well known </w:t>
      </w:r>
      <w:r w:rsidR="00D03F5F" w:rsidRPr="00CF7ED3">
        <w:fldChar w:fldCharType="begin"/>
      </w:r>
      <w:r w:rsidR="00342CFF">
        <w:instrText xml:space="preserve"> ADDIN ZOTERO_ITEM CSL_CITATION {"citationID":"hfur2q1D","properties":{"formattedCitation":"{\\rtf (Gibson {\\i{}et al.}, 2011; Barlow {\\i{}et al.}, 2016)}","plainCitation":"(Gibson et al., 2011; Barlow et al., 2016)"},"citationItems":[{"id":1761,"uris":["http://zotero.org/users/1177238/items/D7EC98Z6"],"uri":["http://zotero.org/users/1177238/items/D7EC98Z6"],"itemData":{"id":1761,"type":"article-journal","title":"Primary forests are irreplaceable for sustaining tropical biodiversity","container-title":"Nature","page":"378-381","volume":"478","issue":"7369","source":"www.nature.com","abstract":"Human-driven land-use changes increasingly threaten biodiversity, particularly in tropical forests where both species diversity and human pressures on natural environments are high. The rapid conversion of tropical forests for agriculture, timber production and other uses has generated vast, human-dominated landscapes with potentially dire consequences for tropical biodiversity. Today, few truly undisturbed tropical forests exist, whereas those degraded by repeated logging and fires, as well as secondary and plantation forests, are rapidly expanding. Here we provide a global assessment of the impact of disturbance and land conversion on biodiversity in tropical forests using a meta-analysis of 138 studies. We analysed 2,220 pairwise comparisons of biodiversity values in primary forests (with little or no human disturbance) and disturbed forests. We found that biodiversity values were substantially lower in degraded forests, but that this varied considerably by geographic region, taxonomic group, ecological metric and disturbance type. Even after partly accounting for confounding colonization and succession effects due to the composition of surrounding habitats, isolation and time since disturbance, we find that most forms of forest degradation have an overwhelmingly detrimental effect on tropical biodiversity. Our results clearly indicate that when it comes to maintaining tropical biodiversity, there is no substitute for primary forests.","DOI":"10.1038/nature10425","ISSN":"0028-0836","journalAbbreviation":"Nature","language":"en","author":[{"family":"Gibson","given":"Luke"},{"family":"Lee","given":"Tien Ming"},{"family":"Koh","given":"Lian Pin"},{"family":"Brook","given":"Barry W."},{"family":"Gardner","given":"Toby A."},{"family":"Barlow","given":"Jos"},{"family":"Peres","given":"Carlos A."},{"family":"Bradshaw","given":"Corey J. A."},{"family":"Laurance","given":"William F."},{"family":"Lovejoy","given":"Thomas E."},{"family":"Sodhi","given":"Navjot S."}],"issued":{"date-parts":[["2011",10,20]]}}},{"id":11477,"uris":["http://zotero.org/users/1177238/items/HG653EFU"],"uri":["http://zotero.org/users/1177238/items/HG653EFU"],"itemData":{"id":11477,"type":"article-journal","title":"Anthropogenic disturbance in tropical forests can double biodiversity loss from deforestation","container-title":"Nature","page":"144-147","volume":"535","issue":"7610","source":"www.nature.com","abstract":"Concerted political attention has focused on reducing deforestation, and this remains the cornerstone of most biodiversity conservation strategies. However, maintaining forest cover may not reduce anthropogenic forest disturbances, which are rarely considered in conservation programmes. These disturbances occur both within forests, including selective logging and wildfires, and at the landscape level, through edge, area and isolation effects. Until now, the combined effect of anthropogenic disturbance on the conservation value of remnant primary forests has remained unknown, making it impossible to assess the relative importance of forest disturbance and forest loss. Here we address these knowledge gaps using a large data set of plants, birds and dung beetles (1,538, 460 and 156 species, respectively) sampled in 36 catchments in the Brazilian state of Pará. Catchments retaining more than 69–80% forest cover lost more conservation value from disturbance than from forest loss. For example, a 20% loss of primary forest, the maximum level of deforestation allowed on Amazonian properties under Brazil’s Forest Code, resulted in a 39–54% loss of conservation value: 96–171% more than expected without considering disturbance effects. We extrapolated the disturbance-mediated loss of conservation value throughout Pará, which covers 25% of the Brazilian Amazon. Although disturbed forests retained considerable conservation value compared with deforested areas, the toll of disturbance outside Pará’s strictly protected areas is equivalent to the loss of 92,000–139,000 km2 of primary forest. Even this lowest estimate is greater than the area deforested across the entire Brazilian Amazon between 2006 and 2015 (ref. 10). Species distribution models showed that both landscape and within-forest disturbances contributed to biodiversity loss, with the greatest negative effects on species of high conservation and functional value. These results demonstrate an urgent need for policy interventions that go beyond the maintenance of forest cover to safeguard the hyper-diversity of tropical forest ecosystems.","DOI":"10.1038/nature18326","ISSN":"0028-0836","journalAbbreviation":"Nature","language":"en","author":[{"family":"Barlow","given":"Jos"},{"family":"Lennox","given":"Gareth D."},{"family":"Ferreira","given":"Joice"},{"family":"Berenguer","given":"Erika"},{"family":"Lees","given":"Alexander C."},{"family":"Nally","given":"Ralph Mac"},{"family":"Thomson","given":"James R."},{"family":"Ferraz","given":"Silvio Frosini de Barros"},{"family":"Louzada","given":"Julio"},{"family":"Oliveira","given":"Victor Hugo Fonseca"},{"family":"Parry","given":"Luke"},{"family":"Ribeiro de Castro Solar","given":"Ricardo"},{"family":"Vieira","given":"Ima C. G."},{"family":"Aragão","given":"Luiz E. O. C."},{"family":"Begotti","given":"Rodrigo Anzolin"},{"family":"Braga","given":"Rodrigo F."},{"family":"Cardoso","given":"Thiago Moreira"},{"family":"Jr","given":"Raimundo Cosme de Oliveira"},{"family":"Souza Jr","given":"Carlos M."},{"family":"Moura","given":"Nárgila G."},{"family":"Nunes","given":"Sâmia Serra"},{"family":"Siqueira","given":"João Victor"},{"family":"Pardini","given":"Renata"},{"family":"Silveira","given":"Juliana M."},{"family":"Vaz-de-Mello","given":"Fernando Z."},{"family":"Veiga","given":"Ruan Carlo Stulpen"},{"family":"Venturieri","given":"Adriano"},{"family":"Gardner","given":"Toby A."}],"issued":{"date-parts":[["2016",7,7]]}}}],"schema":"https://github.com/citation-style-language/schema/raw/master/csl-citation.json"} </w:instrText>
      </w:r>
      <w:r w:rsidR="00D03F5F" w:rsidRPr="00CF7ED3">
        <w:fldChar w:fldCharType="separate"/>
      </w:r>
      <w:r w:rsidR="00342CFF" w:rsidRPr="00342CFF">
        <w:t xml:space="preserve">(Gibson </w:t>
      </w:r>
      <w:r w:rsidR="00342CFF" w:rsidRPr="00342CFF">
        <w:rPr>
          <w:i/>
          <w:iCs/>
        </w:rPr>
        <w:t>et al.</w:t>
      </w:r>
      <w:r w:rsidR="00342CFF" w:rsidRPr="00342CFF">
        <w:t xml:space="preserve">, 2011; Barlow </w:t>
      </w:r>
      <w:r w:rsidR="00342CFF" w:rsidRPr="00342CFF">
        <w:rPr>
          <w:i/>
          <w:iCs/>
        </w:rPr>
        <w:t>et al.</w:t>
      </w:r>
      <w:r w:rsidR="00342CFF" w:rsidRPr="00342CFF">
        <w:t>, 2016)</w:t>
      </w:r>
      <w:r w:rsidR="00D03F5F" w:rsidRPr="00CF7ED3">
        <w:fldChar w:fldCharType="end"/>
      </w:r>
      <w:r w:rsidR="009470A4" w:rsidRPr="00CF7ED3">
        <w:t xml:space="preserve">; however, tropical forest degradation via </w:t>
      </w:r>
      <w:r w:rsidR="005E5515" w:rsidRPr="00CF7ED3">
        <w:t xml:space="preserve">commercial </w:t>
      </w:r>
      <w:r w:rsidR="009470A4" w:rsidRPr="00CF7ED3">
        <w:t xml:space="preserve">selective logging is 20 times more widespread than on-going conversion </w:t>
      </w:r>
      <w:r w:rsidR="008C79C3" w:rsidRPr="00CF7ED3">
        <w:fldChar w:fldCharType="begin"/>
      </w:r>
      <w:r w:rsidR="004E4368">
        <w:instrText xml:space="preserve"> ADDIN ZOTERO_ITEM CSL_CITATION {"citationID":"9spbv9t68","properties":{"formattedCitation":"{\\rtf (Hansen {\\i{}et al.}, 2008; Asner {\\i{}et al.}, 2009)}","plainCitation":"(Hansen et al., 2008; Asner et al., 2009)"},"citationItems":[{"id":1719,"uris":["http://zotero.org/users/1177238/items/25494EDX"],"uri":["http://zotero.org/users/1177238/items/25494EDX"],"itemData":{"id":1719,"type":"article-journal","title":"Humid tropical forest clearing from 2000 to 2005 quantified by using multitemporal and multiresolution remotely sensed data","container-title":"Proceedings of the National Academy of Sciences","page":"9439-9444","volume":"105","issue":"27","source":"www.pnas.org","abstract":"Forest cover is an important input variable for assessing changes to carbon stocks, climate and hydrological systems, biodiversity richness, and other sustainability science disciplines. Despite incremental improvements in our ability to quantify rates of forest clearing, there is still no definitive understanding on global trends. Without timely and accurate forest monitoring methods, policy responses will be uninformed concerning the most basic facts of forest cover change. Results of a feasible and cost-effective monitoring strategy are presented that enable timely, precise, and internally consistent estimates of forest clearing within the humid tropics. A probability-based sampling approach that synergistically employs low and high spatial resolution satellite datasets was used to quantify humid tropical forest clearing from 2000 to 2005. Forest clearing is estimated to be 1.39% (SE 0.084%) of the total biome area. This translates to an estimated forest area cleared of 27.2 million hectares (SE 2.28 million hectares), and represents a 2.36% reduction in area of humid tropical forest. Fifty-five percent of total biome clearing occurs within only 6% of the biome area, emphasizing the presence of forest clearing “hotspots.” Forest loss in Brazil accounts for 47.8% of total biome clearing, nearly four times that of the next highest country, Indonesia, which accounts for 12.8%. Over three-fifths of clearing occurs in Latin America and over one-third in Asia. Africa contributes 5.4% to the estimated loss of humid tropical forest cover, reflecting the absence of current agro-industrial scale clearing in humid tropical Africa.","DOI":"10.1073/pnas.0804042105","ISSN":"0027-8424, 1091-6490","note":"PMID: 18591652","journalAbbreviation":"PNAS","language":"en","author":[{"family":"Hansen","given":"Matthew C."},{"family":"Stehman","given":"Stephen V."},{"family":"Potapov","given":"Peter V."},{"family":"Loveland","given":"Thomas R."},{"family":"Townshend","given":"John R. G."},{"family":"DeFries","given":"Ruth S."},{"family":"Pittman","given":"Kyle W."},{"family":"Arunarwati","given":"Belinda"},{"family":"Stolle","given":"Fred"},{"family":"Steininger","given":"Marc K."},{"family":"Carroll","given":"Mark"},{"family":"DiMiceli","given":"Charlene"}],"issued":{"date-parts":[["2008",7,8]]}}},{"id":1847,"uris":["http://zotero.org/users/1177238/items/CFBURCES"],"uri":["http://zotero.org/users/1177238/items/CFBURCES"],"itemData":{"id":1847,"type":"article-journal","title":"A contemporary assessment of change in humid tropical forests","container-title":"Conservation Biology","page":"1386-1395","volume":"23","issue":"6","source":"Wiley Online Library","abstract":"Abstract: In recent decades the rate and geographic extent of land-use and land-cover change has increased throughout the world's humid tropical forests. The pan-tropical geography of forest change is a challenge to assess, and improved estimates of the human footprint in the tropics are critical to understanding potential changes in biodiversity. We combined recently published and new satellite observations, along with images from Google Earth and a literature review, to estimate the contemporary global extent of deforestation, selective logging, and secondary regrowth in humid tropical forests. Roughly 1.4% of the biome was deforested between 2000 and 2005. As of 2005, about half of the humid tropical forest biome contained 50% or less tree cover. Although not directly comparable to deforestation, geographic estimates of selective logging indicate that at least 20% of the humid tropical forest biome was undergoing some level of timber harvesting between 2000 and 2005. Forest recovery estimates are even less certain, but a compilation of available reports suggests that at least 1.2% of the humid tropical forest biome was in some stage of long-term secondary regrowth in 2000. Nearly 70% of the regrowth reports indicate forest regeneration in hilly, upland, and mountainous environments considered marginal for large-scale agriculture and ranching. Our estimates of the human footprint are conservative because they do not resolve very small-scale deforestation, low-intensity logging, and unreported secondary regrowth, nor do they incorporate other impacts on tropical forest ecosystems, such as fire and hunting. Our results highlight the enormous geographic extent of forest change throughout the humid tropics and the considerable limitations of the science and technology available for such a synthesis.","DOI":"10.1111/j.1523-1739.2009.01333.x","ISSN":"1523-1739","language":"en","author":[{"family":"Asner","given":"Gregory P."},{"family":"Rudel","given":"Thomas K."},{"family":"Aide","given":"T. Mitchell"},{"family":"Defries","given":"Ruth"},{"family":"Emerson","given":"Ruth"}],"issued":{"date-parts":[["2009",12,1]]}}}],"schema":"https://github.com/citation-style-language/schema/raw/master/csl-citation.json"} </w:instrText>
      </w:r>
      <w:r w:rsidR="008C79C3" w:rsidRPr="00CF7ED3">
        <w:fldChar w:fldCharType="separate"/>
      </w:r>
      <w:r w:rsidR="00342CFF" w:rsidRPr="00342CFF">
        <w:t xml:space="preserve">(Hansen </w:t>
      </w:r>
      <w:r w:rsidR="00342CFF" w:rsidRPr="00342CFF">
        <w:rPr>
          <w:i/>
          <w:iCs/>
        </w:rPr>
        <w:t>et al.</w:t>
      </w:r>
      <w:r w:rsidR="00342CFF" w:rsidRPr="00342CFF">
        <w:t xml:space="preserve">, 2008; Asner </w:t>
      </w:r>
      <w:r w:rsidR="00342CFF" w:rsidRPr="00342CFF">
        <w:rPr>
          <w:i/>
          <w:iCs/>
        </w:rPr>
        <w:t>et al.</w:t>
      </w:r>
      <w:r w:rsidR="00342CFF" w:rsidRPr="00342CFF">
        <w:t>, 2009)</w:t>
      </w:r>
      <w:r w:rsidR="008C79C3" w:rsidRPr="00CF7ED3">
        <w:fldChar w:fldCharType="end"/>
      </w:r>
      <w:r w:rsidR="00342CFF">
        <w:t>,</w:t>
      </w:r>
      <w:r w:rsidR="005E5515" w:rsidRPr="00CF7ED3">
        <w:t xml:space="preserve"> making it important to understand the value of these disturbed forests for biodiversity</w:t>
      </w:r>
      <w:r w:rsidR="009470A4" w:rsidRPr="00CF7ED3">
        <w:t xml:space="preserve">. </w:t>
      </w:r>
      <w:r w:rsidR="001D15AE" w:rsidRPr="00CF7ED3">
        <w:t>Selectively logged forests constitute a large and effective refuge for species of conservation concern</w:t>
      </w:r>
      <w:r w:rsidR="00C95DF6" w:rsidRPr="00CF7ED3">
        <w:t xml:space="preserve"> that cannot survive in deforested land</w:t>
      </w:r>
      <w:r w:rsidR="001D15AE" w:rsidRPr="00CF7ED3">
        <w:t xml:space="preserve"> </w:t>
      </w:r>
      <w:r w:rsidR="001D15AE" w:rsidRPr="00CF7ED3">
        <w:fldChar w:fldCharType="begin"/>
      </w:r>
      <w:r w:rsidR="004E4368">
        <w:instrText xml:space="preserve"> ADDIN ZOTERO_ITEM CSL_CITATION {"citationID":"2bg9o07r2p","properties":{"formattedCitation":"{\\rtf (Edwards {\\i{}et al.}, 2011; Gibson {\\i{}et al.}, 2011; Edwards &amp; Laurance, 2013)}","plainCitation":"(Edwards et al., 2011; Gibson et al., 2011; Edwards &amp; Laurance, 2013)"},"citationItems":[{"id":304,"uris":["http://zotero.org/users/1177238/items/ZCHB4USP"],"uri":["http://zotero.org/users/1177238/items/ZCHB4USP"],"itemData":{"id":304,"type":"article-journal","title":"Degraded lands worth protecting: the biological importance of Southeast Asia's repeatedly logged forests","container-title":"Proceedings of the Royal Society B: Biological Sciences","page":"82-90","volume":"278","source":"rspb.royalsocietypublishing.org","abstract":"Southeast Asia is a hotspot of imperilled biodiversity, owing to extensive logging and forest conversion to oil palm agriculture. The degraded forests that remain after multiple rounds of intensive logging are often assumed to be of little conservation value; consequently, there has been no concerted effort to prevent them from being converted to oil palm. However, no study has quantified the biodiversity of repeatedly logged forests. We compare the species richness and composition of birds and dung beetles within unlogged (primary), once-logged and twice-logged forests in Sabah, Borneo. Logging had little effect on the overall richness of birds. Dung beetle richness declined following once-logging but did not decline further after twice-logging. The species composition of bird and dung beetle communities was altered, particularly after the second logging rotation, but globally imperilled bird species (IUCN Red List) did not decline further after twice-logging. Remarkably, over 75 per cent of bird and dung beetle species found in unlogged forest persisted within twice-logged forest. Although twice-logged forests have less biological value than primary and once-logged forests, they clearly provide important habitat for numerous bird and dung beetle species. Preventing these degraded forests from being converted to oil palm should be a priority of policy-makers and conservationists.","DOI":"10.1098/rspb.2010.1062","ISSN":"0962-8452, 1471-2954","note":"PMID: 20685713","shortTitle":"Degraded lands worth protecting","journalAbbreviation":"Proc. R. Soc. B","language":"en","author":[{"family":"Edwards","given":"David P."},{"family":"Larsen","given":"Trond H."},{"family":"Docherty","given":"Teegan D. S."},{"family":"Ansell","given":"Felicity A."},{"family":"Hsu","given":"Wayne W."},{"family":"Derhé","given":"Mia A."},{"family":"Hamer","given":"Keith C."},{"family":"Wilcove","given":"David S."}],"issued":{"date-parts":[["2011"]]}}},{"id":1761,"uris":["http://zotero.org/users/1177238/items/D7EC98Z6"],"uri":["http://zotero.org/users/1177238/items/D7EC98Z6"],"itemData":{"id":1761,"type":"article-journal","title":"Primary forests are irreplaceable for sustaining tropical biodiversity","container-title":"Nature","page":"378-381","volume":"478","issue":"7369","source":"www.nature.com","abstract":"Human-driven land-use changes increasingly threaten biodiversity, particularly in tropical forests where both species diversity and human pressures on natural environments are high. The rapid conversion of tropical forests for agriculture, timber production and other uses has generated vast, human-dominated landscapes with potentially dire consequences for tropical biodiversity. Today, few truly undisturbed tropical forests exist, whereas those degraded by repeated logging and fires, as well as secondary and plantation forests, are rapidly expanding. Here we provide a global assessment of the impact of disturbance and land conversion on biodiversity in tropical forests using a meta-analysis of 138 studies. We analysed 2,220 pairwise comparisons of biodiversity values in primary forests (with little or no human disturbance) and disturbed forests. We found that biodiversity values were substantially lower in degraded forests, but that this varied considerably by geographic region, taxonomic group, ecological metric and disturbance type. Even after partly accounting for confounding colonization and succession effects due to the composition of surrounding habitats, isolation and time since disturbance, we find that most forms of forest degradation have an overwhelmingly detrimental effect on tropical biodiversity. Our results clearly indicate that when it comes to maintaining tropical biodiversity, there is no substitute for primary forests.","DOI":"10.1038/nature10425","ISSN":"0028-0836","journalAbbreviation":"Nature","language":"en","author":[{"family":"Gibson","given":"Luke"},{"family":"Lee","given":"Tien Ming"},{"family":"Koh","given":"Lian Pin"},{"family":"Brook","given":"Barry W."},{"family":"Gardner","given":"Toby A."},{"family":"Barlow","given":"Jos"},{"family":"Peres","given":"Carlos A."},{"family":"Bradshaw","given":"Corey J. A."},{"family":"Laurance","given":"William F."},{"family":"Lovejoy","given":"Thomas E."},{"family":"Sodhi","given":"Navjot S."}],"issued":{"date-parts":[["2011",10,20]]}}},{"id":194,"uris":["http://zotero.org/users/1177238/items/BFUA9KZ6"],"uri":["http://zotero.org/users/1177238/items/BFUA9KZ6"],"itemData":{"id":194,"type":"article-journal","title":"Biodiversity Despite Selective Logging","container-title":"Science","page":"646-647","volume":"339","issue":"6120","source":"libsta28.lib.cam.ac.uk:2157","DOI":"10.1126/science.339.6120.646-b","ISSN":"0036-8075, 1095-9203","note":"PMID: 23393243","journalAbbreviation":"Science","language":"en","author":[{"family":"Edwards","given":"David P."},{"family":"Laurance","given":"William F."}],"issued":{"date-parts":[["2013",2,8]]}}}],"schema":"https://github.com/citation-style-language/schema/raw/master/csl-citation.json"} </w:instrText>
      </w:r>
      <w:r w:rsidR="001D15AE" w:rsidRPr="00CF7ED3">
        <w:fldChar w:fldCharType="separate"/>
      </w:r>
      <w:r w:rsidR="00342CFF" w:rsidRPr="00342CFF">
        <w:t xml:space="preserve">(Edwards </w:t>
      </w:r>
      <w:r w:rsidR="00342CFF" w:rsidRPr="00342CFF">
        <w:rPr>
          <w:i/>
          <w:iCs/>
        </w:rPr>
        <w:t>et al.</w:t>
      </w:r>
      <w:r w:rsidR="00342CFF" w:rsidRPr="00342CFF">
        <w:t xml:space="preserve">, 2011; Gibson </w:t>
      </w:r>
      <w:r w:rsidR="00342CFF" w:rsidRPr="00342CFF">
        <w:rPr>
          <w:i/>
          <w:iCs/>
        </w:rPr>
        <w:t>et al.</w:t>
      </w:r>
      <w:r w:rsidR="00342CFF" w:rsidRPr="00342CFF">
        <w:t>, 2011; Edwards &amp; Laurance, 2013)</w:t>
      </w:r>
      <w:r w:rsidR="001D15AE" w:rsidRPr="00CF7ED3">
        <w:fldChar w:fldCharType="end"/>
      </w:r>
      <w:r w:rsidR="001D15AE" w:rsidRPr="00CF7ED3">
        <w:t xml:space="preserve">. Protecting selectively logged forests </w:t>
      </w:r>
      <w:r w:rsidR="005E5515" w:rsidRPr="00CF7ED3">
        <w:t xml:space="preserve">may </w:t>
      </w:r>
      <w:r w:rsidR="001D15AE" w:rsidRPr="00CF7ED3">
        <w:t>be a cost effective way to retain tropical biodiversity</w:t>
      </w:r>
      <w:r w:rsidR="00C45600" w:rsidRPr="00CF7ED3">
        <w:t xml:space="preserve"> </w:t>
      </w:r>
      <w:r w:rsidR="00C45600" w:rsidRPr="00CF7ED3">
        <w:fldChar w:fldCharType="begin"/>
      </w:r>
      <w:r w:rsidR="00342CFF">
        <w:instrText xml:space="preserve"> ADDIN ZOTERO_ITEM CSL_CITATION {"citationID":"1mcnc17asa","properties":{"formattedCitation":"{\\rtf (Edwards {\\i{}et al.}, 2014a)}","plainCitation":"(Edwards et al., 2014a)"},"citationItems":[{"id":1059,"uris":["http://zotero.org/users/1177238/items/VGF8RAHI"],"uri":["http://zotero.org/users/1177238/items/VGF8RAHI"],"itemData":{"id":1059,"type":"article-journal","title":"Maintaining ecosystem function and services in logged tropical forests","container-title":"Trends in Ecology &amp; Evolution","page":"511-520","volume":"29","issue":"9","source":"CrossRef","DOI":"10.1016/j.tree.2014.07.003","ISSN":"01695347","language":"en","author":[{"family":"Edwards","given":"David P."},{"family":"Tobias","given":"Joseph A."},{"family":"Sheil","given":"Douglas"},{"family":"Meijaard","given":"Erik"},{"family":"Laurance","given":"William F."}],"issued":{"date-parts":[["2014",9]]}}}],"schema":"https://github.com/citation-style-language/schema/raw/master/csl-citation.json"} </w:instrText>
      </w:r>
      <w:r w:rsidR="00C45600" w:rsidRPr="00CF7ED3">
        <w:fldChar w:fldCharType="separate"/>
      </w:r>
      <w:r w:rsidR="00342CFF" w:rsidRPr="00342CFF">
        <w:t xml:space="preserve">(Edwards </w:t>
      </w:r>
      <w:r w:rsidR="00342CFF" w:rsidRPr="00342CFF">
        <w:rPr>
          <w:i/>
          <w:iCs/>
        </w:rPr>
        <w:t>et al.</w:t>
      </w:r>
      <w:r w:rsidR="00342CFF" w:rsidRPr="00342CFF">
        <w:t>, 2014a)</w:t>
      </w:r>
      <w:r w:rsidR="00C45600" w:rsidRPr="00CF7ED3">
        <w:fldChar w:fldCharType="end"/>
      </w:r>
      <w:r w:rsidR="001D15AE" w:rsidRPr="00CF7ED3">
        <w:t xml:space="preserve">, but this </w:t>
      </w:r>
      <w:r w:rsidR="00581962" w:rsidRPr="00CF7ED3">
        <w:t>is heavily contingent</w:t>
      </w:r>
      <w:r w:rsidR="001D15AE" w:rsidRPr="00CF7ED3">
        <w:t xml:space="preserve"> on the assumption that </w:t>
      </w:r>
      <w:r w:rsidR="0077317F" w:rsidRPr="00CF7ED3">
        <w:t xml:space="preserve">these </w:t>
      </w:r>
      <w:r w:rsidR="001D15AE" w:rsidRPr="00CF7ED3">
        <w:t>forest</w:t>
      </w:r>
      <w:r w:rsidR="0077317F" w:rsidRPr="00CF7ED3">
        <w:t>s</w:t>
      </w:r>
      <w:r w:rsidR="001D15AE" w:rsidRPr="00CF7ED3">
        <w:t xml:space="preserve"> will maintain their </w:t>
      </w:r>
      <w:r w:rsidR="00581962" w:rsidRPr="00CF7ED3">
        <w:t xml:space="preserve">current </w:t>
      </w:r>
      <w:r w:rsidR="001D15AE" w:rsidRPr="00CF7ED3">
        <w:t>conservation value in</w:t>
      </w:r>
      <w:r w:rsidR="00581962" w:rsidRPr="00CF7ED3">
        <w:t>to</w:t>
      </w:r>
      <w:r w:rsidR="001D15AE" w:rsidRPr="00CF7ED3">
        <w:t xml:space="preserve"> the future.</w:t>
      </w:r>
      <w:r w:rsidR="00233AB5" w:rsidRPr="00CF7ED3">
        <w:t xml:space="preserve"> </w:t>
      </w:r>
    </w:p>
    <w:p w14:paraId="59F5D478" w14:textId="632189F6" w:rsidR="008E1D07" w:rsidRPr="00CF7ED3" w:rsidRDefault="00233AB5" w:rsidP="00CF7ED3">
      <w:r w:rsidRPr="00CF7ED3">
        <w:t>Several factors may influence the value of selectively logged forests</w:t>
      </w:r>
      <w:r w:rsidR="005E5515" w:rsidRPr="00CF7ED3">
        <w:t xml:space="preserve"> for biodiversity in the long-term, and a</w:t>
      </w:r>
      <w:r w:rsidR="002B0FA2" w:rsidRPr="00CF7ED3">
        <w:t xml:space="preserve"> key consideration is the interaction of </w:t>
      </w:r>
      <w:r w:rsidRPr="00CF7ED3">
        <w:t>multiple drivers of biodiversity loss</w:t>
      </w:r>
      <w:r w:rsidR="008C79C3" w:rsidRPr="00CF7ED3">
        <w:t xml:space="preserve"> </w:t>
      </w:r>
      <w:r w:rsidR="008C79C3" w:rsidRPr="00CF7ED3">
        <w:fldChar w:fldCharType="begin"/>
      </w:r>
      <w:r w:rsidR="00342CFF">
        <w:instrText xml:space="preserve"> ADDIN ZOTERO_ITEM CSL_CITATION {"citationID":"y4a9JaaB","properties":{"formattedCitation":"{\\rtf (Brook {\\i{}et al.}, 2008; Mantyka-pringle {\\i{}et al.}, 2012; Sirami {\\i{}et al.}, 2016)}","plainCitation":"(Brook et al., 2008; Mantyka-pringle et al., 2012; Sirami et al., 2016)"},"citationItems":[{"id":1168,"uris":["http://zotero.org/users/1177238/items/S4T7EBCH"],"uri":["http://zotero.org/users/1177238/items/S4T7EBCH"],"itemData":{"id":1168,"type":"article-journal","title":"Synergies among extinction drivers under global change","container-title":"Trends in Ecology &amp; Evolution","page":"453-460","volume":"23","issue":"8","source":"ScienceDirect","abstract":"If habitat destruction or overexploitation of populations is severe, species loss can occur directly and abruptly. Yet the final descent to extinction is often driven by synergistic processes (amplifying feedbacks) that can be disconnected from the original cause of decline. We review recent observational, experimental and meta-analytic work which together show that owing to interacting and self-reinforcing processes, estimates of extinction risk for most species are more severe than previously recognised. As such, conservation actions which only target single-threat drivers risk being inadequate because of the cascading effects caused by unmanaged synergies. Future work should focus on how climate change will interact with and accelerate ongoing threats to biodiversity, such as habitat degradation, overexploitation and invasive species.","DOI":"10.1016/j.tree.2008.03.011","ISSN":"0169-5347","journalAbbreviation":"Trends in Ecology &amp; Evolution","author":[{"family":"Brook","given":"Barry W."},{"family":"Sodhi","given":"Navjot S."},{"family":"Bradshaw","given":"Corey J. A."}],"issued":{"date-parts":[["2008",8]]}}},{"id":2209,"uris":["http://zotero.org/users/1177238/items/XZKJQ7GH"],"uri":["http://zotero.org/users/1177238/items/XZKJQ7GH"],"itemData":{"id":2209,"type":"article-journal","title":"Interactions between climate and habitat loss effects on biodiversity: a systematic review and meta-analysis","container-title":"Global Change Biology","page":"1239-1252","volume":"18","issue":"4","source":"Wiley Online Library","abstract":"Climate change and habitat loss are both key threatening processes driving the global loss in biodiversity. Yet little is known about their synergistic effects on biological populations due to the complexity underlying both processes. If the combined effects of habitat loss and climate change are greater than the effects of each threat individually, current conservation management strategies may be inefficient and at worst ineffective. Therefore, there is a pressing need to identify whether interacting effects between climate change and habitat loss exist and, if so, quantify the magnitude of their impact. In this article, we present a meta-analysis of studies that quantify the effect of habitat loss on biological populations and examine whether the magnitude of these effects depends on current climatic conditions and historical rates of climate change. We examined 1319 papers on habitat loss and fragmentation, identified from the past 20 years, representing a range of taxa, landscapes, land-uses, geographic locations and climatic conditions. We find that current climate and climate change are important factors determining the negative effects of habitat loss on species density and/or diversity. The most important determinant of habitat loss and fragmentation effects, averaged across species and geographic regions, was current maximum temperature, with mean precipitation change over the last 100 years of secondary importance. Habitat loss and fragmentation effects were greatest in areas with high maximum temperatures. Conversely, they were lowest in areas where average rainfall has increased over time. To our knowledge, this is the first study to conduct a global terrestrial analysis of existing data to quantify and test for interacting effects between current climate, climatic change and habitat loss on biological populations. Understanding the synergistic effects between climate change and other threatening processes has critical implications for our ability to support and incorporate climate change adaptation measures into policy development and management response.","DOI":"10.1111/j.1365-2486.2011.02593.x","ISSN":"1365-2486","shortTitle":"Interactions between climate and habitat loss effects on biodiversity","journalAbbreviation":"Glob Change Biol","language":"en","author":[{"family":"Mantyka-pringle","given":"Chrystal S."},{"family":"Martin","given":"Tara G."},{"family":"Rhodes","given":"Jonathan R."}],"issued":{"date-parts":[["2012",4,1]]}}},{"id":12233,"uris":["http://zotero.org/users/1177238/items/KFU4DGVB"],"uri":["http://zotero.org/users/1177238/items/KFU4DGVB"],"itemData":{"id":12233,"type":"article-journal","title":"Impacts of global change on species distributions: obstacles and solutions to integrate climate and land use","container-title":"Global Ecology and Biogeography","page":"n/a-n/a","source":"Wiley Online Library","abstract":"Aim The impact of multiple stressors on biodiversity is one of the most pressing questions in ecology and biodiversity conservation. Here we critically assess how often and efficiently two main drivers of global change have been simultaneously integrated into research, with the aim of providing practical solutions for better integration in the future. We focus on the integration of climate change (CC) and land-use change (LUC) when studying changes in species distributions. Location Global. Methods We analysed the peer-reviewed literature on the effects of CC and LUC on observed changes in species distributions, i.e. including species range and abundance, between 2000 and 2014. Results Studies integrating CC and LUC remain extremely scarce, which hampers our ability to develop appropriate conservation strategies. The lack of CC–LUC integration is likely to be a result of insufficient recognition of the co-occurrence of CC and LUC at all scales, covariation and interactions between CC and LUC, as well as correlations between species thermal and habitat requirements. Practical guidelines for the study of these interactive effects include considering multiple drivers and processes when designing studies, using available long-term datasets on multiple drivers, revisiting single-driver studies with additional drivers or conducting comparative studies and meta-analyses. Combining various methodological approaches, including time lags and adaptation processes, represent further avenues to improve global change science. Main conclusions Despite repeated claims for a better integration of multiple drivers, the effects of CC and LUC on species distributions and abundances have been mostly studied in isolation, which calls for a shift of standards towards more integrative global change science. The guidelines proposed here will encourage study designs that account for multiple drivers and improve our understanding of synergies or antagonisms among drivers.","DOI":"10.1111/geb.12555","ISSN":"1466-8238","shortTitle":"Impacts of global change on species distributions","journalAbbreviation":"Global Ecol. Biogeogr.","language":"en","author":[{"family":"Sirami","given":"Clélia"},{"family":"Caplat","given":"Paul"},{"family":"Popy","given":"Simon"},{"family":"Clamens","given":"Alex"},{"family":"Arlettaz","given":"Raphaël"},{"family":"Jiguet","given":"Frédéric"},{"family":"Brotons","given":"Lluís"},{"family":"Martin","given":"Jean-Louis"}],"issued":{"date-parts":[["2016",12,1]]}}}],"schema":"https://github.com/citation-style-language/schema/raw/master/csl-citation.json"} </w:instrText>
      </w:r>
      <w:r w:rsidR="008C79C3" w:rsidRPr="00CF7ED3">
        <w:fldChar w:fldCharType="separate"/>
      </w:r>
      <w:r w:rsidR="00342CFF" w:rsidRPr="00342CFF">
        <w:t xml:space="preserve">(Brook </w:t>
      </w:r>
      <w:r w:rsidR="00342CFF" w:rsidRPr="00342CFF">
        <w:rPr>
          <w:i/>
          <w:iCs/>
        </w:rPr>
        <w:t>et al.</w:t>
      </w:r>
      <w:r w:rsidR="00342CFF" w:rsidRPr="00342CFF">
        <w:t xml:space="preserve">, 2008; Mantyka-pringle </w:t>
      </w:r>
      <w:r w:rsidR="00342CFF" w:rsidRPr="00342CFF">
        <w:rPr>
          <w:i/>
          <w:iCs/>
        </w:rPr>
        <w:t>et al.</w:t>
      </w:r>
      <w:r w:rsidR="00342CFF" w:rsidRPr="00342CFF">
        <w:t xml:space="preserve">, 2012; Sirami </w:t>
      </w:r>
      <w:r w:rsidR="00342CFF" w:rsidRPr="00342CFF">
        <w:rPr>
          <w:i/>
          <w:iCs/>
        </w:rPr>
        <w:t>et al.</w:t>
      </w:r>
      <w:r w:rsidR="00342CFF" w:rsidRPr="00342CFF">
        <w:t>, 2016)</w:t>
      </w:r>
      <w:r w:rsidR="008C79C3" w:rsidRPr="00CF7ED3">
        <w:fldChar w:fldCharType="end"/>
      </w:r>
      <w:r w:rsidRPr="00CF7ED3">
        <w:t>.</w:t>
      </w:r>
      <w:r w:rsidR="002E5D03" w:rsidRPr="00CF7ED3">
        <w:t xml:space="preserve"> </w:t>
      </w:r>
      <w:r w:rsidR="005E5515" w:rsidRPr="00CF7ED3">
        <w:t>The impacts of c</w:t>
      </w:r>
      <w:r w:rsidR="002E5D03" w:rsidRPr="00CF7ED3">
        <w:t xml:space="preserve">limate change </w:t>
      </w:r>
      <w:r w:rsidR="005E5515" w:rsidRPr="00CF7ED3">
        <w:t>are</w:t>
      </w:r>
      <w:r w:rsidR="002E5D03" w:rsidRPr="00CF7ED3">
        <w:t xml:space="preserve"> </w:t>
      </w:r>
      <w:r w:rsidR="002B0FA2" w:rsidRPr="00CF7ED3">
        <w:t xml:space="preserve">particularly </w:t>
      </w:r>
      <w:r w:rsidR="00DE53D6" w:rsidRPr="00CF7ED3">
        <w:t>important</w:t>
      </w:r>
      <w:r w:rsidR="002B0FA2" w:rsidRPr="00CF7ED3">
        <w:t xml:space="preserve">, and increasingly so </w:t>
      </w:r>
      <w:r w:rsidR="002E5D03" w:rsidRPr="00CF7ED3">
        <w:t xml:space="preserve">as this century progresses </w:t>
      </w:r>
      <w:r w:rsidR="002E5D03" w:rsidRPr="00CF7ED3">
        <w:fldChar w:fldCharType="begin"/>
      </w:r>
      <w:r w:rsidR="004E4368">
        <w:instrText xml:space="preserve"> ADDIN ZOTERO_ITEM CSL_CITATION {"citationID":"tv34mh9ho","properties":{"formattedCitation":"{\\rtf (Sala {\\i{}et al.}, 2000; Chou {\\i{}et al.}, 2013; IPCC, 2013)}","plainCitation":"(Sala et al., 2000; Chou et al., 2013; IPCC, 2013)"},"citationItems":[{"id":414,"uris":["http://zotero.org/users/1177238/items/S4QAEXM9"],"uri":["http://zotero.org/users/1177238/items/S4QAEXM9"],"itemData":{"id":414,"type":"article-journal","title":"Global biodiversity scenarios for the year 2100","container-title":"Science","page":"1770-1774","volume":"287","issue":"5459","source":"libsta28.lib.cam.ac.uk:2237","abstract":"Scenarios of changes in biodiversity for the year 2100 can now be developed based on scenarios of changes in atmospheric carbon dioxide, climate, vegetation, and land use and the known sensitivity of biodiversity to these changes. This study identified a ranking of the importance of drivers of change, a ranking of the biomes with respect to expected changes, and the major sources of uncertainties. For terrestrial ecosystems, land-use change probably will have the largest effect, followed by climate change, nitrogen deposition, biotic exchange, and elevated carbon dioxide concentration. For freshwater ecosystems, biotic exchange is much more important. Mediterranean climate and grassland ecosystems likely will experience the greatest proportional change in biodiversity because of the substantial influence of all drivers of biodiversity change. Northern temperate ecosystems are estimated to experience the least biodiversity change because major land-use change has already occurred. Plausible changes in biodiversity in other biomes depend on interactions among the causes of biodiversity change. These interactions represent one of the largest uncertainties in projections of future biodiversity change.","DOI":"10.1126/science.287.5459.1770","ISSN":"0036-8075, 1095-9203","note":"PMID: 10710299","journalAbbreviation":"Science","language":"en","author":[{"family":"Sala","given":"Osvaldo E."},{"family":"Chapin","given":"F. Stuart"},{"family":"Iii","given":""},{"family":"Armesto","given":"Juan J."},{"family":"Berlow","given":"Eric"},{"family":"Bloomfield","given":"Janine"},{"family":"Dirzo","given":"Rodolfo"},{"family":"Huber-Sanwald","given":"Elisabeth"},{"family":"Huenneke","given":"Laura F."},{"family":"Jackson","given":"Robert B."},{"family":"Kinzig","given":"Ann"},{"family":"Leemans","given":"Rik"},{"family":"Lodge","given":"David M."},{"family":"Mooney","given":"Harold A."},{"family":"Oesterheld","given":"Martı́n"},{"family":"Poff","given":"N. LeRoy"},{"family":"Sykes","given":"Martin T."},{"family":"Walker","given":"Brian H."},{"family":"Walker","given":"Marilyn"},{"family":"Wall","given":"Diana H."}],"issued":{"date-parts":[["2000",3,10]]}}},{"id":1886,"uris":["http://zotero.org/users/1177238/items/WU63P8B6"],"uri":["http://zotero.org/users/1177238/items/WU63P8B6"],"itemData":{"id":1886,"type":"book","title":"Climate Change 2013: The Physical Science Basis: Working Group I Contribution to the IPCC Fifth Assessment Report.","publisher":"Cambridge University Press","publisher-place":"Cambridge","source":"Open WorldCat","event-place":"Cambridge","ISBN":"1-107-05799-X","shortTitle":"Climate Change 2013","language":"English","author":[{"literal":"IPCC"}],"issued":{"date-parts":[["2013"]]}}},{"id":6226,"uris":["http://zotero.org/users/1177238/items/2FT2ZHEB"],"uri":["http://zotero.org/users/1177238/items/2FT2ZHEB"],"itemData":{"id":6226,"type":"article-journal","title":"Increase in the range between wet and dry season precipitation","container-title":"Nature Geoscience","page":"263-267","volume":"6","issue":"4","source":"www.nature.com","abstract":"Global temperatures have risen over the past few decades. The water vapour content of the atmosphere has increased as a result, strengthening the global hydrological cycle. This, in turn, has led to wet regions getting wetter, and dry regions drier. Climate model simulations suggest that a similar intensification of existing patterns may also apply to the seasonal cycle of rainfall. Here, we analyse regional and global trends in seasonal precipitation extremes over the past three decades, using a number of global and land-alone observational data sets. We show that globally the annual range of precipitation has increased, largely because wet seasons have become wetter. Although the magnitude of the shift is uncertain, largely owing to limitations inherent in the data sets used, the sign of the tendency is robust. On a regional scale, the tendency for wet seasons to get wetter occurs over climatologically rainier regions. Similarly, the tendency for dry season to get drier is seen in drier regions. Even if the total amount of annual rainfall does not change significantly, the enhancement in the seasonal precipitation cycle could have marked consequences for the frequency of droughts and floods.","DOI":"10.1038/ngeo1744","ISSN":"1752-0894","journalAbbreviation":"Nature Geosci","language":"en","author":[{"family":"Chou","given":"Chia"},{"family":"Chiang","given":"John C. H."},{"family":"Lan","given":"Chia-Wei"},{"family":"Chung","given":"Chia-Hui"},{"family":"Liao","given":"Yi-Chun"},{"family":"Lee","given":"Chia-Jung"}],"issued":{"date-parts":[["2013",4]]}}}],"schema":"https://github.com/citation-style-language/schema/raw/master/csl-citation.json"} </w:instrText>
      </w:r>
      <w:r w:rsidR="002E5D03" w:rsidRPr="00CF7ED3">
        <w:fldChar w:fldCharType="separate"/>
      </w:r>
      <w:r w:rsidR="00342CFF" w:rsidRPr="00342CFF">
        <w:t xml:space="preserve">(Sala </w:t>
      </w:r>
      <w:r w:rsidR="00342CFF" w:rsidRPr="00342CFF">
        <w:rPr>
          <w:i/>
          <w:iCs/>
        </w:rPr>
        <w:t>et al.</w:t>
      </w:r>
      <w:r w:rsidR="00342CFF" w:rsidRPr="00342CFF">
        <w:t xml:space="preserve">, 2000; Chou </w:t>
      </w:r>
      <w:r w:rsidR="00342CFF" w:rsidRPr="00342CFF">
        <w:rPr>
          <w:i/>
          <w:iCs/>
        </w:rPr>
        <w:t>et al.</w:t>
      </w:r>
      <w:r w:rsidR="00342CFF" w:rsidRPr="00342CFF">
        <w:t>, 2013; IPCC, 2013)</w:t>
      </w:r>
      <w:r w:rsidR="002E5D03" w:rsidRPr="00CF7ED3">
        <w:fldChar w:fldCharType="end"/>
      </w:r>
      <w:r w:rsidR="002B0FA2" w:rsidRPr="00CF7ED3">
        <w:t xml:space="preserve">. </w:t>
      </w:r>
      <w:r w:rsidR="007F3AA6" w:rsidRPr="00CF7ED3">
        <w:t>Novel (non-analogous)</w:t>
      </w:r>
      <w:r w:rsidR="002B0FA2" w:rsidRPr="00CF7ED3">
        <w:t xml:space="preserve"> climatic conditions are predicted to appear first in the tropics </w:t>
      </w:r>
      <w:r w:rsidR="002B0FA2" w:rsidRPr="00CF7ED3">
        <w:fldChar w:fldCharType="begin"/>
      </w:r>
      <w:r w:rsidR="00342CFF">
        <w:instrText xml:space="preserve"> ADDIN ZOTERO_ITEM CSL_CITATION {"citationID":"2hpgha2squ","properties":{"formattedCitation":"{\\rtf (Mora {\\i{}et al.}, 2013)}","plainCitation":"(Mora et al., 2013)"},"citationItems":[{"id":11218,"uris":["http://zotero.org/users/1177238/items/U5RKM9UR"],"uri":["http://zotero.org/users/1177238/items/U5RKM9UR"],"itemData":{"id":11218,"type":"article-journal","title":"The projected timing of climate departure from recent variability","container-title":"Nature","page":"183-187","volume":"502","issue":"7470","source":"www.nature.com","abstract":"Ecological and societal disruptions by modern climate change are critically determined by the time frame over which climates shift beyond historical analogues. Here we present a new index of the year when the projected mean climate of a given location moves to a state continuously outside the bounds of historical variability under alternative greenhouse gas emissions scenarios. Using 1860 to 2005 as the historical period, this index has a global mean of 2069 (±18 years s.d.) for near-surface air temperature under an emissions stabilization scenario and 2047 (±14 years s.d.) under a ‘business-as-usual’ scenario. Unprecedented climates will occur earliest in the tropics and among low-income countries, highlighting the vulnerability of global biodiversity and the limited governmental capacity to respond to the impacts of climate change. Our findings shed light on the urgency of mitigating greenhouse gas emissions if climates potentially harmful to biodiversity and society are to be prevented.","DOI":"10.1038/nature12540","ISSN":"0028-0836","journalAbbreviation":"Nature","language":"en","author":[{"family":"Mora","given":"Camilo"},{"family":"Frazier","given":"Abby G."},{"family":"Longman","given":"Ryan J."},{"family":"Dacks","given":"Rachel S."},{"family":"Walton","given":"Maya M."},{"family":"Tong","given":"Eric J."},{"family":"Sanchez","given":"Joseph J."},{"family":"Kaiser","given":"Lauren R."},{"family":"Stender","given":"Yuko O."},{"family":"Anderson","given":"James M."},{"family":"Ambrosino","given":"Christine M."},{"family":"Fernandez-Silva","given":"Iria"},{"family":"Giuseffi","given":"Louise M."},{"family":"Giambelluca","given":"Thomas W."}],"issued":{"date-parts":[["2013",10,10]]}}}],"schema":"https://github.com/citation-style-language/schema/raw/master/csl-citation.json"} </w:instrText>
      </w:r>
      <w:r w:rsidR="002B0FA2" w:rsidRPr="00CF7ED3">
        <w:fldChar w:fldCharType="separate"/>
      </w:r>
      <w:r w:rsidR="00342CFF" w:rsidRPr="00342CFF">
        <w:t xml:space="preserve">(Mora </w:t>
      </w:r>
      <w:r w:rsidR="00342CFF" w:rsidRPr="00342CFF">
        <w:rPr>
          <w:i/>
          <w:iCs/>
        </w:rPr>
        <w:t>et al.</w:t>
      </w:r>
      <w:r w:rsidR="00342CFF" w:rsidRPr="00342CFF">
        <w:t>, 2013)</w:t>
      </w:r>
      <w:r w:rsidR="002B0FA2" w:rsidRPr="00CF7ED3">
        <w:fldChar w:fldCharType="end"/>
      </w:r>
      <w:r w:rsidR="002B0FA2" w:rsidRPr="00CF7ED3">
        <w:t xml:space="preserve">, where many species have narrow thermal limits </w:t>
      </w:r>
      <w:r w:rsidR="002B0FA2" w:rsidRPr="00CF7ED3">
        <w:fldChar w:fldCharType="begin"/>
      </w:r>
      <w:r w:rsidR="004E4368">
        <w:instrText xml:space="preserve"> ADDIN ZOTERO_ITEM CSL_CITATION {"citationID":"111v84j4ll","properties":{"formattedCitation":"{\\rtf (Deutsch {\\i{}et al.}, 2008; Tewksbury {\\i{}et al.}, 2008; Khaliq {\\i{}et al.}, 2014)}","plainCitation":"(Deutsch et al., 2008; Tewksbury et al., 2008; Khaliq et al., 2014)"},"citationItems":[{"id":2043,"uris":["http://zotero.org/users/1177238/items/ESZ5ZG7A"],"uri":["http://zotero.org/users/1177238/items/ESZ5ZG7A"],"itemData":{"id":2043,"type":"article-journal","title":"Impacts of climate warming on terrestrial ectotherms across latitude","container-title":"Proceedings of the National Academy of Sciences","page":"6668-6672","volume":"105","issue":"18","source":"www.pnas.org.eresources.shef.ac.uk","abstract":"The impact of anthropogenic climate change on terrestrial organisms is often predicted to increase with latitude, in parallel with the rate of warming. Yet the biological impact of rising temperatures also depends on the physiological sensitivity of organisms to temperature change. We integrate empirical fitness curves describing the thermal tolerance of terrestrial insects from around the world with the projected geographic distribution of climate change for the next century to estimate the direct impact of warming on insect fitness across latitude. The results show that warming in the tropics, although relatively small in magnitude, is likely to have the most deleterious consequences because tropical insects are relatively sensitive to temperature change and are currently living very close to their optimal temperature. In contrast, species at higher latitudes have broader thermal tolerance and are living in climates that are currently cooler than their physiological optima, so that warming may even enhance their fitness. Available thermal tolerance data for several vertebrate taxa exhibit similar patterns, suggesting that these results are general for terrestrial ectotherms. Our analyses imply that, in the absence of ameliorating factors such as migration and adaptation, the greatest extinction risks from global warming may be in the tropics, where biological diversity is also greatest.","DOI":"10.1073/pnas.0709472105","ISSN":"0027-8424, 1091-6490","note":"PMID: 18458348","journalAbbreviation":"PNAS","language":"en","author":[{"family":"Deutsch","given":"Curtis A."},{"family":"Tewksbury","given":"Joshua J."},{"family":"Huey","given":"Raymond B."},{"family":"Sheldon","given":"Kimberly S."},{"family":"Ghalambor","given":"Cameron K."},{"family":"Haak","given":"David C."},{"family":"Martin","given":"Paul R."}],"issued":{"date-parts":[["2008",5,6]]}}},{"id":6462,"uris":["http://zotero.org/users/1177238/items/2P4VV7DH"],"uri":["http://zotero.org/users/1177238/items/2P4VV7DH"],"itemData":{"id":6462,"type":"article-journal","title":"Putting the heat on tropical animals","container-title":"Science","page":"1296-1297","volume":"320","issue":"5881","source":"science.sciencemag.org","abstract":"Tropical animals may be particularly vulnerable to climate warming.\nTropical animals may be particularly vulnerable to climate warming.\nTropical animals may be particularly vulnerable to climate warming.","DOI":"10.1126/science.1159328","ISSN":"0036-8075, 1095-9203","note":"PMID: 18535231","language":"en","author":[{"family":"Tewksbury","given":"Joshua J."},{"family":"Huey","given":"Raymond B."},{"family":"Deutsch","given":"Curtis A."}],"issued":{"date-parts":[["2008",6,6]]}}},{"id":2212,"uris":["http://zotero.org/users/1177238/items/J6329UKA"],"uri":["http://zotero.org/users/1177238/items/J6329UKA"],"itemData":{"id":2212,"type":"article-journal","title":"Global variation in thermal tolerances and vulnerability of endotherms to climate change","container-title":"Proceedings of the Royal Society of London B: Biological Sciences","page":"20141097","volume":"281","issue":"1789","source":"rspb.royalsocietypublishing.org.eresources.shef.ac.uk","abstract":"The relationships among species' physiological capacities and the geographical variation of ambient climate are of key importance to understanding the distribution of life on the Earth. Furthermore, predictions of how species will respond to climate change will profit from the explicit consideration of their physiological tolerances. The climatic variability hypothesis, which predicts that climatic tolerances are broader in more variable climates, provides an analytical framework for studying these relationships between physiology and biogeography. However, direct empirical support for the hypothesis is mostly lacking for endotherms, and few studies have tried to integrate physiological data into assessments of species' climatic vulnerability at the global scale. Here, we test the climatic variability hypothesis for endotherms, with a comprehensive dataset on thermal tolerances derived from physiological experiments, and use these data to assess the vulnerability of species to projected climate change. We find the expected relationship between thermal tolerance and ambient climatic variability in birds, but not in mammals—a contrast possibly resulting from different adaptation strategies to ambient climate via behaviour, morphology or physiology. We show that currently most of the species are experiencing ambient temperatures well within their tolerance limits and that in the future many species may be able to tolerate projected temperature increases across significant proportions of their distributions. However, our findings also underline the high vulnerability of tropical regions to changes in temperature and other threats of anthropogenic global changes. Our study demonstrates that a better understanding of the interplay among species' physiology and the geography of climate change will advance assessments of species' vulnerability to climate change.","DOI":"10.1098/rspb.2014.1097","ISSN":"0962-8452, 1471-2954","note":"The relationships among species' physiological capacities and the geographical variation of ambient climate are of key importance to understanding the distribution of life on the Earth. Furthermore, predictions of how species will respond to climate change will profit from the explicit consideration of their physiological tolerances. The climatic variability hypothesis, which predicts that climatic tolerances are broader in more variable climates, provides an analytical framework for studying these relationships between physiology and biogeography. However, direct empirical support for the hypothesis is mostly lacking for endotherms, and few studies have tried to integrate physiological data into assessments of species' climatic vulnerability at the global scale. Here, we test the climatic variability hypothesis for endotherms, with a comprehensive dataset on thermal tolerances derived from physiological experiments, and use these data to assess the vulnerability of species to projected climate change. We find the expected relationship between thermal tolerance and ambient climatic variability in birds, but not in mammals—a contrast possibly resulting from different adaptation strategies to ambient climate via behaviour, morphology or physiology. We show that currently most of the species are experiencing ambient temperatures well within their tolerance limits and that in the future many species may be able to tolerate projected temperature increases across significant proportions of their distributions. However, our findings also underline the high vulnerability of tropical regions to changes in temperature and other threats of anthropogenic global changes. Our study demonstrates that a better understanding of the interplay among species' physiology and the geography of climate change will advance assessments of species' vulnerability to climate change.\nPMID: 25009066","language":"en","author":[{"family":"Khaliq","given":"Imran"},{"family":"Hof","given":"Christian"},{"family":"Prinzinger","given":"Roland"},{"family":"Böhning-Gaese","given":"Katrin"},{"family":"Pfenninger","given":"Markus"}],"issued":{"date-parts":[["2014",8,22]]}}}],"schema":"https://github.com/citation-style-language/schema/raw/master/csl-citation.json"} </w:instrText>
      </w:r>
      <w:r w:rsidR="002B0FA2" w:rsidRPr="00CF7ED3">
        <w:fldChar w:fldCharType="separate"/>
      </w:r>
      <w:r w:rsidR="00342CFF" w:rsidRPr="00342CFF">
        <w:t xml:space="preserve">(Deutsch </w:t>
      </w:r>
      <w:r w:rsidR="00342CFF" w:rsidRPr="00342CFF">
        <w:rPr>
          <w:i/>
          <w:iCs/>
        </w:rPr>
        <w:t>et al.</w:t>
      </w:r>
      <w:r w:rsidR="00342CFF" w:rsidRPr="00342CFF">
        <w:t xml:space="preserve">, 2008; Tewksbury </w:t>
      </w:r>
      <w:r w:rsidR="00342CFF" w:rsidRPr="00342CFF">
        <w:rPr>
          <w:i/>
          <w:iCs/>
        </w:rPr>
        <w:t>et al.</w:t>
      </w:r>
      <w:r w:rsidR="00342CFF" w:rsidRPr="00342CFF">
        <w:t xml:space="preserve">, 2008; Khaliq </w:t>
      </w:r>
      <w:r w:rsidR="00342CFF" w:rsidRPr="00342CFF">
        <w:rPr>
          <w:i/>
          <w:iCs/>
        </w:rPr>
        <w:t>et al.</w:t>
      </w:r>
      <w:r w:rsidR="00342CFF" w:rsidRPr="00342CFF">
        <w:t>, 2014)</w:t>
      </w:r>
      <w:r w:rsidR="002B0FA2" w:rsidRPr="00CF7ED3">
        <w:fldChar w:fldCharType="end"/>
      </w:r>
      <w:r w:rsidR="002B0FA2" w:rsidRPr="00CF7ED3">
        <w:t xml:space="preserve"> and </w:t>
      </w:r>
      <w:r w:rsidR="00F06E6E" w:rsidRPr="00CF7ED3">
        <w:t xml:space="preserve">where there is </w:t>
      </w:r>
      <w:r w:rsidR="002B0FA2" w:rsidRPr="00CF7ED3">
        <w:t>limited dispersal potential owing</w:t>
      </w:r>
      <w:r w:rsidR="000243EC" w:rsidRPr="00CF7ED3">
        <w:t xml:space="preserve"> to poor dispersal ability</w:t>
      </w:r>
      <w:r w:rsidR="0063230C" w:rsidRPr="00CF7ED3">
        <w:t xml:space="preserve"> of many species</w:t>
      </w:r>
      <w:r w:rsidR="000243EC" w:rsidRPr="00CF7ED3">
        <w:t xml:space="preserve"> </w:t>
      </w:r>
      <w:r w:rsidR="000243EC" w:rsidRPr="00CF7ED3">
        <w:fldChar w:fldCharType="begin"/>
      </w:r>
      <w:r w:rsidR="00342CFF">
        <w:instrText xml:space="preserve"> ADDIN ZOTERO_ITEM CSL_CITATION {"citationID":"2596ou52tv","properties":{"formattedCitation":"{\\rtf (Van Houtan {\\i{}et al.}, 2007)}","plainCitation":"(Van Houtan et al., 2007)"},"citationItems":[{"id":6466,"uris":["http://zotero.org/users/1177238/items/RZE4JRDW"],"uri":["http://zotero.org/users/1177238/items/RZE4JRDW"],"itemData":{"id":6466,"type":"article-journal","title":"Dispersal of Amazonian birds in continuous and fragmented forest","container-title":"Ecology Letters","page":"219-229","volume":"10","issue":"3","source":"Wiley Online Library","abstract":"Many ecologists believe birds disappear from tropical forest fragments because they are poor dispersers. We test this idea using a spatially explicit capture data base from the Biological Dynamics of Forest Fragments Project near Manaus, Brazil. We measure bird movements directly, over relatively large scales of space and time, both before and after landscape fragmentation. We found that species which disappear from fragments move extensively between plots before isolation, but not after, and often disperse to longer distances in continuous forest than in fragmented forest. Such species also preferentially emigrate from smaller to larger fragments, showing no preference in continuous forest. In contrast, species that persist in fragments are generally less mobile, do not cross gaps as often, yet disperse further after fragmentation than before. ‘Heavy tailed’ probability models usually explain dispersal kernels better than exponential or Gaussian models, suggesting tropical forest birds may be better dispersers than assumed with some individuals moving very long distances.","DOI":"10.1111/j.1461-0248.2007.01004.x","ISSN":"1461-0248","language":"en","author":[{"family":"Van Houtan","given":"Kyle S."},{"family":"Pimm","given":"Stuart L."},{"family":"Halley","given":"John M."},{"family":"Bierregaard","given":"Richard O."},{"family":"Lovejoy","given":"Thomas E."}],"issued":{"date-parts":[["2007",3,1]]}}}],"schema":"https://github.com/citation-style-language/schema/raw/master/csl-citation.json"} </w:instrText>
      </w:r>
      <w:r w:rsidR="000243EC" w:rsidRPr="00CF7ED3">
        <w:fldChar w:fldCharType="separate"/>
      </w:r>
      <w:r w:rsidR="00342CFF" w:rsidRPr="00342CFF">
        <w:t xml:space="preserve">(Van Houtan </w:t>
      </w:r>
      <w:r w:rsidR="00342CFF" w:rsidRPr="00342CFF">
        <w:rPr>
          <w:i/>
          <w:iCs/>
        </w:rPr>
        <w:t>et al.</w:t>
      </w:r>
      <w:r w:rsidR="00342CFF" w:rsidRPr="00342CFF">
        <w:t>, 2007)</w:t>
      </w:r>
      <w:r w:rsidR="000243EC" w:rsidRPr="00CF7ED3">
        <w:fldChar w:fldCharType="end"/>
      </w:r>
      <w:r w:rsidR="005E5515" w:rsidRPr="00CF7ED3">
        <w:t>. This</w:t>
      </w:r>
      <w:r w:rsidR="009C1D47" w:rsidRPr="00CF7ED3">
        <w:t xml:space="preserve"> vulnerability of tropical species</w:t>
      </w:r>
      <w:r w:rsidR="005E5515" w:rsidRPr="00CF7ED3">
        <w:t xml:space="preserve"> is compounded by</w:t>
      </w:r>
      <w:r w:rsidR="002B0FA2" w:rsidRPr="00CF7ED3">
        <w:t xml:space="preserve"> an absence of target habitat</w:t>
      </w:r>
      <w:r w:rsidR="005E5515" w:rsidRPr="00CF7ED3">
        <w:t xml:space="preserve">s containing </w:t>
      </w:r>
      <w:r w:rsidR="007F3AA6" w:rsidRPr="00CF7ED3">
        <w:t>analogous</w:t>
      </w:r>
      <w:r w:rsidR="005E5515" w:rsidRPr="00CF7ED3">
        <w:t xml:space="preserve"> climates</w:t>
      </w:r>
      <w:r w:rsidR="002B0FA2" w:rsidRPr="00CF7ED3">
        <w:t xml:space="preserve"> </w:t>
      </w:r>
      <w:r w:rsidR="002B0FA2" w:rsidRPr="00CF7ED3">
        <w:fldChar w:fldCharType="begin"/>
      </w:r>
      <w:r w:rsidR="004E4368">
        <w:instrText xml:space="preserve"> ADDIN ZOTERO_ITEM CSL_CITATION {"citationID":"7fbn1d4h6","properties":{"formattedCitation":"{\\rtf (Colwell {\\i{}et al.}, 2008)}","plainCitation":"(Colwell et al., 2008)"},"citationItems":[{"id":1571,"uris":["http://zotero.org/users/1177238/items/I4VX6SCH"],"uri":["http://zotero.org/users/1177238/items/I4VX6SCH"],"itemData":{"id":1571,"type":"article-journal","title":"Global warming, elevational range shifts, and lowland biotic attrition in the wet tropics","container-title":"Science","page":"258-261","volume":"322","issue":"5899","source":"www.sciencemag.org","abstract":"Many studies suggest that global warming is driving species ranges poleward and toward higher elevations at temperate latitudes, but evidence for range shifts is scarce for the tropics, where the shallow latitudinal temperature gradient makes upslope shifts more likely than poleward shifts. Based on new data for plants and insects on an elevational transect in Costa Rica, we assess the potential for lowland biotic attrition, range-shift gaps, and mountaintop extinctions under projected warming. We conclude that tropical lowland biotas may face a level of net lowland biotic attrition without parallel at higher latitudes (where range shifts may be compensated for by species from lower latitudes) and that a high proportion of tropical species soon faces gaps between current and projected elevational ranges.","DOI":"10.1126/science.1162547","ISSN":"0036-8075, 1095-9203","note":"PMID: 18845754","journalAbbreviation":"Science","language":"en","author":[{"family":"Colwell","given":"Robert K."},{"family":"Brehm","given":"Gunnar"},{"family":"Cardelús","given":"Catherine L."},{"family":"Gilman","given":"Alex C."},{"family":"Longino","given":"John T."}],"issued":{"date-parts":[["2008",10,10]]}}}],"schema":"https://github.com/citation-style-language/schema/raw/master/csl-citation.json"} </w:instrText>
      </w:r>
      <w:r w:rsidR="002B0FA2" w:rsidRPr="00CF7ED3">
        <w:fldChar w:fldCharType="separate"/>
      </w:r>
      <w:r w:rsidR="00342CFF" w:rsidRPr="00342CFF">
        <w:t xml:space="preserve">(Colwell </w:t>
      </w:r>
      <w:r w:rsidR="00342CFF" w:rsidRPr="00342CFF">
        <w:rPr>
          <w:i/>
          <w:iCs/>
        </w:rPr>
        <w:t>et al.</w:t>
      </w:r>
      <w:r w:rsidR="00342CFF" w:rsidRPr="00342CFF">
        <w:t>, 2008)</w:t>
      </w:r>
      <w:r w:rsidR="002B0FA2" w:rsidRPr="00CF7ED3">
        <w:fldChar w:fldCharType="end"/>
      </w:r>
      <w:r w:rsidR="007F3AA6" w:rsidRPr="00CF7ED3">
        <w:t xml:space="preserve">, </w:t>
      </w:r>
      <w:r w:rsidR="00F06E6E" w:rsidRPr="00CF7ED3">
        <w:t>and</w:t>
      </w:r>
      <w:r w:rsidR="002B0FA2" w:rsidRPr="00CF7ED3">
        <w:t xml:space="preserve"> widespread deforestation </w:t>
      </w:r>
      <w:r w:rsidR="00496F5D" w:rsidRPr="00CF7ED3">
        <w:t>creating</w:t>
      </w:r>
      <w:r w:rsidR="000243EC" w:rsidRPr="00CF7ED3">
        <w:t xml:space="preserve"> </w:t>
      </w:r>
      <w:r w:rsidR="002B0FA2" w:rsidRPr="00CF7ED3">
        <w:t xml:space="preserve">a hostile matrix through which dispersal must occur </w:t>
      </w:r>
      <w:r w:rsidR="000243EC" w:rsidRPr="00CF7ED3">
        <w:fldChar w:fldCharType="begin"/>
      </w:r>
      <w:r w:rsidR="00342CFF">
        <w:instrText xml:space="preserve"> ADDIN ZOTERO_ITEM CSL_CITATION {"citationID":"r0360tlea","properties":{"formattedCitation":"{\\rtf (Brook {\\i{}et al.}, 2008; Scriven {\\i{}et al.}, 2015)}","plainCitation":"(Brook et al., 2008; Scriven et al., 2015)"},"citationItems":[{"id":1168,"uris":["http://zotero.org/users/1177238/items/S4T7EBCH"],"uri":["http://zotero.org/users/1177238/items/S4T7EBCH"],"itemData":{"id":1168,"type":"article-journal","title":"Synergies among extinction drivers under global change","container-title":"Trends in Ecology &amp; Evolution","page":"453-460","volume":"23","issue":"8","source":"ScienceDirect","abstract":"If habitat destruction or overexploitation of populations is severe, species loss can occur directly and abruptly. Yet the final descent to extinction is often driven by synergistic processes (amplifying feedbacks) that can be disconnected from the original cause of decline. We review recent observational, experimental and meta-analytic work which together show that owing to interacting and self-reinforcing processes, estimates of extinction risk for most species are more severe than previously recognised. As such, conservation actions which only target single-threat drivers risk being inadequate because of the cascading effects caused by unmanaged synergies. Future work should focus on how climate change will interact with and accelerate ongoing threats to biodiversity, such as habitat degradation, overexploitation and invasive species.","DOI":"10.1016/j.tree.2008.03.011","ISSN":"0169-5347","journalAbbreviation":"Trends in Ecology &amp; Evolution","author":[{"family":"Brook","given":"Barry W."},{"family":"Sodhi","given":"Navjot S."},{"family":"Bradshaw","given":"Corey J. A."}],"issued":{"date-parts":[["2008",8]]}}},{"id":2194,"uris":["http://zotero.org/users/1177238/items/HEW8HKTU"],"uri":["http://zotero.org/users/1177238/items/HEW8HKTU"],"itemData":{"id":2194,"type":"article-journal","title":"Protected areas in Borneo may fail to conserve tropical forest biodiversity under climate change","container-title":"Biological Conservation","page":"414-423","volume":"184","source":"ScienceDirect","abstract":"Protected areas (PAs) are key for conserving rainforest species, but many PAs are becoming increasingly isolated within agricultural landscapes, which may have detrimental consequences for the forest biota they contain. We examined the vulnerability of PA networks to climate change by examining connectivity of PAs along elevation gradients. We used the PA network on Borneo as a model system, and examined changes in the spatial distribution of climate conditions in future. A large proportion of PAs will not contain analogous climates in future (based on temperature projections for 2061–2080), potentially requiring organisms to move to cooler PAs at higher elevation, if they are to track climate changes. For the highest warming scenario (RCP8.5), few (11–12.5%; 27–30/240) PAs were sufficiently topographically diverse for analogous climate conditions (present-day equivalent or cooler) to remain in situ. For the remaining 87.5–89% (210–213/240) of PAs, which were often situated at low elevation, analogous climate will only be available in higher elevation PAs. However, over half (60–82%) of all PAs on Borneo are too isolated for poor dispersers (&amp;lt;1 km per generation) to reach cooler PAs, because there is a lack of connecting forest habitat. Even under the lowest warming scenario (RCP2.6), analogous climate conditions will disappear from 61% (146/240) of PAs, and a large proportion of these are too isolated for poor dispersers to reach cooler PAs. Our results suggest that low elevation PAs are particularly vulnerable to climate change, and management to improve linkage of PAs along elevation gradients should be a conservation priority.","DOI":"10.1016/j.biocon.2015.02.018","ISSN":"0006-3207","journalAbbreviation":"Biological Conservation","author":[{"family":"Scriven","given":"Sarah A."},{"family":"Hodgson","given":"Jenny A."},{"family":"McClean","given":"Colin J."},{"family":"Hill","given":"Jane K."}],"issued":{"date-parts":[["2015",4]]}}}],"schema":"https://github.com/citation-style-language/schema/raw/master/csl-citation.json"} </w:instrText>
      </w:r>
      <w:r w:rsidR="000243EC" w:rsidRPr="00CF7ED3">
        <w:fldChar w:fldCharType="separate"/>
      </w:r>
      <w:r w:rsidR="00342CFF" w:rsidRPr="00342CFF">
        <w:t xml:space="preserve">(Brook </w:t>
      </w:r>
      <w:r w:rsidR="00342CFF" w:rsidRPr="00342CFF">
        <w:rPr>
          <w:i/>
          <w:iCs/>
        </w:rPr>
        <w:t>et al.</w:t>
      </w:r>
      <w:r w:rsidR="00342CFF" w:rsidRPr="00342CFF">
        <w:t xml:space="preserve">, 2008; Scriven </w:t>
      </w:r>
      <w:r w:rsidR="00342CFF" w:rsidRPr="00342CFF">
        <w:rPr>
          <w:i/>
          <w:iCs/>
        </w:rPr>
        <w:t>et al.</w:t>
      </w:r>
      <w:r w:rsidR="00342CFF" w:rsidRPr="00342CFF">
        <w:t>, 2015)</w:t>
      </w:r>
      <w:r w:rsidR="000243EC" w:rsidRPr="00CF7ED3">
        <w:fldChar w:fldCharType="end"/>
      </w:r>
      <w:r w:rsidR="000243EC" w:rsidRPr="00CF7ED3">
        <w:t>.</w:t>
      </w:r>
      <w:r w:rsidR="00496F5D" w:rsidRPr="00CF7ED3">
        <w:t xml:space="preserve"> </w:t>
      </w:r>
      <w:r w:rsidR="00342CFF">
        <w:t>T</w:t>
      </w:r>
      <w:r w:rsidR="006841DE" w:rsidRPr="00CF7ED3">
        <w:t>he ability of tropical species to withstand climate change</w:t>
      </w:r>
      <w:r w:rsidR="00342CFF">
        <w:t>, and so avoid extinction,</w:t>
      </w:r>
      <w:r w:rsidR="006841DE" w:rsidRPr="00CF7ED3">
        <w:t xml:space="preserve"> is likely to be highly dependent on their ability to adapt in </w:t>
      </w:r>
      <w:r w:rsidR="00134D9C" w:rsidRPr="00CF7ED3">
        <w:t>situ</w:t>
      </w:r>
      <w:r w:rsidR="005E5515" w:rsidRPr="00CF7ED3">
        <w:t xml:space="preserve"> within existing forest areas</w:t>
      </w:r>
      <w:r w:rsidR="006841DE" w:rsidRPr="00CF7ED3">
        <w:t>.</w:t>
      </w:r>
      <w:r w:rsidR="00264C34" w:rsidRPr="00CF7ED3">
        <w:t xml:space="preserve"> T</w:t>
      </w:r>
      <w:r w:rsidR="00A105F7" w:rsidRPr="00CF7ED3">
        <w:t xml:space="preserve">he extent to which </w:t>
      </w:r>
      <w:r w:rsidR="005E39DD" w:rsidRPr="00CF7ED3">
        <w:t>species persistence</w:t>
      </w:r>
      <w:r w:rsidR="00A105F7" w:rsidRPr="00CF7ED3">
        <w:t xml:space="preserve"> can be facilitated within selectively logged forests will</w:t>
      </w:r>
      <w:r w:rsidR="00264C34" w:rsidRPr="00CF7ED3">
        <w:t>, therefore,</w:t>
      </w:r>
      <w:r w:rsidR="00A105F7" w:rsidRPr="00CF7ED3">
        <w:t xml:space="preserve"> greatly influence the </w:t>
      </w:r>
      <w:r w:rsidR="0063230C" w:rsidRPr="00CF7ED3">
        <w:t>conservation value</w:t>
      </w:r>
      <w:r w:rsidR="009C1D47" w:rsidRPr="00CF7ED3">
        <w:t xml:space="preserve"> of these habitats</w:t>
      </w:r>
      <w:r w:rsidR="0063230C" w:rsidRPr="00CF7ED3">
        <w:t xml:space="preserve">. </w:t>
      </w:r>
    </w:p>
    <w:p w14:paraId="1B2EA1CD" w14:textId="7D8414B5" w:rsidR="004D5C71" w:rsidRPr="00CF7ED3" w:rsidRDefault="006841DE" w:rsidP="00D448F1">
      <w:r w:rsidRPr="00CF7ED3">
        <w:t xml:space="preserve">In primary </w:t>
      </w:r>
      <w:r w:rsidR="002F67A7" w:rsidRPr="00CF7ED3">
        <w:t xml:space="preserve">forests </w:t>
      </w:r>
      <w:r w:rsidRPr="00CF7ED3">
        <w:t>and secondary forest</w:t>
      </w:r>
      <w:r w:rsidR="002F67A7" w:rsidRPr="00CF7ED3">
        <w:t>s re</w:t>
      </w:r>
      <w:r w:rsidR="001A3CF1">
        <w:t>-</w:t>
      </w:r>
      <w:r w:rsidR="002F67A7" w:rsidRPr="00CF7ED3">
        <w:t>growing on abandoned farmland</w:t>
      </w:r>
      <w:r w:rsidR="005B7B34">
        <w:t>, previous studies found that</w:t>
      </w:r>
      <w:r w:rsidRPr="00CF7ED3">
        <w:t xml:space="preserve"> </w:t>
      </w:r>
      <w:r w:rsidR="00D448F1">
        <w:t>organisms – particularly ectotherms – avoid suboptimal temperatures in the wider ‘macroclimate’ (climate at a spatial scale of 10</w:t>
      </w:r>
      <w:r w:rsidR="00D448F1">
        <w:rPr>
          <w:vertAlign w:val="superscript"/>
        </w:rPr>
        <w:t>1</w:t>
      </w:r>
      <w:r w:rsidR="00D448F1">
        <w:t>-10</w:t>
      </w:r>
      <w:r w:rsidR="00D448F1">
        <w:rPr>
          <w:vertAlign w:val="superscript"/>
        </w:rPr>
        <w:t>3</w:t>
      </w:r>
      <w:r w:rsidR="00D448F1">
        <w:t xml:space="preserve"> m) by moving locally into ‘microclimates’ (climate at a fine-scale, 10</w:t>
      </w:r>
      <w:r w:rsidR="00D448F1">
        <w:rPr>
          <w:vertAlign w:val="superscript"/>
        </w:rPr>
        <w:t>-3</w:t>
      </w:r>
      <w:r w:rsidR="00D448F1">
        <w:t xml:space="preserve"> to 10</w:t>
      </w:r>
      <w:r w:rsidR="00D448F1">
        <w:rPr>
          <w:vertAlign w:val="superscript"/>
        </w:rPr>
        <w:t>-1</w:t>
      </w:r>
      <w:r w:rsidR="00D448F1">
        <w:t xml:space="preserve"> m, that is distinct from the macroclimate; </w:t>
      </w:r>
      <w:r w:rsidR="008E1D07" w:rsidRPr="00CF7ED3">
        <w:fldChar w:fldCharType="begin"/>
      </w:r>
      <w:r w:rsidR="004E4368">
        <w:instrText xml:space="preserve"> ADDIN ZOTERO_ITEM CSL_CITATION {"citationID":"2qsveurjmr","properties":{"formattedCitation":"{\\rtf (Scheffers {\\i{}et al.}, 2014a, 2014b; Gonz\\uc0\\u225{}lez del Pliego {\\i{}et al.}, 2016)}","plainCitation":"(Scheffers et al., 2014a, 2014b; González del Pliego et al., 2016)"},"citationItems":[{"id":11357,"uris":["http://zotero.org/users/1177238/items/6BXI9VWV"],"uri":["http://zotero.org/users/1177238/items/6BXI9VWV"],"itemData":{"id":11357,"type":"article-journal","title":"Microhabitats reduce animal's exposure to climate extremes","container-title":"Global Change Biology","page":"495-503","volume":"20","issue":"2","DOI":"10.1111/gcb.12439","ISSN":"1365-2486","journalAbbreviation":"Glob Change Biol","author":[{"family":"Scheffers","given":"Brett R."},{"family":"Edwards","given":"David P."},{"family":"Diesmos","given":"Arvin"},{"family":"Williams","given":"Stephen E."},{"family":"Evans","given":"Theodore A."}],"issued":{"date-parts":[["2014",2,1]]}}},{"id":5896,"uris":["http://zotero.org/users/1177238/items/7KR242KQ"],"uri":["http://zotero.org/users/1177238/items/7KR242KQ"],"itemData":{"id":5896,"type":"article-journal","title":"Microhabitats in the tropics buffer temperature in a globally coherent manner","container-title":"Biology Letters","page":"20140819","volume":"10","issue":"12","source":"rsbl.royalsocietypublishing.org","abstract":"Vegetated habitats contain a variety of fine-scale features that can ameliorate temperate extremes. These buffered microhabitats may be used by species to evade extreme weather and novel climates in the future. Yet, the magnitude and extent of this buffering on a global scale remains unknown. Across all tropical continents and using 36 published studies, we assessed temperature buffering from within microhabitats across various habitat strata and structures (e.g. soil, logs, epiphytes and tree holes) and compared them to non-buffered macro-scale ambient temperatures (the thermal control). Microhabitats buffered temperature by 3.9°C and reduced maximum temperatures by 3.5°C. Buffering was most pronounced in tropical lowlands where temperatures were most variable. With the expected increase in extreme weather events, microhabitats should provide species with a local layer of protection that is not captured by traditional climate assessments, which are typically derived from macro-scale temperatures (e.g. satellites). Our data illustrate the need for a next generation of predictive models that account for species' ability to move within microhabitats to exploit favourable buffered microclimates.","DOI":"10.1098/rsbl.2014.0819","ISSN":"1744-9561, 1744-957X","note":"PMID: 25540160","language":"en","author":[{"family":"Scheffers","given":"Brett R."},{"family":"Evans","given":"Theodore A."},{"family":"Williams","given":"Stephen E."},{"family":"Edwards","given":"David P."}],"issued":{"date-parts":[["2014",12,1]]}}},{"id":11703,"uris":["http://zotero.org/users/1177238/items/BU8UPCJJ"],"uri":["http://zotero.org/users/1177238/items/BU8UPCJJ"],"itemData":{"id":11703,"type":"article-journal","title":"Thermally buffered microhabitats recovery in tropical secondary forests following land abandonment","container-title":"Biological Conservation","page":"385-395","volume":"201","source":"ScienceDirect","abstract":"Given the dramatic loss of tropical forests and accelerating climate change, secondary forest regeneration is increasingly recognised as being an important method for reversing losses in biodiversity and carbon stocks. The recolonisation of biodiversity within secondary forests depends in part upon the recovery of forest structure, including the range of microhabitats used by diverse local communities. Here, we investigate the return of critical microhabitats along a successional gradient of secondary forest in the Tropical Andes of Colombia. We measured the abundance of live (bromeliads, tree ferns and moss) and dead (deadwood and leaf litter) microhabitats across three landscapes, each encompassing primary, and young (4–18 yr old) and old secondary forests (19–35 yr old). Considering the increasing rate of climate warming in the region, we also explored whether these microhabitats provide thermally buffered microclimates. We found that secondary forests have different composition and lower complexity of microhabitats than primary forests, but microhabitats appear to be recovering towards primary forest levels. Furthermore, in all forest types, microhabitats had lower maximum temperatures and higher minimum temperatures, thereby serving as thermal buffers that reduced exposure to extreme temperatures. These benefits exist despite ambient temperatures in secondary forests surpassing those of primary forests by 1–2 °C on average. The protection of secondary forest and promotion of further forest regrowth in the Tropical Andes should represent an urgent investment for conservation, and the value of these forests for offering critical microhabitats and buffered microclimates under climate change should not be overlooked.","DOI":"10.1016/j.biocon.2016.07.038","ISSN":"0006-3207","journalAbbreviation":"Biological Conservation","author":[{"family":"González del Pliego","given":"Pamela"},{"family":"Scheffers","given":"Brett R."},{"family":"Basham","given":"Edmund W."},{"family":"Woodcock","given":"Paul"},{"family":"Wheeler","given":"Charlotte"},{"family":"Gilroy","given":"James J."},{"family":"Medina Uribe","given":"Claudia A."},{"family":"Haugaasen","given":"Torbjørn"},{"family":"Freckleton","given":"Rob P."},{"family":"Edwards","given":"David P."}],"issued":{"date-parts":[["2016",9]]}}}],"schema":"https://github.com/citation-style-language/schema/raw/master/csl-citation.json"} </w:instrText>
      </w:r>
      <w:r w:rsidR="008E1D07" w:rsidRPr="00CF7ED3">
        <w:fldChar w:fldCharType="separate"/>
      </w:r>
      <w:r w:rsidR="00342CFF" w:rsidRPr="00342CFF">
        <w:t xml:space="preserve">Scheffers </w:t>
      </w:r>
      <w:r w:rsidR="00342CFF" w:rsidRPr="00342CFF">
        <w:rPr>
          <w:i/>
          <w:iCs/>
        </w:rPr>
        <w:t>et al.</w:t>
      </w:r>
      <w:r w:rsidR="00342CFF" w:rsidRPr="00342CFF">
        <w:t xml:space="preserve">, 2014a, 2014b; González del Pliego </w:t>
      </w:r>
      <w:r w:rsidR="00342CFF" w:rsidRPr="00342CFF">
        <w:rPr>
          <w:i/>
          <w:iCs/>
        </w:rPr>
        <w:t>et al.</w:t>
      </w:r>
      <w:r w:rsidR="00342CFF" w:rsidRPr="00342CFF">
        <w:t>, 2016)</w:t>
      </w:r>
      <w:r w:rsidR="008E1D07" w:rsidRPr="00CF7ED3">
        <w:fldChar w:fldCharType="end"/>
      </w:r>
      <w:r w:rsidR="008E1D07" w:rsidRPr="00CF7ED3">
        <w:t xml:space="preserve">. </w:t>
      </w:r>
      <w:r w:rsidR="00D448F1">
        <w:t xml:space="preserve">Climate at this fine-scale is more </w:t>
      </w:r>
      <w:r w:rsidR="0021355F" w:rsidRPr="00CF7ED3">
        <w:t xml:space="preserve">relevant </w:t>
      </w:r>
      <w:r w:rsidR="005E39DD" w:rsidRPr="00CF7ED3">
        <w:t xml:space="preserve">for the majority of </w:t>
      </w:r>
      <w:r w:rsidR="0021355F" w:rsidRPr="00CF7ED3">
        <w:t xml:space="preserve">terrestrial biodiversity, </w:t>
      </w:r>
      <w:r w:rsidR="00266717" w:rsidRPr="00CF7ED3">
        <w:t xml:space="preserve">which primarily consists </w:t>
      </w:r>
      <w:r w:rsidR="0021355F" w:rsidRPr="00CF7ED3">
        <w:t xml:space="preserve">of small-bodied ectotherms </w:t>
      </w:r>
      <w:r w:rsidR="0021355F" w:rsidRPr="00CF7ED3">
        <w:fldChar w:fldCharType="begin"/>
      </w:r>
      <w:r w:rsidR="00342CFF">
        <w:instrText xml:space="preserve"> ADDIN ZOTERO_ITEM CSL_CITATION {"citationID":"pQ9WzmH5","properties":{"formattedCitation":"{\\rtf (Suggitt {\\i{}et al.}, 2011; Potter {\\i{}et al.}, 2013; Nadeau {\\i{}et al.}, 2016)}","plainCitation":"(Suggitt et al., 2011; Potter et al., 2013; Nadeau et al., 2016)"},"citationItems":[{"id":2064,"uris":["http://zotero.org/users/1177238/items/3AJVNIUQ"],"uri":["http://zotero.org/users/1177238/items/3AJVNIUQ"],"itemData":{"id":2064,"type":"article-journal","title":"Habitat microclimates drive fine-scale variation in extreme temperatures","container-title":"Oikos","page":"1-8","volume":"120","issue":"1","source":"CrossRef","DOI":"10.1111/j.1600-0706.2010.18270.x","ISSN":"00301299","author":[{"family":"Suggitt","given":"Andrew J."},{"family":"Gillingham","given":"Phillipa K."},{"family":"Hill","given":"Jane K."},{"family":"Huntley","given":"Brian"},{"family":"Kunin","given":"William E."},{"family":"Roy","given":"David B."},{"family":"Thomas","given":"Chris D."}],"issued":{"date-parts":[["2011",1]]}}},{"id":1276,"uris":["http://zotero.org/users/1177238/items/J676XUZB"],"uri":["http://zotero.org/users/1177238/items/J676XUZB"],"itemData":{"id":1276,"type":"article-journal","title":"Microclimatic challenges in global change biology","container-title":"Global Change Biology","page":"2932-2939","volume":"19","issue":"10","source":"Wiley Online Library","abstract":"Despite decades of work on climate change biology, the scientific community remains uncertain about where and when most species distributions will respond to altered climates. A major barrier is the spatial mismatch between the size of organisms and the scale at which climate data are collected and modeled. Using a meta-analysis of published literature, we show that grid lengths in species distribution models are, on average, ca. 10 000-fold larger than the animals they study, and ca. 1000-fold larger than the plants they study. And the gap is even worse than these ratios indicate, as most work has focused on organisms that are significantly biased toward large size. This mismatch is problematic because organisms do not experience climate on coarse scales. Rather, they live in microclimates, which can be highly heterogeneous and strongly divergent from surrounding macroclimates. Bridging the spatial gap should be a high priority for research and will require gathering climate data at finer scales, developing better methods for downscaling environmental data to microclimates, and improving our statistical understanding of variation at finer scales. Interdisciplinary collaborations (including ecologists, engineers, climatologists, meteorologists, statisticians, and geographers) will be key to bridging the gap, and ultimately to providing scientifically grounded data and recommendations to conservation biologists and policy makers.","DOI":"10.1111/gcb.12257","ISSN":"1365-2486","journalAbbreviation":"Glob Change Biol","language":"en","author":[{"family":"Potter","given":"Kristen A."},{"family":"Arthur Woods","given":"H."},{"family":"Pincebourde","given":"Sylvain"}],"issued":{"date-parts":[["2013",10,1]]}}},{"id":11814,"uris":["http://zotero.org/users/1177238/items/AQUVUEU5"],"uri":["http://zotero.org/users/1177238/items/AQUVUEU5"],"itemData":{"id":11814,"type":"article-journal","title":"Coarse climate change projections for species living in a fine-scaled world","container-title":"Global Change Biology","page":"n/a-n/a","source":"Wiley Online Library","abstract":"Accurately predicting biological impacts of climate change is necessary to guide policy. However, the resolution of climate data could be affecting the accuracy of climate change impact assessments. Here we review the spatial and temporal resolution of climate data used in impact assessments and demonstrate that these resolutions are often too coarse relative to biologically relevant scales. We then develop a framework that partitions climate into three important components: trend, variance, and autocorrelation. We apply this framework to map different global climate regimes and identify where coarse climate data is most and least likely to reduce the accuracy of impact assessments. We show that impact assessments for many large mammals and birds use climate data with a spatial resolution similar to the biologically relevant area encompassing population dynamics. Conversely, impact assessments for many small mammals, herpetofauna, and plants use climate data with a spatial resolution that is orders of magnitude larger than the area encompassing population dynamics. Most impact assessments also use climate data with a coarse temporal resolution. We suggest that climate data with a coarse spatial resolution likely reduces the accuracy of impact assessments the most in climates with high spatial trend and variance (e.g., much of western North and South America) and the least in climates with low spatial trend and variance (e.g., the Great Plains of the USA). Climate data with a coarse temporal resolution likely reduces the accuracy of impact assessments the most in the northern half of the northern hemisphere where temporal climatic variance is high. Our framework provides one way to identify where improving the resolution of climate data will have the largest impact on the accuracy of biological predictions under climate change. This article is protected by copyright. All rights reserved.","DOI":"10.1111/gcb.13475","ISSN":"1365-2486","journalAbbreviation":"Glob Change Biol","language":"en","author":[{"family":"Nadeau","given":"Christopher P."},{"family":"Urban","given":"Mark C."},{"family":"Bridle","given":"Jon R."}],"issued":{"date-parts":[["2016",8,1]]}}}],"schema":"https://github.com/citation-style-language/schema/raw/master/csl-citation.json"} </w:instrText>
      </w:r>
      <w:r w:rsidR="0021355F" w:rsidRPr="00CF7ED3">
        <w:fldChar w:fldCharType="separate"/>
      </w:r>
      <w:r w:rsidR="00342CFF" w:rsidRPr="00342CFF">
        <w:t xml:space="preserve">(Suggitt </w:t>
      </w:r>
      <w:r w:rsidR="00342CFF" w:rsidRPr="00342CFF">
        <w:rPr>
          <w:i/>
          <w:iCs/>
        </w:rPr>
        <w:t>et al.</w:t>
      </w:r>
      <w:r w:rsidR="00342CFF" w:rsidRPr="00342CFF">
        <w:t xml:space="preserve">, 2011; Potter </w:t>
      </w:r>
      <w:r w:rsidR="00342CFF" w:rsidRPr="00342CFF">
        <w:rPr>
          <w:i/>
          <w:iCs/>
        </w:rPr>
        <w:t>et al.</w:t>
      </w:r>
      <w:r w:rsidR="00342CFF" w:rsidRPr="00342CFF">
        <w:t xml:space="preserve">, 2013; Nadeau </w:t>
      </w:r>
      <w:r w:rsidR="00342CFF" w:rsidRPr="00342CFF">
        <w:rPr>
          <w:i/>
          <w:iCs/>
        </w:rPr>
        <w:t>et al.</w:t>
      </w:r>
      <w:r w:rsidR="00342CFF" w:rsidRPr="00342CFF">
        <w:t>, 2016)</w:t>
      </w:r>
      <w:r w:rsidR="0021355F" w:rsidRPr="00CF7ED3">
        <w:fldChar w:fldCharType="end"/>
      </w:r>
      <w:r w:rsidR="0021355F" w:rsidRPr="00CF7ED3">
        <w:t xml:space="preserve">. </w:t>
      </w:r>
      <w:r w:rsidR="004D5C71" w:rsidRPr="00CF7ED3">
        <w:t>Indeed</w:t>
      </w:r>
      <w:r w:rsidR="00994F7C" w:rsidRPr="00CF7ED3">
        <w:t>,</w:t>
      </w:r>
      <w:r w:rsidR="0021355F" w:rsidRPr="00CF7ED3">
        <w:t xml:space="preserve"> </w:t>
      </w:r>
      <w:r w:rsidR="00994F7C" w:rsidRPr="00CF7ED3">
        <w:t>the vast proportion of terrestrial species are small</w:t>
      </w:r>
      <w:r w:rsidR="005E39DD" w:rsidRPr="00CF7ED3">
        <w:t xml:space="preserve"> </w:t>
      </w:r>
      <w:r w:rsidR="003D3175" w:rsidRPr="00CF7ED3">
        <w:t xml:space="preserve">in </w:t>
      </w:r>
      <w:r w:rsidR="005E39DD" w:rsidRPr="00CF7ED3">
        <w:t>size</w:t>
      </w:r>
      <w:r w:rsidR="00994F7C" w:rsidRPr="00CF7ED3">
        <w:t>, flat</w:t>
      </w:r>
      <w:r w:rsidR="003D3175" w:rsidRPr="00CF7ED3">
        <w:t xml:space="preserve"> in shape,</w:t>
      </w:r>
      <w:r w:rsidR="00994F7C" w:rsidRPr="00CF7ED3">
        <w:t xml:space="preserve"> or thermoregulate via contact with the ground, and </w:t>
      </w:r>
      <w:r w:rsidR="005E39DD" w:rsidRPr="00CF7ED3">
        <w:t xml:space="preserve">so it is important to consider </w:t>
      </w:r>
      <w:r w:rsidR="00994F7C" w:rsidRPr="00CF7ED3">
        <w:t>microclimate</w:t>
      </w:r>
      <w:r w:rsidR="002E115B" w:rsidRPr="00CF7ED3">
        <w:t>s</w:t>
      </w:r>
      <w:r w:rsidR="00994F7C" w:rsidRPr="00CF7ED3">
        <w:t xml:space="preserve"> </w:t>
      </w:r>
      <w:r w:rsidR="00C645FF" w:rsidRPr="00CF7ED3">
        <w:t>close to</w:t>
      </w:r>
      <w:r w:rsidR="005E39DD" w:rsidRPr="00CF7ED3">
        <w:t>,</w:t>
      </w:r>
      <w:r w:rsidR="00C645FF" w:rsidRPr="00CF7ED3">
        <w:t xml:space="preserve"> and including</w:t>
      </w:r>
      <w:r w:rsidR="005E39DD" w:rsidRPr="00CF7ED3">
        <w:t>,</w:t>
      </w:r>
      <w:r w:rsidR="00C645FF" w:rsidRPr="00CF7ED3">
        <w:t xml:space="preserve"> </w:t>
      </w:r>
      <w:r w:rsidR="00994F7C" w:rsidRPr="00CF7ED3">
        <w:t>the surface</w:t>
      </w:r>
      <w:r w:rsidR="002E115B" w:rsidRPr="00CF7ED3">
        <w:t xml:space="preserve">s on which </w:t>
      </w:r>
      <w:r w:rsidR="005E39DD" w:rsidRPr="00CF7ED3">
        <w:t>these</w:t>
      </w:r>
      <w:r w:rsidR="002E115B" w:rsidRPr="00CF7ED3">
        <w:t xml:space="preserve"> species live</w:t>
      </w:r>
      <w:r w:rsidR="00C645FF" w:rsidRPr="00CF7ED3">
        <w:t xml:space="preserve"> </w:t>
      </w:r>
      <w:r w:rsidR="00C645FF" w:rsidRPr="00CF7ED3">
        <w:fldChar w:fldCharType="begin"/>
      </w:r>
      <w:r w:rsidR="00342CFF">
        <w:instrText xml:space="preserve"> ADDIN ZOTERO_ITEM CSL_CITATION {"citationID":"tF2QGnQ2","properties":{"formattedCitation":"{\\rtf (Kaspari {\\i{}et al.}, 2014; Scheffers {\\i{}et al.}, 2016)}","plainCitation":"(Kaspari et al., 2014; Scheffers et al., 2016)"},"citationItems":[{"id":1003,"uris":["http://zotero.org/users/1177238/items/G3KF6D4N"],"uri":["http://zotero.org/users/1177238/items/G3KF6D4N"],"itemData":{"id":1003,"type":"article-journal","title":"Thermal adaptation generates a diversity of thermal limits in a rainforest ant community","container-title":"Global Change Biology","page":"n/a-n/a","source":"Wiley Online Library","abstract":"The Thermal Adaptation hypothesis posits that the warmer, aseasonal tropics generates populations with higher and narrower thermal limits. It has largely been tested among populations across latitudes. However, considerable thermal heterogeneity exists within ecosystems: across 31 trees in a Panama rainforest, surfaces exposed to sun were 8 °C warmer and varied more in temperature than surfaces in the litter below. Tiny ectotherms are confined to surfaces and are variously submerged in these superheated boundary layer environments. We quantified the surface CTmin and CTmaxs (surface temperatures at which individuals grew torpid and lost motor control, respectively) of 88 ant species from this forest that ranged in average mass from 0.01 to 57 mg. Larger ants had broader thermal tolerances. Then, for 26 of these species we again tested body CTmaxs using a thermal dry bath to eliminate boundary layer effects: body size correlations observed previously disappeared. In both experiments, consistent with Thermal Adaptation, CTmaxs of canopy ants averaged 3.5 - 5 °C higher than populations that nested in the shade of the understory. We impaled thermocouples in taxidermy mounts to further quantify the factors shaping operative temperatures for four ant species representing the top third (1 – 30 mg) of the size distribution. Extrapolations suggest the smallest 2/3rds of species reach thermal equilibrium in &lt;10s. Moreover, the large ants that walk above the convective superheated surface air also showed more net heating by solar radiation, with operative temperatures up to 4 °C higher than surrounding air. The thermal environments of this Panama rainforest generate a range of CTmax subsuming 74% of those previously recorded for ant populations worldwide. The Thermal Adaptation hypothesis can be a powerful tool in predicting diversity of thermal limits within communities. Boundary layer temperatures are likely key to predicting the future of Earth's tiny terrestrial ectotherm populations. This article is protected by copyright. All rights reserved.","DOI":"10.1111/gcb.12750","ISSN":"1365-2486","journalAbbreviation":"Glob Change Biol","language":"en","author":[{"family":"Kaspari","given":"Michael"},{"family":"Clay","given":"Natalie A"},{"family":"Lucas","given":"Jane"},{"family":"Yanoviak","given":"Stephen P"},{"family":"Kay","given":"Adam"}],"issued":{"date-parts":[["2014",9,1]]}}},{"id":12148,"uris":["http://zotero.org/users/1177238/items/U5GHENRN"],"uri":["http://zotero.org/users/1177238/items/U5GHENRN"],"itemData":{"id":12148,"type":"article-journal","title":"Extreme thermal heterogeneity in structurally complex tropical rain forests","container-title":"Biotropica","page":"n/a-n/a","source":"Wiley Online Library","abstract":"Most terrestrial species on Earth are ectothermic and track temperature at small spatial scales, from sun flecks to cool shaded spots. Current assessments of thermal heterogeneity in complex environments are predominately characterized by ambient temperature. This omission of solar radiation may lead to inaccurate conclusions regarding thermoregulation and distribution of species. We use thermal cameras to gather data on temperature heterogeneity in structurally complex rain forest environments. Using thermographic photographs, we capture the multidimensionality of climate created by vegetation by collecting over 76,000 temperature samples within approximately 1 m2 quadrats. The method was tested against three standard methods that record air temperature to determine possible omissions in capturing thermal heterogeneity in four geographic locations—Colombia, Borneo, Madagascar, and Australia. Across all locations, there was greater thermal heterogeneity in surface temperature than captured from ambient temperature technologies. Spatial variability in surface temperature on 1 d was greater than temporal variability of ambient temperature across the entire month, with extreme deviation from ambient temperatures. Importantly, when compared to the lower bounds for optimal performance for five tropical Anolis species, this technology captured thermal regimes that support the thermoregulatory needs of these species, whereas ambient air temperature methods suggested that these species would be in thermal debt. Sampling surface temperature at high resolutions across space in combination with intensive sampling of ambient temperature and informed spatial modeling should improve our understanding of the distribution of ectothermic species living within thermally heterogeneous environments.","DOI":"10.1111/btp.12355","ISSN":"1744-7429","journalAbbreviation":"Biotropica","language":"en","author":[{"family":"Scheffers","given":"Brett R."},{"family":"Edwards","given":"David P."},{"family":"Macdonald","given":"Stewart L."},{"family":"Senior","given":"Rebecca A."},{"family":"Andriamahohatra","given":"Lydou R."},{"family":"Roslan","given":"Nadiah"},{"family":"Rogers","given":"Andrew M."},{"family":"Haugaasen","given":"Torbjørn"},{"family":"Wright","given":"Patricia"},{"family":"Williams","given":"Stephen E."}],"issued":{"date-parts":[["2016",9,1]]}}}],"schema":"https://github.com/citation-style-language/schema/raw/master/csl-citation.json"} </w:instrText>
      </w:r>
      <w:r w:rsidR="00C645FF" w:rsidRPr="00CF7ED3">
        <w:fldChar w:fldCharType="separate"/>
      </w:r>
      <w:r w:rsidR="00342CFF" w:rsidRPr="00342CFF">
        <w:t xml:space="preserve">(Kaspari </w:t>
      </w:r>
      <w:r w:rsidR="00342CFF" w:rsidRPr="00342CFF">
        <w:rPr>
          <w:i/>
          <w:iCs/>
        </w:rPr>
        <w:t>et al.</w:t>
      </w:r>
      <w:r w:rsidR="00342CFF" w:rsidRPr="00342CFF">
        <w:t xml:space="preserve">, 2014; Scheffers </w:t>
      </w:r>
      <w:r w:rsidR="00342CFF" w:rsidRPr="00342CFF">
        <w:rPr>
          <w:i/>
          <w:iCs/>
        </w:rPr>
        <w:t>et al.</w:t>
      </w:r>
      <w:r w:rsidR="00342CFF" w:rsidRPr="00342CFF">
        <w:t>, 2016)</w:t>
      </w:r>
      <w:r w:rsidR="00C645FF" w:rsidRPr="00CF7ED3">
        <w:fldChar w:fldCharType="end"/>
      </w:r>
      <w:r w:rsidR="00994F7C" w:rsidRPr="00CF7ED3">
        <w:t>.</w:t>
      </w:r>
      <w:r w:rsidR="000375DA" w:rsidRPr="00CF7ED3">
        <w:t xml:space="preserve"> </w:t>
      </w:r>
    </w:p>
    <w:p w14:paraId="707E7A82" w14:textId="614FAE88" w:rsidR="00496F5D" w:rsidRDefault="00B11EF0" w:rsidP="00A234C8">
      <w:r w:rsidRPr="00CF7ED3">
        <w:t xml:space="preserve">The most informative fine-scale temperature data </w:t>
      </w:r>
      <w:r w:rsidR="009752F6" w:rsidRPr="00CF7ED3">
        <w:t xml:space="preserve">are </w:t>
      </w:r>
      <w:r w:rsidR="00385302" w:rsidRPr="00CF7ED3">
        <w:t>derive</w:t>
      </w:r>
      <w:r w:rsidR="009752F6" w:rsidRPr="00CF7ED3">
        <w:t>d</w:t>
      </w:r>
      <w:r w:rsidRPr="00CF7ED3">
        <w:t xml:space="preserve"> from highly replicated </w:t>
      </w:r>
      <w:r w:rsidR="00496F5D" w:rsidRPr="00CF7ED3">
        <w:t>point measurements</w:t>
      </w:r>
      <w:r w:rsidRPr="00CF7ED3">
        <w:t xml:space="preserve">, and demonstrate that loss of vegetation cover causes </w:t>
      </w:r>
      <w:r w:rsidR="00385302" w:rsidRPr="00CF7ED3">
        <w:t xml:space="preserve">local </w:t>
      </w:r>
      <w:r w:rsidRPr="00CF7ED3">
        <w:t xml:space="preserve">daytime warming </w:t>
      </w:r>
      <w:r w:rsidRPr="00CF7ED3">
        <w:fldChar w:fldCharType="begin"/>
      </w:r>
      <w:r w:rsidR="004E4368">
        <w:instrText xml:space="preserve"> ADDIN ZOTERO_ITEM CSL_CITATION {"citationID":"Hjx9lq1f","properties":{"formattedCitation":"{\\rtf (Senior {\\i{}et al.}, in review; Ewers &amp; Banks-Leite, 2013; Hardwick {\\i{}et al.}, 2015; Gonz\\uc0\\u225{}lez del Pliego {\\i{}et al.}, 2016)}","plainCitation":"(Senior et al., in review; Ewers &amp; Banks-Leite, 2013; Hardwick et al., 2015; González del Pliego et al., 2016)"},"citationItems":[{"id":11803,"uris":["http://zotero.org/users/1177238/items/4KRG3P6R"],"uri":["http://zotero.org/users/1177238/items/4KRG3P6R"],"itemData":{"id":11803,"type":"article-journal","title":"A pan-tropical analysis of the impacts of forest degradation and conversion on local temperature","author":[{"family":"Senior","given":"R.A."},{"family":"Hill","given":"J.K."},{"family":"González del Pliego","given":"P."},{"family":"Goode","given":"L.K."},{"family":"Edwards","given":"D.P."}],"issued":{"literal":"in review"}}},{"id":11371,"uris":["http://zotero.org/users/1177238/items/EFXVWC3P"],"uri":["http://zotero.org/users/1177238/items/EFXVWC3P"],"itemData":{"id":11371,"type":"article-journal","title":"Fragmentation Impairs the Microclimate Buffering Effect of Tropical Forests","container-title":"PLOS ONE","page":"e58093","volume":"8","issue":"3","source":"PLoS Journals","abstract":"Background  Tropical forest species are among the most sensitive to changing climatic conditions, and the forest they inhabit helps to buffer their microclimate from the variable climatic conditions outside the forest. However, habitat fragmentation and edge effects exposes vegetation to outside microclimatic conditions, thereby reducing the ability of the forest to buffer climatic variation. In this paper, we ask what proportion of forest in a fragmented ecosystem is impacted by altered microclimate conditions driven by edge effects, and extrapolate these results to the whole Atlantic Forest biome, one of the most disturbed biodiversity hotspots. To address these questions, we collected above and below ground temperature for a full year using temperature sensors placed in forest fragments of different sizes, and at different distances from the forest edge.    Principal Findings  In the Atlantic forests of Brazil, we found that the buffering effect of forests reduced maximum outside temperatures by one third or more at ground level within a forest, with the buffering effect being stronger below-ground than one metre above-ground. The temperature buffering effect of forests was, however, reduced near forest edges with the edge effect extending up to 20 m inside the forest. The heavily fragmented nature of the Brazilian Atlantic forest means that 12% of the remaining biome experiences altered microclimate conditions.    Conclusions  Our results add further information about the extent of edge effects in the Atlantic Forest, and we suggest that maintaining a low perimeter-to-area ratio may be a judicious method for minimizing the amount of forest area that experiences altered microclimatic conditions in this ecosystem.","DOI":"10.1371/journal.pone.0058093","ISSN":"1932-6203","journalAbbreviation":"PLOS ONE","author":[{"family":"Ewers","given":"Robert M."},{"family":"Banks-Leite","given":"Cristina"}],"issued":{"date-parts":[["2013",3,4]]}}},{"id":4792,"uris":["http://zotero.org/users/1177238/items/2DVDSD3Q"],"uri":["http://zotero.org/users/1177238/items/2DVDSD3Q"],"itemData":{"id":4792,"type":"article-journal","title":"The relationship between leaf area index and microclimate in tropical forest and oil palm plantation: Forest disturbance drives changes in microclimate","container-title":"Agricultural and Forest Meteorology","page":"187-195","volume":"201","source":"ScienceDirect","abstract":"Land use change is a major threat to biodiversity. One mechanism by which land use change influences biodiversity and ecological processes is through changes in the local climate. Here, the relationships between leaf area index and five climate variables – air temperature, relative humidity, vapour pressure deficit, specific humidity and soil temperature – are investigated across a range of land use types in Borneo, including primary tropical forest, logged forest and oil palm plantation. Strong correlations with the leaf area index are found for the mean daily maximum air and soil temperatures, the mean daily maximum vapour pressure deficit and the mean daily minimum relative humidity. Air beneath canopies with high leaf area index is cooler and has higher relative humidity during the day. Forest microclimate is also found to be less variable for sites with higher leaf area indices. Primary forest is found to be up to 2.5 °C cooler than logged forest and up to 6.5 °C cooler than oil palm plantations. Our results indicate that leaf area index is a useful parameter for predicting the effects of vegetation upon microclimate, which could be used to make small scale climate predictions based on remotely sensed data.","DOI":"10.1016/j.agrformet.2014.11.010","ISSN":"0168-1923","shortTitle":"The relationship between leaf area index and microclimate in tropical forest and oil palm plantation","journalAbbreviation":"Agricultural and Forest Meteorology","author":[{"family":"Hardwick","given":"Stephen R."},{"family":"Toumi","given":"Ralf"},{"family":"Pfeifer","given":"Marion"},{"family":"Turner","given":"Edgar C."},{"family":"Nilus","given":"Reuben"},{"family":"Ewers","given":"Robert M."}],"issued":{"date-parts":[["2015",2,15]]}}},{"id":11703,"uris":["http://zotero.org/users/1177238/items/BU8UPCJJ"],"uri":["http://zotero.org/users/1177238/items/BU8UPCJJ"],"itemData":{"id":11703,"type":"article-journal","title":"Thermally buffered microhabitats recovery in tropical secondary forests following land abandonment","container-title":"Biological Conservation","page":"385-395","volume":"201","source":"ScienceDirect","abstract":"Given the dramatic loss of tropical forests and accelerating climate change, secondary forest regeneration is increasingly recognised as being an important method for reversing losses in biodiversity and carbon stocks. The recolonisation of biodiversity within secondary forests depends in part upon the recovery of forest structure, including the range of microhabitats used by diverse local communities. Here, we investigate the return of critical microhabitats along a successional gradient of secondary forest in the Tropical Andes of Colombia. We measured the abundance of live (bromeliads, tree ferns and moss) and dead (deadwood and leaf litter) microhabitats across three landscapes, each encompassing primary, and young (4–18 yr old) and old secondary forests (19–35 yr old). Considering the increasing rate of climate warming in the region, we also explored whether these microhabitats provide thermally buffered microclimates. We found that secondary forests have different composition and lower complexity of microhabitats than primary forests, but microhabitats appear to be recovering towards primary forest levels. Furthermore, in all forest types, microhabitats had lower maximum temperatures and higher minimum temperatures, thereby serving as thermal buffers that reduced exposure to extreme temperatures. These benefits exist despite ambient temperatures in secondary forests surpassing those of primary forests by 1–2 °C on average. The protection of secondary forest and promotion of further forest regrowth in the Tropical Andes should represent an urgent investment for conservation, and the value of these forests for offering critical microhabitats and buffered microclimates under climate change should not be overlooked.","DOI":"10.1016/j.biocon.2016.07.038","ISSN":"0006-3207","journalAbbreviation":"Biological Conservation","author":[{"family":"González del Pliego","given":"Pamela"},{"family":"Scheffers","given":"Brett R."},{"family":"Basham","given":"Edmund W."},{"family":"Woodcock","given":"Paul"},{"family":"Wheeler","given":"Charlotte"},{"family":"Gilroy","given":"James J."},{"family":"Medina Uribe","given":"Claudia A."},{"family":"Haugaasen","given":"Torbjørn"},{"family":"Freckleton","given":"Rob P."},{"family":"Edwards","given":"David P."}],"issued":{"date-parts":[["2016",9]]}}}],"schema":"https://github.com/citation-style-language/schema/raw/master/csl-citation.json"} </w:instrText>
      </w:r>
      <w:r w:rsidRPr="00CF7ED3">
        <w:fldChar w:fldCharType="separate"/>
      </w:r>
      <w:r w:rsidR="00342CFF" w:rsidRPr="00342CFF">
        <w:t xml:space="preserve">(Senior </w:t>
      </w:r>
      <w:r w:rsidR="00342CFF" w:rsidRPr="00342CFF">
        <w:rPr>
          <w:i/>
          <w:iCs/>
        </w:rPr>
        <w:t>et al.</w:t>
      </w:r>
      <w:r w:rsidR="00342CFF" w:rsidRPr="00342CFF">
        <w:t xml:space="preserve">, in review; Ewers &amp; Banks-Leite, 2013; Hardwick </w:t>
      </w:r>
      <w:r w:rsidR="00342CFF" w:rsidRPr="00342CFF">
        <w:rPr>
          <w:i/>
          <w:iCs/>
        </w:rPr>
        <w:t>et al.</w:t>
      </w:r>
      <w:r w:rsidR="00342CFF" w:rsidRPr="00342CFF">
        <w:t xml:space="preserve">, 2015; González del Pliego </w:t>
      </w:r>
      <w:r w:rsidR="00342CFF" w:rsidRPr="00342CFF">
        <w:rPr>
          <w:i/>
          <w:iCs/>
        </w:rPr>
        <w:t>et al.</w:t>
      </w:r>
      <w:r w:rsidR="00342CFF" w:rsidRPr="00342CFF">
        <w:t>, 2016)</w:t>
      </w:r>
      <w:r w:rsidRPr="00CF7ED3">
        <w:fldChar w:fldCharType="end"/>
      </w:r>
      <w:r w:rsidRPr="00CF7ED3">
        <w:t xml:space="preserve">. </w:t>
      </w:r>
      <w:r w:rsidR="00385302" w:rsidRPr="00CF7ED3">
        <w:t>S</w:t>
      </w:r>
      <w:r w:rsidR="001E2FC4" w:rsidRPr="00CF7ED3">
        <w:t>elective logging affects vegetation</w:t>
      </w:r>
      <w:r w:rsidR="00385302" w:rsidRPr="00CF7ED3">
        <w:t xml:space="preserve"> by</w:t>
      </w:r>
      <w:r w:rsidR="001E2FC4" w:rsidRPr="00CF7ED3">
        <w:t xml:space="preserve"> lowering and thinning the canopy, reducing the number of vegetation strata, and creating large </w:t>
      </w:r>
      <w:r w:rsidR="00B52C5E">
        <w:t xml:space="preserve">forest </w:t>
      </w:r>
      <w:r w:rsidR="001E2FC4" w:rsidRPr="00CF7ED3">
        <w:t xml:space="preserve">gaps </w:t>
      </w:r>
      <w:r w:rsidR="008E39D1" w:rsidRPr="00CF7ED3">
        <w:fldChar w:fldCharType="begin"/>
      </w:r>
      <w:r w:rsidR="00342CFF">
        <w:instrText xml:space="preserve"> ADDIN ZOTERO_ITEM CSL_CITATION {"citationID":"vmet5fgd7","properties":{"formattedCitation":"{\\rtf (Okuda {\\i{}et al.}, 2003; Kumar &amp; Shahabuddin, 2005)}","plainCitation":"(Okuda et al., 2003; Kumar &amp; Shahabuddin, 2005)"},"citationItems":[{"id":1815,"uris":["http://zotero.org/users/1177238/items/VMNQ8S4I"],"uri":["http://zotero.org/users/1177238/items/VMNQ8S4I"],"itemData":{"id":1815,"type":"article-journal","title":"Effect of selective logging on canopy and stand structure and tree species composition in a lowland dipterocarp forest in peninsular Malaysia","container-title":"Forest Ecology and Management","page":"297-320","volume":"175","issue":"1–3","source":"ScienceDirect","abstract":"The authors compared tropical rain forest canopy structure and tree species composition in two forests southeast of Kuala Lumpur, Malaysia: a primary forest and a regenerating forest that was selectively logged in 1958. For each of the forests, the study plots were set out and all trees of ≥1 cm in DBH (diameter at breast height) were mapped and measured. Canopy heights were measured in the two study plots based upon aerial triangulation using aerial photographs taken over the forests in 1997. Using this data, digital elevation models of the canopy were then constructed. The mean canopy height was greater in the primary forest (27.4 m versus 24.8 m), as was the variance in height and the number of emergent canopy trees &amp;gt;40 m height. The mean canopy surface area in the primary forest was nearly 1.5 times the value in the regenerating forest, and the mean crown size of canopy layer trees in the primary forest was more than twice that in the regenerating forest. The species diversity index (Fisher’s α) differed for the two forests, indicating that tree species diversity had been affected by the logging. Both forests had the same five families with the greatest stem density (stems ha−1), but the 50 most abundant species, in terms of both stem density and basal area, differed greatly between the two forests. Stem densities and basal areas were similar, but the number of stems per hectare and the basal areas of medium-sized trees (10–30 cm in DBH) were distinctly higher in the regenerating forest. These results suggest that average basal area and stem density in the regenerating forest that had been selectively logged 41 years earlier had recovered to levels similar to those in the primary forest; however, the regenerating forest had a more monotonic canopy structure comprised of medium-sized trees growing at high density. These findings also imply that structural development takes a long time to manifest in a regenerating forest as a result of the time taken for the development of emergent and canopy trees and the formation of gaps; structural development might also be delayed by the high density of medium-sized trees in the canopy layer.","DOI":"10.1016/S0378-1127(02)00137-8","ISSN":"0378-1127","journalAbbreviation":"Forest Ecology and Management","author":[{"family":"Okuda","given":"Toshinori"},{"family":"Suzuki","given":"Mariko"},{"family":"Adachi","given":"Naoki"},{"family":"Quah","given":"Eng Seng"},{"family":"Hussein","given":"Nor Azman"},{"family":"Manokaran","given":"N"}],"issued":{"date-parts":[["2003",3,3]]}}},{"id":837,"uris":["http://zotero.org/users/1177238/items/WER2QEEH"],"uri":["http://zotero.org/users/1177238/items/WER2QEEH"],"itemData":{"id":837,"type":"article-journal","title":"Effects of biomass extraction on vegetation structure, diversity and composition of forests in Sariska Tiger Reserve, India","container-title":"Environmental Conservation","page":"248","volume":"32","issue":"03","source":"CrossRef","DOI":"10.1017/S0376892905002316","ISSN":"0376-8929, 1469-4387","language":"en","author":[{"family":"Kumar","given":"Raman"},{"family":"Shahabuddin","given":"Ghazala"}],"issued":{"date-parts":[["2005",10,5]]}}}],"schema":"https://github.com/citation-style-language/schema/raw/master/csl-citation.json"} </w:instrText>
      </w:r>
      <w:r w:rsidR="008E39D1" w:rsidRPr="00CF7ED3">
        <w:fldChar w:fldCharType="separate"/>
      </w:r>
      <w:r w:rsidR="00342CFF" w:rsidRPr="00342CFF">
        <w:t xml:space="preserve">(Okuda </w:t>
      </w:r>
      <w:r w:rsidR="00342CFF" w:rsidRPr="00342CFF">
        <w:rPr>
          <w:i/>
          <w:iCs/>
        </w:rPr>
        <w:t>et al.</w:t>
      </w:r>
      <w:r w:rsidR="00342CFF" w:rsidRPr="00342CFF">
        <w:t>, 2003; Kumar &amp; Shahabuddin, 2005)</w:t>
      </w:r>
      <w:r w:rsidR="008E39D1" w:rsidRPr="00CF7ED3">
        <w:fldChar w:fldCharType="end"/>
      </w:r>
      <w:r w:rsidR="001E2FC4" w:rsidRPr="00CF7ED3">
        <w:t>.</w:t>
      </w:r>
      <w:r w:rsidR="003C3E1B" w:rsidRPr="00CF7ED3">
        <w:t xml:space="preserve"> </w:t>
      </w:r>
      <w:r w:rsidR="00A234C8">
        <w:t xml:space="preserve">As such, the forest floor of logged forests </w:t>
      </w:r>
      <w:r w:rsidR="003E08F5">
        <w:t>likely receives</w:t>
      </w:r>
      <w:r w:rsidR="00A234C8">
        <w:t xml:space="preserve"> a greater amount of </w:t>
      </w:r>
      <w:r w:rsidR="0087199C" w:rsidRPr="00CF7ED3">
        <w:t>solar radiation, partitioned increasingly as direct rather than diffuse radiation</w:t>
      </w:r>
      <w:r w:rsidR="00095AEF" w:rsidRPr="00CF7ED3">
        <w:t xml:space="preserve"> </w:t>
      </w:r>
      <w:r w:rsidR="00095AEF" w:rsidRPr="00CF7ED3">
        <w:fldChar w:fldCharType="begin"/>
      </w:r>
      <w:r w:rsidR="00342CFF">
        <w:instrText xml:space="preserve"> ADDIN ZOTERO_ITEM CSL_CITATION {"citationID":"j7qk30vv6","properties":{"formattedCitation":"(Oke, 1987)","plainCitation":"(Oke, 1987)"},"citationItems":[{"id":6268,"uris":["http://zotero.org/users/1177238/items/TGDX7CF6"],"uri":["http://zotero.org/users/1177238/items/TGDX7CF6"],"itemData":{"id":6268,"type":"book","title":"Boundary layer climates","publisher":"Methuen","publisher-place":"London","edition":"2nd ed.","source":"Primo","event-place":"London","ISBN":"0-416-04422-0","language":"eng","author":[{"family":"Oke","given":"T. R."}],"issued":{"date-parts":[["1987"]]}}}],"schema":"https://github.com/citation-style-language/schema/raw/master/csl-citation.json"} </w:instrText>
      </w:r>
      <w:r w:rsidR="00095AEF" w:rsidRPr="00CF7ED3">
        <w:fldChar w:fldCharType="separate"/>
      </w:r>
      <w:r w:rsidR="00342CFF" w:rsidRPr="00342CFF">
        <w:t>(Oke, 1987)</w:t>
      </w:r>
      <w:r w:rsidR="00095AEF" w:rsidRPr="00CF7ED3">
        <w:fldChar w:fldCharType="end"/>
      </w:r>
      <w:r w:rsidR="00DF5159">
        <w:t xml:space="preserve">. </w:t>
      </w:r>
      <w:r w:rsidR="003E08F5">
        <w:t xml:space="preserve">The most tangible </w:t>
      </w:r>
      <w:r w:rsidR="00D30C31">
        <w:t>impact on</w:t>
      </w:r>
      <w:r w:rsidR="003E08F5">
        <w:t xml:space="preserve"> the local climate </w:t>
      </w:r>
      <w:r w:rsidR="00D30C31">
        <w:t>would be</w:t>
      </w:r>
      <w:r w:rsidR="00DF5159">
        <w:t xml:space="preserve"> </w:t>
      </w:r>
      <w:r w:rsidR="003E08F5">
        <w:t xml:space="preserve">overall </w:t>
      </w:r>
      <w:r w:rsidR="00A234C8">
        <w:t xml:space="preserve">warming </w:t>
      </w:r>
      <w:r w:rsidR="003E08F5">
        <w:t>of</w:t>
      </w:r>
      <w:r w:rsidR="00A234C8">
        <w:t xml:space="preserve"> </w:t>
      </w:r>
      <w:r w:rsidR="003E08F5">
        <w:t xml:space="preserve">logged forests, increasing the necessity for thermal buffering. Simultaneously, the potential for thermal buffering may be compromised </w:t>
      </w:r>
      <w:r w:rsidR="009B505A">
        <w:t xml:space="preserve">if structural changes also influence the temperature and distribution of cool microclimates, particularly if their temperature becomes more similar to that of the wider macroclimate </w:t>
      </w:r>
      <w:r w:rsidR="009B505A" w:rsidRPr="00CF7ED3">
        <w:t>(</w:t>
      </w:r>
      <w:r w:rsidR="009B505A">
        <w:t xml:space="preserve">e.g. </w:t>
      </w:r>
      <w:r w:rsidR="009B505A" w:rsidRPr="00CF7ED3">
        <w:fldChar w:fldCharType="begin"/>
      </w:r>
      <w:r w:rsidR="009B505A">
        <w:instrText xml:space="preserve"> ADDIN ZOTERO_ITEM CSL_CITATION {"citationID":"15gl0pa629","properties":{"formattedCitation":"{\\rtf (Caillon {\\i{}et al.}, 2014)}","plainCitation":"(Caillon et al., 2014)"},"citationItems":[{"id":1157,"uris":["http://zotero.org/users/1177238/items/IBZD3INE"],"uri":["http://zotero.org/users/1177238/items/IBZD3INE"],"itemData":{"id":1157,"type":"article-journal","title":"Warming decreases thermal heterogeneity of leaf surfaces: implications for behavioural thermoregulation by arthropods","container-title":"Functional Ecology","page":"1449-1458","volume":"28","issue":"6","source":"Wiley Online Library","abstract":"* Ectotherms rely heavily on the spatial variance of environmental conditions to thermoregulate. Theoretically, their fitness is maximized when they can find suitable microhabitats by moving over short distances – this condition is met when spatial variance is high at fine spatial scales. Strikingly, despite the diversity of organisms living in leaf microhabitats, little is known about the impact of warming on the spatial variance of climatic conditions at the scale of individual leaf surfaces.\n\n\n* Here, we used experimental manipulation of ambient conditions to quantify the effects of environmental change on the thermal heterogeneity within individual leaf surfaces. We also explored the implications for behavioural thermoregulation by arthropods at a single leaf surface.\n\n\n* Using thermography, we characterized the apple leaf microclimate in terms of span and spatial aggregation of surface temperatures across a range of air temperatures and relative humidities. Then, we assessed how thermal heterogeneity within individual leaves affected behavioural thermoregulation by the two-spotted spider mite (Tetranychus urticae Koch) under both near-optimal and sublethal conditions in this microhabitat. We measured the upper lethal temperature threshold of the mite to define sublethal exposure.\n\n\n* Thermal heterogeneity of individual leaves was driven mainly by ambient air temperature. Higher air temperatures gave both smaller ranges and higher spatial aggregation of temperatures at the leaf surface, such that the leaf microclimate was homogenized.\n\n\n* Tetranychus urticae used behavioural thermoregulation at moderate air temperature, when thermal heterogeneity was high at the leaf surface. At higher air temperature, however, heterogeneity declined and spider mites did not perform behavioural thermoregulation.\n\n\n* Warming decreases thermal heterogeneity of leaf surfaces with critical implications for arthropods – behavioural thermoregulation alone is not sufficient to escape the heat in the leaf microhabitat. Information on spatial variance of microclimatic conditions is critical for estimating how readily organisms can buffer global warming by moving.","DOI":"10.1111/1365-2435.12288","ISSN":"1365-2435","shortTitle":"Warming decreases thermal heterogeneity of leaf surfaces","journalAbbreviation":"Funct Ecol","language":"en","author":[{"family":"Caillon","given":"Robin"},{"family":"Suppo","given":"Christelle"},{"family":"Casas","given":"Jérôme"},{"family":"Arthur Woods","given":"H."},{"family":"Pincebourde","given":"Sylvain"}],"issued":{"date-parts":[["2014",12,1]]}}}],"schema":"https://github.com/citation-style-language/schema/raw/master/csl-citation.json"} </w:instrText>
      </w:r>
      <w:r w:rsidR="009B505A" w:rsidRPr="00CF7ED3">
        <w:fldChar w:fldCharType="separate"/>
      </w:r>
      <w:r w:rsidR="009B505A" w:rsidRPr="00342CFF">
        <w:t xml:space="preserve">Caillon </w:t>
      </w:r>
      <w:r w:rsidR="009B505A" w:rsidRPr="00342CFF">
        <w:rPr>
          <w:i/>
          <w:iCs/>
        </w:rPr>
        <w:t>et al.</w:t>
      </w:r>
      <w:r w:rsidR="009B505A" w:rsidRPr="00342CFF">
        <w:t>, 2014)</w:t>
      </w:r>
      <w:r w:rsidR="009B505A" w:rsidRPr="00CF7ED3">
        <w:fldChar w:fldCharType="end"/>
      </w:r>
      <w:r w:rsidR="009B505A">
        <w:t xml:space="preserve">, or there are simply fewer cool microclimates available overall. Previous evidence suggests that </w:t>
      </w:r>
      <w:r w:rsidR="001E2FC4" w:rsidRPr="00CF7ED3">
        <w:t xml:space="preserve">the availability of </w:t>
      </w:r>
      <w:r w:rsidR="009B505A">
        <w:t>cool ‘</w:t>
      </w:r>
      <w:r w:rsidR="001E2FC4" w:rsidRPr="00CF7ED3">
        <w:t>microhabitats</w:t>
      </w:r>
      <w:r w:rsidR="009B505A">
        <w:t xml:space="preserve">’ (localised environments within which cool microclimates are contained; </w:t>
      </w:r>
      <w:r w:rsidR="009B505A">
        <w:fldChar w:fldCharType="begin"/>
      </w:r>
      <w:r w:rsidR="009B505A">
        <w:instrText xml:space="preserve"> ADDIN ZOTERO_ITEM CSL_CITATION {"citationID":"uXJsFtrK","properties":{"formattedCitation":"{\\rtf (Scheffers {\\i{}et al.}, 2014a; Gonz\\uc0\\u225{}lez del Pliego {\\i{}et al.}, 2016; Shi {\\i{}et al.}, 2016)}","plainCitation":"(Scheffers et al., 2014a; González del Pliego et al., 2016; Shi et al., 2016)"},"citationItems":[{"id":11357,"uris":["http://zotero.org/users/1177238/items/6BXI9VWV"],"uri":["http://zotero.org/users/1177238/items/6BXI9VWV"],"itemData":{"id":11357,"type":"article-journal","title":"Microhabitats reduce animal's exposure to climate extremes","container-title":"Global Change Biology","page":"495-503","volume":"20","issue":"2","DOI":"10.1111/gcb.12439","ISSN":"1365-2486","journalAbbreviation":"Glob Change Biol","author":[{"family":"Scheffers","given":"Brett R."},{"family":"Edwards","given":"David P."},{"family":"Diesmos","given":"Arvin"},{"family":"Williams","given":"Stephen E."},{"family":"Evans","given":"Theodore A."}],"issued":{"date-parts":[["2014",2,1]]}}},{"id":11703,"uris":["http://zotero.org/users/1177238/items/BU8UPCJJ"],"uri":["http://zotero.org/users/1177238/items/BU8UPCJJ"],"itemData":{"id":11703,"type":"article-journal","title":"Thermally buffered microhabitats recovery in tropical secondary forests following land abandonment","container-title":"Biological Conservation","page":"385-395","volume":"201","source":"ScienceDirect","abstract":"Given the dramatic loss of tropical forests and accelerating climate change, secondary forest regeneration is increasingly recognised as being an important method for reversing losses in biodiversity and carbon stocks. The recolonisation of biodiversity within secondary forests depends in part upon the recovery of forest structure, including the range of microhabitats used by diverse local communities. Here, we investigate the return of critical microhabitats along a successional gradient of secondary forest in the Tropical Andes of Colombia. We measured the abundance of live (bromeliads, tree ferns and moss) and dead (deadwood and leaf litter) microhabitats across three landscapes, each encompassing primary, and young (4–18 yr old) and old secondary forests (19–35 yr old). Considering the increasing rate of climate warming in the region, we also explored whether these microhabitats provide thermally buffered microclimates. We found that secondary forests have different composition and lower complexity of microhabitats than primary forests, but microhabitats appear to be recovering towards primary forest levels. Furthermore, in all forest types, microhabitats had lower maximum temperatures and higher minimum temperatures, thereby serving as thermal buffers that reduced exposure to extreme temperatures. These benefits exist despite ambient temperatures in secondary forests surpassing those of primary forests by 1–2 °C on average. The protection of secondary forest and promotion of further forest regrowth in the Tropical Andes should represent an urgent investment for conservation, and the value of these forests for offering critical microhabitats and buffered microclimates under climate change should not be overlooked.","DOI":"10.1016/j.biocon.2016.07.038","ISSN":"0006-3207","journalAbbreviation":"Biological Conservation","author":[{"family":"González del Pliego","given":"Pamela"},{"family":"Scheffers","given":"Brett R."},{"family":"Basham","given":"Edmund W."},{"family":"Woodcock","given":"Paul"},{"family":"Wheeler","given":"Charlotte"},{"family":"Gilroy","given":"James J."},{"family":"Medina Uribe","given":"Claudia A."},{"family":"Haugaasen","given":"Torbjørn"},{"family":"Freckleton","given":"Rob P."},{"family":"Edwards","given":"David P."}],"issued":{"date-parts":[["2016",9]]}}},{"id":12302,"uris":["http://zotero.org/users/1177238/items/GE8C7QVX"],"uri":["http://zotero.org/users/1177238/items/GE8C7QVX"],"itemData":{"id":12302,"type":"article-journal","title":"A framework for quantifying the thermal buffering effect of microhabitats","container-title":"Biological Conservation","page":"175-180","volume":"204, Part B","source":"ScienceDirect","abstract":"The importance of microhabitat, a localized environment with a microclimate that is distinct from the regional climate, is increasingly recognized in ecological conservation planning. Although there is a growing body of literature on microhabitats and the thermal buffering effect (the difference between temperatures within and outside of a microhabitat), uncertainties remain in quantifying this effect due to variation among microhabitats and the species that use them. Here, we review studies on thermal buffering in various microhabitats, and outline a framework for the quantification of the thermal buffering effect. Our framework emphasizes the importance of clearly defining ambient temperature and other temperature metrics used in quantifying the thermal buffering effect, as well as the spatial and temporal scales of investigation. We believe a suitable framework can help to reduce the uncertainties in quantifying the thermal buffering of microhabitats and assessing the vulnerability of species to regional climate changes.","DOI":"10.1016/j.biocon.2016.11.006","ISSN":"0006-3207","journalAbbreviation":"Biological Conservation","author":[{"family":"Shi","given":"Haijing"},{"family":"Wen","given":"Zhongming"},{"family":"Paull","given":"David"},{"family":"Guo","given":"Minghang"}],"issued":{"date-parts":[["2016",12]]}}}],"schema":"https://github.com/citation-style-language/schema/raw/master/csl-citation.json"} </w:instrText>
      </w:r>
      <w:r w:rsidR="009B505A">
        <w:fldChar w:fldCharType="separate"/>
      </w:r>
      <w:r w:rsidR="009B505A" w:rsidRPr="009B505A">
        <w:t xml:space="preserve">(Scheffers </w:t>
      </w:r>
      <w:r w:rsidR="009B505A" w:rsidRPr="009B505A">
        <w:rPr>
          <w:i/>
          <w:iCs/>
        </w:rPr>
        <w:t>et al.</w:t>
      </w:r>
      <w:r w:rsidR="009B505A" w:rsidRPr="009B505A">
        <w:t xml:space="preserve">, 2014a; González del Pliego </w:t>
      </w:r>
      <w:r w:rsidR="009B505A" w:rsidRPr="009B505A">
        <w:rPr>
          <w:i/>
          <w:iCs/>
        </w:rPr>
        <w:t>et al.</w:t>
      </w:r>
      <w:r w:rsidR="009B505A" w:rsidRPr="009B505A">
        <w:t xml:space="preserve">, 2016; Shi </w:t>
      </w:r>
      <w:r w:rsidR="009B505A" w:rsidRPr="009B505A">
        <w:rPr>
          <w:i/>
          <w:iCs/>
        </w:rPr>
        <w:t>et al.</w:t>
      </w:r>
      <w:r w:rsidR="009B505A" w:rsidRPr="009B505A">
        <w:t>, 2016)</w:t>
      </w:r>
      <w:r w:rsidR="009B505A">
        <w:fldChar w:fldCharType="end"/>
      </w:r>
      <w:r w:rsidR="009B505A">
        <w:t xml:space="preserve"> </w:t>
      </w:r>
      <w:r w:rsidR="00AF498B" w:rsidRPr="00CF7ED3">
        <w:t>can be</w:t>
      </w:r>
      <w:r w:rsidR="001E2FC4" w:rsidRPr="00CF7ED3">
        <w:t xml:space="preserve"> reduced (e.g., leaf litter;</w:t>
      </w:r>
      <w:r w:rsidR="001F3A7A">
        <w:fldChar w:fldCharType="begin"/>
      </w:r>
      <w:r w:rsidR="001F3A7A">
        <w:instrText xml:space="preserve"> ADDIN ZOTERO_ITEM CSL_CITATION {"citationID":"207adr0r8q","properties":{"formattedCitation":"{\\rtf (Saner {\\i{}et al.}, 2009)}","plainCitation":"(Saner et al., 2009)"},"citationItems":[{"id":1902,"uris":["http://zotero.org/users/1177238/items/AICPKP74"],"uri":["http://zotero.org/users/1177238/items/AICPKP74"],"itemData":{"id":1902,"type":"article-journal","title":"Reduced soil respiration in gaps in logged lowland dipterocarp forests","container-title":"Forest Ecology and Management","page":"2007-2012","volume":"258","issue":"9","source":"ScienceDirect","abstract":"We studied the effects of forest composition and structure, and related biotic and abiotic factors on soil respiration rates in a tropical logged forest in Malaysian Borneo. Forest stands were classified into gap, pioneer, non-pioneer and mixed (pioneer, non-pioneer and unclassified trees) based on the species composition of trees &amp;gt;10 cm diameter breast height. Soil respiration rates did not differ significantly between non-gap sites (1290 ± 210 mg CO2 m−2 h−1) but were double those in gap sites (640 ± 130 mg CO2 m−2 h−1). Post hoc analyses found that an increase in soil temperature and a decrease in litterfall and fine root biomass explained 72% of the difference between gap and non-gap sites. The significant decrease of soil respiration rates in gaps, irrespective of day or night time, suggests that autotrophic respiration may be an important contributor to total soil respiration in logged forests. We conclude that biosphere-atmosphere carbon exchange models in tropical systems should incorporate gap frequency and that future research in tropical forest should emphasize the contribution of autotrophic respiration to total soil respiration.","DOI":"10.1016/j.foreco.2009.07.048","ISSN":"0378-1127","journalAbbreviation":"Forest Ecology and Management","author":[{"family":"Saner","given":"Philippe"},{"family":"Lim","given":"Robin"},{"family":"Burla","given":"Bo"},{"family":"Ong","given":"Robert C."},{"family":"Scherer-Lorenzen","given":"Michael"},{"family":"Hector","given":"Andy"}],"issued":{"date-parts":[["2009",10,10]]}}}],"schema":"https://github.com/citation-style-language/schema/raw/master/csl-citation.json"} </w:instrText>
      </w:r>
      <w:r w:rsidR="001F3A7A">
        <w:fldChar w:fldCharType="separate"/>
      </w:r>
      <w:r w:rsidR="001F3A7A">
        <w:t xml:space="preserve"> </w:t>
      </w:r>
      <w:r w:rsidR="001F3A7A" w:rsidRPr="001F3A7A">
        <w:t xml:space="preserve">Saner </w:t>
      </w:r>
      <w:r w:rsidR="001F3A7A" w:rsidRPr="001F3A7A">
        <w:rPr>
          <w:i/>
          <w:iCs/>
        </w:rPr>
        <w:t>et al.</w:t>
      </w:r>
      <w:r w:rsidR="001F3A7A" w:rsidRPr="001F3A7A">
        <w:t>, 2009)</w:t>
      </w:r>
      <w:r w:rsidR="001F3A7A">
        <w:fldChar w:fldCharType="end"/>
      </w:r>
      <w:r w:rsidR="00AA01EA" w:rsidRPr="00CF7ED3">
        <w:t xml:space="preserve"> or increased (e.g., deadwood; </w:t>
      </w:r>
      <w:r w:rsidR="00AA01EA" w:rsidRPr="00CF7ED3">
        <w:fldChar w:fldCharType="begin"/>
      </w:r>
      <w:r w:rsidR="00342CFF">
        <w:instrText xml:space="preserve"> ADDIN ZOTERO_ITEM CSL_CITATION {"citationID":"168npdum0k","properties":{"formattedCitation":"{\\rtf (Carlson {\\i{}et al.}, 2016)}","plainCitation":"(Carlson et al., 2016)"},"citationItems":[{"id":11693,"uris":["http://zotero.org/users/1177238/items/U5UANTX2"],"uri":["http://zotero.org/users/1177238/items/U5UANTX2"],"itemData":{"id":11693,"type":"article-journal","title":"Deadwood stocks increase with selective logging and large tree frequency in Gabon","container-title":"Global Change Biology","page":"n/a-n/a","source":"Wiley Online Library","abstract":"Deadwood is a major component of aboveground biomass (AGB) in tropical forests and is important as habitat and for nutrient cycling and carbon storage. With deforestation and degradation taking place throughout the tropics, improved understanding of the magnitude and spatial variation in deadwood is vital for the development of regional and global carbon budgets. However, this potentially important carbon pool is poorly quantified in Afrotropical forests and the regional drivers of deadwood stocks are unknown. In the first large-scale study of deadwood in Central Africa, we quantified stocks in 47 forest sites across Gabon and evaluated the effects of disturbance (logging), forest structure variables (live AGB, wood density, abundance of large trees), and abiotic variables (temperature, precipitation, seasonality). Average deadwood stocks (measured as necromass, the biomass of deadwood) were 65 Mg ha−1, or 23% of live AGB. Deadwood stocks varied spatially with disturbance and forest structure, but not abiotic variables. Deadwood stocks increased significantly with logging (+38 Mg ha−1) and the abundance of large trees (+2.4 Mg ha−1 for every tree &gt;60 cm dbh). Gabon holds 0.74 Pg C, or 21% of total aboveground carbon in deadwood, a three-fold increase over previous estimates. Importantly, deadwood densities in Gabon are comparable to those in the Neotropics and respond similarly to logging, but represent a lower proportion of live AGB (median of 18% in Gabon compared to 26% in the Neotropics). In forest carbon accounting, necromass is often assumed to be a constant proportion (9%) of biomass, but in humid tropical forests this ratio varies from 2% in undisturbed forest to 300% in logged forest. Because logging significantly increases the deadwood carbon pool, estimates of tropical forest carbon should at a minimum use different ratios for logged (mean of 30%) and unlogged forests (mean of 18%). This article is protected by copyright. All rights reserved","DOI":"10.1111/gcb.13453","ISSN":"1365-2486","journalAbbreviation":"Glob Change Biol","language":"en","author":[{"family":"Carlson","given":"Ben S."},{"family":"Koerner","given":"Sally E."},{"family":"Medjibe","given":"Vincent P."},{"family":"White","given":"L. J. T."},{"family":"Poulsen","given":"John R."}],"issued":{"date-parts":[["2016",8,1]]}}}],"schema":"https://github.com/citation-style-language/schema/raw/master/csl-citation.json"} </w:instrText>
      </w:r>
      <w:r w:rsidR="00AA01EA" w:rsidRPr="00CF7ED3">
        <w:fldChar w:fldCharType="separate"/>
      </w:r>
      <w:r w:rsidR="00342CFF" w:rsidRPr="00342CFF">
        <w:t xml:space="preserve">Carlson </w:t>
      </w:r>
      <w:r w:rsidR="00342CFF" w:rsidRPr="00342CFF">
        <w:rPr>
          <w:i/>
          <w:iCs/>
        </w:rPr>
        <w:t>et al.</w:t>
      </w:r>
      <w:r w:rsidR="00342CFF" w:rsidRPr="00342CFF">
        <w:t>, 2016)</w:t>
      </w:r>
      <w:r w:rsidR="00AA01EA" w:rsidRPr="00CF7ED3">
        <w:fldChar w:fldCharType="end"/>
      </w:r>
      <w:r w:rsidR="00AA01EA" w:rsidRPr="00CF7ED3">
        <w:t xml:space="preserve"> </w:t>
      </w:r>
      <w:r w:rsidR="00912712" w:rsidRPr="00CF7ED3">
        <w:t>by selective logging</w:t>
      </w:r>
      <w:r w:rsidR="00B52C5E">
        <w:t xml:space="preserve">, </w:t>
      </w:r>
      <w:r w:rsidR="00D90BC0">
        <w:t xml:space="preserve">implying </w:t>
      </w:r>
      <w:r w:rsidR="00B52C5E">
        <w:t xml:space="preserve">that forest disturbance </w:t>
      </w:r>
      <w:r w:rsidR="00D90BC0">
        <w:t xml:space="preserve">does alter </w:t>
      </w:r>
      <w:r w:rsidR="00B52C5E">
        <w:t>thermal environments</w:t>
      </w:r>
      <w:r w:rsidR="001E2FC4" w:rsidRPr="00CF7ED3">
        <w:t xml:space="preserve">. </w:t>
      </w:r>
    </w:p>
    <w:p w14:paraId="052EE669" w14:textId="7512D461" w:rsidR="003827EC" w:rsidRPr="00CF7ED3" w:rsidRDefault="004E4368" w:rsidP="004A5FA2">
      <w:r>
        <w:t xml:space="preserve">A key novel question that we address in this paper is whether vegetation change following commercial selective logging reduces the potential for thermal buffering. </w:t>
      </w:r>
      <w:r w:rsidR="00CD6ED9">
        <w:t>W</w:t>
      </w:r>
      <w:r>
        <w:t>e focus</w:t>
      </w:r>
      <w:r w:rsidR="00545306">
        <w:t>ed</w:t>
      </w:r>
      <w:r>
        <w:t xml:space="preserve"> on </w:t>
      </w:r>
      <w:r w:rsidR="00541C03">
        <w:t xml:space="preserve">cool microclimates </w:t>
      </w:r>
      <w:r w:rsidR="005B7B34">
        <w:t xml:space="preserve">in the understorey </w:t>
      </w:r>
      <w:r w:rsidR="00CD6ED9">
        <w:t xml:space="preserve">only </w:t>
      </w:r>
      <w:r w:rsidR="00541C03">
        <w:t>(climate at 10</w:t>
      </w:r>
      <w:r w:rsidR="00541C03">
        <w:rPr>
          <w:vertAlign w:val="superscript"/>
        </w:rPr>
        <w:t>-3</w:t>
      </w:r>
      <w:r w:rsidR="00541C03">
        <w:t xml:space="preserve"> to 10</w:t>
      </w:r>
      <w:r w:rsidR="00541C03">
        <w:rPr>
          <w:vertAlign w:val="superscript"/>
        </w:rPr>
        <w:t>-1</w:t>
      </w:r>
      <w:r w:rsidR="00541C03">
        <w:t xml:space="preserve"> m scale that is</w:t>
      </w:r>
      <w:r w:rsidR="00426D14">
        <w:t xml:space="preserve"> cooler than the macroclimate</w:t>
      </w:r>
      <w:r w:rsidR="005B7B34">
        <w:t xml:space="preserve"> and located within 2 m of the forest floor</w:t>
      </w:r>
      <w:r w:rsidR="00426D14">
        <w:t>)</w:t>
      </w:r>
      <w:r w:rsidR="00091A9C">
        <w:t>.</w:t>
      </w:r>
      <w:r w:rsidR="00545306">
        <w:t xml:space="preserve"> Microclimates on the</w:t>
      </w:r>
      <w:r w:rsidR="002D2264">
        <w:t xml:space="preserve"> </w:t>
      </w:r>
      <w:r w:rsidR="00545306">
        <w:t xml:space="preserve">surface </w:t>
      </w:r>
      <w:r w:rsidR="00BF0594">
        <w:t xml:space="preserve">of the forest floor </w:t>
      </w:r>
      <w:r w:rsidR="00545306">
        <w:t>we</w:t>
      </w:r>
      <w:r w:rsidR="00BF0594">
        <w:t xml:space="preserve">re captured by a thermal camera, </w:t>
      </w:r>
      <w:r w:rsidR="00CD6ED9">
        <w:t>while</w:t>
      </w:r>
      <w:r w:rsidR="00BF0594">
        <w:t xml:space="preserve"> </w:t>
      </w:r>
      <w:r w:rsidR="009B4EBF">
        <w:t>datalogger</w:t>
      </w:r>
      <w:r w:rsidR="00BF0594">
        <w:t>s were used to capture microclimates</w:t>
      </w:r>
      <w:r w:rsidR="00545306">
        <w:t xml:space="preserve"> </w:t>
      </w:r>
      <w:r w:rsidR="00BF0594">
        <w:t xml:space="preserve">within cool </w:t>
      </w:r>
      <w:r w:rsidR="00CD6ED9">
        <w:t xml:space="preserve">understorey </w:t>
      </w:r>
      <w:r w:rsidR="00BF0594">
        <w:t>microhabitats</w:t>
      </w:r>
      <w:r w:rsidR="00545306">
        <w:t>: leaf litter, tree holes and deadwood (</w:t>
      </w:r>
      <w:r w:rsidR="00545306" w:rsidRPr="00CF7ED3">
        <w:fldChar w:fldCharType="begin"/>
      </w:r>
      <w:r w:rsidR="00426D14">
        <w:instrText xml:space="preserve"> ADDIN ZOTERO_ITEM CSL_CITATION {"citationID":"5cFcLVgK","properties":{"formattedCitation":"{\\rtf (Scheffers {\\i{}et al.}, 2014a, 2014b; Gonz\\uc0\\u225{}lez del Pliego {\\i{}et al.}, 2016)}","plainCitation":"(Scheffers et al., 2014a, 2014b; González del Pliego et al., 2016)"},"citationItems":[{"id":11357,"uris":["http://zotero.org/users/1177238/items/6BXI9VWV"],"uri":["http://zotero.org/users/1177238/items/6BXI9VWV"],"itemData":{"id":11357,"type":"article-journal","title":"Microhabitats reduce animal's exposure to climate extremes","container-title":"Global Change Biology","page":"495-503","volume":"20","issue":"2","DOI":"10.1111/gcb.12439","ISSN":"1365-2486","journalAbbreviation":"Glob Change Biol","author":[{"family":"Scheffers","given":"Brett R."},{"family":"Edwards","given":"David P."},{"family":"Diesmos","given":"Arvin"},{"family":"Williams","given":"Stephen E."},{"family":"Evans","given":"Theodore A."}],"issued":{"date-parts":[["2014",2,1]]}}},{"id":5896,"uris":["http://zotero.org/users/1177238/items/7KR242KQ"],"uri":["http://zotero.org/users/1177238/items/7KR242KQ"],"itemData":{"id":5896,"type":"article-journal","title":"Microhabitats in the tropics buffer temperature in a globally coherent manner","container-title":"Biology Letters","page":"20140819","volume":"10","issue":"12","source":"rsbl.royalsocietypublishing.org","abstract":"Vegetated habitats contain a variety of fine-scale features that can ameliorate temperate extremes. These buffered microhabitats may be used by species to evade extreme weather and novel climates in the future. Yet, the magnitude and extent of this buffering on a global scale remains unknown. Across all tropical continents and using 36 published studies, we assessed temperature buffering from within microhabitats across various habitat strata and structures (e.g. soil, logs, epiphytes and tree holes) and compared them to non-buffered macro-scale ambient temperatures (the thermal control). Microhabitats buffered temperature by 3.9°C and reduced maximum temperatures by 3.5°C. Buffering was most pronounced in tropical lowlands where temperatures were most variable. With the expected increase in extreme weather events, microhabitats should provide species with a local layer of protection that is not captured by traditional climate assessments, which are typically derived from macro-scale temperatures (e.g. satellites). Our data illustrate the need for a next generation of predictive models that account for species' ability to move within microhabitats to exploit favourable buffered microclimates.","DOI":"10.1098/rsbl.2014.0819","ISSN":"1744-9561, 1744-957X","note":"PMID: 25540160","language":"en","author":[{"family":"Scheffers","given":"Brett R."},{"family":"Evans","given":"Theodore A."},{"family":"Williams","given":"Stephen E."},{"family":"Edwards","given":"David P."}],"issued":{"date-parts":[["2014",12,1]]}}},{"id":11703,"uris":["http://zotero.org/users/1177238/items/BU8UPCJJ"],"uri":["http://zotero.org/users/1177238/items/BU8UPCJJ"],"itemData":{"id":11703,"type":"article-journal","title":"Thermally buffered microhabitats recovery in tropical secondary forests following land abandonment","container-title":"Biological Conservation","page":"385-395","volume":"201","source":"ScienceDirect","abstract":"Given the dramatic loss of tropical forests and accelerating climate change, secondary forest regeneration is increasingly recognised as being an important method for reversing losses in biodiversity and carbon stocks. The recolonisation of biodiversity within secondary forests depends in part upon the recovery of forest structure, including the range of microhabitats used by diverse local communities. Here, we investigate the return of critical microhabitats along a successional gradient of secondary forest in the Tropical Andes of Colombia. We measured the abundance of live (bromeliads, tree ferns and moss) and dead (deadwood and leaf litter) microhabitats across three landscapes, each encompassing primary, and young (4–18 yr old) and old secondary forests (19–35 yr old). Considering the increasing rate of climate warming in the region, we also explored whether these microhabitats provide thermally buffered microclimates. We found that secondary forests have different composition and lower complexity of microhabitats than primary forests, but microhabitats appear to be recovering towards primary forest levels. Furthermore, in all forest types, microhabitats had lower maximum temperatures and higher minimum temperatures, thereby serving as thermal buffers that reduced exposure to extreme temperatures. These benefits exist despite ambient temperatures in secondary forests surpassing those of primary forests by 1–2 °C on average. The protection of secondary forest and promotion of further forest regrowth in the Tropical Andes should represent an urgent investment for conservation, and the value of these forests for offering critical microhabitats and buffered microclimates under climate change should not be overlooked.","DOI":"10.1016/j.biocon.2016.07.038","ISSN":"0006-3207","journalAbbreviation":"Biological Conservation","author":[{"family":"González del Pliego","given":"Pamela"},{"family":"Scheffers","given":"Brett R."},{"family":"Basham","given":"Edmund W."},{"family":"Woodcock","given":"Paul"},{"family":"Wheeler","given":"Charlotte"},{"family":"Gilroy","given":"James J."},{"family":"Medina Uribe","given":"Claudia A."},{"family":"Haugaasen","given":"Torbjørn"},{"family":"Freckleton","given":"Rob P."},{"family":"Edwards","given":"David P."}],"issued":{"date-parts":[["2016",9]]}}}],"schema":"https://github.com/citation-style-language/schema/raw/master/csl-citation.json"} </w:instrText>
      </w:r>
      <w:r w:rsidR="00545306" w:rsidRPr="00CF7ED3">
        <w:fldChar w:fldCharType="separate"/>
      </w:r>
      <w:r w:rsidR="00545306" w:rsidRPr="00342CFF">
        <w:t xml:space="preserve">Scheffers </w:t>
      </w:r>
      <w:r w:rsidR="00545306" w:rsidRPr="00342CFF">
        <w:rPr>
          <w:i/>
          <w:iCs/>
        </w:rPr>
        <w:t>et al.</w:t>
      </w:r>
      <w:r w:rsidR="00545306" w:rsidRPr="00342CFF">
        <w:t xml:space="preserve">, 2014a, 2014b; González del Pliego </w:t>
      </w:r>
      <w:r w:rsidR="00545306" w:rsidRPr="00342CFF">
        <w:rPr>
          <w:i/>
          <w:iCs/>
        </w:rPr>
        <w:t>et al.</w:t>
      </w:r>
      <w:r w:rsidR="00545306" w:rsidRPr="00342CFF">
        <w:t>, 2016)</w:t>
      </w:r>
      <w:r w:rsidR="00545306" w:rsidRPr="00CF7ED3">
        <w:fldChar w:fldCharType="end"/>
      </w:r>
      <w:r w:rsidR="00545306" w:rsidRPr="00CF7ED3">
        <w:t>.</w:t>
      </w:r>
      <w:r w:rsidR="00091A9C">
        <w:t xml:space="preserve"> We determine</w:t>
      </w:r>
      <w:r w:rsidR="00545306">
        <w:t>d</w:t>
      </w:r>
      <w:r w:rsidR="00091A9C">
        <w:t xml:space="preserve"> thermal </w:t>
      </w:r>
      <w:r w:rsidR="00426D14">
        <w:t>buffering potential according to</w:t>
      </w:r>
      <w:r w:rsidR="00091A9C">
        <w:t>: (1) the microclimate temperature relative to that of the macroclimate; and (2) the availability of microclimates</w:t>
      </w:r>
      <w:r w:rsidR="003107BB">
        <w:t xml:space="preserve"> in space</w:t>
      </w:r>
      <w:r w:rsidR="00091A9C">
        <w:t xml:space="preserve">. The former is </w:t>
      </w:r>
      <w:r w:rsidR="009817CD">
        <w:t>roughly a measure of microclimate ‘quality’</w:t>
      </w:r>
      <w:r w:rsidR="00426D14">
        <w:t xml:space="preserve"> – </w:t>
      </w:r>
      <w:r w:rsidR="009817CD">
        <w:t xml:space="preserve">assuming an organism can move into the microclimate, how effectively will it be buffered from macroclimate warming? The latter </w:t>
      </w:r>
      <w:r w:rsidR="00545306">
        <w:t xml:space="preserve">captures the </w:t>
      </w:r>
      <w:r w:rsidR="00426D14">
        <w:t xml:space="preserve">likelihood that organisms can locate </w:t>
      </w:r>
      <w:r w:rsidR="00CD6ED9">
        <w:t xml:space="preserve">and move into </w:t>
      </w:r>
      <w:r w:rsidR="00426D14">
        <w:t xml:space="preserve">microclimates, according to </w:t>
      </w:r>
      <w:r w:rsidR="004940AF">
        <w:t xml:space="preserve">their </w:t>
      </w:r>
      <w:r w:rsidR="00426D14">
        <w:t xml:space="preserve">occurrence and configuration </w:t>
      </w:r>
      <w:r w:rsidR="00BF0594">
        <w:t xml:space="preserve">within </w:t>
      </w:r>
      <w:r w:rsidR="00CD6ED9">
        <w:t>the</w:t>
      </w:r>
      <w:r w:rsidR="00BF0594">
        <w:t xml:space="preserve"> </w:t>
      </w:r>
      <w:r w:rsidR="00CD6ED9">
        <w:t xml:space="preserve">habitat </w:t>
      </w:r>
      <w:r w:rsidR="00426D14">
        <w:fldChar w:fldCharType="begin"/>
      </w:r>
      <w:r w:rsidR="00426D14">
        <w:instrText xml:space="preserve"> ADDIN ZOTERO_ITEM CSL_CITATION {"citationID":"avkacu0shi","properties":{"formattedCitation":"{\\rtf (Caillon {\\i{}et al.}, 2014)}","plainCitation":"(Caillon et al., 2014)"},"citationItems":[{"id":1157,"uris":["http://zotero.org/users/1177238/items/IBZD3INE"],"uri":["http://zotero.org/users/1177238/items/IBZD3INE"],"itemData":{"id":1157,"type":"article-journal","title":"Warming decreases thermal heterogeneity of leaf surfaces: implications for behavioural thermoregulation by arthropods","container-title":"Functional Ecology","page":"1449-1458","volume":"28","issue":"6","source":"Wiley Online Library","abstract":"* Ectotherms rely heavily on the spatial variance of environmental conditions to thermoregulate. Theoretically, their fitness is maximized when they can find suitable microhabitats by moving over short distances – this condition is met when spatial variance is high at fine spatial scales. Strikingly, despite the diversity of organisms living in leaf microhabitats, little is known about the impact of warming on the spatial variance of climatic conditions at the scale of individual leaf surfaces.\n\n\n* Here, we used experimental manipulation of ambient conditions to quantify the effects of environmental change on the thermal heterogeneity within individual leaf surfaces. We also explored the implications for behavioural thermoregulation by arthropods at a single leaf surface.\n\n\n* Using thermography, we characterized the apple leaf microclimate in terms of span and spatial aggregation of surface temperatures across a range of air temperatures and relative humidities. Then, we assessed how thermal heterogeneity within individual leaves affected behavioural thermoregulation by the two-spotted spider mite (Tetranychus urticae Koch) under both near-optimal and sublethal conditions in this microhabitat. We measured the upper lethal temperature threshold of the mite to define sublethal exposure.\n\n\n* Thermal heterogeneity of individual leaves was driven mainly by ambient air temperature. Higher air temperatures gave both smaller ranges and higher spatial aggregation of temperatures at the leaf surface, such that the leaf microclimate was homogenized.\n\n\n* Tetranychus urticae used behavioural thermoregulation at moderate air temperature, when thermal heterogeneity was high at the leaf surface. At higher air temperature, however, heterogeneity declined and spider mites did not perform behavioural thermoregulation.\n\n\n* Warming decreases thermal heterogeneity of leaf surfaces with critical implications for arthropods – behavioural thermoregulation alone is not sufficient to escape the heat in the leaf microhabitat. Information on spatial variance of microclimatic conditions is critical for estimating how readily organisms can buffer global warming by moving.","DOI":"10.1111/1365-2435.12288","ISSN":"1365-2435","shortTitle":"Warming decreases thermal heterogeneity of leaf surfaces","journalAbbreviation":"Funct Ecol","language":"en","author":[{"family":"Caillon","given":"Robin"},{"family":"Suppo","given":"Christelle"},{"family":"Casas","given":"Jérôme"},{"family":"Arthur Woods","given":"H."},{"family":"Pincebourde","given":"Sylvain"}],"issued":{"date-parts":[["2014",12,1]]}}}],"schema":"https://github.com/citation-style-language/schema/raw/master/csl-citation.json"} </w:instrText>
      </w:r>
      <w:r w:rsidR="00426D14">
        <w:fldChar w:fldCharType="separate"/>
      </w:r>
      <w:r w:rsidR="00426D14" w:rsidRPr="00426D14">
        <w:t xml:space="preserve">(Caillon </w:t>
      </w:r>
      <w:r w:rsidR="00426D14" w:rsidRPr="00426D14">
        <w:rPr>
          <w:i/>
          <w:iCs/>
        </w:rPr>
        <w:t>et al.</w:t>
      </w:r>
      <w:r w:rsidR="00426D14" w:rsidRPr="00426D14">
        <w:t>, 2014)</w:t>
      </w:r>
      <w:r w:rsidR="00426D14">
        <w:fldChar w:fldCharType="end"/>
      </w:r>
      <w:r w:rsidR="00426D14">
        <w:t xml:space="preserve">. </w:t>
      </w:r>
      <w:r w:rsidR="00D214D8">
        <w:t>We expected that logged forests would be structural</w:t>
      </w:r>
      <w:r w:rsidR="005B7B34">
        <w:t>ly</w:t>
      </w:r>
      <w:r w:rsidR="00D214D8">
        <w:t xml:space="preserve"> distinct from primary forest, leading to reduce</w:t>
      </w:r>
      <w:r w:rsidR="00D30C31">
        <w:t>d</w:t>
      </w:r>
      <w:r w:rsidR="00D214D8">
        <w:t xml:space="preserve"> thermal buffering potential and, thus, </w:t>
      </w:r>
      <w:r w:rsidR="00D30C31">
        <w:t xml:space="preserve">impaired ability of </w:t>
      </w:r>
      <w:r w:rsidR="004A5FA2">
        <w:t xml:space="preserve">temperature-sensitive species to </w:t>
      </w:r>
      <w:r w:rsidR="00D30C31">
        <w:t xml:space="preserve">respond in situ to </w:t>
      </w:r>
      <w:r w:rsidR="004940AF">
        <w:t xml:space="preserve">excessively high </w:t>
      </w:r>
      <w:r w:rsidR="00426D14">
        <w:t>temperature</w:t>
      </w:r>
      <w:r w:rsidR="004940AF">
        <w:t>s</w:t>
      </w:r>
      <w:r w:rsidR="00426D14">
        <w:t xml:space="preserve"> in the </w:t>
      </w:r>
      <w:r w:rsidR="00CD6ED9">
        <w:t xml:space="preserve">wider </w:t>
      </w:r>
      <w:r w:rsidR="00426D14">
        <w:t xml:space="preserve">macroclimate.  </w:t>
      </w:r>
      <w:r w:rsidR="003827EC" w:rsidRPr="00CF7ED3">
        <w:br w:type="page"/>
      </w:r>
    </w:p>
    <w:p w14:paraId="734A0BA1" w14:textId="77777777" w:rsidR="00EA41AB" w:rsidRPr="00CF7ED3" w:rsidRDefault="00EA41AB" w:rsidP="00CF7ED3">
      <w:pPr>
        <w:pStyle w:val="Heading1"/>
      </w:pPr>
      <w:r w:rsidRPr="00CF7ED3">
        <w:t>Methods</w:t>
      </w:r>
    </w:p>
    <w:p w14:paraId="7AAD163F" w14:textId="77777777" w:rsidR="00EA41AB" w:rsidRPr="00CF7ED3" w:rsidRDefault="00EA41AB" w:rsidP="00CF7ED3">
      <w:pPr>
        <w:pStyle w:val="Heading2"/>
      </w:pPr>
      <w:r w:rsidRPr="00CF7ED3">
        <w:t>Study Area</w:t>
      </w:r>
    </w:p>
    <w:p w14:paraId="4B91DD91" w14:textId="21160B84" w:rsidR="00EA41AB" w:rsidRPr="00CF7ED3" w:rsidRDefault="00EA41AB" w:rsidP="00CF7ED3">
      <w:pPr>
        <w:rPr>
          <w:lang w:val="en-US"/>
        </w:rPr>
      </w:pPr>
      <w:r w:rsidRPr="00CF7ED3">
        <w:t xml:space="preserve">Sampling took place in </w:t>
      </w:r>
      <w:r w:rsidR="00702984" w:rsidRPr="00CF7ED3">
        <w:t>in an extensive area of conti</w:t>
      </w:r>
      <w:r w:rsidR="000A5D7F" w:rsidRPr="00CF7ED3">
        <w:t>g</w:t>
      </w:r>
      <w:r w:rsidR="00702984" w:rsidRPr="00CF7ED3">
        <w:t xml:space="preserve">uous forest in Sabah (Malaysian Borneo; </w:t>
      </w:r>
      <w:r w:rsidR="00C1235B">
        <w:t>Fig. 1a</w:t>
      </w:r>
      <w:r w:rsidR="007B743D" w:rsidRPr="00CF7ED3">
        <w:t>)</w:t>
      </w:r>
      <w:r w:rsidRPr="00CF7ED3">
        <w:t>. This area represents over 10</w:t>
      </w:r>
      <w:r w:rsidR="00926D3A" w:rsidRPr="00CF7ED3">
        <w:t>,</w:t>
      </w:r>
      <w:r w:rsidRPr="00CF7ED3">
        <w:t>000 km</w:t>
      </w:r>
      <w:r w:rsidRPr="00CF7ED3">
        <w:rPr>
          <w:vertAlign w:val="superscript"/>
        </w:rPr>
        <w:t>2</w:t>
      </w:r>
      <w:r w:rsidRPr="00CF7ED3">
        <w:t xml:space="preserve"> of lowland dipterocarp forest, </w:t>
      </w:r>
      <w:r w:rsidR="00702984" w:rsidRPr="00CF7ED3">
        <w:t xml:space="preserve">comprising production forest and areas of undisturbed protected forest (Reynolds et al. 2011). In this study, we sampled sites in forest that had been commercially selectively logged twice (Ulu Segama-Malua Forest Reserve, 4°57'42.8"N, 117°56'51.7"E). The area </w:t>
      </w:r>
      <w:r w:rsidR="007E3633" w:rsidRPr="00CF7ED3">
        <w:t xml:space="preserve">was </w:t>
      </w:r>
      <w:r w:rsidR="00C1235B">
        <w:t xml:space="preserve">first </w:t>
      </w:r>
      <w:r w:rsidRPr="00CF7ED3">
        <w:t xml:space="preserve">logged from </w:t>
      </w:r>
      <w:r w:rsidR="007E3633" w:rsidRPr="00CF7ED3">
        <w:t>1987-1991</w:t>
      </w:r>
      <w:r w:rsidR="003B439A" w:rsidRPr="00CF7ED3">
        <w:t>,</w:t>
      </w:r>
      <w:r w:rsidRPr="00CF7ED3">
        <w:t xml:space="preserve"> </w:t>
      </w:r>
      <w:r w:rsidR="00702984" w:rsidRPr="00CF7ED3">
        <w:t>using tractors and high-lead extraction techniques</w:t>
      </w:r>
      <w:r w:rsidR="003B439A" w:rsidRPr="00CF7ED3">
        <w:t xml:space="preserve"> to harvest </w:t>
      </w:r>
      <w:r w:rsidR="00E33976" w:rsidRPr="00CF7ED3">
        <w:t xml:space="preserve">commercial </w:t>
      </w:r>
      <w:r w:rsidR="00AF498B" w:rsidRPr="00CF7ED3">
        <w:t xml:space="preserve">trees (those in the family Dipterocarpaceae) with </w:t>
      </w:r>
      <w:r w:rsidR="00E33976" w:rsidRPr="00CF7ED3">
        <w:t xml:space="preserve">stems &gt;0.6 m </w:t>
      </w:r>
      <w:r w:rsidR="00BD6066" w:rsidRPr="00CF7ED3">
        <w:t>diameter at breast height (D.B.H.)</w:t>
      </w:r>
      <w:r w:rsidR="003B439A" w:rsidRPr="00CF7ED3">
        <w:t>, and yielding</w:t>
      </w:r>
      <w:r w:rsidR="00E33976" w:rsidRPr="00CF7ED3">
        <w:t xml:space="preserve"> </w:t>
      </w:r>
      <w:r w:rsidR="00A41F0B" w:rsidRPr="00CF7ED3">
        <w:rPr>
          <w:lang w:val="en-US"/>
        </w:rPr>
        <w:t>~</w:t>
      </w:r>
      <w:r w:rsidR="00E33976" w:rsidRPr="00CF7ED3">
        <w:rPr>
          <w:lang w:val="en-US"/>
        </w:rPr>
        <w:t>113 m</w:t>
      </w:r>
      <w:r w:rsidR="00E33976" w:rsidRPr="00CF7ED3">
        <w:rPr>
          <w:vertAlign w:val="superscript"/>
          <w:lang w:val="en-US"/>
        </w:rPr>
        <w:t>3</w:t>
      </w:r>
      <w:r w:rsidR="00E33976" w:rsidRPr="00CF7ED3">
        <w:rPr>
          <w:lang w:val="en-US"/>
        </w:rPr>
        <w:t xml:space="preserve"> of timber per hectare</w:t>
      </w:r>
      <w:r w:rsidR="00DC5273" w:rsidRPr="00CF7ED3">
        <w:rPr>
          <w:lang w:val="en-US"/>
        </w:rPr>
        <w:t xml:space="preserve"> </w:t>
      </w:r>
      <w:r w:rsidR="00DC5273" w:rsidRPr="00CF7ED3">
        <w:rPr>
          <w:lang w:val="en-US"/>
        </w:rPr>
        <w:fldChar w:fldCharType="begin"/>
      </w:r>
      <w:r w:rsidR="00342CFF">
        <w:rPr>
          <w:lang w:val="en-US"/>
        </w:rPr>
        <w:instrText xml:space="preserve"> ADDIN ZOTERO_ITEM CSL_CITATION {"citationID":"294fddqgoe","properties":{"formattedCitation":"{\\rtf (Fisher {\\i{}et al.}, 2011; Edwards {\\i{}et al.}, 2014b)}","plainCitation":"(Fisher et al., 2011; Edwards et al., 2014b)"},"citationItems":[{"id":11726,"uris":["http://zotero.org/users/1177238/items/XD8JJPQB"],"uri":["http://zotero.org/users/1177238/items/XD8JJPQB"],"itemData":{"id":11726,"type":"article-journal","title":"Cost-effective conservation: calculating biodiversity and logging trade-offs in Southeast Asia","container-title":"Conservation Letters","page":"443-450","volume":"4","issue":"6","source":"Wiley Online Library","abstract":"The Sundaland Biodiversity Hotspot of Southeast Asia is widely regarded as one of the most imperiled biodiversity hotspots due to high degrees of endemism coupled with extensive logging and forest conversion to oil palm. The large financial returns to these activities have made it difficult to conserve much of the region's lowland primary forest, suggesting a large trade-off between economic interests and biodiversity conservation. Here, we provide an empirical examination of the magnitude of this trade-off in Borneo. By incorporating both financial values and biodiversity responses across logging regimes, we show that selectively logged forests represent a surprisingly low-cost option for conserving high levels of biodiversity. In our study, the standing value of timber dropped from </w:instrText>
      </w:r>
      <w:r w:rsidR="00342CFF">
        <w:rPr>
          <w:rFonts w:ascii="Cambria Math" w:hAnsi="Cambria Math" w:cs="Cambria Math"/>
          <w:lang w:val="en-US"/>
        </w:rPr>
        <w:instrText>∼</w:instrText>
      </w:r>
      <w:r w:rsidR="00342CFF">
        <w:rPr>
          <w:lang w:val="en-US"/>
        </w:rPr>
        <w:instrText xml:space="preserve">$10,460 ha−1 to </w:instrText>
      </w:r>
      <w:r w:rsidR="00342CFF">
        <w:rPr>
          <w:rFonts w:ascii="Cambria Math" w:hAnsi="Cambria Math" w:cs="Cambria Math"/>
          <w:lang w:val="en-US"/>
        </w:rPr>
        <w:instrText>∼</w:instrText>
      </w:r>
      <w:r w:rsidR="00342CFF">
        <w:rPr>
          <w:lang w:val="en-US"/>
        </w:rPr>
        <w:instrText xml:space="preserve">$2,010 ha−1 after two logging rotations, yet these forests retained over 75% of bird and dung beetle species found in primary unlogged forest. We suggest that the conservation of selectively logged forests represents a highly cost-efficient opportunity to enlarge existing protected areas, improve connectivity between them, and to create new, large protected areas.","DOI":"10.1111/j.1755-263X.2011.00198.x","ISSN":"1755-263X","shortTitle":"Cost-effective conservation","language":"en","author":[{"family":"Fisher","given":"Brendan"},{"family":"Edwards","given":"David P."},{"family":"Larsen","given":"Trond H."},{"family":"Ansell","given":"Felicity A."},{"family":"Hsu","given":"Wayne W."},{"family":"Roberts","given":"Carter S."},{"family":"Wilcove","given":"David S."}],"issued":{"date-parts":[["2011",12,1]]}}},{"id":11804,"uris":["http://zotero.org/users/1177238/items/WRRN8IQT"],"uri":["http://zotero.org/users/1177238/items/WRRN8IQT"],"itemData":{"id":11804,"type":"article-journal","title":"Selective-logging and oil palm: multitaxon impacts, biodiversity indicators, and trade-offs for conservation planning","container-title":"Ecological Applications","page":"2029-2049","volume":"24","issue":"8","source":"Wiley Online Library","abstract":"Strong global demand for tropical timber and agricultural products has driven large-scale logging and subsequent conversion of tropical forests. Given that the majority of tropical landscapes have been or will likely be logged, the protection of biodiversity within tropical forests thus depends on whether species can persist in these economically exploited lands, and if species cannot persist, whether we can protect enough primary forest from logging and conversion. However, our knowledge of the impact of logging and conversion on biodiversity is limited to a few taxa, often sampled in different locations with complex land-use histories, hampering attempts to plan cost-effective conservation strategies and to draw conclusions across taxa. Spanning a land-use gradient of primary forest, once- and twice-logged forests, and oil palm plantations, we used traditional sampling and DNA metabarcoding to compile an extensive data set in Sabah, Malaysian Borneo for nine vertebrate and invertebrate taxa to quantify the biological impacts of logging and oil palm, develop cost-effective methods of protecting biodiversity, and examine whether there is congruence in response among taxa. Logged forests retained high species richness, including, on average, 70% of species found in primary forest. In contrast, conversion to oil palm dramatically reduces species richness, with significantly fewer primary-forest species than found on logged forest transects for seven taxa. Using a systematic conservation planning analysis, we show that efficient protection of primary-forest species is achieved with land portfolios that include a large proportion of logged-forest plots. Protecting logged forests is thus a cost-effective method of protecting an ecologically and taxonomically diverse range of species, particularly when conservation budgets are limited. Six indicator groups (birds, leaf-litter ants, beetles, aerial hymenopterans, flies, and true bugs) proved to be consistently good predictors of the response of the other taxa to logging and oil palm. Our results confidently establish the high conservation value of logged forests and the low value of oil palm. Cross-taxon congruence in responses to disturbance also suggests that the practice of focusing on key indicator taxa yields important information of general biodiversity in studies of logging and oil palm.","DOI":"10.1890/14-0010.1","ISSN":"1939-5582","shortTitle":"Selective-logging and oil palm","language":"en","author":[{"family":"Edwards","given":"David P."},{"family":"Magrach","given":"Ainhoa"},{"family":"Woodcock","given":"Paul"},{"family":"Ji","given":"Yinqiu"},{"family":"Lim","given":"Norman T.-L."},{"family":"Edwards","given":"Felicity A."},{"family":"Larsen","given":"Trond H."},{"family":"Hsu","given":"Wayne W."},{"family":"Benedick","given":"Suzan"},{"family":"Khen","given":"Chey Vun"},{"family":"Chung","given":"Arthur Y. C."},{"family":"Reynolds","given":"Glen"},{"family":"Fisher","given":"Brendan"},{"family":"Laurance","given":"William F."},{"family":"Wilcove","given":"David S."},{"family":"Hamer","given":"Keith C."},{"family":"Yu","given":"Douglas W."}],"issued":{"date-parts":[["2014",12,1]]}}}],"schema":"https://github.com/citation-style-language/schema/raw/master/csl-citation.json"} </w:instrText>
      </w:r>
      <w:r w:rsidR="00DC5273" w:rsidRPr="00CF7ED3">
        <w:rPr>
          <w:lang w:val="en-US"/>
        </w:rPr>
        <w:fldChar w:fldCharType="separate"/>
      </w:r>
      <w:r w:rsidR="00342CFF" w:rsidRPr="00342CFF">
        <w:t xml:space="preserve">(Fisher </w:t>
      </w:r>
      <w:r w:rsidR="00342CFF" w:rsidRPr="00342CFF">
        <w:rPr>
          <w:i/>
          <w:iCs/>
        </w:rPr>
        <w:t>et al.</w:t>
      </w:r>
      <w:r w:rsidR="00342CFF" w:rsidRPr="00342CFF">
        <w:t xml:space="preserve">, 2011; Edwards </w:t>
      </w:r>
      <w:r w:rsidR="00342CFF" w:rsidRPr="00342CFF">
        <w:rPr>
          <w:i/>
          <w:iCs/>
        </w:rPr>
        <w:t>et al.</w:t>
      </w:r>
      <w:r w:rsidR="00342CFF" w:rsidRPr="00342CFF">
        <w:t>, 2014b)</w:t>
      </w:r>
      <w:r w:rsidR="00DC5273" w:rsidRPr="00CF7ED3">
        <w:rPr>
          <w:lang w:val="en-US"/>
        </w:rPr>
        <w:fldChar w:fldCharType="end"/>
      </w:r>
      <w:r w:rsidR="00DC5273" w:rsidRPr="00CF7ED3">
        <w:rPr>
          <w:lang w:val="en-US"/>
        </w:rPr>
        <w:t>.</w:t>
      </w:r>
      <w:r w:rsidR="00E33976" w:rsidRPr="00CF7ED3">
        <w:rPr>
          <w:lang w:val="en-US"/>
        </w:rPr>
        <w:t xml:space="preserve"> Between 2001 and 2007, </w:t>
      </w:r>
      <w:r w:rsidR="00702984" w:rsidRPr="00CF7ED3">
        <w:rPr>
          <w:lang w:val="en-US"/>
        </w:rPr>
        <w:t xml:space="preserve">the area </w:t>
      </w:r>
      <w:r w:rsidR="00E33976" w:rsidRPr="00CF7ED3">
        <w:rPr>
          <w:lang w:val="en-US"/>
        </w:rPr>
        <w:t>was re</w:t>
      </w:r>
      <w:r w:rsidR="00C1235B">
        <w:rPr>
          <w:lang w:val="en-US"/>
        </w:rPr>
        <w:t>-</w:t>
      </w:r>
      <w:r w:rsidR="00E33976" w:rsidRPr="00CF7ED3">
        <w:rPr>
          <w:lang w:val="en-US"/>
        </w:rPr>
        <w:t xml:space="preserve">logged </w:t>
      </w:r>
      <w:r w:rsidR="00DC5273" w:rsidRPr="00CF7ED3">
        <w:rPr>
          <w:lang w:val="en-US"/>
        </w:rPr>
        <w:t xml:space="preserve">and </w:t>
      </w:r>
      <w:r w:rsidR="00E33976" w:rsidRPr="00CF7ED3">
        <w:rPr>
          <w:lang w:val="en-US"/>
        </w:rPr>
        <w:t>the minimum harvested</w:t>
      </w:r>
      <w:r w:rsidR="00E33976" w:rsidRPr="00CF7ED3">
        <w:t xml:space="preserve"> </w:t>
      </w:r>
      <w:r w:rsidR="00130F26" w:rsidRPr="00CF7ED3">
        <w:rPr>
          <w:lang w:val="en-US"/>
        </w:rPr>
        <w:t>tree diameter reduced to &gt;</w:t>
      </w:r>
      <w:r w:rsidR="00E33976" w:rsidRPr="00CF7ED3">
        <w:rPr>
          <w:lang w:val="en-US"/>
        </w:rPr>
        <w:t xml:space="preserve">0.4 m </w:t>
      </w:r>
      <w:r w:rsidR="00963A25" w:rsidRPr="00CF7ED3">
        <w:rPr>
          <w:lang w:val="en-US"/>
        </w:rPr>
        <w:t>D.B.H.</w:t>
      </w:r>
      <w:r w:rsidR="00E33976" w:rsidRPr="00CF7ED3">
        <w:rPr>
          <w:lang w:val="en-US"/>
        </w:rPr>
        <w:t>, yielding an additional 31 m</w:t>
      </w:r>
      <w:r w:rsidR="00E33976" w:rsidRPr="00CF7ED3">
        <w:rPr>
          <w:vertAlign w:val="superscript"/>
          <w:lang w:val="en-US"/>
        </w:rPr>
        <w:t>3</w:t>
      </w:r>
      <w:r w:rsidR="00E33976" w:rsidRPr="00CF7ED3">
        <w:rPr>
          <w:lang w:val="en-US"/>
        </w:rPr>
        <w:t>/ha of timber</w:t>
      </w:r>
      <w:r w:rsidR="00E33976" w:rsidRPr="00CF7ED3">
        <w:t xml:space="preserve"> </w:t>
      </w:r>
      <w:r w:rsidR="00077528" w:rsidRPr="00CF7ED3">
        <w:rPr>
          <w:lang w:val="en-US"/>
        </w:rPr>
        <w:fldChar w:fldCharType="begin"/>
      </w:r>
      <w:r w:rsidR="00342CFF">
        <w:rPr>
          <w:lang w:val="en-US"/>
        </w:rPr>
        <w:instrText xml:space="preserve"> ADDIN ZOTERO_ITEM CSL_CITATION {"citationID":"13cbvn2ek2","properties":{"formattedCitation":"{\\rtf (Fisher {\\i{}et al.}, 2011)}","plainCitation":"(Fisher et al., 2011)"},"citationItems":[{"id":11726,"uris":["http://zotero.org/users/1177238/items/XD8JJPQB"],"uri":["http://zotero.org/users/1177238/items/XD8JJPQB"],"itemData":{"id":11726,"type":"article-journal","title":"Cost-effective conservation: calculating biodiversity and logging trade-offs in Southeast Asia","container-title":"Conservation Letters","page":"443-450","volume":"4","issue":"6","source":"Wiley Online Library","abstract":"The Sundaland Biodiversity Hotspot of Southeast Asia is widely regarded as one of the most imperiled biodiversity hotspots due to high degrees of endemism coupled with extensive logging and forest conversion to oil palm. The large financial returns to these activities have made it difficult to conserve much of the region's lowland primary forest, suggesting a large trade-off between economic interests and biodiversity conservation. Here, we provide an empirical examination of the magnitude of this trade-off in Borneo. By incorporating both financial values and biodiversity responses across logging regimes, we show that selectively logged forests represent a surprisingly low-cost option for conserving high levels of biodiversity. In our study, the standing value of timber dropped from </w:instrText>
      </w:r>
      <w:r w:rsidR="00342CFF">
        <w:rPr>
          <w:rFonts w:ascii="Cambria Math" w:hAnsi="Cambria Math" w:cs="Cambria Math"/>
          <w:lang w:val="en-US"/>
        </w:rPr>
        <w:instrText>∼</w:instrText>
      </w:r>
      <w:r w:rsidR="00342CFF">
        <w:rPr>
          <w:lang w:val="en-US"/>
        </w:rPr>
        <w:instrText xml:space="preserve">$10,460 ha−1 to </w:instrText>
      </w:r>
      <w:r w:rsidR="00342CFF">
        <w:rPr>
          <w:rFonts w:ascii="Cambria Math" w:hAnsi="Cambria Math" w:cs="Cambria Math"/>
          <w:lang w:val="en-US"/>
        </w:rPr>
        <w:instrText>∼</w:instrText>
      </w:r>
      <w:r w:rsidR="00342CFF">
        <w:rPr>
          <w:lang w:val="en-US"/>
        </w:rPr>
        <w:instrText xml:space="preserve">$2,010 ha−1 after two logging rotations, yet these forests retained over 75% of bird and dung beetle species found in primary unlogged forest. We suggest that the conservation of selectively logged forests represents a highly cost-efficient opportunity to enlarge existing protected areas, improve connectivity between them, and to create new, large protected areas.","DOI":"10.1111/j.1755-263X.2011.00198.x","ISSN":"1755-263X","shortTitle":"Cost-effective conservation","language":"en","author":[{"family":"Fisher","given":"Brendan"},{"family":"Edwards","given":"David P."},{"family":"Larsen","given":"Trond H."},{"family":"Ansell","given":"Felicity A."},{"family":"Hsu","given":"Wayne W."},{"family":"Roberts","given":"Carter S."},{"family":"Wilcove","given":"David S."}],"issued":{"date-parts":[["2011",12,1]]}}}],"schema":"https://github.com/citation-style-language/schema/raw/master/csl-citation.json"} </w:instrText>
      </w:r>
      <w:r w:rsidR="00077528" w:rsidRPr="00CF7ED3">
        <w:rPr>
          <w:lang w:val="en-US"/>
        </w:rPr>
        <w:fldChar w:fldCharType="separate"/>
      </w:r>
      <w:r w:rsidR="00342CFF" w:rsidRPr="00342CFF">
        <w:t xml:space="preserve">(Fisher </w:t>
      </w:r>
      <w:r w:rsidR="00342CFF" w:rsidRPr="00342CFF">
        <w:rPr>
          <w:i/>
          <w:iCs/>
        </w:rPr>
        <w:t>et al.</w:t>
      </w:r>
      <w:r w:rsidR="00342CFF" w:rsidRPr="00342CFF">
        <w:t>, 2011)</w:t>
      </w:r>
      <w:r w:rsidR="00077528" w:rsidRPr="00CF7ED3">
        <w:rPr>
          <w:lang w:val="en-US"/>
        </w:rPr>
        <w:fldChar w:fldCharType="end"/>
      </w:r>
      <w:r w:rsidR="00913478" w:rsidRPr="00CF7ED3">
        <w:rPr>
          <w:lang w:val="en-US"/>
        </w:rPr>
        <w:t xml:space="preserve">. </w:t>
      </w:r>
      <w:r w:rsidR="00702984" w:rsidRPr="00CF7ED3">
        <w:rPr>
          <w:lang w:val="en-US"/>
        </w:rPr>
        <w:t>Thus</w:t>
      </w:r>
      <w:r w:rsidR="002739F5" w:rsidRPr="00CF7ED3">
        <w:rPr>
          <w:lang w:val="en-US"/>
        </w:rPr>
        <w:t>,</w:t>
      </w:r>
      <w:r w:rsidR="00702984" w:rsidRPr="00CF7ED3">
        <w:rPr>
          <w:lang w:val="en-US"/>
        </w:rPr>
        <w:t xml:space="preserve"> we sampled sites that had been heavily disturbed about 10 years prior to the study</w:t>
      </w:r>
      <w:r w:rsidR="001E436D" w:rsidRPr="00CF7ED3">
        <w:rPr>
          <w:lang w:val="en-US"/>
        </w:rPr>
        <w:t xml:space="preserve">, </w:t>
      </w:r>
      <w:r w:rsidR="00445F07" w:rsidRPr="00CF7ED3">
        <w:rPr>
          <w:lang w:val="en-US"/>
        </w:rPr>
        <w:t>at which point</w:t>
      </w:r>
      <w:r w:rsidR="00095AEF" w:rsidRPr="00CF7ED3">
        <w:rPr>
          <w:lang w:val="en-US"/>
        </w:rPr>
        <w:t xml:space="preserve"> </w:t>
      </w:r>
      <w:r w:rsidR="001E436D" w:rsidRPr="00CF7ED3">
        <w:rPr>
          <w:lang w:val="en-US"/>
        </w:rPr>
        <w:t xml:space="preserve">67% of the forest was classified as being in ‘very poor’ condition </w:t>
      </w:r>
      <w:r w:rsidR="001E436D" w:rsidRPr="00CF7ED3">
        <w:rPr>
          <w:lang w:val="en-US"/>
        </w:rPr>
        <w:fldChar w:fldCharType="begin"/>
      </w:r>
      <w:r w:rsidR="004E4368">
        <w:rPr>
          <w:lang w:val="en-US"/>
        </w:rPr>
        <w:instrText xml:space="preserve"> ADDIN ZOTERO_ITEM CSL_CITATION {"citationID":"2orf0a1q5r","properties":{"formattedCitation":"{\\rtf (Reynolds {\\i{}et al.}, 2011)}","plainCitation":"(Reynolds et al., 2011)"},"citationItems":[{"id":1968,"uris":["http://zotero.org/users/1177238/items/EJA9KJ9K"],"uri":["http://zotero.org/users/1177238/items/EJA9KJ9K"],"itemData":{"id":1968,"type":"article-journal","title":"Changes in forest land use and management in Sabah, Malaysian Borneo, 1990–2010, with a focus on the Danum Valley region","container-title":"Philosophical Transactions of the Royal Society B: Biological Sciences","page":"3168-3176","volume":"366","issue":"1582","source":"rstb.royalsocietypublishing.org.eresources.shef.ac.uk","abstract":"In an earlier special issue of this journal, Marsh &amp; Greer summarized forest land use in Sabah at that time and gave an introduction to the Danum Valley Conservation Area. Since that assessment, during the period 1990–2010, the forests of Sabah and particularly those of the ca 10 000 km2 concession managed on behalf of the State by Yayasan Sabah (the Sabah Foundation) have been subject to continual, industrial harvesting, including the premature re-logging of extensive tracts of previously only once-logged forest and large-scale conversion of natural forests to agricultural plantations. Over the same period, however, significant areas of previously unprotected pristine forest have been formally gazetted as conservation areas, while much of the forest to the north, the south and the east of the Danum Valley Conservation Area (the Ulu Segama and Malua Forest Reserves) has been given added protection and new forest restoration initiatives have been launched. This paper analyses these forest-management and land-use changes in Sabah during the period 1990–2010, with a focus on the Yayasan Sabah Forest Management Area. Important new conservation and forest restoration and rehabilitation initiatives within its borders are given particular emphasis.","DOI":"10.1098/rstb.2011.0154","ISSN":"0962-8436, 1471-2970","note":"PMID: 22006960","journalAbbreviation":"Phil. Trans. R. Soc. B","language":"en","author":[{"family":"Reynolds","given":"Glen"},{"family":"Payne","given":"Junaidi"},{"family":"Sinun","given":"Waidi"},{"family":"Mosigil","given":"Gregory"},{"family":"Walsh","given":"Rory P. D."}],"issued":{"date-parts":[["2011",11,27]]}}}],"schema":"https://github.com/citation-style-language/schema/raw/master/csl-citation.json"} </w:instrText>
      </w:r>
      <w:r w:rsidR="001E436D" w:rsidRPr="00CF7ED3">
        <w:rPr>
          <w:lang w:val="en-US"/>
        </w:rPr>
        <w:fldChar w:fldCharType="separate"/>
      </w:r>
      <w:r w:rsidR="00342CFF" w:rsidRPr="00342CFF">
        <w:t xml:space="preserve">(Reynolds </w:t>
      </w:r>
      <w:r w:rsidR="00342CFF" w:rsidRPr="00342CFF">
        <w:rPr>
          <w:i/>
          <w:iCs/>
        </w:rPr>
        <w:t>et al.</w:t>
      </w:r>
      <w:r w:rsidR="00342CFF" w:rsidRPr="00342CFF">
        <w:t>, 2011)</w:t>
      </w:r>
      <w:r w:rsidR="001E436D" w:rsidRPr="00CF7ED3">
        <w:rPr>
          <w:lang w:val="en-US"/>
        </w:rPr>
        <w:fldChar w:fldCharType="end"/>
      </w:r>
      <w:r w:rsidR="00C1235B">
        <w:rPr>
          <w:lang w:val="en-US"/>
        </w:rPr>
        <w:t>,</w:t>
      </w:r>
      <w:r w:rsidR="001E436D" w:rsidRPr="00CF7ED3">
        <w:rPr>
          <w:lang w:val="en-US"/>
        </w:rPr>
        <w:t xml:space="preserve"> and the area was left to recover naturally. Control s</w:t>
      </w:r>
      <w:r w:rsidR="00702984" w:rsidRPr="00CF7ED3">
        <w:rPr>
          <w:lang w:val="en-US"/>
        </w:rPr>
        <w:t xml:space="preserve">ites were </w:t>
      </w:r>
      <w:r w:rsidR="001E436D" w:rsidRPr="00CF7ED3">
        <w:rPr>
          <w:lang w:val="en-US"/>
        </w:rPr>
        <w:t xml:space="preserve">located </w:t>
      </w:r>
      <w:r w:rsidR="00702984" w:rsidRPr="00CF7ED3">
        <w:rPr>
          <w:lang w:val="en-US"/>
        </w:rPr>
        <w:t>in undisturbed</w:t>
      </w:r>
      <w:r w:rsidR="00445F07" w:rsidRPr="00CF7ED3">
        <w:rPr>
          <w:lang w:val="en-US"/>
        </w:rPr>
        <w:t>,</w:t>
      </w:r>
      <w:r w:rsidR="00702984" w:rsidRPr="00CF7ED3">
        <w:rPr>
          <w:lang w:val="en-US"/>
        </w:rPr>
        <w:t xml:space="preserve"> protected </w:t>
      </w:r>
      <w:r w:rsidR="00913478" w:rsidRPr="00CF7ED3">
        <w:t>primary forest</w:t>
      </w:r>
      <w:r w:rsidRPr="00CF7ED3">
        <w:t xml:space="preserve"> </w:t>
      </w:r>
      <w:r w:rsidR="00702984" w:rsidRPr="00CF7ED3">
        <w:t>(</w:t>
      </w:r>
      <w:r w:rsidR="00913478" w:rsidRPr="00CF7ED3">
        <w:rPr>
          <w:lang w:val="en-US"/>
        </w:rPr>
        <w:t>Danum Valley Conservation Area (DVCA)</w:t>
      </w:r>
      <w:r w:rsidR="00702984" w:rsidRPr="00CF7ED3">
        <w:rPr>
          <w:lang w:val="en-US"/>
        </w:rPr>
        <w:t xml:space="preserve">; </w:t>
      </w:r>
      <w:r w:rsidRPr="00CF7ED3">
        <w:t>4°57'45.2"N, 117°48'10.4"E).</w:t>
      </w:r>
    </w:p>
    <w:p w14:paraId="35EDF245" w14:textId="77777777" w:rsidR="00EA41AB" w:rsidRPr="00CF7ED3" w:rsidRDefault="00EA41AB" w:rsidP="00CF7ED3">
      <w:pPr>
        <w:pStyle w:val="Heading2"/>
      </w:pPr>
      <w:r w:rsidRPr="00CF7ED3">
        <w:t>Sampling design</w:t>
      </w:r>
    </w:p>
    <w:p w14:paraId="04741ECE" w14:textId="7FFD23D6" w:rsidR="008F4607" w:rsidRPr="00CF7ED3" w:rsidRDefault="00702984" w:rsidP="00CF7ED3">
      <w:r w:rsidRPr="00CF7ED3">
        <w:t xml:space="preserve">We sampled </w:t>
      </w:r>
      <w:r w:rsidR="00125B0B" w:rsidRPr="00CF7ED3">
        <w:t xml:space="preserve">twelve </w:t>
      </w:r>
      <w:r w:rsidR="00167B01" w:rsidRPr="00CF7ED3">
        <w:t>sites,</w:t>
      </w:r>
      <w:r w:rsidR="000E6066" w:rsidRPr="00CF7ED3">
        <w:t xml:space="preserve"> </w:t>
      </w:r>
      <w:r w:rsidRPr="00CF7ED3">
        <w:t xml:space="preserve">six in </w:t>
      </w:r>
      <w:r w:rsidR="00125B0B" w:rsidRPr="00CF7ED3">
        <w:t>twice-</w:t>
      </w:r>
      <w:r w:rsidR="00EA41AB" w:rsidRPr="00CF7ED3">
        <w:t xml:space="preserve">logged </w:t>
      </w:r>
      <w:r w:rsidR="0034642D">
        <w:t xml:space="preserve">forest </w:t>
      </w:r>
      <w:r w:rsidR="00EA41AB" w:rsidRPr="00CF7ED3">
        <w:t xml:space="preserve">and </w:t>
      </w:r>
      <w:r w:rsidRPr="00CF7ED3">
        <w:t xml:space="preserve">six in </w:t>
      </w:r>
      <w:r w:rsidR="001D6B32" w:rsidRPr="00CF7ED3">
        <w:t>primary</w:t>
      </w:r>
      <w:r w:rsidR="00167B01" w:rsidRPr="00CF7ED3">
        <w:t xml:space="preserve"> forest</w:t>
      </w:r>
      <w:r w:rsidR="00445F07" w:rsidRPr="00CF7ED3">
        <w:t>,</w:t>
      </w:r>
      <w:r w:rsidRPr="00CF7ED3">
        <w:t xml:space="preserve"> along </w:t>
      </w:r>
      <w:r w:rsidR="00445F07" w:rsidRPr="00CF7ED3">
        <w:t xml:space="preserve">existing </w:t>
      </w:r>
      <w:r w:rsidR="00963A25" w:rsidRPr="00CF7ED3">
        <w:t xml:space="preserve">transects </w:t>
      </w:r>
      <w:r w:rsidR="00963A25" w:rsidRPr="00CF7ED3">
        <w:fldChar w:fldCharType="begin"/>
      </w:r>
      <w:r w:rsidR="004E4368">
        <w:instrText xml:space="preserve"> ADDIN ZOTERO_ITEM CSL_CITATION {"citationID":"lqLVAlig","properties":{"formattedCitation":"{\\rtf (Edwards {\\i{}et al.}, 2011, 2014b)}","plainCitation":"(Edwards et al., 2011, 2014b)"},"citationItems":[{"id":304,"uris":["http://zotero.org/users/1177238/items/ZCHB4USP"],"uri":["http://zotero.org/users/1177238/items/ZCHB4USP"],"itemData":{"id":304,"type":"article-journal","title":"Degraded lands worth protecting: the biological importance of Southeast Asia's repeatedly logged forests","container-title":"Proceedings of the Royal Society B: Biological Sciences","page":"82-90","volume":"278","source":"rspb.royalsocietypublishing.org","abstract":"Southeast Asia is a hotspot of imperilled biodiversity, owing to extensive logging and forest conversion to oil palm agriculture. The degraded forests that remain after multiple rounds of intensive logging are often assumed to be of little conservation value; consequently, there has been no concerted effort to prevent them from being converted to oil palm. However, no study has quantified the biodiversity of repeatedly logged forests. We compare the species richness and composition of birds and dung beetles within unlogged (primary), once-logged and twice-logged forests in Sabah, Borneo. Logging had little effect on the overall richness of birds. Dung beetle richness declined following once-logging but did not decline further after twice-logging. The species composition of bird and dung beetle communities was altered, particularly after the second logging rotation, but globally imperilled bird species (IUCN Red List) did not decline further after twice-logging. Remarkably, over 75 per cent of bird and dung beetle species found in unlogged forest persisted within twice-logged forest. Although twice-logged forests have less biological value than primary and once-logged forests, they clearly provide important habitat for numerous bird and dung beetle species. Preventing these degraded forests from being converted to oil palm should be a priority of policy-makers and conservationists.","DOI":"10.1098/rspb.2010.1062","ISSN":"0962-8452, 1471-2954","note":"PMID: 20685713","shortTitle":"Degraded lands worth protecting","journalAbbreviation":"Proc. R. Soc. B","language":"en","author":[{"family":"Edwards","given":"David P."},{"family":"Larsen","given":"Trond H."},{"family":"Docherty","given":"Teegan D. S."},{"family":"Ansell","given":"Felicity A."},{"family":"Hsu","given":"Wayne W."},{"family":"Derhé","given":"Mia A."},{"family":"Hamer","given":"Keith C."},{"family":"Wilcove","given":"David S."}],"issued":{"date-parts":[["2011"]]}}},{"id":11804,"uris":["http://zotero.org/users/1177238/items/WRRN8IQT"],"uri":["http://zotero.org/users/1177238/items/WRRN8IQT"],"itemData":{"id":11804,"type":"article-journal","title":"Selective-logging and oil palm: multitaxon impacts, biodiversity indicators, and trade-offs for conservation planning","container-title":"Ecological Applications","page":"2029-2049","volume":"24","issue":"8","source":"Wiley Online Library","abstract":"Strong global demand for tropical timber and agricultural products has driven large-scale logging and subsequent conversion of tropical forests. Given that the majority of tropical landscapes have been or will likely be logged, the protection of biodiversity within tropical forests thus depends on whether species can persist in these economically exploited lands, and if species cannot persist, whether we can protect enough primary forest from logging and conversion. However, our knowledge of the impact of logging and conversion on biodiversity is limited to a few taxa, often sampled in different locations with complex land-use histories, hampering attempts to plan cost-effective conservation strategies and to draw conclusions across taxa. Spanning a land-use gradient of primary forest, once- and twice-logged forests, and oil palm plantations, we used traditional sampling and DNA metabarcoding to compile an extensive data set in Sabah, Malaysian Borneo for nine vertebrate and invertebrate taxa to quantify the biological impacts of logging and oil palm, develop cost-effective methods of protecting biodiversity, and examine whether there is congruence in response among taxa. Logged forests retained high species richness, including, on average, 70% of species found in primary forest. In contrast, conversion to oil palm dramatically reduces species richness, with significantly fewer primary-forest species than found on logged forest transects for seven taxa. Using a systematic conservation planning analysis, we show that efficient protection of primary-forest species is achieved with land portfolios that include a large proportion of logged-forest plots. Protecting logged forests is thus a cost-effective method of protecting an ecologically and taxonomically diverse range of species, particularly when conservation budgets are limited. Six indicator groups (birds, leaf-litter ants, beetles, aerial hymenopterans, flies, and true bugs) proved to be consistently good predictors of the response of the other taxa to logging and oil palm. Our results confidently establish the high conservation value of logged forests and the low value of oil palm. Cross-taxon congruence in responses to disturbance also suggests that the practice of focusing on key indicator taxa yields important information of general biodiversity in studies of logging and oil palm.","DOI":"10.1890/14-0010.1","ISSN":"1939-5582","shortTitle":"Selective-logging and oil palm","language":"en","author":[{"family":"Edwards","given":"David P."},{"family":"Magrach","given":"Ainhoa"},{"family":"Woodcock","given":"Paul"},{"family":"Ji","given":"Yinqiu"},{"family":"Lim","given":"Norman T.-L."},{"family":"Edwards","given":"Felicity A."},{"family":"Larsen","given":"Trond H."},{"family":"Hsu","given":"Wayne W."},{"family":"Benedick","given":"Suzan"},{"family":"Khen","given":"Chey Vun"},{"family":"Chung","given":"Arthur Y. C."},{"family":"Reynolds","given":"Glen"},{"family":"Fisher","given":"Brendan"},{"family":"Laurance","given":"William F."},{"family":"Wilcove","given":"David S."},{"family":"Hamer","given":"Keith C."},{"family":"Yu","given":"Douglas W."}],"issued":{"date-parts":[["2014",12,1]]}}}],"schema":"https://github.com/citation-style-language/schema/raw/master/csl-citation.json"} </w:instrText>
      </w:r>
      <w:r w:rsidR="00963A25" w:rsidRPr="00CF7ED3">
        <w:fldChar w:fldCharType="separate"/>
      </w:r>
      <w:r w:rsidR="00342CFF" w:rsidRPr="00342CFF">
        <w:t xml:space="preserve">(Edwards </w:t>
      </w:r>
      <w:r w:rsidR="00342CFF" w:rsidRPr="00342CFF">
        <w:rPr>
          <w:i/>
          <w:iCs/>
        </w:rPr>
        <w:t>et al.</w:t>
      </w:r>
      <w:r w:rsidR="00342CFF" w:rsidRPr="00342CFF">
        <w:t>, 2011, 2014b</w:t>
      </w:r>
      <w:r w:rsidR="00963A25" w:rsidRPr="00CF7ED3">
        <w:fldChar w:fldCharType="end"/>
      </w:r>
      <w:r w:rsidR="00134D9C" w:rsidRPr="00CF7ED3">
        <w:t xml:space="preserve">; </w:t>
      </w:r>
      <w:r w:rsidR="008D5043" w:rsidRPr="00CF7ED3">
        <w:t>Fig. 1</w:t>
      </w:r>
      <w:r w:rsidR="00C1235B">
        <w:t>b</w:t>
      </w:r>
      <w:r w:rsidR="008D5043" w:rsidRPr="00CF7ED3">
        <w:t>)</w:t>
      </w:r>
      <w:r w:rsidR="00EA41AB" w:rsidRPr="00CF7ED3">
        <w:t xml:space="preserve">. Sites were more than 2 km </w:t>
      </w:r>
      <w:r w:rsidR="00B52C5E">
        <w:t>apart</w:t>
      </w:r>
      <w:r w:rsidR="00EA41AB" w:rsidRPr="00CF7ED3">
        <w:t>, and at least 100 m from forest edges</w:t>
      </w:r>
      <w:r w:rsidR="00517937" w:rsidRPr="00CF7ED3">
        <w:t>. Within each site</w:t>
      </w:r>
      <w:r w:rsidRPr="00CF7ED3">
        <w:t>,</w:t>
      </w:r>
      <w:r w:rsidR="00517937" w:rsidRPr="00CF7ED3">
        <w:t xml:space="preserve"> we</w:t>
      </w:r>
      <w:r w:rsidR="00EA41AB" w:rsidRPr="00CF7ED3">
        <w:t xml:space="preserve"> established five 50 x 50 m plots, </w:t>
      </w:r>
      <w:r w:rsidR="00B40DF5" w:rsidRPr="00CF7ED3">
        <w:t xml:space="preserve">with plot centres spaced </w:t>
      </w:r>
      <w:r w:rsidR="00EA41AB" w:rsidRPr="00CF7ED3">
        <w:t xml:space="preserve">at 125 m intervals along </w:t>
      </w:r>
      <w:r w:rsidR="00B14153" w:rsidRPr="00CF7ED3">
        <w:t xml:space="preserve">the </w:t>
      </w:r>
      <w:r w:rsidR="00EA41AB" w:rsidRPr="00CF7ED3">
        <w:t>transect</w:t>
      </w:r>
      <w:r w:rsidR="007B743D" w:rsidRPr="00CF7ED3">
        <w:t xml:space="preserve"> (Fig. 1</w:t>
      </w:r>
      <w:r w:rsidR="00C1235B">
        <w:t>c</w:t>
      </w:r>
      <w:r w:rsidR="00CC4FBF" w:rsidRPr="00CF7ED3">
        <w:t>; 60 plots in total</w:t>
      </w:r>
      <w:r w:rsidR="007B743D" w:rsidRPr="00CF7ED3">
        <w:t>)</w:t>
      </w:r>
      <w:r w:rsidR="001D6B32" w:rsidRPr="00CF7ED3">
        <w:t>.</w:t>
      </w:r>
      <w:r w:rsidR="008A0BD6" w:rsidRPr="00CF7ED3">
        <w:t xml:space="preserve"> Fieldwork was conducted from April to </w:t>
      </w:r>
      <w:r w:rsidR="005C0071" w:rsidRPr="00CF7ED3">
        <w:t>July</w:t>
      </w:r>
      <w:r w:rsidR="008A0BD6" w:rsidRPr="00CF7ED3">
        <w:t xml:space="preserve"> 2015</w:t>
      </w:r>
      <w:r w:rsidR="00CD05D9" w:rsidRPr="00CD05D9">
        <w:t xml:space="preserve">, during the </w:t>
      </w:r>
      <w:r w:rsidR="00C8460B">
        <w:t xml:space="preserve">severe </w:t>
      </w:r>
      <w:r w:rsidR="00CD05D9" w:rsidRPr="00CD05D9">
        <w:t xml:space="preserve">El Niño Southern Oscillation (ENSO) event of 2015-2016 (NOAA Climate Prediction Center: http://www.cpc.noaa.gov/products/analysis_monitoring/ensostuff/ensoyears.shtml) when </w:t>
      </w:r>
      <w:r w:rsidR="000E6976">
        <w:t>maximum</w:t>
      </w:r>
      <w:r w:rsidR="00CD05D9" w:rsidRPr="00CD05D9">
        <w:t xml:space="preserve"> daily temperature was </w:t>
      </w:r>
      <w:r w:rsidR="000E6976">
        <w:t>7</w:t>
      </w:r>
      <w:r w:rsidR="00CD05D9" w:rsidRPr="00CD05D9">
        <w:t>% higher and mean rainfall 17% lower than the 5-yea</w:t>
      </w:r>
      <w:r w:rsidR="00C8460B">
        <w:t>r average (across April to July</w:t>
      </w:r>
      <w:r w:rsidR="00CD05D9" w:rsidRPr="00CD05D9">
        <w:t xml:space="preserve"> </w:t>
      </w:r>
      <w:r w:rsidR="00CD05D9">
        <w:t xml:space="preserve">for the years </w:t>
      </w:r>
      <w:r w:rsidR="00CD05D9" w:rsidRPr="00CD05D9">
        <w:t>2007 to 2011).</w:t>
      </w:r>
      <w:r w:rsidR="00CD05D9">
        <w:t xml:space="preserve"> </w:t>
      </w:r>
    </w:p>
    <w:p w14:paraId="75CE813A" w14:textId="77777777" w:rsidR="00A56E42" w:rsidRPr="00CF7ED3" w:rsidRDefault="008F4607" w:rsidP="00CF7ED3">
      <w:pPr>
        <w:pStyle w:val="Heading3"/>
      </w:pPr>
      <w:r w:rsidRPr="00CF7ED3">
        <w:t>Forest structure</w:t>
      </w:r>
    </w:p>
    <w:p w14:paraId="613A86E3" w14:textId="048C9069" w:rsidR="00445F07" w:rsidRPr="00CF7ED3" w:rsidRDefault="00882D30" w:rsidP="00CF7ED3">
      <w:r w:rsidRPr="00CF7ED3">
        <w:t>T</w:t>
      </w:r>
      <w:r w:rsidR="00B56605" w:rsidRPr="00CF7ED3">
        <w:t xml:space="preserve">o quantify the level of disturbance </w:t>
      </w:r>
      <w:r w:rsidR="00CA2393" w:rsidRPr="00CF7ED3">
        <w:t xml:space="preserve">to the forest </w:t>
      </w:r>
      <w:r w:rsidR="00B56605" w:rsidRPr="00CF7ED3">
        <w:t>from selective logging, w</w:t>
      </w:r>
      <w:r w:rsidR="00445F07" w:rsidRPr="00CF7ED3">
        <w:t xml:space="preserve">e used </w:t>
      </w:r>
      <w:r w:rsidR="00095AEF" w:rsidRPr="00CF7ED3">
        <w:t xml:space="preserve">an </w:t>
      </w:r>
      <w:r w:rsidR="00445F07" w:rsidRPr="00CF7ED3">
        <w:t>established methodology for</w:t>
      </w:r>
      <w:r w:rsidR="00CA2393" w:rsidRPr="00CF7ED3">
        <w:t xml:space="preserve"> </w:t>
      </w:r>
      <w:r w:rsidR="00445F07" w:rsidRPr="00CF7ED3">
        <w:t>assess</w:t>
      </w:r>
      <w:r w:rsidR="00B52C5E">
        <w:t>ing</w:t>
      </w:r>
      <w:r w:rsidR="00445F07" w:rsidRPr="00CF7ED3">
        <w:t xml:space="preserve"> forest structure in each plot </w:t>
      </w:r>
      <w:r w:rsidR="00445F07" w:rsidRPr="00CF7ED3">
        <w:fldChar w:fldCharType="begin"/>
      </w:r>
      <w:r w:rsidR="00342CFF">
        <w:instrText xml:space="preserve"> ADDIN ZOTERO_ITEM CSL_CITATION {"citationID":"19sjlaoid8","properties":{"formattedCitation":"{\\rtf (Hamer {\\i{}et al.}, 2003; Lucey &amp; Hill, 2012)}","plainCitation":"(Hamer et al., 2003; Lucey &amp; Hill, 2012)"},"citationItems":[{"id":2280,"uris":["http://zotero.org/users/1177238/items/9933AIXB"],"uri":["http://zotero.org/users/1177238/items/9933AIXB"],"itemData":{"id":2280,"type":"article-journal","title":"Ecology of butterflies in natural and selectively logged forests of northern Borneo: the importance of habitat heterogeneity","container-title":"Journal of Applied Ecology","page":"150-162","volume":"40","issue":"1","source":"Wiley Online Library","abstract":"* 1The impacts of habitat disturbance on biodiversity within tropical forests are an area of current concern but are poorly understood and difficult to predict. This is due in part to a poor understanding of how species respond to natural variation in environmental conditions within primary forest and how these conditions alter following anthropogenic disturbance. Within this context, the main aim of this study was to test the hypothesis that the gap and shade preferences of fruit-feeding butterflies in primary forest in northern Borneo can be used to predict species’ responses to selective logging and thus explain changes in diversity and geographical distinctness in relation to habitat disturbance.\n* 2Overall, there was little difference in butterfly diversity between primary forest and forest that had been selectively logged 10–12 years previously. In contrast, there were marked differences in the composition of the butterfly assemblages in the two habitats, which were strongly associated with species’ gap preferences and geographical distributions. In Satyrinae and Morphinae, those species with higher shade preferences and narrower geographical distributions were most adversely affected by logging, whereas cosmopolitan species with high light preferences benefited from logging. In Nymphalinae and Charaxinae the opposite was observed: those species with wider geographical distributions were adversely affected and those species with relatively restricted distributions were more common in logged forest.\n* 3These changes in butterfly assemblages were associated with changes in vegetation structure following selective logging, which resulted in much lower habitat heterogeneity with less dense shade and fewer open gaps in logged forest. Areas of dense shade, which were more common in unlogged forest, supported species of Satyrinae and Morphinae with restricted geographical distributions, whereas open gaps, which were also more common in unlogged forest, attracted widespread species of Nymphalinae and Charaxinae. These butterfly–habitat associations in primary forest explain the opposite responses of the two groups of butterflies to selective logging.\n* 4Synthesis and applications. This study highlights the need to sample at a sufficiently large spatial scale to account for impacts of disturbance on heterogeneity in forest environments. It also demonstrates how understanding the responses of species to natural variation in environmental conditions within undisturbed forest is crucial to interpreting responses of species to anthropogenic habitat modification. The results further indicate that selectively logged forests can make an important contribution to the conservation of tropical biodiversity, provided that they are managed in a way that maintains environmental heterogeneity.","DOI":"10.1046/j.1365-2664.2003.00783.x","ISSN":"1365-2664","shortTitle":"Ecology of butterflies in natural and selectively logged forests of northern Borneo","language":"en","author":[{"family":"Hamer","given":"K. C."},{"family":"Hill","given":"J. K."},{"family":"Benedick","given":"S."},{"family":"Mustaffa","given":"N."},{"family":"Sherratt","given":"T. N."},{"family":"Maryati","given":"M."},{"family":"K.","given":"Chey V."}],"issued":{"date-parts":[["2003",2,1]]}}},{"id":1533,"uris":["http://zotero.org/users/1177238/items/T9HQSB7C"],"uri":["http://zotero.org/users/1177238/items/T9HQSB7C"],"itemData":{"id":1533,"type":"article-journal","title":"Spillover of Insects from Rain Forest into Adjacent Oil Palm Plantations","container-title":"Biotropica","page":"368-377","volume":"44","issue":"3","source":"Wiley Online Library","abstract":"Conversion of natural forest to oil palm plantations is a major threat to biodiversity in Southeast Asia. The retention of natural forest habitats within plantations has been proposed as a method to reduce biodiversity losses in agricultural areas, and we examined whether forest areas resulted in spillover of species into adjacent oil palm plantations. We sampled ants and butterflies along two 2-km transects across an ecotone from plantation into adjacent forest in Sabah, Malaysian Borneo. Species richness of both taxa was reduced in plantations, but to a greater extent in butterflies (54% reduction) than in ants (25% reduction). Butterfly diversity increased in plantations with increasing proximity to forest primarily due to spillover of ‘vagrant’ forest species (whose larval host plants do not occur in plantations), although richness of species that could potentially breed in plantations also increased near to forest. By contrast, ants showed no spillover effects and were less sensitive to land-use changes, with much higher levels of similarity in species assemblages across habitats than for butterflies. Our results for butterflies suggest that despite the negative impacts of plantations on diversity, proximity to forest could improve diversity in adjacent plantations for some taxa. Spillover of forest species implies that retaining forest areas within plantations may be important for facilitating dispersal of some species through the landscape.","DOI":"10.1111/j.1744-7429.2011.00824.x","ISSN":"1744-7429","journalAbbreviation":"Biotropica","language":"en","author":[{"family":"Lucey","given":"Jennifer M."},{"family":"Hill","given":"Jane K."}],"issued":{"date-parts":[["2012",5,1]]}}}],"schema":"https://github.com/citation-style-language/schema/raw/master/csl-citation.json"} </w:instrText>
      </w:r>
      <w:r w:rsidR="00445F07" w:rsidRPr="00CF7ED3">
        <w:fldChar w:fldCharType="separate"/>
      </w:r>
      <w:r w:rsidR="00342CFF" w:rsidRPr="00342CFF">
        <w:t xml:space="preserve">(Hamer </w:t>
      </w:r>
      <w:r w:rsidR="00342CFF" w:rsidRPr="00342CFF">
        <w:rPr>
          <w:i/>
          <w:iCs/>
        </w:rPr>
        <w:t>et al.</w:t>
      </w:r>
      <w:r w:rsidR="00342CFF" w:rsidRPr="00342CFF">
        <w:t>, 2003; Lucey &amp; Hill, 2012)</w:t>
      </w:r>
      <w:r w:rsidR="00445F07" w:rsidRPr="00CF7ED3">
        <w:fldChar w:fldCharType="end"/>
      </w:r>
      <w:r w:rsidR="00445F07" w:rsidRPr="00CF7ED3">
        <w:t xml:space="preserve">. </w:t>
      </w:r>
      <w:r w:rsidR="00B52C5E">
        <w:t xml:space="preserve">The </w:t>
      </w:r>
      <w:r w:rsidR="00445F07" w:rsidRPr="00CF7ED3">
        <w:t xml:space="preserve">variables </w:t>
      </w:r>
      <w:r w:rsidR="00B52C5E">
        <w:t xml:space="preserve">we measured </w:t>
      </w:r>
      <w:r w:rsidR="009D5CF7">
        <w:t>were</w:t>
      </w:r>
      <w:r w:rsidR="00445F07" w:rsidRPr="00CF7ED3">
        <w:t>: the basal area (cm</w:t>
      </w:r>
      <w:r w:rsidR="00445F07" w:rsidRPr="00CF7ED3">
        <w:rPr>
          <w:vertAlign w:val="superscript"/>
        </w:rPr>
        <w:t>2</w:t>
      </w:r>
      <w:r w:rsidR="00445F07" w:rsidRPr="00CF7ED3">
        <w:t>/m</w:t>
      </w:r>
      <w:r w:rsidR="00445F07" w:rsidRPr="00CF7ED3">
        <w:rPr>
          <w:vertAlign w:val="superscript"/>
        </w:rPr>
        <w:t>2</w:t>
      </w:r>
      <w:r w:rsidR="00445F07" w:rsidRPr="00CF7ED3">
        <w:t xml:space="preserve"> forest) of mature trees (circumference &gt; 0.6 m) and saplings (circumference 0.1-0.6 m)</w:t>
      </w:r>
      <w:r w:rsidR="00281158">
        <w:t>, based on</w:t>
      </w:r>
      <w:r w:rsidR="00C8460B">
        <w:t xml:space="preserve"> </w:t>
      </w:r>
      <w:r w:rsidR="00281158">
        <w:t xml:space="preserve">the distance to and circumference at breast height of the two nearest </w:t>
      </w:r>
      <w:r w:rsidR="00C8460B">
        <w:t>in each of four quadrants centred on the plot centre (Fig. 1d)</w:t>
      </w:r>
      <w:r w:rsidR="001E13B2" w:rsidRPr="00CF7ED3">
        <w:t>; the proportion of mature trees that were dipterocarps</w:t>
      </w:r>
      <w:r w:rsidR="00A837A8">
        <w:t xml:space="preserve"> (indicative of mature, complex forest)</w:t>
      </w:r>
      <w:r w:rsidR="001E13B2" w:rsidRPr="00CF7ED3">
        <w:t xml:space="preserve">; </w:t>
      </w:r>
      <w:r w:rsidR="00007BA1" w:rsidRPr="00CF7ED3">
        <w:t xml:space="preserve">percentage shade cover; and </w:t>
      </w:r>
      <w:r w:rsidR="001E13B2" w:rsidRPr="00CF7ED3">
        <w:t xml:space="preserve">visual estimates of percentage vegetation cover at </w:t>
      </w:r>
      <w:r w:rsidR="00934A51" w:rsidRPr="00CF7ED3">
        <w:t>ground (1.5</w:t>
      </w:r>
      <w:r w:rsidR="001E13B2" w:rsidRPr="00CF7ED3">
        <w:t xml:space="preserve"> m above ground), understorey (</w:t>
      </w:r>
      <w:r w:rsidR="00934A51" w:rsidRPr="00CF7ED3">
        <w:t>15 m above ground</w:t>
      </w:r>
      <w:r w:rsidR="001E13B2" w:rsidRPr="00CF7ED3">
        <w:t>) and canopy (</w:t>
      </w:r>
      <w:r w:rsidR="00934A51" w:rsidRPr="00CF7ED3">
        <w:t xml:space="preserve">the main </w:t>
      </w:r>
      <w:r w:rsidR="00BC11F3">
        <w:t>stratum</w:t>
      </w:r>
      <w:r w:rsidR="00934A51" w:rsidRPr="00CF7ED3">
        <w:t xml:space="preserve"> of leaf cover &gt; 15 m above ground</w:t>
      </w:r>
      <w:r w:rsidR="001E13B2" w:rsidRPr="00CF7ED3">
        <w:t>)</w:t>
      </w:r>
      <w:r w:rsidR="00BC11F3" w:rsidRPr="00BC11F3">
        <w:t xml:space="preserve"> level</w:t>
      </w:r>
      <w:r w:rsidR="00BC11F3">
        <w:t>s</w:t>
      </w:r>
      <w:r w:rsidR="001E13B2" w:rsidRPr="00CF7ED3">
        <w:t xml:space="preserve">. For full methodological details see </w:t>
      </w:r>
      <w:r w:rsidR="00B95FCB" w:rsidRPr="00CF7ED3">
        <w:t>Supplementary Text S1</w:t>
      </w:r>
      <w:r w:rsidR="001E13B2" w:rsidRPr="00CF7ED3">
        <w:t>.</w:t>
      </w:r>
    </w:p>
    <w:p w14:paraId="15573ED0" w14:textId="556D9D55" w:rsidR="00EA41AB" w:rsidRDefault="00E71F07" w:rsidP="00CF7ED3">
      <w:pPr>
        <w:pStyle w:val="Heading3"/>
      </w:pPr>
      <w:r>
        <w:t xml:space="preserve">Quantifying </w:t>
      </w:r>
      <w:r w:rsidR="00276494">
        <w:t>surface microclimates</w:t>
      </w:r>
    </w:p>
    <w:p w14:paraId="6692A995" w14:textId="7AE36FCC" w:rsidR="005248BD" w:rsidRDefault="000F0FB5" w:rsidP="000F0FB5">
      <w:r>
        <w:t xml:space="preserve">Fine-scale surface temperature of the forest </w:t>
      </w:r>
      <w:r w:rsidR="00F6343E">
        <w:t>floor</w:t>
      </w:r>
      <w:r>
        <w:t xml:space="preserve"> is particularly relevant for small-bodied, surface-dwelling organisms, such as</w:t>
      </w:r>
      <w:r w:rsidR="0051646A">
        <w:t xml:space="preserve"> many</w:t>
      </w:r>
      <w:r>
        <w:t xml:space="preserve"> insect </w:t>
      </w:r>
      <w:r w:rsidR="0051646A">
        <w:t>and reptile species</w:t>
      </w:r>
      <w:r>
        <w:t xml:space="preserve">. We measured surface temperature </w:t>
      </w:r>
      <w:r w:rsidR="00EA41AB" w:rsidRPr="00CF7ED3">
        <w:t>within each plot using an infrared camera (FLIR Systems, model E40)</w:t>
      </w:r>
      <w:r w:rsidR="0051646A">
        <w:t>;</w:t>
      </w:r>
      <w:r w:rsidR="005248BD">
        <w:t xml:space="preserve"> macroclimate temperature was defined as the air temperature at 1.5 m above-ground, measured using a whirling hygrometer</w:t>
      </w:r>
      <w:r w:rsidR="002C5A7A" w:rsidRPr="00CF7ED3">
        <w:t>.</w:t>
      </w:r>
      <w:r>
        <w:t xml:space="preserve"> </w:t>
      </w:r>
      <w:r w:rsidR="00D30BD9" w:rsidRPr="00CF7ED3">
        <w:t xml:space="preserve">Each site was visited </w:t>
      </w:r>
      <w:r w:rsidR="009D5CF7">
        <w:t>on two days</w:t>
      </w:r>
      <w:r w:rsidR="002313A2" w:rsidRPr="00CF7ED3">
        <w:t xml:space="preserve">, and each plot within the site was sampled </w:t>
      </w:r>
      <w:r w:rsidR="002C5A7A" w:rsidRPr="00CF7ED3">
        <w:t xml:space="preserve">five </w:t>
      </w:r>
      <w:r w:rsidR="009D5CF7">
        <w:t xml:space="preserve">times each day </w:t>
      </w:r>
      <w:r w:rsidR="002313A2" w:rsidRPr="00CF7ED3">
        <w:t xml:space="preserve">between 05:00 hrs to 14:30 hrs. During </w:t>
      </w:r>
      <w:r w:rsidR="009D5CF7">
        <w:t xml:space="preserve">each </w:t>
      </w:r>
      <w:r w:rsidR="002313A2" w:rsidRPr="00CF7ED3">
        <w:t>sampl</w:t>
      </w:r>
      <w:r w:rsidR="009D5CF7">
        <w:t>e</w:t>
      </w:r>
      <w:r w:rsidR="002313A2" w:rsidRPr="00CF7ED3">
        <w:t xml:space="preserve"> of any given plot, </w:t>
      </w:r>
      <w:r w:rsidR="00D30BD9" w:rsidRPr="00CF7ED3">
        <w:t xml:space="preserve">the observer </w:t>
      </w:r>
      <w:r w:rsidR="005248BD">
        <w:t xml:space="preserve">stood at the centre of the plot, took a single hygrometer reading and then, </w:t>
      </w:r>
      <w:r w:rsidR="00D30BD9" w:rsidRPr="00CF7ED3">
        <w:t>hold</w:t>
      </w:r>
      <w:r w:rsidR="005248BD">
        <w:t>ing the camera at breast height and</w:t>
      </w:r>
      <w:r w:rsidR="00D30BD9" w:rsidRPr="00CF7ED3">
        <w:t xml:space="preserve"> pointing 45° downwards (relative to the ground), </w:t>
      </w:r>
      <w:r w:rsidR="00B22226" w:rsidRPr="00CF7ED3">
        <w:t>took</w:t>
      </w:r>
      <w:r w:rsidR="00D30BD9" w:rsidRPr="00CF7ED3">
        <w:t xml:space="preserve"> a photo </w:t>
      </w:r>
      <w:r w:rsidR="00C1235B">
        <w:t xml:space="preserve">in </w:t>
      </w:r>
      <w:r w:rsidR="00D30BD9" w:rsidRPr="00CF7ED3">
        <w:t xml:space="preserve">four orthogonal directions </w:t>
      </w:r>
      <w:r w:rsidR="00B22226" w:rsidRPr="00CF7ED3">
        <w:fldChar w:fldCharType="begin"/>
      </w:r>
      <w:r w:rsidR="00342CFF">
        <w:instrText xml:space="preserve"> ADDIN ZOTERO_ITEM CSL_CITATION {"citationID":"1220cm2f6o","properties":{"formattedCitation":"{\\rtf (Scheffers {\\i{}et al.}, 2016)}","plainCitation":"(Scheffers et al., 2016)"},"citationItems":[{"id":12148,"uris":["http://zotero.org/users/1177238/items/U5GHENRN"],"uri":["http://zotero.org/users/1177238/items/U5GHENRN"],"itemData":{"id":12148,"type":"article-journal","title":"Extreme thermal heterogeneity in structurally complex tropical rain forests","container-title":"Biotropica","page":"n/a-n/a","source":"Wiley Online Library","abstract":"Most terrestrial species on Earth are ectothermic and track temperature at small spatial scales, from sun flecks to cool shaded spots. Current assessments of thermal heterogeneity in complex environments are predominately characterized by ambient temperature. This omission of solar radiation may lead to inaccurate conclusions regarding thermoregulation and distribution of species. We use thermal cameras to gather data on temperature heterogeneity in structurally complex rain forest environments. Using thermographic photographs, we capture the multidimensionality of climate created by vegetation by collecting over 76,000 temperature samples within approximately 1 m2 quadrats. The method was tested against three standard methods that record air temperature to determine possible omissions in capturing thermal heterogeneity in four geographic locations—Colombia, Borneo, Madagascar, and Australia. Across all locations, there was greater thermal heterogeneity in surface temperature than captured from ambient temperature technologies. Spatial variability in surface temperature on 1 d was greater than temporal variability of ambient temperature across the entire month, with extreme deviation from ambient temperatures. Importantly, when compared to the lower bounds for optimal performance for five tropical Anolis species, this technology captured thermal regimes that support the thermoregulatory needs of these species, whereas ambient air temperature methods suggested that these species would be in thermal debt. Sampling surface temperature at high resolutions across space in combination with intensive sampling of ambient temperature and informed spatial modeling should improve our understanding of the distribution of ectothermic species living within thermally heterogeneous environments.","DOI":"10.1111/btp.12355","ISSN":"1744-7429","journalAbbreviation":"Biotropica","language":"en","author":[{"family":"Scheffers","given":"Brett R."},{"family":"Edwards","given":"David P."},{"family":"Macdonald","given":"Stewart L."},{"family":"Senior","given":"Rebecca A."},{"family":"Andriamahohatra","given":"Lydou R."},{"family":"Roslan","given":"Nadiah"},{"family":"Rogers","given":"Andrew M."},{"family":"Haugaasen","given":"Torbjørn"},{"family":"Wright","given":"Patricia"},{"family":"Williams","given":"Stephen E."}],"issued":{"date-parts":[["2016",9,1]]}}}],"schema":"https://github.com/citation-style-language/schema/raw/master/csl-citation.json"} </w:instrText>
      </w:r>
      <w:r w:rsidR="00B22226" w:rsidRPr="00CF7ED3">
        <w:fldChar w:fldCharType="separate"/>
      </w:r>
      <w:r w:rsidR="00342CFF" w:rsidRPr="00342CFF">
        <w:t xml:space="preserve">(Scheffers </w:t>
      </w:r>
      <w:r w:rsidR="00342CFF" w:rsidRPr="00342CFF">
        <w:rPr>
          <w:i/>
          <w:iCs/>
        </w:rPr>
        <w:t>et al.</w:t>
      </w:r>
      <w:r w:rsidR="00342CFF" w:rsidRPr="00342CFF">
        <w:t>, 2016)</w:t>
      </w:r>
      <w:r w:rsidR="00B22226" w:rsidRPr="00CF7ED3">
        <w:fldChar w:fldCharType="end"/>
      </w:r>
      <w:r w:rsidR="00B22226" w:rsidRPr="00CF7ED3">
        <w:t>.</w:t>
      </w:r>
      <w:r w:rsidR="005248BD">
        <w:t xml:space="preserve"> </w:t>
      </w:r>
      <w:r w:rsidR="002C5A7A" w:rsidRPr="00CF7ED3">
        <w:t xml:space="preserve">Each thermal image </w:t>
      </w:r>
      <w:r w:rsidR="00B95FCB" w:rsidRPr="00CF7ED3">
        <w:t>comprised</w:t>
      </w:r>
      <w:r w:rsidR="00C17433">
        <w:t xml:space="preserve"> 19</w:t>
      </w:r>
      <w:r w:rsidR="002C5A7A" w:rsidRPr="00CF7ED3">
        <w:t>200 distinct observations of</w:t>
      </w:r>
      <w:r w:rsidR="005248BD">
        <w:t xml:space="preserve"> surface</w:t>
      </w:r>
      <w:r w:rsidR="002C5A7A" w:rsidRPr="00CF7ED3">
        <w:t xml:space="preserve"> temperature (one per pixel)</w:t>
      </w:r>
      <w:r w:rsidR="00B95FCB" w:rsidRPr="00CF7ED3">
        <w:t>, and covered</w:t>
      </w:r>
      <w:r w:rsidR="002C5A7A" w:rsidRPr="00CF7ED3">
        <w:t xml:space="preserve"> a surface area of approximately 1 m</w:t>
      </w:r>
      <w:r w:rsidR="002C5A7A" w:rsidRPr="00CF7ED3">
        <w:rPr>
          <w:vertAlign w:val="superscript"/>
        </w:rPr>
        <w:t>2</w:t>
      </w:r>
      <w:r w:rsidR="002C5A7A" w:rsidRPr="00CF7ED3">
        <w:t>.</w:t>
      </w:r>
      <w:r w:rsidR="009D5CF7">
        <w:t xml:space="preserve"> In total, we recorded 2400 thermal images (4 images per plot x 5 repeats x 2 site visits x 60 plots). </w:t>
      </w:r>
    </w:p>
    <w:p w14:paraId="38CF638C" w14:textId="069F647F" w:rsidR="00D43246" w:rsidRDefault="0023387C" w:rsidP="00D43246">
      <w:r w:rsidRPr="00CF7ED3">
        <w:t xml:space="preserve">For all </w:t>
      </w:r>
      <w:r w:rsidR="00150F81">
        <w:t xml:space="preserve">subsequent </w:t>
      </w:r>
      <w:r w:rsidRPr="00CF7ED3">
        <w:t>analyses, a unique data</w:t>
      </w:r>
      <w:r w:rsidR="009D5CF7">
        <w:t xml:space="preserve"> </w:t>
      </w:r>
      <w:r w:rsidRPr="00CF7ED3">
        <w:t xml:space="preserve">point </w:t>
      </w:r>
      <w:r w:rsidR="009D5CF7">
        <w:t xml:space="preserve">comprised thermal information from the four photographs taken </w:t>
      </w:r>
      <w:r w:rsidR="003D2E1B">
        <w:t>each time a plot was sampled</w:t>
      </w:r>
      <w:r w:rsidR="009B0D5A">
        <w:t xml:space="preserve">: </w:t>
      </w:r>
      <w:r w:rsidR="003D2E1B" w:rsidRPr="00CF7ED3">
        <w:t>76800 observations of surface temperature measurements for each plot (</w:t>
      </w:r>
      <w:r w:rsidR="003D2E1B">
        <w:t xml:space="preserve">i.e. combining </w:t>
      </w:r>
      <w:r w:rsidR="009B0D5A">
        <w:t>19</w:t>
      </w:r>
      <w:r w:rsidR="003D2E1B" w:rsidRPr="00CF7ED3">
        <w:t xml:space="preserve">200 observations </w:t>
      </w:r>
      <w:r w:rsidR="003D2E1B">
        <w:t xml:space="preserve">from the four </w:t>
      </w:r>
      <w:r w:rsidR="003D2E1B" w:rsidRPr="00CF7ED3">
        <w:t>photo</w:t>
      </w:r>
      <w:r w:rsidR="003D2E1B">
        <w:t xml:space="preserve">s taken in each orthogonal </w:t>
      </w:r>
      <w:r w:rsidR="003D2E1B" w:rsidRPr="00CF7ED3">
        <w:t>direction)</w:t>
      </w:r>
      <w:r w:rsidR="009B0D5A">
        <w:t>. The temperature of cool surface microclimates was defined as the 5</w:t>
      </w:r>
      <w:r w:rsidR="009B0D5A" w:rsidRPr="009B0D5A">
        <w:rPr>
          <w:vertAlign w:val="superscript"/>
        </w:rPr>
        <w:t>th</w:t>
      </w:r>
      <w:r w:rsidR="009B0D5A">
        <w:t xml:space="preserve"> percentile (i.e. coolest) across all 76800 pixels. </w:t>
      </w:r>
      <w:r w:rsidR="00D43246">
        <w:t xml:space="preserve">To </w:t>
      </w:r>
      <w:r w:rsidR="00F6343E">
        <w:t>identify</w:t>
      </w:r>
      <w:r w:rsidR="00D43246">
        <w:t xml:space="preserve"> individual </w:t>
      </w:r>
      <w:r w:rsidR="00F6343E">
        <w:t xml:space="preserve">‘cool’ </w:t>
      </w:r>
      <w:r w:rsidR="00D43246">
        <w:t xml:space="preserve">pixels we determined lower and upper </w:t>
      </w:r>
      <w:r w:rsidR="00F6343E">
        <w:t>threshold values from the</w:t>
      </w:r>
      <w:r w:rsidR="00D43246">
        <w:t xml:space="preserve"> 5</w:t>
      </w:r>
      <w:r w:rsidR="00D43246" w:rsidRPr="00D43246">
        <w:rPr>
          <w:vertAlign w:val="superscript"/>
        </w:rPr>
        <w:t>th</w:t>
      </w:r>
      <w:r w:rsidR="00D43246">
        <w:t xml:space="preserve"> and 25</w:t>
      </w:r>
      <w:r w:rsidR="00D43246" w:rsidRPr="00D43246">
        <w:rPr>
          <w:vertAlign w:val="superscript"/>
        </w:rPr>
        <w:t>th</w:t>
      </w:r>
      <w:r w:rsidR="00D43246">
        <w:t xml:space="preserve"> percentile, respectively, </w:t>
      </w:r>
      <w:r w:rsidR="0051646A">
        <w:t xml:space="preserve">from </w:t>
      </w:r>
      <w:r w:rsidR="00D43246">
        <w:t xml:space="preserve">each two-hour time period (05:00-07:00 hrs, 07:00-09:00 hrs, 09:00-11:00 hrs, 11:00-13:00 hrs and 13:00-15:00 hrs) across all temperatures from all photos taken in that time period (Fig. 2). This ensured that cool pixels were defined relative to all other observations </w:t>
      </w:r>
      <w:r w:rsidR="00F6343E">
        <w:t>taken in that time</w:t>
      </w:r>
      <w:r w:rsidR="00D43246">
        <w:t xml:space="preserve"> period.</w:t>
      </w:r>
      <w:r w:rsidR="002416B3">
        <w:t xml:space="preserve"> The </w:t>
      </w:r>
      <w:r w:rsidR="00716705">
        <w:t>area</w:t>
      </w:r>
      <w:r w:rsidR="002416B3">
        <w:t xml:space="preserve"> of surface microclimates was then calculated as the average number of cool pixels per m</w:t>
      </w:r>
      <w:r w:rsidR="002416B3">
        <w:rPr>
          <w:vertAlign w:val="superscript"/>
        </w:rPr>
        <w:t>2</w:t>
      </w:r>
      <w:r w:rsidR="002416B3">
        <w:t xml:space="preserve"> </w:t>
      </w:r>
      <w:r w:rsidR="00F6343E">
        <w:t>(the surface area encompassed in</w:t>
      </w:r>
      <w:r w:rsidR="002416B3">
        <w:t xml:space="preserve"> one photo), multiplied </w:t>
      </w:r>
      <w:r w:rsidR="002416B3" w:rsidRPr="00CF7ED3">
        <w:t>by the area of one pixel (0.5 cm</w:t>
      </w:r>
      <w:r w:rsidR="002416B3" w:rsidRPr="00CF7ED3">
        <w:rPr>
          <w:vertAlign w:val="superscript"/>
        </w:rPr>
        <w:t>2</w:t>
      </w:r>
      <w:r w:rsidR="002416B3" w:rsidRPr="00CF7ED3">
        <w:t xml:space="preserve">; </w:t>
      </w:r>
      <w:r w:rsidR="002416B3" w:rsidRPr="00CF7ED3">
        <w:fldChar w:fldCharType="begin"/>
      </w:r>
      <w:r w:rsidR="002416B3">
        <w:instrText xml:space="preserve"> ADDIN ZOTERO_ITEM CSL_CITATION {"citationID":"2pr9gkcdmq","properties":{"formattedCitation":"(FLIR)","plainCitation":"(FLIR)"},"citationItems":[{"id":11808,"uris":["http://zotero.org/users/1177238/items/F98JUDFQ"],"uri":["http://zotero.org/users/1177238/items/F98JUDFQ"],"itemData":{"id":11808,"type":"report","title":"User’s manual FLIR Exx series","URL":"http://flir.custhelp.com/app/account/fl_download_manuals","author":[{"family":"FLIR","given":""}]}}],"schema":"https://github.com/citation-style-language/schema/raw/master/csl-citation.json"} </w:instrText>
      </w:r>
      <w:r w:rsidR="002416B3" w:rsidRPr="00CF7ED3">
        <w:fldChar w:fldCharType="separate"/>
      </w:r>
      <w:r w:rsidR="002416B3" w:rsidRPr="00342CFF">
        <w:t>FLIR)</w:t>
      </w:r>
      <w:r w:rsidR="002416B3" w:rsidRPr="00CF7ED3">
        <w:fldChar w:fldCharType="end"/>
      </w:r>
      <w:r w:rsidR="002416B3" w:rsidRPr="00CF7ED3">
        <w:t xml:space="preserve">. Spatial configuration </w:t>
      </w:r>
      <w:r w:rsidR="00716705">
        <w:t xml:space="preserve">of cool pixels </w:t>
      </w:r>
      <w:r w:rsidR="002416B3" w:rsidRPr="00CF7ED3">
        <w:t>was quantif</w:t>
      </w:r>
      <w:r w:rsidR="0051646A">
        <w:t>ied using the Aggregation Index:</w:t>
      </w:r>
      <w:r w:rsidR="002416B3" w:rsidRPr="00CF7ED3">
        <w:t xml:space="preserve"> the number of edges </w:t>
      </w:r>
      <w:r w:rsidR="0051646A">
        <w:t xml:space="preserve">that cool pixels share, </w:t>
      </w:r>
      <w:r w:rsidR="00716705">
        <w:t xml:space="preserve">divided by </w:t>
      </w:r>
      <w:r w:rsidR="002416B3" w:rsidRPr="00CF7ED3">
        <w:t xml:space="preserve">the maximum </w:t>
      </w:r>
      <w:r w:rsidR="002416B3">
        <w:t>number of edges</w:t>
      </w:r>
      <w:r w:rsidR="002416B3" w:rsidRPr="00CF7ED3">
        <w:t xml:space="preserve"> that </w:t>
      </w:r>
      <w:r w:rsidR="0051646A">
        <w:t xml:space="preserve">they </w:t>
      </w:r>
      <w:r w:rsidR="002416B3" w:rsidRPr="00CF7ED3">
        <w:t xml:space="preserve">could possibly </w:t>
      </w:r>
      <w:r w:rsidR="0051646A">
        <w:t>share</w:t>
      </w:r>
      <w:r w:rsidR="002416B3" w:rsidRPr="00CF7ED3">
        <w:t xml:space="preserve"> (He et al. 2000; Caillon et al. 2014). Higher values of the Aggregation Index indicate </w:t>
      </w:r>
      <w:r w:rsidR="00716705">
        <w:t xml:space="preserve">less dispersal of microclimates through </w:t>
      </w:r>
      <w:r w:rsidR="002416B3" w:rsidRPr="00CF7ED3">
        <w:t>space</w:t>
      </w:r>
      <w:r w:rsidR="00DE647A">
        <w:t xml:space="preserve"> (increased clustering)</w:t>
      </w:r>
      <w:r w:rsidR="00716705">
        <w:t xml:space="preserve">, </w:t>
      </w:r>
      <w:r w:rsidR="00B839DF">
        <w:t xml:space="preserve">which makes </w:t>
      </w:r>
      <w:r w:rsidR="00DE647A">
        <w:t xml:space="preserve">them </w:t>
      </w:r>
      <w:r w:rsidR="00716705">
        <w:t xml:space="preserve">more difficult for organisms to </w:t>
      </w:r>
      <w:r w:rsidR="00B839DF">
        <w:t xml:space="preserve">track </w:t>
      </w:r>
      <w:r w:rsidR="00716705">
        <w:fldChar w:fldCharType="begin"/>
      </w:r>
      <w:r w:rsidR="00716705">
        <w:instrText xml:space="preserve"> ADDIN ZOTERO_ITEM CSL_CITATION {"citationID":"a18dac8d1mr","properties":{"formattedCitation":"{\\rtf (Sears {\\i{}et al.}, 2016)}","plainCitation":"(Sears et al., 2016)"},"citationItems":[{"id":12407,"uris":["http://zotero.org/users/1177238/items/9FINJUJC"],"uri":["http://zotero.org/users/1177238/items/9FINJUJC"],"itemData":{"id":12407,"type":"article-journal","title":"Configuration of the thermal landscape determines thermoregulatory performance of ectotherms","container-title":"Proceedings of the National Academy of Sciences","page":"10595-10600","volume":"113","issue":"38","source":"www.pnas.org","abstract":"Although most organisms thermoregulate behaviorally, biologists still cannot easily predict whether mobile animals will thermoregulate in natural environments. Current models fail because they ignore how the spatial distribution of thermal resources constrains thermoregulatory performance over space and time. To overcome this limitation, we modeled the spatially explicit movements of animals constrained by access to thermal resources. Our models predict that ectotherms thermoregulate more accurately when thermal resources are dispersed throughout space than when these resources are clumped. This prediction was supported by thermoregulatory behaviors of lizards in outdoor arenas with known distributions of environmental temperatures. Further, simulations showed how the spatial structure of the landscape qualitatively affects responses of animals to climate. Biologists will need spatially explicit models to predict impacts of climate change on local scales.","DOI":"10.1073/pnas.1604824113","ISSN":"0027-8424, 1091-6490","note":"PMID: 27601639","journalAbbreviation":"PNAS","language":"en","author":[{"family":"Sears","given":"Michael W."},{"family":"Angilletta","given":"Michael J."},{"family":"Schuler","given":"Matthew S."},{"family":"Borchert","given":"Jason"},{"family":"Dilliplane","given":"Katherine F."},{"family":"Stegman","given":"Monica"},{"family":"Rusch","given":"Travis W."},{"family":"Mitchell","given":"William A."}],"issued":{"date-parts":[["2016",9,20]]}}}],"schema":"https://github.com/citation-style-language/schema/raw/master/csl-citation.json"} </w:instrText>
      </w:r>
      <w:r w:rsidR="00716705">
        <w:fldChar w:fldCharType="separate"/>
      </w:r>
      <w:r w:rsidR="00716705" w:rsidRPr="00716705">
        <w:t xml:space="preserve">(Sears </w:t>
      </w:r>
      <w:r w:rsidR="00716705" w:rsidRPr="00716705">
        <w:rPr>
          <w:i/>
          <w:iCs/>
        </w:rPr>
        <w:t>et al.</w:t>
      </w:r>
      <w:r w:rsidR="00716705" w:rsidRPr="00716705">
        <w:t>, 2016)</w:t>
      </w:r>
      <w:r w:rsidR="00716705">
        <w:fldChar w:fldCharType="end"/>
      </w:r>
      <w:r w:rsidR="00716705">
        <w:t>.</w:t>
      </w:r>
      <w:r w:rsidR="002416B3" w:rsidRPr="00CF7ED3">
        <w:t xml:space="preserve"> </w:t>
      </w:r>
    </w:p>
    <w:p w14:paraId="524A82A9" w14:textId="4E129BC8" w:rsidR="00282A1C" w:rsidRDefault="00D43246" w:rsidP="00D43246">
      <w:pPr>
        <w:pStyle w:val="Heading3"/>
      </w:pPr>
      <w:r>
        <w:t>Quantifying microclimates</w:t>
      </w:r>
      <w:r w:rsidR="00F6343E">
        <w:t xml:space="preserve"> in leaf litter, tree holes and deadwood</w:t>
      </w:r>
    </w:p>
    <w:p w14:paraId="0E4420C3" w14:textId="60DBD746" w:rsidR="009B0D5A" w:rsidRDefault="00282A1C" w:rsidP="000A5577">
      <w:r>
        <w:t>Many ectotherms</w:t>
      </w:r>
      <w:r w:rsidR="00A96EF0">
        <w:t>, such as amphibians,</w:t>
      </w:r>
      <w:r>
        <w:t xml:space="preserve"> spend some or all of their time exploiting cool microclimates </w:t>
      </w:r>
      <w:r w:rsidR="00F6343E">
        <w:t>inside microhabitats</w:t>
      </w:r>
      <w:r>
        <w:t xml:space="preserve">, which thermal </w:t>
      </w:r>
      <w:r w:rsidR="00A96EF0">
        <w:t>images</w:t>
      </w:r>
      <w:r>
        <w:t xml:space="preserve"> are unable to capture. We selected three types of microhabitat known to provide cool microclimates </w:t>
      </w:r>
      <w:r>
        <w:fldChar w:fldCharType="begin"/>
      </w:r>
      <w:r>
        <w:instrText xml:space="preserve"> ADDIN ZOTERO_ITEM CSL_CITATION {"citationID":"aqunn4cm60","properties":{"formattedCitation":"{\\rtf (Scheffers {\\i{}et al.}, 2014b, 2014a; Gonz\\uc0\\u225{}lez del Pliego {\\i{}et al.}, 2016)}","plainCitation":"(Scheffers et al., 2014b, 2014a; González del Pliego et al., 2016)"},"citationItems":[{"id":5896,"uris":["http://zotero.org/users/1177238/items/7KR242KQ"],"uri":["http://zotero.org/users/1177238/items/7KR242KQ"],"itemData":{"id":5896,"type":"article-journal","title":"Microhabitats in the tropics buffer temperature in a globally coherent manner","container-title":"Biology Letters","page":"20140819","volume":"10","issue":"12","source":"rsbl.royalsocietypublishing.org","abstract":"Vegetated habitats contain a variety of fine-scale features that can ameliorate temperate extremes. These buffered microhabitats may be used by species to evade extreme weather and novel climates in the future. Yet, the magnitude and extent of this buffering on a global scale remains unknown. Across all tropical continents and using 36 published studies, we assessed temperature buffering from within microhabitats across various habitat strata and structures (e.g. soil, logs, epiphytes and tree holes) and compared them to non-buffered macro-scale ambient temperatures (the thermal control). Microhabitats buffered temperature by 3.9°C and reduced maximum temperatures by 3.5°C. Buffering was most pronounced in tropical lowlands where temperatures were most variable. With the expected increase in extreme weather events, microhabitats should provide species with a local layer of protection that is not captured by traditional climate assessments, which are typically derived from macro-scale temperatures (e.g. satellites). Our data illustrate the need for a next generation of predictive models that account for species' ability to move within microhabitats to exploit favourable buffered microclimates.","DOI":"10.1098/rsbl.2014.0819","ISSN":"1744-9561, 1744-957X","note":"PMID: 25540160","language":"en","author":[{"family":"Scheffers","given":"Brett R."},{"family":"Evans","given":"Theodore A."},{"family":"Williams","given":"Stephen E."},{"family":"Edwards","given":"David P."}],"issued":{"date-parts":[["2014",12,1]]}}},{"id":11357,"uris":["http://zotero.org/users/1177238/items/6BXI9VWV"],"uri":["http://zotero.org/users/1177238/items/6BXI9VWV"],"itemData":{"id":11357,"type":"article-journal","title":"Microhabitats reduce animal's exposure to climate extremes","container-title":"Global Change Biology","page":"495-503","volume":"20","issue":"2","DOI":"10.1111/gcb.12439","ISSN":"1365-2486","journalAbbreviation":"Glob Change Biol","author":[{"family":"Scheffers","given":"Brett R."},{"family":"Edwards","given":"David P."},{"family":"Diesmos","given":"Arvin"},{"family":"Williams","given":"Stephen E."},{"family":"Evans","given":"Theodore A."}],"issued":{"date-parts":[["2014",2,1]]}}},{"id":11703,"uris":["http://zotero.org/users/1177238/items/BU8UPCJJ"],"uri":["http://zotero.org/users/1177238/items/BU8UPCJJ"],"itemData":{"id":11703,"type":"article-journal","title":"Thermally buffered microhabitats recovery in tropical secondary forests following land abandonment","container-title":"Biological Conservation","page":"385-395","volume":"201","source":"ScienceDirect","abstract":"Given the dramatic loss of tropical forests and accelerating climate change, secondary forest regeneration is increasingly recognised as being an important method for reversing losses in biodiversity and carbon stocks. The recolonisation of biodiversity within secondary forests depends in part upon the recovery of forest structure, including the range of microhabitats used by diverse local communities. Here, we investigate the return of critical microhabitats along a successional gradient of secondary forest in the Tropical Andes of Colombia. We measured the abundance of live (bromeliads, tree ferns and moss) and dead (deadwood and leaf litter) microhabitats across three landscapes, each encompassing primary, and young (4–18 yr old) and old secondary forests (19–35 yr old). Considering the increasing rate of climate warming in the region, we also explored whether these microhabitats provide thermally buffered microclimates. We found that secondary forests have different composition and lower complexity of microhabitats than primary forests, but microhabitats appear to be recovering towards primary forest levels. Furthermore, in all forest types, microhabitats had lower maximum temperatures and higher minimum temperatures, thereby serving as thermal buffers that reduced exposure to extreme temperatures. These benefits exist despite ambient temperatures in secondary forests surpassing those of primary forests by 1–2 °C on average. The protection of secondary forest and promotion of further forest regrowth in the Tropical Andes should represent an urgent investment for conservation, and the value of these forests for offering critical microhabitats and buffered microclimates under climate change should not be overlooked.","DOI":"10.1016/j.biocon.2016.07.038","ISSN":"0006-3207","journalAbbreviation":"Biological Conservation","author":[{"family":"González del Pliego","given":"Pamela"},{"family":"Scheffers","given":"Brett R."},{"family":"Basham","given":"Edmund W."},{"family":"Woodcock","given":"Paul"},{"family":"Wheeler","given":"Charlotte"},{"family":"Gilroy","given":"James J."},{"family":"Medina Uribe","given":"Claudia A."},{"family":"Haugaasen","given":"Torbjørn"},{"family":"Freckleton","given":"Rob P."},{"family":"Edwards","given":"David P."}],"issued":{"date-parts":[["2016",9]]}}}],"schema":"https://github.com/citation-style-language/schema/raw/master/csl-citation.json"} </w:instrText>
      </w:r>
      <w:r>
        <w:fldChar w:fldCharType="separate"/>
      </w:r>
      <w:r w:rsidRPr="00282A1C">
        <w:t xml:space="preserve">(Scheffers </w:t>
      </w:r>
      <w:r w:rsidRPr="00282A1C">
        <w:rPr>
          <w:i/>
          <w:iCs/>
        </w:rPr>
        <w:t>et al.</w:t>
      </w:r>
      <w:r w:rsidRPr="00282A1C">
        <w:t xml:space="preserve">, 2014b, 2014a; González del Pliego </w:t>
      </w:r>
      <w:r w:rsidRPr="00282A1C">
        <w:rPr>
          <w:i/>
          <w:iCs/>
        </w:rPr>
        <w:t>et al.</w:t>
      </w:r>
      <w:r w:rsidRPr="00282A1C">
        <w:t>, 2016)</w:t>
      </w:r>
      <w:r>
        <w:fldChar w:fldCharType="end"/>
      </w:r>
      <w:r>
        <w:t xml:space="preserve">, and placed one temperature </w:t>
      </w:r>
      <w:r w:rsidR="009B4EBF">
        <w:t>datalogger</w:t>
      </w:r>
      <w:r>
        <w:t xml:space="preserve"> </w:t>
      </w:r>
      <w:r w:rsidRPr="00CF7ED3">
        <w:t xml:space="preserve">(HOBO pendant </w:t>
      </w:r>
      <w:r w:rsidR="009B4EBF">
        <w:t>datalogger</w:t>
      </w:r>
      <w:r w:rsidRPr="00CF7ED3">
        <w:t xml:space="preserve">, Onset, model UA-001-64K or model UA-002-64K) </w:t>
      </w:r>
      <w:r>
        <w:t>per plot in each microhabitat type:</w:t>
      </w:r>
      <w:r w:rsidRPr="00282A1C">
        <w:t xml:space="preserve"> </w:t>
      </w:r>
      <w:r w:rsidRPr="00CF7ED3">
        <w:t>leaf litter (1.5 m left of the plot centre), tree holes (&gt; 2 cm at widest point of entrance hole, &lt; 2 m above the ground) and deadwood (&gt; 10 cm stem diameter).</w:t>
      </w:r>
      <w:r w:rsidR="001B69E3">
        <w:t xml:space="preserve"> </w:t>
      </w:r>
      <w:r w:rsidR="0033040F">
        <w:t>T</w:t>
      </w:r>
      <w:r w:rsidR="000A5577">
        <w:t xml:space="preserve">he hygrometer measurements of macroclimate temperature were not always synchronised with the </w:t>
      </w:r>
      <w:r w:rsidR="009B4EBF">
        <w:t>datalogger</w:t>
      </w:r>
      <w:r w:rsidR="000A5577">
        <w:t xml:space="preserve">s inside microhabitats, </w:t>
      </w:r>
      <w:r w:rsidR="0033040F">
        <w:t xml:space="preserve">hence </w:t>
      </w:r>
      <w:r w:rsidR="000A5577">
        <w:t xml:space="preserve">we additionally measured macroclimate temperature using </w:t>
      </w:r>
      <w:r w:rsidR="0033040F">
        <w:t xml:space="preserve">a </w:t>
      </w:r>
      <w:r w:rsidR="009B4EBF">
        <w:t>datalogger</w:t>
      </w:r>
      <w:r w:rsidR="001B69E3">
        <w:t xml:space="preserve"> suspended 1.5 m above the ground </w:t>
      </w:r>
      <w:r w:rsidR="001B69E3" w:rsidRPr="00CF7ED3">
        <w:t xml:space="preserve">at the centre of each plot, shielded against direct radiation and precipitation by an inverted plastic funnel </w:t>
      </w:r>
      <w:r w:rsidR="001B69E3" w:rsidRPr="00CF7ED3">
        <w:fldChar w:fldCharType="begin"/>
      </w:r>
      <w:r w:rsidR="001B69E3">
        <w:instrText xml:space="preserve"> ADDIN ZOTERO_ITEM CSL_CITATION {"citationID":"1hhkjl53sn","properties":{"formattedCitation":"{\\rtf (Shoo {\\i{}et al.}, 2010; Scheffers {\\i{}et al.}, 2014a)}","plainCitation":"(Shoo et al., 2010; Scheffers et al., 2014a)"},"citationItems":[{"id":280,"uris":["http://zotero.org/users/1177238/items/I8HSK6RB"],"uri":["http://zotero.org/users/1177238/items/I8HSK6RB"],"itemData":{"id":280,"type":"article-journal","title":"Potential for mountaintop boulder fields to buffer species against extreme heat stress under climate change","container-title":"International Journal of Biometeorology","page":"475-478","volume":"54","issue":"4","source":"CrossRef","DOI":"10.1007/s00484-009-0286-4","ISSN":"0020-7128, 1432-1254","language":"en","author":[{"family":"Shoo","given":"Luke P."},{"family":"Storlie","given":"Collin"},{"family":"Williams","given":"Yvette M."},{"family":"Williams","given":"Stephen E."}],"issued":{"date-parts":[["2010",7]]}}},{"id":11357,"uris":["http://zotero.org/users/1177238/items/6BXI9VWV"],"uri":["http://zotero.org/users/1177238/items/6BXI9VWV"],"itemData":{"id":11357,"type":"article-journal","title":"Microhabitats reduce animal's exposure to climate extremes","container-title":"Global Change Biology","page":"495-503","volume":"20","issue":"2","DOI":"10.1111/gcb.12439","ISSN":"1365-2486","journalAbbreviation":"Glob Change Biol","author":[{"family":"Scheffers","given":"Brett R."},{"family":"Edwards","given":"David P."},{"family":"Diesmos","given":"Arvin"},{"family":"Williams","given":"Stephen E."},{"family":"Evans","given":"Theodore A."}],"issued":{"date-parts":[["2014",2,1]]}}}],"schema":"https://github.com/citation-style-language/schema/raw/master/csl-citation.json"} </w:instrText>
      </w:r>
      <w:r w:rsidR="001B69E3" w:rsidRPr="00CF7ED3">
        <w:fldChar w:fldCharType="separate"/>
      </w:r>
      <w:r w:rsidR="001B69E3" w:rsidRPr="00342CFF">
        <w:t xml:space="preserve">(Shoo </w:t>
      </w:r>
      <w:r w:rsidR="001B69E3" w:rsidRPr="00342CFF">
        <w:rPr>
          <w:i/>
          <w:iCs/>
        </w:rPr>
        <w:t>et al.</w:t>
      </w:r>
      <w:r w:rsidR="001B69E3" w:rsidRPr="00342CFF">
        <w:t xml:space="preserve">, 2010; Scheffers </w:t>
      </w:r>
      <w:r w:rsidR="001B69E3" w:rsidRPr="00342CFF">
        <w:rPr>
          <w:i/>
          <w:iCs/>
        </w:rPr>
        <w:t>et al.</w:t>
      </w:r>
      <w:r w:rsidR="001B69E3" w:rsidRPr="00342CFF">
        <w:t>, 2014a)</w:t>
      </w:r>
      <w:r w:rsidR="001B69E3" w:rsidRPr="00CF7ED3">
        <w:fldChar w:fldCharType="end"/>
      </w:r>
      <w:r w:rsidR="001B69E3" w:rsidRPr="00CF7ED3">
        <w:t>.</w:t>
      </w:r>
      <w:r>
        <w:t xml:space="preserve"> </w:t>
      </w:r>
      <w:r w:rsidR="000A5577">
        <w:t xml:space="preserve">All </w:t>
      </w:r>
      <w:r w:rsidR="009B4EBF">
        <w:t>datalogger</w:t>
      </w:r>
      <w:r w:rsidR="001B69E3" w:rsidRPr="00CF7ED3">
        <w:t>s recorded temperature every 20 minutes for five consecutive days</w:t>
      </w:r>
      <w:r w:rsidR="001B69E3">
        <w:t>, occurring</w:t>
      </w:r>
      <w:r w:rsidR="001B69E3" w:rsidRPr="00CF7ED3">
        <w:t xml:space="preserve"> within one week of thermal image collection</w:t>
      </w:r>
      <w:r w:rsidR="001B69E3">
        <w:t>. W</w:t>
      </w:r>
      <w:r w:rsidR="001B69E3" w:rsidRPr="00CF7ED3">
        <w:t>e used only data from within the same diurnal time period as that during which thermal images were taken (05:00 hrs to 14:30 hrs</w:t>
      </w:r>
      <w:r w:rsidR="001B69E3">
        <w:t xml:space="preserve">), to </w:t>
      </w:r>
      <w:r w:rsidR="000A5577">
        <w:t>facilitate</w:t>
      </w:r>
      <w:r w:rsidR="001B69E3">
        <w:t xml:space="preserve"> qualitative comparisons of thermal buffering </w:t>
      </w:r>
      <w:r w:rsidR="000A5577">
        <w:t xml:space="preserve">by </w:t>
      </w:r>
      <w:r w:rsidR="001B69E3">
        <w:t>microclimates</w:t>
      </w:r>
      <w:r w:rsidR="008D1472">
        <w:t xml:space="preserve"> at the surface and inside microhabitats</w:t>
      </w:r>
      <w:r w:rsidR="001B69E3">
        <w:t xml:space="preserve">. </w:t>
      </w:r>
    </w:p>
    <w:p w14:paraId="03725EC8" w14:textId="1171E1F8" w:rsidR="00B839DF" w:rsidRDefault="008123D6" w:rsidP="001B69E3">
      <w:r>
        <w:t xml:space="preserve">To estimate </w:t>
      </w:r>
      <w:r w:rsidR="00B839DF" w:rsidRPr="00CF7ED3">
        <w:t xml:space="preserve">the </w:t>
      </w:r>
      <w:r w:rsidR="00B839DF">
        <w:t xml:space="preserve">occurrence </w:t>
      </w:r>
      <w:r w:rsidR="00B839DF" w:rsidRPr="00CF7ED3">
        <w:t xml:space="preserve">of microclimates </w:t>
      </w:r>
      <w:r w:rsidR="0075439E">
        <w:t xml:space="preserve">inside microhabitats, </w:t>
      </w:r>
      <w:r>
        <w:t xml:space="preserve">we measured </w:t>
      </w:r>
      <w:r w:rsidR="00B839DF" w:rsidRPr="00CF7ED3">
        <w:t>the volume of leaf litter, tree holes and deadwood</w:t>
      </w:r>
      <w:r w:rsidR="0075439E">
        <w:t xml:space="preserve"> </w:t>
      </w:r>
      <w:r w:rsidR="00B839DF" w:rsidRPr="00CF7ED3">
        <w:t xml:space="preserve">within a 50 x 5 m subplot centred on each plot centre (60 sub-plots in total), with the long edge running parallel to the transect. For full methodological details see Supplementary Text S2. We </w:t>
      </w:r>
      <w:r w:rsidR="00B839DF">
        <w:t xml:space="preserve">divided </w:t>
      </w:r>
      <w:r w:rsidR="00B839DF" w:rsidRPr="00CF7ED3">
        <w:t xml:space="preserve">microhabitat volume by </w:t>
      </w:r>
      <w:r w:rsidR="00B839DF">
        <w:t xml:space="preserve">the </w:t>
      </w:r>
      <w:r w:rsidR="00B839DF" w:rsidRPr="00CF7ED3">
        <w:t xml:space="preserve">total area surveyed to generate microhabitat </w:t>
      </w:r>
      <w:r w:rsidR="00B839DF">
        <w:t xml:space="preserve">volume per </w:t>
      </w:r>
      <w:r w:rsidR="00B839DF" w:rsidRPr="00CF7ED3">
        <w:t>m</w:t>
      </w:r>
      <w:r w:rsidR="00B839DF" w:rsidRPr="00CF7ED3">
        <w:rPr>
          <w:vertAlign w:val="superscript"/>
        </w:rPr>
        <w:t>2</w:t>
      </w:r>
      <w:r w:rsidR="00B839DF" w:rsidRPr="00CF7ED3">
        <w:t xml:space="preserve"> forest</w:t>
      </w:r>
      <w:r w:rsidR="00B839DF">
        <w:t>,</w:t>
      </w:r>
      <w:r w:rsidR="00B839DF" w:rsidRPr="00CF7ED3">
        <w:t xml:space="preserve"> for each plot. </w:t>
      </w:r>
    </w:p>
    <w:p w14:paraId="1FBC8687" w14:textId="39EE71B5" w:rsidR="001B69E3" w:rsidRDefault="001B69E3" w:rsidP="001B69E3">
      <w:pPr>
        <w:pStyle w:val="Heading2"/>
      </w:pPr>
      <w:r>
        <w:t>Statistical analyses</w:t>
      </w:r>
    </w:p>
    <w:p w14:paraId="60F6E149" w14:textId="70148E22" w:rsidR="00A56B43" w:rsidRDefault="00A56B43" w:rsidP="00A56B43">
      <w:pPr>
        <w:pStyle w:val="Heading3"/>
      </w:pPr>
      <w:r>
        <w:t>Forest structure</w:t>
      </w:r>
    </w:p>
    <w:p w14:paraId="0FE24BDB" w14:textId="446B7C24" w:rsidR="00A56B43" w:rsidRDefault="00A56B43" w:rsidP="00A56B43">
      <w:r>
        <w:t xml:space="preserve">To examine the impact of selective logging on forest structure, we assessed seven structural response variables: </w:t>
      </w:r>
      <w:r w:rsidR="00ED2F95">
        <w:t>tree basal area</w:t>
      </w:r>
      <w:r w:rsidRPr="00CF7ED3">
        <w:t xml:space="preserve"> sapling basal area; proportion of trees that were dipterocarps (binomial data: dipterocarp vs. non-dipterocarp); percentage shade cover (proportion data); and percentage vegetation cover at ground, understorey and canopy strata (proportion data).</w:t>
      </w:r>
      <w:r>
        <w:t xml:space="preserve"> Forest type </w:t>
      </w:r>
      <w:r w:rsidRPr="00CF7ED3">
        <w:t xml:space="preserve">(categorical: primary or logged) </w:t>
      </w:r>
      <w:r>
        <w:t xml:space="preserve">was the only explanatory </w:t>
      </w:r>
      <w:r w:rsidRPr="00CF7ED3">
        <w:t>variable</w:t>
      </w:r>
      <w:r>
        <w:t xml:space="preserve"> included</w:t>
      </w:r>
      <w:r w:rsidRPr="00CF7ED3">
        <w:t xml:space="preserve">. </w:t>
      </w:r>
    </w:p>
    <w:p w14:paraId="501927B1" w14:textId="405A0573" w:rsidR="00A56B43" w:rsidRDefault="009B4EBF" w:rsidP="00A56B43">
      <w:pPr>
        <w:pStyle w:val="Heading3"/>
      </w:pPr>
      <w:r>
        <w:t>Macroclimate</w:t>
      </w:r>
      <w:r w:rsidR="00A56B43">
        <w:t xml:space="preserve"> and microclimate temperature</w:t>
      </w:r>
    </w:p>
    <w:p w14:paraId="747BF102" w14:textId="0D20B5C5" w:rsidR="00A56B43" w:rsidRPr="00A56B43" w:rsidRDefault="00A56B43" w:rsidP="00A56B43">
      <w:r>
        <w:t xml:space="preserve">Macroclimate temperature is the temperature at a coarse spatial scale, and </w:t>
      </w:r>
      <w:r w:rsidR="003362CB">
        <w:t xml:space="preserve">was </w:t>
      </w:r>
      <w:r>
        <w:t xml:space="preserve">captured </w:t>
      </w:r>
      <w:r w:rsidR="003362CB">
        <w:t xml:space="preserve">in this study using </w:t>
      </w:r>
      <w:r w:rsidR="009B4EBF">
        <w:t xml:space="preserve">both </w:t>
      </w:r>
      <w:r w:rsidR="003362CB">
        <w:t xml:space="preserve">a </w:t>
      </w:r>
      <w:r>
        <w:t>hygromete</w:t>
      </w:r>
      <w:r w:rsidR="003362CB">
        <w:t xml:space="preserve">r and suspended </w:t>
      </w:r>
      <w:r w:rsidR="009B4EBF">
        <w:t>datalogger</w:t>
      </w:r>
      <w:r w:rsidR="003362CB">
        <w:t xml:space="preserve"> (measuring the same variable but at different times). The macroclimate does not affect thermal buffering potential per se, but it does dictate the overall necessity for thermal buffering. We modelled hygrometer and </w:t>
      </w:r>
      <w:r w:rsidR="009B4EBF">
        <w:t>datalogger</w:t>
      </w:r>
      <w:r w:rsidR="003362CB">
        <w:t xml:space="preserve"> temperature separately, including forest type as the only explanatory variable. </w:t>
      </w:r>
    </w:p>
    <w:p w14:paraId="5233DD2C" w14:textId="1C85B145" w:rsidR="009B0D5A" w:rsidRDefault="00ED2F95" w:rsidP="00E236B0">
      <w:r>
        <w:t>To assess the impact of selective logging on the ability of microclimates to buffer organisms from macroclimate warming, we</w:t>
      </w:r>
      <w:r w:rsidR="009404AC">
        <w:t xml:space="preserve"> </w:t>
      </w:r>
      <w:r>
        <w:t>modelled</w:t>
      </w:r>
      <w:r w:rsidR="009404AC">
        <w:t xml:space="preserve"> microclimate temperature against macroclimate temperature</w:t>
      </w:r>
      <w:r>
        <w:t xml:space="preserve"> and</w:t>
      </w:r>
      <w:r w:rsidR="009404AC">
        <w:t xml:space="preserve"> its interaction with forest type. </w:t>
      </w:r>
      <w:r>
        <w:t xml:space="preserve">The </w:t>
      </w:r>
      <w:r w:rsidR="009B4EBF">
        <w:t xml:space="preserve">model </w:t>
      </w:r>
      <w:r>
        <w:t xml:space="preserve">intercept is a measure of what </w:t>
      </w:r>
      <w:r>
        <w:fldChar w:fldCharType="begin"/>
      </w:r>
      <w:r>
        <w:instrText xml:space="preserve"> ADDIN ZOTERO_ITEM CSL_CITATION {"citationID":"a51nkfda5","properties":{"formattedCitation":"{\\rtf (Shi {\\i{}et al.}, 2016)}","plainCitation":"(Shi et al., 2016)"},"citationItems":[{"id":12302,"uris":["http://zotero.org/users/1177238/items/GE8C7QVX"],"uri":["http://zotero.org/users/1177238/items/GE8C7QVX"],"itemData":{"id":12302,"type":"article-journal","title":"A framework for quantifying the thermal buffering effect of microhabitats","container-title":"Biological Conservation","page":"175-180","volume":"204, Part B","source":"ScienceDirect","abstract":"The importance of microhabitat, a localized environment with a microclimate that is distinct from the regional climate, is increasingly recognized in ecological conservation planning. Although there is a growing body of literature on microhabitats and the thermal buffering effect (the difference between temperatures within and outside of a microhabitat), uncertainties remain in quantifying this effect due to variation among microhabitats and the species that use them. Here, we review studies on thermal buffering in various microhabitats, and outline a framework for the quantification of the thermal buffering effect. Our framework emphasizes the importance of clearly defining ambient temperature and other temperature metrics used in quantifying the thermal buffering effect, as well as the spatial and temporal scales of investigation. We believe a suitable framework can help to reduce the uncertainties in quantifying the thermal buffering of microhabitats and assessing the vulnerability of species to regional climate changes.","DOI":"10.1016/j.biocon.2016.11.006","ISSN":"0006-3207","journalAbbreviation":"Biological Conservation","author":[{"family":"Shi","given":"Haijing"},{"family":"Wen","given":"Zhongming"},{"family":"Paull","given":"David"},{"family":"Guo","given":"Minghang"}],"issued":{"date-parts":[["2016",12]]}}}],"schema":"https://github.com/citation-style-language/schema/raw/master/csl-citation.json"} </w:instrText>
      </w:r>
      <w:r>
        <w:fldChar w:fldCharType="separate"/>
      </w:r>
      <w:r w:rsidRPr="00ED2F95">
        <w:t xml:space="preserve">Shi </w:t>
      </w:r>
      <w:r w:rsidRPr="00ED2F95">
        <w:rPr>
          <w:i/>
          <w:iCs/>
        </w:rPr>
        <w:t>et al.</w:t>
      </w:r>
      <w:r w:rsidRPr="00ED2F95">
        <w:t xml:space="preserve"> </w:t>
      </w:r>
      <w:r>
        <w:t>(</w:t>
      </w:r>
      <w:r w:rsidRPr="00ED2F95">
        <w:t>2016)</w:t>
      </w:r>
      <w:r>
        <w:fldChar w:fldCharType="end"/>
      </w:r>
      <w:r>
        <w:t xml:space="preserve"> refer to as the ‘thermal buffering effect’ (the difference between </w:t>
      </w:r>
      <w:r w:rsidR="009B4EBF">
        <w:t>macroclimate</w:t>
      </w:r>
      <w:r>
        <w:t xml:space="preserve"> and microclimate temperature), while the slope is a measure of the ‘rate of change’ (the change in microclimate temperature for every 1</w:t>
      </w:r>
      <w:r w:rsidR="009B4EBF">
        <w:t>°C</w:t>
      </w:r>
      <w:r>
        <w:t xml:space="preserve"> rise in macroclimate temperature). </w:t>
      </w:r>
      <w:r w:rsidR="002843CB">
        <w:t>Surface microclimate temperature refers to the 5</w:t>
      </w:r>
      <w:r w:rsidR="002843CB" w:rsidRPr="002843CB">
        <w:rPr>
          <w:vertAlign w:val="superscript"/>
        </w:rPr>
        <w:t>th</w:t>
      </w:r>
      <w:r w:rsidR="002843CB">
        <w:t xml:space="preserve"> percentile of surface temperature observations for each plot, and this was compared against macroclimate temperature as measured by the hygrometer. </w:t>
      </w:r>
      <w:r w:rsidR="009B4EBF">
        <w:t>M</w:t>
      </w:r>
      <w:r w:rsidR="002843CB">
        <w:t xml:space="preserve">icroclimate temperature </w:t>
      </w:r>
      <w:r w:rsidR="009B4EBF">
        <w:t xml:space="preserve">inside leaf litter, tree holes and deadwood </w:t>
      </w:r>
      <w:r w:rsidR="002843CB">
        <w:t xml:space="preserve">refers to the raw temperature recorded by </w:t>
      </w:r>
      <w:r w:rsidR="009B4EBF">
        <w:t>datalogger</w:t>
      </w:r>
      <w:r w:rsidR="002843CB">
        <w:t xml:space="preserve">s inside microhabitats, and this was compared against macroclimate temperature as measured by a suspended </w:t>
      </w:r>
      <w:r w:rsidR="009B4EBF">
        <w:t>datalogger</w:t>
      </w:r>
      <w:r w:rsidR="002843CB">
        <w:t xml:space="preserve">. </w:t>
      </w:r>
      <w:r w:rsidR="00E236B0">
        <w:t>Models were run separately for surface, leaf litter, tree hole and deadwood microclimates.</w:t>
      </w:r>
      <w:r>
        <w:t xml:space="preserve"> </w:t>
      </w:r>
    </w:p>
    <w:p w14:paraId="2317193C" w14:textId="749D989D" w:rsidR="002416B3" w:rsidRDefault="002416B3" w:rsidP="002416B3">
      <w:pPr>
        <w:pStyle w:val="Heading3"/>
      </w:pPr>
      <w:r>
        <w:t>Microclimate availability</w:t>
      </w:r>
    </w:p>
    <w:p w14:paraId="0F0C2233" w14:textId="54B8BC62" w:rsidR="002C47EE" w:rsidRPr="002416B3" w:rsidRDefault="002C47EE" w:rsidP="002416B3">
      <w:r>
        <w:t>Microclimate occurrence was modelled separately for surface microclimates (i.e. the average surface area of cool pixels per m</w:t>
      </w:r>
      <w:r>
        <w:rPr>
          <w:vertAlign w:val="superscript"/>
        </w:rPr>
        <w:t>2</w:t>
      </w:r>
      <w:r>
        <w:t xml:space="preserve"> forest), and</w:t>
      </w:r>
      <w:r w:rsidR="002C336B">
        <w:t xml:space="preserve"> </w:t>
      </w:r>
      <w:r w:rsidR="00FC51DC">
        <w:t xml:space="preserve">those inside leaf litter, tree holes and deadwood </w:t>
      </w:r>
      <w:r>
        <w:t>(</w:t>
      </w:r>
      <w:r w:rsidR="00FC51DC">
        <w:t xml:space="preserve">each quantified by their </w:t>
      </w:r>
      <w:r>
        <w:t xml:space="preserve">average volume </w:t>
      </w:r>
      <w:r w:rsidR="00FC51DC">
        <w:t xml:space="preserve">per </w:t>
      </w:r>
      <w:r>
        <w:t>m</w:t>
      </w:r>
      <w:r>
        <w:rPr>
          <w:vertAlign w:val="superscript"/>
        </w:rPr>
        <w:t>2</w:t>
      </w:r>
      <w:r w:rsidR="002C336B">
        <w:t xml:space="preserve"> forest)</w:t>
      </w:r>
      <w:r>
        <w:t>. The spatial configuration of surface microclimates refers to the Aggregation Index of cool pixels</w:t>
      </w:r>
      <w:r w:rsidR="0085758A">
        <w:t xml:space="preserve"> (binomial data: </w:t>
      </w:r>
      <w:r w:rsidR="002C336B">
        <w:t>edges shared by cool pixels vs.</w:t>
      </w:r>
      <w:r w:rsidR="0085758A">
        <w:t xml:space="preserve"> edges not shared</w:t>
      </w:r>
      <w:r w:rsidR="002C336B">
        <w:t xml:space="preserve"> by cool pixels</w:t>
      </w:r>
      <w:r w:rsidR="0085758A">
        <w:t>)</w:t>
      </w:r>
      <w:r>
        <w:t xml:space="preserve">. </w:t>
      </w:r>
      <w:r w:rsidR="002C336B">
        <w:t xml:space="preserve">For all </w:t>
      </w:r>
      <w:r>
        <w:t>models</w:t>
      </w:r>
      <w:r w:rsidR="002C336B">
        <w:t>,</w:t>
      </w:r>
      <w:r>
        <w:t xml:space="preserve"> forest type </w:t>
      </w:r>
      <w:r w:rsidR="002C336B">
        <w:t>w</w:t>
      </w:r>
      <w:r>
        <w:t xml:space="preserve">as the only explanatory variable. </w:t>
      </w:r>
    </w:p>
    <w:p w14:paraId="658152DF" w14:textId="03860F34" w:rsidR="009E23AE" w:rsidRPr="00CF7ED3" w:rsidRDefault="00D23C3B" w:rsidP="00CF7ED3">
      <w:pPr>
        <w:pStyle w:val="Heading2"/>
      </w:pPr>
      <w:r w:rsidRPr="00CF7ED3">
        <w:t xml:space="preserve">Statistical </w:t>
      </w:r>
      <w:r w:rsidR="00EA41AB" w:rsidRPr="00CF7ED3">
        <w:t>analyses</w:t>
      </w:r>
    </w:p>
    <w:p w14:paraId="4BE7FCE2" w14:textId="32B5A704" w:rsidR="006E7FAB" w:rsidRPr="00CF7ED3" w:rsidRDefault="00B15202" w:rsidP="00CF7ED3">
      <w:r w:rsidRPr="00CF7ED3">
        <w:t xml:space="preserve">All data were analysed </w:t>
      </w:r>
      <w:r w:rsidR="00003368" w:rsidRPr="00CF7ED3">
        <w:t>using mixed effects models in R (version 3.3.0; R Core Team 2016).</w:t>
      </w:r>
      <w:r w:rsidR="007D110E" w:rsidRPr="00CF7ED3">
        <w:t xml:space="preserve"> To account for spatial pseudoreplication, forest structure models included ‘site’ as a random intercept term, and all other models included ‘plot’ nested in ‘site’. </w:t>
      </w:r>
      <w:r w:rsidR="005C3670">
        <w:t>T</w:t>
      </w:r>
      <w:r w:rsidR="007B15F0" w:rsidRPr="00CF7ED3">
        <w:t xml:space="preserve">emperature data were recorded at multiple time points, </w:t>
      </w:r>
      <w:r w:rsidR="005C3670">
        <w:t xml:space="preserve">and so </w:t>
      </w:r>
      <w:r w:rsidR="007B15F0" w:rsidRPr="00CF7ED3">
        <w:t xml:space="preserve">full models were visually assessed for evidence of temporal autocorrelation of residuals (function “acf” in the nlme </w:t>
      </w:r>
      <w:r w:rsidR="0085758A">
        <w:t xml:space="preserve">package; Pinheiro et al. 2016), and an </w:t>
      </w:r>
      <w:r w:rsidR="007B15F0" w:rsidRPr="00CF7ED3">
        <w:t xml:space="preserve">autoregressive correlation structure </w:t>
      </w:r>
      <w:r w:rsidR="005A271F">
        <w:t xml:space="preserve">incorporated into all </w:t>
      </w:r>
      <w:r w:rsidR="007B15F0" w:rsidRPr="00CF7ED3">
        <w:t>model</w:t>
      </w:r>
      <w:r w:rsidR="0085758A">
        <w:t>s</w:t>
      </w:r>
      <w:r w:rsidR="005A271F">
        <w:t xml:space="preserve"> with temperature</w:t>
      </w:r>
      <w:r w:rsidR="007B15F0" w:rsidRPr="00CF7ED3">
        <w:t xml:space="preserve"> </w:t>
      </w:r>
      <w:r w:rsidR="005A271F">
        <w:t xml:space="preserve">as a response variable </w:t>
      </w:r>
      <w:r w:rsidR="007B15F0" w:rsidRPr="00CF7ED3">
        <w:fldChar w:fldCharType="begin"/>
      </w:r>
      <w:r w:rsidR="00342CFF">
        <w:instrText xml:space="preserve"> ADDIN ZOTERO_ITEM CSL_CITATION {"citationID":"1jrrmbsv8l","properties":{"formattedCitation":"{\\rtf (Zuur {\\i{}et al.}, 2009)}","plainCitation":"(Zuur et al., 2009)"},"citationItems":[{"id":"UeNrVsxD/V1A1ngeA","uris":["http://zotero.org/users/1177238/items/UTNFCXHT"],"uri":["http://zotero.org/users/1177238/items/UTNFCXHT"],"itemData":{"id":"UeNrVsxD/V1A1ngeA","type":"book","title":"Mixed Effects Models and Extensions in Ecology with R","publisher":"Springer Science &amp; Business Media","number-of-pages":"579","source":"Google Books","abstract":"Building on the successful Analysing Ecological Data (2007) by Zuur, Ieno and Smith, the authors now provide an expanded introduction to using regression and its extensions in analysing ecological data. As with the earlier book, real data sets from postgraduate ecological studies or research projects are used throughout. The first part of the book is a largely non-mathematical introduction to linear mixed effects modelling, GLM and GAM, zero inflated models, GEE, GLMM and GAMM. The second part provides ten case studies that range from koalas to deep sea research. These chapters provide an invaluable insight into analysing complex ecological datasets, including comparisons of different approaches to the same problem. By matching ecological questions and data structure to a case study, these chapters provide an excellent starting point to analysing your own data. Data and R code from all chapters are available from www.highstat.com.","ISBN":"978-0-387-87458-6","language":"en","author":[{"family":"Zuur","given":"Alain"},{"family":"Ieno","given":"Elena N."},{"family":"Walker","given":"Neil"},{"family":"Saveliev","given":"Anatoly A."},{"family":"Smith","given":"Graham M."}],"issued":{"year":2009,"month":3,"day":5}}}],"schema":"https://github.com/citation-style-language/schema/raw/master/csl-citation.json"} </w:instrText>
      </w:r>
      <w:r w:rsidR="007B15F0" w:rsidRPr="00CF7ED3">
        <w:fldChar w:fldCharType="separate"/>
      </w:r>
      <w:r w:rsidR="00342CFF" w:rsidRPr="00342CFF">
        <w:t xml:space="preserve">(Zuur </w:t>
      </w:r>
      <w:r w:rsidR="00342CFF" w:rsidRPr="00342CFF">
        <w:rPr>
          <w:i/>
          <w:iCs/>
        </w:rPr>
        <w:t>et al.</w:t>
      </w:r>
      <w:r w:rsidR="00342CFF" w:rsidRPr="00342CFF">
        <w:t>, 2009)</w:t>
      </w:r>
      <w:r w:rsidR="007B15F0" w:rsidRPr="00CF7ED3">
        <w:fldChar w:fldCharType="end"/>
      </w:r>
      <w:r w:rsidR="007B15F0" w:rsidRPr="00CF7ED3">
        <w:t xml:space="preserve">. </w:t>
      </w:r>
      <w:r w:rsidR="00C63918" w:rsidRPr="00CF7ED3">
        <w:t>Generalized linear mixed effects mo</w:t>
      </w:r>
      <w:r w:rsidR="00664BB2" w:rsidRPr="00CF7ED3">
        <w:t>dels (GLMMs) with a binomial error distribution</w:t>
      </w:r>
      <w:r w:rsidR="005A271F">
        <w:t>, tested for overdispersion,</w:t>
      </w:r>
      <w:r w:rsidR="00664BB2" w:rsidRPr="00CF7ED3">
        <w:t xml:space="preserve"> were used for binomial data</w:t>
      </w:r>
      <w:r w:rsidR="005A271F">
        <w:t xml:space="preserve"> (proportion of dipterocarps and surface microclimate Aggregation Index)</w:t>
      </w:r>
      <w:r w:rsidR="00C63918" w:rsidRPr="00CF7ED3">
        <w:t>.</w:t>
      </w:r>
      <w:r w:rsidR="00255F3F" w:rsidRPr="00CF7ED3">
        <w:t xml:space="preserve"> </w:t>
      </w:r>
      <w:r w:rsidR="00B33487" w:rsidRPr="00CF7ED3">
        <w:t xml:space="preserve">Diagnostic plots were assessed for all models to confirm model fit, and variables transformed </w:t>
      </w:r>
      <w:r w:rsidR="00CA234B" w:rsidRPr="00CF7ED3">
        <w:t>to normality where necessary</w:t>
      </w:r>
      <w:r w:rsidR="00B33487" w:rsidRPr="00CF7ED3">
        <w:t>.</w:t>
      </w:r>
      <w:r w:rsidR="007B15F0" w:rsidRPr="00CF7ED3">
        <w:t xml:space="preserve"> For </w:t>
      </w:r>
      <w:r w:rsidR="005A271F">
        <w:t xml:space="preserve">true </w:t>
      </w:r>
      <w:r w:rsidR="007B15F0" w:rsidRPr="00CF7ED3">
        <w:t>proportion data</w:t>
      </w:r>
      <w:r w:rsidR="005A271F">
        <w:t xml:space="preserve"> (percentage shade </w:t>
      </w:r>
      <w:r w:rsidR="001D5334">
        <w:t>cover and</w:t>
      </w:r>
      <w:r w:rsidR="005A271F">
        <w:t xml:space="preserve"> </w:t>
      </w:r>
      <w:r w:rsidR="001D5334">
        <w:t xml:space="preserve">percentage </w:t>
      </w:r>
      <w:r w:rsidR="005A271F">
        <w:t>vegetation cover)</w:t>
      </w:r>
      <w:r w:rsidR="008706CB" w:rsidRPr="00CF7ED3">
        <w:t xml:space="preserve">, </w:t>
      </w:r>
      <w:r w:rsidR="00664BB2" w:rsidRPr="00CF7ED3">
        <w:t xml:space="preserve">the transformation used was </w:t>
      </w:r>
      <w:r w:rsidR="007B15F0" w:rsidRPr="00CF7ED3">
        <w:t xml:space="preserve">a modification of the empirical logit </w:t>
      </w:r>
      <w:r w:rsidR="007B15F0" w:rsidRPr="00CF7ED3">
        <w:fldChar w:fldCharType="begin"/>
      </w:r>
      <w:r w:rsidR="00342CFF">
        <w:instrText xml:space="preserve"> ADDIN ZOTERO_ITEM CSL_CITATION {"citationID":"bmutca7lr","properties":{"formattedCitation":"(Warton &amp; Hui, 2011)","plainCitation":"(Warton &amp; Hui, 2011)"},"citationItems":[{"id":12123,"uris":["http://zotero.org/users/1177238/items/HVMAZU4G"],"uri":["http://zotero.org/users/1177238/items/HVMAZU4G"],"itemData":{"id":12123,"type":"article-journal","title":"The arcsine is asinine: the analysis of proportions in ecology","container-title":"Ecology","page":"3-10","volume":"92","issue":"1","source":"Wiley Online Library","abstract":"The arcsine square root transformation has long been standard procedure when analyzing proportional data in ecology, with applications in data sets containing binomial and non-binomial response variables. Here, we argue that the arcsine transform should not be used in either circumstance. For binomial data, logistic regression has greater interpretability and higher power than analyses of transformed data. However, it is important to check the data for additional unexplained variation, i.e., overdispersion, and to account for it via the inclusion of random effects in the model if found. For non-binomial data, the arcsine transform is undesirable on the grounds of interpretability, and because it can produce nonsensical predictions. The logit transformation is proposed as an alternative approach to address these issues. Examples are presented in both cases to illustrate these advantages, comparing various methods of analyzing proportions including untransformed, arcsine- and logit-transformed linear models and logistic regression (with or without random effects). Simulations demonstrate that logistic regression usually provides a gain in power over other methods.","DOI":"10.1890/10-0340.1","ISSN":"1939-9170","shortTitle":"The arcsine is asinine","language":"en","author":[{"family":"Warton","given":"David I."},{"family":"Hui","given":"Francis K. C."}],"issued":{"date-parts":[["2011",1,1]]}}}],"schema":"https://github.com/citation-style-language/schema/raw/master/csl-citation.json"} </w:instrText>
      </w:r>
      <w:r w:rsidR="007B15F0" w:rsidRPr="00CF7ED3">
        <w:fldChar w:fldCharType="separate"/>
      </w:r>
      <w:r w:rsidR="00342CFF" w:rsidRPr="00342CFF">
        <w:t>(Warton &amp; Hui, 2011)</w:t>
      </w:r>
      <w:r w:rsidR="007B15F0" w:rsidRPr="00CF7ED3">
        <w:fldChar w:fldCharType="end"/>
      </w:r>
      <w:r w:rsidR="00664BB2" w:rsidRPr="00CF7ED3">
        <w:t>.</w:t>
      </w:r>
    </w:p>
    <w:p w14:paraId="2953D788" w14:textId="42761CD5" w:rsidR="008F4607" w:rsidRPr="00CF7ED3" w:rsidRDefault="006E7FAB" w:rsidP="00CF7ED3">
      <w:r w:rsidRPr="00CF7ED3">
        <w:t xml:space="preserve"> For all models, s</w:t>
      </w:r>
      <w:r w:rsidR="007B15F0" w:rsidRPr="00CF7ED3">
        <w:t>tatistical significance was inspected using likelihood ratio tests, dropping each fixed effect in turn and comparing it to the full model (Zuur et al. 2009). The significance of main effects involved in an interaction was assessed in the same way, except reduced models were compared to a full model without the interaction</w:t>
      </w:r>
      <w:r w:rsidR="00664BB2" w:rsidRPr="00CF7ED3">
        <w:t xml:space="preserve"> term</w:t>
      </w:r>
      <w:r w:rsidR="007B15F0" w:rsidRPr="00CF7ED3">
        <w:t>.</w:t>
      </w:r>
      <w:r w:rsidRPr="00CF7ED3">
        <w:t xml:space="preserve"> </w:t>
      </w:r>
      <w:r w:rsidR="008F4607" w:rsidRPr="00CF7ED3">
        <w:br w:type="page"/>
      </w:r>
    </w:p>
    <w:p w14:paraId="108037FA" w14:textId="77777777" w:rsidR="00310A8E" w:rsidRPr="00CF7ED3" w:rsidRDefault="008F4607" w:rsidP="00CF7ED3">
      <w:pPr>
        <w:pStyle w:val="Heading1"/>
      </w:pPr>
      <w:r w:rsidRPr="00CF7ED3">
        <w:t>Results</w:t>
      </w:r>
    </w:p>
    <w:p w14:paraId="21F034CF" w14:textId="58A271EA" w:rsidR="008F4607" w:rsidRPr="00CF7ED3" w:rsidRDefault="00587F59" w:rsidP="00CF7ED3">
      <w:pPr>
        <w:pStyle w:val="Heading2"/>
      </w:pPr>
      <w:r w:rsidRPr="00CF7ED3">
        <w:t>Changes in forest structure after logging</w:t>
      </w:r>
    </w:p>
    <w:p w14:paraId="1726AB83" w14:textId="1D6359F2" w:rsidR="00313314" w:rsidRDefault="00091679" w:rsidP="00CF7ED3">
      <w:r w:rsidRPr="00CF7ED3">
        <w:t xml:space="preserve">Following two </w:t>
      </w:r>
      <w:r w:rsidR="00D71A66" w:rsidRPr="00CF7ED3">
        <w:t>rounds</w:t>
      </w:r>
      <w:r w:rsidR="00BB5BA9" w:rsidRPr="00CF7ED3">
        <w:t xml:space="preserve"> of commercial selective logging, </w:t>
      </w:r>
      <w:r w:rsidR="005B1878" w:rsidRPr="00CF7ED3">
        <w:t xml:space="preserve">tree basal area was </w:t>
      </w:r>
      <w:r w:rsidR="009C2881">
        <w:t xml:space="preserve">reduced by </w:t>
      </w:r>
      <w:r w:rsidR="005B1878" w:rsidRPr="00CF7ED3">
        <w:t xml:space="preserve">36% </w:t>
      </w:r>
      <w:r w:rsidR="009C2881">
        <w:t xml:space="preserve">compared to undisturbed primary forests </w:t>
      </w:r>
      <w:r w:rsidR="00007561" w:rsidRPr="00CF7ED3">
        <w:t>(</w:t>
      </w:r>
      <w:r w:rsidR="001E22C9">
        <w:rPr>
          <w:i/>
        </w:rPr>
        <w:t>P</w:t>
      </w:r>
      <w:r w:rsidR="005E6847" w:rsidRPr="00CF7ED3">
        <w:t xml:space="preserve"> = 0.00612</w:t>
      </w:r>
      <w:r w:rsidR="001E22C9">
        <w:t xml:space="preserve">; </w:t>
      </w:r>
      <w:r w:rsidR="00121BB4">
        <w:t>Fig. S1</w:t>
      </w:r>
      <w:r w:rsidR="008759EB">
        <w:t>a</w:t>
      </w:r>
      <w:r w:rsidR="00007561" w:rsidRPr="00CF7ED3">
        <w:t>)</w:t>
      </w:r>
      <w:r w:rsidR="00C6055A" w:rsidRPr="00CF7ED3">
        <w:t>.</w:t>
      </w:r>
      <w:r w:rsidR="00170D86">
        <w:t xml:space="preserve"> T</w:t>
      </w:r>
      <w:r w:rsidR="00024FEB" w:rsidRPr="00CF7ED3">
        <w:t>here was</w:t>
      </w:r>
      <w:r w:rsidR="00722611">
        <w:t xml:space="preserve"> </w:t>
      </w:r>
      <w:r w:rsidR="00024FEB" w:rsidRPr="00CF7ED3">
        <w:t xml:space="preserve">no difference between primary and logged forests in terms of </w:t>
      </w:r>
      <w:r w:rsidR="005E6847" w:rsidRPr="00CF7ED3">
        <w:t>sapling basal area (</w:t>
      </w:r>
      <w:r w:rsidR="001E22C9">
        <w:rPr>
          <w:i/>
        </w:rPr>
        <w:t>P</w:t>
      </w:r>
      <w:r w:rsidR="001E22C9" w:rsidRPr="00CF7ED3">
        <w:t xml:space="preserve"> = 0.115</w:t>
      </w:r>
      <w:r w:rsidR="001E22C9">
        <w:t xml:space="preserve">; </w:t>
      </w:r>
      <w:r w:rsidR="00121BB4">
        <w:t>Fig. S1</w:t>
      </w:r>
      <w:r w:rsidR="008759EB">
        <w:t>b</w:t>
      </w:r>
      <w:r w:rsidR="005E6847" w:rsidRPr="00CF7ED3">
        <w:t xml:space="preserve">), </w:t>
      </w:r>
      <w:r w:rsidR="00024FEB" w:rsidRPr="00CF7ED3">
        <w:t>the proportion of trees that were dipterocarps (</w:t>
      </w:r>
      <w:r w:rsidR="001E22C9">
        <w:rPr>
          <w:i/>
        </w:rPr>
        <w:t>P</w:t>
      </w:r>
      <w:r w:rsidR="009C2881">
        <w:t xml:space="preserve"> =</w:t>
      </w:r>
      <w:r w:rsidR="001E22C9" w:rsidRPr="00CF7ED3">
        <w:t xml:space="preserve"> </w:t>
      </w:r>
      <w:r w:rsidR="009C2881">
        <w:t>0.12</w:t>
      </w:r>
      <w:r w:rsidR="001E22C9">
        <w:t xml:space="preserve">; </w:t>
      </w:r>
      <w:r w:rsidR="00121BB4">
        <w:t>Fig. S1</w:t>
      </w:r>
      <w:r w:rsidR="008759EB">
        <w:t>c</w:t>
      </w:r>
      <w:r w:rsidR="00024FEB" w:rsidRPr="00CF7ED3">
        <w:t xml:space="preserve">), </w:t>
      </w:r>
      <w:r w:rsidR="000A4730" w:rsidRPr="00CF7ED3">
        <w:t>or</w:t>
      </w:r>
      <w:r w:rsidR="005E6847" w:rsidRPr="00CF7ED3">
        <w:t xml:space="preserve"> percentage shade cover (</w:t>
      </w:r>
      <w:r w:rsidR="001E22C9">
        <w:rPr>
          <w:i/>
        </w:rPr>
        <w:t>P</w:t>
      </w:r>
      <w:r w:rsidR="001E22C9" w:rsidRPr="00CF7ED3">
        <w:t xml:space="preserve"> = 0.272</w:t>
      </w:r>
      <w:r w:rsidR="001E22C9">
        <w:t xml:space="preserve">; </w:t>
      </w:r>
      <w:r w:rsidR="00121BB4">
        <w:t>Fig. S1</w:t>
      </w:r>
      <w:r w:rsidR="008759EB">
        <w:t>d</w:t>
      </w:r>
      <w:r w:rsidR="009C2881">
        <w:t>)</w:t>
      </w:r>
      <w:r w:rsidR="005E6847" w:rsidRPr="00CF7ED3">
        <w:t>.</w:t>
      </w:r>
      <w:r w:rsidR="00024FEB" w:rsidRPr="00CF7ED3">
        <w:t xml:space="preserve"> </w:t>
      </w:r>
      <w:r w:rsidR="00722611">
        <w:t>P</w:t>
      </w:r>
      <w:r w:rsidR="000A4730" w:rsidRPr="00CF7ED3">
        <w:t xml:space="preserve">ercentage vegetation cover at ground level was </w:t>
      </w:r>
      <w:r w:rsidR="00722611">
        <w:t xml:space="preserve">also </w:t>
      </w:r>
      <w:r w:rsidR="000A4730" w:rsidRPr="00CF7ED3">
        <w:t>comparable between forest types (</w:t>
      </w:r>
      <w:r w:rsidR="001E22C9">
        <w:rPr>
          <w:i/>
        </w:rPr>
        <w:t>P</w:t>
      </w:r>
      <w:r w:rsidR="005E6847" w:rsidRPr="00CF7ED3">
        <w:t xml:space="preserve"> = 0.0968</w:t>
      </w:r>
      <w:r w:rsidR="001E22C9">
        <w:t xml:space="preserve">; </w:t>
      </w:r>
      <w:r w:rsidR="00121BB4">
        <w:t>Fig. S1</w:t>
      </w:r>
      <w:r w:rsidR="008759EB">
        <w:t>e</w:t>
      </w:r>
      <w:r w:rsidR="000A4730" w:rsidRPr="00CF7ED3">
        <w:t xml:space="preserve">), </w:t>
      </w:r>
      <w:r w:rsidR="00007561" w:rsidRPr="00CF7ED3">
        <w:t xml:space="preserve">but </w:t>
      </w:r>
      <w:r w:rsidR="000A4730" w:rsidRPr="00CF7ED3">
        <w:t>in the understorey and canopy vegetation cover was 13.7% (</w:t>
      </w:r>
      <w:r w:rsidR="001E22C9">
        <w:rPr>
          <w:i/>
        </w:rPr>
        <w:t>P</w:t>
      </w:r>
      <w:r w:rsidR="005E6847" w:rsidRPr="00CF7ED3">
        <w:t xml:space="preserve"> = 0.0215</w:t>
      </w:r>
      <w:r w:rsidR="001E22C9">
        <w:t xml:space="preserve">; </w:t>
      </w:r>
      <w:r w:rsidR="00121BB4">
        <w:t>Fig. S1</w:t>
      </w:r>
      <w:r w:rsidR="008759EB">
        <w:t>f</w:t>
      </w:r>
      <w:r w:rsidR="000A4730" w:rsidRPr="00CF7ED3">
        <w:t>) and 14.5% (</w:t>
      </w:r>
      <w:r w:rsidR="001E22C9">
        <w:rPr>
          <w:i/>
        </w:rPr>
        <w:t>P</w:t>
      </w:r>
      <w:r w:rsidR="00C56631" w:rsidRPr="00CF7ED3">
        <w:t xml:space="preserve"> = 0.00246</w:t>
      </w:r>
      <w:r w:rsidR="001E22C9">
        <w:t xml:space="preserve">; </w:t>
      </w:r>
      <w:r w:rsidR="00121BB4">
        <w:t>Fig. S1</w:t>
      </w:r>
      <w:r w:rsidR="008759EB">
        <w:t>g</w:t>
      </w:r>
      <w:r w:rsidR="000A4730" w:rsidRPr="00CF7ED3">
        <w:t>) lower in logged than in primary forests, respecti</w:t>
      </w:r>
      <w:r w:rsidR="005E6847" w:rsidRPr="00CF7ED3">
        <w:t>vely.</w:t>
      </w:r>
      <w:r w:rsidR="009C2881">
        <w:t xml:space="preserve"> </w:t>
      </w:r>
      <w:r w:rsidR="005C3670">
        <w:t>Thus</w:t>
      </w:r>
      <w:r w:rsidR="00170D86">
        <w:t>,</w:t>
      </w:r>
      <w:r w:rsidR="005C3670">
        <w:t xml:space="preserve"> </w:t>
      </w:r>
      <w:r w:rsidR="0085758A">
        <w:t>9-12</w:t>
      </w:r>
      <w:r w:rsidR="005C3670">
        <w:t xml:space="preserve"> years after logging there were significant differences in </w:t>
      </w:r>
      <w:r w:rsidR="009C2881">
        <w:t xml:space="preserve">forest structure </w:t>
      </w:r>
      <w:r w:rsidR="00F40FA0">
        <w:t xml:space="preserve">between </w:t>
      </w:r>
      <w:r w:rsidR="009C2881">
        <w:t xml:space="preserve">logged and primary forests, especially in terms of </w:t>
      </w:r>
      <w:r w:rsidR="00C318ED">
        <w:t xml:space="preserve">occurrence of </w:t>
      </w:r>
      <w:r w:rsidR="009C2881">
        <w:t xml:space="preserve">mature trees. </w:t>
      </w:r>
    </w:p>
    <w:p w14:paraId="1D7CF3E8" w14:textId="1FB57F4E" w:rsidR="00EB53A4" w:rsidRDefault="009B4EBF" w:rsidP="00EB53A4">
      <w:pPr>
        <w:pStyle w:val="Heading2"/>
      </w:pPr>
      <w:r>
        <w:t>macroclimate</w:t>
      </w:r>
      <w:r w:rsidR="00EB53A4">
        <w:t xml:space="preserve"> and microclimate temperature comparable between forest types</w:t>
      </w:r>
    </w:p>
    <w:p w14:paraId="430A60C8" w14:textId="1F2D532A" w:rsidR="00410CA2" w:rsidRDefault="006E322F" w:rsidP="00AD237F">
      <w:r>
        <w:t>There was no effect of selective logging on macroclimate temperature, whether measured by the hygrometer (</w:t>
      </w:r>
      <w:r>
        <w:rPr>
          <w:i/>
        </w:rPr>
        <w:t>P</w:t>
      </w:r>
      <w:r w:rsidR="008951F1">
        <w:t xml:space="preserve"> = 0.519</w:t>
      </w:r>
      <w:r>
        <w:t xml:space="preserve">; </w:t>
      </w:r>
      <w:r w:rsidR="00242B0E">
        <w:t>Fig. 3</w:t>
      </w:r>
      <w:r w:rsidR="008951F1">
        <w:t>a</w:t>
      </w:r>
      <w:r>
        <w:t xml:space="preserve">) or suspended </w:t>
      </w:r>
      <w:r w:rsidR="009B4EBF">
        <w:t>datalogger</w:t>
      </w:r>
      <w:r>
        <w:t xml:space="preserve"> (</w:t>
      </w:r>
      <w:r>
        <w:rPr>
          <w:i/>
        </w:rPr>
        <w:t>P</w:t>
      </w:r>
      <w:r w:rsidR="005A2F70">
        <w:t xml:space="preserve"> = </w:t>
      </w:r>
      <w:r w:rsidR="00784403">
        <w:t>0.27</w:t>
      </w:r>
      <w:r>
        <w:t xml:space="preserve">; </w:t>
      </w:r>
      <w:r w:rsidR="00242B0E">
        <w:t>Fig. 3</w:t>
      </w:r>
      <w:r w:rsidR="008951F1">
        <w:t>b</w:t>
      </w:r>
      <w:r>
        <w:t>).</w:t>
      </w:r>
      <w:r w:rsidR="008951F1">
        <w:t xml:space="preserve"> </w:t>
      </w:r>
      <w:r w:rsidR="00AD237F">
        <w:t>Thus</w:t>
      </w:r>
      <w:r w:rsidR="008951F1">
        <w:t>, the necessity for thermal buffering was c</w:t>
      </w:r>
      <w:r w:rsidR="00D9744D">
        <w:t>omparable between forest types</w:t>
      </w:r>
      <w:r w:rsidR="00AD237F">
        <w:t xml:space="preserve">. Additionally, because the baseline macroclimate temperature is constant between forest types, we can consider the temperature of microclimates relative to that of the macroclimate </w:t>
      </w:r>
      <w:r w:rsidR="008951F1">
        <w:t>as a sufficient measure of thermal buffering potential</w:t>
      </w:r>
      <w:r w:rsidR="00AD237F">
        <w:t>, without needing to explicitly consider the absolute temperature of microclimates.</w:t>
      </w:r>
    </w:p>
    <w:p w14:paraId="542CB0EB" w14:textId="63D0D8C3" w:rsidR="002354A4" w:rsidRPr="005B6984" w:rsidRDefault="00D9744D" w:rsidP="006C4CB7">
      <w:r>
        <w:t xml:space="preserve">The overall difference between </w:t>
      </w:r>
      <w:r w:rsidR="009B4EBF">
        <w:t>macroclimate</w:t>
      </w:r>
      <w:r>
        <w:t xml:space="preserve"> and microclimate temperature (</w:t>
      </w:r>
      <w:r w:rsidR="006C4CB7">
        <w:t>‘</w:t>
      </w:r>
      <w:r>
        <w:t>thermal buffering effect</w:t>
      </w:r>
      <w:r w:rsidR="006C4CB7">
        <w:t>’</w:t>
      </w:r>
      <w:r>
        <w:t xml:space="preserve">) </w:t>
      </w:r>
      <w:r w:rsidR="00D214D8">
        <w:t>was unaffected by selective logging</w:t>
      </w:r>
      <w:r w:rsidR="00410CA2">
        <w:t xml:space="preserve">, </w:t>
      </w:r>
      <w:r w:rsidR="00A72055">
        <w:t>regardless of whether microclimate temperature was measured at the surface (</w:t>
      </w:r>
      <w:r w:rsidR="00A72055">
        <w:rPr>
          <w:i/>
        </w:rPr>
        <w:t>P</w:t>
      </w:r>
      <w:r w:rsidR="00A72055">
        <w:t xml:space="preserve"> = 0.</w:t>
      </w:r>
      <w:r w:rsidRPr="00D9744D">
        <w:t xml:space="preserve"> 0.701</w:t>
      </w:r>
      <w:r w:rsidR="00242B0E">
        <w:t>; Fig. 3</w:t>
      </w:r>
      <w:r w:rsidR="00A72055">
        <w:t>c), or inside leaf litter (</w:t>
      </w:r>
      <w:r w:rsidR="00A72055">
        <w:rPr>
          <w:i/>
        </w:rPr>
        <w:t>P</w:t>
      </w:r>
      <w:r w:rsidR="00A72055">
        <w:t xml:space="preserve"> = 0.</w:t>
      </w:r>
      <w:r w:rsidRPr="00D9744D">
        <w:t xml:space="preserve"> </w:t>
      </w:r>
      <w:r>
        <w:t>0.36</w:t>
      </w:r>
      <w:r w:rsidR="00242B0E">
        <w:t>; Fig. 3</w:t>
      </w:r>
      <w:r w:rsidR="00A72055">
        <w:t>d), tree holes (</w:t>
      </w:r>
      <w:r w:rsidR="00A72055">
        <w:rPr>
          <w:i/>
        </w:rPr>
        <w:t>P</w:t>
      </w:r>
      <w:r w:rsidR="00A72055">
        <w:t xml:space="preserve"> = </w:t>
      </w:r>
      <w:r>
        <w:t>0.293</w:t>
      </w:r>
      <w:r w:rsidR="00242B0E">
        <w:t>; Fig. 3</w:t>
      </w:r>
      <w:r w:rsidR="00A72055">
        <w:t>e) or deadwood (</w:t>
      </w:r>
      <w:r w:rsidR="00A72055">
        <w:rPr>
          <w:i/>
        </w:rPr>
        <w:t>P</w:t>
      </w:r>
      <w:r w:rsidR="00A72055">
        <w:t xml:space="preserve"> = </w:t>
      </w:r>
      <w:r>
        <w:t>0.445</w:t>
      </w:r>
      <w:r w:rsidR="00242B0E">
        <w:t>; Fig. 3</w:t>
      </w:r>
      <w:r w:rsidR="007116BA">
        <w:t>f</w:t>
      </w:r>
      <w:r w:rsidR="00A72055">
        <w:t>).</w:t>
      </w:r>
      <w:r>
        <w:t xml:space="preserve"> </w:t>
      </w:r>
      <w:r w:rsidR="005B6984">
        <w:t xml:space="preserve">There was a highly significant relationship between </w:t>
      </w:r>
      <w:r w:rsidR="009B4EBF">
        <w:t>macroclimate</w:t>
      </w:r>
      <w:r w:rsidR="005B6984">
        <w:t xml:space="preserve"> and microclimate temperature (</w:t>
      </w:r>
      <w:r w:rsidR="005B6984">
        <w:rPr>
          <w:i/>
        </w:rPr>
        <w:t>P</w:t>
      </w:r>
      <w:r w:rsidR="005B6984">
        <w:t xml:space="preserve"> </w:t>
      </w:r>
      <w:r w:rsidR="002354A4">
        <w:t>&lt; 0.0001 for all microclimates). The slope of this relationship was consistent between forest types for surface microclimates (</w:t>
      </w:r>
      <w:r w:rsidR="002354A4">
        <w:rPr>
          <w:i/>
        </w:rPr>
        <w:t>P</w:t>
      </w:r>
      <w:r w:rsidR="00242B0E">
        <w:t xml:space="preserve"> = 0.947; Fig. 3</w:t>
      </w:r>
      <w:r w:rsidR="002354A4">
        <w:t xml:space="preserve">c), which warmed by </w:t>
      </w:r>
      <w:r w:rsidR="0072687A">
        <w:t>0.76</w:t>
      </w:r>
      <w:r w:rsidR="009B4EBF">
        <w:t>°C</w:t>
      </w:r>
      <w:r w:rsidR="002354A4">
        <w:t xml:space="preserve"> for </w:t>
      </w:r>
      <w:r w:rsidR="0072687A">
        <w:t>a 1</w:t>
      </w:r>
      <w:r w:rsidR="009B4EBF">
        <w:t>°C</w:t>
      </w:r>
      <w:r w:rsidR="002354A4">
        <w:t xml:space="preserve"> rise in macroclimate temperature.</w:t>
      </w:r>
      <w:r w:rsidR="00BB3902">
        <w:t xml:space="preserve"> In contrast, </w:t>
      </w:r>
      <w:r w:rsidR="006C4CB7">
        <w:t xml:space="preserve">for 1°C macroclimate warming, </w:t>
      </w:r>
      <w:r w:rsidR="00BB3902">
        <w:t xml:space="preserve">microclimates inside </w:t>
      </w:r>
      <w:r w:rsidR="006C4CB7">
        <w:t xml:space="preserve">leaf litter </w:t>
      </w:r>
      <w:r w:rsidR="00BB3902" w:rsidRPr="00CF7ED3">
        <w:t xml:space="preserve">warmed </w:t>
      </w:r>
      <w:r w:rsidR="00754FE2">
        <w:t>less in logged forest (0.23°C) than in primary forest (0.32</w:t>
      </w:r>
      <w:r w:rsidR="00BB3902" w:rsidRPr="00CF7ED3">
        <w:t xml:space="preserve">°C; </w:t>
      </w:r>
      <w:r w:rsidR="00BB3902" w:rsidRPr="003D0C71">
        <w:rPr>
          <w:i/>
        </w:rPr>
        <w:t>P</w:t>
      </w:r>
      <w:r w:rsidR="00242B0E">
        <w:t xml:space="preserve"> &lt; 0.001; Fig. 3</w:t>
      </w:r>
      <w:r w:rsidR="00BB3902">
        <w:t>d</w:t>
      </w:r>
      <w:r w:rsidR="00BB3902" w:rsidRPr="00CF7ED3">
        <w:t xml:space="preserve">), and </w:t>
      </w:r>
      <w:r w:rsidR="006C4CB7">
        <w:t xml:space="preserve">the same was true of </w:t>
      </w:r>
      <w:r w:rsidR="00BB3902" w:rsidRPr="00CF7ED3">
        <w:t xml:space="preserve">tree holes </w:t>
      </w:r>
      <w:r w:rsidR="006F45D1">
        <w:t xml:space="preserve">in logged forest (0.34°C) </w:t>
      </w:r>
      <w:r w:rsidR="006C4CB7">
        <w:t xml:space="preserve">compared to </w:t>
      </w:r>
      <w:r w:rsidR="006F45D1">
        <w:t>primary forest (0.38</w:t>
      </w:r>
      <w:r w:rsidR="00BB3902" w:rsidRPr="00CF7ED3">
        <w:t xml:space="preserve">°C; </w:t>
      </w:r>
      <w:r w:rsidR="00BB3902" w:rsidRPr="003D0C71">
        <w:rPr>
          <w:i/>
        </w:rPr>
        <w:t>P</w:t>
      </w:r>
      <w:r w:rsidR="00BB3902">
        <w:t xml:space="preserve"> &lt; 0.001; Fig. </w:t>
      </w:r>
      <w:r w:rsidR="00242B0E">
        <w:t>3</w:t>
      </w:r>
      <w:r w:rsidR="00BB3902">
        <w:t>e</w:t>
      </w:r>
      <w:r w:rsidR="00BB3902" w:rsidRPr="00CF7ED3">
        <w:t xml:space="preserve">). The pattern </w:t>
      </w:r>
      <w:r w:rsidR="00BB3902">
        <w:t>was</w:t>
      </w:r>
      <w:r w:rsidR="00BB3902" w:rsidRPr="00CF7ED3">
        <w:t xml:space="preserve"> reversed in deadwood (</w:t>
      </w:r>
      <w:r w:rsidR="00BB3902" w:rsidRPr="003D0C71">
        <w:rPr>
          <w:i/>
        </w:rPr>
        <w:t>P</w:t>
      </w:r>
      <w:r w:rsidR="00242B0E">
        <w:t xml:space="preserve"> &lt; 0.001; Fig. 3</w:t>
      </w:r>
      <w:r w:rsidR="00BB3902">
        <w:t>f</w:t>
      </w:r>
      <w:r w:rsidR="00BB3902" w:rsidRPr="00CF7ED3">
        <w:t xml:space="preserve">), where </w:t>
      </w:r>
      <w:r w:rsidR="00E5381C">
        <w:t>1</w:t>
      </w:r>
      <w:r w:rsidR="009B4EBF">
        <w:t>°C</w:t>
      </w:r>
      <w:r w:rsidR="00E5381C">
        <w:t xml:space="preserve"> </w:t>
      </w:r>
      <w:r w:rsidR="00BB3902">
        <w:t xml:space="preserve">macroclimate </w:t>
      </w:r>
      <w:r w:rsidR="00E5381C">
        <w:t xml:space="preserve">warming </w:t>
      </w:r>
      <w:r w:rsidR="00BB3902" w:rsidRPr="00CF7ED3">
        <w:t xml:space="preserve">resulted in </w:t>
      </w:r>
      <w:r w:rsidR="00BB3902">
        <w:t xml:space="preserve">deadwood microclimates warming </w:t>
      </w:r>
      <w:r w:rsidR="00E5381C">
        <w:t>by 0.35</w:t>
      </w:r>
      <w:r w:rsidR="00BB3902" w:rsidRPr="00CF7ED3">
        <w:t xml:space="preserve">°C in </w:t>
      </w:r>
      <w:r w:rsidR="00E5381C">
        <w:t>logged forest and 0.25</w:t>
      </w:r>
      <w:r w:rsidR="00BB3902" w:rsidRPr="00CF7ED3">
        <w:t xml:space="preserve">°C in logged forest. </w:t>
      </w:r>
      <w:r w:rsidR="00BB3902">
        <w:t>Leaf litter and tree holes therefore had greater thermal buffering potential in logged forest than in primary forest, and the reverse was true for deadwood. At the surface, however, thermal buffering potential was equivalent between logged and primary forests.</w:t>
      </w:r>
    </w:p>
    <w:p w14:paraId="58050AFD" w14:textId="77777777" w:rsidR="002354A4" w:rsidRDefault="00EB53A4" w:rsidP="00F04516">
      <w:pPr>
        <w:pStyle w:val="Heading2"/>
      </w:pPr>
      <w:r>
        <w:t>Microclimate availability comparable between forest types</w:t>
      </w:r>
    </w:p>
    <w:p w14:paraId="4414295F" w14:textId="059E01D9" w:rsidR="000B482D" w:rsidRPr="00CF7ED3" w:rsidRDefault="007146C4" w:rsidP="007A02C7">
      <w:r>
        <w:t>The thermal buffering potential within a habitat depends not only on the temperature of microclimates relative to the macroclimate, but also on the overall availability of those microclimates. The occurrence of surface microclimates was not impacted by selective logging</w:t>
      </w:r>
      <w:r w:rsidR="00006E71">
        <w:t xml:space="preserve"> (</w:t>
      </w:r>
      <w:r w:rsidR="00006E71">
        <w:rPr>
          <w:i/>
        </w:rPr>
        <w:t>P</w:t>
      </w:r>
      <w:r w:rsidR="00242B0E">
        <w:t xml:space="preserve"> = 0.999; Fig. 4</w:t>
      </w:r>
      <w:r w:rsidR="00B025AB">
        <w:t>a). P</w:t>
      </w:r>
      <w:r w:rsidR="00006E71">
        <w:t xml:space="preserve">er </w:t>
      </w:r>
      <w:r w:rsidR="00006E71" w:rsidRPr="00006E71">
        <w:t>m</w:t>
      </w:r>
      <w:r w:rsidR="00006E71" w:rsidRPr="00006E71">
        <w:rPr>
          <w:vertAlign w:val="superscript"/>
        </w:rPr>
        <w:t>2</w:t>
      </w:r>
      <w:r w:rsidR="00006E71">
        <w:t xml:space="preserve"> forest, </w:t>
      </w:r>
      <w:r w:rsidR="00006E71" w:rsidRPr="00006E71">
        <w:t>the</w:t>
      </w:r>
      <w:r w:rsidR="00006E71">
        <w:t xml:space="preserve"> area of surface microclimates was 2178 cm</w:t>
      </w:r>
      <w:r w:rsidR="00006E71">
        <w:rPr>
          <w:vertAlign w:val="superscript"/>
        </w:rPr>
        <w:t>2</w:t>
      </w:r>
      <w:r w:rsidR="00006E71">
        <w:t xml:space="preserve"> in logged forest compared to 2183 cm</w:t>
      </w:r>
      <w:r w:rsidR="00006E71">
        <w:rPr>
          <w:vertAlign w:val="superscript"/>
        </w:rPr>
        <w:t xml:space="preserve">2 </w:t>
      </w:r>
      <w:r w:rsidR="00006E71">
        <w:t xml:space="preserve">in primary forest. </w:t>
      </w:r>
      <w:r w:rsidR="00B025AB">
        <w:t xml:space="preserve">The occurrence of microhabitats was also constant between forest types. </w:t>
      </w:r>
      <w:r w:rsidR="00006E71" w:rsidRPr="00CF7ED3">
        <w:t>In 1 m</w:t>
      </w:r>
      <w:r w:rsidR="00006E71" w:rsidRPr="00CF7ED3">
        <w:rPr>
          <w:vertAlign w:val="superscript"/>
        </w:rPr>
        <w:t>2</w:t>
      </w:r>
      <w:r w:rsidR="00006E71" w:rsidRPr="00CF7ED3">
        <w:t xml:space="preserve"> habitat, logged and primary forests </w:t>
      </w:r>
      <w:r w:rsidR="00B025AB">
        <w:t xml:space="preserve">respectively </w:t>
      </w:r>
      <w:r w:rsidR="00006E71" w:rsidRPr="00CF7ED3">
        <w:t>contained:</w:t>
      </w:r>
      <w:r w:rsidR="00006E71">
        <w:t xml:space="preserve"> 3</w:t>
      </w:r>
      <w:r w:rsidR="00006E71" w:rsidRPr="00CF7ED3">
        <w:t>430 versus</w:t>
      </w:r>
      <w:r w:rsidR="00006E71">
        <w:t xml:space="preserve"> 3</w:t>
      </w:r>
      <w:r w:rsidR="00006E71" w:rsidRPr="00CF7ED3">
        <w:t>790 cm</w:t>
      </w:r>
      <w:r w:rsidR="00006E71" w:rsidRPr="00CF7ED3">
        <w:rPr>
          <w:vertAlign w:val="superscript"/>
        </w:rPr>
        <w:t>3</w:t>
      </w:r>
      <w:r w:rsidR="00006E71" w:rsidRPr="00CF7ED3">
        <w:t xml:space="preserve"> of leaf litter (</w:t>
      </w:r>
      <w:r w:rsidR="00006E71" w:rsidRPr="003D0C71">
        <w:rPr>
          <w:i/>
        </w:rPr>
        <w:t>P</w:t>
      </w:r>
      <w:r w:rsidR="00006E71">
        <w:t xml:space="preserve"> = 0.224</w:t>
      </w:r>
      <w:r w:rsidR="00006E71" w:rsidRPr="00CF7ED3">
        <w:t xml:space="preserve">; </w:t>
      </w:r>
      <w:r w:rsidR="00242B0E">
        <w:t>Fig. 4</w:t>
      </w:r>
      <w:r w:rsidR="00006E71">
        <w:t>b</w:t>
      </w:r>
      <w:r w:rsidR="00006E71" w:rsidRPr="00CF7ED3">
        <w:t>); 17.5 versus 12.5 cm</w:t>
      </w:r>
      <w:r w:rsidR="00006E71" w:rsidRPr="00CF7ED3">
        <w:rPr>
          <w:vertAlign w:val="superscript"/>
        </w:rPr>
        <w:t>3</w:t>
      </w:r>
      <w:r w:rsidR="00006E71" w:rsidRPr="00CF7ED3">
        <w:t xml:space="preserve"> of tree holes (</w:t>
      </w:r>
      <w:r w:rsidR="00006E71" w:rsidRPr="003D0C71">
        <w:rPr>
          <w:i/>
        </w:rPr>
        <w:t>P</w:t>
      </w:r>
      <w:r w:rsidR="00006E71">
        <w:t xml:space="preserve"> = 0.665</w:t>
      </w:r>
      <w:r w:rsidR="00006E71" w:rsidRPr="00CF7ED3">
        <w:t xml:space="preserve">; </w:t>
      </w:r>
      <w:r w:rsidR="00242B0E">
        <w:t>Fig. 4</w:t>
      </w:r>
      <w:r w:rsidR="00006E71">
        <w:t>c</w:t>
      </w:r>
      <w:r w:rsidR="00006E71" w:rsidRPr="00CF7ED3">
        <w:t>)</w:t>
      </w:r>
      <w:r w:rsidR="00006E71">
        <w:t>; and 21</w:t>
      </w:r>
      <w:r w:rsidR="00006E71" w:rsidRPr="00CF7ED3">
        <w:t xml:space="preserve">700 </w:t>
      </w:r>
      <w:r w:rsidR="00006E71">
        <w:t>versus 22</w:t>
      </w:r>
      <w:r w:rsidR="00006E71" w:rsidRPr="00CF7ED3">
        <w:t>000 cm</w:t>
      </w:r>
      <w:r w:rsidR="00006E71" w:rsidRPr="00CF7ED3">
        <w:rPr>
          <w:vertAlign w:val="superscript"/>
        </w:rPr>
        <w:t>3</w:t>
      </w:r>
      <w:r w:rsidR="00006E71" w:rsidRPr="00CF7ED3">
        <w:t xml:space="preserve"> deadwood (</w:t>
      </w:r>
      <w:r w:rsidR="00006E71" w:rsidRPr="003D0C71">
        <w:rPr>
          <w:i/>
        </w:rPr>
        <w:t>P</w:t>
      </w:r>
      <w:r w:rsidR="00006E71" w:rsidRPr="00CF7ED3">
        <w:t xml:space="preserve"> </w:t>
      </w:r>
      <w:r w:rsidR="00242B0E">
        <w:t>= 0.978; Fig. 4</w:t>
      </w:r>
      <w:r w:rsidR="00006E71">
        <w:t>d</w:t>
      </w:r>
      <w:r w:rsidR="00006E71" w:rsidRPr="00CF7ED3">
        <w:t>).</w:t>
      </w:r>
      <w:r w:rsidR="00006E71">
        <w:t xml:space="preserve"> </w:t>
      </w:r>
      <w:r w:rsidR="007A02C7">
        <w:t>Using t</w:t>
      </w:r>
      <w:r w:rsidR="00006E71">
        <w:t xml:space="preserve">hermal images </w:t>
      </w:r>
      <w:r w:rsidR="007A02C7">
        <w:t xml:space="preserve">we were also able to </w:t>
      </w:r>
      <w:r w:rsidR="00006E71">
        <w:t>quantify the spatial configuration of surface microclimates</w:t>
      </w:r>
      <w:r w:rsidR="001B5436">
        <w:t>, which has a bearing on the ease with which organisms can utilise microclimates. The Aggregation Index of</w:t>
      </w:r>
      <w:r w:rsidR="007A02C7">
        <w:t xml:space="preserve"> cool</w:t>
      </w:r>
      <w:r w:rsidR="001B5436">
        <w:t xml:space="preserve"> </w:t>
      </w:r>
      <w:r w:rsidR="007A02C7">
        <w:t xml:space="preserve">surface microclimates was 89% in </w:t>
      </w:r>
      <w:r w:rsidR="001B5436">
        <w:t>both logged and primary forests (</w:t>
      </w:r>
      <w:r w:rsidR="001B5436" w:rsidRPr="003D0C71">
        <w:rPr>
          <w:i/>
        </w:rPr>
        <w:t>P</w:t>
      </w:r>
      <w:r w:rsidR="001B5436" w:rsidRPr="00CF7ED3">
        <w:t xml:space="preserve"> = 0.903</w:t>
      </w:r>
      <w:r w:rsidR="00242B0E">
        <w:t>; Fig. 4</w:t>
      </w:r>
      <w:r w:rsidR="001B5436">
        <w:t>e</w:t>
      </w:r>
      <w:r w:rsidR="001B5436" w:rsidRPr="00CF7ED3">
        <w:t>)</w:t>
      </w:r>
      <w:r w:rsidR="001B5436">
        <w:t xml:space="preserve">. </w:t>
      </w:r>
      <w:r w:rsidR="007A02C7">
        <w:t>Thus, t</w:t>
      </w:r>
      <w:r w:rsidR="001B5436">
        <w:t xml:space="preserve">he overall availability of microclimates, </w:t>
      </w:r>
      <w:r w:rsidR="007A02C7">
        <w:t>including both occurrence and configuration, was not affected by selective logging, regardless of whether microclimates were located at the surface or inside leaf litter, tree holes or deadwood.</w:t>
      </w:r>
      <w:r w:rsidR="002354A4" w:rsidRPr="00CF7ED3">
        <w:t xml:space="preserve"> </w:t>
      </w:r>
      <w:r w:rsidR="000B482D" w:rsidRPr="00CF7ED3">
        <w:br w:type="page"/>
      </w:r>
    </w:p>
    <w:p w14:paraId="54840132" w14:textId="77777777" w:rsidR="005A042C" w:rsidRPr="00CF7ED3" w:rsidRDefault="000B482D" w:rsidP="00CF7ED3">
      <w:pPr>
        <w:pStyle w:val="Heading1"/>
      </w:pPr>
      <w:r w:rsidRPr="00CF7ED3">
        <w:t>Discussion</w:t>
      </w:r>
    </w:p>
    <w:p w14:paraId="4FDFA039" w14:textId="4C844DD8" w:rsidR="006217A6" w:rsidRPr="00CF7ED3" w:rsidRDefault="004F385F" w:rsidP="00F95A8E">
      <w:r w:rsidRPr="00CF7ED3">
        <w:t xml:space="preserve">Forest degradation by commercial selective logging affects </w:t>
      </w:r>
      <w:r w:rsidR="00F14D16" w:rsidRPr="00CF7ED3">
        <w:t>huge</w:t>
      </w:r>
      <w:r w:rsidRPr="00CF7ED3">
        <w:t xml:space="preserve"> expanse</w:t>
      </w:r>
      <w:r w:rsidR="00F14D16" w:rsidRPr="00CF7ED3">
        <w:t>s</w:t>
      </w:r>
      <w:r w:rsidRPr="00CF7ED3">
        <w:t xml:space="preserve"> of the tropics</w:t>
      </w:r>
      <w:r w:rsidR="00E723EA" w:rsidRPr="00CF7ED3">
        <w:t xml:space="preserve"> </w:t>
      </w:r>
      <w:r w:rsidR="00E723EA" w:rsidRPr="00CF7ED3">
        <w:fldChar w:fldCharType="begin"/>
      </w:r>
      <w:r w:rsidR="004E4368">
        <w:instrText xml:space="preserve"> ADDIN ZOTERO_ITEM CSL_CITATION {"citationID":"2mr5qib9em","properties":{"formattedCitation":"{\\rtf (Asner {\\i{}et al.}, 2009; Lewis {\\i{}et al.}, 2015)}","plainCitation":"(Asner et al., 2009; Lewis et al., 2015)"},"citationItems":[{"id":1847,"uris":["http://zotero.org/users/1177238/items/CFBURCES"],"uri":["http://zotero.org/users/1177238/items/CFBURCES"],"itemData":{"id":1847,"type":"article-journal","title":"A contemporary assessment of change in humid tropical forests","container-title":"Conservation Biology","page":"1386-1395","volume":"23","issue":"6","source":"Wiley Online Library","abstract":"Abstract: In recent decades the rate and geographic extent of land-use and land-cover change has increased throughout the world's humid tropical forests. The pan-tropical geography of forest change is a challenge to assess, and improved estimates of the human footprint in the tropics are critical to understanding potential changes in biodiversity. We combined recently published and new satellite observations, along with images from Google Earth and a literature review, to estimate the contemporary global extent of deforestation, selective logging, and secondary regrowth in humid tropical forests. Roughly 1.4% of the biome was deforested between 2000 and 2005. As of 2005, about half of the humid tropical forest biome contained 50% or less tree cover. Although not directly comparable to deforestation, geographic estimates of selective logging indicate that at least 20% of the humid tropical forest biome was undergoing some level of timber harvesting between 2000 and 2005. Forest recovery estimates are even less certain, but a compilation of available reports suggests that at least 1.2% of the humid tropical forest biome was in some stage of long-term secondary regrowth in 2000. Nearly 70% of the regrowth reports indicate forest regeneration in hilly, upland, and mountainous environments considered marginal for large-scale agriculture and ranching. Our estimates of the human footprint are conservative because they do not resolve very small-scale deforestation, low-intensity logging, and unreported secondary regrowth, nor do they incorporate other impacts on tropical forest ecosystems, such as fire and hunting. Our results highlight the enormous geographic extent of forest change throughout the humid tropics and the considerable limitations of the science and technology available for such a synthesis.","DOI":"10.1111/j.1523-1739.2009.01333.x","ISSN":"1523-1739","language":"en","author":[{"family":"Asner","given":"Gregory P."},{"family":"Rudel","given":"Thomas K."},{"family":"Aide","given":"T. Mitchell"},{"family":"Defries","given":"Ruth"},{"family":"Emerson","given":"Ruth"}],"issued":{"date-parts":[["2009",12,1]]}}},{"id":5778,"uris":["http://zotero.org/users/1177238/items/RBQICPXF"],"uri":["http://zotero.org/users/1177238/items/RBQICPXF"],"itemData":{"id":5778,"type":"article-journal","title":"Increasing human dominance of tropical forests","container-title":"Science","page":"827-832","volume":"349","issue":"6250","source":"www.sciencemag.org","abstract":"Tropical forests house over half of Earth’s biodiversity and are an important influence on the climate system. These forests are experiencing escalating human influence, altering their health and the provision of important ecosystem functions and services. Impacts started with hunting and millennia-old megafaunal extinctions (phase I), continuing via low-intensity shifting cultivation (phase II), to today’s global integration, dominated by intensive permanent agriculture, industrial logging, and attendant fires and fragmentation (phase III). Such ongoing pressures, together with an intensification of global environmental change, may severely degrade forests in the future (phase IV, global simplification) unless new “development without destruction” pathways are established alongside climate change–resilient landscape designs.","DOI":"10.1126/science.aaa9932","ISSN":"0036-8075, 1095-9203","note":"PMID: 26293955","journalAbbreviation":"Science","language":"en","author":[{"family":"Lewis","given":"Simon L."},{"family":"Edwards","given":"David P."},{"family":"Galbraith","given":"David"}],"issued":{"date-parts":[["2015",8,21]]}}}],"schema":"https://github.com/citation-style-language/schema/raw/master/csl-citation.json"} </w:instrText>
      </w:r>
      <w:r w:rsidR="00E723EA" w:rsidRPr="00CF7ED3">
        <w:fldChar w:fldCharType="separate"/>
      </w:r>
      <w:r w:rsidR="00342CFF" w:rsidRPr="00342CFF">
        <w:t xml:space="preserve">(Asner </w:t>
      </w:r>
      <w:r w:rsidR="00342CFF" w:rsidRPr="00342CFF">
        <w:rPr>
          <w:i/>
          <w:iCs/>
        </w:rPr>
        <w:t>et al.</w:t>
      </w:r>
      <w:r w:rsidR="00342CFF" w:rsidRPr="00342CFF">
        <w:t xml:space="preserve">, 2009; Lewis </w:t>
      </w:r>
      <w:r w:rsidR="00342CFF" w:rsidRPr="00342CFF">
        <w:rPr>
          <w:i/>
          <w:iCs/>
        </w:rPr>
        <w:t>et al.</w:t>
      </w:r>
      <w:r w:rsidR="00342CFF" w:rsidRPr="00342CFF">
        <w:t>, 2015)</w:t>
      </w:r>
      <w:r w:rsidR="00E723EA" w:rsidRPr="00CF7ED3">
        <w:fldChar w:fldCharType="end"/>
      </w:r>
      <w:r w:rsidRPr="00CF7ED3">
        <w:t>. South</w:t>
      </w:r>
      <w:r w:rsidR="00C470DC" w:rsidRPr="00CF7ED3">
        <w:t>e</w:t>
      </w:r>
      <w:r w:rsidRPr="00CF7ED3">
        <w:t>ast Asia has experienced the most intensive selective logging of all tropical rainforests</w:t>
      </w:r>
      <w:r w:rsidR="00E723EA" w:rsidRPr="00CF7ED3">
        <w:t xml:space="preserve"> </w:t>
      </w:r>
      <w:r w:rsidR="00E723EA" w:rsidRPr="00CF7ED3">
        <w:fldChar w:fldCharType="begin"/>
      </w:r>
      <w:r w:rsidR="004E4368">
        <w:instrText xml:space="preserve"> ADDIN ZOTERO_ITEM CSL_CITATION {"citationID":"1ostghu9as","properties":{"formattedCitation":"{\\rtf (Lewis {\\i{}et al.}, 2015)}","plainCitation":"(Lewis et al., 2015)"},"citationItems":[{"id":5778,"uris":["http://zotero.org/users/1177238/items/RBQICPXF"],"uri":["http://zotero.org/users/1177238/items/RBQICPXF"],"itemData":{"id":5778,"type":"article-journal","title":"Increasing human dominance of tropical forests","container-title":"Science","page":"827-832","volume":"349","issue":"6250","source":"www.sciencemag.org","abstract":"Tropical forests house over half of Earth’s biodiversity and are an important influence on the climate system. These forests are experiencing escalating human influence, altering their health and the provision of important ecosystem functions and services. Impacts started with hunting and millennia-old megafaunal extinctions (phase I), continuing via low-intensity shifting cultivation (phase II), to today’s global integration, dominated by intensive permanent agriculture, industrial logging, and attendant fires and fragmentation (phase III). Such ongoing pressures, together with an intensification of global environmental change, may severely degrade forests in the future (phase IV, global simplification) unless new “development without destruction” pathways are established alongside climate change–resilient landscape designs.","DOI":"10.1126/science.aaa9932","ISSN":"0036-8075, 1095-9203","note":"PMID: 26293955","journalAbbreviation":"Science","language":"en","author":[{"family":"Lewis","given":"Simon L."},{"family":"Edwards","given":"David P."},{"family":"Galbraith","given":"David"}],"issued":{"date-parts":[["2015",8,21]]}}}],"schema":"https://github.com/citation-style-language/schema/raw/master/csl-citation.json"} </w:instrText>
      </w:r>
      <w:r w:rsidR="00E723EA" w:rsidRPr="00CF7ED3">
        <w:fldChar w:fldCharType="separate"/>
      </w:r>
      <w:r w:rsidR="00342CFF" w:rsidRPr="00342CFF">
        <w:t xml:space="preserve">(Lewis </w:t>
      </w:r>
      <w:r w:rsidR="00342CFF" w:rsidRPr="00342CFF">
        <w:rPr>
          <w:i/>
          <w:iCs/>
        </w:rPr>
        <w:t>et al.</w:t>
      </w:r>
      <w:r w:rsidR="00342CFF" w:rsidRPr="00342CFF">
        <w:t>, 2015)</w:t>
      </w:r>
      <w:r w:rsidR="00E723EA" w:rsidRPr="00CF7ED3">
        <w:fldChar w:fldCharType="end"/>
      </w:r>
      <w:r w:rsidR="00100764" w:rsidRPr="00CF7ED3">
        <w:t>, and in our study area ~145 m</w:t>
      </w:r>
      <w:r w:rsidR="00100764" w:rsidRPr="00CF7ED3">
        <w:rPr>
          <w:vertAlign w:val="superscript"/>
        </w:rPr>
        <w:t>3</w:t>
      </w:r>
      <w:r w:rsidR="00100764" w:rsidRPr="00CF7ED3">
        <w:t xml:space="preserve"> of timber was removed per hectare</w:t>
      </w:r>
      <w:r w:rsidR="00872F22" w:rsidRPr="00CF7ED3">
        <w:t xml:space="preserve">. Despite a recovery time of only </w:t>
      </w:r>
      <w:r w:rsidR="00100764" w:rsidRPr="00CF7ED3">
        <w:t>9</w:t>
      </w:r>
      <w:r w:rsidR="00872F22" w:rsidRPr="00CF7ED3">
        <w:t>-</w:t>
      </w:r>
      <w:r w:rsidR="00344AB8" w:rsidRPr="00CF7ED3">
        <w:t xml:space="preserve">12 </w:t>
      </w:r>
      <w:r w:rsidR="00872F22" w:rsidRPr="00CF7ED3">
        <w:t>years</w:t>
      </w:r>
      <w:r w:rsidR="00AE7B5C" w:rsidRPr="00CF7ED3">
        <w:t xml:space="preserve"> </w:t>
      </w:r>
      <w:r w:rsidR="00AE7B5C" w:rsidRPr="00CF7ED3">
        <w:fldChar w:fldCharType="begin"/>
      </w:r>
      <w:r w:rsidR="00342CFF">
        <w:instrText xml:space="preserve"> ADDIN ZOTERO_ITEM CSL_CITATION {"citationID":"5dlkabeur","properties":{"formattedCitation":"{\\rtf (Fisher {\\i{}et al.}, 2011)}","plainCitation":"(Fisher et al., 2011)"},"citationItems":[{"id":11726,"uris":["http://zotero.org/users/1177238/items/XD8JJPQB"],"uri":["http://zotero.org/users/1177238/items/XD8JJPQB"],"itemData":{"id":11726,"type":"article-journal","title":"Cost-effective conservation: calculating biodiversity and logging trade-offs in Southeast Asia","container-title":"Conservation Letters","page":"443-450","volume":"4","issue":"6","source":"Wiley Online Library","abstract":"The Sundaland Biodiversity Hotspot of Southeast Asia is widely regarded as one of the most imperiled biodiversity hotspots due to high degrees of endemism coupled with extensive logging and forest conversion to oil palm. The large financial returns to these activities have made it difficult to conserve much of the region's lowland primary forest, suggesting a large trade-off between economic interests and biodiversity conservation. Here, we provide an empirical examination of the magnitude of this trade-off in Borneo. By incorporating both financial values and biodiversity responses across logging regimes, we show that selectively logged forests represent a surprisingly low-cost option for conserving high levels of biodiversity. In our study, the standing value of timber dropped from </w:instrText>
      </w:r>
      <w:r w:rsidR="00342CFF">
        <w:rPr>
          <w:rFonts w:ascii="Cambria Math" w:hAnsi="Cambria Math" w:cs="Cambria Math"/>
        </w:rPr>
        <w:instrText>∼</w:instrText>
      </w:r>
      <w:r w:rsidR="00342CFF">
        <w:instrText xml:space="preserve">$10,460 ha−1 to </w:instrText>
      </w:r>
      <w:r w:rsidR="00342CFF">
        <w:rPr>
          <w:rFonts w:ascii="Cambria Math" w:hAnsi="Cambria Math" w:cs="Cambria Math"/>
        </w:rPr>
        <w:instrText>∼</w:instrText>
      </w:r>
      <w:r w:rsidR="00342CFF">
        <w:instrText xml:space="preserve">$2,010 ha−1 after two logging rotations, yet these forests retained over 75% of bird and dung beetle species found in primary unlogged forest. We suggest that the conservation of selectively logged forests represents a highly cost-efficient opportunity to enlarge existing protected areas, improve connectivity between them, and to create new, large protected areas.","DOI":"10.1111/j.1755-263X.2011.00198.x","ISSN":"1755-263X","shortTitle":"Cost-effective conservation","language":"en","author":[{"family":"Fisher","given":"Brendan"},{"family":"Edwards","given":"David P."},{"family":"Larsen","given":"Trond H."},{"family":"Ansell","given":"Felicity A."},{"family":"Hsu","given":"Wayne W."},{"family":"Roberts","given":"Carter S."},{"family":"Wilcove","given":"David S."}],"issued":{"date-parts":[["2011",12,1]]}}}],"schema":"https://github.com/citation-style-language/schema/raw/master/csl-citation.json"} </w:instrText>
      </w:r>
      <w:r w:rsidR="00AE7B5C" w:rsidRPr="00CF7ED3">
        <w:fldChar w:fldCharType="separate"/>
      </w:r>
      <w:r w:rsidR="00342CFF" w:rsidRPr="00342CFF">
        <w:t xml:space="preserve">(Fisher </w:t>
      </w:r>
      <w:r w:rsidR="00342CFF" w:rsidRPr="00342CFF">
        <w:rPr>
          <w:i/>
          <w:iCs/>
        </w:rPr>
        <w:t>et al.</w:t>
      </w:r>
      <w:r w:rsidR="00342CFF" w:rsidRPr="00342CFF">
        <w:t>, 2011)</w:t>
      </w:r>
      <w:r w:rsidR="00AE7B5C" w:rsidRPr="00CF7ED3">
        <w:fldChar w:fldCharType="end"/>
      </w:r>
      <w:r w:rsidR="00102843" w:rsidRPr="00CF7ED3">
        <w:t xml:space="preserve">, and the coincidental occurrence of </w:t>
      </w:r>
      <w:r w:rsidR="005278E1">
        <w:t xml:space="preserve">abnormally hot and dry conditions </w:t>
      </w:r>
      <w:r w:rsidR="00F95A8E">
        <w:t xml:space="preserve">associated with the strongest </w:t>
      </w:r>
      <w:r w:rsidR="0010373F" w:rsidRPr="00CF7ED3">
        <w:t>El Niño Southern Oscillation (ENSO) event</w:t>
      </w:r>
      <w:r w:rsidR="005278E1">
        <w:t xml:space="preserve"> since 1998 </w:t>
      </w:r>
      <w:r w:rsidR="005278E1" w:rsidRPr="005278E1">
        <w:t>(NOAA Climate Prediction Center: http://www.cpc.noaa.gov/products/analysis_monitoring/ensostuff/ensoyears.shtml)</w:t>
      </w:r>
      <w:r w:rsidR="00102843" w:rsidRPr="00CF7ED3">
        <w:t>,</w:t>
      </w:r>
      <w:r w:rsidR="00872F22" w:rsidRPr="00CF7ED3">
        <w:t xml:space="preserve"> </w:t>
      </w:r>
      <w:r w:rsidR="00524C60" w:rsidRPr="00CF7ED3">
        <w:t xml:space="preserve">intensively </w:t>
      </w:r>
      <w:r w:rsidR="00872F22" w:rsidRPr="00CF7ED3">
        <w:t>logged forests show</w:t>
      </w:r>
      <w:r w:rsidR="00C802CF" w:rsidRPr="00CF7ED3">
        <w:t>ed</w:t>
      </w:r>
      <w:r w:rsidR="00872F22" w:rsidRPr="00CF7ED3">
        <w:t xml:space="preserve"> very </w:t>
      </w:r>
      <w:r w:rsidR="00A01830" w:rsidRPr="00CF7ED3">
        <w:t>few</w:t>
      </w:r>
      <w:r w:rsidR="00872F22" w:rsidRPr="00CF7ED3">
        <w:t xml:space="preserve"> thermal differences compared to undisturbed primary forest. </w:t>
      </w:r>
      <w:r w:rsidR="00D50761" w:rsidRPr="00CF7ED3">
        <w:t xml:space="preserve">This </w:t>
      </w:r>
      <w:r w:rsidR="004505E2" w:rsidRPr="00CF7ED3">
        <w:t>is a</w:t>
      </w:r>
      <w:r w:rsidR="00CF7DC3" w:rsidRPr="00CF7ED3">
        <w:t xml:space="preserve">n important finding </w:t>
      </w:r>
      <w:r w:rsidR="004505E2" w:rsidRPr="00CF7ED3">
        <w:t xml:space="preserve"> for tropical conservation because it </w:t>
      </w:r>
      <w:r w:rsidR="00D50761" w:rsidRPr="00CF7ED3">
        <w:t xml:space="preserve">suggests </w:t>
      </w:r>
      <w:r w:rsidR="00A01830" w:rsidRPr="00CF7ED3">
        <w:t xml:space="preserve">that </w:t>
      </w:r>
      <w:r w:rsidR="00D915DF" w:rsidRPr="00CF7ED3">
        <w:t xml:space="preserve">the potential for thermal buffering </w:t>
      </w:r>
      <w:r w:rsidR="00D50761" w:rsidRPr="00CF7ED3">
        <w:t xml:space="preserve">will not limit </w:t>
      </w:r>
      <w:r w:rsidR="00A01830" w:rsidRPr="00CF7ED3">
        <w:t>the</w:t>
      </w:r>
      <w:r w:rsidR="00D50761" w:rsidRPr="00CF7ED3">
        <w:t xml:space="preserve"> ability </w:t>
      </w:r>
      <w:r w:rsidR="00A01830" w:rsidRPr="00CF7ED3">
        <w:t xml:space="preserve">of </w:t>
      </w:r>
      <w:r w:rsidR="00D50794" w:rsidRPr="00CF7ED3">
        <w:t xml:space="preserve">selectively </w:t>
      </w:r>
      <w:r w:rsidR="00A01830" w:rsidRPr="00CF7ED3">
        <w:t xml:space="preserve">logged forests to maintain high biodiversity </w:t>
      </w:r>
      <w:r w:rsidR="00D50761" w:rsidRPr="00CF7ED3">
        <w:t xml:space="preserve">under climate change </w:t>
      </w:r>
      <w:r w:rsidR="00D50761" w:rsidRPr="00CF7ED3">
        <w:fldChar w:fldCharType="begin"/>
      </w:r>
      <w:r w:rsidR="00342CFF">
        <w:instrText xml:space="preserve"> ADDIN ZOTERO_ITEM CSL_CITATION {"citationID":"kdkltrlbg","properties":{"formattedCitation":"{\\rtf (Scheffers {\\i{}et al.}, 2013a; Gonz\\uc0\\u225{}lez del Pliego {\\i{}et al.}, 2016)}","plainCitation":"(Scheffers et al., 2013a; González del Pliego et al., 2016)"},"citationItems":[{"id":516,"uris":["http://zotero.org/users/1177238/items/ISWHXHMP"],"uri":["http://zotero.org/users/1177238/items/ISWHXHMP"],"itemData":{"id":516,"type":"article-journal","title":"Thermal Buffering of Microhabitats is a Critical Factor Mediating Warming Vulnerability of Frogs in the Philippine Biodiversity Hotspot","container-title":"Biotropica","page":"628-635","volume":"45","issue":"5","source":"CrossRef","DOI":"10.1111/btp.12042","ISSN":"00063606","language":"en","author":[{"family":"Scheffers","given":"Brett R."},{"family":"Brunner","given":"Rebecca M."},{"family":"Ramirez","given":"Sara D."},{"family":"Shoo","given":"Luke P."},{"family":"Diesmos","given":"Arvin"},{"family":"Williams","given":"Stephen E."}],"issued":{"date-parts":[["2013",9]]}}},{"id":11703,"uris":["http://zotero.org/users/1177238/items/BU8UPCJJ"],"uri":["http://zotero.org/users/1177238/items/BU8UPCJJ"],"itemData":{"id":11703,"type":"article-journal","title":"Thermally buffered microhabitats recovery in tropical secondary forests following land abandonment","container-title":"Biological Conservation","page":"385-395","volume":"201","source":"ScienceDirect","abstract":"Given the dramatic loss of tropical forests and accelerating climate change, secondary forest regeneration is increasingly recognised as being an important method for reversing losses in biodiversity and carbon stocks. The recolonisation of biodiversity within secondary forests depends in part upon the recovery of forest structure, including the range of microhabitats used by diverse local communities. Here, we investigate the return of critical microhabitats along a successional gradient of secondary forest in the Tropical Andes of Colombia. We measured the abundance of live (bromeliads, tree ferns and moss) and dead (deadwood and leaf litter) microhabitats across three landscapes, each encompassing primary, and young (4–18 yr old) and old secondary forests (19–35 yr old). Considering the increasing rate of climate warming in the region, we also explored whether these microhabitats provide thermally buffered microclimates. We found that secondary forests have different composition and lower complexity of microhabitats than primary forests, but microhabitats appear to be recovering towards primary forest levels. Furthermore, in all forest types, microhabitats had lower maximum temperatures and higher minimum temperatures, thereby serving as thermal buffers that reduced exposure to extreme temperatures. These benefits exist despite ambient temperatures in secondary forests surpassing those of primary forests by 1–2 °C on average. The protection of secondary forest and promotion of further forest regrowth in the Tropical Andes should represent an urgent investment for conservation, and the value of these forests for offering critical microhabitats and buffered microclimates under climate change should not be overlooked.","DOI":"10.1016/j.biocon.2016.07.038","ISSN":"0006-3207","journalAbbreviation":"Biological Conservation","author":[{"family":"González del Pliego","given":"Pamela"},{"family":"Scheffers","given":"Brett R."},{"family":"Basham","given":"Edmund W."},{"family":"Woodcock","given":"Paul"},{"family":"Wheeler","given":"Charlotte"},{"family":"Gilroy","given":"James J."},{"family":"Medina Uribe","given":"Claudia A."},{"family":"Haugaasen","given":"Torbjørn"},{"family":"Freckleton","given":"Rob P."},{"family":"Edwards","given":"David P."}],"issued":{"date-parts":[["2016",9]]}}}],"schema":"https://github.com/citation-style-language/schema/raw/master/csl-citation.json"} </w:instrText>
      </w:r>
      <w:r w:rsidR="00D50761" w:rsidRPr="00CF7ED3">
        <w:fldChar w:fldCharType="separate"/>
      </w:r>
      <w:r w:rsidR="00342CFF" w:rsidRPr="00342CFF">
        <w:t xml:space="preserve">(Scheffers </w:t>
      </w:r>
      <w:r w:rsidR="00342CFF" w:rsidRPr="00342CFF">
        <w:rPr>
          <w:i/>
          <w:iCs/>
        </w:rPr>
        <w:t>et al.</w:t>
      </w:r>
      <w:r w:rsidR="00342CFF" w:rsidRPr="00342CFF">
        <w:t xml:space="preserve">, 2013a; González del Pliego </w:t>
      </w:r>
      <w:r w:rsidR="00342CFF" w:rsidRPr="00342CFF">
        <w:rPr>
          <w:i/>
          <w:iCs/>
        </w:rPr>
        <w:t>et al.</w:t>
      </w:r>
      <w:r w:rsidR="00342CFF" w:rsidRPr="00342CFF">
        <w:t>, 2016)</w:t>
      </w:r>
      <w:r w:rsidR="00D50761" w:rsidRPr="00CF7ED3">
        <w:fldChar w:fldCharType="end"/>
      </w:r>
      <w:r w:rsidR="00D50761" w:rsidRPr="00CF7ED3">
        <w:t>.</w:t>
      </w:r>
      <w:r w:rsidR="00C45600" w:rsidRPr="00CF7ED3">
        <w:t xml:space="preserve"> </w:t>
      </w:r>
    </w:p>
    <w:p w14:paraId="717AAB4E" w14:textId="6595843D" w:rsidR="004F45FC" w:rsidRPr="00CF7ED3" w:rsidRDefault="004F45FC" w:rsidP="00CF7ED3">
      <w:pPr>
        <w:pStyle w:val="Heading2"/>
      </w:pPr>
      <w:r w:rsidRPr="00CF7ED3">
        <w:t>Forest structure</w:t>
      </w:r>
    </w:p>
    <w:p w14:paraId="1C2198EC" w14:textId="7E31A164" w:rsidR="003A37DA" w:rsidRPr="00CF7ED3" w:rsidRDefault="007E73BC" w:rsidP="00CF7ED3">
      <w:r w:rsidRPr="00CF7ED3">
        <w:t>At a local scale</w:t>
      </w:r>
      <w:r w:rsidR="00113AFA" w:rsidRPr="00CF7ED3">
        <w:t>,</w:t>
      </w:r>
      <w:r w:rsidR="00E723EA" w:rsidRPr="00CF7ED3">
        <w:t xml:space="preserve"> climate is highly dependent upon vegetation </w:t>
      </w:r>
      <w:r w:rsidR="00E723EA" w:rsidRPr="00CF7ED3">
        <w:fldChar w:fldCharType="begin"/>
      </w:r>
      <w:r w:rsidR="004E4368">
        <w:instrText xml:space="preserve"> ADDIN ZOTERO_ITEM CSL_CITATION {"citationID":"2mtg2bb8o6","properties":{"formattedCitation":"{\\rtf (Oke, 1987; Sears {\\i{}et al.}, 2011)}","plainCitation":"(Oke, 1987; Sears et al., 2011)"},"citationItems":[{"id":6268,"uris":["http://zotero.org/users/1177238/items/TGDX7CF6"],"uri":["http://zotero.org/users/1177238/items/TGDX7CF6"],"itemData":{"id":6268,"type":"book","title":"Boundary layer climates","publisher":"Methuen","publisher-place":"London","edition":"2nd ed.","source":"Primo","event-place":"London","ISBN":"0-416-04422-0","language":"eng","author":[{"family":"Oke","given":"T. R."}],"issued":{"date-parts":[["1987"]]}}},{"id":1345,"uris":["http://zotero.org/users/1177238/items/V53DEKSV"],"uri":["http://zotero.org/users/1177238/items/V53DEKSV"],"itemData":{"id":1345,"type":"article-journal","title":"The world is not flat: defining relevant thermal landscapes in the context of climate change","container-title":"Integrative and Comparative Biology","page":"666-675","volume":"51","issue":"5","source":"icb.oxfordjournals.org","abstract":"Although climates are rapidly changing on a global scale, these changes cannot easily be extrapolated to the local scales experienced by organisms. In fact, such generalizations might be quite problematic. For instance, models used to predict shifts in the ranges of species during climate change rarely incorporate data resolved to &lt;1 km2, although most organisms integrate climatic drivers at much smaller scales. Empirical studies alone suggest that the operative temperatures of many organisms vary by as much as 10–20°C on a local scale, depending on vegetation, geology, and topography. Furthermore, this variation in abiotic factors ignores thermoregulatory behaviors that many animals use to balance heat loads. Through a set of simulations, we demonstrate how variability in elevational topography can attenuate the effects of warming climates. These simulations suggest that changing climates do not always impact organisms negatively. Importantly, these simulations involve well-known relationships in biophysical ecology that show how no two organisms experience the same climate in the same way. We suggest that, when coupled with thermoregulatory behavior, variation in topographic features can mask the acute effect of climate change in many cases.","DOI":"10.1093/icb/icr111","ISSN":"1540-7063, 1557-7023","note":"PMID: 21937668","shortTitle":"The World Is not Flat","journalAbbreviation":"Integr. Comp. Biol.","language":"en","author":[{"family":"Sears","given":"Michael W."},{"family":"Raskin","given":"Evan"},{"family":"Angilletta","given":"Michael J."}],"issued":{"date-parts":[["2011",11,1]]}}}],"schema":"https://github.com/citation-style-language/schema/raw/master/csl-citation.json"} </w:instrText>
      </w:r>
      <w:r w:rsidR="00E723EA" w:rsidRPr="00CF7ED3">
        <w:fldChar w:fldCharType="separate"/>
      </w:r>
      <w:r w:rsidR="00342CFF" w:rsidRPr="00342CFF">
        <w:t xml:space="preserve">(Oke, 1987; Sears </w:t>
      </w:r>
      <w:r w:rsidR="00342CFF" w:rsidRPr="00342CFF">
        <w:rPr>
          <w:i/>
          <w:iCs/>
        </w:rPr>
        <w:t>et al.</w:t>
      </w:r>
      <w:r w:rsidR="00342CFF" w:rsidRPr="00342CFF">
        <w:t>, 2011)</w:t>
      </w:r>
      <w:r w:rsidR="00E723EA" w:rsidRPr="00CF7ED3">
        <w:fldChar w:fldCharType="end"/>
      </w:r>
      <w:r w:rsidR="00E723EA" w:rsidRPr="00CF7ED3">
        <w:t>. Selective logging target</w:t>
      </w:r>
      <w:r w:rsidR="002248DB" w:rsidRPr="00CF7ED3">
        <w:t>s</w:t>
      </w:r>
      <w:r w:rsidR="00E723EA" w:rsidRPr="00CF7ED3">
        <w:t xml:space="preserve"> the largest and oldest trees, </w:t>
      </w:r>
      <w:r w:rsidR="00CA4983" w:rsidRPr="00CF7ED3">
        <w:t xml:space="preserve">leading to </w:t>
      </w:r>
      <w:r w:rsidR="00C802CF" w:rsidRPr="00CF7ED3">
        <w:t xml:space="preserve">many </w:t>
      </w:r>
      <w:r w:rsidR="00CA4983" w:rsidRPr="00CF7ED3">
        <w:t>accompanying</w:t>
      </w:r>
      <w:r w:rsidRPr="00CF7ED3">
        <w:t xml:space="preserve"> </w:t>
      </w:r>
      <w:r w:rsidR="00C802CF" w:rsidRPr="00CF7ED3">
        <w:t xml:space="preserve">changes </w:t>
      </w:r>
      <w:r w:rsidR="00B34C2C" w:rsidRPr="00CF7ED3">
        <w:t>in</w:t>
      </w:r>
      <w:r w:rsidR="00C802CF" w:rsidRPr="00CF7ED3">
        <w:t xml:space="preserve"> vegetation</w:t>
      </w:r>
      <w:r w:rsidR="00B34C2C" w:rsidRPr="00CF7ED3">
        <w:t xml:space="preserve"> structure</w:t>
      </w:r>
      <w:r w:rsidR="00C802CF" w:rsidRPr="00CF7ED3">
        <w:t xml:space="preserve"> </w:t>
      </w:r>
      <w:r w:rsidR="006217A6" w:rsidRPr="00CF7ED3">
        <w:fldChar w:fldCharType="begin"/>
      </w:r>
      <w:r w:rsidR="00342CFF">
        <w:instrText xml:space="preserve"> ADDIN ZOTERO_ITEM CSL_CITATION {"citationID":"Aok3htza","properties":{"formattedCitation":"{\\rtf (Okuda {\\i{}et al.}, 2003; Kumar &amp; Shahabuddin, 2005; Edwards {\\i{}et al.}, 2014a)}","plainCitation":"(Okuda et al., 2003; Kumar &amp; Shahabuddin, 2005; Edwards et al., 2014a)"},"citationItems":[{"id":1815,"uris":["http://zotero.org/users/1177238/items/VMNQ8S4I"],"uri":["http://zotero.org/users/1177238/items/VMNQ8S4I"],"itemData":{"id":1815,"type":"article-journal","title":"Effect of selective logging on canopy and stand structure and tree species composition in a lowland dipterocarp forest in peninsular Malaysia","container-title":"Forest Ecology and Management","page":"297-320","volume":"175","issue":"1–3","source":"ScienceDirect","abstract":"The authors compared tropical rain forest canopy structure and tree species composition in two forests southeast of Kuala Lumpur, Malaysia: a primary forest and a regenerating forest that was selectively logged in 1958. For each of the forests, the study plots were set out and all trees of ≥1 cm in DBH (diameter at breast height) were mapped and measured. Canopy heights were measured in the two study plots based upon aerial triangulation using aerial photographs taken over the forests in 1997. Using this data, digital elevation models of the canopy were then constructed. The mean canopy height was greater in the primary forest (27.4 m versus 24.8 m), as was the variance in height and the number of emergent canopy trees &amp;gt;40 m height. The mean canopy surface area in the primary forest was nearly 1.5 times the value in the regenerating forest, and the mean crown size of canopy layer trees in the primary forest was more than twice that in the regenerating forest. The species diversity index (Fisher’s α) differed for the two forests, indicating that tree species diversity had been affected by the logging. Both forests had the same five families with the greatest stem density (stems ha−1), but the 50 most abundant species, in terms of both stem density and basal area, differed greatly between the two forests. Stem densities and basal areas were similar, but the number of stems per hectare and the basal areas of medium-sized trees (10–30 cm in DBH) were distinctly higher in the regenerating forest. These results suggest that average basal area and stem density in the regenerating forest that had been selectively logged 41 years earlier had recovered to levels similar to those in the primary forest; however, the regenerating forest had a more monotonic canopy structure comprised of medium-sized trees growing at high density. These findings also imply that structural development takes a long time to manifest in a regenerating forest as a result of the time taken for the development of emergent and canopy trees and the formation of gaps; structural development might also be delayed by the high density of medium-sized trees in the canopy layer.","DOI":"10.1016/S0378-1127(02)00137-8","ISSN":"0378-1127","journalAbbreviation":"Forest Ecology and Management","author":[{"family":"Okuda","given":"Toshinori"},{"family":"Suzuki","given":"Mariko"},{"family":"Adachi","given":"Naoki"},{"family":"Quah","given":"Eng Seng"},{"family":"Hussein","given":"Nor Azman"},{"family":"Manokaran","given":"N"}],"issued":{"date-parts":[["2003",3,3]]}}},{"id":837,"uris":["http://zotero.org/users/1177238/items/WER2QEEH"],"uri":["http://zotero.org/users/1177238/items/WER2QEEH"],"itemData":{"id":837,"type":"article-journal","title":"Effects of biomass extraction on vegetation structure, diversity and composition of forests in Sariska Tiger Reserve, India","container-title":"Environmental Conservation","page":"248","volume":"32","issue":"03","source":"CrossRef","DOI":"10.1017/S0376892905002316","ISSN":"0376-8929, 1469-4387","language":"en","author":[{"family":"Kumar","given":"Raman"},{"family":"Shahabuddin","given":"Ghazala"}],"issued":{"date-parts":[["2005",10,5]]}}},{"id":1059,"uris":["http://zotero.org/users/1177238/items/VGF8RAHI"],"uri":["http://zotero.org/users/1177238/items/VGF8RAHI"],"itemData":{"id":1059,"type":"article-journal","title":"Maintaining ecosystem function and services in logged tropical forests","container-title":"Trends in Ecology &amp; Evolution","page":"511-520","volume":"29","issue":"9","source":"CrossRef","DOI":"10.1016/j.tree.2014.07.003","ISSN":"01695347","language":"en","author":[{"family":"Edwards","given":"David P."},{"family":"Tobias","given":"Joseph A."},{"family":"Sheil","given":"Douglas"},{"family":"Meijaard","given":"Erik"},{"family":"Laurance","given":"William F."}],"issued":{"date-parts":[["2014",9]]}}}],"schema":"https://github.com/citation-style-language/schema/raw/master/csl-citation.json"} </w:instrText>
      </w:r>
      <w:r w:rsidR="006217A6" w:rsidRPr="00CF7ED3">
        <w:fldChar w:fldCharType="separate"/>
      </w:r>
      <w:r w:rsidR="00342CFF" w:rsidRPr="00342CFF">
        <w:t xml:space="preserve">(Okuda </w:t>
      </w:r>
      <w:r w:rsidR="00342CFF" w:rsidRPr="00342CFF">
        <w:rPr>
          <w:i/>
          <w:iCs/>
        </w:rPr>
        <w:t>et al.</w:t>
      </w:r>
      <w:r w:rsidR="00342CFF" w:rsidRPr="00342CFF">
        <w:t xml:space="preserve">, 2003; Kumar &amp; Shahabuddin, 2005; Edwards </w:t>
      </w:r>
      <w:r w:rsidR="00342CFF" w:rsidRPr="00342CFF">
        <w:rPr>
          <w:i/>
          <w:iCs/>
        </w:rPr>
        <w:t>et al.</w:t>
      </w:r>
      <w:r w:rsidR="00342CFF" w:rsidRPr="00342CFF">
        <w:t>, 2014a)</w:t>
      </w:r>
      <w:r w:rsidR="006217A6" w:rsidRPr="00CF7ED3">
        <w:fldChar w:fldCharType="end"/>
      </w:r>
      <w:r w:rsidRPr="00CF7ED3">
        <w:t xml:space="preserve">. </w:t>
      </w:r>
      <w:r w:rsidR="00D915DF" w:rsidRPr="00CF7ED3">
        <w:t xml:space="preserve">A clear signal of historical logging in our study area was the </w:t>
      </w:r>
      <w:r w:rsidR="00B401E4">
        <w:t>reduction in</w:t>
      </w:r>
      <w:r w:rsidR="00D915DF" w:rsidRPr="00CF7ED3">
        <w:t xml:space="preserve"> </w:t>
      </w:r>
      <w:r w:rsidR="003B0071" w:rsidRPr="00CF7ED3">
        <w:t>basal area of mature trees (</w:t>
      </w:r>
      <w:r w:rsidR="00121BB4">
        <w:t>Fig. S1</w:t>
      </w:r>
      <w:r w:rsidR="001A163C">
        <w:t>a</w:t>
      </w:r>
      <w:r w:rsidR="00D915DF" w:rsidRPr="00CF7ED3">
        <w:t xml:space="preserve">; Berry et al. 2008), and </w:t>
      </w:r>
      <w:r w:rsidR="003D6934" w:rsidRPr="00CF7ED3">
        <w:t xml:space="preserve">in percentage </w:t>
      </w:r>
      <w:r w:rsidR="00D915DF" w:rsidRPr="00CF7ED3">
        <w:t xml:space="preserve">vegetation cover </w:t>
      </w:r>
      <w:r w:rsidR="003D6934" w:rsidRPr="00CF7ED3">
        <w:t xml:space="preserve">at </w:t>
      </w:r>
      <w:r w:rsidR="001D00C7" w:rsidRPr="00CF7ED3">
        <w:rPr>
          <w:rFonts w:eastAsia="MS Gothic"/>
          <w:color w:val="000000"/>
        </w:rPr>
        <w:t>≥</w:t>
      </w:r>
      <w:r w:rsidR="003D6934" w:rsidRPr="00CF7ED3">
        <w:t xml:space="preserve">15 m </w:t>
      </w:r>
      <w:r w:rsidR="00047BE2" w:rsidRPr="00CF7ED3">
        <w:t xml:space="preserve">above ground </w:t>
      </w:r>
      <w:r w:rsidR="00D915DF" w:rsidRPr="00CF7ED3">
        <w:t>(</w:t>
      </w:r>
      <w:r w:rsidR="00121BB4">
        <w:t>Fig. S1</w:t>
      </w:r>
      <w:r w:rsidR="001A163C">
        <w:t>f-g</w:t>
      </w:r>
      <w:r w:rsidR="003D6934" w:rsidRPr="00CF7ED3">
        <w:t xml:space="preserve">). The absence of any differences in other variables (vegetation cover at 1.5 m, shade cover, </w:t>
      </w:r>
      <w:r w:rsidRPr="00CF7ED3">
        <w:t xml:space="preserve">proportion of </w:t>
      </w:r>
      <w:r w:rsidR="003D6934" w:rsidRPr="00CF7ED3">
        <w:t xml:space="preserve">trees that were </w:t>
      </w:r>
      <w:r w:rsidRPr="00CF7ED3">
        <w:t xml:space="preserve">dipterocarps </w:t>
      </w:r>
      <w:r w:rsidR="003D6934" w:rsidRPr="00CF7ED3">
        <w:t xml:space="preserve">and </w:t>
      </w:r>
      <w:r w:rsidRPr="00CF7ED3">
        <w:t xml:space="preserve">sapling </w:t>
      </w:r>
      <w:r w:rsidR="003D6934" w:rsidRPr="00CF7ED3">
        <w:t xml:space="preserve">basal area) may be a consequence of sampling </w:t>
      </w:r>
      <w:r w:rsidR="003E361B" w:rsidRPr="00CF7ED3">
        <w:t xml:space="preserve">only </w:t>
      </w:r>
      <w:r w:rsidR="00C802CF" w:rsidRPr="00CF7ED3">
        <w:t>a small area</w:t>
      </w:r>
      <w:r w:rsidR="00AD048A" w:rsidRPr="00CF7ED3">
        <w:t xml:space="preserve"> of forest understorey </w:t>
      </w:r>
      <w:r w:rsidR="00C802CF" w:rsidRPr="00CF7ED3">
        <w:t>several years after logging operations ceased</w:t>
      </w:r>
      <w:r w:rsidR="00AD048A" w:rsidRPr="00CF7ED3">
        <w:t>,</w:t>
      </w:r>
      <w:r w:rsidR="003D6934" w:rsidRPr="00CF7ED3">
        <w:t xml:space="preserve"> during which time there was likely </w:t>
      </w:r>
      <w:r w:rsidR="003E361B" w:rsidRPr="00CF7ED3">
        <w:t xml:space="preserve">rapid growth in understorey vegetation, including </w:t>
      </w:r>
      <w:r w:rsidR="005C3670">
        <w:t xml:space="preserve">regeneration of </w:t>
      </w:r>
      <w:r w:rsidR="004B4398" w:rsidRPr="00CF7ED3">
        <w:t xml:space="preserve">both </w:t>
      </w:r>
      <w:r w:rsidR="003E361B" w:rsidRPr="00CF7ED3">
        <w:t xml:space="preserve">small dipterocarps and large </w:t>
      </w:r>
      <w:r w:rsidR="00D37D8C">
        <w:t>herbaceous</w:t>
      </w:r>
      <w:r w:rsidR="003E361B" w:rsidRPr="00CF7ED3">
        <w:t xml:space="preserve"> pioneer</w:t>
      </w:r>
      <w:r w:rsidR="00D37D8C">
        <w:t xml:space="preserve"> species</w:t>
      </w:r>
      <w:r w:rsidR="003E361B" w:rsidRPr="00CF7ED3">
        <w:t xml:space="preserve"> </w:t>
      </w:r>
      <w:r w:rsidR="005E16AD" w:rsidRPr="00CF7ED3">
        <w:fldChar w:fldCharType="begin"/>
      </w:r>
      <w:r w:rsidR="00342CFF">
        <w:instrText xml:space="preserve"> ADDIN ZOTERO_ITEM CSL_CITATION {"citationID":"WgZ19LuP","properties":{"formattedCitation":"{\\rtf (Berry {\\i{}et al.}, 2008; Edwards {\\i{}et al.}, 2014a)}","plainCitation":"(Berry et al., 2008; Edwards et al., 2014a)"},"citationItems":[{"id":11712,"uris":["http://zotero.org/users/1177238/items/BZJSV5XZ"],"uri":["http://zotero.org/users/1177238/items/BZJSV5XZ"],"itemData":{"id":11712,"type":"article-journal","title":"Impacts of selective logging on tree diversity across a rainforest landscape: the importance of spatial scale","container-title":"Landscape Ecology","page":"915-929","volume":"23","issue":"8","source":"link.springer.com","abstract":"Selective logging of tropical forests imposes spatial pattern on the landscape by creating a mosaic of patches affected by different intensities of disturbance. To understand the ecological impacts of selective logging it is therefore necessary to explore how patterns of tree species composition are affected by this patchy disturbance. This study examines the impacts of selective logging on species composition and spatial patterns of vegetation structure and tree diversity in Sabah, Borneo. We compare tree diversity between logged and unlogged forest at three scales: species richness within plots, species turnover among plots, and total species richness and composition of plots combined. Logging had no effect on tree diversity measured at the smallest scale. Logged forest had a greater rate of species turnover with distance, so at a large spatial scale it supported more tree species than the relatively homogeneous unlogged area. Tree species composition also differed significantly between the two types of forest, with more small dipterocarps and large pioneers in logged forest, and more large dipterocarps in unlogged forest. Our results emphasize the importance of sampling at a sufficiently large scale to represent patterns of biodiversity within tropical forest landscapes. Large areas of production forest in SE Asia are threatened with conversion to commercial crops; our findings show that selectively logged forest can retain considerable conservation value.","DOI":"10.1007/s10980-008-9248-1","ISSN":"0921-2973, 1572-9761","shortTitle":"Impacts of selective logging on tree diversity across a rainforest landscape","journalAbbreviation":"Landscape Ecol","language":"en","author":[{"family":"Berry","given":"Nicholas J."},{"family":"Phillips","given":"Oliver L."},{"family":"Ong","given":"Robert C."},{"family":"Hamer","given":"Keith C."}],"issued":{"date-parts":[["2008",7,31]]}}},{"id":1059,"uris":["http://zotero.org/users/1177238/items/VGF8RAHI"],"uri":["http://zotero.org/users/1177238/items/VGF8RAHI"],"itemData":{"id":1059,"type":"article-journal","title":"Maintaining ecosystem function and services in logged tropical forests","container-title":"Trends in Ecology &amp; Evolution","page":"511-520","volume":"29","issue":"9","source":"CrossRef","DOI":"10.1016/j.tree.2014.07.003","ISSN":"01695347","language":"en","author":[{"family":"Edwards","given":"David P."},{"family":"Tobias","given":"Joseph A."},{"family":"Sheil","given":"Douglas"},{"family":"Meijaard","given":"Erik"},{"family":"Laurance","given":"William F."}],"issued":{"date-parts":[["2014",9]]}}}],"schema":"https://github.com/citation-style-language/schema/raw/master/csl-citation.json"} </w:instrText>
      </w:r>
      <w:r w:rsidR="005E16AD" w:rsidRPr="00CF7ED3">
        <w:fldChar w:fldCharType="separate"/>
      </w:r>
      <w:r w:rsidR="00342CFF" w:rsidRPr="00342CFF">
        <w:t xml:space="preserve">(Berry </w:t>
      </w:r>
      <w:r w:rsidR="00342CFF" w:rsidRPr="00342CFF">
        <w:rPr>
          <w:i/>
          <w:iCs/>
        </w:rPr>
        <w:t>et al.</w:t>
      </w:r>
      <w:r w:rsidR="00342CFF" w:rsidRPr="00342CFF">
        <w:t xml:space="preserve">, 2008; Edwards </w:t>
      </w:r>
      <w:r w:rsidR="00342CFF" w:rsidRPr="00342CFF">
        <w:rPr>
          <w:i/>
          <w:iCs/>
        </w:rPr>
        <w:t>et al.</w:t>
      </w:r>
      <w:r w:rsidR="00342CFF" w:rsidRPr="00342CFF">
        <w:t>, 2014a)</w:t>
      </w:r>
      <w:r w:rsidR="005E16AD" w:rsidRPr="00CF7ED3">
        <w:fldChar w:fldCharType="end"/>
      </w:r>
      <w:r w:rsidR="005E16AD" w:rsidRPr="00CF7ED3">
        <w:t xml:space="preserve">. </w:t>
      </w:r>
    </w:p>
    <w:p w14:paraId="0ECC84A4" w14:textId="02E59B4E" w:rsidR="003A37DA" w:rsidRPr="00CF7ED3" w:rsidRDefault="00B262E6" w:rsidP="00CF7ED3">
      <w:pPr>
        <w:pStyle w:val="Heading2"/>
      </w:pPr>
      <w:r>
        <w:t>Macroclimate and microclimate temperature</w:t>
      </w:r>
    </w:p>
    <w:p w14:paraId="591D0B61" w14:textId="4234C389" w:rsidR="007F5F62" w:rsidRPr="00CF7ED3" w:rsidRDefault="00B262E6" w:rsidP="00B262E6">
      <w:r>
        <w:t>Local temperature is affected</w:t>
      </w:r>
      <w:r w:rsidR="00E8688D" w:rsidRPr="00CF7ED3">
        <w:t xml:space="preserve"> by multiple local factors, particularly vegetation structure. In all cases, although primary forest contained more, </w:t>
      </w:r>
      <w:r w:rsidR="00CF7DC3" w:rsidRPr="00CF7ED3">
        <w:t>larger</w:t>
      </w:r>
      <w:r w:rsidR="00E8688D" w:rsidRPr="00CF7ED3">
        <w:t xml:space="preserve"> trees (</w:t>
      </w:r>
      <w:r w:rsidR="00121BB4">
        <w:t>Fig. S1</w:t>
      </w:r>
      <w:r w:rsidR="000B16F5">
        <w:t>a</w:t>
      </w:r>
      <w:r w:rsidR="00E8688D" w:rsidRPr="00CF7ED3">
        <w:t xml:space="preserve">), </w:t>
      </w:r>
      <w:r w:rsidR="00423312" w:rsidRPr="00CF7ED3">
        <w:t xml:space="preserve">the </w:t>
      </w:r>
      <w:r w:rsidR="00AD048A" w:rsidRPr="00CF7ED3">
        <w:t xml:space="preserve">absence of any </w:t>
      </w:r>
      <w:r w:rsidR="00CF7DC3" w:rsidRPr="00CF7ED3">
        <w:t xml:space="preserve">long-term </w:t>
      </w:r>
      <w:r w:rsidR="00423312" w:rsidRPr="00CF7ED3">
        <w:t xml:space="preserve">effect of selective logging on the </w:t>
      </w:r>
      <w:r w:rsidR="00E8688D" w:rsidRPr="00CF7ED3">
        <w:t>amount of shade cover (</w:t>
      </w:r>
      <w:r w:rsidR="00121BB4">
        <w:t>Fig. S1</w:t>
      </w:r>
      <w:r w:rsidR="000B16F5">
        <w:t>d</w:t>
      </w:r>
      <w:r w:rsidR="00E8688D" w:rsidRPr="00CF7ED3">
        <w:t>)</w:t>
      </w:r>
      <w:r w:rsidR="00423312" w:rsidRPr="00CF7ED3">
        <w:t xml:space="preserve"> suggests that forest vegetation as a whole – regardless of how it was distributed vertically –</w:t>
      </w:r>
      <w:r w:rsidR="00941180" w:rsidRPr="00CF7ED3">
        <w:t xml:space="preserve"> </w:t>
      </w:r>
      <w:r w:rsidR="00423312" w:rsidRPr="00CF7ED3">
        <w:t>intercepted comparable amounts of incoming solar radiation in both logged and primary forests. Alternatively, v</w:t>
      </w:r>
      <w:r w:rsidR="0017614A" w:rsidRPr="00CF7ED3">
        <w:t xml:space="preserve">egetation in logged forest </w:t>
      </w:r>
      <w:r w:rsidR="00423312" w:rsidRPr="00CF7ED3">
        <w:t xml:space="preserve">may </w:t>
      </w:r>
      <w:r w:rsidR="00941180" w:rsidRPr="00CF7ED3">
        <w:t xml:space="preserve">have </w:t>
      </w:r>
      <w:r w:rsidR="00423312" w:rsidRPr="00CF7ED3">
        <w:t>intercept</w:t>
      </w:r>
      <w:r w:rsidR="00941180" w:rsidRPr="00CF7ED3">
        <w:t>ed</w:t>
      </w:r>
      <w:r w:rsidR="00423312" w:rsidRPr="00CF7ED3">
        <w:t xml:space="preserve"> less incoming radiation than in primary forest</w:t>
      </w:r>
      <w:r w:rsidR="007346C4" w:rsidRPr="00CF7ED3">
        <w:t xml:space="preserve"> (i.e. if there was less vegetation overall)</w:t>
      </w:r>
      <w:r w:rsidR="00423312" w:rsidRPr="00CF7ED3">
        <w:t xml:space="preserve">, but </w:t>
      </w:r>
      <w:r w:rsidR="006E0EB4" w:rsidRPr="00CF7ED3">
        <w:t>reflected</w:t>
      </w:r>
      <w:r w:rsidR="0017614A" w:rsidRPr="00CF7ED3">
        <w:t xml:space="preserve"> a greater proportion </w:t>
      </w:r>
      <w:r w:rsidR="00941180" w:rsidRPr="00CF7ED3">
        <w:t xml:space="preserve">of </w:t>
      </w:r>
      <w:r w:rsidR="0017614A" w:rsidRPr="00CF7ED3">
        <w:t xml:space="preserve">that </w:t>
      </w:r>
      <w:r w:rsidR="00423312" w:rsidRPr="00CF7ED3">
        <w:t xml:space="preserve">which </w:t>
      </w:r>
      <w:r w:rsidR="00941180" w:rsidRPr="00CF7ED3">
        <w:t xml:space="preserve">was </w:t>
      </w:r>
      <w:r w:rsidR="0017614A" w:rsidRPr="00CF7ED3">
        <w:t>intercepted</w:t>
      </w:r>
      <w:r w:rsidR="007F5F62" w:rsidRPr="00CF7ED3">
        <w:t>,</w:t>
      </w:r>
      <w:r w:rsidR="00941180" w:rsidRPr="00CF7ED3">
        <w:t xml:space="preserve"> </w:t>
      </w:r>
      <w:r w:rsidR="007F5F62" w:rsidRPr="00CF7ED3">
        <w:t xml:space="preserve">owing to </w:t>
      </w:r>
      <w:r w:rsidR="00423312" w:rsidRPr="00CF7ED3">
        <w:t xml:space="preserve">the </w:t>
      </w:r>
      <w:r w:rsidR="00B34C2C" w:rsidRPr="00CF7ED3">
        <w:t xml:space="preserve">higher </w:t>
      </w:r>
      <w:r w:rsidR="00F66EBE" w:rsidRPr="00CF7ED3">
        <w:t xml:space="preserve">albedo </w:t>
      </w:r>
      <w:r w:rsidR="00423312" w:rsidRPr="00CF7ED3">
        <w:t xml:space="preserve">of habitats </w:t>
      </w:r>
      <w:r w:rsidR="003769B9" w:rsidRPr="00CF7ED3">
        <w:t xml:space="preserve">with </w:t>
      </w:r>
      <w:r w:rsidR="00197014" w:rsidRPr="00CF7ED3">
        <w:t xml:space="preserve">an abundance of </w:t>
      </w:r>
      <w:r w:rsidR="003769B9" w:rsidRPr="00CF7ED3">
        <w:t xml:space="preserve">non-tree species </w:t>
      </w:r>
      <w:r w:rsidR="003769B9" w:rsidRPr="00CF7ED3">
        <w:fldChar w:fldCharType="begin"/>
      </w:r>
      <w:r w:rsidR="00342CFF">
        <w:instrText xml:space="preserve"> ADDIN ZOTERO_ITEM CSL_CITATION {"citationID":"KwXJhrQc","properties":{"formattedCitation":"{\\rtf (Oke, 1987; Davin &amp; de Noblet-Ducoudr\\uc0\\u233{}, 2010; Edwards {\\i{}et al.}, 2014a)}","plainCitation":"(Oke, 1987; Davin &amp; de Noblet-Ducoudré, 2010; Edwards et al., 2014a)"},"citationItems":[{"id":6268,"uris":["http://zotero.org/users/1177238/items/TGDX7CF6"],"uri":["http://zotero.org/users/1177238/items/TGDX7CF6"],"itemData":{"id":6268,"type":"book","title":"Boundary layer climates","publisher":"Methuen","publisher-place":"London","edition":"2nd ed.","source":"Primo","event-place":"London","ISBN":"0-416-04422-0","language":"eng","author":[{"family":"Oke","given":"T. R."}],"issued":{"date-parts":[["1987"]]}}},{"id":6412,"uris":["http://zotero.org/users/1177238/items/WG7NUVUK"],"uri":["http://zotero.org/users/1177238/items/WG7NUVUK"],"itemData":{"id":6412,"type":"article-journal","title":"Climatic impact of global-scale deforestation: radiative versus nonradiative processes","container-title":"Journal of Climate","page":"97-112","volume":"23","issue":"1","source":"journals.ametsoc.org (Atypon)","abstract":"A fully coupled land–ocean–atmosphere GCM is used to explore the biogeophysical impact of large-scale deforestation on surface climate. By analyzing the model sensitivity to global-scale replacement of forests by grassland, it is shown that the surface albedo increase owing to deforestation has a cooling effect of −1.36 K globally. On the other hand, forest removal decreases evapotranspiration efficiency and decreases surface roughness, both leading to a global surface warming of 0.24 and 0.29 K, respectively. The net biogeophysical impact of deforestation results from the competition between these effects. Globally, the albedo effect is dominant because of its wider-scale impact, and the net biogeophysical impact of deforestation is thus a cooling of −1 K. Over land, the balance between the different processes varies with latitude. In temperate and boreal zones of the Northern Hemisphere the albedo effect is stronger and deforestation thus induces a cooling. Conversely, in the tropics the net impact of deforestation is a warming, because evapotranspiration efficiency and surface roughness provide the dominant influence. The authors also explore the importance of the ocean coupling in shaping the climate response to deforestation. First, the temperature over ocean responds to the land cover perturbation. Second, even the temperature change over land is greatly affected by the ocean coupling. By assuming fixed oceanic conditions, the net effect of deforestation, averaged over all land areas, is a warming, whereas taking into account the coupling with the ocean leads, on the contrary, to a net land cooling. Furthermore, it is shown that the main parameter involved in the coupling with the ocean is surface albedo. Indeed, a change in albedo modifies temperature and humidity in the whole troposphere, thus enabling the initially land-confined perturbation to be transferred to the ocean. Finally, the radiative forcing framework is discussed in the context of land cover change impact on climate. The experiments herein illustrate that deforestation triggers two opposite types of forcing mechanisms—radiative forcing (owing to surface albedo change) and nonradiative forcing (owing to change in evapotranspiration efficiency and surface roughness)—that exhibit a similar magnitude globally. However, when applying the radiative forcing concept, nonradiative processes are ignored, which may lead to a misrepresentation of land cover change impact on climate.","DOI":"10.1175/2009JCLI3102.1","ISSN":"0894-8755","shortTitle":"Climatic Impact of Global-Scale Deforestation","journalAbbreviation":"J. Climate","author":[{"family":"Davin","given":"Edouard L."},{"family":"Noblet-Ducoudré","given":"Nathalie","non-dropping-particle":"de"}],"issued":{"date-parts":[["2010",1,1]]}}},{"id":1059,"uris":["http://zotero.org/users/1177238/items/VGF8RAHI"],"uri":["http://zotero.org/users/1177238/items/VGF8RAHI"],"itemData":{"id":1059,"type":"article-journal","title":"Maintaining ecosystem function and services in logged tropical forests","container-title":"Trends in Ecology &amp; Evolution","page":"511-520","volume":"29","issue":"9","source":"CrossRef","DOI":"10.1016/j.tree.2014.07.003","ISSN":"01695347","language":"en","author":[{"family":"Edwards","given":"David P."},{"family":"Tobias","given":"Joseph A."},{"family":"Sheil","given":"Douglas"},{"family":"Meijaard","given":"Erik"},{"family":"Laurance","given":"William F."}],"issued":{"date-parts":[["2014",9]]}}}],"schema":"https://github.com/citation-style-language/schema/raw/master/csl-citation.json"} </w:instrText>
      </w:r>
      <w:r w:rsidR="003769B9" w:rsidRPr="00CF7ED3">
        <w:fldChar w:fldCharType="separate"/>
      </w:r>
      <w:r w:rsidR="00342CFF" w:rsidRPr="00342CFF">
        <w:t xml:space="preserve">(Oke, 1987; Davin &amp; de Noblet-Ducoudré, 2010; Edwards </w:t>
      </w:r>
      <w:r w:rsidR="00342CFF" w:rsidRPr="00342CFF">
        <w:rPr>
          <w:i/>
          <w:iCs/>
        </w:rPr>
        <w:t>et al.</w:t>
      </w:r>
      <w:r w:rsidR="00342CFF" w:rsidRPr="00342CFF">
        <w:t>, 2014a)</w:t>
      </w:r>
      <w:r w:rsidR="003769B9" w:rsidRPr="00CF7ED3">
        <w:fldChar w:fldCharType="end"/>
      </w:r>
      <w:r w:rsidR="00F66EBE" w:rsidRPr="00CF7ED3">
        <w:t>.</w:t>
      </w:r>
      <w:r w:rsidR="00423312" w:rsidRPr="00CF7ED3">
        <w:t xml:space="preserve"> </w:t>
      </w:r>
      <w:r>
        <w:t>In either case, g</w:t>
      </w:r>
      <w:r w:rsidR="00A56521" w:rsidRPr="00CF7ED3">
        <w:t>iven c</w:t>
      </w:r>
      <w:r w:rsidR="007F5F62" w:rsidRPr="00CF7ED3">
        <w:t xml:space="preserve">omparable levels of solar radiation </w:t>
      </w:r>
      <w:r>
        <w:t xml:space="preserve">reaching the understorey of </w:t>
      </w:r>
      <w:r w:rsidR="007F5F62" w:rsidRPr="00CF7ED3">
        <w:t>logged and primary forests</w:t>
      </w:r>
      <w:r w:rsidR="00A56521" w:rsidRPr="00CF7ED3">
        <w:t xml:space="preserve">, it </w:t>
      </w:r>
      <w:r w:rsidR="007346C4" w:rsidRPr="00CF7ED3">
        <w:t xml:space="preserve">follows that </w:t>
      </w:r>
      <w:r>
        <w:t xml:space="preserve">the temperature at coarse and fine scales (macroclimate and microclimate temperatures) </w:t>
      </w:r>
      <w:r w:rsidR="007346C4" w:rsidRPr="00CF7ED3">
        <w:t xml:space="preserve">should </w:t>
      </w:r>
      <w:r w:rsidR="00A56521" w:rsidRPr="00CF7ED3">
        <w:t xml:space="preserve">also </w:t>
      </w:r>
      <w:r w:rsidR="007346C4" w:rsidRPr="00CF7ED3">
        <w:t xml:space="preserve">be </w:t>
      </w:r>
      <w:r w:rsidR="00A56521" w:rsidRPr="00CF7ED3">
        <w:t>comparable</w:t>
      </w:r>
      <w:r w:rsidR="0035536C">
        <w:t xml:space="preserve"> (Fig. </w:t>
      </w:r>
      <w:r w:rsidR="005130A1">
        <w:t>3</w:t>
      </w:r>
      <w:r w:rsidR="0035536C">
        <w:t>)</w:t>
      </w:r>
      <w:r w:rsidR="00A56521" w:rsidRPr="00CF7ED3">
        <w:t>.</w:t>
      </w:r>
      <w:r w:rsidR="00A35764">
        <w:t xml:space="preserve"> </w:t>
      </w:r>
    </w:p>
    <w:p w14:paraId="6EA95091" w14:textId="3698C657" w:rsidR="00C55431" w:rsidRDefault="002264AD" w:rsidP="00CF7ED3">
      <w:r w:rsidRPr="00CF7ED3">
        <w:t>T</w:t>
      </w:r>
      <w:r w:rsidR="00A56521" w:rsidRPr="00CF7ED3">
        <w:t xml:space="preserve">he temperature of </w:t>
      </w:r>
      <w:r w:rsidR="004B7A38">
        <w:t>cool</w:t>
      </w:r>
      <w:r w:rsidR="00A56521" w:rsidRPr="00CF7ED3">
        <w:t xml:space="preserve"> </w:t>
      </w:r>
      <w:r w:rsidR="000B16F5">
        <w:t xml:space="preserve">microclimates </w:t>
      </w:r>
      <w:r w:rsidR="00A56521" w:rsidRPr="00CF7ED3">
        <w:t xml:space="preserve">relative to average conditions is what </w:t>
      </w:r>
      <w:r w:rsidR="009E3C5F">
        <w:t xml:space="preserve">largely </w:t>
      </w:r>
      <w:r w:rsidR="00A56521" w:rsidRPr="00CF7ED3">
        <w:t xml:space="preserve">determines their ability to </w:t>
      </w:r>
      <w:r w:rsidR="00B262E6">
        <w:t>buffer macroclimate warming</w:t>
      </w:r>
      <w:r w:rsidR="007346C4" w:rsidRPr="00CF7ED3">
        <w:t xml:space="preserve"> </w:t>
      </w:r>
      <w:r w:rsidR="007346C4" w:rsidRPr="00CF7ED3">
        <w:fldChar w:fldCharType="begin"/>
      </w:r>
      <w:r w:rsidR="00342CFF">
        <w:instrText xml:space="preserve"> ADDIN ZOTERO_ITEM CSL_CITATION {"citationID":"16oc56thdm","properties":{"formattedCitation":"{\\rtf (Scheffers {\\i{}et al.}, 2014a; Gonz\\uc0\\u225{}lez del Pliego {\\i{}et al.}, 2016; Shi {\\i{}et al.}, 2016)}","plainCitation":"(Scheffers et al., 2014a; González del Pliego et al., 2016; Shi et al., 2016)"},"citationItems":[{"id":11357,"uris":["http://zotero.org/users/1177238/items/6BXI9VWV"],"uri":["http://zotero.org/users/1177238/items/6BXI9VWV"],"itemData":{"id":11357,"type":"article-journal","title":"Microhabitats reduce animal's exposure to climate extremes","container-title":"Global Change Biology","page":"495-503","volume":"20","issue":"2","DOI":"10.1111/gcb.12439","ISSN":"1365-2486","journalAbbreviation":"Glob Change Biol","author":[{"family":"Scheffers","given":"Brett R."},{"family":"Edwards","given":"David P."},{"family":"Diesmos","given":"Arvin"},{"family":"Williams","given":"Stephen E."},{"family":"Evans","given":"Theodore A."}],"issued":{"date-parts":[["2014",2,1]]}}},{"id":11703,"uris":["http://zotero.org/users/1177238/items/BU8UPCJJ"],"uri":["http://zotero.org/users/1177238/items/BU8UPCJJ"],"itemData":{"id":11703,"type":"article-journal","title":"Thermally buffered microhabitats recovery in tropical secondary forests following land abandonment","container-title":"Biological Conservation","page":"385-395","volume":"201","source":"ScienceDirect","abstract":"Given the dramatic loss of tropical forests and accelerating climate change, secondary forest regeneration is increasingly recognised as being an important method for reversing losses in biodiversity and carbon stocks. The recolonisation of biodiversity within secondary forests depends in part upon the recovery of forest structure, including the range of microhabitats used by diverse local communities. Here, we investigate the return of critical microhabitats along a successional gradient of secondary forest in the Tropical Andes of Colombia. We measured the abundance of live (bromeliads, tree ferns and moss) and dead (deadwood and leaf litter) microhabitats across three landscapes, each encompassing primary, and young (4–18 yr old) and old secondary forests (19–35 yr old). Considering the increasing rate of climate warming in the region, we also explored whether these microhabitats provide thermally buffered microclimates. We found that secondary forests have different composition and lower complexity of microhabitats than primary forests, but microhabitats appear to be recovering towards primary forest levels. Furthermore, in all forest types, microhabitats had lower maximum temperatures and higher minimum temperatures, thereby serving as thermal buffers that reduced exposure to extreme temperatures. These benefits exist despite ambient temperatures in secondary forests surpassing those of primary forests by 1–2 °C on average. The protection of secondary forest and promotion of further forest regrowth in the Tropical Andes should represent an urgent investment for conservation, and the value of these forests for offering critical microhabitats and buffered microclimates under climate change should not be overlooked.","DOI":"10.1016/j.biocon.2016.07.038","ISSN":"0006-3207","journalAbbreviation":"Biological Conservation","author":[{"family":"González del Pliego","given":"Pamela"},{"family":"Scheffers","given":"Brett R."},{"family":"Basham","given":"Edmund W."},{"family":"Woodcock","given":"Paul"},{"family":"Wheeler","given":"Charlotte"},{"family":"Gilroy","given":"James J."},{"family":"Medina Uribe","given":"Claudia A."},{"family":"Haugaasen","given":"Torbjørn"},{"family":"Freckleton","given":"Rob P."},{"family":"Edwards","given":"David P."}],"issued":{"date-parts":[["2016",9]]}}},{"id":12302,"uris":["http://zotero.org/users/1177238/items/GE8C7QVX"],"uri":["http://zotero.org/users/1177238/items/GE8C7QVX"],"itemData":{"id":12302,"type":"article-journal","title":"A framework for quantifying the thermal buffering effect of microhabitats","container-title":"Biological Conservation","page":"175-180","volume":"204, Part B","source":"ScienceDirect","abstract":"The importance of microhabitat, a localized environment with a microclimate that is distinct from the regional climate, is increasingly recognized in ecological conservation planning. Although there is a growing body of literature on microhabitats and the thermal buffering effect (the difference between temperatures within and outside of a microhabitat), uncertainties remain in quantifying this effect due to variation among microhabitats and the species that use them. Here, we review studies on thermal buffering in various microhabitats, and outline a framework for the quantification of the thermal buffering effect. Our framework emphasizes the importance of clearly defining ambient temperature and other temperature metrics used in quantifying the thermal buffering effect, as well as the spatial and temporal scales of investigation. We believe a suitable framework can help to reduce the uncertainties in quantifying the thermal buffering of microhabitats and assessing the vulnerability of species to regional climate changes.","DOI":"10.1016/j.biocon.2016.11.006","ISSN":"0006-3207","journalAbbreviation":"Biological Conservation","author":[{"family":"Shi","given":"Haijing"},{"family":"Wen","given":"Zhongming"},{"family":"Paull","given":"David"},{"family":"Guo","given":"Minghang"}],"issued":{"date-parts":[["2016",12]]}}}],"schema":"https://github.com/citation-style-language/schema/raw/master/csl-citation.json"} </w:instrText>
      </w:r>
      <w:r w:rsidR="007346C4" w:rsidRPr="00CF7ED3">
        <w:fldChar w:fldCharType="separate"/>
      </w:r>
      <w:r w:rsidR="00342CFF" w:rsidRPr="00342CFF">
        <w:t xml:space="preserve">(Scheffers </w:t>
      </w:r>
      <w:r w:rsidR="00342CFF" w:rsidRPr="00342CFF">
        <w:rPr>
          <w:i/>
          <w:iCs/>
        </w:rPr>
        <w:t>et al.</w:t>
      </w:r>
      <w:r w:rsidR="00342CFF" w:rsidRPr="00342CFF">
        <w:t xml:space="preserve">, 2014a; González del Pliego </w:t>
      </w:r>
      <w:r w:rsidR="00342CFF" w:rsidRPr="00342CFF">
        <w:rPr>
          <w:i/>
          <w:iCs/>
        </w:rPr>
        <w:t>et al.</w:t>
      </w:r>
      <w:r w:rsidR="00342CFF" w:rsidRPr="00342CFF">
        <w:t xml:space="preserve">, 2016; Shi </w:t>
      </w:r>
      <w:r w:rsidR="00342CFF" w:rsidRPr="00342CFF">
        <w:rPr>
          <w:i/>
          <w:iCs/>
        </w:rPr>
        <w:t>et al.</w:t>
      </w:r>
      <w:r w:rsidR="00342CFF" w:rsidRPr="00342CFF">
        <w:t>, 2016)</w:t>
      </w:r>
      <w:r w:rsidR="007346C4" w:rsidRPr="00CF7ED3">
        <w:fldChar w:fldCharType="end"/>
      </w:r>
      <w:r w:rsidR="00A56521" w:rsidRPr="00CF7ED3">
        <w:t xml:space="preserve">. </w:t>
      </w:r>
      <w:r w:rsidR="00C55431" w:rsidRPr="00CF7ED3">
        <w:t>W</w:t>
      </w:r>
      <w:r w:rsidR="008E7C6C" w:rsidRPr="00CF7ED3">
        <w:t xml:space="preserve">e found no overall difference in temperature </w:t>
      </w:r>
      <w:r w:rsidR="005130A1">
        <w:t xml:space="preserve">buffering either </w:t>
      </w:r>
      <w:r w:rsidR="008E7C6C" w:rsidRPr="00CF7ED3">
        <w:t>at the surface</w:t>
      </w:r>
      <w:r w:rsidR="00CF7DC3" w:rsidRPr="00CF7ED3">
        <w:t xml:space="preserve"> </w:t>
      </w:r>
      <w:r w:rsidR="008E7C6C" w:rsidRPr="00CF7ED3">
        <w:t>(Fig</w:t>
      </w:r>
      <w:r w:rsidR="00E60027" w:rsidRPr="00CF7ED3">
        <w:t xml:space="preserve">. </w:t>
      </w:r>
      <w:r w:rsidR="00B262E6">
        <w:t>3c</w:t>
      </w:r>
      <w:r w:rsidR="008E7C6C" w:rsidRPr="00CF7ED3">
        <w:t>) or inside microhabitats (Fig</w:t>
      </w:r>
      <w:r w:rsidR="00B262E6">
        <w:t>. 3d-f</w:t>
      </w:r>
      <w:r w:rsidR="008E7C6C" w:rsidRPr="00CF7ED3">
        <w:t xml:space="preserve">), </w:t>
      </w:r>
      <w:r w:rsidR="00C55431" w:rsidRPr="00CF7ED3">
        <w:t xml:space="preserve">although </w:t>
      </w:r>
      <w:r w:rsidR="008E7C6C" w:rsidRPr="00CF7ED3">
        <w:t xml:space="preserve">there were very slight differences between logged and primary forests in rates of microhabitat warming. For a given increase in </w:t>
      </w:r>
      <w:r w:rsidR="00B262E6">
        <w:t xml:space="preserve">macroclimate </w:t>
      </w:r>
      <w:r w:rsidR="008E7C6C" w:rsidRPr="00CF7ED3">
        <w:t>temperature, leaf litter and tree holes warmed more in primary forests than in logged forests, and the opposite was true for temp</w:t>
      </w:r>
      <w:r w:rsidR="005130A1">
        <w:t xml:space="preserve">erature inside deadwood (Fig. </w:t>
      </w:r>
      <w:r w:rsidR="00B262E6">
        <w:t>3d-f</w:t>
      </w:r>
      <w:r w:rsidR="008E7C6C" w:rsidRPr="00CF7ED3">
        <w:t>). That said, these differences were extremely small in biological terms – a maximum of 0.1°C difference in microhabitat warming between logged and primary forests, relative to a 1°C increase in average air temperature.</w:t>
      </w:r>
      <w:r w:rsidR="00B262E6">
        <w:t xml:space="preserve"> W</w:t>
      </w:r>
      <w:r w:rsidR="009E3C5F">
        <w:t xml:space="preserve">e </w:t>
      </w:r>
      <w:r w:rsidR="00B262E6">
        <w:t xml:space="preserve">therefore </w:t>
      </w:r>
      <w:r w:rsidR="009E3C5F">
        <w:t xml:space="preserve">conclude that available microclimates in logged and primary forest </w:t>
      </w:r>
      <w:r w:rsidR="00B262E6">
        <w:t>had</w:t>
      </w:r>
      <w:r w:rsidR="009E3C5F">
        <w:t xml:space="preserve"> equal potential to buffer organisms from </w:t>
      </w:r>
      <w:r w:rsidR="00B262E6">
        <w:t xml:space="preserve">macroclimate </w:t>
      </w:r>
      <w:r w:rsidR="009E3C5F">
        <w:t>temperature change.</w:t>
      </w:r>
    </w:p>
    <w:p w14:paraId="4D1A60B3" w14:textId="5BF79402" w:rsidR="00B262E6" w:rsidRPr="00CF7ED3" w:rsidRDefault="00B262E6" w:rsidP="00B262E6">
      <w:pPr>
        <w:pStyle w:val="Heading2"/>
      </w:pPr>
      <w:r>
        <w:t>Microclimate availability</w:t>
      </w:r>
    </w:p>
    <w:p w14:paraId="79B7C9A5" w14:textId="641F133B" w:rsidR="005A5BC1" w:rsidRDefault="00C55431" w:rsidP="00CF7ED3">
      <w:r w:rsidRPr="00CF7ED3">
        <w:t xml:space="preserve">Even if </w:t>
      </w:r>
      <w:r w:rsidR="004B7A38">
        <w:t>cool</w:t>
      </w:r>
      <w:r w:rsidRPr="00CF7ED3">
        <w:t xml:space="preserve"> </w:t>
      </w:r>
      <w:r w:rsidR="000B16F5">
        <w:t xml:space="preserve">microclimates </w:t>
      </w:r>
      <w:r w:rsidRPr="00CF7ED3">
        <w:t xml:space="preserve">are present and </w:t>
      </w:r>
      <w:r w:rsidR="00E60027" w:rsidRPr="00CF7ED3">
        <w:t xml:space="preserve">individually effective at </w:t>
      </w:r>
      <w:r w:rsidRPr="00CF7ED3">
        <w:t>buffer</w:t>
      </w:r>
      <w:r w:rsidR="00E60027" w:rsidRPr="00CF7ED3">
        <w:t>ing</w:t>
      </w:r>
      <w:r w:rsidRPr="00CF7ED3">
        <w:t xml:space="preserve"> temperature change, </w:t>
      </w:r>
      <w:r w:rsidR="00E60027" w:rsidRPr="00CF7ED3">
        <w:t>overall rarity or isolation c</w:t>
      </w:r>
      <w:r w:rsidR="003005B3" w:rsidRPr="00CF7ED3">
        <w:t>ould</w:t>
      </w:r>
      <w:r w:rsidR="00E60027" w:rsidRPr="00CF7ED3">
        <w:t xml:space="preserve"> render them functionally </w:t>
      </w:r>
      <w:r w:rsidR="002264AD" w:rsidRPr="00CF7ED3">
        <w:t>redundant</w:t>
      </w:r>
      <w:r w:rsidR="00E60027" w:rsidRPr="00CF7ED3">
        <w:t xml:space="preserve"> </w:t>
      </w:r>
      <w:r w:rsidR="00E60027" w:rsidRPr="00CF7ED3">
        <w:fldChar w:fldCharType="begin"/>
      </w:r>
      <w:r w:rsidR="004E4368">
        <w:instrText xml:space="preserve"> ADDIN ZOTERO_ITEM CSL_CITATION {"citationID":"1aa8c380pt","properties":{"formattedCitation":"{\\rtf (Sears {\\i{}et al.}, 2011, 2016)}","plainCitation":"(Sears et al., 2011, 2016)"},"citationItems":[{"id":1345,"uris":["http://zotero.org/users/1177238/items/V53DEKSV"],"uri":["http://zotero.org/users/1177238/items/V53DEKSV"],"itemData":{"id":1345,"type":"article-journal","title":"The world is not flat: defining relevant thermal landscapes in the context of climate change","container-title":"Integrative and Comparative Biology","page":"666-675","volume":"51","issue":"5","source":"icb.oxfordjournals.org","abstract":"Although climates are rapidly changing on a global scale, these changes cannot easily be extrapolated to the local scales experienced by organisms. In fact, such generalizations might be quite problematic. For instance, models used to predict shifts in the ranges of species during climate change rarely incorporate data resolved to &lt;1 km2, although most organisms integrate climatic drivers at much smaller scales. Empirical studies alone suggest that the operative temperatures of many organisms vary by as much as 10–20°C on a local scale, depending on vegetation, geology, and topography. Furthermore, this variation in abiotic factors ignores thermoregulatory behaviors that many animals use to balance heat loads. Through a set of simulations, we demonstrate how variability in elevational topography can attenuate the effects of warming climates. These simulations suggest that changing climates do not always impact organisms negatively. Importantly, these simulations involve well-known relationships in biophysical ecology that show how no two organisms experience the same climate in the same way. We suggest that, when coupled with thermoregulatory behavior, variation in topographic features can mask the acute effect of climate change in many cases.","DOI":"10.1093/icb/icr111","ISSN":"1540-7063, 1557-7023","note":"PMID: 21937668","shortTitle":"The World Is not Flat","journalAbbreviation":"Integr. Comp. Biol.","language":"en","author":[{"family":"Sears","given":"Michael W."},{"family":"Raskin","given":"Evan"},{"family":"Angilletta","given":"Michael J."}],"issued":{"date-parts":[["2011",11,1]]}}},{"id":12407,"uris":["http://zotero.org/users/1177238/items/9FINJUJC"],"uri":["http://zotero.org/users/1177238/items/9FINJUJC"],"itemData":{"id":12407,"type":"article-journal","title":"Configuration of the thermal landscape determines thermoregulatory performance of ectotherms","container-title":"Proceedings of the National Academy of Sciences","page":"10595-10600","volume":"113","issue":"38","source":"www.pnas.org","abstract":"Although most organisms thermoregulate behaviorally, biologists still cannot easily predict whether mobile animals will thermoregulate in natural environments. Current models fail because they ignore how the spatial distribution of thermal resources constrains thermoregulatory performance over space and time. To overcome this limitation, we modeled the spatially explicit movements of animals constrained by access to thermal resources. Our models predict that ectotherms thermoregulate more accurately when thermal resources are dispersed throughout space than when these resources are clumped. This prediction was supported by thermoregulatory behaviors of lizards in outdoor arenas with known distributions of environmental temperatures. Further, simulations showed how the spatial structure of the landscape qualitatively affects responses of animals to climate. Biologists will need spatially explicit models to predict impacts of climate change on local scales.","DOI":"10.1073/pnas.1604824113","ISSN":"0027-8424, 1091-6490","note":"PMID: 27601639","journalAbbreviation":"PNAS","language":"en","author":[{"family":"Sears","given":"Michael W."},{"family":"Angilletta","given":"Michael J."},{"family":"Schuler","given":"Matthew S."},{"family":"Borchert","given":"Jason"},{"family":"Dilliplane","given":"Katherine F."},{"family":"Stegman","given":"Monica"},{"family":"Rusch","given":"Travis W."},{"family":"Mitchell","given":"William A."}],"issued":{"date-parts":[["2016",9,20]]}}}],"schema":"https://github.com/citation-style-language/schema/raw/master/csl-citation.json"} </w:instrText>
      </w:r>
      <w:r w:rsidR="00E60027" w:rsidRPr="00CF7ED3">
        <w:fldChar w:fldCharType="separate"/>
      </w:r>
      <w:r w:rsidR="00342CFF" w:rsidRPr="00342CFF">
        <w:t xml:space="preserve">(Sears </w:t>
      </w:r>
      <w:r w:rsidR="00342CFF" w:rsidRPr="00342CFF">
        <w:rPr>
          <w:i/>
          <w:iCs/>
        </w:rPr>
        <w:t>et al.</w:t>
      </w:r>
      <w:r w:rsidR="00342CFF" w:rsidRPr="00342CFF">
        <w:t>, 2011, 2016)</w:t>
      </w:r>
      <w:r w:rsidR="00E60027" w:rsidRPr="00CF7ED3">
        <w:fldChar w:fldCharType="end"/>
      </w:r>
      <w:r w:rsidR="00E60027" w:rsidRPr="00CF7ED3">
        <w:t xml:space="preserve">.  We demonstrate that </w:t>
      </w:r>
      <w:r w:rsidR="000B16F5">
        <w:t xml:space="preserve">microclimates </w:t>
      </w:r>
      <w:r w:rsidR="00E60027" w:rsidRPr="00CF7ED3">
        <w:t xml:space="preserve">in logged and primary forests </w:t>
      </w:r>
      <w:r w:rsidR="005A5BC1">
        <w:t>had</w:t>
      </w:r>
      <w:r w:rsidR="009E3C5F">
        <w:t xml:space="preserve"> a similar </w:t>
      </w:r>
      <w:r w:rsidR="00CF037C">
        <w:t>availability</w:t>
      </w:r>
      <w:r w:rsidR="009E3C5F">
        <w:t xml:space="preserve"> </w:t>
      </w:r>
      <w:r w:rsidR="005A5BC1">
        <w:t>(Fig. 4</w:t>
      </w:r>
      <w:r w:rsidR="00E60027" w:rsidRPr="00CF7ED3">
        <w:t xml:space="preserve">), </w:t>
      </w:r>
      <w:r w:rsidR="005A5BC1">
        <w:t xml:space="preserve">whether measured at the surface or as the volume of microhabitats. </w:t>
      </w:r>
      <w:r w:rsidR="005A5BC1" w:rsidRPr="00CF7ED3">
        <w:t xml:space="preserve">This is contrary to expectations from </w:t>
      </w:r>
      <w:r w:rsidR="005A5BC1">
        <w:t xml:space="preserve">previous </w:t>
      </w:r>
      <w:r w:rsidR="005A5BC1" w:rsidRPr="00CF7ED3">
        <w:t xml:space="preserve">studies </w:t>
      </w:r>
      <w:r w:rsidR="005A5BC1" w:rsidRPr="00CF7ED3">
        <w:fldChar w:fldCharType="begin"/>
      </w:r>
      <w:r w:rsidR="005A5BC1">
        <w:instrText xml:space="preserve"> ADDIN ZOTERO_ITEM CSL_CITATION {"citationID":"CbMJJxBU","properties":{"formattedCitation":"{\\rtf (Ball {\\i{}et al.}, 1999; Blakely &amp; Didham, 2008; Saner {\\i{}et al.}, 2009)}","plainCitation":"(Ball et al., 1999; Blakely &amp; Didham, 2008; Saner et al., 2009)"},"citationItems":[{"id":11796,"uris":["http://zotero.org/users/1177238/items/Q8CNJQ4Q"],"uri":["http://zotero.org/users/1177238/items/Q8CNJQ4Q"],"itemData":{"id":11796,"type":"article-journal","title":"A tree hollow dynamics simulation model","container-title":"Forest Ecology and Management","page":"179-194","volume":"123","issue":"2–3","source":"ScienceDirect","abstract":"This paper describes a deterministic computer model for simulating forest dynamics. The model predicts the long-term dynamics of hollow-bearing trees which occur in a single-species (monotypic) forest stand under an array of different timber harvesting regimes over a time scale of centuries. It is applied to a number of different timber harvesting scenarios in the mountain ash (Eucalyptus regnans F. Muell.) forests of Victoria, south-eastern Australia. Computer experiments give results that have far-reaching implications for forest management and could not have easily been predicted without a model. These include: (1) when the harvest rotation time is 100 years or less, a supply of trees with hollows cannot be ensured by only retaining trees which already have hollows: and (2) when some retained trees are lost through logging-related mortality, the effect on the number of trees with hollows is exaggerated. For instance, if half of the retained trees are lost via logging-related mortality, it is not sufficient to double the number of trees retained in order to maintain the same number of hollow-bearing trees.\n\nHOLSIM is a planning tool for forest and wildlife managers. it will assist them in forecasting long-term stand conditions that result from particular forest management regimes. The ability to make predictions over several harvesting cycles is extremely important for examining the effects of harvesting strategies on the dynamics and structure of forest ecosystems, determining if given management strategies will meet particular targets, anticipating the impacts of forestry operations on hollow-dependent fauna, and helping to better integrate biodiversity conservation within wood production forests.","DOI":"10.1016/S0378-1127(99)00026-2","ISSN":"0378-1127","journalAbbreviation":"Forest Ecology and Management","author":[{"family":"Ball","given":"I. R"},{"family":"Lindenmayer","given":"D. B"},{"family":"Possingham","given":"H. P"}],"issued":{"date-parts":[["1999",11,8]]}}},{"id":4300,"uris":["http://zotero.org/users/1177238/items/ARH83AIK"],"uri":["http://zotero.org/users/1177238/items/ARH83AIK"],"itemData":{"id":4300,"type":"article-journal","title":"Tree holes in a mixed broad-leaf–podocarp rain forest, New Zealand","container-title":"New Zealand Journal of Ecology","page":"197–208","volume":"32","issue":"2","source":"Google Scholar","author":[{"family":"Blakely","given":"Tanya J."},{"family":"Didham","given":"Raphael K."}],"issued":{"date-parts":[["2008"]]}}},{"id":1902,"uris":["http://zotero.org/users/1177238/items/AICPKP74"],"uri":["http://zotero.org/users/1177238/items/AICPKP74"],"itemData":{"id":1902,"type":"article-journal","title":"Reduced soil respiration in gaps in logged lowland dipterocarp forests","container-title":"Forest Ecology and Management","page":"2007-2012","volume":"258","issue":"9","source":"ScienceDirect","abstract":"We studied the effects of forest composition and structure, and related biotic and abiotic factors on soil respiration rates in a tropical logged forest in Malaysian Borneo. Forest stands were classified into gap, pioneer, non-pioneer and mixed (pioneer, non-pioneer and unclassified trees) based on the species composition of trees &amp;gt;10 cm diameter breast height. Soil respiration rates did not differ significantly between non-gap sites (1290 ± 210 mg CO2 m−2 h−1) but were double those in gap sites (640 ± 130 mg CO2 m−2 h−1). Post hoc analyses found that an increase in soil temperature and a decrease in litterfall and fine root biomass explained 72% of the difference between gap and non-gap sites. The significant decrease of soil respiration rates in gaps, irrespective of day or night time, suggests that autotrophic respiration may be an important contributor to total soil respiration in logged forests. We conclude that biosphere-atmosphere carbon exchange models in tropical systems should incorporate gap frequency and that future research in tropical forest should emphasize the contribution of autotrophic respiration to total soil respiration.","DOI":"10.1016/j.foreco.2009.07.048","ISSN":"0378-1127","journalAbbreviation":"Forest Ecology and Management","author":[{"family":"Saner","given":"Philippe"},{"family":"Lim","given":"Robin"},{"family":"Burla","given":"Bo"},{"family":"Ong","given":"Robert C."},{"family":"Scherer-Lorenzen","given":"Michael"},{"family":"Hector","given":"Andy"}],"issued":{"date-parts":[["2009",10,10]]}}}],"schema":"https://github.com/citation-style-language/schema/raw/master/csl-citation.json"} </w:instrText>
      </w:r>
      <w:r w:rsidR="005A5BC1" w:rsidRPr="00CF7ED3">
        <w:fldChar w:fldCharType="separate"/>
      </w:r>
      <w:r w:rsidR="005A5BC1" w:rsidRPr="00342CFF">
        <w:t xml:space="preserve">(Ball </w:t>
      </w:r>
      <w:r w:rsidR="005A5BC1" w:rsidRPr="00342CFF">
        <w:rPr>
          <w:i/>
          <w:iCs/>
        </w:rPr>
        <w:t>et al.</w:t>
      </w:r>
      <w:r w:rsidR="005A5BC1" w:rsidRPr="00342CFF">
        <w:t xml:space="preserve">, 1999; Blakely &amp; Didham, 2008; Saner </w:t>
      </w:r>
      <w:r w:rsidR="005A5BC1" w:rsidRPr="00342CFF">
        <w:rPr>
          <w:i/>
          <w:iCs/>
        </w:rPr>
        <w:t>et al.</w:t>
      </w:r>
      <w:r w:rsidR="005A5BC1" w:rsidRPr="00342CFF">
        <w:t>, 2009)</w:t>
      </w:r>
      <w:r w:rsidR="005A5BC1" w:rsidRPr="00CF7ED3">
        <w:fldChar w:fldCharType="end"/>
      </w:r>
      <w:r w:rsidR="005A5BC1" w:rsidRPr="00CF7ED3">
        <w:t xml:space="preserve">. </w:t>
      </w:r>
      <w:r w:rsidR="005A5BC1">
        <w:t>However, h</w:t>
      </w:r>
      <w:r w:rsidR="005A5BC1" w:rsidRPr="00CF7ED3">
        <w:t xml:space="preserve">igh volumes of leaf litter and deadwood could be maintained in logged forest by lower decomposition rates </w:t>
      </w:r>
      <w:r w:rsidR="005A5BC1" w:rsidRPr="00CF7ED3">
        <w:fldChar w:fldCharType="begin"/>
      </w:r>
      <w:r w:rsidR="005A5BC1">
        <w:instrText xml:space="preserve"> ADDIN ZOTERO_ITEM CSL_CITATION {"citationID":"hvAp8oy7","properties":{"formattedCitation":"{\\rtf (Ewers {\\i{}et al.}, 2015; Yeong {\\i{}et al.}, 2016)}","plainCitation":"(Ewers et al., 2015; Yeong et al., 2016)"},"citationItems":[{"id":11784,"uris":["http://zotero.org/users/1177238/items/A6RD9XKT"],"uri":["http://zotero.org/users/1177238/items/A6RD9XKT"],"itemData":{"id":11784,"type":"article-journal","title":"Logging cuts the functional importance of invertebrates in tropical rainforest","container-title":"Nature Communications","page":"6836","volume":"6","source":"www.nature.com","abstract":"Invertebrates are dominant species in primary tropical rainforests, where their abundance and diversity contributes to the functioning and resilience of these globally important ecosystems. However, more than one-third of tropical forests have been logged, with dramatic impacts on rainforest biodiversity that may disrupt key ecosystem processes. We find that the contribution of invertebrates to three ecosystem processes operating at three trophic levels (litter decomposition, seed predation and removal, and invertebrate predation) is reduced by up to one-half following logging. These changes are associated with decreased abundance of key functional groups of termites, ants, beetles and earthworms, and an increase in the abundance of small mammals, amphibians and insectivorous birds in logged relative to primary forest. Our results suggest that ecosystem processes themselves have considerable resilience to logging, but the consistent decline of invertebrate functional importance is indicative of a human-induced shift in how these ecological processes operate in tropical rainforests.","DOI":"10.1038/ncomms7836","journalAbbreviation":"Nat Commun","language":"en","author":[{"family":"Ewers","given":"Robert M."},{"family":"Boyle","given":"Michael J. W."},{"family":"Gleave","given":"Rosalind A."},{"family":"Plowman","given":"Nichola S."},{"family":"Benedick","given":"Suzan"},{"family":"Bernard","given":"Henry"},{"family":"Bishop","given":"Tom R."},{"family":"Bakhtiar","given":"Effendi Y."},{"family":"Chey","given":"Vun Khen"},{"family":"Chung","given":"Arthur Y. C."},{"family":"Davies","given":"Richard G."},{"family":"Edwards","given":"David P."},{"family":"Eggleton","given":"Paul"},{"family":"Fayle","given":"Tom M."},{"family":"Hardwick","given":"Stephen R."},{"family":"Homathevi","given":"Rahman"},{"family":"Kitching","given":"Roger L."},{"family":"Khoo","given":"Min Sheng"},{"family":"Luke","given":"Sarah H."},{"family":"March","given":"Joshua J."},{"family":"Nilus","given":"Reuben"},{"family":"Pfeifer","given":"Marion"},{"family":"Rao","given":"Sri V."},{"family":"Sharp","given":"Adam C."},{"family":"Snaddon","given":"Jake L."},{"family":"Stork","given":"Nigel E."},{"family":"Struebig","given":"Matthew J."},{"family":"Wearn","given":"Oliver R."},{"family":"Yusah","given":"Kalsum M."},{"family":"Turner","given":"Edgar C."}],"issued":{"date-parts":[["2015",4,13]]}}},{"id":6707,"uris":["http://zotero.org/users/1177238/items/2XV88UBV"],"uri":["http://zotero.org/users/1177238/items/2XV88UBV"],"itemData":{"id":6707,"type":"article-journal","title":"Leaf litter decomposition rates in degraded and fragmented tropical rain forests of Borneo","container-title":"Biotropica","page":"n/a-n/a","source":"Wiley Online Library","abstract":"Previously extensive tracts of primary rain forest have been degraded by human activities, and we examined how the effects of forest disturbance arising from habitat fragmentation and commercial selective logging affected ecosystem functioning in these habitats by studying leaf litter decomposition rates in litter bags placed on the forest floor. The rain forests of Borneo are dominated by trees from the family Dipterocarpaceae, and we compared leaf litter decomposition rates of three dipterocarp species at eight forest fragment sites (area 3–3529 ha) that had different histories of disturbance pre-fragmentation: four fragments had been selectively logged prior to fragmentation and four had been formed from previously undisturbed forest. We compared these logged and unlogged forest fragments with sites in continuous forest that had been selectively logged (two sites) and fully protected and undisturbed (two sites). After 120 d, undisturbed continuous forest sites had the fastest rates of decomposition (52% mass loss). Forest fragments formed from unlogged forest (32% mass loss) had faster decomposition rates than logged forest fragments (28% mass loss), but slower rates than continuous logged forest (39% mass loss). Leaves of a light-demanding species (Parashorea malaanonan) decomposed faster than those of a shade-tolerant species (Hopea nervosa), but decomposition of all three dipterocarp species that we studied responded similarly to logging and fragmentation effects. Reduced decomposition rates in logged and fragmented forest sites may affect nutrient cycling and thus have detrimental consequences for forest regeneration. Conservation management to improve forest quality should be a priority, particularly in logged forest fragments.","DOI":"10.1111/btp.12319","ISSN":"1744-7429","journalAbbreviation":"Biotropica","language":"en","author":[{"family":"Yeong","given":"Kok Loong"},{"family":"Reynolds","given":"Glen"},{"family":"Hill","given":"Jane K."}],"issued":{"date-parts":[["2016",3,1]]}}}],"schema":"https://github.com/citation-style-language/schema/raw/master/csl-citation.json"} </w:instrText>
      </w:r>
      <w:r w:rsidR="005A5BC1" w:rsidRPr="00CF7ED3">
        <w:fldChar w:fldCharType="separate"/>
      </w:r>
      <w:r w:rsidR="005A5BC1" w:rsidRPr="00342CFF">
        <w:t xml:space="preserve">(Ewers </w:t>
      </w:r>
      <w:r w:rsidR="005A5BC1" w:rsidRPr="00342CFF">
        <w:rPr>
          <w:i/>
          <w:iCs/>
        </w:rPr>
        <w:t>et al.</w:t>
      </w:r>
      <w:r w:rsidR="005A5BC1" w:rsidRPr="00342CFF">
        <w:t xml:space="preserve">, 2015; Yeong </w:t>
      </w:r>
      <w:r w:rsidR="005A5BC1" w:rsidRPr="00342CFF">
        <w:rPr>
          <w:i/>
          <w:iCs/>
        </w:rPr>
        <w:t>et al.</w:t>
      </w:r>
      <w:r w:rsidR="005A5BC1" w:rsidRPr="00342CFF">
        <w:t>, 2016)</w:t>
      </w:r>
      <w:r w:rsidR="005A5BC1" w:rsidRPr="00CF7ED3">
        <w:fldChar w:fldCharType="end"/>
      </w:r>
      <w:r w:rsidR="005A5BC1" w:rsidRPr="00CF7ED3">
        <w:t xml:space="preserve"> and large remnant pieces of deadwood from harvest operations. In undisturbed forests, tree holes tend to be associated with larger, older trees </w:t>
      </w:r>
      <w:r w:rsidR="005A5BC1" w:rsidRPr="00CF7ED3">
        <w:fldChar w:fldCharType="begin"/>
      </w:r>
      <w:r w:rsidR="005A5BC1">
        <w:instrText xml:space="preserve"> ADDIN ZOTERO_ITEM CSL_CITATION {"citationID":"gh6ss2o72","properties":{"formattedCitation":"{\\rtf (Lindenmayer {\\i{}et al.}, 2000; Blakely &amp; Didham, 2008)}","plainCitation":"(Lindenmayer et al., 2000; Blakely &amp; Didham, 2008)"},"citationItems":[{"id":11724,"uris":["http://zotero.org/users/1177238/items/TS9C45RD"],"uri":["http://zotero.org/users/1177238/items/TS9C45RD"],"itemData":{"id":11724,"type":"article-journal","title":"Cavity sizes and types in Australian eucalypts from wet and dry forest types–a simple of rule of thumb for estimating size and number of cavities","container-title":"Forest Ecology and Management","page":"139-150","volume":"137","issue":"1–3","source":"ScienceDirect","abstract":"We describe the relationships between the number, size and type of cavities in six species of eucalypt trees from southern New South Wales (south-eastern Australia) and tree diameter, tree height, tree species and other measures. The eucalypt species studied were:-Narrow-leaved Peppermint (Eucalyptus radiata), Mountain Swamp Gum (Eucalyptus camphora), Mountain Gum (Eucalyptus dalrympleana), Red Stringybark (Eucalyptus macrorhyncha), Ribbon Gum (Eucalyptus viminalis), and, Broad-leaved Peppermint (Eucalyptus dives).\n\nE. radiata and E. macrorhyncha supported almost twice the proportion of branch-end hollows than cavities assigned to other categories. Cavities in the main trunk were the predominant hollow class in E. viminalis and E. dalrympleana. Large diameter trees were characterised by more branch-end hollows, whereas main trunk cavities were typically the most prevalent cavity type in smaller diameter stems.\n\nWe identified a simple, general rule that highlights the relationships between cavities and readily measured tree attributes. Our data show that, in general, both the number of cavities and cavity size were directly proportional to tree diameter, but inversely proportional to the square root of tree height. This proportionality changed between different tree species. E. dives and E. viminalis supported, on average, larger cavities than other species, whereas the cavities in E. macrorhyncha were smaller than the other taxa sampled. This simple general relationship may make it possible to make rapid crude estimates of cavity abundance across large areas of forest by measuring simple tree attributes such as tree diameter and tree height.","DOI":"10.1016/S0378-1127(99)00322-9","ISSN":"0378-1127","journalAbbreviation":"Forest Ecology and Management","author":[{"family":"Lindenmayer","given":"D. B"},{"family":"Cunningham","given":"R. B"},{"family":"Pope","given":"M. L"},{"family":"Gibbons","given":"P"},{"family":"Donnelly","given":"C. F"}],"issued":{"date-parts":[["2000",10,15]]}}},{"id":4300,"uris":["http://zotero.org/users/1177238/items/ARH83AIK"],"uri":["http://zotero.org/users/1177238/items/ARH83AIK"],"itemData":{"id":4300,"type":"article-journal","title":"Tree holes in a mixed broad-leaf–podocarp rain forest, New Zealand","container-title":"New Zealand Journal of Ecology","page":"197–208","volume":"32","issue":"2","source":"Google Scholar","author":[{"family":"Blakely","given":"Tanya J."},{"family":"Didham","given":"Raphael K."}],"issued":{"date-parts":[["2008"]]}}}],"schema":"https://github.com/citation-style-language/schema/raw/master/csl-citation.json"} </w:instrText>
      </w:r>
      <w:r w:rsidR="005A5BC1" w:rsidRPr="00CF7ED3">
        <w:fldChar w:fldCharType="separate"/>
      </w:r>
      <w:r w:rsidR="005A5BC1" w:rsidRPr="00342CFF">
        <w:t xml:space="preserve">(Lindenmayer </w:t>
      </w:r>
      <w:r w:rsidR="005A5BC1" w:rsidRPr="00342CFF">
        <w:rPr>
          <w:i/>
          <w:iCs/>
        </w:rPr>
        <w:t>et al.</w:t>
      </w:r>
      <w:r w:rsidR="005A5BC1" w:rsidRPr="00342CFF">
        <w:t>, 2000; Blakely &amp; Didham, 2008)</w:t>
      </w:r>
      <w:r w:rsidR="005A5BC1" w:rsidRPr="00CF7ED3">
        <w:fldChar w:fldCharType="end"/>
      </w:r>
      <w:r w:rsidR="005A5BC1" w:rsidRPr="00CF7ED3">
        <w:t xml:space="preserve">. </w:t>
      </w:r>
      <w:r w:rsidR="005A5BC1">
        <w:t>A</w:t>
      </w:r>
      <w:r w:rsidR="005A5BC1" w:rsidRPr="00CF7ED3">
        <w:t xml:space="preserve"> comparable quantity of tree holes might be found on relatively small trees in logged forests because of damage from logging operations </w:t>
      </w:r>
      <w:r w:rsidR="005A5BC1" w:rsidRPr="00CF7ED3">
        <w:fldChar w:fldCharType="begin"/>
      </w:r>
      <w:r w:rsidR="005A5BC1">
        <w:instrText xml:space="preserve"> ADDIN ZOTERO_ITEM CSL_CITATION {"citationID":"vhpmu9onp","properties":{"formattedCitation":"{\\rtf (Edwards {\\i{}et al.}, 2014a)}","plainCitation":"(Edwards et al., 2014a)"},"citationItems":[{"id":1059,"uris":["http://zotero.org/users/1177238/items/VGF8RAHI"],"uri":["http://zotero.org/users/1177238/items/VGF8RAHI"],"itemData":{"id":1059,"type":"article-journal","title":"Maintaining ecosystem function and services in logged tropical forests","container-title":"Trends in Ecology &amp; Evolution","page":"511-520","volume":"29","issue":"9","source":"CrossRef","DOI":"10.1016/j.tree.2014.07.003","ISSN":"01695347","language":"en","author":[{"family":"Edwards","given":"David P."},{"family":"Tobias","given":"Joseph A."},{"family":"Sheil","given":"Douglas"},{"family":"Meijaard","given":"Erik"},{"family":"Laurance","given":"William F."}],"issued":{"date-parts":[["2014",9]]}}}],"schema":"https://github.com/citation-style-language/schema/raw/master/csl-citation.json"} </w:instrText>
      </w:r>
      <w:r w:rsidR="005A5BC1" w:rsidRPr="00CF7ED3">
        <w:fldChar w:fldCharType="separate"/>
      </w:r>
      <w:r w:rsidR="005A5BC1" w:rsidRPr="00342CFF">
        <w:t xml:space="preserve">(Edwards </w:t>
      </w:r>
      <w:r w:rsidR="005A5BC1" w:rsidRPr="00342CFF">
        <w:rPr>
          <w:i/>
          <w:iCs/>
        </w:rPr>
        <w:t>et al.</w:t>
      </w:r>
      <w:r w:rsidR="005A5BC1" w:rsidRPr="00342CFF">
        <w:t>, 2014a)</w:t>
      </w:r>
      <w:r w:rsidR="005A5BC1" w:rsidRPr="00CF7ED3">
        <w:fldChar w:fldCharType="end"/>
      </w:r>
      <w:r w:rsidR="005A5BC1" w:rsidRPr="00CF7ED3">
        <w:t xml:space="preserve"> and increased wind in gaps </w:t>
      </w:r>
      <w:r w:rsidR="005A5BC1" w:rsidRPr="00CF7ED3">
        <w:fldChar w:fldCharType="begin"/>
      </w:r>
      <w:r w:rsidR="005A5BC1">
        <w:instrText xml:space="preserve"> ADDIN ZOTERO_ITEM CSL_CITATION {"citationID":"2llvhbn91d","properties":{"formattedCitation":"{\\rtf (Chen {\\i{}et al.}, 1995)}","plainCitation":"(Chen et al., 1995)"},"citationItems":[{"id":6037,"uris":["http://zotero.org/users/1177238/items/BA64H62K"],"uri":["http://zotero.org/users/1177238/items/BA64H62K"],"itemData":{"id":6037,"type":"article-journal","title":"Growing-season microclimatic gradients from clearcut edges into old-growth douglas-fir forests","container-title":"Ecological Applications","page":"74-86","volume":"5","issue":"1","source":"JSTOR","abstract":"Edge is an important landscape feature of fragmented forest landscapes in the Pacific Northwest, USA. Our primary objective of this study is to characterize the changes in microclimatic variables from recent clearcut edges into the old-growth Douglas-fir forests as influenced by edge exposures and local weather conditions. Microclimatic gradients are described along transects extending from recently clearcut edges 240 m into stands of old-growth Douglas-fir (Pseudotsuga menziesii (Mirb.) Franco) forest west of the Cascade Range in the U.S. Pacific Northwest. Data for air temperature, soil temperature, relative humidity, short-wave radiation, and wind speed were collected over the course of the day from 16 different edges representing a range of edge orientations and local weather conditions over two growing seasons (1989-1990). Data for soil moisture were collected over three consecutive days in September 1990. Two indices, significance of edge influence (SEI) and depth of edge influence (DEI), were used to evaluate the effects of edges on microclimatic variables. Edge effects typically extended 30 to &gt;240 m into the forest. From the edge into the forest, air temperatures decreased during the day and increased at night; the reversal produced mid-morning and late-afternoon periods when a gradient was absent. Changes in soil temperature from the edge into the forest were comparable to those for air temperature, except that edge effects did not extend as deeply into the forest. The gradient for relative humidity increased from the edge and was steepest in mid-afternoon. Humidity effects sometimes extended &gt;240 m into the forest. Short-wave radiation decreased rapidly with distance from the edge, reaching interior forest levels by 30-60 m. Wind speed decreased exponentially from the edge into the forest, depending on the relationship of edge orientation to wind direction; stronger winds influenced conditions deeper inside the forest, sometimes &gt;240 m from the edge. Edge orientation played a critical role for all variables; for air and soil temperature and humidity, it affected the times of day at which maximum and minimum values peaked. Influence of local weather conditions on gradients was highly variable. Overall, however, gradients generally were longest and steepest on partially clear, warm, dry days, at southwest-facing edges, and for air temperature, soil temperature, and relative humidity. SEI and DEI were found to be necessary measurements for evaluating edge effects on microclimatic variables, which responded differently depending on time of day, edge orientation, and local weather. No single value could be calculated for DEI. Because many ecological features near edges, such as tree stocking and regeneration, dispersal of flying insects, and decomposition of woody debris, seem related to microclimatic gradients, forest management to protect interior conditions should shift from the traditional charge (@'create as much edge as possible@') to a new charge in which the amount of edge is reduced at both the stand and landscape levels.","DOI":"10.2307/1942053","ISSN":"1051-0761","journalAbbreviation":"Ecological Applications","author":[{"family":"Chen","given":"Jiquan"},{"family":"Franklin","given":"Jerry F."},{"family":"Spies","given":"Thomas A."}],"issued":{"date-parts":[["1995",2,1]]}}}],"schema":"https://github.com/citation-style-language/schema/raw/master/csl-citation.json"} </w:instrText>
      </w:r>
      <w:r w:rsidR="005A5BC1" w:rsidRPr="00CF7ED3">
        <w:fldChar w:fldCharType="separate"/>
      </w:r>
      <w:r w:rsidR="005A5BC1" w:rsidRPr="00342CFF">
        <w:t xml:space="preserve">(Chen </w:t>
      </w:r>
      <w:r w:rsidR="005A5BC1" w:rsidRPr="00342CFF">
        <w:rPr>
          <w:i/>
          <w:iCs/>
        </w:rPr>
        <w:t>et al.</w:t>
      </w:r>
      <w:r w:rsidR="005A5BC1" w:rsidRPr="00342CFF">
        <w:t>, 1995)</w:t>
      </w:r>
      <w:r w:rsidR="005A5BC1" w:rsidRPr="00CF7ED3">
        <w:fldChar w:fldCharType="end"/>
      </w:r>
      <w:r w:rsidR="005A5BC1" w:rsidRPr="00CF7ED3">
        <w:t>. Additionally, we assessed tree holes in the understorey only; differences may well manifest at higher forest strata.</w:t>
      </w:r>
    </w:p>
    <w:p w14:paraId="2898782E" w14:textId="084092E7" w:rsidR="0068310F" w:rsidRPr="00CF7ED3" w:rsidRDefault="00461C3F" w:rsidP="0058279A">
      <w:r>
        <w:t>The true availability of microclimates to organisms is also influenced by their distribution in space. We found that microclimates on the surface of the forest floor were gene</w:t>
      </w:r>
      <w:r w:rsidR="0058279A">
        <w:t xml:space="preserve">rally highly clustered in space, </w:t>
      </w:r>
      <w:r>
        <w:t>but this was not affected by logging (Fig. 4b).</w:t>
      </w:r>
      <w:r w:rsidR="0058279A">
        <w:t xml:space="preserve"> Spatial configuration of microclimates is a novel facet of thermal buffering potential </w:t>
      </w:r>
      <w:r w:rsidR="00E60027" w:rsidRPr="00CF7ED3">
        <w:t>(</w:t>
      </w:r>
      <w:r w:rsidR="0058279A">
        <w:t xml:space="preserve">but see </w:t>
      </w:r>
      <w:r w:rsidR="00E60027" w:rsidRPr="00CF7ED3">
        <w:fldChar w:fldCharType="begin"/>
      </w:r>
      <w:r w:rsidR="0058279A">
        <w:instrText xml:space="preserve"> ADDIN ZOTERO_ITEM CSL_CITATION {"citationID":"KDXqbrKH","properties":{"formattedCitation":"{\\rtf (Caillon {\\i{}et al.}, 2014; Sears {\\i{}et al.}, 2016)}","plainCitation":"(Caillon et al., 2014; Sears et al., 2016)"},"citationItems":[{"id":1157,"uris":["http://zotero.org/users/1177238/items/IBZD3INE"],"uri":["http://zotero.org/users/1177238/items/IBZD3INE"],"itemData":{"id":1157,"type":"article-journal","title":"Warming decreases thermal heterogeneity of leaf surfaces: implications for behavioural thermoregulation by arthropods","container-title":"Functional Ecology","page":"1449-1458","volume":"28","issue":"6","source":"Wiley Online Library","abstract":"* Ectotherms rely heavily on the spatial variance of environmental conditions to thermoregulate. Theoretically, their fitness is maximized when they can find suitable microhabitats by moving over short distances – this condition is met when spatial variance is high at fine spatial scales. Strikingly, despite the diversity of organisms living in leaf microhabitats, little is known about the impact of warming on the spatial variance of climatic conditions at the scale of individual leaf surfaces.\n\n\n* Here, we used experimental manipulation of ambient conditions to quantify the effects of environmental change on the thermal heterogeneity within individual leaf surfaces. We also explored the implications for behavioural thermoregulation by arthropods at a single leaf surface.\n\n\n* Using thermography, we characterized the apple leaf microclimate in terms of span and spatial aggregation of surface temperatures across a range of air temperatures and relative humidities. Then, we assessed how thermal heterogeneity within individual leaves affected behavioural thermoregulation by the two-spotted spider mite (Tetranychus urticae Koch) under both near-optimal and sublethal conditions in this microhabitat. We measured the upper lethal temperature threshold of the mite to define sublethal exposure.\n\n\n* Thermal heterogeneity of individual leaves was driven mainly by ambient air temperature. Higher air temperatures gave both smaller ranges and higher spatial aggregation of temperatures at the leaf surface, such that the leaf microclimate was homogenized.\n\n\n* Tetranychus urticae used behavioural thermoregulation at moderate air temperature, when thermal heterogeneity was high at the leaf surface. At higher air temperature, however, heterogeneity declined and spider mites did not perform behavioural thermoregulation.\n\n\n* Warming decreases thermal heterogeneity of leaf surfaces with critical implications for arthropods – behavioural thermoregulation alone is not sufficient to escape the heat in the leaf microhabitat. Information on spatial variance of microclimatic conditions is critical for estimating how readily organisms can buffer global warming by moving.","DOI":"10.1111/1365-2435.12288","ISSN":"1365-2435","shortTitle":"Warming decreases thermal heterogeneity of leaf surfaces","journalAbbreviation":"Funct Ecol","language":"en","author":[{"family":"Caillon","given":"Robin"},{"family":"Suppo","given":"Christelle"},{"family":"Casas","given":"Jérôme"},{"family":"Arthur Woods","given":"H."},{"family":"Pincebourde","given":"Sylvain"}],"issued":{"date-parts":[["2014",12,1]]}}},{"id":12407,"uris":["http://zotero.org/users/1177238/items/9FINJUJC"],"uri":["http://zotero.org/users/1177238/items/9FINJUJC"],"itemData":{"id":12407,"type":"article-journal","title":"Configuration of the thermal landscape determines thermoregulatory performance of ectotherms","container-title":"Proceedings of the National Academy of Sciences","page":"10595-10600","volume":"113","issue":"38","source":"www.pnas.org","abstract":"Although most organisms thermoregulate behaviorally, biologists still cannot easily predict whether mobile animals will thermoregulate in natural environments. Current models fail because they ignore how the spatial distribution of thermal resources constrains thermoregulatory performance over space and time. To overcome this limitation, we modeled the spatially explicit movements of animals constrained by access to thermal resources. Our models predict that ectotherms thermoregulate more accurately when thermal resources are dispersed throughout space than when these resources are clumped. This prediction was supported by thermoregulatory behaviors of lizards in outdoor arenas with known distributions of environmental temperatures. Further, simulations showed how the spatial structure of the landscape qualitatively affects responses of animals to climate. Biologists will need spatially explicit models to predict impacts of climate change on local scales.","DOI":"10.1073/pnas.1604824113","ISSN":"0027-8424, 1091-6490","note":"PMID: 27601639","journalAbbreviation":"PNAS","language":"en","author":[{"family":"Sears","given":"Michael W."},{"family":"Angilletta","given":"Michael J."},{"family":"Schuler","given":"Matthew S."},{"family":"Borchert","given":"Jason"},{"family":"Dilliplane","given":"Katherine F."},{"family":"Stegman","given":"Monica"},{"family":"Rusch","given":"Travis W."},{"family":"Mitchell","given":"William A."}],"issued":{"date-parts":[["2016",9,20]]}}}],"schema":"https://github.com/citation-style-language/schema/raw/master/csl-citation.json"} </w:instrText>
      </w:r>
      <w:r w:rsidR="00E60027" w:rsidRPr="00CF7ED3">
        <w:fldChar w:fldCharType="separate"/>
      </w:r>
      <w:r w:rsidR="0058279A" w:rsidRPr="0058279A">
        <w:t xml:space="preserve">Caillon </w:t>
      </w:r>
      <w:r w:rsidR="0058279A" w:rsidRPr="0058279A">
        <w:rPr>
          <w:i/>
          <w:iCs/>
        </w:rPr>
        <w:t>et al.</w:t>
      </w:r>
      <w:r w:rsidR="0058279A" w:rsidRPr="0058279A">
        <w:t xml:space="preserve">, 2014; Sears </w:t>
      </w:r>
      <w:r w:rsidR="0058279A" w:rsidRPr="0058279A">
        <w:rPr>
          <w:i/>
          <w:iCs/>
        </w:rPr>
        <w:t>et al.</w:t>
      </w:r>
      <w:r w:rsidR="0058279A" w:rsidRPr="0058279A">
        <w:t>, 2016)</w:t>
      </w:r>
      <w:r w:rsidR="00E60027" w:rsidRPr="00CF7ED3">
        <w:fldChar w:fldCharType="end"/>
      </w:r>
      <w:r w:rsidR="0058279A">
        <w:t xml:space="preserve">, likely determined by the composition </w:t>
      </w:r>
      <w:r>
        <w:t xml:space="preserve">of the forest floor </w:t>
      </w:r>
      <w:r w:rsidR="0068310F" w:rsidRPr="00CF7ED3">
        <w:t xml:space="preserve">and </w:t>
      </w:r>
      <w:r w:rsidR="0058279A">
        <w:t xml:space="preserve">the </w:t>
      </w:r>
      <w:r w:rsidR="00E60027" w:rsidRPr="00CF7ED3">
        <w:t xml:space="preserve">relative radiative properties </w:t>
      </w:r>
      <w:r w:rsidR="0058279A">
        <w:t>of these different components (e.g. bare soil vs. leaves vs. water</w:t>
      </w:r>
      <w:r w:rsidR="00B039AA">
        <w:t xml:space="preserve">; </w:t>
      </w:r>
      <w:r w:rsidR="00B039AA">
        <w:fldChar w:fldCharType="begin"/>
      </w:r>
      <w:r w:rsidR="00B039AA">
        <w:instrText xml:space="preserve"> ADDIN ZOTERO_ITEM CSL_CITATION {"citationID":"a1q365o2aqd","properties":{"formattedCitation":"(Oke, 1987)","plainCitation":"(Oke, 1987)"},"citationItems":[{"id":6268,"uris":["http://zotero.org/users/1177238/items/TGDX7CF6"],"uri":["http://zotero.org/users/1177238/items/TGDX7CF6"],"itemData":{"id":6268,"type":"book","title":"Boundary layer climates","publisher":"Methuen","publisher-place":"London","edition":"2nd ed.","source":"Primo","event-place":"London","ISBN":"0-416-04422-0","language":"eng","author":[{"family":"Oke","given":"T. R."}],"issued":{"date-parts":[["1987"]]}}}],"schema":"https://github.com/citation-style-language/schema/raw/master/csl-citation.json"} </w:instrText>
      </w:r>
      <w:r w:rsidR="00B039AA">
        <w:fldChar w:fldCharType="separate"/>
      </w:r>
      <w:r w:rsidR="00B039AA" w:rsidRPr="00B039AA">
        <w:t>Oke, 1987)</w:t>
      </w:r>
      <w:r w:rsidR="00B039AA">
        <w:fldChar w:fldCharType="end"/>
      </w:r>
      <w:r w:rsidR="0058279A">
        <w:t xml:space="preserve">. </w:t>
      </w:r>
      <w:r w:rsidR="008424A3">
        <w:t>We therefore suggest that these characteristics of the forest floor were also comparable between forest types, further supported by the absence of any difference in leaf litter volume</w:t>
      </w:r>
      <w:r w:rsidR="0058279A">
        <w:t>.</w:t>
      </w:r>
    </w:p>
    <w:p w14:paraId="6672A192" w14:textId="1F444F43" w:rsidR="00384FFF" w:rsidRPr="00CF7ED3" w:rsidRDefault="000B16F5" w:rsidP="00CF7ED3">
      <w:pPr>
        <w:pStyle w:val="Heading2"/>
      </w:pPr>
      <w:r>
        <w:t>Caveats and</w:t>
      </w:r>
      <w:r w:rsidR="00384FFF" w:rsidRPr="00CF7ED3">
        <w:t xml:space="preserve"> </w:t>
      </w:r>
      <w:r w:rsidR="00C210CD">
        <w:t>future directions</w:t>
      </w:r>
    </w:p>
    <w:p w14:paraId="56E98ECF" w14:textId="18C129E0" w:rsidR="00E65265" w:rsidRPr="00CF7ED3" w:rsidRDefault="00A57309" w:rsidP="00CF7ED3">
      <w:r w:rsidRPr="00CF7ED3">
        <w:t>The potential for thermal buffering and its</w:t>
      </w:r>
      <w:r w:rsidR="000102FC" w:rsidRPr="00CF7ED3">
        <w:t xml:space="preserve"> </w:t>
      </w:r>
      <w:r w:rsidR="00D94C47">
        <w:t xml:space="preserve">general </w:t>
      </w:r>
      <w:r w:rsidRPr="00CF7ED3">
        <w:t xml:space="preserve">necessity are influenced by </w:t>
      </w:r>
      <w:r w:rsidR="000102FC" w:rsidRPr="00CF7ED3">
        <w:t>moisture levels</w:t>
      </w:r>
      <w:r w:rsidR="004633DD">
        <w:t>, as well as temperature</w:t>
      </w:r>
      <w:r w:rsidR="00727199">
        <w:t xml:space="preserve"> </w:t>
      </w:r>
      <w:r w:rsidR="00727199">
        <w:fldChar w:fldCharType="begin"/>
      </w:r>
      <w:r w:rsidR="00727199">
        <w:instrText xml:space="preserve"> ADDIN ZOTERO_ITEM CSL_CITATION {"citationID":"a1b1krh06qr","properties":{"formattedCitation":"{\\rtf (McLaughlin {\\i{}et al.}, 2017)}","plainCitation":"(McLaughlin et al., 2017)"},"citationItems":[{"id":12692,"uris":["http://zotero.org/users/1177238/items/BIGVVB2V"],"uri":["http://zotero.org/users/1177238/items/BIGVVB2V"],"itemData":{"id":12692,"type":"article-journal","title":"Hydrologic refugia, plants, and climate change","container-title":"Global Change Biology","page":"n/a-n/a","source":"Wiley Online Library","abstract":"Climate, physical landscapes, and biota interact to generate heterogeneous hydrologic conditions in space and over time, which are reflected in spatial patterns of species distributions. As these species distributions respond to rapid climate change, microrefugia may support local species persistence in the face of deteriorating climatic suitability. Recent focus on temperature as a determinant of microrefugia insufficiently accounts for the importance of hydrologic processes and changing water availability with changing climate. Where water scarcity is a major limitation now or under future climates, hydrologic microrefugia are likely to prove essential for species persistence, particularly for sessile species and plants. Zones of high relative water availability – mesic microenvironments – are generated by a wide array of hydrologic processes, and may be loosely coupled to climatic processes and therefore buffered from climate change. Here, we review the mechanisms that generate mesic microenvironments and their likely robustness in the face of climate change. We argue that mesic microenvironments will act as species-specific refugia only if the nature and space/time variability in water availability are compatible with the ecological requirements of a target species. We illustrate this argument with case studies drawn from California oak woodland ecosystems. We posit that identification of hydrologic refugia could form a cornerstone of climate-cognizant conservation strategies, but that this would require improved understanding of climate change effects on key hydrologic processes, including frequently cryptic processes such as groundwater flow.","DOI":"10.1111/gcb.13629","ISSN":"1365-2486","journalAbbreviation":"Glob Change Biol","language":"en","author":[{"family":"McLaughlin","given":"Blair C."},{"family":"Ackerly","given":"David D."},{"family":"Klos","given":"P. Zion"},{"family":"Natali","given":"Jennifer"},{"family":"Dawson","given":"Todd E."},{"family":"Thompson","given":"Sally E."}],"issued":{"date-parts":[["2017",3,1]]}}}],"schema":"https://github.com/citation-style-language/schema/raw/master/csl-citation.json"} </w:instrText>
      </w:r>
      <w:r w:rsidR="00727199">
        <w:fldChar w:fldCharType="separate"/>
      </w:r>
      <w:r w:rsidR="00727199" w:rsidRPr="00727199">
        <w:t xml:space="preserve">(McLaughlin </w:t>
      </w:r>
      <w:r w:rsidR="00727199" w:rsidRPr="00727199">
        <w:rPr>
          <w:i/>
          <w:iCs/>
        </w:rPr>
        <w:t>et al.</w:t>
      </w:r>
      <w:r w:rsidR="00727199" w:rsidRPr="00727199">
        <w:t>, 2017)</w:t>
      </w:r>
      <w:r w:rsidR="00727199">
        <w:fldChar w:fldCharType="end"/>
      </w:r>
      <w:r w:rsidR="004633DD">
        <w:t xml:space="preserve">. </w:t>
      </w:r>
      <w:r w:rsidR="005067D9">
        <w:t>Many e</w:t>
      </w:r>
      <w:r w:rsidR="000D12CB" w:rsidRPr="00CF7ED3">
        <w:t xml:space="preserve">ctotherms, </w:t>
      </w:r>
      <w:r w:rsidR="00E65265" w:rsidRPr="00CF7ED3">
        <w:t xml:space="preserve">including </w:t>
      </w:r>
      <w:r w:rsidR="000D12CB" w:rsidRPr="00CF7ED3">
        <w:t xml:space="preserve">amphibians </w:t>
      </w:r>
      <w:r w:rsidR="000D12CB" w:rsidRPr="00CF7ED3">
        <w:fldChar w:fldCharType="begin"/>
      </w:r>
      <w:r w:rsidR="00342CFF">
        <w:instrText xml:space="preserve"> ADDIN ZOTERO_ITEM CSL_CITATION {"citationID":"5bb6qd6o7","properties":{"formattedCitation":"(Duellman &amp; Trueb, 1986)","plainCitation":"(Duellman &amp; Trueb, 1986)"},"citationItems":[{"id":1292,"uris":["http://zotero.org/users/1177238/items/GQWBB2BX"],"uri":["http://zotero.org/users/1177238/items/GQWBB2BX"],"itemData":{"id":1292,"type":"book","title":"Biology of Amphibians","publisher":"JHU Press","number-of-pages":"706","source":"Google Books","abstract":"This is the widely acclaimed, preeminent reference and text on all aspects of amphibian biology, including their life history, ecology, morphology, and evolution. Copiously illustrated with original drawings and photographs and meticulously referenced with more than 2,500 bibliographic entries, it has proved indispensable to professional biologists and students alike. Now reissued in paperback with an updated preface by the authors, Biology of Amphibians remains the standard work in its field.","ISBN":"978-0-8018-4780-6","language":"en","author":[{"family":"Duellman","given":"William E."},{"family":"Trueb","given":"L."}],"issued":{"date-parts":[["1986"]]}}}],"schema":"https://github.com/citation-style-language/schema/raw/master/csl-citation.json"} </w:instrText>
      </w:r>
      <w:r w:rsidR="000D12CB" w:rsidRPr="00CF7ED3">
        <w:fldChar w:fldCharType="separate"/>
      </w:r>
      <w:r w:rsidR="00342CFF" w:rsidRPr="00342CFF">
        <w:t>(Duellman &amp; Trueb, 1986)</w:t>
      </w:r>
      <w:r w:rsidR="000D12CB" w:rsidRPr="00CF7ED3">
        <w:fldChar w:fldCharType="end"/>
      </w:r>
      <w:r w:rsidR="000D12CB" w:rsidRPr="00CF7ED3">
        <w:t xml:space="preserve"> and isopods </w:t>
      </w:r>
      <w:r w:rsidR="000D12CB" w:rsidRPr="00CF7ED3">
        <w:fldChar w:fldCharType="begin"/>
      </w:r>
      <w:r w:rsidR="00342CFF">
        <w:instrText xml:space="preserve"> ADDIN ZOTERO_ITEM CSL_CITATION {"citationID":"27q1tjvb6p","properties":{"formattedCitation":"{\\rtf (Hassall {\\i{}et al.}, 2010)}","plainCitation":"(Hassall et al., 2010)"},"citationItems":[{"id":11725,"uris":["http://zotero.org/users/1177238/items/VHEI3XGR"],"uri":["http://zotero.org/users/1177238/items/VHEI3XGR"],"itemData":{"id":11725,"type":"article-journal","title":"Predicting the effect of climate change on aggregation behaviour in four species of terrestrial isopods","container-title":"Behaviour","page":"151-164","volume":"147","issue":"2","source":"booksandjournals.brillonline.com","abstract":"Climate warming has changed the spatial distributions and temporal behaviours of several taxa. A key question that remains is how behaviours that alter microclimatic conditions might be used to buffer the effects of climate change. In this study, we focus on the aggregation behaviour of four species of terrestrial isopods, in which groups of individuals clump together to prevent moisture-loss, and use a laboratory protocol to investigate the effects of changes in relative humidity (RH) and temperature on aggregation. We find that three species aggregate more at lower RH and at higher temperatures, and that species that are better adapted to reducing moisture loss aggregate less than do species with fewer such adaptations. These results suggest that behavioural variation can buffer the effects of changes in microclimate. We finish by suggesting that it is critical to determine how such behavioural shifts will affect isopod densities and competitive hierarchies.","DOI":"10.1163/000579509X12512861455834","ISSN":"1568-539X","author":[{"family":"Hassall","given":"Mark"},{"family":"Edwards","given":"David P."},{"family":"Carmenta","given":"Rachel"},{"family":"Derhé","given":"Mia A."},{"family":"Moss","given":"Anna"}],"issued":{"date-parts":[["2010",2,1]]}}}],"schema":"https://github.com/citation-style-language/schema/raw/master/csl-citation.json"} </w:instrText>
      </w:r>
      <w:r w:rsidR="000D12CB" w:rsidRPr="00CF7ED3">
        <w:fldChar w:fldCharType="separate"/>
      </w:r>
      <w:r w:rsidR="00342CFF" w:rsidRPr="00342CFF">
        <w:t xml:space="preserve">(Hassall </w:t>
      </w:r>
      <w:r w:rsidR="00342CFF" w:rsidRPr="00342CFF">
        <w:rPr>
          <w:i/>
          <w:iCs/>
        </w:rPr>
        <w:t>et al.</w:t>
      </w:r>
      <w:r w:rsidR="00342CFF" w:rsidRPr="00342CFF">
        <w:t>, 2010)</w:t>
      </w:r>
      <w:r w:rsidR="000D12CB" w:rsidRPr="00CF7ED3">
        <w:fldChar w:fldCharType="end"/>
      </w:r>
      <w:r w:rsidR="000D12CB" w:rsidRPr="00CF7ED3">
        <w:t xml:space="preserve">, can survive in hot temperatures for longer if relative humidity is sufficiently high to prevent desiccation. </w:t>
      </w:r>
      <w:r w:rsidR="000102FC" w:rsidRPr="00CF7ED3">
        <w:t xml:space="preserve">Although we did not measure fine-scale vapour pressure deficit (a variable combining </w:t>
      </w:r>
      <w:r w:rsidR="00820591" w:rsidRPr="00CF7ED3">
        <w:t xml:space="preserve">both </w:t>
      </w:r>
      <w:r w:rsidR="000102FC" w:rsidRPr="00CF7ED3">
        <w:t xml:space="preserve">temperature and relative humidity), we did find that average </w:t>
      </w:r>
      <w:r w:rsidR="001003CC" w:rsidRPr="00CF7ED3">
        <w:t>vapour pressure deficit</w:t>
      </w:r>
      <w:r w:rsidR="00E65265" w:rsidRPr="00CF7ED3">
        <w:t xml:space="preserve"> measurements </w:t>
      </w:r>
      <w:r w:rsidR="00E01DB1" w:rsidRPr="00CF7ED3">
        <w:t>from</w:t>
      </w:r>
      <w:r w:rsidR="000D12CB" w:rsidRPr="00CF7ED3">
        <w:t xml:space="preserve"> </w:t>
      </w:r>
      <w:r w:rsidR="00B34C2C" w:rsidRPr="00CF7ED3">
        <w:t xml:space="preserve">the </w:t>
      </w:r>
      <w:r w:rsidR="00E65265" w:rsidRPr="00CF7ED3">
        <w:t xml:space="preserve">hygrometer </w:t>
      </w:r>
      <w:r w:rsidR="00B34C2C" w:rsidRPr="00CF7ED3">
        <w:t xml:space="preserve">and </w:t>
      </w:r>
      <w:r w:rsidR="00727199">
        <w:t xml:space="preserve">from </w:t>
      </w:r>
      <w:r w:rsidR="00B34C2C" w:rsidRPr="00CF7ED3">
        <w:t xml:space="preserve">hygrochron iButtons </w:t>
      </w:r>
      <w:r w:rsidR="00FA0E4F" w:rsidRPr="00CF7ED3">
        <w:t>(</w:t>
      </w:r>
      <w:r w:rsidR="00A91357" w:rsidRPr="00CF7ED3">
        <w:t>Supplementary Text S2</w:t>
      </w:r>
      <w:r w:rsidR="00E01DB1" w:rsidRPr="00CF7ED3">
        <w:t>)</w:t>
      </w:r>
      <w:r w:rsidR="000D12CB" w:rsidRPr="00CF7ED3">
        <w:t>, showed little variation wi</w:t>
      </w:r>
      <w:r w:rsidR="00F146A8" w:rsidRPr="00CF7ED3">
        <w:t>thin or between forests (Fig. S</w:t>
      </w:r>
      <w:r w:rsidR="00CF037C">
        <w:t>2</w:t>
      </w:r>
      <w:r w:rsidR="000D12CB" w:rsidRPr="00CF7ED3">
        <w:t>).</w:t>
      </w:r>
      <w:r w:rsidR="00782FCA" w:rsidRPr="00CF7ED3">
        <w:t xml:space="preserve"> </w:t>
      </w:r>
    </w:p>
    <w:p w14:paraId="1A1742F9" w14:textId="1C835D25" w:rsidR="006217A6" w:rsidRPr="00CF7ED3" w:rsidRDefault="002455B2" w:rsidP="00CF7ED3">
      <w:r w:rsidRPr="00CF7ED3">
        <w:t>Re</w:t>
      </w:r>
      <w:r w:rsidR="00D96063" w:rsidRPr="00CF7ED3">
        <w:t>lative</w:t>
      </w:r>
      <w:r w:rsidR="00E46F7D" w:rsidRPr="00CF7ED3">
        <w:t xml:space="preserve"> </w:t>
      </w:r>
      <w:r w:rsidR="00680893" w:rsidRPr="00CF7ED3">
        <w:t>climate</w:t>
      </w:r>
      <w:r w:rsidR="00D96063" w:rsidRPr="00CF7ED3">
        <w:t>s</w:t>
      </w:r>
      <w:r w:rsidR="00680893" w:rsidRPr="00CF7ED3">
        <w:t xml:space="preserve"> </w:t>
      </w:r>
      <w:r w:rsidR="00E46F7D" w:rsidRPr="00CF7ED3">
        <w:t xml:space="preserve">in </w:t>
      </w:r>
      <w:r w:rsidR="00D96063" w:rsidRPr="00CF7ED3">
        <w:t xml:space="preserve">primary </w:t>
      </w:r>
      <w:r w:rsidR="00E46F7D" w:rsidRPr="00CF7ED3">
        <w:t xml:space="preserve">and </w:t>
      </w:r>
      <w:r w:rsidR="00D96063" w:rsidRPr="00CF7ED3">
        <w:t xml:space="preserve">logged </w:t>
      </w:r>
      <w:r w:rsidR="00E46F7D" w:rsidRPr="00CF7ED3">
        <w:t xml:space="preserve">forests </w:t>
      </w:r>
      <w:r w:rsidR="008C2332" w:rsidRPr="00CF7ED3">
        <w:t xml:space="preserve">could </w:t>
      </w:r>
      <w:r w:rsidR="00E46F7D" w:rsidRPr="00CF7ED3">
        <w:t xml:space="preserve">be very different above the understorey </w:t>
      </w:r>
      <w:r w:rsidR="00E46F7D" w:rsidRPr="00CF7ED3">
        <w:fldChar w:fldCharType="begin"/>
      </w:r>
      <w:r w:rsidR="00342CFF">
        <w:instrText xml:space="preserve"> ADDIN ZOTERO_ITEM CSL_CITATION {"citationID":"cqc2eo0ma","properties":{"formattedCitation":"{\\rtf (Scheffers {\\i{}et al.}, 2013b)}","plainCitation":"(Scheffers et al., 2013b)"},"citationItems":[{"id":605,"uris":["http://zotero.org/users/1177238/items/X2QWNERF"],"uri":["http://zotero.org/users/1177238/items/X2QWNERF"],"itemData":{"id":605,"type":"article-journal","title":"Increasing arboreality with altitude: a novel biogeographic dimension","container-title":"Proceedings of the Royal Society B: Biological Sciences","page":"20131581-20131581","volume":"280","issue":"1770","source":"CrossRef","DOI":"10.1098/rspb.2013.1581","ISSN":"0962-8452, 1471-2954","shortTitle":"Increasing arboreality with altitude","language":"en","author":[{"family":"Scheffers","given":"B. R."},{"family":"Phillips","given":"B. L."},{"family":"Laurance","given":"W. F."},{"family":"Sodhi","given":"N. S."},{"family":"Diesmos","given":"A."},{"family":"Williams","given":"S. E."}],"issued":{"date-parts":[["2013",9,11]]}}}],"schema":"https://github.com/citation-style-language/schema/raw/master/csl-citation.json"} </w:instrText>
      </w:r>
      <w:r w:rsidR="00E46F7D" w:rsidRPr="00CF7ED3">
        <w:fldChar w:fldCharType="separate"/>
      </w:r>
      <w:r w:rsidR="00342CFF" w:rsidRPr="00342CFF">
        <w:t xml:space="preserve">(Scheffers </w:t>
      </w:r>
      <w:r w:rsidR="00342CFF" w:rsidRPr="00342CFF">
        <w:rPr>
          <w:i/>
          <w:iCs/>
        </w:rPr>
        <w:t>et al.</w:t>
      </w:r>
      <w:r w:rsidR="00342CFF" w:rsidRPr="00342CFF">
        <w:t>, 2013b)</w:t>
      </w:r>
      <w:r w:rsidR="00E46F7D" w:rsidRPr="00CF7ED3">
        <w:fldChar w:fldCharType="end"/>
      </w:r>
      <w:r w:rsidR="00010A8A" w:rsidRPr="00CF7ED3">
        <w:t xml:space="preserve">, which we were unable to capture </w:t>
      </w:r>
      <w:r w:rsidR="0067220E" w:rsidRPr="00CF7ED3">
        <w:t>in</w:t>
      </w:r>
      <w:r w:rsidR="00C124E6" w:rsidRPr="00CF7ED3">
        <w:t xml:space="preserve"> </w:t>
      </w:r>
      <w:r w:rsidR="0067220E" w:rsidRPr="00CF7ED3">
        <w:t>our study</w:t>
      </w:r>
      <w:r w:rsidR="00E46F7D" w:rsidRPr="00CF7ED3">
        <w:t>.</w:t>
      </w:r>
      <w:r w:rsidR="00AB6CA9" w:rsidRPr="00CF7ED3">
        <w:t xml:space="preserve">  </w:t>
      </w:r>
      <w:r w:rsidR="00B701B7">
        <w:t>S</w:t>
      </w:r>
      <w:r w:rsidR="00AB6CA9" w:rsidRPr="00CF7ED3">
        <w:t xml:space="preserve">ome ectotherms move </w:t>
      </w:r>
      <w:r w:rsidR="00EF3695" w:rsidRPr="00CF7ED3">
        <w:t xml:space="preserve">down </w:t>
      </w:r>
      <w:r w:rsidR="00AB6CA9" w:rsidRPr="00CF7ED3">
        <w:t xml:space="preserve">from </w:t>
      </w:r>
      <w:r w:rsidR="00EF3695" w:rsidRPr="00CF7ED3">
        <w:t xml:space="preserve">the </w:t>
      </w:r>
      <w:r w:rsidR="00AB6CA9" w:rsidRPr="00CF7ED3">
        <w:t>upper strata to exploit more favourable temperatures in the l</w:t>
      </w:r>
      <w:r w:rsidR="00FA3182" w:rsidRPr="00CF7ED3">
        <w:t xml:space="preserve">ower storey </w:t>
      </w:r>
      <w:r w:rsidR="00FA3182" w:rsidRPr="00CF7ED3">
        <w:fldChar w:fldCharType="begin"/>
      </w:r>
      <w:r w:rsidR="00342CFF">
        <w:instrText xml:space="preserve"> ADDIN ZOTERO_ITEM CSL_CITATION {"citationID":"1uuco0j5qo","properties":{"formattedCitation":"{\\rtf (Scheffers {\\i{}et al.}, 2013b)}","plainCitation":"(Scheffers et al., 2013b)"},"citationItems":[{"id":605,"uris":["http://zotero.org/users/1177238/items/X2QWNERF"],"uri":["http://zotero.org/users/1177238/items/X2QWNERF"],"itemData":{"id":605,"type":"article-journal","title":"Increasing arboreality with altitude: a novel biogeographic dimension","container-title":"Proceedings of the Royal Society B: Biological Sciences","page":"20131581-20131581","volume":"280","issue":"1770","source":"CrossRef","DOI":"10.1098/rspb.2013.1581","ISSN":"0962-8452, 1471-2954","shortTitle":"Increasing arboreality with altitude","language":"en","author":[{"family":"Scheffers","given":"B. R."},{"family":"Phillips","given":"B. L."},{"family":"Laurance","given":"W. F."},{"family":"Sodhi","given":"N. S."},{"family":"Diesmos","given":"A."},{"family":"Williams","given":"S. E."}],"issued":{"date-parts":[["2013",9,11]]}}}],"schema":"https://github.com/citation-style-language/schema/raw/master/csl-citation.json"} </w:instrText>
      </w:r>
      <w:r w:rsidR="00FA3182" w:rsidRPr="00CF7ED3">
        <w:fldChar w:fldCharType="separate"/>
      </w:r>
      <w:r w:rsidR="00342CFF" w:rsidRPr="00342CFF">
        <w:t xml:space="preserve">(Scheffers </w:t>
      </w:r>
      <w:r w:rsidR="00342CFF" w:rsidRPr="00342CFF">
        <w:rPr>
          <w:i/>
          <w:iCs/>
        </w:rPr>
        <w:t>et al.</w:t>
      </w:r>
      <w:r w:rsidR="00342CFF" w:rsidRPr="00342CFF">
        <w:t>, 2013b)</w:t>
      </w:r>
      <w:r w:rsidR="00FA3182" w:rsidRPr="00CF7ED3">
        <w:fldChar w:fldCharType="end"/>
      </w:r>
      <w:r w:rsidR="00010A8A" w:rsidRPr="00CF7ED3">
        <w:t>. H</w:t>
      </w:r>
      <w:r w:rsidR="00E65265" w:rsidRPr="00CF7ED3">
        <w:t xml:space="preserve">ence, </w:t>
      </w:r>
      <w:r w:rsidR="00CF037C" w:rsidRPr="00CF7ED3">
        <w:t xml:space="preserve">if temperatures in higher strata were </w:t>
      </w:r>
      <w:r w:rsidR="00CF037C">
        <w:t xml:space="preserve">indeed </w:t>
      </w:r>
      <w:r w:rsidR="00CF037C" w:rsidRPr="00CF7ED3">
        <w:t xml:space="preserve">hotter in logged </w:t>
      </w:r>
      <w:r w:rsidR="00CF037C">
        <w:t xml:space="preserve">forest </w:t>
      </w:r>
      <w:r w:rsidR="00CF037C" w:rsidRPr="00CF7ED3">
        <w:t>compared to primary fores</w:t>
      </w:r>
      <w:r w:rsidR="00CF037C">
        <w:t xml:space="preserve">t, </w:t>
      </w:r>
      <w:r w:rsidR="00AB6CA9" w:rsidRPr="00CF7ED3">
        <w:t xml:space="preserve">species </w:t>
      </w:r>
      <w:r w:rsidR="00467332" w:rsidRPr="00CF7ED3">
        <w:t xml:space="preserve">could </w:t>
      </w:r>
      <w:r w:rsidR="00CF037C">
        <w:t xml:space="preserve">utilise the </w:t>
      </w:r>
      <w:r w:rsidR="00AB6CA9" w:rsidRPr="00CF7ED3">
        <w:t>favourable temperatures in the understorey of logged forest</w:t>
      </w:r>
      <w:r w:rsidR="00CF037C">
        <w:t xml:space="preserve"> that we demonstrate here</w:t>
      </w:r>
      <w:r w:rsidR="00AB6CA9" w:rsidRPr="00CF7ED3">
        <w:t xml:space="preserve">.  </w:t>
      </w:r>
    </w:p>
    <w:p w14:paraId="19BDFBFE" w14:textId="1562827F" w:rsidR="00FA3182" w:rsidRPr="00CF7ED3" w:rsidRDefault="00B07EE1" w:rsidP="00CF7ED3">
      <w:r w:rsidRPr="00CF7ED3">
        <w:t xml:space="preserve">The ability of selectively logged tropical forests to retain current levels of biodiversity will critically depend on their ability to protect species from the impacts of increasingly severe climate change </w:t>
      </w:r>
      <w:r w:rsidRPr="00CF7ED3">
        <w:fldChar w:fldCharType="begin"/>
      </w:r>
      <w:r w:rsidR="004E4368">
        <w:instrText xml:space="preserve"> ADDIN ZOTERO_ITEM CSL_CITATION {"citationID":"16ifu7dpvp","properties":{"formattedCitation":"{\\rtf (Sala {\\i{}et al.}, 2000; Mora {\\i{}et al.}, 2013)}","plainCitation":"(Sala et al., 2000; Mora et al., 2013)"},"citationItems":[{"id":414,"uris":["http://zotero.org/users/1177238/items/S4QAEXM9"],"uri":["http://zotero.org/users/1177238/items/S4QAEXM9"],"itemData":{"id":414,"type":"article-journal","title":"Global biodiversity scenarios for the year 2100","container-title":"Science","page":"1770-1774","volume":"287","issue":"5459","source":"libsta28.lib.cam.ac.uk:2237","abstract":"Scenarios of changes in biodiversity for the year 2100 can now be developed based on scenarios of changes in atmospheric carbon dioxide, climate, vegetation, and land use and the known sensitivity of biodiversity to these changes. This study identified a ranking of the importance of drivers of change, a ranking of the biomes with respect to expected changes, and the major sources of uncertainties. For terrestrial ecosystems, land-use change probably will have the largest effect, followed by climate change, nitrogen deposition, biotic exchange, and elevated carbon dioxide concentration. For freshwater ecosystems, biotic exchange is much more important. Mediterranean climate and grassland ecosystems likely will experience the greatest proportional change in biodiversity because of the substantial influence of all drivers of biodiversity change. Northern temperate ecosystems are estimated to experience the least biodiversity change because major land-use change has already occurred. Plausible changes in biodiversity in other biomes depend on interactions among the causes of biodiversity change. These interactions represent one of the largest uncertainties in projections of future biodiversity change.","DOI":"10.1126/science.287.5459.1770","ISSN":"0036-8075, 1095-9203","note":"PMID: 10710299","journalAbbreviation":"Science","language":"en","author":[{"family":"Sala","given":"Osvaldo E."},{"family":"Chapin","given":"F. Stuart"},{"family":"Iii","given":""},{"family":"Armesto","given":"Juan J."},{"family":"Berlow","given":"Eric"},{"family":"Bloomfield","given":"Janine"},{"family":"Dirzo","given":"Rodolfo"},{"family":"Huber-Sanwald","given":"Elisabeth"},{"family":"Huenneke","given":"Laura F."},{"family":"Jackson","given":"Robert B."},{"family":"Kinzig","given":"Ann"},{"family":"Leemans","given":"Rik"},{"family":"Lodge","given":"David M."},{"family":"Mooney","given":"Harold A."},{"family":"Oesterheld","given":"Martı́n"},{"family":"Poff","given":"N. LeRoy"},{"family":"Sykes","given":"Martin T."},{"family":"Walker","given":"Brian H."},{"family":"Walker","given":"Marilyn"},{"family":"Wall","given":"Diana H."}],"issued":{"date-parts":[["2000",3,10]]}}},{"id":11218,"uris":["http://zotero.org/users/1177238/items/U5RKM9UR"],"uri":["http://zotero.org/users/1177238/items/U5RKM9UR"],"itemData":{"id":11218,"type":"article-journal","title":"The projected timing of climate departure from recent variability","container-title":"Nature","page":"183-187","volume":"502","issue":"7470","source":"www.nature.com","abstract":"Ecological and societal disruptions by modern climate change are critically determined by the time frame over which climates shift beyond historical analogues. Here we present a new index of the year when the projected mean climate of a given location moves to a state continuously outside the bounds of historical variability under alternative greenhouse gas emissions scenarios. Using 1860 to 2005 as the historical period, this index has a global mean of 2069 (±18 years s.d.) for near-surface air temperature under an emissions stabilization scenario and 2047 (±14 years s.d.) under a ‘business-as-usual’ scenario. Unprecedented climates will occur earliest in the tropics and among low-income countries, highlighting the vulnerability of global biodiversity and the limited governmental capacity to respond to the impacts of climate change. Our findings shed light on the urgency of mitigating greenhouse gas emissions if climates potentially harmful to biodiversity and society are to be prevented.","DOI":"10.1038/nature12540","ISSN":"0028-0836","journalAbbreviation":"Nature","language":"en","author":[{"family":"Mora","given":"Camilo"},{"family":"Frazier","given":"Abby G."},{"family":"Longman","given":"Ryan J."},{"family":"Dacks","given":"Rachel S."},{"family":"Walton","given":"Maya M."},{"family":"Tong","given":"Eric J."},{"family":"Sanchez","given":"Joseph J."},{"family":"Kaiser","given":"Lauren R."},{"family":"Stender","given":"Yuko O."},{"family":"Anderson","given":"James M."},{"family":"Ambrosino","given":"Christine M."},{"family":"Fernandez-Silva","given":"Iria"},{"family":"Giuseffi","given":"Louise M."},{"family":"Giambelluca","given":"Thomas W."}],"issued":{"date-parts":[["2013",10,10]]}}}],"schema":"https://github.com/citation-style-language/schema/raw/master/csl-citation.json"} </w:instrText>
      </w:r>
      <w:r w:rsidRPr="00CF7ED3">
        <w:fldChar w:fldCharType="separate"/>
      </w:r>
      <w:r w:rsidR="00342CFF" w:rsidRPr="00342CFF">
        <w:t xml:space="preserve">(Sala </w:t>
      </w:r>
      <w:r w:rsidR="00342CFF" w:rsidRPr="00342CFF">
        <w:rPr>
          <w:i/>
          <w:iCs/>
        </w:rPr>
        <w:t>et al.</w:t>
      </w:r>
      <w:r w:rsidR="00342CFF" w:rsidRPr="00342CFF">
        <w:t xml:space="preserve">, 2000; Mora </w:t>
      </w:r>
      <w:r w:rsidR="00342CFF" w:rsidRPr="00342CFF">
        <w:rPr>
          <w:i/>
          <w:iCs/>
        </w:rPr>
        <w:t>et al.</w:t>
      </w:r>
      <w:r w:rsidR="00342CFF" w:rsidRPr="00342CFF">
        <w:t>, 2013)</w:t>
      </w:r>
      <w:r w:rsidRPr="00CF7ED3">
        <w:fldChar w:fldCharType="end"/>
      </w:r>
      <w:r w:rsidRPr="00CF7ED3">
        <w:t xml:space="preserve">. As average temperatures increase over this century, so too will the intensity and frequency of extreme climatic events </w:t>
      </w:r>
      <w:r w:rsidRPr="00CF7ED3">
        <w:fldChar w:fldCharType="begin"/>
      </w:r>
      <w:r w:rsidR="00342CFF">
        <w:instrText xml:space="preserve"> ADDIN ZOTERO_ITEM CSL_CITATION {"citationID":"ovqpuahpv","properties":{"formattedCitation":"(IPCC, 2013)","plainCitation":"(IPCC, 2013)"},"citationItems":[{"id":1886,"uris":["http://zotero.org/users/1177238/items/WU63P8B6"],"uri":["http://zotero.org/users/1177238/items/WU63P8B6"],"itemData":{"id":1886,"type":"book","title":"Climate Change 2013: The Physical Science Basis: Working Group I Contribution to the IPCC Fifth Assessment Report.","publisher":"Cambridge University Press","publisher-place":"Cambridge","source":"Open WorldCat","event-place":"Cambridge","ISBN":"1-107-05799-X","shortTitle":"Climate Change 2013","language":"English","author":[{"literal":"IPCC"}],"issued":{"date-parts":[["2013"]]}}}],"schema":"https://github.com/citation-style-language/schema/raw/master/csl-citation.json"} </w:instrText>
      </w:r>
      <w:r w:rsidRPr="00CF7ED3">
        <w:fldChar w:fldCharType="separate"/>
      </w:r>
      <w:r w:rsidR="00342CFF" w:rsidRPr="00342CFF">
        <w:t>(IPCC, 2013)</w:t>
      </w:r>
      <w:r w:rsidRPr="00CF7ED3">
        <w:fldChar w:fldCharType="end"/>
      </w:r>
      <w:r w:rsidRPr="00CF7ED3">
        <w:t xml:space="preserve">, including ENSO </w:t>
      </w:r>
      <w:r w:rsidRPr="00CF7ED3">
        <w:fldChar w:fldCharType="begin"/>
      </w:r>
      <w:r w:rsidR="00342CFF">
        <w:instrText xml:space="preserve"> ADDIN ZOTERO_ITEM CSL_CITATION {"citationID":"j2G9IETZ","properties":{"formattedCitation":"{\\rtf (Cai {\\i{}et al.}, 2014)}","plainCitation":"(Cai et al., 2014)"},"citationItems":[{"id":2658,"uris":["http://zotero.org/users/1177238/items/Z7ISX6ZS"],"uri":["http://zotero.org/users/1177238/items/Z7ISX6ZS"],"itemData":{"id":2658,"type":"article-journal","title":"Increasing frequency of extreme El Nino events due to greenhouse warming","container-title":"Nature Climate Change","page":"111-116","volume":"4","issue":"2","source":"www.nature.com","abstract":"El Niño events are a prominent feature of climate variability with global climatic impacts. The 1997/98 episode, often referred to as ‘the climate event of the twentieth century’, and the 1982/83 extreme El Niño, featured a pronounced eastward extension of the west Pacific warm pool and development of atmospheric convection, and hence a huge rainfall increase, in the usually cold and dry equatorial eastern Pacific. Such a massive reorganization of atmospheric convection, which we define as an extreme El Niño, severely disrupted global weather patterns, affecting ecosystems, agriculture, tropical cyclones, drought, bushfires, floods and other extreme weather events worldwide. Potential future changes in such extreme El Niño occurrences could have profound socio-economic consequences. Here we present climate modelling evidence for a doubling in the occurrences in the future in response to greenhouse warming. We estimate the change by aggregating results from climate models in the Coupled Model Intercomparison Project phases 3 (CMIP3; ref. 10) and 5 (CMIP5; ref. 11) multi-model databases, and a perturbed physics ensemble. The increased frequency arises from a projected surface warming over the eastern equatorial Pacific that occurs faster than in the surrounding ocean waters, facilitating more occurrences of atmospheric convection in the eastern equatorial region.","DOI":"10.1038/nclimate2100","ISSN":"1758-678X","journalAbbreviation":"Nature Clim. Change","language":"en","author":[{"family":"Cai","given":"Wenju"},{"family":"Borlace","given":"Simon"},{"family":"Lengaigne","given":"Matthieu"},{"family":"Rensch","given":"Peter","non-dropping-particle":"van"},{"family":"Collins","given":"Mat"},{"family":"Vecchi","given":"Gabriel"},{"family":"Timmermann","given":"Axel"},{"family":"Santoso","given":"Agus"},{"family":"McPhaden","given":"Michael J."},{"family":"Wu","given":"Lixin"},{"family":"England","given":"Matthew H."},{"family":"Wang","given":"Guojian"},{"family":"Guilyardi","given":"Eric"},{"family":"Jin","given":"Fei-Fei"}],"issued":{"date-parts":[["2014",2]]}}}],"schema":"https://github.com/citation-style-language/schema/raw/master/csl-citation.json"} </w:instrText>
      </w:r>
      <w:r w:rsidRPr="00CF7ED3">
        <w:fldChar w:fldCharType="separate"/>
      </w:r>
      <w:r w:rsidR="00342CFF" w:rsidRPr="00342CFF">
        <w:t xml:space="preserve">(Cai </w:t>
      </w:r>
      <w:r w:rsidR="00342CFF" w:rsidRPr="00342CFF">
        <w:rPr>
          <w:i/>
          <w:iCs/>
        </w:rPr>
        <w:t>et al.</w:t>
      </w:r>
      <w:r w:rsidR="00342CFF" w:rsidRPr="00342CFF">
        <w:t>, 2014)</w:t>
      </w:r>
      <w:r w:rsidRPr="00CF7ED3">
        <w:fldChar w:fldCharType="end"/>
      </w:r>
      <w:r w:rsidRPr="00CF7ED3">
        <w:t xml:space="preserve">. </w:t>
      </w:r>
      <w:r w:rsidR="001003CC" w:rsidRPr="00CF7ED3">
        <w:t>Thermal buffering</w:t>
      </w:r>
      <w:r w:rsidRPr="00CF7ED3">
        <w:t xml:space="preserve"> will likely be crucial in allowing species to move locally to avoid </w:t>
      </w:r>
      <w:r w:rsidR="002264AD" w:rsidRPr="00CF7ED3">
        <w:t xml:space="preserve">suboptimal climates </w:t>
      </w:r>
      <w:r w:rsidRPr="00CF7ED3">
        <w:fldChar w:fldCharType="begin"/>
      </w:r>
      <w:r w:rsidR="004E4368">
        <w:instrText xml:space="preserve"> ADDIN ZOTERO_ITEM CSL_CITATION {"citationID":"T6CGrACH","properties":{"formattedCitation":"{\\rtf (Scheffers {\\i{}et al.}, 2014a, 2014b; Gonz\\uc0\\u225{}lez del Pliego {\\i{}et al.}, 2016)}","plainCitation":"(Scheffers et al., 2014a, 2014b; González del Pliego et al., 2016)"},"citationItems":[{"id":11357,"uris":["http://zotero.org/users/1177238/items/6BXI9VWV"],"uri":["http://zotero.org/users/1177238/items/6BXI9VWV"],"itemData":{"id":11357,"type":"article-journal","title":"Microhabitats reduce animal's exposure to climate extremes","container-title":"Global Change Biology","page":"495-503","volume":"20","issue":"2","DOI":"10.1111/gcb.12439","ISSN":"1365-2486","journalAbbreviation":"Glob Change Biol","author":[{"family":"Scheffers","given":"Brett R."},{"family":"Edwards","given":"David P."},{"family":"Diesmos","given":"Arvin"},{"family":"Williams","given":"Stephen E."},{"family":"Evans","given":"Theodore A."}],"issued":{"date-parts":[["2014",2,1]]}}},{"id":5896,"uris":["http://zotero.org/users/1177238/items/7KR242KQ"],"uri":["http://zotero.org/users/1177238/items/7KR242KQ"],"itemData":{"id":5896,"type":"article-journal","title":"Microhabitats in the tropics buffer temperature in a globally coherent manner","container-title":"Biology Letters","page":"20140819","volume":"10","issue":"12","source":"rsbl.royalsocietypublishing.org","abstract":"Vegetated habitats contain a variety of fine-scale features that can ameliorate temperate extremes. These buffered microhabitats may be used by species to evade extreme weather and novel climates in the future. Yet, the magnitude and extent of this buffering on a global scale remains unknown. Across all tropical continents and using 36 published studies, we assessed temperature buffering from within microhabitats across various habitat strata and structures (e.g. soil, logs, epiphytes and tree holes) and compared them to non-buffered macro-scale ambient temperatures (the thermal control). Microhabitats buffered temperature by 3.9°C and reduced maximum temperatures by 3.5°C. Buffering was most pronounced in tropical lowlands where temperatures were most variable. With the expected increase in extreme weather events, microhabitats should provide species with a local layer of protection that is not captured by traditional climate assessments, which are typically derived from macro-scale temperatures (e.g. satellites). Our data illustrate the need for a next generation of predictive models that account for species' ability to move within microhabitats to exploit favourable buffered microclimates.","DOI":"10.1098/rsbl.2014.0819","ISSN":"1744-9561, 1744-957X","note":"PMID: 25540160","language":"en","author":[{"family":"Scheffers","given":"Brett R."},{"family":"Evans","given":"Theodore A."},{"family":"Williams","given":"Stephen E."},{"family":"Edwards","given":"David P."}],"issued":{"date-parts":[["2014",12,1]]}}},{"id":11703,"uris":["http://zotero.org/users/1177238/items/BU8UPCJJ"],"uri":["http://zotero.org/users/1177238/items/BU8UPCJJ"],"itemData":{"id":11703,"type":"article-journal","title":"Thermally buffered microhabitats recovery in tropical secondary forests following land abandonment","container-title":"Biological Conservation","page":"385-395","volume":"201","source":"ScienceDirect","abstract":"Given the dramatic loss of tropical forests and accelerating climate change, secondary forest regeneration is increasingly recognised as being an important method for reversing losses in biodiversity and carbon stocks. The recolonisation of biodiversity within secondary forests depends in part upon the recovery of forest structure, including the range of microhabitats used by diverse local communities. Here, we investigate the return of critical microhabitats along a successional gradient of secondary forest in the Tropical Andes of Colombia. We measured the abundance of live (bromeliads, tree ferns and moss) and dead (deadwood and leaf litter) microhabitats across three landscapes, each encompassing primary, and young (4–18 yr old) and old secondary forests (19–35 yr old). Considering the increasing rate of climate warming in the region, we also explored whether these microhabitats provide thermally buffered microclimates. We found that secondary forests have different composition and lower complexity of microhabitats than primary forests, but microhabitats appear to be recovering towards primary forest levels. Furthermore, in all forest types, microhabitats had lower maximum temperatures and higher minimum temperatures, thereby serving as thermal buffers that reduced exposure to extreme temperatures. These benefits exist despite ambient temperatures in secondary forests surpassing those of primary forests by 1–2 °C on average. The protection of secondary forest and promotion of further forest regrowth in the Tropical Andes should represent an urgent investment for conservation, and the value of these forests for offering critical microhabitats and buffered microclimates under climate change should not be overlooked.","DOI":"10.1016/j.biocon.2016.07.038","ISSN":"0006-3207","journalAbbreviation":"Biological Conservation","author":[{"family":"González del Pliego","given":"Pamela"},{"family":"Scheffers","given":"Brett R."},{"family":"Basham","given":"Edmund W."},{"family":"Woodcock","given":"Paul"},{"family":"Wheeler","given":"Charlotte"},{"family":"Gilroy","given":"James J."},{"family":"Medina Uribe","given":"Claudia A."},{"family":"Haugaasen","given":"Torbjørn"},{"family":"Freckleton","given":"Rob P."},{"family":"Edwards","given":"David P."}],"issued":{"date-parts":[["2016",9]]}}}],"schema":"https://github.com/citation-style-language/schema/raw/master/csl-citation.json"} </w:instrText>
      </w:r>
      <w:r w:rsidRPr="00CF7ED3">
        <w:fldChar w:fldCharType="separate"/>
      </w:r>
      <w:r w:rsidR="00342CFF" w:rsidRPr="00342CFF">
        <w:t xml:space="preserve">(Scheffers </w:t>
      </w:r>
      <w:r w:rsidR="00342CFF" w:rsidRPr="00342CFF">
        <w:rPr>
          <w:i/>
          <w:iCs/>
        </w:rPr>
        <w:t>et al.</w:t>
      </w:r>
      <w:r w:rsidR="00342CFF" w:rsidRPr="00342CFF">
        <w:t xml:space="preserve">, 2014a, 2014b; González del Pliego </w:t>
      </w:r>
      <w:r w:rsidR="00342CFF" w:rsidRPr="00342CFF">
        <w:rPr>
          <w:i/>
          <w:iCs/>
        </w:rPr>
        <w:t>et al.</w:t>
      </w:r>
      <w:r w:rsidR="00342CFF" w:rsidRPr="00342CFF">
        <w:t>, 2016)</w:t>
      </w:r>
      <w:r w:rsidRPr="00CF7ED3">
        <w:fldChar w:fldCharType="end"/>
      </w:r>
      <w:r w:rsidRPr="00CF7ED3">
        <w:t xml:space="preserve">. We sampled in some of the most intensively logged forest in the tropics, </w:t>
      </w:r>
      <w:r w:rsidR="005067D9">
        <w:t xml:space="preserve">during an ENSO event </w:t>
      </w:r>
      <w:r w:rsidR="007957BA">
        <w:t>with</w:t>
      </w:r>
      <w:r w:rsidR="005278E1">
        <w:t xml:space="preserve"> </w:t>
      </w:r>
      <w:r w:rsidR="005067D9">
        <w:t xml:space="preserve">maximum </w:t>
      </w:r>
      <w:r w:rsidR="005278E1" w:rsidRPr="005278E1">
        <w:t>temperature</w:t>
      </w:r>
      <w:r w:rsidR="007957BA">
        <w:t>s</w:t>
      </w:r>
      <w:r w:rsidR="005278E1" w:rsidRPr="005278E1">
        <w:t xml:space="preserve"> </w:t>
      </w:r>
      <w:r w:rsidR="005067D9">
        <w:t>7</w:t>
      </w:r>
      <w:r w:rsidR="005278E1" w:rsidRPr="005278E1">
        <w:t xml:space="preserve">% higher and </w:t>
      </w:r>
      <w:r w:rsidR="005278E1">
        <w:t xml:space="preserve">rainfall </w:t>
      </w:r>
      <w:r w:rsidR="005278E1" w:rsidRPr="005278E1">
        <w:t>16% lower</w:t>
      </w:r>
      <w:r w:rsidR="005278E1">
        <w:t xml:space="preserve"> than </w:t>
      </w:r>
      <w:r w:rsidR="005278E1" w:rsidRPr="005278E1">
        <w:t xml:space="preserve">the 5-year average </w:t>
      </w:r>
      <w:r w:rsidR="005278E1">
        <w:t>(</w:t>
      </w:r>
      <w:r w:rsidR="002D0532" w:rsidRPr="002D0532">
        <w:t>across April to July, for the years 2007 to 2011</w:t>
      </w:r>
      <w:r w:rsidR="005278E1" w:rsidRPr="005278E1">
        <w:t>)</w:t>
      </w:r>
      <w:r w:rsidRPr="00CF7ED3">
        <w:t xml:space="preserve">; it is highly unlikely that our study would have failed to detect any </w:t>
      </w:r>
      <w:r w:rsidR="002264AD" w:rsidRPr="00CF7ED3">
        <w:t>appreciable</w:t>
      </w:r>
      <w:r w:rsidRPr="00CF7ED3">
        <w:t xml:space="preserve"> thermal differences between primary and logged forests had they existed. </w:t>
      </w:r>
      <w:r w:rsidR="008C1B89" w:rsidRPr="00CF7ED3">
        <w:t xml:space="preserve">Regardless of whether </w:t>
      </w:r>
      <w:r w:rsidR="002264AD" w:rsidRPr="00CF7ED3">
        <w:t xml:space="preserve">commercially selectively </w:t>
      </w:r>
      <w:r w:rsidR="008C1B89" w:rsidRPr="00CF7ED3">
        <w:t xml:space="preserve">logged forests remain biologically or </w:t>
      </w:r>
      <w:r w:rsidR="00110D18" w:rsidRPr="00CF7ED3">
        <w:t xml:space="preserve">structurally </w:t>
      </w:r>
      <w:r w:rsidR="008C1B89" w:rsidRPr="00CF7ED3">
        <w:t xml:space="preserve">distinctive from undisturbed forests, </w:t>
      </w:r>
      <w:r w:rsidR="003E374F" w:rsidRPr="00CF7ED3">
        <w:t xml:space="preserve">this study shows </w:t>
      </w:r>
      <w:r w:rsidR="001003CC" w:rsidRPr="00CF7ED3">
        <w:t xml:space="preserve">for the first time </w:t>
      </w:r>
      <w:r w:rsidR="003E374F" w:rsidRPr="00CF7ED3">
        <w:t xml:space="preserve">that they </w:t>
      </w:r>
      <w:r w:rsidR="008C1B89" w:rsidRPr="00CF7ED3">
        <w:t xml:space="preserve">are functionally equivalent in </w:t>
      </w:r>
      <w:r w:rsidR="00680893" w:rsidRPr="00CF7ED3">
        <w:t xml:space="preserve">the </w:t>
      </w:r>
      <w:r w:rsidR="008C1B89" w:rsidRPr="00CF7ED3">
        <w:t xml:space="preserve">provisioning of </w:t>
      </w:r>
      <w:r w:rsidR="004B7A38">
        <w:t>cool</w:t>
      </w:r>
      <w:r w:rsidR="00213B5F">
        <w:t xml:space="preserve"> microclimates</w:t>
      </w:r>
      <w:r w:rsidR="00864111" w:rsidRPr="00CF7ED3">
        <w:t xml:space="preserve">, and </w:t>
      </w:r>
      <w:r w:rsidR="00E33EF8" w:rsidRPr="00CF7ED3">
        <w:t xml:space="preserve">underscores their </w:t>
      </w:r>
      <w:r w:rsidR="00AB4C4E" w:rsidRPr="00CF7ED3">
        <w:t xml:space="preserve">vital role in </w:t>
      </w:r>
      <w:r w:rsidR="00E33EF8" w:rsidRPr="00CF7ED3">
        <w:t xml:space="preserve">conservation both now and under future climate </w:t>
      </w:r>
      <w:r w:rsidR="001003CC" w:rsidRPr="00CF7ED3">
        <w:t>warming</w:t>
      </w:r>
      <w:r w:rsidR="008C1B89" w:rsidRPr="00CF7ED3">
        <w:t>.</w:t>
      </w:r>
      <w:r w:rsidR="00065374" w:rsidRPr="00CF7ED3">
        <w:t xml:space="preserve"> </w:t>
      </w:r>
      <w:r w:rsidR="00FA3182" w:rsidRPr="00CF7ED3">
        <w:br w:type="page"/>
      </w:r>
    </w:p>
    <w:p w14:paraId="2A42CE46" w14:textId="103C0454" w:rsidR="00094DBE" w:rsidRPr="00CF7ED3" w:rsidRDefault="00FA3182" w:rsidP="00CF7ED3">
      <w:pPr>
        <w:pStyle w:val="Heading1"/>
      </w:pPr>
      <w:r w:rsidRPr="00CF7ED3">
        <w:t>Acknowledgements</w:t>
      </w:r>
    </w:p>
    <w:p w14:paraId="3EFBAC87" w14:textId="0006C029" w:rsidR="00B026B3" w:rsidRPr="00CF7ED3" w:rsidRDefault="00864111" w:rsidP="00CF7ED3">
      <w:r w:rsidRPr="00CF7ED3">
        <w:t>Thanks to staff at Danum Valley Fiel</w:t>
      </w:r>
      <w:r w:rsidR="00A50A77" w:rsidRPr="00CF7ED3">
        <w:t xml:space="preserve">d Centre for logistical support; and </w:t>
      </w:r>
      <w:r w:rsidR="00A13AEA" w:rsidRPr="00CF7ED3">
        <w:t>Azlin Bin Sailim</w:t>
      </w:r>
      <w:r w:rsidR="00A50A77" w:rsidRPr="00CF7ED3">
        <w:t>, Jessica Olid and Chloe Walker-Trivett</w:t>
      </w:r>
      <w:r w:rsidRPr="00CF7ED3">
        <w:t xml:space="preserve"> </w:t>
      </w:r>
      <w:r w:rsidR="00A50A77" w:rsidRPr="00CF7ED3">
        <w:t xml:space="preserve">for </w:t>
      </w:r>
      <w:r w:rsidR="00B026B3" w:rsidRPr="00CF7ED3">
        <w:t xml:space="preserve">field </w:t>
      </w:r>
      <w:r w:rsidR="00A50A77" w:rsidRPr="00CF7ED3">
        <w:t>assistance</w:t>
      </w:r>
      <w:r w:rsidR="00B026B3" w:rsidRPr="00CF7ED3">
        <w:t xml:space="preserve">. </w:t>
      </w:r>
      <w:r w:rsidRPr="00CF7ED3">
        <w:t>R.A.S. was funded by a NERC studentship through the ACCE (Adapting to the Challenges of a Changing Environment) Doctoral Training Partnership (Grant No. NE/L002450/1)</w:t>
      </w:r>
      <w:r w:rsidR="00B026B3" w:rsidRPr="00CF7ED3">
        <w:t>.</w:t>
      </w:r>
      <w:r w:rsidR="00313EE9" w:rsidRPr="00313EE9">
        <w:t xml:space="preserve"> </w:t>
      </w:r>
      <w:r w:rsidR="00313EE9">
        <w:t xml:space="preserve">Data available from the Dryad Digital Repository: </w:t>
      </w:r>
      <w:r w:rsidR="00313EE9" w:rsidRPr="009F1287">
        <w:t>http://dx.doi.org/10.5061/dryad.[NNNN</w:t>
      </w:r>
      <w:r w:rsidR="00313EE9">
        <w:t>] [REF].</w:t>
      </w:r>
    </w:p>
    <w:p w14:paraId="2260BFB3" w14:textId="77777777" w:rsidR="00B026B3" w:rsidRPr="00CF7ED3" w:rsidRDefault="00B026B3" w:rsidP="00CF7ED3">
      <w:pPr>
        <w:pStyle w:val="Heading1"/>
      </w:pPr>
      <w:r w:rsidRPr="00CF7ED3">
        <w:t>Conflict of Interest</w:t>
      </w:r>
    </w:p>
    <w:p w14:paraId="02080D63" w14:textId="2E60ABF9" w:rsidR="00B026B3" w:rsidRPr="00CF7ED3" w:rsidRDefault="00B026B3" w:rsidP="00CF7ED3">
      <w:r w:rsidRPr="00CF7ED3">
        <w:t>Authors declare no conflicts of interest.</w:t>
      </w:r>
      <w:r w:rsidRPr="00CF7ED3">
        <w:br w:type="page"/>
      </w:r>
    </w:p>
    <w:p w14:paraId="3660537D" w14:textId="1418E575" w:rsidR="00094DBE" w:rsidRPr="00CF7ED3" w:rsidRDefault="00094DBE" w:rsidP="00CF7ED3">
      <w:pPr>
        <w:pStyle w:val="Heading1"/>
      </w:pPr>
      <w:r w:rsidRPr="00CF7ED3">
        <w:t>References</w:t>
      </w:r>
    </w:p>
    <w:p w14:paraId="565A675F" w14:textId="77777777" w:rsidR="00B039AA" w:rsidRDefault="00B039AA" w:rsidP="00B039AA">
      <w:pPr>
        <w:pStyle w:val="Bibliography"/>
      </w:pPr>
      <w:r>
        <w:fldChar w:fldCharType="begin"/>
      </w:r>
      <w:r>
        <w:instrText xml:space="preserve"> ADDIN ZOTERO_BIBL {"custom":[]} CSL_BIBLIOGRAPHY </w:instrText>
      </w:r>
      <w:r>
        <w:fldChar w:fldCharType="separate"/>
      </w:r>
      <w:r>
        <w:t xml:space="preserve">Asner GP, Rudel TK, Aide TM, Defries R, Emerson R (2009) A contemporary assessment of change in humid tropical forests. </w:t>
      </w:r>
      <w:r>
        <w:rPr>
          <w:i/>
          <w:iCs/>
        </w:rPr>
        <w:t>Conservation Biology</w:t>
      </w:r>
      <w:r>
        <w:t xml:space="preserve">, </w:t>
      </w:r>
      <w:r>
        <w:rPr>
          <w:b/>
          <w:bCs/>
        </w:rPr>
        <w:t>23</w:t>
      </w:r>
      <w:r>
        <w:t>, 1386–1395.</w:t>
      </w:r>
    </w:p>
    <w:p w14:paraId="653C9701" w14:textId="77777777" w:rsidR="00B039AA" w:rsidRDefault="00B039AA" w:rsidP="00B039AA">
      <w:pPr>
        <w:pStyle w:val="Bibliography"/>
      </w:pPr>
      <w:r>
        <w:t xml:space="preserve">Ball IR, Lindenmayer DB, Possingham HP (1999) A tree hollow dynamics simulation model. </w:t>
      </w:r>
      <w:r>
        <w:rPr>
          <w:i/>
          <w:iCs/>
        </w:rPr>
        <w:t>Forest Ecology and Management</w:t>
      </w:r>
      <w:r>
        <w:t xml:space="preserve">, </w:t>
      </w:r>
      <w:r>
        <w:rPr>
          <w:b/>
          <w:bCs/>
        </w:rPr>
        <w:t>123</w:t>
      </w:r>
      <w:r>
        <w:t>, 179–194.</w:t>
      </w:r>
    </w:p>
    <w:p w14:paraId="6079E5FE" w14:textId="77777777" w:rsidR="00B039AA" w:rsidRDefault="00B039AA" w:rsidP="00B039AA">
      <w:pPr>
        <w:pStyle w:val="Bibliography"/>
      </w:pPr>
      <w:r>
        <w:t xml:space="preserve">Barlow J, Lennox GD, Ferreira J et al. (2016) Anthropogenic disturbance in tropical forests can double biodiversity loss from deforestation. </w:t>
      </w:r>
      <w:r>
        <w:rPr>
          <w:i/>
          <w:iCs/>
        </w:rPr>
        <w:t>Nature</w:t>
      </w:r>
      <w:r>
        <w:t xml:space="preserve">, </w:t>
      </w:r>
      <w:r>
        <w:rPr>
          <w:b/>
          <w:bCs/>
        </w:rPr>
        <w:t>535</w:t>
      </w:r>
      <w:r>
        <w:t>, 144–147.</w:t>
      </w:r>
    </w:p>
    <w:p w14:paraId="3F7918F1" w14:textId="77777777" w:rsidR="00B039AA" w:rsidRDefault="00B039AA" w:rsidP="00B039AA">
      <w:pPr>
        <w:pStyle w:val="Bibliography"/>
      </w:pPr>
      <w:r>
        <w:t xml:space="preserve">Berry NJ, Phillips OL, Ong RC, Hamer KC (2008) Impacts of selective logging on tree diversity across a rainforest landscape: the importance of spatial scale. </w:t>
      </w:r>
      <w:r>
        <w:rPr>
          <w:i/>
          <w:iCs/>
        </w:rPr>
        <w:t>Landscape Ecology</w:t>
      </w:r>
      <w:r>
        <w:t xml:space="preserve">, </w:t>
      </w:r>
      <w:r>
        <w:rPr>
          <w:b/>
          <w:bCs/>
        </w:rPr>
        <w:t>23</w:t>
      </w:r>
      <w:r>
        <w:t>, 915–929.</w:t>
      </w:r>
    </w:p>
    <w:p w14:paraId="23BE9CF6" w14:textId="77777777" w:rsidR="00B039AA" w:rsidRDefault="00B039AA" w:rsidP="00B039AA">
      <w:pPr>
        <w:pStyle w:val="Bibliography"/>
      </w:pPr>
      <w:r>
        <w:t xml:space="preserve">Blakely TJ, Didham RK (2008) Tree holes in a mixed broad-leaf–podocarp rain forest, New Zealand. </w:t>
      </w:r>
      <w:r>
        <w:rPr>
          <w:i/>
          <w:iCs/>
        </w:rPr>
        <w:t>New Zealand Journal of Ecology</w:t>
      </w:r>
      <w:r>
        <w:t xml:space="preserve">, </w:t>
      </w:r>
      <w:r>
        <w:rPr>
          <w:b/>
          <w:bCs/>
        </w:rPr>
        <w:t>32</w:t>
      </w:r>
      <w:r>
        <w:t>, 197–208.</w:t>
      </w:r>
    </w:p>
    <w:p w14:paraId="629840D0" w14:textId="77777777" w:rsidR="00B039AA" w:rsidRDefault="00B039AA" w:rsidP="00B039AA">
      <w:pPr>
        <w:pStyle w:val="Bibliography"/>
      </w:pPr>
      <w:r>
        <w:t xml:space="preserve">Brook BW, Sodhi NS, Bradshaw CJA (2008) Synergies among extinction drivers under global change. </w:t>
      </w:r>
      <w:r>
        <w:rPr>
          <w:i/>
          <w:iCs/>
        </w:rPr>
        <w:t>Trends in Ecology &amp; Evolution</w:t>
      </w:r>
      <w:r>
        <w:t xml:space="preserve">, </w:t>
      </w:r>
      <w:r>
        <w:rPr>
          <w:b/>
          <w:bCs/>
        </w:rPr>
        <w:t>23</w:t>
      </w:r>
      <w:r>
        <w:t>, 453–460.</w:t>
      </w:r>
    </w:p>
    <w:p w14:paraId="05FB554A" w14:textId="77777777" w:rsidR="00B039AA" w:rsidRDefault="00B039AA" w:rsidP="00B039AA">
      <w:pPr>
        <w:pStyle w:val="Bibliography"/>
      </w:pPr>
      <w:r>
        <w:t xml:space="preserve">Cai W, Borlace S, Lengaigne M et al. (2014) Increasing frequency of extreme El Nino events due to greenhouse warming. </w:t>
      </w:r>
      <w:r>
        <w:rPr>
          <w:i/>
          <w:iCs/>
        </w:rPr>
        <w:t>Nature Climate Change</w:t>
      </w:r>
      <w:r>
        <w:t xml:space="preserve">, </w:t>
      </w:r>
      <w:r>
        <w:rPr>
          <w:b/>
          <w:bCs/>
        </w:rPr>
        <w:t>4</w:t>
      </w:r>
      <w:r>
        <w:t>, 111–116.</w:t>
      </w:r>
    </w:p>
    <w:p w14:paraId="1603B6AD" w14:textId="77777777" w:rsidR="00B039AA" w:rsidRDefault="00B039AA" w:rsidP="00B039AA">
      <w:pPr>
        <w:pStyle w:val="Bibliography"/>
      </w:pPr>
      <w:r>
        <w:t xml:space="preserve">Caillon R, Suppo C, Casas J, Arthur Woods H, Pincebourde S (2014) Warming decreases thermal heterogeneity of leaf surfaces: implications for behavioural thermoregulation by arthropods. </w:t>
      </w:r>
      <w:r>
        <w:rPr>
          <w:i/>
          <w:iCs/>
        </w:rPr>
        <w:t>Functional Ecology</w:t>
      </w:r>
      <w:r>
        <w:t xml:space="preserve">, </w:t>
      </w:r>
      <w:r>
        <w:rPr>
          <w:b/>
          <w:bCs/>
        </w:rPr>
        <w:t>28</w:t>
      </w:r>
      <w:r>
        <w:t>, 1449–1458.</w:t>
      </w:r>
    </w:p>
    <w:p w14:paraId="2783C691" w14:textId="77777777" w:rsidR="00B039AA" w:rsidRDefault="00B039AA" w:rsidP="00B039AA">
      <w:pPr>
        <w:pStyle w:val="Bibliography"/>
      </w:pPr>
      <w:r>
        <w:t xml:space="preserve">Carlson BS, Koerner SE, Medjibe VP, White LJT, Poulsen JR (2016) Deadwood stocks increase with selective logging and large tree frequency in Gabon. </w:t>
      </w:r>
      <w:r>
        <w:rPr>
          <w:i/>
          <w:iCs/>
        </w:rPr>
        <w:t>Global Change Biology</w:t>
      </w:r>
      <w:r>
        <w:t>, n/a-n/a.</w:t>
      </w:r>
    </w:p>
    <w:p w14:paraId="0565799A" w14:textId="77777777" w:rsidR="00B039AA" w:rsidRDefault="00B039AA" w:rsidP="00B039AA">
      <w:pPr>
        <w:pStyle w:val="Bibliography"/>
      </w:pPr>
      <w:r>
        <w:t xml:space="preserve">Chen J, Franklin JF, Spies TA (1995) Growing-season microclimatic gradients from clearcut edges into old-growth douglas-fir forests. </w:t>
      </w:r>
      <w:r>
        <w:rPr>
          <w:i/>
          <w:iCs/>
        </w:rPr>
        <w:t>Ecological Applications</w:t>
      </w:r>
      <w:r>
        <w:t xml:space="preserve">, </w:t>
      </w:r>
      <w:r>
        <w:rPr>
          <w:b/>
          <w:bCs/>
        </w:rPr>
        <w:t>5</w:t>
      </w:r>
      <w:r>
        <w:t>, 74–86.</w:t>
      </w:r>
    </w:p>
    <w:p w14:paraId="20F6C304" w14:textId="77777777" w:rsidR="00B039AA" w:rsidRDefault="00B039AA" w:rsidP="00B039AA">
      <w:pPr>
        <w:pStyle w:val="Bibliography"/>
      </w:pPr>
      <w:r>
        <w:t xml:space="preserve">Chou C, Chiang JCH, Lan C-W, Chung C-H, Liao Y-C, Lee C-J (2013) Increase in the range between wet and dry season precipitation. </w:t>
      </w:r>
      <w:r>
        <w:rPr>
          <w:i/>
          <w:iCs/>
        </w:rPr>
        <w:t>Nature Geoscience</w:t>
      </w:r>
      <w:r>
        <w:t xml:space="preserve">, </w:t>
      </w:r>
      <w:r>
        <w:rPr>
          <w:b/>
          <w:bCs/>
        </w:rPr>
        <w:t>6</w:t>
      </w:r>
      <w:r>
        <w:t>, 263–267.</w:t>
      </w:r>
    </w:p>
    <w:p w14:paraId="35A44187" w14:textId="77777777" w:rsidR="00B039AA" w:rsidRDefault="00B039AA" w:rsidP="00B039AA">
      <w:pPr>
        <w:pStyle w:val="Bibliography"/>
      </w:pPr>
      <w:r>
        <w:t xml:space="preserve">Colwell RK, Brehm G, Cardelús CL, Gilman AC, Longino JT (2008) Global warming, elevational range shifts, and lowland biotic attrition in the wet tropics. </w:t>
      </w:r>
      <w:r>
        <w:rPr>
          <w:i/>
          <w:iCs/>
        </w:rPr>
        <w:t>Science</w:t>
      </w:r>
      <w:r>
        <w:t xml:space="preserve">, </w:t>
      </w:r>
      <w:r>
        <w:rPr>
          <w:b/>
          <w:bCs/>
        </w:rPr>
        <w:t>322</w:t>
      </w:r>
      <w:r>
        <w:t>, 258–261.</w:t>
      </w:r>
    </w:p>
    <w:p w14:paraId="7972A00C" w14:textId="77777777" w:rsidR="00B039AA" w:rsidRDefault="00B039AA" w:rsidP="00B039AA">
      <w:pPr>
        <w:pStyle w:val="Bibliography"/>
      </w:pPr>
      <w:r>
        <w:t xml:space="preserve">Davin EL, de Noblet-Ducoudré N (2010) Climatic impact of global-scale deforestation: radiative versus nonradiative processes. </w:t>
      </w:r>
      <w:r>
        <w:rPr>
          <w:i/>
          <w:iCs/>
        </w:rPr>
        <w:t>Journal of Climate</w:t>
      </w:r>
      <w:r>
        <w:t xml:space="preserve">, </w:t>
      </w:r>
      <w:r>
        <w:rPr>
          <w:b/>
          <w:bCs/>
        </w:rPr>
        <w:t>23</w:t>
      </w:r>
      <w:r>
        <w:t>, 97–112.</w:t>
      </w:r>
    </w:p>
    <w:p w14:paraId="3D72DB8E" w14:textId="77777777" w:rsidR="00B039AA" w:rsidRDefault="00B039AA" w:rsidP="00B039AA">
      <w:pPr>
        <w:pStyle w:val="Bibliography"/>
      </w:pPr>
      <w:r>
        <w:t xml:space="preserve">Deutsch CA, Tewksbury JJ, Huey RB, Sheldon KS, Ghalambor CK, Haak DC, Martin PR (2008) Impacts of climate warming on terrestrial ectotherms across latitude. </w:t>
      </w:r>
      <w:r>
        <w:rPr>
          <w:i/>
          <w:iCs/>
        </w:rPr>
        <w:t>Proceedings of the National Academy of Sciences</w:t>
      </w:r>
      <w:r>
        <w:t xml:space="preserve">, </w:t>
      </w:r>
      <w:r>
        <w:rPr>
          <w:b/>
          <w:bCs/>
        </w:rPr>
        <w:t>105</w:t>
      </w:r>
      <w:r>
        <w:t>, 6668–6672.</w:t>
      </w:r>
    </w:p>
    <w:p w14:paraId="7A5D9F57" w14:textId="77777777" w:rsidR="00B039AA" w:rsidRDefault="00B039AA" w:rsidP="00B039AA">
      <w:pPr>
        <w:pStyle w:val="Bibliography"/>
      </w:pPr>
      <w:r>
        <w:t xml:space="preserve">Duellman WE, Trueb L (1986) </w:t>
      </w:r>
      <w:r>
        <w:rPr>
          <w:i/>
          <w:iCs/>
        </w:rPr>
        <w:t>Biology of Amphibians</w:t>
      </w:r>
      <w:r>
        <w:t>. JHU Press, 706 pp.</w:t>
      </w:r>
    </w:p>
    <w:p w14:paraId="74B6B4C1" w14:textId="77777777" w:rsidR="00B039AA" w:rsidRDefault="00B039AA" w:rsidP="00B039AA">
      <w:pPr>
        <w:pStyle w:val="Bibliography"/>
      </w:pPr>
      <w:r>
        <w:t xml:space="preserve">Edwards DP, Laurance WF (2013) Biodiversity Despite Selective Logging. </w:t>
      </w:r>
      <w:r>
        <w:rPr>
          <w:i/>
          <w:iCs/>
        </w:rPr>
        <w:t>Science</w:t>
      </w:r>
      <w:r>
        <w:t xml:space="preserve">, </w:t>
      </w:r>
      <w:r>
        <w:rPr>
          <w:b/>
          <w:bCs/>
        </w:rPr>
        <w:t>339</w:t>
      </w:r>
      <w:r>
        <w:t>, 646–647.</w:t>
      </w:r>
    </w:p>
    <w:p w14:paraId="20413C89" w14:textId="77777777" w:rsidR="00B039AA" w:rsidRDefault="00B039AA" w:rsidP="00B039AA">
      <w:pPr>
        <w:pStyle w:val="Bibliography"/>
      </w:pPr>
      <w:r>
        <w:t xml:space="preserve">Edwards DP, Larsen TH, Docherty TDS et al. (2011) Degraded lands worth protecting: the biological importance of Southeast Asia’s repeatedly logged forests. </w:t>
      </w:r>
      <w:r>
        <w:rPr>
          <w:i/>
          <w:iCs/>
        </w:rPr>
        <w:t>Proceedings of the Royal Society B: Biological Sciences</w:t>
      </w:r>
      <w:r>
        <w:t xml:space="preserve">, </w:t>
      </w:r>
      <w:r>
        <w:rPr>
          <w:b/>
          <w:bCs/>
        </w:rPr>
        <w:t>278</w:t>
      </w:r>
      <w:r>
        <w:t>, 82–90.</w:t>
      </w:r>
    </w:p>
    <w:p w14:paraId="01BC2752" w14:textId="77777777" w:rsidR="00B039AA" w:rsidRDefault="00B039AA" w:rsidP="00B039AA">
      <w:pPr>
        <w:pStyle w:val="Bibliography"/>
      </w:pPr>
      <w:r>
        <w:t xml:space="preserve">Edwards DP, Tobias JA, Sheil D, Meijaard E, Laurance WF (2014a) Maintaining ecosystem function and services in logged tropical forests. </w:t>
      </w:r>
      <w:r>
        <w:rPr>
          <w:i/>
          <w:iCs/>
        </w:rPr>
        <w:t>Trends in Ecology &amp; Evolution</w:t>
      </w:r>
      <w:r>
        <w:t xml:space="preserve">, </w:t>
      </w:r>
      <w:r>
        <w:rPr>
          <w:b/>
          <w:bCs/>
        </w:rPr>
        <w:t>29</w:t>
      </w:r>
      <w:r>
        <w:t>, 511–520.</w:t>
      </w:r>
    </w:p>
    <w:p w14:paraId="2A3D1635" w14:textId="77777777" w:rsidR="00B039AA" w:rsidRDefault="00B039AA" w:rsidP="00B039AA">
      <w:pPr>
        <w:pStyle w:val="Bibliography"/>
      </w:pPr>
      <w:r>
        <w:t xml:space="preserve">Edwards DP, Magrach A, Woodcock P et al. (2014b) Selective-logging and oil palm: multitaxon impacts, biodiversity indicators, and trade-offs for conservation planning. </w:t>
      </w:r>
      <w:r>
        <w:rPr>
          <w:i/>
          <w:iCs/>
        </w:rPr>
        <w:t>Ecological Applications</w:t>
      </w:r>
      <w:r>
        <w:t xml:space="preserve">, </w:t>
      </w:r>
      <w:r>
        <w:rPr>
          <w:b/>
          <w:bCs/>
        </w:rPr>
        <w:t>24</w:t>
      </w:r>
      <w:r>
        <w:t>, 2029–2049.</w:t>
      </w:r>
    </w:p>
    <w:p w14:paraId="0489C98C" w14:textId="77777777" w:rsidR="00B039AA" w:rsidRDefault="00B039AA" w:rsidP="00B039AA">
      <w:pPr>
        <w:pStyle w:val="Bibliography"/>
      </w:pPr>
      <w:r>
        <w:t xml:space="preserve">Ewers RM, Banks-Leite C (2013) Fragmentation Impairs the Microclimate Buffering Effect of Tropical Forests. </w:t>
      </w:r>
      <w:r>
        <w:rPr>
          <w:i/>
          <w:iCs/>
        </w:rPr>
        <w:t>PLOS ONE</w:t>
      </w:r>
      <w:r>
        <w:t xml:space="preserve">, </w:t>
      </w:r>
      <w:r>
        <w:rPr>
          <w:b/>
          <w:bCs/>
        </w:rPr>
        <w:t>8</w:t>
      </w:r>
      <w:r>
        <w:t>, e58093.</w:t>
      </w:r>
    </w:p>
    <w:p w14:paraId="3505C59E" w14:textId="77777777" w:rsidR="00B039AA" w:rsidRDefault="00B039AA" w:rsidP="00B039AA">
      <w:pPr>
        <w:pStyle w:val="Bibliography"/>
      </w:pPr>
      <w:r>
        <w:t xml:space="preserve">Ewers RM, Boyle MJW, Gleave RA et al. (2015) Logging cuts the functional importance of invertebrates in tropical rainforest. </w:t>
      </w:r>
      <w:r>
        <w:rPr>
          <w:i/>
          <w:iCs/>
        </w:rPr>
        <w:t>Nature Communications</w:t>
      </w:r>
      <w:r>
        <w:t xml:space="preserve">, </w:t>
      </w:r>
      <w:r>
        <w:rPr>
          <w:b/>
          <w:bCs/>
        </w:rPr>
        <w:t>6</w:t>
      </w:r>
      <w:r>
        <w:t>, 6836.</w:t>
      </w:r>
    </w:p>
    <w:p w14:paraId="397B1C5C" w14:textId="77777777" w:rsidR="00B039AA" w:rsidRDefault="00B039AA" w:rsidP="00B039AA">
      <w:pPr>
        <w:pStyle w:val="Bibliography"/>
      </w:pPr>
      <w:r>
        <w:t xml:space="preserve">Fisher B, Edwards DP, Larsen TH, Ansell FA, Hsu WW, Roberts CS, Wilcove DS (2011) Cost-effective conservation: calculating biodiversity and logging trade-offs in Southeast Asia. </w:t>
      </w:r>
      <w:r>
        <w:rPr>
          <w:i/>
          <w:iCs/>
        </w:rPr>
        <w:t>Conservation Letters</w:t>
      </w:r>
      <w:r>
        <w:t xml:space="preserve">, </w:t>
      </w:r>
      <w:r>
        <w:rPr>
          <w:b/>
          <w:bCs/>
        </w:rPr>
        <w:t>4</w:t>
      </w:r>
      <w:r>
        <w:t>, 443–450.</w:t>
      </w:r>
    </w:p>
    <w:p w14:paraId="42FBC6B8" w14:textId="77777777" w:rsidR="00B039AA" w:rsidRDefault="00B039AA" w:rsidP="00B039AA">
      <w:pPr>
        <w:pStyle w:val="Bibliography"/>
      </w:pPr>
      <w:r>
        <w:t xml:space="preserve">FLIR </w:t>
      </w:r>
      <w:r>
        <w:rPr>
          <w:i/>
          <w:iCs/>
        </w:rPr>
        <w:t>User’s manual FLIR Exx series</w:t>
      </w:r>
      <w:r>
        <w:t>.</w:t>
      </w:r>
    </w:p>
    <w:p w14:paraId="50035DC1" w14:textId="77777777" w:rsidR="00B039AA" w:rsidRDefault="00B039AA" w:rsidP="00B039AA">
      <w:pPr>
        <w:pStyle w:val="Bibliography"/>
      </w:pPr>
      <w:r>
        <w:t xml:space="preserve">Gibson L, Lee TM, Koh LP et al. (2011) Primary forests are irreplaceable for sustaining tropical biodiversity. </w:t>
      </w:r>
      <w:r>
        <w:rPr>
          <w:i/>
          <w:iCs/>
        </w:rPr>
        <w:t>Nature</w:t>
      </w:r>
      <w:r>
        <w:t xml:space="preserve">, </w:t>
      </w:r>
      <w:r>
        <w:rPr>
          <w:b/>
          <w:bCs/>
        </w:rPr>
        <w:t>478</w:t>
      </w:r>
      <w:r>
        <w:t>, 378–381.</w:t>
      </w:r>
    </w:p>
    <w:p w14:paraId="2C3097F2" w14:textId="77777777" w:rsidR="00B039AA" w:rsidRDefault="00B039AA" w:rsidP="00B039AA">
      <w:pPr>
        <w:pStyle w:val="Bibliography"/>
      </w:pPr>
      <w:r>
        <w:t xml:space="preserve">González del Pliego P, Scheffers BR, Basham EW et al. (2016) Thermally buffered microhabitats recovery in tropical secondary forests following land abandonment. </w:t>
      </w:r>
      <w:r>
        <w:rPr>
          <w:i/>
          <w:iCs/>
        </w:rPr>
        <w:t>Biological Conservation</w:t>
      </w:r>
      <w:r>
        <w:t xml:space="preserve">, </w:t>
      </w:r>
      <w:r>
        <w:rPr>
          <w:b/>
          <w:bCs/>
        </w:rPr>
        <w:t>201</w:t>
      </w:r>
      <w:r>
        <w:t>, 385–395.</w:t>
      </w:r>
    </w:p>
    <w:p w14:paraId="5F41E8CB" w14:textId="77777777" w:rsidR="00B039AA" w:rsidRDefault="00B039AA" w:rsidP="00B039AA">
      <w:pPr>
        <w:pStyle w:val="Bibliography"/>
      </w:pPr>
      <w:r>
        <w:t xml:space="preserve">Hamer KC, Hill JK, Benedick S, Mustaffa N, Sherratt TN, Maryati M, K. CV (2003) Ecology of butterflies in natural and selectively logged forests of northern Borneo: the importance of habitat heterogeneity. </w:t>
      </w:r>
      <w:r>
        <w:rPr>
          <w:i/>
          <w:iCs/>
        </w:rPr>
        <w:t>Journal of Applied Ecology</w:t>
      </w:r>
      <w:r>
        <w:t xml:space="preserve">, </w:t>
      </w:r>
      <w:r>
        <w:rPr>
          <w:b/>
          <w:bCs/>
        </w:rPr>
        <w:t>40</w:t>
      </w:r>
      <w:r>
        <w:t>, 150–162.</w:t>
      </w:r>
    </w:p>
    <w:p w14:paraId="7E8C9154" w14:textId="77777777" w:rsidR="00B039AA" w:rsidRDefault="00B039AA" w:rsidP="00B039AA">
      <w:pPr>
        <w:pStyle w:val="Bibliography"/>
      </w:pPr>
      <w:r>
        <w:t xml:space="preserve">Hansen MC, Stehman SV, Potapov PV et al. (2008) Humid tropical forest clearing from 2000 to 2005 quantified by using multitemporal and multiresolution remotely sensed data. </w:t>
      </w:r>
      <w:r>
        <w:rPr>
          <w:i/>
          <w:iCs/>
        </w:rPr>
        <w:t>Proceedings of the National Academy of Sciences</w:t>
      </w:r>
      <w:r>
        <w:t xml:space="preserve">, </w:t>
      </w:r>
      <w:r>
        <w:rPr>
          <w:b/>
          <w:bCs/>
        </w:rPr>
        <w:t>105</w:t>
      </w:r>
      <w:r>
        <w:t>, 9439–9444.</w:t>
      </w:r>
    </w:p>
    <w:p w14:paraId="71B03EB2" w14:textId="77777777" w:rsidR="00B039AA" w:rsidRDefault="00B039AA" w:rsidP="00B039AA">
      <w:pPr>
        <w:pStyle w:val="Bibliography"/>
      </w:pPr>
      <w:r>
        <w:t xml:space="preserve">Hansen MC, Potapov PV, Moore R et al. (2013) High-resolution global maps of 21st-century forest cover change. </w:t>
      </w:r>
      <w:r>
        <w:rPr>
          <w:i/>
          <w:iCs/>
        </w:rPr>
        <w:t>Science</w:t>
      </w:r>
      <w:r>
        <w:t xml:space="preserve">, </w:t>
      </w:r>
      <w:r>
        <w:rPr>
          <w:b/>
          <w:bCs/>
        </w:rPr>
        <w:t>342</w:t>
      </w:r>
      <w:r>
        <w:t>, 850–853.</w:t>
      </w:r>
    </w:p>
    <w:p w14:paraId="1162242F" w14:textId="77777777" w:rsidR="00B039AA" w:rsidRDefault="00B039AA" w:rsidP="00B039AA">
      <w:pPr>
        <w:pStyle w:val="Bibliography"/>
      </w:pPr>
      <w:r>
        <w:t xml:space="preserve">Hardwick SR, Toumi R, Pfeifer M, Turner EC, Nilus R, Ewers RM (2015) The relationship between leaf area index and microclimate in tropical forest and oil palm plantation: Forest disturbance drives changes in microclimate. </w:t>
      </w:r>
      <w:r>
        <w:rPr>
          <w:i/>
          <w:iCs/>
        </w:rPr>
        <w:t>Agricultural and Forest Meteorology</w:t>
      </w:r>
      <w:r>
        <w:t xml:space="preserve">, </w:t>
      </w:r>
      <w:r>
        <w:rPr>
          <w:b/>
          <w:bCs/>
        </w:rPr>
        <w:t>201</w:t>
      </w:r>
      <w:r>
        <w:t>, 187–195.</w:t>
      </w:r>
    </w:p>
    <w:p w14:paraId="7D12D9BD" w14:textId="77777777" w:rsidR="00B039AA" w:rsidRDefault="00B039AA" w:rsidP="00B039AA">
      <w:pPr>
        <w:pStyle w:val="Bibliography"/>
      </w:pPr>
      <w:r>
        <w:t xml:space="preserve">Hassall M, Edwards DP, Carmenta R, Derhé MA, Moss A (2010) Predicting the effect of climate change on aggregation behaviour in four species of terrestrial isopods. </w:t>
      </w:r>
      <w:r>
        <w:rPr>
          <w:i/>
          <w:iCs/>
        </w:rPr>
        <w:t>Behaviour</w:t>
      </w:r>
      <w:r>
        <w:t xml:space="preserve">, </w:t>
      </w:r>
      <w:r>
        <w:rPr>
          <w:b/>
          <w:bCs/>
        </w:rPr>
        <w:t>147</w:t>
      </w:r>
      <w:r>
        <w:t>, 151–164.</w:t>
      </w:r>
    </w:p>
    <w:p w14:paraId="5738307A" w14:textId="77777777" w:rsidR="00B039AA" w:rsidRDefault="00B039AA" w:rsidP="00B039AA">
      <w:pPr>
        <w:pStyle w:val="Bibliography"/>
      </w:pPr>
      <w:r>
        <w:t xml:space="preserve">IPCC (2013) </w:t>
      </w:r>
      <w:r>
        <w:rPr>
          <w:i/>
          <w:iCs/>
        </w:rPr>
        <w:t>Climate Change 2013: The Physical Science Basis: Working Group I Contribution to the IPCC Fifth Assessment Report.</w:t>
      </w:r>
      <w:r>
        <w:t xml:space="preserve"> Cambridge University Press, Cambridge.</w:t>
      </w:r>
    </w:p>
    <w:p w14:paraId="21A8AC3D" w14:textId="77777777" w:rsidR="00B039AA" w:rsidRDefault="00B039AA" w:rsidP="00B039AA">
      <w:pPr>
        <w:pStyle w:val="Bibliography"/>
      </w:pPr>
      <w:r>
        <w:t xml:space="preserve">Jenkins CN, Pimm SL, Joppa LN (2013) Global patterns of terrestrial vertebrate diversity and conservation. </w:t>
      </w:r>
      <w:r>
        <w:rPr>
          <w:i/>
          <w:iCs/>
        </w:rPr>
        <w:t>Proceedings of the National Academy of Sciences</w:t>
      </w:r>
      <w:r>
        <w:t xml:space="preserve">, </w:t>
      </w:r>
      <w:r>
        <w:rPr>
          <w:b/>
          <w:bCs/>
        </w:rPr>
        <w:t>110</w:t>
      </w:r>
      <w:r>
        <w:t>, E2602–E2610.</w:t>
      </w:r>
    </w:p>
    <w:p w14:paraId="5EE4538F" w14:textId="77777777" w:rsidR="00B039AA" w:rsidRDefault="00B039AA" w:rsidP="00B039AA">
      <w:pPr>
        <w:pStyle w:val="Bibliography"/>
      </w:pPr>
      <w:r>
        <w:t xml:space="preserve">Kaspari M, Clay NA, Lucas J, Yanoviak SP, Kay A (2014) Thermal adaptation generates a diversity of thermal limits in a rainforest ant community. </w:t>
      </w:r>
      <w:r>
        <w:rPr>
          <w:i/>
          <w:iCs/>
        </w:rPr>
        <w:t>Global Change Biology</w:t>
      </w:r>
      <w:r>
        <w:t>, n/a-n/a.</w:t>
      </w:r>
    </w:p>
    <w:p w14:paraId="78668603" w14:textId="77777777" w:rsidR="00B039AA" w:rsidRDefault="00B039AA" w:rsidP="00B039AA">
      <w:pPr>
        <w:pStyle w:val="Bibliography"/>
      </w:pPr>
      <w:r>
        <w:t xml:space="preserve">Khaliq I, Hof C, Prinzinger R, Böhning-Gaese K, Pfenninger M (2014) Global variation in thermal tolerances and vulnerability of endotherms to climate change. </w:t>
      </w:r>
      <w:r>
        <w:rPr>
          <w:i/>
          <w:iCs/>
        </w:rPr>
        <w:t>Proceedings of the Royal Society of London B: Biological Sciences</w:t>
      </w:r>
      <w:r>
        <w:t xml:space="preserve">, </w:t>
      </w:r>
      <w:r>
        <w:rPr>
          <w:b/>
          <w:bCs/>
        </w:rPr>
        <w:t>281</w:t>
      </w:r>
      <w:r>
        <w:t>, 20141097.</w:t>
      </w:r>
    </w:p>
    <w:p w14:paraId="103024F8" w14:textId="77777777" w:rsidR="00B039AA" w:rsidRDefault="00B039AA" w:rsidP="00B039AA">
      <w:pPr>
        <w:pStyle w:val="Bibliography"/>
      </w:pPr>
      <w:r>
        <w:t xml:space="preserve">Kumar R, Shahabuddin G (2005) Effects of biomass extraction on vegetation structure, diversity and composition of forests in Sariska Tiger Reserve, India. </w:t>
      </w:r>
      <w:r>
        <w:rPr>
          <w:i/>
          <w:iCs/>
        </w:rPr>
        <w:t>Environmental Conservation</w:t>
      </w:r>
      <w:r>
        <w:t xml:space="preserve">, </w:t>
      </w:r>
      <w:r>
        <w:rPr>
          <w:b/>
          <w:bCs/>
        </w:rPr>
        <w:t>32</w:t>
      </w:r>
      <w:r>
        <w:t>, 248.</w:t>
      </w:r>
    </w:p>
    <w:p w14:paraId="2206E595" w14:textId="77777777" w:rsidR="00B039AA" w:rsidRDefault="00B039AA" w:rsidP="00B039AA">
      <w:pPr>
        <w:pStyle w:val="Bibliography"/>
      </w:pPr>
      <w:r>
        <w:t xml:space="preserve">Lewis SL, Edwards DP, Galbraith D (2015) Increasing human dominance of tropical forests. </w:t>
      </w:r>
      <w:r>
        <w:rPr>
          <w:i/>
          <w:iCs/>
        </w:rPr>
        <w:t>Science</w:t>
      </w:r>
      <w:r>
        <w:t xml:space="preserve">, </w:t>
      </w:r>
      <w:r>
        <w:rPr>
          <w:b/>
          <w:bCs/>
        </w:rPr>
        <w:t>349</w:t>
      </w:r>
      <w:r>
        <w:t>, 827–832.</w:t>
      </w:r>
    </w:p>
    <w:p w14:paraId="7DA25466" w14:textId="77777777" w:rsidR="00B039AA" w:rsidRDefault="00B039AA" w:rsidP="00B039AA">
      <w:pPr>
        <w:pStyle w:val="Bibliography"/>
      </w:pPr>
      <w:r>
        <w:t xml:space="preserve">Lindenmayer DB, Cunningham RB, Pope ML, Gibbons P, Donnelly CF (2000) Cavity sizes and types in Australian eucalypts from wet and dry forest types–a simple of rule of thumb for estimating size and number of cavities. </w:t>
      </w:r>
      <w:r>
        <w:rPr>
          <w:i/>
          <w:iCs/>
        </w:rPr>
        <w:t>Forest Ecology and Management</w:t>
      </w:r>
      <w:r>
        <w:t xml:space="preserve">, </w:t>
      </w:r>
      <w:r>
        <w:rPr>
          <w:b/>
          <w:bCs/>
        </w:rPr>
        <w:t>137</w:t>
      </w:r>
      <w:r>
        <w:t>, 139–150.</w:t>
      </w:r>
    </w:p>
    <w:p w14:paraId="578CD400" w14:textId="77777777" w:rsidR="00B039AA" w:rsidRDefault="00B039AA" w:rsidP="00B039AA">
      <w:pPr>
        <w:pStyle w:val="Bibliography"/>
      </w:pPr>
      <w:r>
        <w:t xml:space="preserve">Lucey JM, Hill JK (2012) Spillover of Insects from Rain Forest into Adjacent Oil Palm Plantations. </w:t>
      </w:r>
      <w:r>
        <w:rPr>
          <w:i/>
          <w:iCs/>
        </w:rPr>
        <w:t>Biotropica</w:t>
      </w:r>
      <w:r>
        <w:t xml:space="preserve">, </w:t>
      </w:r>
      <w:r>
        <w:rPr>
          <w:b/>
          <w:bCs/>
        </w:rPr>
        <w:t>44</w:t>
      </w:r>
      <w:r>
        <w:t>, 368–377.</w:t>
      </w:r>
    </w:p>
    <w:p w14:paraId="50ADE315" w14:textId="77777777" w:rsidR="00B039AA" w:rsidRDefault="00B039AA" w:rsidP="00B039AA">
      <w:pPr>
        <w:pStyle w:val="Bibliography"/>
      </w:pPr>
      <w:r>
        <w:t xml:space="preserve">Mantyka-pringle CS, Martin TG, Rhodes JR (2012) Interactions between climate and habitat loss effects on biodiversity: a systematic review and meta-analysis. </w:t>
      </w:r>
      <w:r>
        <w:rPr>
          <w:i/>
          <w:iCs/>
        </w:rPr>
        <w:t>Global Change Biology</w:t>
      </w:r>
      <w:r>
        <w:t xml:space="preserve">, </w:t>
      </w:r>
      <w:r>
        <w:rPr>
          <w:b/>
          <w:bCs/>
        </w:rPr>
        <w:t>18</w:t>
      </w:r>
      <w:r>
        <w:t>, 1239–1252.</w:t>
      </w:r>
    </w:p>
    <w:p w14:paraId="39ED89BA" w14:textId="77777777" w:rsidR="00B039AA" w:rsidRDefault="00B039AA" w:rsidP="00B039AA">
      <w:pPr>
        <w:pStyle w:val="Bibliography"/>
      </w:pPr>
      <w:r>
        <w:t xml:space="preserve">Maxwell SL, Fuller RA, Brooks TM, Watson JEM (2016) Biodiversity: The ravages of guns, nets and bulldozers. </w:t>
      </w:r>
      <w:r>
        <w:rPr>
          <w:i/>
          <w:iCs/>
        </w:rPr>
        <w:t>Nature News</w:t>
      </w:r>
      <w:r>
        <w:t xml:space="preserve">, </w:t>
      </w:r>
      <w:r>
        <w:rPr>
          <w:b/>
          <w:bCs/>
        </w:rPr>
        <w:t>536</w:t>
      </w:r>
      <w:r>
        <w:t>, 143.</w:t>
      </w:r>
    </w:p>
    <w:p w14:paraId="68C96A07" w14:textId="77777777" w:rsidR="00B039AA" w:rsidRDefault="00B039AA" w:rsidP="00B039AA">
      <w:pPr>
        <w:pStyle w:val="Bibliography"/>
      </w:pPr>
      <w:r>
        <w:t xml:space="preserve">McLaughlin BC, Ackerly DD, Klos PZ, Natali J, Dawson TE, Thompson SE (2017) Hydrologic refugia, plants, and climate change. </w:t>
      </w:r>
      <w:r>
        <w:rPr>
          <w:i/>
          <w:iCs/>
        </w:rPr>
        <w:t>Global Change Biology</w:t>
      </w:r>
      <w:r>
        <w:t>, n/a-n/a.</w:t>
      </w:r>
    </w:p>
    <w:p w14:paraId="11F576FF" w14:textId="77777777" w:rsidR="00B039AA" w:rsidRDefault="00B039AA" w:rsidP="00B039AA">
      <w:pPr>
        <w:pStyle w:val="Bibliography"/>
      </w:pPr>
      <w:r>
        <w:t xml:space="preserve">Mora C, Frazier AG, Longman RJ et al. (2013) The projected timing of climate departure from recent variability. </w:t>
      </w:r>
      <w:r>
        <w:rPr>
          <w:i/>
          <w:iCs/>
        </w:rPr>
        <w:t>Nature</w:t>
      </w:r>
      <w:r>
        <w:t xml:space="preserve">, </w:t>
      </w:r>
      <w:r>
        <w:rPr>
          <w:b/>
          <w:bCs/>
        </w:rPr>
        <w:t>502</w:t>
      </w:r>
      <w:r>
        <w:t>, 183–187.</w:t>
      </w:r>
    </w:p>
    <w:p w14:paraId="10E2D00F" w14:textId="77777777" w:rsidR="00B039AA" w:rsidRDefault="00B039AA" w:rsidP="00B039AA">
      <w:pPr>
        <w:pStyle w:val="Bibliography"/>
      </w:pPr>
      <w:r>
        <w:t xml:space="preserve">Nadeau CP, Urban MC, Bridle JR (2016) Coarse climate change projections for species living in a fine-scaled world. </w:t>
      </w:r>
      <w:r>
        <w:rPr>
          <w:i/>
          <w:iCs/>
        </w:rPr>
        <w:t>Global Change Biology</w:t>
      </w:r>
      <w:r>
        <w:t>, n/a-n/a.</w:t>
      </w:r>
    </w:p>
    <w:p w14:paraId="6854847F" w14:textId="77777777" w:rsidR="00B039AA" w:rsidRDefault="00B039AA" w:rsidP="00B039AA">
      <w:pPr>
        <w:pStyle w:val="Bibliography"/>
      </w:pPr>
      <w:r>
        <w:t xml:space="preserve">Oke TR (1987) </w:t>
      </w:r>
      <w:r>
        <w:rPr>
          <w:i/>
          <w:iCs/>
        </w:rPr>
        <w:t>Boundary layer climates</w:t>
      </w:r>
      <w:r>
        <w:t>, 2nd ed. edn. Methuen, London.</w:t>
      </w:r>
    </w:p>
    <w:p w14:paraId="0D6BED0F" w14:textId="77777777" w:rsidR="00B039AA" w:rsidRDefault="00B039AA" w:rsidP="00B039AA">
      <w:pPr>
        <w:pStyle w:val="Bibliography"/>
      </w:pPr>
      <w:r>
        <w:t xml:space="preserve">Okuda T, Suzuki M, Adachi N, Quah ES, Hussein NA, Manokaran N (2003) Effect of selective logging on canopy and stand structure and tree species composition in a lowland dipterocarp forest in peninsular Malaysia. </w:t>
      </w:r>
      <w:r>
        <w:rPr>
          <w:i/>
          <w:iCs/>
        </w:rPr>
        <w:t>Forest Ecology and Management</w:t>
      </w:r>
      <w:r>
        <w:t xml:space="preserve">, </w:t>
      </w:r>
      <w:r>
        <w:rPr>
          <w:b/>
          <w:bCs/>
        </w:rPr>
        <w:t>175</w:t>
      </w:r>
      <w:r>
        <w:t>, 297–320.</w:t>
      </w:r>
    </w:p>
    <w:p w14:paraId="007201AA" w14:textId="77777777" w:rsidR="00B039AA" w:rsidRDefault="00B039AA" w:rsidP="00B039AA">
      <w:pPr>
        <w:pStyle w:val="Bibliography"/>
      </w:pPr>
      <w:r>
        <w:t xml:space="preserve">Potter KA, Arthur Woods H, Pincebourde S (2013) Microclimatic challenges in global change biology. </w:t>
      </w:r>
      <w:r>
        <w:rPr>
          <w:i/>
          <w:iCs/>
        </w:rPr>
        <w:t>Global Change Biology</w:t>
      </w:r>
      <w:r>
        <w:t xml:space="preserve">, </w:t>
      </w:r>
      <w:r>
        <w:rPr>
          <w:b/>
          <w:bCs/>
        </w:rPr>
        <w:t>19</w:t>
      </w:r>
      <w:r>
        <w:t>, 2932–2939.</w:t>
      </w:r>
    </w:p>
    <w:p w14:paraId="30B6867D" w14:textId="77777777" w:rsidR="00B039AA" w:rsidRDefault="00B039AA" w:rsidP="00B039AA">
      <w:pPr>
        <w:pStyle w:val="Bibliography"/>
      </w:pPr>
      <w:r>
        <w:t xml:space="preserve">Reynolds G, Payne J, Sinun W, Mosigil G, Walsh RPD (2011) Changes in forest land use and management in Sabah, Malaysian Borneo, 1990–2010, with a focus on the Danum Valley region. </w:t>
      </w:r>
      <w:r>
        <w:rPr>
          <w:i/>
          <w:iCs/>
        </w:rPr>
        <w:t>Philosophical Transactions of the Royal Society B: Biological Sciences</w:t>
      </w:r>
      <w:r>
        <w:t xml:space="preserve">, </w:t>
      </w:r>
      <w:r>
        <w:rPr>
          <w:b/>
          <w:bCs/>
        </w:rPr>
        <w:t>366</w:t>
      </w:r>
      <w:r>
        <w:t>, 3168–3176.</w:t>
      </w:r>
    </w:p>
    <w:p w14:paraId="655237EF" w14:textId="77777777" w:rsidR="00B039AA" w:rsidRDefault="00B039AA" w:rsidP="00B039AA">
      <w:pPr>
        <w:pStyle w:val="Bibliography"/>
      </w:pPr>
      <w:r>
        <w:t xml:space="preserve">Sala OE, Chapin FS, Iii et al. (2000) Global biodiversity scenarios for the year 2100. </w:t>
      </w:r>
      <w:r>
        <w:rPr>
          <w:i/>
          <w:iCs/>
        </w:rPr>
        <w:t>Science</w:t>
      </w:r>
      <w:r>
        <w:t xml:space="preserve">, </w:t>
      </w:r>
      <w:r>
        <w:rPr>
          <w:b/>
          <w:bCs/>
        </w:rPr>
        <w:t>287</w:t>
      </w:r>
      <w:r>
        <w:t>, 1770–1774.</w:t>
      </w:r>
    </w:p>
    <w:p w14:paraId="1E38BEF4" w14:textId="77777777" w:rsidR="00B039AA" w:rsidRDefault="00B039AA" w:rsidP="00B039AA">
      <w:pPr>
        <w:pStyle w:val="Bibliography"/>
      </w:pPr>
      <w:r>
        <w:t xml:space="preserve">Saner P, Lim R, Burla B, Ong RC, Scherer-Lorenzen M, Hector A (2009) Reduced soil respiration in gaps in logged lowland dipterocarp forests. </w:t>
      </w:r>
      <w:r>
        <w:rPr>
          <w:i/>
          <w:iCs/>
        </w:rPr>
        <w:t>Forest Ecology and Management</w:t>
      </w:r>
      <w:r>
        <w:t xml:space="preserve">, </w:t>
      </w:r>
      <w:r>
        <w:rPr>
          <w:b/>
          <w:bCs/>
        </w:rPr>
        <w:t>258</w:t>
      </w:r>
      <w:r>
        <w:t>, 2007–2012.</w:t>
      </w:r>
    </w:p>
    <w:p w14:paraId="020260D3" w14:textId="77777777" w:rsidR="00B039AA" w:rsidRDefault="00B039AA" w:rsidP="00B039AA">
      <w:pPr>
        <w:pStyle w:val="Bibliography"/>
      </w:pPr>
      <w:r>
        <w:t xml:space="preserve">Scheffers BR, Brunner RM, Ramirez SD, Shoo LP, Diesmos A, Williams SE (2013a) Thermal Buffering of Microhabitats is a Critical Factor Mediating Warming Vulnerability of Frogs in the Philippine Biodiversity Hotspot. </w:t>
      </w:r>
      <w:r>
        <w:rPr>
          <w:i/>
          <w:iCs/>
        </w:rPr>
        <w:t>Biotropica</w:t>
      </w:r>
      <w:r>
        <w:t xml:space="preserve">, </w:t>
      </w:r>
      <w:r>
        <w:rPr>
          <w:b/>
          <w:bCs/>
        </w:rPr>
        <w:t>45</w:t>
      </w:r>
      <w:r>
        <w:t>, 628–635.</w:t>
      </w:r>
    </w:p>
    <w:p w14:paraId="30492B63" w14:textId="77777777" w:rsidR="00B039AA" w:rsidRDefault="00B039AA" w:rsidP="00B039AA">
      <w:pPr>
        <w:pStyle w:val="Bibliography"/>
      </w:pPr>
      <w:r>
        <w:t xml:space="preserve">Scheffers BR, Phillips BL, Laurance WF, Sodhi NS, Diesmos A, Williams SE (2013b) Increasing arboreality with altitude: a novel biogeographic dimension. </w:t>
      </w:r>
      <w:r>
        <w:rPr>
          <w:i/>
          <w:iCs/>
        </w:rPr>
        <w:t>Proceedings of the Royal Society B: Biological Sciences</w:t>
      </w:r>
      <w:r>
        <w:t xml:space="preserve">, </w:t>
      </w:r>
      <w:r>
        <w:rPr>
          <w:b/>
          <w:bCs/>
        </w:rPr>
        <w:t>280</w:t>
      </w:r>
      <w:r>
        <w:t>, 20131581–20131581.</w:t>
      </w:r>
    </w:p>
    <w:p w14:paraId="0212394E" w14:textId="77777777" w:rsidR="00B039AA" w:rsidRDefault="00B039AA" w:rsidP="00B039AA">
      <w:pPr>
        <w:pStyle w:val="Bibliography"/>
      </w:pPr>
      <w:r>
        <w:t xml:space="preserve">Scheffers BR, Edwards DP, Diesmos A, Williams SE, Evans TA (2014a) Microhabitats reduce animal’s exposure to climate extremes. </w:t>
      </w:r>
      <w:r>
        <w:rPr>
          <w:i/>
          <w:iCs/>
        </w:rPr>
        <w:t>Global Change Biology</w:t>
      </w:r>
      <w:r>
        <w:t xml:space="preserve">, </w:t>
      </w:r>
      <w:r>
        <w:rPr>
          <w:b/>
          <w:bCs/>
        </w:rPr>
        <w:t>20</w:t>
      </w:r>
      <w:r>
        <w:t>, 495–503.</w:t>
      </w:r>
    </w:p>
    <w:p w14:paraId="102D22A1" w14:textId="77777777" w:rsidR="00B039AA" w:rsidRDefault="00B039AA" w:rsidP="00B039AA">
      <w:pPr>
        <w:pStyle w:val="Bibliography"/>
      </w:pPr>
      <w:r>
        <w:t xml:space="preserve">Scheffers BR, Evans TA, Williams SE, Edwards DP (2014b) Microhabitats in the tropics buffer temperature in a globally coherent manner. </w:t>
      </w:r>
      <w:r>
        <w:rPr>
          <w:i/>
          <w:iCs/>
        </w:rPr>
        <w:t>Biology Letters</w:t>
      </w:r>
      <w:r>
        <w:t xml:space="preserve">, </w:t>
      </w:r>
      <w:r>
        <w:rPr>
          <w:b/>
          <w:bCs/>
        </w:rPr>
        <w:t>10</w:t>
      </w:r>
      <w:r>
        <w:t>, 20140819.</w:t>
      </w:r>
    </w:p>
    <w:p w14:paraId="2E96444C" w14:textId="77777777" w:rsidR="00B039AA" w:rsidRDefault="00B039AA" w:rsidP="00B039AA">
      <w:pPr>
        <w:pStyle w:val="Bibliography"/>
      </w:pPr>
      <w:r>
        <w:t xml:space="preserve">Scheffers BR, Edwards DP, Macdonald SL et al. (2016) Extreme thermal heterogeneity in structurally complex tropical rain forests. </w:t>
      </w:r>
      <w:r>
        <w:rPr>
          <w:i/>
          <w:iCs/>
        </w:rPr>
        <w:t>Biotropica</w:t>
      </w:r>
      <w:r>
        <w:t>, n/a-n/a.</w:t>
      </w:r>
    </w:p>
    <w:p w14:paraId="55C6DEDD" w14:textId="77777777" w:rsidR="00B039AA" w:rsidRDefault="00B039AA" w:rsidP="00B039AA">
      <w:pPr>
        <w:pStyle w:val="Bibliography"/>
      </w:pPr>
      <w:r>
        <w:t xml:space="preserve">Scriven SA, Hodgson JA, McClean CJ, Hill JK (2015) Protected areas in Borneo may fail to conserve tropical forest biodiversity under climate change. </w:t>
      </w:r>
      <w:r>
        <w:rPr>
          <w:i/>
          <w:iCs/>
        </w:rPr>
        <w:t>Biological Conservation</w:t>
      </w:r>
      <w:r>
        <w:t xml:space="preserve">, </w:t>
      </w:r>
      <w:r>
        <w:rPr>
          <w:b/>
          <w:bCs/>
        </w:rPr>
        <w:t>184</w:t>
      </w:r>
      <w:r>
        <w:t>, 414–423.</w:t>
      </w:r>
    </w:p>
    <w:p w14:paraId="4960BA86" w14:textId="77777777" w:rsidR="00B039AA" w:rsidRDefault="00B039AA" w:rsidP="00B039AA">
      <w:pPr>
        <w:pStyle w:val="Bibliography"/>
      </w:pPr>
      <w:r>
        <w:t xml:space="preserve">Sears MW, Raskin E, Angilletta MJ (2011) The world is not flat: defining relevant thermal landscapes in the context of climate change. </w:t>
      </w:r>
      <w:r>
        <w:rPr>
          <w:i/>
          <w:iCs/>
        </w:rPr>
        <w:t>Integrative and Comparative Biology</w:t>
      </w:r>
      <w:r>
        <w:t xml:space="preserve">, </w:t>
      </w:r>
      <w:r>
        <w:rPr>
          <w:b/>
          <w:bCs/>
        </w:rPr>
        <w:t>51</w:t>
      </w:r>
      <w:r>
        <w:t>, 666–675.</w:t>
      </w:r>
    </w:p>
    <w:p w14:paraId="1EE07249" w14:textId="77777777" w:rsidR="00B039AA" w:rsidRDefault="00B039AA" w:rsidP="00B039AA">
      <w:pPr>
        <w:pStyle w:val="Bibliography"/>
      </w:pPr>
      <w:r>
        <w:t xml:space="preserve">Sears MW, Angilletta MJ, Schuler MS et al. (2016) Configuration of the thermal landscape determines thermoregulatory performance of ectotherms. </w:t>
      </w:r>
      <w:r>
        <w:rPr>
          <w:i/>
          <w:iCs/>
        </w:rPr>
        <w:t>Proceedings of the National Academy of Sciences</w:t>
      </w:r>
      <w:r>
        <w:t xml:space="preserve">, </w:t>
      </w:r>
      <w:r>
        <w:rPr>
          <w:b/>
          <w:bCs/>
        </w:rPr>
        <w:t>113</w:t>
      </w:r>
      <w:r>
        <w:t>, 10595–10600.</w:t>
      </w:r>
    </w:p>
    <w:p w14:paraId="238D1890" w14:textId="77777777" w:rsidR="00B039AA" w:rsidRDefault="00B039AA" w:rsidP="00B039AA">
      <w:pPr>
        <w:pStyle w:val="Bibliography"/>
      </w:pPr>
      <w:r>
        <w:t>Senior RA, Hill JK, González del Pliego P, Goode LK, Edwards DP (in review) A pan-tropical analysis of the impacts of forest degradation and conversion on local temperature.</w:t>
      </w:r>
    </w:p>
    <w:p w14:paraId="76F40F12" w14:textId="77777777" w:rsidR="00B039AA" w:rsidRDefault="00B039AA" w:rsidP="00B039AA">
      <w:pPr>
        <w:pStyle w:val="Bibliography"/>
      </w:pPr>
      <w:r>
        <w:t xml:space="preserve">Shi H, Wen Z, Paull D, Guo M (2016) A framework for quantifying the thermal buffering effect of microhabitats. </w:t>
      </w:r>
      <w:r>
        <w:rPr>
          <w:i/>
          <w:iCs/>
        </w:rPr>
        <w:t>Biological Conservation</w:t>
      </w:r>
      <w:r>
        <w:t xml:space="preserve">, </w:t>
      </w:r>
      <w:r>
        <w:rPr>
          <w:b/>
          <w:bCs/>
        </w:rPr>
        <w:t>204</w:t>
      </w:r>
      <w:r>
        <w:t xml:space="preserve">, </w:t>
      </w:r>
      <w:r>
        <w:rPr>
          <w:b/>
          <w:bCs/>
        </w:rPr>
        <w:t>Part B</w:t>
      </w:r>
      <w:r>
        <w:t>, 175–180.</w:t>
      </w:r>
    </w:p>
    <w:p w14:paraId="0BF31FAD" w14:textId="77777777" w:rsidR="00B039AA" w:rsidRDefault="00B039AA" w:rsidP="00B039AA">
      <w:pPr>
        <w:pStyle w:val="Bibliography"/>
      </w:pPr>
      <w:r>
        <w:t xml:space="preserve">Shoo LP, Storlie C, Williams YM, Williams SE (2010) Potential for mountaintop boulder fields to buffer species against extreme heat stress under climate change. </w:t>
      </w:r>
      <w:r>
        <w:rPr>
          <w:i/>
          <w:iCs/>
        </w:rPr>
        <w:t>International Journal of Biometeorology</w:t>
      </w:r>
      <w:r>
        <w:t xml:space="preserve">, </w:t>
      </w:r>
      <w:r>
        <w:rPr>
          <w:b/>
          <w:bCs/>
        </w:rPr>
        <w:t>54</w:t>
      </w:r>
      <w:r>
        <w:t>, 475–478.</w:t>
      </w:r>
    </w:p>
    <w:p w14:paraId="0912E653" w14:textId="77777777" w:rsidR="00B039AA" w:rsidRDefault="00B039AA" w:rsidP="00B039AA">
      <w:pPr>
        <w:pStyle w:val="Bibliography"/>
      </w:pPr>
      <w:r>
        <w:t xml:space="preserve">Sirami C, Caplat P, Popy S et al. (2016) Impacts of global change on species distributions: obstacles and solutions to integrate climate and land use. </w:t>
      </w:r>
      <w:r>
        <w:rPr>
          <w:i/>
          <w:iCs/>
        </w:rPr>
        <w:t>Global Ecology and Biogeography</w:t>
      </w:r>
      <w:r>
        <w:t>, n/a-n/a.</w:t>
      </w:r>
    </w:p>
    <w:p w14:paraId="351AB3A7" w14:textId="77777777" w:rsidR="00B039AA" w:rsidRDefault="00B039AA" w:rsidP="00B039AA">
      <w:pPr>
        <w:pStyle w:val="Bibliography"/>
      </w:pPr>
      <w:r>
        <w:t xml:space="preserve">Suggitt AJ, Gillingham PK, Hill JK, Huntley B, Kunin WE, Roy DB, Thomas CD (2011) Habitat microclimates drive fine-scale variation in extreme temperatures. </w:t>
      </w:r>
      <w:r>
        <w:rPr>
          <w:i/>
          <w:iCs/>
        </w:rPr>
        <w:t>Oikos</w:t>
      </w:r>
      <w:r>
        <w:t xml:space="preserve">, </w:t>
      </w:r>
      <w:r>
        <w:rPr>
          <w:b/>
          <w:bCs/>
        </w:rPr>
        <w:t>120</w:t>
      </w:r>
      <w:r>
        <w:t>, 1–8.</w:t>
      </w:r>
    </w:p>
    <w:p w14:paraId="5C6ADBAB" w14:textId="77777777" w:rsidR="00B039AA" w:rsidRDefault="00B039AA" w:rsidP="00B039AA">
      <w:pPr>
        <w:pStyle w:val="Bibliography"/>
      </w:pPr>
      <w:r>
        <w:t xml:space="preserve">Tewksbury JJ, Huey RB, Deutsch CA (2008) Putting the heat on tropical animals. </w:t>
      </w:r>
      <w:r>
        <w:rPr>
          <w:i/>
          <w:iCs/>
        </w:rPr>
        <w:t>Science</w:t>
      </w:r>
      <w:r>
        <w:t xml:space="preserve">, </w:t>
      </w:r>
      <w:r>
        <w:rPr>
          <w:b/>
          <w:bCs/>
        </w:rPr>
        <w:t>320</w:t>
      </w:r>
      <w:r>
        <w:t>, 1296–1297.</w:t>
      </w:r>
    </w:p>
    <w:p w14:paraId="0A7A0C56" w14:textId="77777777" w:rsidR="00B039AA" w:rsidRDefault="00B039AA" w:rsidP="00B039AA">
      <w:pPr>
        <w:pStyle w:val="Bibliography"/>
      </w:pPr>
      <w:r>
        <w:t xml:space="preserve">Van Houtan KS, Pimm SL, Halley JM, Bierregaard RO, Lovejoy TE (2007) Dispersal of Amazonian birds in continuous and fragmented forest. </w:t>
      </w:r>
      <w:r>
        <w:rPr>
          <w:i/>
          <w:iCs/>
        </w:rPr>
        <w:t>Ecology Letters</w:t>
      </w:r>
      <w:r>
        <w:t xml:space="preserve">, </w:t>
      </w:r>
      <w:r>
        <w:rPr>
          <w:b/>
          <w:bCs/>
        </w:rPr>
        <w:t>10</w:t>
      </w:r>
      <w:r>
        <w:t>, 219–229.</w:t>
      </w:r>
    </w:p>
    <w:p w14:paraId="0737F139" w14:textId="77777777" w:rsidR="00B039AA" w:rsidRDefault="00B039AA" w:rsidP="00B039AA">
      <w:pPr>
        <w:pStyle w:val="Bibliography"/>
      </w:pPr>
      <w:r>
        <w:t xml:space="preserve">Warton DI, Hui FKC (2011) The arcsine is asinine: the analysis of proportions in ecology. </w:t>
      </w:r>
      <w:r>
        <w:rPr>
          <w:i/>
          <w:iCs/>
        </w:rPr>
        <w:t>Ecology</w:t>
      </w:r>
      <w:r>
        <w:t xml:space="preserve">, </w:t>
      </w:r>
      <w:r>
        <w:rPr>
          <w:b/>
          <w:bCs/>
        </w:rPr>
        <w:t>92</w:t>
      </w:r>
      <w:r>
        <w:t>, 3–10.</w:t>
      </w:r>
    </w:p>
    <w:p w14:paraId="082DD11B" w14:textId="77777777" w:rsidR="00B039AA" w:rsidRDefault="00B039AA" w:rsidP="00B039AA">
      <w:pPr>
        <w:pStyle w:val="Bibliography"/>
      </w:pPr>
      <w:r>
        <w:t xml:space="preserve">Yeong KL, Reynolds G, Hill JK (2016) Leaf litter decomposition rates in degraded and fragmented tropical rain forests of Borneo. </w:t>
      </w:r>
      <w:r>
        <w:rPr>
          <w:i/>
          <w:iCs/>
        </w:rPr>
        <w:t>Biotropica</w:t>
      </w:r>
      <w:r>
        <w:t>, n/a-n/a.</w:t>
      </w:r>
    </w:p>
    <w:p w14:paraId="60BBB187" w14:textId="77777777" w:rsidR="00B039AA" w:rsidRDefault="00B039AA" w:rsidP="00B039AA">
      <w:pPr>
        <w:pStyle w:val="Bibliography"/>
      </w:pPr>
      <w:r>
        <w:t xml:space="preserve">Zuur A, Ieno EN, Walker N, Saveliev AA, Smith GM (2009) </w:t>
      </w:r>
      <w:r>
        <w:rPr>
          <w:i/>
          <w:iCs/>
        </w:rPr>
        <w:t>Mixed Effects Models and Extensions in Ecology with R</w:t>
      </w:r>
      <w:r>
        <w:t>. Springer Science &amp; Business Media, 579 pp.</w:t>
      </w:r>
    </w:p>
    <w:p w14:paraId="21C47E6A" w14:textId="7618AB89" w:rsidR="00013A9C" w:rsidRPr="00CF7ED3" w:rsidRDefault="00B039AA" w:rsidP="00CF7ED3">
      <w:pPr>
        <w:rPr>
          <w:b/>
          <w:bCs/>
          <w:smallCaps/>
        </w:rPr>
      </w:pPr>
      <w:r>
        <w:fldChar w:fldCharType="end"/>
      </w:r>
      <w:r w:rsidR="00013A9C" w:rsidRPr="00CF7ED3">
        <w:br w:type="page"/>
      </w:r>
    </w:p>
    <w:p w14:paraId="4806F1B7" w14:textId="77777777" w:rsidR="0031545A" w:rsidRDefault="0031545A" w:rsidP="0031545A">
      <w:pPr>
        <w:pStyle w:val="Heading1"/>
      </w:pPr>
      <w:r>
        <w:t>Supporting information</w:t>
      </w:r>
    </w:p>
    <w:p w14:paraId="758003FF" w14:textId="762718F4" w:rsidR="0031545A" w:rsidRDefault="0031545A" w:rsidP="0031545A">
      <w:r>
        <w:rPr>
          <w:b/>
        </w:rPr>
        <w:t>Text S</w:t>
      </w:r>
      <w:r w:rsidRPr="00CF7ED3">
        <w:rPr>
          <w:b/>
        </w:rPr>
        <w:t>1.</w:t>
      </w:r>
      <w:r w:rsidRPr="00CF7ED3">
        <w:t xml:space="preserve"> </w:t>
      </w:r>
      <w:r w:rsidR="005E2CCA">
        <w:t>Sampling methods for forest structure.</w:t>
      </w:r>
      <w:r w:rsidRPr="00CF7ED3">
        <w:t xml:space="preserve"> </w:t>
      </w:r>
    </w:p>
    <w:p w14:paraId="0213208D" w14:textId="38DC23D8" w:rsidR="0031545A" w:rsidRPr="00CF7ED3" w:rsidRDefault="0031545A" w:rsidP="0031545A">
      <w:r>
        <w:rPr>
          <w:b/>
        </w:rPr>
        <w:t>Text S2</w:t>
      </w:r>
      <w:r w:rsidRPr="00CF7ED3">
        <w:rPr>
          <w:b/>
        </w:rPr>
        <w:t>.</w:t>
      </w:r>
      <w:r w:rsidRPr="00CF7ED3">
        <w:t xml:space="preserve"> </w:t>
      </w:r>
      <w:r w:rsidR="005E2CCA">
        <w:t xml:space="preserve">Sampling methods for microhabitat </w:t>
      </w:r>
      <w:r w:rsidR="003365A2">
        <w:t>volume</w:t>
      </w:r>
      <w:r w:rsidR="005E2CCA">
        <w:t>.</w:t>
      </w:r>
      <w:r w:rsidRPr="00CF7ED3">
        <w:t xml:space="preserve"> </w:t>
      </w:r>
    </w:p>
    <w:p w14:paraId="44747C49" w14:textId="19D53E50" w:rsidR="0031545A" w:rsidRPr="00CF7ED3" w:rsidRDefault="0031545A" w:rsidP="0031545A">
      <w:r>
        <w:rPr>
          <w:b/>
        </w:rPr>
        <w:t>Text S3</w:t>
      </w:r>
      <w:r w:rsidRPr="00CF7ED3">
        <w:rPr>
          <w:b/>
        </w:rPr>
        <w:t>.</w:t>
      </w:r>
      <w:r w:rsidRPr="00CF7ED3">
        <w:t xml:space="preserve"> </w:t>
      </w:r>
      <w:r w:rsidR="005E2CCA">
        <w:t>Sampling methods and results for analyses of vapour pressure deficit.</w:t>
      </w:r>
    </w:p>
    <w:p w14:paraId="14D53726" w14:textId="06471144" w:rsidR="0031545A" w:rsidRPr="00CF7ED3" w:rsidRDefault="0031545A" w:rsidP="0031545A">
      <w:r w:rsidRPr="00CF7ED3">
        <w:rPr>
          <w:b/>
        </w:rPr>
        <w:t xml:space="preserve">Figure </w:t>
      </w:r>
      <w:r>
        <w:rPr>
          <w:b/>
        </w:rPr>
        <w:t>S</w:t>
      </w:r>
      <w:r w:rsidRPr="00CF7ED3">
        <w:rPr>
          <w:b/>
        </w:rPr>
        <w:t>1.</w:t>
      </w:r>
      <w:r w:rsidRPr="00CF7ED3">
        <w:t xml:space="preserve"> </w:t>
      </w:r>
      <w:r w:rsidR="005E2CCA">
        <w:t xml:space="preserve">Comparison between primary and logged forest for the seven forest structure measures. </w:t>
      </w:r>
      <w:r w:rsidRPr="00CF7ED3">
        <w:t xml:space="preserve"> </w:t>
      </w:r>
    </w:p>
    <w:p w14:paraId="33A03353" w14:textId="4FC0B5D2" w:rsidR="0031545A" w:rsidRDefault="0031545A" w:rsidP="0031545A">
      <w:r w:rsidRPr="00CF7ED3">
        <w:rPr>
          <w:b/>
        </w:rPr>
        <w:t>Figure</w:t>
      </w:r>
      <w:r>
        <w:rPr>
          <w:b/>
        </w:rPr>
        <w:t xml:space="preserve"> S</w:t>
      </w:r>
      <w:r w:rsidR="00EB5272">
        <w:rPr>
          <w:b/>
        </w:rPr>
        <w:t>2</w:t>
      </w:r>
      <w:r w:rsidRPr="00CF7ED3">
        <w:rPr>
          <w:b/>
        </w:rPr>
        <w:t>.</w:t>
      </w:r>
      <w:r w:rsidRPr="00CF7ED3">
        <w:t xml:space="preserve"> </w:t>
      </w:r>
      <w:r w:rsidR="005E2CCA">
        <w:t>Comparison between primary and logged forest for vapour pressure deficit.</w:t>
      </w:r>
      <w:r>
        <w:br w:type="page"/>
      </w:r>
    </w:p>
    <w:p w14:paraId="5B43195C" w14:textId="67C60AFB" w:rsidR="00760FF1" w:rsidRPr="00CF7ED3" w:rsidRDefault="00550302" w:rsidP="00CF7ED3">
      <w:pPr>
        <w:pStyle w:val="Heading1"/>
      </w:pPr>
      <w:r w:rsidRPr="00CF7ED3">
        <w:t>Figures</w:t>
      </w:r>
    </w:p>
    <w:p w14:paraId="295B8CA4" w14:textId="7F85767F" w:rsidR="00B026B3" w:rsidRDefault="00BB1F67" w:rsidP="00CF7ED3">
      <w:r w:rsidRPr="00CF7ED3">
        <w:rPr>
          <w:b/>
        </w:rPr>
        <w:t>Figure</w:t>
      </w:r>
      <w:r w:rsidR="00B026B3" w:rsidRPr="00CF7ED3">
        <w:rPr>
          <w:b/>
        </w:rPr>
        <w:t xml:space="preserve"> 1.</w:t>
      </w:r>
      <w:r w:rsidR="00B026B3" w:rsidRPr="00CF7ED3">
        <w:t xml:space="preserve"> </w:t>
      </w:r>
      <w:r w:rsidRPr="00CF7ED3">
        <w:t>Study</w:t>
      </w:r>
      <w:r w:rsidR="00B23391">
        <w:t xml:space="preserve"> location in Malaysian Borneo (a</w:t>
      </w:r>
      <w:r w:rsidRPr="00CF7ED3">
        <w:t xml:space="preserve">), and </w:t>
      </w:r>
      <w:r w:rsidR="008B5313" w:rsidRPr="00CF7ED3">
        <w:t>distribution of sites</w:t>
      </w:r>
      <w:r w:rsidR="00B23391">
        <w:t xml:space="preserve"> (b</w:t>
      </w:r>
      <w:r w:rsidRPr="00CF7ED3">
        <w:t>): six sites in primary forest (blue) and six sites in logged forest (orange). E</w:t>
      </w:r>
      <w:r w:rsidR="008B5313" w:rsidRPr="00CF7ED3">
        <w:t>ach site comprised</w:t>
      </w:r>
      <w:r w:rsidRPr="00CF7ED3">
        <w:t xml:space="preserve"> five plots along an existing transect, with pl</w:t>
      </w:r>
      <w:r w:rsidR="00B23391">
        <w:t>ot centres separated by 125 m (c</w:t>
      </w:r>
      <w:r w:rsidRPr="00CF7ED3">
        <w:t xml:space="preserve">). </w:t>
      </w:r>
      <w:r w:rsidR="00EB5272">
        <w:t>Tree and sapling basal area was calculated from the distance to and circumference of the nearest two trees and saplings in each of four quadrants centred on the plot centre (d</w:t>
      </w:r>
      <w:r w:rsidR="007A13A2">
        <w:t xml:space="preserve">; see </w:t>
      </w:r>
      <w:r w:rsidR="007A13A2" w:rsidRPr="00CF7ED3">
        <w:t>Supplementary Text S1</w:t>
      </w:r>
      <w:r w:rsidR="007A13A2">
        <w:t xml:space="preserve"> for more details</w:t>
      </w:r>
      <w:r w:rsidR="00EB5272">
        <w:t xml:space="preserve">). </w:t>
      </w:r>
      <w:r w:rsidR="00D5436F">
        <w:t>Curved arrows indicate the direction of magnification, from panels a-d.</w:t>
      </w:r>
    </w:p>
    <w:p w14:paraId="4B2F2A77" w14:textId="4A565ACA" w:rsidR="009B15BB" w:rsidRPr="009B15BB" w:rsidRDefault="009B15BB" w:rsidP="00CF7ED3">
      <w:r>
        <w:rPr>
          <w:b/>
        </w:rPr>
        <w:t>Figure 2.</w:t>
      </w:r>
      <w:r>
        <w:t xml:space="preserve"> </w:t>
      </w:r>
      <w:r w:rsidR="007A195F">
        <w:t>Single t</w:t>
      </w:r>
      <w:r>
        <w:t>hermal image</w:t>
      </w:r>
      <w:r w:rsidR="007A195F">
        <w:t xml:space="preserve"> </w:t>
      </w:r>
      <w:r>
        <w:t>with temperature as a continuous variable (a) and categorised into quantiles (b). Quantile boundaries are based on percentile values calculated across all temperature observations, from all photos taken during each two-hour time period (05:00-07:00 hrs, 07:00-09:00 hrs, 09:00-11:00 hrs, 11:00-13:00 hrs and 13:00-15:00 hrs). For our analyses we focused only on ‘cool pixels’, defined as those with a value greater than the 5</w:t>
      </w:r>
      <w:r w:rsidRPr="009B15BB">
        <w:rPr>
          <w:vertAlign w:val="superscript"/>
        </w:rPr>
        <w:t>th</w:t>
      </w:r>
      <w:r>
        <w:t xml:space="preserve"> percentile and less than or equal to the 25</w:t>
      </w:r>
      <w:r w:rsidRPr="009B15BB">
        <w:rPr>
          <w:vertAlign w:val="superscript"/>
        </w:rPr>
        <w:t>th</w:t>
      </w:r>
      <w:r>
        <w:t xml:space="preserve"> percentile (quantile 5% - 25% in panel b). </w:t>
      </w:r>
    </w:p>
    <w:p w14:paraId="4352B974" w14:textId="5C9D3298" w:rsidR="00B026B3" w:rsidRPr="00CF7ED3" w:rsidRDefault="00BB1F67" w:rsidP="0039142D">
      <w:pPr>
        <w:rPr>
          <w:b/>
        </w:rPr>
      </w:pPr>
      <w:r w:rsidRPr="00CF7ED3">
        <w:rPr>
          <w:b/>
        </w:rPr>
        <w:t>Figure</w:t>
      </w:r>
      <w:r w:rsidR="009B15BB">
        <w:rPr>
          <w:b/>
        </w:rPr>
        <w:t xml:space="preserve"> 3</w:t>
      </w:r>
      <w:r w:rsidR="00B026B3" w:rsidRPr="00CF7ED3">
        <w:rPr>
          <w:b/>
        </w:rPr>
        <w:t xml:space="preserve">. </w:t>
      </w:r>
      <w:r w:rsidR="00CC14D7" w:rsidRPr="00CF7ED3">
        <w:t xml:space="preserve">Comparison </w:t>
      </w:r>
      <w:r w:rsidR="00E85711" w:rsidRPr="00CF7ED3">
        <w:t xml:space="preserve">of temperature in primary </w:t>
      </w:r>
      <w:r w:rsidR="00EE0C18" w:rsidRPr="00CF7ED3">
        <w:t xml:space="preserve">(blue; PF) </w:t>
      </w:r>
      <w:r w:rsidR="00E85711" w:rsidRPr="00CF7ED3">
        <w:t xml:space="preserve">and logged </w:t>
      </w:r>
      <w:r w:rsidR="00EE0C18" w:rsidRPr="00CF7ED3">
        <w:t xml:space="preserve">(orange; LF) </w:t>
      </w:r>
      <w:r w:rsidR="00CC14D7" w:rsidRPr="00CF7ED3">
        <w:t>forest</w:t>
      </w:r>
      <w:r w:rsidR="00E85711" w:rsidRPr="00CF7ED3">
        <w:t xml:space="preserve">. </w:t>
      </w:r>
      <w:r w:rsidR="00283C5B">
        <w:t xml:space="preserve">Macroclimate temperature was measured using a hygrometer (a) for comparison with surface microclimates (c), and with a suspended datalogger (b) for comparison with microclimates </w:t>
      </w:r>
      <w:r w:rsidR="0039142D">
        <w:t>inside</w:t>
      </w:r>
      <w:r w:rsidR="00EB5272">
        <w:t xml:space="preserve"> </w:t>
      </w:r>
      <w:r w:rsidR="00082CA5">
        <w:t>leaf litter (b), tree holes (c) and deadwood (d)</w:t>
      </w:r>
      <w:r w:rsidR="0039142D">
        <w:t>.</w:t>
      </w:r>
      <w:r w:rsidR="00E85711" w:rsidRPr="00CF7ED3">
        <w:t xml:space="preserve"> </w:t>
      </w:r>
      <w:r w:rsidR="00192EBD">
        <w:t>Th</w:t>
      </w:r>
      <w:r w:rsidR="0039142D">
        <w:t>e grey dashed line in panels c-f</w:t>
      </w:r>
      <w:r w:rsidR="00192EBD">
        <w:t xml:space="preserve"> indicates zero temperature buffering</w:t>
      </w:r>
      <w:r w:rsidR="0039142D">
        <w:t>, where the microclimate temperature is equal to the macroclimate temperature</w:t>
      </w:r>
      <w:r w:rsidR="00192EBD">
        <w:t xml:space="preserve">. </w:t>
      </w:r>
    </w:p>
    <w:p w14:paraId="48CF8F24" w14:textId="4CF5BB4C" w:rsidR="00B026B3" w:rsidRPr="00CF7ED3" w:rsidRDefault="00BB1F67" w:rsidP="00CF7ED3">
      <w:r w:rsidRPr="00CF7ED3">
        <w:rPr>
          <w:b/>
        </w:rPr>
        <w:t>Figure</w:t>
      </w:r>
      <w:r w:rsidR="0039142D">
        <w:rPr>
          <w:b/>
        </w:rPr>
        <w:t xml:space="preserve"> 4</w:t>
      </w:r>
      <w:r w:rsidR="00B026B3" w:rsidRPr="00CF7ED3">
        <w:rPr>
          <w:b/>
        </w:rPr>
        <w:t xml:space="preserve">. </w:t>
      </w:r>
      <w:r w:rsidR="00CC14D7" w:rsidRPr="00CF7ED3">
        <w:t xml:space="preserve">Comparison between primary </w:t>
      </w:r>
      <w:r w:rsidR="00EE0C18" w:rsidRPr="00CF7ED3">
        <w:t xml:space="preserve">(blue) </w:t>
      </w:r>
      <w:r w:rsidR="00CC14D7" w:rsidRPr="00CF7ED3">
        <w:t xml:space="preserve">and logged </w:t>
      </w:r>
      <w:r w:rsidR="00EE0C18" w:rsidRPr="00CF7ED3">
        <w:t xml:space="preserve">(orange) </w:t>
      </w:r>
      <w:r w:rsidR="00CC14D7" w:rsidRPr="00CF7ED3">
        <w:t xml:space="preserve">forest </w:t>
      </w:r>
      <w:r w:rsidR="000C4DD1" w:rsidRPr="00CF7ED3">
        <w:t xml:space="preserve">in the </w:t>
      </w:r>
      <w:r w:rsidR="0039142D">
        <w:t xml:space="preserve">availability </w:t>
      </w:r>
      <w:r w:rsidR="000C4DD1" w:rsidRPr="00CF7ED3">
        <w:t xml:space="preserve">of </w:t>
      </w:r>
      <w:r w:rsidR="00AC42EC">
        <w:t>microclimates</w:t>
      </w:r>
      <w:r w:rsidR="000C4DD1" w:rsidRPr="00CF7ED3">
        <w:t xml:space="preserve">. This includes the </w:t>
      </w:r>
      <w:r w:rsidR="00AC42EC">
        <w:t xml:space="preserve">average </w:t>
      </w:r>
      <w:r w:rsidR="000C4DD1" w:rsidRPr="00CF7ED3">
        <w:t xml:space="preserve">area of </w:t>
      </w:r>
      <w:r w:rsidR="009B15BB">
        <w:t xml:space="preserve">surface </w:t>
      </w:r>
      <w:r w:rsidR="00AC42EC">
        <w:t>microclimates, per m</w:t>
      </w:r>
      <w:r w:rsidR="00AC42EC">
        <w:rPr>
          <w:vertAlign w:val="superscript"/>
        </w:rPr>
        <w:t>2</w:t>
      </w:r>
      <w:r w:rsidR="00AC42EC">
        <w:t xml:space="preserve"> forest (a</w:t>
      </w:r>
      <w:r w:rsidR="000C4DD1" w:rsidRPr="00CF7ED3">
        <w:t>); the Aggregatio</w:t>
      </w:r>
      <w:r w:rsidR="00AC42EC">
        <w:t>n Index of surface microclimates (b</w:t>
      </w:r>
      <w:r w:rsidR="000C4DD1" w:rsidRPr="00CF7ED3">
        <w:t>);</w:t>
      </w:r>
      <w:r w:rsidR="00B958B1" w:rsidRPr="00CF7ED3">
        <w:t xml:space="preserve"> </w:t>
      </w:r>
      <w:r w:rsidR="000C4DD1" w:rsidRPr="00CF7ED3">
        <w:t xml:space="preserve">and the </w:t>
      </w:r>
      <w:r w:rsidR="0039142D">
        <w:t>average volume, per m</w:t>
      </w:r>
      <w:r w:rsidR="0039142D">
        <w:rPr>
          <w:vertAlign w:val="superscript"/>
        </w:rPr>
        <w:t xml:space="preserve">2 </w:t>
      </w:r>
      <w:r w:rsidR="0039142D">
        <w:t>of forest,</w:t>
      </w:r>
      <w:r w:rsidR="000C4DD1" w:rsidRPr="00CF7ED3">
        <w:t xml:space="preserve"> of </w:t>
      </w:r>
      <w:r w:rsidR="00AC42EC">
        <w:t>leaf litter (c), tree holes (d) and deadwood (e</w:t>
      </w:r>
      <w:r w:rsidR="000C4DD1" w:rsidRPr="00CF7ED3">
        <w:t xml:space="preserve">). </w:t>
      </w:r>
      <w:r w:rsidR="00B026B3" w:rsidRPr="00CF7ED3">
        <w:rPr>
          <w:b/>
        </w:rPr>
        <w:br w:type="page"/>
      </w:r>
    </w:p>
    <w:p w14:paraId="4ED3610A" w14:textId="1C8C83FF" w:rsidR="00BD5BA7" w:rsidRPr="00CF7ED3" w:rsidRDefault="00E87699" w:rsidP="00CF7ED3">
      <w:r w:rsidRPr="00CF7ED3">
        <w:t>Figure</w:t>
      </w:r>
      <w:r w:rsidR="00BD5BA7" w:rsidRPr="00CF7ED3">
        <w:t xml:space="preserve"> 1</w:t>
      </w:r>
      <w:r w:rsidR="00AC0A1F" w:rsidRPr="00CF7ED3">
        <w:t>.</w:t>
      </w:r>
      <w:r w:rsidR="00D5436F">
        <w:rPr>
          <w:noProof/>
          <w:lang w:val="en-US"/>
        </w:rPr>
        <w:drawing>
          <wp:anchor distT="0" distB="0" distL="114300" distR="114300" simplePos="0" relativeHeight="251667456" behindDoc="0" locked="0" layoutInCell="1" allowOverlap="1" wp14:anchorId="3C0917D8" wp14:editId="2F4AF988">
            <wp:simplePos x="0" y="0"/>
            <wp:positionH relativeFrom="column">
              <wp:posOffset>1905</wp:posOffset>
            </wp:positionH>
            <wp:positionV relativeFrom="paragraph">
              <wp:posOffset>346075</wp:posOffset>
            </wp:positionV>
            <wp:extent cx="5759450" cy="3122295"/>
            <wp:effectExtent l="0" t="0" r="0" b="190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1_colour.png"/>
                    <pic:cNvPicPr/>
                  </pic:nvPicPr>
                  <pic:blipFill>
                    <a:blip r:embed="rId7">
                      <a:extLst>
                        <a:ext uri="{28A0092B-C50C-407E-A947-70E740481C1C}">
                          <a14:useLocalDpi xmlns:a14="http://schemas.microsoft.com/office/drawing/2010/main" val="0"/>
                        </a:ext>
                      </a:extLst>
                    </a:blip>
                    <a:stretch>
                      <a:fillRect/>
                    </a:stretch>
                  </pic:blipFill>
                  <pic:spPr>
                    <a:xfrm>
                      <a:off x="0" y="0"/>
                      <a:ext cx="5759450" cy="3122295"/>
                    </a:xfrm>
                    <a:prstGeom prst="rect">
                      <a:avLst/>
                    </a:prstGeom>
                  </pic:spPr>
                </pic:pic>
              </a:graphicData>
            </a:graphic>
            <wp14:sizeRelH relativeFrom="page">
              <wp14:pctWidth>0</wp14:pctWidth>
            </wp14:sizeRelH>
            <wp14:sizeRelV relativeFrom="page">
              <wp14:pctHeight>0</wp14:pctHeight>
            </wp14:sizeRelV>
          </wp:anchor>
        </w:drawing>
      </w:r>
      <w:r w:rsidR="00BD5BA7" w:rsidRPr="00CF7ED3">
        <w:br w:type="page"/>
      </w:r>
    </w:p>
    <w:p w14:paraId="7BA89D3C" w14:textId="514A2765" w:rsidR="00281158" w:rsidRDefault="00281158">
      <w:pPr>
        <w:spacing w:after="160" w:line="259" w:lineRule="auto"/>
      </w:pPr>
      <w:r>
        <w:t>Figure 2</w:t>
      </w:r>
      <w:r w:rsidR="007A195F">
        <w:rPr>
          <w:noProof/>
          <w:lang w:val="en-US"/>
        </w:rPr>
        <w:drawing>
          <wp:anchor distT="0" distB="0" distL="114300" distR="114300" simplePos="0" relativeHeight="251668480" behindDoc="0" locked="0" layoutInCell="1" allowOverlap="1" wp14:anchorId="2D765E99" wp14:editId="7C0230AA">
            <wp:simplePos x="0" y="0"/>
            <wp:positionH relativeFrom="column">
              <wp:posOffset>1905</wp:posOffset>
            </wp:positionH>
            <wp:positionV relativeFrom="paragraph">
              <wp:posOffset>191770</wp:posOffset>
            </wp:positionV>
            <wp:extent cx="5759450" cy="3122295"/>
            <wp:effectExtent l="0" t="0" r="0" b="190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2_colour.png"/>
                    <pic:cNvPicPr/>
                  </pic:nvPicPr>
                  <pic:blipFill>
                    <a:blip r:embed="rId8">
                      <a:extLst>
                        <a:ext uri="{28A0092B-C50C-407E-A947-70E740481C1C}">
                          <a14:useLocalDpi xmlns:a14="http://schemas.microsoft.com/office/drawing/2010/main" val="0"/>
                        </a:ext>
                      </a:extLst>
                    </a:blip>
                    <a:stretch>
                      <a:fillRect/>
                    </a:stretch>
                  </pic:blipFill>
                  <pic:spPr>
                    <a:xfrm>
                      <a:off x="0" y="0"/>
                      <a:ext cx="5759450" cy="3122295"/>
                    </a:xfrm>
                    <a:prstGeom prst="rect">
                      <a:avLst/>
                    </a:prstGeom>
                  </pic:spPr>
                </pic:pic>
              </a:graphicData>
            </a:graphic>
            <wp14:sizeRelH relativeFrom="page">
              <wp14:pctWidth>0</wp14:pctWidth>
            </wp14:sizeRelH>
            <wp14:sizeRelV relativeFrom="page">
              <wp14:pctHeight>0</wp14:pctHeight>
            </wp14:sizeRelV>
          </wp:anchor>
        </w:drawing>
      </w:r>
      <w:r>
        <w:br w:type="page"/>
      </w:r>
    </w:p>
    <w:p w14:paraId="560441F2" w14:textId="733C6E8A" w:rsidR="001664BC" w:rsidRPr="00CF7ED3" w:rsidRDefault="00E87699" w:rsidP="00CF7ED3">
      <w:r w:rsidRPr="00CF7ED3">
        <w:t>Figure</w:t>
      </w:r>
      <w:r w:rsidR="001664BC" w:rsidRPr="00CF7ED3">
        <w:t xml:space="preserve"> </w:t>
      </w:r>
      <w:r w:rsidR="00281158">
        <w:t>3</w:t>
      </w:r>
      <w:r w:rsidR="00AC0A1F" w:rsidRPr="00CF7ED3">
        <w:t>.</w:t>
      </w:r>
      <w:r w:rsidR="007A195F">
        <w:rPr>
          <w:noProof/>
          <w:lang w:val="en-US"/>
        </w:rPr>
        <w:drawing>
          <wp:anchor distT="0" distB="0" distL="114300" distR="114300" simplePos="0" relativeHeight="251669504" behindDoc="0" locked="0" layoutInCell="1" allowOverlap="1" wp14:anchorId="3CDBF049" wp14:editId="331BF2C9">
            <wp:simplePos x="0" y="0"/>
            <wp:positionH relativeFrom="column">
              <wp:posOffset>1905</wp:posOffset>
            </wp:positionH>
            <wp:positionV relativeFrom="paragraph">
              <wp:posOffset>346075</wp:posOffset>
            </wp:positionV>
            <wp:extent cx="5759450" cy="3122295"/>
            <wp:effectExtent l="0" t="0" r="0" b="190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3_colour.png"/>
                    <pic:cNvPicPr/>
                  </pic:nvPicPr>
                  <pic:blipFill>
                    <a:blip r:embed="rId9">
                      <a:extLst>
                        <a:ext uri="{28A0092B-C50C-407E-A947-70E740481C1C}">
                          <a14:useLocalDpi xmlns:a14="http://schemas.microsoft.com/office/drawing/2010/main" val="0"/>
                        </a:ext>
                      </a:extLst>
                    </a:blip>
                    <a:stretch>
                      <a:fillRect/>
                    </a:stretch>
                  </pic:blipFill>
                  <pic:spPr>
                    <a:xfrm>
                      <a:off x="0" y="0"/>
                      <a:ext cx="5759450" cy="3122295"/>
                    </a:xfrm>
                    <a:prstGeom prst="rect">
                      <a:avLst/>
                    </a:prstGeom>
                  </pic:spPr>
                </pic:pic>
              </a:graphicData>
            </a:graphic>
            <wp14:sizeRelH relativeFrom="page">
              <wp14:pctWidth>0</wp14:pctWidth>
            </wp14:sizeRelH>
            <wp14:sizeRelV relativeFrom="page">
              <wp14:pctHeight>0</wp14:pctHeight>
            </wp14:sizeRelV>
          </wp:anchor>
        </w:drawing>
      </w:r>
      <w:r w:rsidR="001664BC" w:rsidRPr="00CF7ED3">
        <w:br w:type="page"/>
      </w:r>
    </w:p>
    <w:p w14:paraId="4803D691" w14:textId="0DDB015E" w:rsidR="00550302" w:rsidRPr="00CF7ED3" w:rsidRDefault="00E87699" w:rsidP="00CF7ED3">
      <w:r w:rsidRPr="00CF7ED3">
        <w:t xml:space="preserve">Figure </w:t>
      </w:r>
      <w:r w:rsidR="007A195F">
        <w:t>4</w:t>
      </w:r>
      <w:r w:rsidR="00AC0A1F" w:rsidRPr="00CF7ED3">
        <w:t>.</w:t>
      </w:r>
      <w:r w:rsidR="007A195F">
        <w:rPr>
          <w:noProof/>
          <w:lang w:val="en-US"/>
        </w:rPr>
        <w:drawing>
          <wp:anchor distT="0" distB="0" distL="114300" distR="114300" simplePos="0" relativeHeight="251670528" behindDoc="0" locked="0" layoutInCell="1" allowOverlap="1" wp14:anchorId="55ADB622" wp14:editId="6C7D147C">
            <wp:simplePos x="0" y="0"/>
            <wp:positionH relativeFrom="column">
              <wp:posOffset>1905</wp:posOffset>
            </wp:positionH>
            <wp:positionV relativeFrom="paragraph">
              <wp:posOffset>346075</wp:posOffset>
            </wp:positionV>
            <wp:extent cx="5759450" cy="3122295"/>
            <wp:effectExtent l="0" t="0" r="0" b="190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4_colour.png"/>
                    <pic:cNvPicPr/>
                  </pic:nvPicPr>
                  <pic:blipFill>
                    <a:blip r:embed="rId10">
                      <a:extLst>
                        <a:ext uri="{28A0092B-C50C-407E-A947-70E740481C1C}">
                          <a14:useLocalDpi xmlns:a14="http://schemas.microsoft.com/office/drawing/2010/main" val="0"/>
                        </a:ext>
                      </a:extLst>
                    </a:blip>
                    <a:stretch>
                      <a:fillRect/>
                    </a:stretch>
                  </pic:blipFill>
                  <pic:spPr>
                    <a:xfrm>
                      <a:off x="0" y="0"/>
                      <a:ext cx="5759450" cy="3122295"/>
                    </a:xfrm>
                    <a:prstGeom prst="rect">
                      <a:avLst/>
                    </a:prstGeom>
                  </pic:spPr>
                </pic:pic>
              </a:graphicData>
            </a:graphic>
            <wp14:sizeRelH relativeFrom="page">
              <wp14:pctWidth>0</wp14:pctWidth>
            </wp14:sizeRelH>
            <wp14:sizeRelV relativeFrom="page">
              <wp14:pctHeight>0</wp14:pctHeight>
            </wp14:sizeRelV>
          </wp:anchor>
        </w:drawing>
      </w:r>
    </w:p>
    <w:sectPr w:rsidR="00550302" w:rsidRPr="00CF7ED3" w:rsidSect="00CF7ED3">
      <w:pgSz w:w="11906" w:h="16838"/>
      <w:pgMar w:top="1418" w:right="1418" w:bottom="1418" w:left="1418" w:header="709" w:footer="709"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2775B"/>
    <w:multiLevelType w:val="multilevel"/>
    <w:tmpl w:val="5AB674D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167B0F6F"/>
    <w:multiLevelType w:val="hybridMultilevel"/>
    <w:tmpl w:val="0F1CFF4E"/>
    <w:lvl w:ilvl="0" w:tplc="0809000F">
      <w:start w:val="1"/>
      <w:numFmt w:val="decimal"/>
      <w:lvlText w:val="%1."/>
      <w:lvlJc w:val="left"/>
      <w:pPr>
        <w:ind w:left="6480" w:hanging="360"/>
      </w:pPr>
      <w:rPr>
        <w:rFonts w:hint="default"/>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
    <w:nsid w:val="1CCC7A7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DE80C66"/>
    <w:multiLevelType w:val="hybridMultilevel"/>
    <w:tmpl w:val="B4A805E8"/>
    <w:lvl w:ilvl="0" w:tplc="B670754C">
      <w:start w:val="1"/>
      <w:numFmt w:val="decimal"/>
      <w:lvlText w:val="P%1."/>
      <w:lvlJc w:val="left"/>
      <w:pPr>
        <w:ind w:left="3600" w:hanging="360"/>
      </w:pPr>
      <w:rPr>
        <w:rFonts w:hint="default"/>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4">
    <w:nsid w:val="1E926E6C"/>
    <w:multiLevelType w:val="hybridMultilevel"/>
    <w:tmpl w:val="0458FDB0"/>
    <w:lvl w:ilvl="0" w:tplc="DB58495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7355A95"/>
    <w:multiLevelType w:val="hybridMultilevel"/>
    <w:tmpl w:val="A42CB4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9FD6261"/>
    <w:multiLevelType w:val="hybridMultilevel"/>
    <w:tmpl w:val="EB92D574"/>
    <w:lvl w:ilvl="0" w:tplc="B670754C">
      <w:start w:val="1"/>
      <w:numFmt w:val="decimal"/>
      <w:lvlText w:val="P%1."/>
      <w:lvlJc w:val="left"/>
      <w:pPr>
        <w:ind w:left="2520" w:hanging="360"/>
      </w:pPr>
      <w:rPr>
        <w:rFonts w:hint="default"/>
      </w:r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7">
    <w:nsid w:val="3CA8477A"/>
    <w:multiLevelType w:val="hybridMultilevel"/>
    <w:tmpl w:val="BF6E69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F724BE0"/>
    <w:multiLevelType w:val="hybridMultilevel"/>
    <w:tmpl w:val="45C89784"/>
    <w:lvl w:ilvl="0" w:tplc="B670754C">
      <w:start w:val="1"/>
      <w:numFmt w:val="decimal"/>
      <w:lvlText w:val="P%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4198234F"/>
    <w:multiLevelType w:val="hybridMultilevel"/>
    <w:tmpl w:val="93C8E94C"/>
    <w:lvl w:ilvl="0" w:tplc="D22A2AB2">
      <w:start w:val="1"/>
      <w:numFmt w:val="decimal"/>
      <w:lvlText w:val="P%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42E1716B"/>
    <w:multiLevelType w:val="hybridMultilevel"/>
    <w:tmpl w:val="C9DC9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5ED4A77"/>
    <w:multiLevelType w:val="multilevel"/>
    <w:tmpl w:val="04241D2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494F26CB"/>
    <w:multiLevelType w:val="hybridMultilevel"/>
    <w:tmpl w:val="FE84A8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E18377A"/>
    <w:multiLevelType w:val="hybridMultilevel"/>
    <w:tmpl w:val="27A2D4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E281B4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72D1B36"/>
    <w:multiLevelType w:val="hybridMultilevel"/>
    <w:tmpl w:val="143224E0"/>
    <w:lvl w:ilvl="0" w:tplc="9C2CF2B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599C0BAF"/>
    <w:multiLevelType w:val="hybridMultilevel"/>
    <w:tmpl w:val="FA32F564"/>
    <w:lvl w:ilvl="0" w:tplc="D22A2AB2">
      <w:start w:val="1"/>
      <w:numFmt w:val="decimal"/>
      <w:lvlText w:val="P%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59D04D05"/>
    <w:multiLevelType w:val="hybridMultilevel"/>
    <w:tmpl w:val="F9303420"/>
    <w:lvl w:ilvl="0" w:tplc="D22A2AB2">
      <w:start w:val="1"/>
      <w:numFmt w:val="decimal"/>
      <w:lvlText w:val="P%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9F112B7"/>
    <w:multiLevelType w:val="hybridMultilevel"/>
    <w:tmpl w:val="3EB2A2E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3"/>
  </w:num>
  <w:num w:numId="2">
    <w:abstractNumId w:val="9"/>
  </w:num>
  <w:num w:numId="3">
    <w:abstractNumId w:val="16"/>
  </w:num>
  <w:num w:numId="4">
    <w:abstractNumId w:val="17"/>
  </w:num>
  <w:num w:numId="5">
    <w:abstractNumId w:val="7"/>
  </w:num>
  <w:num w:numId="6">
    <w:abstractNumId w:val="6"/>
  </w:num>
  <w:num w:numId="7">
    <w:abstractNumId w:val="3"/>
  </w:num>
  <w:num w:numId="8">
    <w:abstractNumId w:val="1"/>
  </w:num>
  <w:num w:numId="9">
    <w:abstractNumId w:val="12"/>
  </w:num>
  <w:num w:numId="10">
    <w:abstractNumId w:val="8"/>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5"/>
  </w:num>
  <w:num w:numId="26">
    <w:abstractNumId w:val="15"/>
  </w:num>
  <w:num w:numId="27">
    <w:abstractNumId w:val="18"/>
  </w:num>
  <w:num w:numId="28">
    <w:abstractNumId w:val="10"/>
  </w:num>
  <w:num w:numId="29">
    <w:abstractNumId w:val="2"/>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1AB"/>
    <w:rsid w:val="00003015"/>
    <w:rsid w:val="00003368"/>
    <w:rsid w:val="00004C9D"/>
    <w:rsid w:val="00006E71"/>
    <w:rsid w:val="00007561"/>
    <w:rsid w:val="00007BA1"/>
    <w:rsid w:val="000102FC"/>
    <w:rsid w:val="00010A8A"/>
    <w:rsid w:val="000127A6"/>
    <w:rsid w:val="000127FA"/>
    <w:rsid w:val="00012F63"/>
    <w:rsid w:val="00013A9C"/>
    <w:rsid w:val="000156A5"/>
    <w:rsid w:val="000173F2"/>
    <w:rsid w:val="00020607"/>
    <w:rsid w:val="000238C4"/>
    <w:rsid w:val="00023F63"/>
    <w:rsid w:val="000243EC"/>
    <w:rsid w:val="00024FEB"/>
    <w:rsid w:val="00025DFF"/>
    <w:rsid w:val="00026D93"/>
    <w:rsid w:val="00027762"/>
    <w:rsid w:val="00030E19"/>
    <w:rsid w:val="0003294D"/>
    <w:rsid w:val="00032A2D"/>
    <w:rsid w:val="0003572F"/>
    <w:rsid w:val="000358A1"/>
    <w:rsid w:val="000375DA"/>
    <w:rsid w:val="00040FE3"/>
    <w:rsid w:val="000410A2"/>
    <w:rsid w:val="000412CB"/>
    <w:rsid w:val="000425B2"/>
    <w:rsid w:val="000426AB"/>
    <w:rsid w:val="00044530"/>
    <w:rsid w:val="00044AB8"/>
    <w:rsid w:val="00047B00"/>
    <w:rsid w:val="00047BE2"/>
    <w:rsid w:val="0005174D"/>
    <w:rsid w:val="000545CC"/>
    <w:rsid w:val="000554A9"/>
    <w:rsid w:val="00061DD3"/>
    <w:rsid w:val="00065374"/>
    <w:rsid w:val="00065558"/>
    <w:rsid w:val="000702D9"/>
    <w:rsid w:val="00074865"/>
    <w:rsid w:val="0007488B"/>
    <w:rsid w:val="00077528"/>
    <w:rsid w:val="0008125F"/>
    <w:rsid w:val="00082CA5"/>
    <w:rsid w:val="000858EA"/>
    <w:rsid w:val="00087445"/>
    <w:rsid w:val="0009063D"/>
    <w:rsid w:val="00090749"/>
    <w:rsid w:val="00090890"/>
    <w:rsid w:val="00091679"/>
    <w:rsid w:val="00091A9C"/>
    <w:rsid w:val="00092C97"/>
    <w:rsid w:val="000934BA"/>
    <w:rsid w:val="00094DBE"/>
    <w:rsid w:val="00095718"/>
    <w:rsid w:val="00095AEF"/>
    <w:rsid w:val="000977D7"/>
    <w:rsid w:val="000A38C2"/>
    <w:rsid w:val="000A4730"/>
    <w:rsid w:val="000A5577"/>
    <w:rsid w:val="000A5D7F"/>
    <w:rsid w:val="000A672C"/>
    <w:rsid w:val="000A697C"/>
    <w:rsid w:val="000A79E9"/>
    <w:rsid w:val="000B16F5"/>
    <w:rsid w:val="000B1D76"/>
    <w:rsid w:val="000B2B86"/>
    <w:rsid w:val="000B482D"/>
    <w:rsid w:val="000B56B9"/>
    <w:rsid w:val="000C3797"/>
    <w:rsid w:val="000C4A0C"/>
    <w:rsid w:val="000C4DD1"/>
    <w:rsid w:val="000C4F17"/>
    <w:rsid w:val="000C5B4B"/>
    <w:rsid w:val="000C5F0B"/>
    <w:rsid w:val="000D12CB"/>
    <w:rsid w:val="000D455C"/>
    <w:rsid w:val="000D4FCC"/>
    <w:rsid w:val="000E09D0"/>
    <w:rsid w:val="000E3390"/>
    <w:rsid w:val="000E54A1"/>
    <w:rsid w:val="000E5E2A"/>
    <w:rsid w:val="000E6066"/>
    <w:rsid w:val="000E6976"/>
    <w:rsid w:val="000E6D2F"/>
    <w:rsid w:val="000F04DD"/>
    <w:rsid w:val="000F0FB5"/>
    <w:rsid w:val="000F2AA4"/>
    <w:rsid w:val="000F6FEE"/>
    <w:rsid w:val="001003CC"/>
    <w:rsid w:val="00100764"/>
    <w:rsid w:val="00101D8B"/>
    <w:rsid w:val="00102843"/>
    <w:rsid w:val="001036A5"/>
    <w:rsid w:val="0010373F"/>
    <w:rsid w:val="00104F31"/>
    <w:rsid w:val="00105E96"/>
    <w:rsid w:val="00107199"/>
    <w:rsid w:val="00107D8B"/>
    <w:rsid w:val="00110D18"/>
    <w:rsid w:val="00113AFA"/>
    <w:rsid w:val="00114BF4"/>
    <w:rsid w:val="001158D1"/>
    <w:rsid w:val="00121BB4"/>
    <w:rsid w:val="00125B0B"/>
    <w:rsid w:val="00130F26"/>
    <w:rsid w:val="00131FA6"/>
    <w:rsid w:val="00133144"/>
    <w:rsid w:val="00134D9C"/>
    <w:rsid w:val="00134E53"/>
    <w:rsid w:val="0013550C"/>
    <w:rsid w:val="00137A7B"/>
    <w:rsid w:val="00140138"/>
    <w:rsid w:val="00141D49"/>
    <w:rsid w:val="00142316"/>
    <w:rsid w:val="001476BF"/>
    <w:rsid w:val="00150F81"/>
    <w:rsid w:val="0015301D"/>
    <w:rsid w:val="0015383C"/>
    <w:rsid w:val="001568E9"/>
    <w:rsid w:val="00164BD9"/>
    <w:rsid w:val="00164C8F"/>
    <w:rsid w:val="001664BC"/>
    <w:rsid w:val="00167B01"/>
    <w:rsid w:val="001705C8"/>
    <w:rsid w:val="00170D86"/>
    <w:rsid w:val="00174D22"/>
    <w:rsid w:val="0017614A"/>
    <w:rsid w:val="00181404"/>
    <w:rsid w:val="001851FE"/>
    <w:rsid w:val="0019141D"/>
    <w:rsid w:val="00191AF6"/>
    <w:rsid w:val="00192EBD"/>
    <w:rsid w:val="00195B1E"/>
    <w:rsid w:val="00197014"/>
    <w:rsid w:val="001A163C"/>
    <w:rsid w:val="001A3761"/>
    <w:rsid w:val="001A3CF1"/>
    <w:rsid w:val="001A65E0"/>
    <w:rsid w:val="001B027C"/>
    <w:rsid w:val="001B4388"/>
    <w:rsid w:val="001B5436"/>
    <w:rsid w:val="001B69E3"/>
    <w:rsid w:val="001C2211"/>
    <w:rsid w:val="001C3D63"/>
    <w:rsid w:val="001D00C7"/>
    <w:rsid w:val="001D0614"/>
    <w:rsid w:val="001D15AE"/>
    <w:rsid w:val="001D4B63"/>
    <w:rsid w:val="001D5334"/>
    <w:rsid w:val="001D5677"/>
    <w:rsid w:val="001D6B32"/>
    <w:rsid w:val="001D6C8F"/>
    <w:rsid w:val="001E13B2"/>
    <w:rsid w:val="001E1D60"/>
    <w:rsid w:val="001E22C9"/>
    <w:rsid w:val="001E2FC4"/>
    <w:rsid w:val="001E3AAD"/>
    <w:rsid w:val="001E436D"/>
    <w:rsid w:val="001E4CCF"/>
    <w:rsid w:val="001F1111"/>
    <w:rsid w:val="001F3385"/>
    <w:rsid w:val="001F3A7A"/>
    <w:rsid w:val="001F6682"/>
    <w:rsid w:val="001F7045"/>
    <w:rsid w:val="001F7CEB"/>
    <w:rsid w:val="00201D44"/>
    <w:rsid w:val="00202F29"/>
    <w:rsid w:val="00206B21"/>
    <w:rsid w:val="002073A4"/>
    <w:rsid w:val="00207E4F"/>
    <w:rsid w:val="00211CF6"/>
    <w:rsid w:val="0021355F"/>
    <w:rsid w:val="00213B5F"/>
    <w:rsid w:val="0021648F"/>
    <w:rsid w:val="0021683B"/>
    <w:rsid w:val="00216E43"/>
    <w:rsid w:val="0021785C"/>
    <w:rsid w:val="002209B3"/>
    <w:rsid w:val="0022465B"/>
    <w:rsid w:val="002248DB"/>
    <w:rsid w:val="00225017"/>
    <w:rsid w:val="002251C1"/>
    <w:rsid w:val="00225E78"/>
    <w:rsid w:val="002264AD"/>
    <w:rsid w:val="0022749B"/>
    <w:rsid w:val="0023074D"/>
    <w:rsid w:val="002313A2"/>
    <w:rsid w:val="00232D99"/>
    <w:rsid w:val="0023387C"/>
    <w:rsid w:val="00233AB5"/>
    <w:rsid w:val="002340E7"/>
    <w:rsid w:val="002354A4"/>
    <w:rsid w:val="002416B3"/>
    <w:rsid w:val="00242B0E"/>
    <w:rsid w:val="002455B2"/>
    <w:rsid w:val="0024787B"/>
    <w:rsid w:val="002478AF"/>
    <w:rsid w:val="002508C3"/>
    <w:rsid w:val="00255F3F"/>
    <w:rsid w:val="0025744E"/>
    <w:rsid w:val="0026184C"/>
    <w:rsid w:val="00261C5C"/>
    <w:rsid w:val="002639DE"/>
    <w:rsid w:val="00264C34"/>
    <w:rsid w:val="00264E26"/>
    <w:rsid w:val="00266717"/>
    <w:rsid w:val="00273955"/>
    <w:rsid w:val="002739F5"/>
    <w:rsid w:val="00276494"/>
    <w:rsid w:val="00277CCA"/>
    <w:rsid w:val="00281021"/>
    <w:rsid w:val="00281158"/>
    <w:rsid w:val="0028193F"/>
    <w:rsid w:val="00282A1C"/>
    <w:rsid w:val="00283C5B"/>
    <w:rsid w:val="00283CC5"/>
    <w:rsid w:val="002843CB"/>
    <w:rsid w:val="0029373F"/>
    <w:rsid w:val="002A213D"/>
    <w:rsid w:val="002A2DF1"/>
    <w:rsid w:val="002A49C1"/>
    <w:rsid w:val="002A59AB"/>
    <w:rsid w:val="002A70AD"/>
    <w:rsid w:val="002A73ED"/>
    <w:rsid w:val="002B0999"/>
    <w:rsid w:val="002B0FA2"/>
    <w:rsid w:val="002B1914"/>
    <w:rsid w:val="002B3E60"/>
    <w:rsid w:val="002B7768"/>
    <w:rsid w:val="002C3012"/>
    <w:rsid w:val="002C336B"/>
    <w:rsid w:val="002C47EE"/>
    <w:rsid w:val="002C53CB"/>
    <w:rsid w:val="002C5A7A"/>
    <w:rsid w:val="002C6EEE"/>
    <w:rsid w:val="002C7479"/>
    <w:rsid w:val="002D0532"/>
    <w:rsid w:val="002D2264"/>
    <w:rsid w:val="002D4B3A"/>
    <w:rsid w:val="002D5C47"/>
    <w:rsid w:val="002D7FA4"/>
    <w:rsid w:val="002E115B"/>
    <w:rsid w:val="002E2F9A"/>
    <w:rsid w:val="002E3D9C"/>
    <w:rsid w:val="002E5D03"/>
    <w:rsid w:val="002F1638"/>
    <w:rsid w:val="002F62C0"/>
    <w:rsid w:val="002F67A7"/>
    <w:rsid w:val="002F7B38"/>
    <w:rsid w:val="003005B3"/>
    <w:rsid w:val="00303809"/>
    <w:rsid w:val="003062C3"/>
    <w:rsid w:val="00306D6D"/>
    <w:rsid w:val="003107BB"/>
    <w:rsid w:val="00310A8E"/>
    <w:rsid w:val="00313314"/>
    <w:rsid w:val="00313EE9"/>
    <w:rsid w:val="0031545A"/>
    <w:rsid w:val="0031695D"/>
    <w:rsid w:val="00320B04"/>
    <w:rsid w:val="00325100"/>
    <w:rsid w:val="003266D9"/>
    <w:rsid w:val="00327B6C"/>
    <w:rsid w:val="0033040F"/>
    <w:rsid w:val="00330A93"/>
    <w:rsid w:val="00332BE4"/>
    <w:rsid w:val="00333A44"/>
    <w:rsid w:val="003362CB"/>
    <w:rsid w:val="003365A2"/>
    <w:rsid w:val="003401CC"/>
    <w:rsid w:val="00342755"/>
    <w:rsid w:val="00342CFF"/>
    <w:rsid w:val="00343B13"/>
    <w:rsid w:val="00343BC2"/>
    <w:rsid w:val="00344AB8"/>
    <w:rsid w:val="0034642D"/>
    <w:rsid w:val="00347A80"/>
    <w:rsid w:val="00352030"/>
    <w:rsid w:val="003539DE"/>
    <w:rsid w:val="0035536C"/>
    <w:rsid w:val="003556D4"/>
    <w:rsid w:val="0035627B"/>
    <w:rsid w:val="00361836"/>
    <w:rsid w:val="003640B9"/>
    <w:rsid w:val="0036524F"/>
    <w:rsid w:val="0037346B"/>
    <w:rsid w:val="003743F8"/>
    <w:rsid w:val="003749FE"/>
    <w:rsid w:val="00375031"/>
    <w:rsid w:val="003769B9"/>
    <w:rsid w:val="00377217"/>
    <w:rsid w:val="003827EC"/>
    <w:rsid w:val="003835EF"/>
    <w:rsid w:val="00383D12"/>
    <w:rsid w:val="00383EF9"/>
    <w:rsid w:val="00384DA2"/>
    <w:rsid w:val="00384FFF"/>
    <w:rsid w:val="00385302"/>
    <w:rsid w:val="0039142D"/>
    <w:rsid w:val="00391FC4"/>
    <w:rsid w:val="00393132"/>
    <w:rsid w:val="00395BBD"/>
    <w:rsid w:val="00397497"/>
    <w:rsid w:val="003A37DA"/>
    <w:rsid w:val="003A4121"/>
    <w:rsid w:val="003B0071"/>
    <w:rsid w:val="003B0E76"/>
    <w:rsid w:val="003B1705"/>
    <w:rsid w:val="003B2C10"/>
    <w:rsid w:val="003B427D"/>
    <w:rsid w:val="003B439A"/>
    <w:rsid w:val="003C35CC"/>
    <w:rsid w:val="003C3E1B"/>
    <w:rsid w:val="003C3F56"/>
    <w:rsid w:val="003C6A5D"/>
    <w:rsid w:val="003D0C71"/>
    <w:rsid w:val="003D17E6"/>
    <w:rsid w:val="003D2E1B"/>
    <w:rsid w:val="003D3175"/>
    <w:rsid w:val="003D3637"/>
    <w:rsid w:val="003D3A5D"/>
    <w:rsid w:val="003D3E42"/>
    <w:rsid w:val="003D509E"/>
    <w:rsid w:val="003D604F"/>
    <w:rsid w:val="003D6934"/>
    <w:rsid w:val="003D6D90"/>
    <w:rsid w:val="003D6EBE"/>
    <w:rsid w:val="003E08F5"/>
    <w:rsid w:val="003E24F0"/>
    <w:rsid w:val="003E361B"/>
    <w:rsid w:val="003E374F"/>
    <w:rsid w:val="003E3F34"/>
    <w:rsid w:val="003E5E8A"/>
    <w:rsid w:val="003E6F4A"/>
    <w:rsid w:val="003F099D"/>
    <w:rsid w:val="003F3370"/>
    <w:rsid w:val="003F3687"/>
    <w:rsid w:val="003F4234"/>
    <w:rsid w:val="003F57B4"/>
    <w:rsid w:val="003F7536"/>
    <w:rsid w:val="003F7C0B"/>
    <w:rsid w:val="00402913"/>
    <w:rsid w:val="00403273"/>
    <w:rsid w:val="00404BB2"/>
    <w:rsid w:val="00406874"/>
    <w:rsid w:val="00407D7E"/>
    <w:rsid w:val="00410CA2"/>
    <w:rsid w:val="00411002"/>
    <w:rsid w:val="0041250C"/>
    <w:rsid w:val="004150BB"/>
    <w:rsid w:val="00417F64"/>
    <w:rsid w:val="0042172E"/>
    <w:rsid w:val="00423312"/>
    <w:rsid w:val="00424776"/>
    <w:rsid w:val="0042488B"/>
    <w:rsid w:val="00425886"/>
    <w:rsid w:val="00426D14"/>
    <w:rsid w:val="0043086E"/>
    <w:rsid w:val="004349AD"/>
    <w:rsid w:val="00437E93"/>
    <w:rsid w:val="00440B44"/>
    <w:rsid w:val="00441958"/>
    <w:rsid w:val="00445103"/>
    <w:rsid w:val="00445F07"/>
    <w:rsid w:val="004505E2"/>
    <w:rsid w:val="00451077"/>
    <w:rsid w:val="00452345"/>
    <w:rsid w:val="00455762"/>
    <w:rsid w:val="00461C3F"/>
    <w:rsid w:val="0046271A"/>
    <w:rsid w:val="004633DD"/>
    <w:rsid w:val="0046534F"/>
    <w:rsid w:val="00467332"/>
    <w:rsid w:val="00471B60"/>
    <w:rsid w:val="004735F0"/>
    <w:rsid w:val="00481B48"/>
    <w:rsid w:val="0048286B"/>
    <w:rsid w:val="00483366"/>
    <w:rsid w:val="00483884"/>
    <w:rsid w:val="00486F14"/>
    <w:rsid w:val="00487EB4"/>
    <w:rsid w:val="00491116"/>
    <w:rsid w:val="00491452"/>
    <w:rsid w:val="0049200E"/>
    <w:rsid w:val="004940AF"/>
    <w:rsid w:val="00496245"/>
    <w:rsid w:val="00496F5D"/>
    <w:rsid w:val="0049759F"/>
    <w:rsid w:val="004A2EB3"/>
    <w:rsid w:val="004A49B7"/>
    <w:rsid w:val="004A5B5C"/>
    <w:rsid w:val="004A5FA2"/>
    <w:rsid w:val="004A6789"/>
    <w:rsid w:val="004B0437"/>
    <w:rsid w:val="004B4398"/>
    <w:rsid w:val="004B5E52"/>
    <w:rsid w:val="004B7A38"/>
    <w:rsid w:val="004C30F1"/>
    <w:rsid w:val="004D0CB8"/>
    <w:rsid w:val="004D1EF2"/>
    <w:rsid w:val="004D5C71"/>
    <w:rsid w:val="004E4078"/>
    <w:rsid w:val="004E4368"/>
    <w:rsid w:val="004F035D"/>
    <w:rsid w:val="004F0608"/>
    <w:rsid w:val="004F1613"/>
    <w:rsid w:val="004F278D"/>
    <w:rsid w:val="004F385F"/>
    <w:rsid w:val="004F45FC"/>
    <w:rsid w:val="004F5466"/>
    <w:rsid w:val="0050118E"/>
    <w:rsid w:val="00505C54"/>
    <w:rsid w:val="005067D9"/>
    <w:rsid w:val="005130A1"/>
    <w:rsid w:val="00514A43"/>
    <w:rsid w:val="0051646A"/>
    <w:rsid w:val="00517937"/>
    <w:rsid w:val="00517AC6"/>
    <w:rsid w:val="00521181"/>
    <w:rsid w:val="00522C11"/>
    <w:rsid w:val="005246B4"/>
    <w:rsid w:val="005248BD"/>
    <w:rsid w:val="00524C60"/>
    <w:rsid w:val="0052762A"/>
    <w:rsid w:val="005278E1"/>
    <w:rsid w:val="005303D2"/>
    <w:rsid w:val="00531D99"/>
    <w:rsid w:val="005337FB"/>
    <w:rsid w:val="00533FC2"/>
    <w:rsid w:val="00534CFE"/>
    <w:rsid w:val="00541C03"/>
    <w:rsid w:val="00545306"/>
    <w:rsid w:val="005461C5"/>
    <w:rsid w:val="00550302"/>
    <w:rsid w:val="00552AE8"/>
    <w:rsid w:val="005534D1"/>
    <w:rsid w:val="0055686E"/>
    <w:rsid w:val="00560BA0"/>
    <w:rsid w:val="00561024"/>
    <w:rsid w:val="005659B4"/>
    <w:rsid w:val="00573111"/>
    <w:rsid w:val="005731BF"/>
    <w:rsid w:val="00580152"/>
    <w:rsid w:val="00581962"/>
    <w:rsid w:val="0058279A"/>
    <w:rsid w:val="00582F5D"/>
    <w:rsid w:val="00585166"/>
    <w:rsid w:val="00587F59"/>
    <w:rsid w:val="005900FE"/>
    <w:rsid w:val="00590F63"/>
    <w:rsid w:val="00592D2B"/>
    <w:rsid w:val="00597D26"/>
    <w:rsid w:val="005A042C"/>
    <w:rsid w:val="005A271F"/>
    <w:rsid w:val="005A2F70"/>
    <w:rsid w:val="005A5BC1"/>
    <w:rsid w:val="005B1878"/>
    <w:rsid w:val="005B2BD6"/>
    <w:rsid w:val="005B3D74"/>
    <w:rsid w:val="005B6984"/>
    <w:rsid w:val="005B735B"/>
    <w:rsid w:val="005B7B34"/>
    <w:rsid w:val="005C0071"/>
    <w:rsid w:val="005C1C39"/>
    <w:rsid w:val="005C2025"/>
    <w:rsid w:val="005C30DD"/>
    <w:rsid w:val="005C3670"/>
    <w:rsid w:val="005C4011"/>
    <w:rsid w:val="005C4163"/>
    <w:rsid w:val="005C4F3D"/>
    <w:rsid w:val="005C6405"/>
    <w:rsid w:val="005C7B78"/>
    <w:rsid w:val="005D08FD"/>
    <w:rsid w:val="005D496D"/>
    <w:rsid w:val="005D551D"/>
    <w:rsid w:val="005D75D2"/>
    <w:rsid w:val="005E09FA"/>
    <w:rsid w:val="005E16AD"/>
    <w:rsid w:val="005E2940"/>
    <w:rsid w:val="005E2CCA"/>
    <w:rsid w:val="005E3491"/>
    <w:rsid w:val="005E39DD"/>
    <w:rsid w:val="005E5515"/>
    <w:rsid w:val="005E6847"/>
    <w:rsid w:val="005E6873"/>
    <w:rsid w:val="0060126C"/>
    <w:rsid w:val="00605D12"/>
    <w:rsid w:val="006062D0"/>
    <w:rsid w:val="006077E2"/>
    <w:rsid w:val="0061282A"/>
    <w:rsid w:val="00617357"/>
    <w:rsid w:val="0061780D"/>
    <w:rsid w:val="00620099"/>
    <w:rsid w:val="00620108"/>
    <w:rsid w:val="00621790"/>
    <w:rsid w:val="006217A6"/>
    <w:rsid w:val="00621FAE"/>
    <w:rsid w:val="0062292D"/>
    <w:rsid w:val="00623029"/>
    <w:rsid w:val="0062383C"/>
    <w:rsid w:val="006264AC"/>
    <w:rsid w:val="0063230C"/>
    <w:rsid w:val="00633CE4"/>
    <w:rsid w:val="00637F19"/>
    <w:rsid w:val="00644DFF"/>
    <w:rsid w:val="00647432"/>
    <w:rsid w:val="00654D9A"/>
    <w:rsid w:val="006566E9"/>
    <w:rsid w:val="00661A1C"/>
    <w:rsid w:val="0066306A"/>
    <w:rsid w:val="00664BB2"/>
    <w:rsid w:val="00665754"/>
    <w:rsid w:val="006668E2"/>
    <w:rsid w:val="0067191D"/>
    <w:rsid w:val="0067220E"/>
    <w:rsid w:val="00674103"/>
    <w:rsid w:val="0067663C"/>
    <w:rsid w:val="006806A6"/>
    <w:rsid w:val="00680893"/>
    <w:rsid w:val="00682CFA"/>
    <w:rsid w:val="0068310F"/>
    <w:rsid w:val="006841DE"/>
    <w:rsid w:val="00686D50"/>
    <w:rsid w:val="006915AC"/>
    <w:rsid w:val="00692ACE"/>
    <w:rsid w:val="00694B4D"/>
    <w:rsid w:val="006952C1"/>
    <w:rsid w:val="006A6022"/>
    <w:rsid w:val="006B2E0A"/>
    <w:rsid w:val="006B5EEB"/>
    <w:rsid w:val="006C0651"/>
    <w:rsid w:val="006C0A3C"/>
    <w:rsid w:val="006C45B4"/>
    <w:rsid w:val="006C4CB7"/>
    <w:rsid w:val="006C6438"/>
    <w:rsid w:val="006C645E"/>
    <w:rsid w:val="006D0EC8"/>
    <w:rsid w:val="006D12A8"/>
    <w:rsid w:val="006D7DF5"/>
    <w:rsid w:val="006E0EB4"/>
    <w:rsid w:val="006E322F"/>
    <w:rsid w:val="006E7FAB"/>
    <w:rsid w:val="006F45D1"/>
    <w:rsid w:val="006F4C72"/>
    <w:rsid w:val="006F6555"/>
    <w:rsid w:val="00702984"/>
    <w:rsid w:val="00705AE7"/>
    <w:rsid w:val="00706C34"/>
    <w:rsid w:val="00710019"/>
    <w:rsid w:val="007116BA"/>
    <w:rsid w:val="007141BA"/>
    <w:rsid w:val="007146C4"/>
    <w:rsid w:val="00714E8E"/>
    <w:rsid w:val="00716705"/>
    <w:rsid w:val="00720F6E"/>
    <w:rsid w:val="00722611"/>
    <w:rsid w:val="0072651F"/>
    <w:rsid w:val="0072687A"/>
    <w:rsid w:val="00727199"/>
    <w:rsid w:val="00730681"/>
    <w:rsid w:val="007346C4"/>
    <w:rsid w:val="00736B95"/>
    <w:rsid w:val="007376D9"/>
    <w:rsid w:val="00742423"/>
    <w:rsid w:val="00742C0D"/>
    <w:rsid w:val="00746E50"/>
    <w:rsid w:val="007509C4"/>
    <w:rsid w:val="0075439E"/>
    <w:rsid w:val="00754E3B"/>
    <w:rsid w:val="00754FE2"/>
    <w:rsid w:val="007550A6"/>
    <w:rsid w:val="0075520E"/>
    <w:rsid w:val="00760FF1"/>
    <w:rsid w:val="007638E4"/>
    <w:rsid w:val="00766E76"/>
    <w:rsid w:val="0077317F"/>
    <w:rsid w:val="00774336"/>
    <w:rsid w:val="00777261"/>
    <w:rsid w:val="00780831"/>
    <w:rsid w:val="007819FF"/>
    <w:rsid w:val="00782FCA"/>
    <w:rsid w:val="00784403"/>
    <w:rsid w:val="00785643"/>
    <w:rsid w:val="00785AFB"/>
    <w:rsid w:val="00787D9D"/>
    <w:rsid w:val="00792024"/>
    <w:rsid w:val="00793D8E"/>
    <w:rsid w:val="007957BA"/>
    <w:rsid w:val="00796B10"/>
    <w:rsid w:val="007A02C7"/>
    <w:rsid w:val="007A04C6"/>
    <w:rsid w:val="007A13A2"/>
    <w:rsid w:val="007A195F"/>
    <w:rsid w:val="007A3B22"/>
    <w:rsid w:val="007A76F8"/>
    <w:rsid w:val="007B0009"/>
    <w:rsid w:val="007B02CF"/>
    <w:rsid w:val="007B15F0"/>
    <w:rsid w:val="007B1607"/>
    <w:rsid w:val="007B421E"/>
    <w:rsid w:val="007B4CD7"/>
    <w:rsid w:val="007B743D"/>
    <w:rsid w:val="007C02F9"/>
    <w:rsid w:val="007C128C"/>
    <w:rsid w:val="007C40D5"/>
    <w:rsid w:val="007C47AB"/>
    <w:rsid w:val="007C4EE7"/>
    <w:rsid w:val="007D110E"/>
    <w:rsid w:val="007D3F4D"/>
    <w:rsid w:val="007D68DE"/>
    <w:rsid w:val="007E3633"/>
    <w:rsid w:val="007E3A5D"/>
    <w:rsid w:val="007E718C"/>
    <w:rsid w:val="007E73BC"/>
    <w:rsid w:val="007E7BDD"/>
    <w:rsid w:val="007F3AA6"/>
    <w:rsid w:val="007F5F62"/>
    <w:rsid w:val="007F7000"/>
    <w:rsid w:val="007F7F28"/>
    <w:rsid w:val="00802013"/>
    <w:rsid w:val="0080211B"/>
    <w:rsid w:val="008035D7"/>
    <w:rsid w:val="0080700C"/>
    <w:rsid w:val="00807CD5"/>
    <w:rsid w:val="008123D6"/>
    <w:rsid w:val="008147E7"/>
    <w:rsid w:val="00816D95"/>
    <w:rsid w:val="00820591"/>
    <w:rsid w:val="00823A26"/>
    <w:rsid w:val="00830435"/>
    <w:rsid w:val="008304FB"/>
    <w:rsid w:val="00833D1D"/>
    <w:rsid w:val="008359AF"/>
    <w:rsid w:val="00841DCF"/>
    <w:rsid w:val="008424A3"/>
    <w:rsid w:val="00843322"/>
    <w:rsid w:val="00847737"/>
    <w:rsid w:val="00852432"/>
    <w:rsid w:val="00853C08"/>
    <w:rsid w:val="0085531E"/>
    <w:rsid w:val="0085758A"/>
    <w:rsid w:val="00861FDC"/>
    <w:rsid w:val="00862058"/>
    <w:rsid w:val="00862E82"/>
    <w:rsid w:val="008631A2"/>
    <w:rsid w:val="00864111"/>
    <w:rsid w:val="0086549F"/>
    <w:rsid w:val="00865ABA"/>
    <w:rsid w:val="008706CB"/>
    <w:rsid w:val="0087199C"/>
    <w:rsid w:val="00872CEC"/>
    <w:rsid w:val="00872F22"/>
    <w:rsid w:val="0087330D"/>
    <w:rsid w:val="008756B1"/>
    <w:rsid w:val="008759EB"/>
    <w:rsid w:val="00876492"/>
    <w:rsid w:val="00876541"/>
    <w:rsid w:val="0087692E"/>
    <w:rsid w:val="00882D30"/>
    <w:rsid w:val="00884039"/>
    <w:rsid w:val="00891F82"/>
    <w:rsid w:val="008951F1"/>
    <w:rsid w:val="008A0A1A"/>
    <w:rsid w:val="008A0BD6"/>
    <w:rsid w:val="008A1221"/>
    <w:rsid w:val="008A492F"/>
    <w:rsid w:val="008A510B"/>
    <w:rsid w:val="008A5533"/>
    <w:rsid w:val="008B0CC9"/>
    <w:rsid w:val="008B197F"/>
    <w:rsid w:val="008B1B6B"/>
    <w:rsid w:val="008B2898"/>
    <w:rsid w:val="008B432D"/>
    <w:rsid w:val="008B4B16"/>
    <w:rsid w:val="008B5313"/>
    <w:rsid w:val="008B6A27"/>
    <w:rsid w:val="008B6CAD"/>
    <w:rsid w:val="008B7667"/>
    <w:rsid w:val="008C1B89"/>
    <w:rsid w:val="008C2332"/>
    <w:rsid w:val="008C4BF9"/>
    <w:rsid w:val="008C59FA"/>
    <w:rsid w:val="008C6C0E"/>
    <w:rsid w:val="008C7236"/>
    <w:rsid w:val="008C79C3"/>
    <w:rsid w:val="008D070E"/>
    <w:rsid w:val="008D0A24"/>
    <w:rsid w:val="008D1472"/>
    <w:rsid w:val="008D31FB"/>
    <w:rsid w:val="008D5043"/>
    <w:rsid w:val="008E0A80"/>
    <w:rsid w:val="008E1660"/>
    <w:rsid w:val="008E1A5E"/>
    <w:rsid w:val="008E1D07"/>
    <w:rsid w:val="008E2ACB"/>
    <w:rsid w:val="008E39D1"/>
    <w:rsid w:val="008E67AB"/>
    <w:rsid w:val="008E7C6C"/>
    <w:rsid w:val="008F1CF9"/>
    <w:rsid w:val="008F4607"/>
    <w:rsid w:val="00904399"/>
    <w:rsid w:val="00912712"/>
    <w:rsid w:val="00913478"/>
    <w:rsid w:val="00915AC3"/>
    <w:rsid w:val="00920FE5"/>
    <w:rsid w:val="00922A70"/>
    <w:rsid w:val="00922CDF"/>
    <w:rsid w:val="00926D3A"/>
    <w:rsid w:val="00933BA5"/>
    <w:rsid w:val="00934A51"/>
    <w:rsid w:val="009404AC"/>
    <w:rsid w:val="00941180"/>
    <w:rsid w:val="00945FE8"/>
    <w:rsid w:val="009470A4"/>
    <w:rsid w:val="0094775C"/>
    <w:rsid w:val="009513BD"/>
    <w:rsid w:val="009514FB"/>
    <w:rsid w:val="00956165"/>
    <w:rsid w:val="0096066F"/>
    <w:rsid w:val="00963A25"/>
    <w:rsid w:val="00964CEC"/>
    <w:rsid w:val="0096526A"/>
    <w:rsid w:val="009719BE"/>
    <w:rsid w:val="00973C93"/>
    <w:rsid w:val="009752F6"/>
    <w:rsid w:val="00975A1D"/>
    <w:rsid w:val="00980466"/>
    <w:rsid w:val="00980539"/>
    <w:rsid w:val="009817CD"/>
    <w:rsid w:val="00982736"/>
    <w:rsid w:val="00982CB0"/>
    <w:rsid w:val="00984297"/>
    <w:rsid w:val="00987724"/>
    <w:rsid w:val="009925EE"/>
    <w:rsid w:val="00993529"/>
    <w:rsid w:val="00994F7C"/>
    <w:rsid w:val="009A324B"/>
    <w:rsid w:val="009A5ED3"/>
    <w:rsid w:val="009B0D5A"/>
    <w:rsid w:val="009B15BB"/>
    <w:rsid w:val="009B181C"/>
    <w:rsid w:val="009B4350"/>
    <w:rsid w:val="009B4EBF"/>
    <w:rsid w:val="009B505A"/>
    <w:rsid w:val="009C0CA5"/>
    <w:rsid w:val="009C1D47"/>
    <w:rsid w:val="009C2881"/>
    <w:rsid w:val="009D5CF7"/>
    <w:rsid w:val="009D5F59"/>
    <w:rsid w:val="009E080D"/>
    <w:rsid w:val="009E23AE"/>
    <w:rsid w:val="009E242E"/>
    <w:rsid w:val="009E3C5F"/>
    <w:rsid w:val="009F0801"/>
    <w:rsid w:val="009F1C58"/>
    <w:rsid w:val="009F2048"/>
    <w:rsid w:val="009F687B"/>
    <w:rsid w:val="00A01830"/>
    <w:rsid w:val="00A020A3"/>
    <w:rsid w:val="00A034A8"/>
    <w:rsid w:val="00A105F7"/>
    <w:rsid w:val="00A11246"/>
    <w:rsid w:val="00A13AEA"/>
    <w:rsid w:val="00A1467E"/>
    <w:rsid w:val="00A165E3"/>
    <w:rsid w:val="00A170C3"/>
    <w:rsid w:val="00A1769F"/>
    <w:rsid w:val="00A20DEB"/>
    <w:rsid w:val="00A234C8"/>
    <w:rsid w:val="00A236CD"/>
    <w:rsid w:val="00A2472C"/>
    <w:rsid w:val="00A24CF6"/>
    <w:rsid w:val="00A26123"/>
    <w:rsid w:val="00A27C0E"/>
    <w:rsid w:val="00A32923"/>
    <w:rsid w:val="00A35089"/>
    <w:rsid w:val="00A35764"/>
    <w:rsid w:val="00A41F0B"/>
    <w:rsid w:val="00A41F14"/>
    <w:rsid w:val="00A42268"/>
    <w:rsid w:val="00A4474D"/>
    <w:rsid w:val="00A461AE"/>
    <w:rsid w:val="00A46281"/>
    <w:rsid w:val="00A50A77"/>
    <w:rsid w:val="00A56521"/>
    <w:rsid w:val="00A56B43"/>
    <w:rsid w:val="00A56E42"/>
    <w:rsid w:val="00A57309"/>
    <w:rsid w:val="00A576CE"/>
    <w:rsid w:val="00A6107D"/>
    <w:rsid w:val="00A62A36"/>
    <w:rsid w:val="00A677C3"/>
    <w:rsid w:val="00A67A1D"/>
    <w:rsid w:val="00A72055"/>
    <w:rsid w:val="00A73A37"/>
    <w:rsid w:val="00A73DEF"/>
    <w:rsid w:val="00A7550A"/>
    <w:rsid w:val="00A75CEB"/>
    <w:rsid w:val="00A836E5"/>
    <w:rsid w:val="00A837A8"/>
    <w:rsid w:val="00A869E2"/>
    <w:rsid w:val="00A877A1"/>
    <w:rsid w:val="00A90DCC"/>
    <w:rsid w:val="00A91357"/>
    <w:rsid w:val="00A96EF0"/>
    <w:rsid w:val="00AA01EA"/>
    <w:rsid w:val="00AA0BF8"/>
    <w:rsid w:val="00AA209C"/>
    <w:rsid w:val="00AA2800"/>
    <w:rsid w:val="00AA3A36"/>
    <w:rsid w:val="00AB1A0D"/>
    <w:rsid w:val="00AB4C4E"/>
    <w:rsid w:val="00AB6CA9"/>
    <w:rsid w:val="00AC033F"/>
    <w:rsid w:val="00AC0A1F"/>
    <w:rsid w:val="00AC295F"/>
    <w:rsid w:val="00AC4299"/>
    <w:rsid w:val="00AC42EC"/>
    <w:rsid w:val="00AC533E"/>
    <w:rsid w:val="00AC7084"/>
    <w:rsid w:val="00AC755A"/>
    <w:rsid w:val="00AC782C"/>
    <w:rsid w:val="00AD048A"/>
    <w:rsid w:val="00AD237F"/>
    <w:rsid w:val="00AD3902"/>
    <w:rsid w:val="00AD6248"/>
    <w:rsid w:val="00AD6E77"/>
    <w:rsid w:val="00AE0D16"/>
    <w:rsid w:val="00AE53CA"/>
    <w:rsid w:val="00AE5AB6"/>
    <w:rsid w:val="00AE72AF"/>
    <w:rsid w:val="00AE7B5C"/>
    <w:rsid w:val="00AF0CB0"/>
    <w:rsid w:val="00AF1FDB"/>
    <w:rsid w:val="00AF498B"/>
    <w:rsid w:val="00AF56CB"/>
    <w:rsid w:val="00AF7DA9"/>
    <w:rsid w:val="00B01143"/>
    <w:rsid w:val="00B013B4"/>
    <w:rsid w:val="00B025AB"/>
    <w:rsid w:val="00B026B3"/>
    <w:rsid w:val="00B039AA"/>
    <w:rsid w:val="00B06E53"/>
    <w:rsid w:val="00B07EE1"/>
    <w:rsid w:val="00B11EF0"/>
    <w:rsid w:val="00B14153"/>
    <w:rsid w:val="00B146CF"/>
    <w:rsid w:val="00B15202"/>
    <w:rsid w:val="00B213C0"/>
    <w:rsid w:val="00B22226"/>
    <w:rsid w:val="00B23391"/>
    <w:rsid w:val="00B23A27"/>
    <w:rsid w:val="00B23FB2"/>
    <w:rsid w:val="00B24977"/>
    <w:rsid w:val="00B262E6"/>
    <w:rsid w:val="00B2742D"/>
    <w:rsid w:val="00B30323"/>
    <w:rsid w:val="00B33487"/>
    <w:rsid w:val="00B349F0"/>
    <w:rsid w:val="00B34C2C"/>
    <w:rsid w:val="00B401E4"/>
    <w:rsid w:val="00B40DF5"/>
    <w:rsid w:val="00B42DF3"/>
    <w:rsid w:val="00B444EE"/>
    <w:rsid w:val="00B4508D"/>
    <w:rsid w:val="00B4780C"/>
    <w:rsid w:val="00B47E4C"/>
    <w:rsid w:val="00B514F1"/>
    <w:rsid w:val="00B527D9"/>
    <w:rsid w:val="00B52C5E"/>
    <w:rsid w:val="00B54777"/>
    <w:rsid w:val="00B56605"/>
    <w:rsid w:val="00B57DAE"/>
    <w:rsid w:val="00B60E13"/>
    <w:rsid w:val="00B6537F"/>
    <w:rsid w:val="00B65419"/>
    <w:rsid w:val="00B6564B"/>
    <w:rsid w:val="00B67D38"/>
    <w:rsid w:val="00B701B7"/>
    <w:rsid w:val="00B72CAE"/>
    <w:rsid w:val="00B745D4"/>
    <w:rsid w:val="00B76BD5"/>
    <w:rsid w:val="00B839DF"/>
    <w:rsid w:val="00B84BD5"/>
    <w:rsid w:val="00B86D2C"/>
    <w:rsid w:val="00B90007"/>
    <w:rsid w:val="00B90784"/>
    <w:rsid w:val="00B953E3"/>
    <w:rsid w:val="00B958B1"/>
    <w:rsid w:val="00B95FCB"/>
    <w:rsid w:val="00BA1733"/>
    <w:rsid w:val="00BA221F"/>
    <w:rsid w:val="00BB0690"/>
    <w:rsid w:val="00BB1A73"/>
    <w:rsid w:val="00BB1F67"/>
    <w:rsid w:val="00BB290D"/>
    <w:rsid w:val="00BB3902"/>
    <w:rsid w:val="00BB4E5A"/>
    <w:rsid w:val="00BB57E7"/>
    <w:rsid w:val="00BB5BA9"/>
    <w:rsid w:val="00BB6CC3"/>
    <w:rsid w:val="00BC11F3"/>
    <w:rsid w:val="00BC1B21"/>
    <w:rsid w:val="00BC1EC9"/>
    <w:rsid w:val="00BD2E6B"/>
    <w:rsid w:val="00BD3520"/>
    <w:rsid w:val="00BD5AD4"/>
    <w:rsid w:val="00BD5BA7"/>
    <w:rsid w:val="00BD6066"/>
    <w:rsid w:val="00BD793A"/>
    <w:rsid w:val="00BD7B35"/>
    <w:rsid w:val="00BE01F4"/>
    <w:rsid w:val="00BE14DD"/>
    <w:rsid w:val="00BE1FB1"/>
    <w:rsid w:val="00BF0594"/>
    <w:rsid w:val="00BF3B75"/>
    <w:rsid w:val="00BF750C"/>
    <w:rsid w:val="00BF7FA9"/>
    <w:rsid w:val="00C04D5E"/>
    <w:rsid w:val="00C1235B"/>
    <w:rsid w:val="00C124E6"/>
    <w:rsid w:val="00C15D58"/>
    <w:rsid w:val="00C17433"/>
    <w:rsid w:val="00C210CD"/>
    <w:rsid w:val="00C219B4"/>
    <w:rsid w:val="00C223FA"/>
    <w:rsid w:val="00C22E48"/>
    <w:rsid w:val="00C24672"/>
    <w:rsid w:val="00C25590"/>
    <w:rsid w:val="00C318ED"/>
    <w:rsid w:val="00C33032"/>
    <w:rsid w:val="00C359D5"/>
    <w:rsid w:val="00C4422D"/>
    <w:rsid w:val="00C449B4"/>
    <w:rsid w:val="00C45600"/>
    <w:rsid w:val="00C470DC"/>
    <w:rsid w:val="00C52ABA"/>
    <w:rsid w:val="00C536C7"/>
    <w:rsid w:val="00C53962"/>
    <w:rsid w:val="00C55431"/>
    <w:rsid w:val="00C56631"/>
    <w:rsid w:val="00C6051D"/>
    <w:rsid w:val="00C6055A"/>
    <w:rsid w:val="00C63918"/>
    <w:rsid w:val="00C63C28"/>
    <w:rsid w:val="00C645FF"/>
    <w:rsid w:val="00C73C18"/>
    <w:rsid w:val="00C8008E"/>
    <w:rsid w:val="00C8028C"/>
    <w:rsid w:val="00C802CF"/>
    <w:rsid w:val="00C81AC2"/>
    <w:rsid w:val="00C835A4"/>
    <w:rsid w:val="00C8460B"/>
    <w:rsid w:val="00C859BC"/>
    <w:rsid w:val="00C91CF3"/>
    <w:rsid w:val="00C94D49"/>
    <w:rsid w:val="00C9574A"/>
    <w:rsid w:val="00C95DF6"/>
    <w:rsid w:val="00CA04E5"/>
    <w:rsid w:val="00CA234B"/>
    <w:rsid w:val="00CA2393"/>
    <w:rsid w:val="00CA4983"/>
    <w:rsid w:val="00CA4A10"/>
    <w:rsid w:val="00CA5262"/>
    <w:rsid w:val="00CB1FE3"/>
    <w:rsid w:val="00CB6269"/>
    <w:rsid w:val="00CB735D"/>
    <w:rsid w:val="00CC14D7"/>
    <w:rsid w:val="00CC4FBF"/>
    <w:rsid w:val="00CC5A17"/>
    <w:rsid w:val="00CC6C6C"/>
    <w:rsid w:val="00CD0150"/>
    <w:rsid w:val="00CD05D9"/>
    <w:rsid w:val="00CD144C"/>
    <w:rsid w:val="00CD484A"/>
    <w:rsid w:val="00CD6ED9"/>
    <w:rsid w:val="00CE0224"/>
    <w:rsid w:val="00CE3C4B"/>
    <w:rsid w:val="00CE6518"/>
    <w:rsid w:val="00CE79D7"/>
    <w:rsid w:val="00CF0095"/>
    <w:rsid w:val="00CF037C"/>
    <w:rsid w:val="00CF1601"/>
    <w:rsid w:val="00CF4A9B"/>
    <w:rsid w:val="00CF6BBA"/>
    <w:rsid w:val="00CF7DC3"/>
    <w:rsid w:val="00CF7ED3"/>
    <w:rsid w:val="00D03F5F"/>
    <w:rsid w:val="00D05B82"/>
    <w:rsid w:val="00D07B43"/>
    <w:rsid w:val="00D1033F"/>
    <w:rsid w:val="00D12673"/>
    <w:rsid w:val="00D136B0"/>
    <w:rsid w:val="00D1444E"/>
    <w:rsid w:val="00D1515D"/>
    <w:rsid w:val="00D15B77"/>
    <w:rsid w:val="00D1630A"/>
    <w:rsid w:val="00D17442"/>
    <w:rsid w:val="00D214D8"/>
    <w:rsid w:val="00D23078"/>
    <w:rsid w:val="00D23410"/>
    <w:rsid w:val="00D23C3B"/>
    <w:rsid w:val="00D25B38"/>
    <w:rsid w:val="00D30BD9"/>
    <w:rsid w:val="00D30C31"/>
    <w:rsid w:val="00D31169"/>
    <w:rsid w:val="00D32790"/>
    <w:rsid w:val="00D32B3C"/>
    <w:rsid w:val="00D349A2"/>
    <w:rsid w:val="00D361BD"/>
    <w:rsid w:val="00D37D8C"/>
    <w:rsid w:val="00D43246"/>
    <w:rsid w:val="00D43798"/>
    <w:rsid w:val="00D446ED"/>
    <w:rsid w:val="00D448F1"/>
    <w:rsid w:val="00D50761"/>
    <w:rsid w:val="00D50794"/>
    <w:rsid w:val="00D53C9C"/>
    <w:rsid w:val="00D54144"/>
    <w:rsid w:val="00D5436F"/>
    <w:rsid w:val="00D553DC"/>
    <w:rsid w:val="00D554EC"/>
    <w:rsid w:val="00D56109"/>
    <w:rsid w:val="00D57512"/>
    <w:rsid w:val="00D57832"/>
    <w:rsid w:val="00D612DC"/>
    <w:rsid w:val="00D62507"/>
    <w:rsid w:val="00D62F10"/>
    <w:rsid w:val="00D6419F"/>
    <w:rsid w:val="00D656EE"/>
    <w:rsid w:val="00D71A66"/>
    <w:rsid w:val="00D73201"/>
    <w:rsid w:val="00D74D41"/>
    <w:rsid w:val="00D77DD9"/>
    <w:rsid w:val="00D85FB1"/>
    <w:rsid w:val="00D90BC0"/>
    <w:rsid w:val="00D915D6"/>
    <w:rsid w:val="00D915DF"/>
    <w:rsid w:val="00D93E60"/>
    <w:rsid w:val="00D94C47"/>
    <w:rsid w:val="00D96063"/>
    <w:rsid w:val="00D9744D"/>
    <w:rsid w:val="00DA1BF1"/>
    <w:rsid w:val="00DA2757"/>
    <w:rsid w:val="00DB08D1"/>
    <w:rsid w:val="00DB17B3"/>
    <w:rsid w:val="00DC1CDD"/>
    <w:rsid w:val="00DC2F31"/>
    <w:rsid w:val="00DC5273"/>
    <w:rsid w:val="00DC652E"/>
    <w:rsid w:val="00DC68D7"/>
    <w:rsid w:val="00DC741F"/>
    <w:rsid w:val="00DC77B0"/>
    <w:rsid w:val="00DC7ED4"/>
    <w:rsid w:val="00DD18B6"/>
    <w:rsid w:val="00DD2076"/>
    <w:rsid w:val="00DD25CD"/>
    <w:rsid w:val="00DD2780"/>
    <w:rsid w:val="00DD3018"/>
    <w:rsid w:val="00DD3AD3"/>
    <w:rsid w:val="00DD4FC5"/>
    <w:rsid w:val="00DD553F"/>
    <w:rsid w:val="00DE2166"/>
    <w:rsid w:val="00DE293D"/>
    <w:rsid w:val="00DE53D6"/>
    <w:rsid w:val="00DE647A"/>
    <w:rsid w:val="00DF167E"/>
    <w:rsid w:val="00DF229A"/>
    <w:rsid w:val="00DF4048"/>
    <w:rsid w:val="00DF5159"/>
    <w:rsid w:val="00E011F8"/>
    <w:rsid w:val="00E01633"/>
    <w:rsid w:val="00E01DB1"/>
    <w:rsid w:val="00E034B9"/>
    <w:rsid w:val="00E03715"/>
    <w:rsid w:val="00E04B51"/>
    <w:rsid w:val="00E05085"/>
    <w:rsid w:val="00E06A11"/>
    <w:rsid w:val="00E14136"/>
    <w:rsid w:val="00E16FF5"/>
    <w:rsid w:val="00E178E4"/>
    <w:rsid w:val="00E210EA"/>
    <w:rsid w:val="00E2156F"/>
    <w:rsid w:val="00E236B0"/>
    <w:rsid w:val="00E24D60"/>
    <w:rsid w:val="00E26114"/>
    <w:rsid w:val="00E317C3"/>
    <w:rsid w:val="00E31A97"/>
    <w:rsid w:val="00E31AE3"/>
    <w:rsid w:val="00E325C1"/>
    <w:rsid w:val="00E33976"/>
    <w:rsid w:val="00E33EF8"/>
    <w:rsid w:val="00E35A45"/>
    <w:rsid w:val="00E35DB5"/>
    <w:rsid w:val="00E41C2E"/>
    <w:rsid w:val="00E44D75"/>
    <w:rsid w:val="00E4604C"/>
    <w:rsid w:val="00E46F7D"/>
    <w:rsid w:val="00E5381C"/>
    <w:rsid w:val="00E54113"/>
    <w:rsid w:val="00E564D4"/>
    <w:rsid w:val="00E60027"/>
    <w:rsid w:val="00E60F26"/>
    <w:rsid w:val="00E62416"/>
    <w:rsid w:val="00E65144"/>
    <w:rsid w:val="00E65265"/>
    <w:rsid w:val="00E65D03"/>
    <w:rsid w:val="00E7161C"/>
    <w:rsid w:val="00E71F07"/>
    <w:rsid w:val="00E723EA"/>
    <w:rsid w:val="00E742C1"/>
    <w:rsid w:val="00E75D12"/>
    <w:rsid w:val="00E76648"/>
    <w:rsid w:val="00E77B26"/>
    <w:rsid w:val="00E809DF"/>
    <w:rsid w:val="00E80DF2"/>
    <w:rsid w:val="00E81920"/>
    <w:rsid w:val="00E81A1D"/>
    <w:rsid w:val="00E85711"/>
    <w:rsid w:val="00E85D56"/>
    <w:rsid w:val="00E8688D"/>
    <w:rsid w:val="00E87699"/>
    <w:rsid w:val="00E87A09"/>
    <w:rsid w:val="00E87A5B"/>
    <w:rsid w:val="00E914D2"/>
    <w:rsid w:val="00E92BC2"/>
    <w:rsid w:val="00EA2C41"/>
    <w:rsid w:val="00EA2E83"/>
    <w:rsid w:val="00EA3451"/>
    <w:rsid w:val="00EA34BA"/>
    <w:rsid w:val="00EA41AB"/>
    <w:rsid w:val="00EA4640"/>
    <w:rsid w:val="00EA52BE"/>
    <w:rsid w:val="00EB1068"/>
    <w:rsid w:val="00EB30A0"/>
    <w:rsid w:val="00EB5272"/>
    <w:rsid w:val="00EB53A4"/>
    <w:rsid w:val="00EC04AD"/>
    <w:rsid w:val="00EC0E87"/>
    <w:rsid w:val="00EC35CE"/>
    <w:rsid w:val="00EC4832"/>
    <w:rsid w:val="00ED2F95"/>
    <w:rsid w:val="00ED326B"/>
    <w:rsid w:val="00ED3B13"/>
    <w:rsid w:val="00ED5D0F"/>
    <w:rsid w:val="00ED69E6"/>
    <w:rsid w:val="00ED76E9"/>
    <w:rsid w:val="00EE0C18"/>
    <w:rsid w:val="00EE16A5"/>
    <w:rsid w:val="00EE5857"/>
    <w:rsid w:val="00EE7482"/>
    <w:rsid w:val="00EE7F8E"/>
    <w:rsid w:val="00EF0786"/>
    <w:rsid w:val="00EF131A"/>
    <w:rsid w:val="00EF268C"/>
    <w:rsid w:val="00EF3695"/>
    <w:rsid w:val="00EF439A"/>
    <w:rsid w:val="00EF5E92"/>
    <w:rsid w:val="00EF7685"/>
    <w:rsid w:val="00F001A3"/>
    <w:rsid w:val="00F008B1"/>
    <w:rsid w:val="00F017E9"/>
    <w:rsid w:val="00F02527"/>
    <w:rsid w:val="00F03C19"/>
    <w:rsid w:val="00F04516"/>
    <w:rsid w:val="00F04ED1"/>
    <w:rsid w:val="00F05025"/>
    <w:rsid w:val="00F06E6E"/>
    <w:rsid w:val="00F141DE"/>
    <w:rsid w:val="00F146A8"/>
    <w:rsid w:val="00F14D16"/>
    <w:rsid w:val="00F169FE"/>
    <w:rsid w:val="00F17A32"/>
    <w:rsid w:val="00F2113F"/>
    <w:rsid w:val="00F21A47"/>
    <w:rsid w:val="00F241D4"/>
    <w:rsid w:val="00F24875"/>
    <w:rsid w:val="00F2573D"/>
    <w:rsid w:val="00F27592"/>
    <w:rsid w:val="00F31BA1"/>
    <w:rsid w:val="00F31D34"/>
    <w:rsid w:val="00F40FA0"/>
    <w:rsid w:val="00F439CC"/>
    <w:rsid w:val="00F5049A"/>
    <w:rsid w:val="00F5693C"/>
    <w:rsid w:val="00F5726E"/>
    <w:rsid w:val="00F62521"/>
    <w:rsid w:val="00F6343E"/>
    <w:rsid w:val="00F66EBE"/>
    <w:rsid w:val="00F66F7B"/>
    <w:rsid w:val="00F70EA6"/>
    <w:rsid w:val="00F76318"/>
    <w:rsid w:val="00F80D93"/>
    <w:rsid w:val="00F8331E"/>
    <w:rsid w:val="00F84397"/>
    <w:rsid w:val="00F87048"/>
    <w:rsid w:val="00F87814"/>
    <w:rsid w:val="00F87E6C"/>
    <w:rsid w:val="00F90193"/>
    <w:rsid w:val="00F91757"/>
    <w:rsid w:val="00F95A8E"/>
    <w:rsid w:val="00F9706C"/>
    <w:rsid w:val="00FA0E4F"/>
    <w:rsid w:val="00FA2674"/>
    <w:rsid w:val="00FA3182"/>
    <w:rsid w:val="00FB2A22"/>
    <w:rsid w:val="00FB444E"/>
    <w:rsid w:val="00FB4BBA"/>
    <w:rsid w:val="00FB4F77"/>
    <w:rsid w:val="00FB652B"/>
    <w:rsid w:val="00FB72E4"/>
    <w:rsid w:val="00FC0594"/>
    <w:rsid w:val="00FC1098"/>
    <w:rsid w:val="00FC51DC"/>
    <w:rsid w:val="00FC780B"/>
    <w:rsid w:val="00FC7923"/>
    <w:rsid w:val="00FD01EA"/>
    <w:rsid w:val="00FD229B"/>
    <w:rsid w:val="00FD367C"/>
    <w:rsid w:val="00FD4E2A"/>
    <w:rsid w:val="00FD5252"/>
    <w:rsid w:val="00FE24ED"/>
    <w:rsid w:val="00FE5666"/>
    <w:rsid w:val="00FE5DC8"/>
    <w:rsid w:val="00FE6E17"/>
    <w:rsid w:val="00FF560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1D9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7ED3"/>
    <w:pPr>
      <w:spacing w:after="240" w:line="48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0358A1"/>
    <w:pPr>
      <w:keepNext/>
      <w:keepLines/>
      <w:numPr>
        <w:numId w:val="20"/>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0358A1"/>
    <w:pPr>
      <w:keepNext/>
      <w:keepLines/>
      <w:numPr>
        <w:ilvl w:val="1"/>
        <w:numId w:val="20"/>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0358A1"/>
    <w:pPr>
      <w:keepNext/>
      <w:keepLines/>
      <w:numPr>
        <w:ilvl w:val="2"/>
        <w:numId w:val="20"/>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0358A1"/>
    <w:pPr>
      <w:keepNext/>
      <w:keepLines/>
      <w:numPr>
        <w:ilvl w:val="3"/>
        <w:numId w:val="20"/>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0358A1"/>
    <w:pPr>
      <w:keepNext/>
      <w:keepLines/>
      <w:numPr>
        <w:ilvl w:val="4"/>
        <w:numId w:val="20"/>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0358A1"/>
    <w:pPr>
      <w:keepNext/>
      <w:keepLines/>
      <w:numPr>
        <w:ilvl w:val="5"/>
        <w:numId w:val="20"/>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0358A1"/>
    <w:pPr>
      <w:keepNext/>
      <w:keepLines/>
      <w:numPr>
        <w:ilvl w:val="6"/>
        <w:numId w:val="2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58A1"/>
    <w:pPr>
      <w:keepNext/>
      <w:keepLines/>
      <w:numPr>
        <w:ilvl w:val="7"/>
        <w:numId w:val="2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358A1"/>
    <w:pPr>
      <w:keepNext/>
      <w:keepLines/>
      <w:numPr>
        <w:ilvl w:val="8"/>
        <w:numId w:val="2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58A1"/>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0358A1"/>
    <w:rPr>
      <w:rFonts w:asciiTheme="majorHAnsi" w:eastAsiaTheme="majorEastAsia" w:hAnsiTheme="majorHAnsi" w:cstheme="majorBidi"/>
      <w:b/>
      <w:bCs/>
      <w:smallCaps/>
      <w:color w:val="000000" w:themeColor="text1"/>
      <w:sz w:val="28"/>
      <w:szCs w:val="28"/>
    </w:rPr>
  </w:style>
  <w:style w:type="character" w:customStyle="1" w:styleId="Heading4Char">
    <w:name w:val="Heading 4 Char"/>
    <w:basedOn w:val="DefaultParagraphFont"/>
    <w:link w:val="Heading4"/>
    <w:uiPriority w:val="9"/>
    <w:rsid w:val="000358A1"/>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0358A1"/>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0358A1"/>
    <w:rPr>
      <w:rFonts w:asciiTheme="majorHAnsi" w:eastAsiaTheme="majorEastAsia" w:hAnsiTheme="majorHAnsi" w:cstheme="majorBidi"/>
      <w:i/>
      <w:iCs/>
      <w:color w:val="323E4F" w:themeColor="text2" w:themeShade="BF"/>
    </w:rPr>
  </w:style>
  <w:style w:type="paragraph" w:styleId="Caption">
    <w:name w:val="caption"/>
    <w:basedOn w:val="Normal"/>
    <w:next w:val="Normal"/>
    <w:uiPriority w:val="35"/>
    <w:unhideWhenUsed/>
    <w:qFormat/>
    <w:rsid w:val="000358A1"/>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0358A1"/>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0358A1"/>
    <w:rPr>
      <w:rFonts w:asciiTheme="majorHAnsi" w:eastAsiaTheme="majorEastAsia" w:hAnsiTheme="majorHAnsi" w:cstheme="majorBidi"/>
      <w:color w:val="000000" w:themeColor="text1"/>
      <w:sz w:val="56"/>
      <w:szCs w:val="56"/>
    </w:rPr>
  </w:style>
  <w:style w:type="paragraph" w:styleId="ListParagraph">
    <w:name w:val="List Paragraph"/>
    <w:basedOn w:val="Normal"/>
    <w:uiPriority w:val="34"/>
    <w:qFormat/>
    <w:rsid w:val="008B432D"/>
    <w:pPr>
      <w:ind w:left="720"/>
      <w:contextualSpacing/>
    </w:pPr>
  </w:style>
  <w:style w:type="character" w:styleId="LineNumber">
    <w:name w:val="line number"/>
    <w:basedOn w:val="DefaultParagraphFont"/>
    <w:uiPriority w:val="99"/>
    <w:semiHidden/>
    <w:unhideWhenUsed/>
    <w:rsid w:val="005C4163"/>
  </w:style>
  <w:style w:type="character" w:customStyle="1" w:styleId="apple-converted-space">
    <w:name w:val="apple-converted-space"/>
    <w:basedOn w:val="DefaultParagraphFont"/>
    <w:rsid w:val="00F87048"/>
  </w:style>
  <w:style w:type="character" w:styleId="PlaceholderText">
    <w:name w:val="Placeholder Text"/>
    <w:basedOn w:val="DefaultParagraphFont"/>
    <w:uiPriority w:val="99"/>
    <w:semiHidden/>
    <w:rsid w:val="00CF6BBA"/>
    <w:rPr>
      <w:color w:val="808080"/>
    </w:rPr>
  </w:style>
  <w:style w:type="character" w:customStyle="1" w:styleId="Heading3Char">
    <w:name w:val="Heading 3 Char"/>
    <w:basedOn w:val="DefaultParagraphFont"/>
    <w:link w:val="Heading3"/>
    <w:uiPriority w:val="9"/>
    <w:rsid w:val="000358A1"/>
    <w:rPr>
      <w:rFonts w:asciiTheme="majorHAnsi" w:eastAsiaTheme="majorEastAsia" w:hAnsiTheme="majorHAnsi" w:cstheme="majorBidi"/>
      <w:b/>
      <w:bCs/>
      <w:color w:val="000000" w:themeColor="text1"/>
    </w:rPr>
  </w:style>
  <w:style w:type="character" w:styleId="CommentReference">
    <w:name w:val="annotation reference"/>
    <w:basedOn w:val="DefaultParagraphFont"/>
    <w:uiPriority w:val="99"/>
    <w:semiHidden/>
    <w:unhideWhenUsed/>
    <w:rsid w:val="005A042C"/>
    <w:rPr>
      <w:sz w:val="16"/>
      <w:szCs w:val="16"/>
    </w:rPr>
  </w:style>
  <w:style w:type="paragraph" w:styleId="CommentText">
    <w:name w:val="annotation text"/>
    <w:basedOn w:val="Normal"/>
    <w:link w:val="CommentTextChar"/>
    <w:uiPriority w:val="99"/>
    <w:unhideWhenUsed/>
    <w:rsid w:val="005A042C"/>
    <w:pPr>
      <w:spacing w:line="240" w:lineRule="auto"/>
    </w:pPr>
    <w:rPr>
      <w:sz w:val="20"/>
      <w:szCs w:val="20"/>
    </w:rPr>
  </w:style>
  <w:style w:type="character" w:customStyle="1" w:styleId="CommentTextChar">
    <w:name w:val="Comment Text Char"/>
    <w:basedOn w:val="DefaultParagraphFont"/>
    <w:link w:val="CommentText"/>
    <w:uiPriority w:val="99"/>
    <w:rsid w:val="005A042C"/>
    <w:rPr>
      <w:sz w:val="20"/>
      <w:szCs w:val="20"/>
    </w:rPr>
  </w:style>
  <w:style w:type="paragraph" w:styleId="CommentSubject">
    <w:name w:val="annotation subject"/>
    <w:basedOn w:val="CommentText"/>
    <w:next w:val="CommentText"/>
    <w:link w:val="CommentSubjectChar"/>
    <w:uiPriority w:val="99"/>
    <w:semiHidden/>
    <w:unhideWhenUsed/>
    <w:rsid w:val="005A042C"/>
    <w:rPr>
      <w:b/>
      <w:bCs/>
    </w:rPr>
  </w:style>
  <w:style w:type="character" w:customStyle="1" w:styleId="CommentSubjectChar">
    <w:name w:val="Comment Subject Char"/>
    <w:basedOn w:val="CommentTextChar"/>
    <w:link w:val="CommentSubject"/>
    <w:uiPriority w:val="99"/>
    <w:semiHidden/>
    <w:rsid w:val="005A042C"/>
    <w:rPr>
      <w:b/>
      <w:bCs/>
      <w:sz w:val="20"/>
      <w:szCs w:val="20"/>
    </w:rPr>
  </w:style>
  <w:style w:type="paragraph" w:styleId="BalloonText">
    <w:name w:val="Balloon Text"/>
    <w:basedOn w:val="Normal"/>
    <w:link w:val="BalloonTextChar"/>
    <w:uiPriority w:val="99"/>
    <w:semiHidden/>
    <w:unhideWhenUsed/>
    <w:rsid w:val="005A04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042C"/>
    <w:rPr>
      <w:rFonts w:ascii="Segoe UI" w:hAnsi="Segoe UI" w:cs="Segoe UI"/>
      <w:sz w:val="18"/>
      <w:szCs w:val="18"/>
    </w:rPr>
  </w:style>
  <w:style w:type="paragraph" w:styleId="Bibliography">
    <w:name w:val="Bibliography"/>
    <w:basedOn w:val="Normal"/>
    <w:next w:val="Normal"/>
    <w:uiPriority w:val="37"/>
    <w:unhideWhenUsed/>
    <w:rsid w:val="00094DBE"/>
    <w:pPr>
      <w:spacing w:after="0" w:line="240" w:lineRule="auto"/>
      <w:ind w:left="720" w:hanging="720"/>
    </w:pPr>
  </w:style>
  <w:style w:type="paragraph" w:styleId="Revision">
    <w:name w:val="Revision"/>
    <w:hidden/>
    <w:uiPriority w:val="99"/>
    <w:semiHidden/>
    <w:rsid w:val="002251C1"/>
    <w:pPr>
      <w:spacing w:after="0" w:line="240" w:lineRule="auto"/>
    </w:pPr>
  </w:style>
  <w:style w:type="character" w:customStyle="1" w:styleId="Heading7Char">
    <w:name w:val="Heading 7 Char"/>
    <w:basedOn w:val="DefaultParagraphFont"/>
    <w:link w:val="Heading7"/>
    <w:uiPriority w:val="9"/>
    <w:semiHidden/>
    <w:rsid w:val="000358A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58A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58A1"/>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0358A1"/>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0358A1"/>
    <w:rPr>
      <w:color w:val="5A5A5A" w:themeColor="text1" w:themeTint="A5"/>
      <w:spacing w:val="10"/>
    </w:rPr>
  </w:style>
  <w:style w:type="character" w:styleId="Strong">
    <w:name w:val="Strong"/>
    <w:basedOn w:val="DefaultParagraphFont"/>
    <w:uiPriority w:val="22"/>
    <w:qFormat/>
    <w:rsid w:val="000358A1"/>
    <w:rPr>
      <w:b/>
      <w:bCs/>
      <w:color w:val="000000" w:themeColor="text1"/>
    </w:rPr>
  </w:style>
  <w:style w:type="character" w:styleId="Emphasis">
    <w:name w:val="Emphasis"/>
    <w:basedOn w:val="DefaultParagraphFont"/>
    <w:uiPriority w:val="20"/>
    <w:qFormat/>
    <w:rsid w:val="000358A1"/>
    <w:rPr>
      <w:i/>
      <w:iCs/>
      <w:color w:val="auto"/>
    </w:rPr>
  </w:style>
  <w:style w:type="paragraph" w:styleId="NoSpacing">
    <w:name w:val="No Spacing"/>
    <w:uiPriority w:val="1"/>
    <w:qFormat/>
    <w:rsid w:val="000358A1"/>
    <w:pPr>
      <w:spacing w:after="0" w:line="240" w:lineRule="auto"/>
    </w:pPr>
  </w:style>
  <w:style w:type="paragraph" w:styleId="Quote">
    <w:name w:val="Quote"/>
    <w:basedOn w:val="Normal"/>
    <w:next w:val="Normal"/>
    <w:link w:val="QuoteChar"/>
    <w:uiPriority w:val="29"/>
    <w:qFormat/>
    <w:rsid w:val="000358A1"/>
    <w:pPr>
      <w:spacing w:before="160"/>
      <w:ind w:left="720" w:right="720"/>
    </w:pPr>
    <w:rPr>
      <w:i/>
      <w:iCs/>
      <w:color w:val="000000" w:themeColor="text1"/>
    </w:rPr>
  </w:style>
  <w:style w:type="character" w:customStyle="1" w:styleId="QuoteChar">
    <w:name w:val="Quote Char"/>
    <w:basedOn w:val="DefaultParagraphFont"/>
    <w:link w:val="Quote"/>
    <w:uiPriority w:val="29"/>
    <w:rsid w:val="000358A1"/>
    <w:rPr>
      <w:i/>
      <w:iCs/>
      <w:color w:val="000000" w:themeColor="text1"/>
    </w:rPr>
  </w:style>
  <w:style w:type="paragraph" w:styleId="IntenseQuote">
    <w:name w:val="Intense Quote"/>
    <w:basedOn w:val="Normal"/>
    <w:next w:val="Normal"/>
    <w:link w:val="IntenseQuoteChar"/>
    <w:uiPriority w:val="30"/>
    <w:qFormat/>
    <w:rsid w:val="000358A1"/>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ind w:left="936" w:right="936"/>
      <w:jc w:val="center"/>
    </w:pPr>
    <w:rPr>
      <w:color w:val="000000" w:themeColor="text1"/>
    </w:rPr>
  </w:style>
  <w:style w:type="character" w:customStyle="1" w:styleId="IntenseQuoteChar">
    <w:name w:val="Intense Quote Char"/>
    <w:basedOn w:val="DefaultParagraphFont"/>
    <w:link w:val="IntenseQuote"/>
    <w:uiPriority w:val="30"/>
    <w:rsid w:val="000358A1"/>
    <w:rPr>
      <w:color w:val="000000" w:themeColor="text1"/>
      <w:shd w:val="clear" w:color="auto" w:fill="F2F2F2" w:themeFill="background1" w:themeFillShade="F2"/>
    </w:rPr>
  </w:style>
  <w:style w:type="character" w:styleId="SubtleEmphasis">
    <w:name w:val="Subtle Emphasis"/>
    <w:basedOn w:val="DefaultParagraphFont"/>
    <w:uiPriority w:val="19"/>
    <w:qFormat/>
    <w:rsid w:val="000358A1"/>
    <w:rPr>
      <w:i/>
      <w:iCs/>
      <w:color w:val="404040" w:themeColor="text1" w:themeTint="BF"/>
    </w:rPr>
  </w:style>
  <w:style w:type="character" w:styleId="IntenseEmphasis">
    <w:name w:val="Intense Emphasis"/>
    <w:basedOn w:val="DefaultParagraphFont"/>
    <w:uiPriority w:val="21"/>
    <w:qFormat/>
    <w:rsid w:val="000358A1"/>
    <w:rPr>
      <w:b/>
      <w:bCs/>
      <w:i/>
      <w:iCs/>
      <w:caps/>
    </w:rPr>
  </w:style>
  <w:style w:type="character" w:styleId="SubtleReference">
    <w:name w:val="Subtle Reference"/>
    <w:basedOn w:val="DefaultParagraphFont"/>
    <w:uiPriority w:val="31"/>
    <w:qFormat/>
    <w:rsid w:val="000358A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358A1"/>
    <w:rPr>
      <w:b/>
      <w:bCs/>
      <w:smallCaps/>
      <w:u w:val="single"/>
    </w:rPr>
  </w:style>
  <w:style w:type="character" w:styleId="BookTitle">
    <w:name w:val="Book Title"/>
    <w:basedOn w:val="DefaultParagraphFont"/>
    <w:uiPriority w:val="33"/>
    <w:qFormat/>
    <w:rsid w:val="000358A1"/>
    <w:rPr>
      <w:b w:val="0"/>
      <w:bCs w:val="0"/>
      <w:smallCaps/>
      <w:spacing w:val="5"/>
    </w:rPr>
  </w:style>
  <w:style w:type="paragraph" w:styleId="TOCHeading">
    <w:name w:val="TOC Heading"/>
    <w:basedOn w:val="Heading1"/>
    <w:next w:val="Normal"/>
    <w:uiPriority w:val="39"/>
    <w:semiHidden/>
    <w:unhideWhenUsed/>
    <w:qFormat/>
    <w:rsid w:val="000358A1"/>
    <w:pPr>
      <w:outlineLvl w:val="9"/>
    </w:pPr>
  </w:style>
  <w:style w:type="character" w:styleId="Hyperlink">
    <w:name w:val="Hyperlink"/>
    <w:basedOn w:val="DefaultParagraphFont"/>
    <w:uiPriority w:val="99"/>
    <w:unhideWhenUsed/>
    <w:rsid w:val="00ED76E9"/>
    <w:rPr>
      <w:color w:val="0563C1" w:themeColor="hyperlink"/>
      <w:u w:val="single"/>
    </w:rPr>
  </w:style>
  <w:style w:type="character" w:styleId="FollowedHyperlink">
    <w:name w:val="FollowedHyperlink"/>
    <w:basedOn w:val="DefaultParagraphFont"/>
    <w:uiPriority w:val="99"/>
    <w:semiHidden/>
    <w:unhideWhenUsed/>
    <w:rsid w:val="00CD05D9"/>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7ED3"/>
    <w:pPr>
      <w:spacing w:after="240" w:line="48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0358A1"/>
    <w:pPr>
      <w:keepNext/>
      <w:keepLines/>
      <w:numPr>
        <w:numId w:val="20"/>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0358A1"/>
    <w:pPr>
      <w:keepNext/>
      <w:keepLines/>
      <w:numPr>
        <w:ilvl w:val="1"/>
        <w:numId w:val="20"/>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0358A1"/>
    <w:pPr>
      <w:keepNext/>
      <w:keepLines/>
      <w:numPr>
        <w:ilvl w:val="2"/>
        <w:numId w:val="20"/>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0358A1"/>
    <w:pPr>
      <w:keepNext/>
      <w:keepLines/>
      <w:numPr>
        <w:ilvl w:val="3"/>
        <w:numId w:val="20"/>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0358A1"/>
    <w:pPr>
      <w:keepNext/>
      <w:keepLines/>
      <w:numPr>
        <w:ilvl w:val="4"/>
        <w:numId w:val="20"/>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0358A1"/>
    <w:pPr>
      <w:keepNext/>
      <w:keepLines/>
      <w:numPr>
        <w:ilvl w:val="5"/>
        <w:numId w:val="20"/>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0358A1"/>
    <w:pPr>
      <w:keepNext/>
      <w:keepLines/>
      <w:numPr>
        <w:ilvl w:val="6"/>
        <w:numId w:val="2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58A1"/>
    <w:pPr>
      <w:keepNext/>
      <w:keepLines/>
      <w:numPr>
        <w:ilvl w:val="7"/>
        <w:numId w:val="2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358A1"/>
    <w:pPr>
      <w:keepNext/>
      <w:keepLines/>
      <w:numPr>
        <w:ilvl w:val="8"/>
        <w:numId w:val="2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58A1"/>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0358A1"/>
    <w:rPr>
      <w:rFonts w:asciiTheme="majorHAnsi" w:eastAsiaTheme="majorEastAsia" w:hAnsiTheme="majorHAnsi" w:cstheme="majorBidi"/>
      <w:b/>
      <w:bCs/>
      <w:smallCaps/>
      <w:color w:val="000000" w:themeColor="text1"/>
      <w:sz w:val="28"/>
      <w:szCs w:val="28"/>
    </w:rPr>
  </w:style>
  <w:style w:type="character" w:customStyle="1" w:styleId="Heading4Char">
    <w:name w:val="Heading 4 Char"/>
    <w:basedOn w:val="DefaultParagraphFont"/>
    <w:link w:val="Heading4"/>
    <w:uiPriority w:val="9"/>
    <w:rsid w:val="000358A1"/>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0358A1"/>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0358A1"/>
    <w:rPr>
      <w:rFonts w:asciiTheme="majorHAnsi" w:eastAsiaTheme="majorEastAsia" w:hAnsiTheme="majorHAnsi" w:cstheme="majorBidi"/>
      <w:i/>
      <w:iCs/>
      <w:color w:val="323E4F" w:themeColor="text2" w:themeShade="BF"/>
    </w:rPr>
  </w:style>
  <w:style w:type="paragraph" w:styleId="Caption">
    <w:name w:val="caption"/>
    <w:basedOn w:val="Normal"/>
    <w:next w:val="Normal"/>
    <w:uiPriority w:val="35"/>
    <w:unhideWhenUsed/>
    <w:qFormat/>
    <w:rsid w:val="000358A1"/>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0358A1"/>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0358A1"/>
    <w:rPr>
      <w:rFonts w:asciiTheme="majorHAnsi" w:eastAsiaTheme="majorEastAsia" w:hAnsiTheme="majorHAnsi" w:cstheme="majorBidi"/>
      <w:color w:val="000000" w:themeColor="text1"/>
      <w:sz w:val="56"/>
      <w:szCs w:val="56"/>
    </w:rPr>
  </w:style>
  <w:style w:type="paragraph" w:styleId="ListParagraph">
    <w:name w:val="List Paragraph"/>
    <w:basedOn w:val="Normal"/>
    <w:uiPriority w:val="34"/>
    <w:qFormat/>
    <w:rsid w:val="008B432D"/>
    <w:pPr>
      <w:ind w:left="720"/>
      <w:contextualSpacing/>
    </w:pPr>
  </w:style>
  <w:style w:type="character" w:styleId="LineNumber">
    <w:name w:val="line number"/>
    <w:basedOn w:val="DefaultParagraphFont"/>
    <w:uiPriority w:val="99"/>
    <w:semiHidden/>
    <w:unhideWhenUsed/>
    <w:rsid w:val="005C4163"/>
  </w:style>
  <w:style w:type="character" w:customStyle="1" w:styleId="apple-converted-space">
    <w:name w:val="apple-converted-space"/>
    <w:basedOn w:val="DefaultParagraphFont"/>
    <w:rsid w:val="00F87048"/>
  </w:style>
  <w:style w:type="character" w:styleId="PlaceholderText">
    <w:name w:val="Placeholder Text"/>
    <w:basedOn w:val="DefaultParagraphFont"/>
    <w:uiPriority w:val="99"/>
    <w:semiHidden/>
    <w:rsid w:val="00CF6BBA"/>
    <w:rPr>
      <w:color w:val="808080"/>
    </w:rPr>
  </w:style>
  <w:style w:type="character" w:customStyle="1" w:styleId="Heading3Char">
    <w:name w:val="Heading 3 Char"/>
    <w:basedOn w:val="DefaultParagraphFont"/>
    <w:link w:val="Heading3"/>
    <w:uiPriority w:val="9"/>
    <w:rsid w:val="000358A1"/>
    <w:rPr>
      <w:rFonts w:asciiTheme="majorHAnsi" w:eastAsiaTheme="majorEastAsia" w:hAnsiTheme="majorHAnsi" w:cstheme="majorBidi"/>
      <w:b/>
      <w:bCs/>
      <w:color w:val="000000" w:themeColor="text1"/>
    </w:rPr>
  </w:style>
  <w:style w:type="character" w:styleId="CommentReference">
    <w:name w:val="annotation reference"/>
    <w:basedOn w:val="DefaultParagraphFont"/>
    <w:uiPriority w:val="99"/>
    <w:semiHidden/>
    <w:unhideWhenUsed/>
    <w:rsid w:val="005A042C"/>
    <w:rPr>
      <w:sz w:val="16"/>
      <w:szCs w:val="16"/>
    </w:rPr>
  </w:style>
  <w:style w:type="paragraph" w:styleId="CommentText">
    <w:name w:val="annotation text"/>
    <w:basedOn w:val="Normal"/>
    <w:link w:val="CommentTextChar"/>
    <w:uiPriority w:val="99"/>
    <w:unhideWhenUsed/>
    <w:rsid w:val="005A042C"/>
    <w:pPr>
      <w:spacing w:line="240" w:lineRule="auto"/>
    </w:pPr>
    <w:rPr>
      <w:sz w:val="20"/>
      <w:szCs w:val="20"/>
    </w:rPr>
  </w:style>
  <w:style w:type="character" w:customStyle="1" w:styleId="CommentTextChar">
    <w:name w:val="Comment Text Char"/>
    <w:basedOn w:val="DefaultParagraphFont"/>
    <w:link w:val="CommentText"/>
    <w:uiPriority w:val="99"/>
    <w:rsid w:val="005A042C"/>
    <w:rPr>
      <w:sz w:val="20"/>
      <w:szCs w:val="20"/>
    </w:rPr>
  </w:style>
  <w:style w:type="paragraph" w:styleId="CommentSubject">
    <w:name w:val="annotation subject"/>
    <w:basedOn w:val="CommentText"/>
    <w:next w:val="CommentText"/>
    <w:link w:val="CommentSubjectChar"/>
    <w:uiPriority w:val="99"/>
    <w:semiHidden/>
    <w:unhideWhenUsed/>
    <w:rsid w:val="005A042C"/>
    <w:rPr>
      <w:b/>
      <w:bCs/>
    </w:rPr>
  </w:style>
  <w:style w:type="character" w:customStyle="1" w:styleId="CommentSubjectChar">
    <w:name w:val="Comment Subject Char"/>
    <w:basedOn w:val="CommentTextChar"/>
    <w:link w:val="CommentSubject"/>
    <w:uiPriority w:val="99"/>
    <w:semiHidden/>
    <w:rsid w:val="005A042C"/>
    <w:rPr>
      <w:b/>
      <w:bCs/>
      <w:sz w:val="20"/>
      <w:szCs w:val="20"/>
    </w:rPr>
  </w:style>
  <w:style w:type="paragraph" w:styleId="BalloonText">
    <w:name w:val="Balloon Text"/>
    <w:basedOn w:val="Normal"/>
    <w:link w:val="BalloonTextChar"/>
    <w:uiPriority w:val="99"/>
    <w:semiHidden/>
    <w:unhideWhenUsed/>
    <w:rsid w:val="005A04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042C"/>
    <w:rPr>
      <w:rFonts w:ascii="Segoe UI" w:hAnsi="Segoe UI" w:cs="Segoe UI"/>
      <w:sz w:val="18"/>
      <w:szCs w:val="18"/>
    </w:rPr>
  </w:style>
  <w:style w:type="paragraph" w:styleId="Bibliography">
    <w:name w:val="Bibliography"/>
    <w:basedOn w:val="Normal"/>
    <w:next w:val="Normal"/>
    <w:uiPriority w:val="37"/>
    <w:unhideWhenUsed/>
    <w:rsid w:val="00094DBE"/>
    <w:pPr>
      <w:spacing w:after="0" w:line="240" w:lineRule="auto"/>
      <w:ind w:left="720" w:hanging="720"/>
    </w:pPr>
  </w:style>
  <w:style w:type="paragraph" w:styleId="Revision">
    <w:name w:val="Revision"/>
    <w:hidden/>
    <w:uiPriority w:val="99"/>
    <w:semiHidden/>
    <w:rsid w:val="002251C1"/>
    <w:pPr>
      <w:spacing w:after="0" w:line="240" w:lineRule="auto"/>
    </w:pPr>
  </w:style>
  <w:style w:type="character" w:customStyle="1" w:styleId="Heading7Char">
    <w:name w:val="Heading 7 Char"/>
    <w:basedOn w:val="DefaultParagraphFont"/>
    <w:link w:val="Heading7"/>
    <w:uiPriority w:val="9"/>
    <w:semiHidden/>
    <w:rsid w:val="000358A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58A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58A1"/>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0358A1"/>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0358A1"/>
    <w:rPr>
      <w:color w:val="5A5A5A" w:themeColor="text1" w:themeTint="A5"/>
      <w:spacing w:val="10"/>
    </w:rPr>
  </w:style>
  <w:style w:type="character" w:styleId="Strong">
    <w:name w:val="Strong"/>
    <w:basedOn w:val="DefaultParagraphFont"/>
    <w:uiPriority w:val="22"/>
    <w:qFormat/>
    <w:rsid w:val="000358A1"/>
    <w:rPr>
      <w:b/>
      <w:bCs/>
      <w:color w:val="000000" w:themeColor="text1"/>
    </w:rPr>
  </w:style>
  <w:style w:type="character" w:styleId="Emphasis">
    <w:name w:val="Emphasis"/>
    <w:basedOn w:val="DefaultParagraphFont"/>
    <w:uiPriority w:val="20"/>
    <w:qFormat/>
    <w:rsid w:val="000358A1"/>
    <w:rPr>
      <w:i/>
      <w:iCs/>
      <w:color w:val="auto"/>
    </w:rPr>
  </w:style>
  <w:style w:type="paragraph" w:styleId="NoSpacing">
    <w:name w:val="No Spacing"/>
    <w:uiPriority w:val="1"/>
    <w:qFormat/>
    <w:rsid w:val="000358A1"/>
    <w:pPr>
      <w:spacing w:after="0" w:line="240" w:lineRule="auto"/>
    </w:pPr>
  </w:style>
  <w:style w:type="paragraph" w:styleId="Quote">
    <w:name w:val="Quote"/>
    <w:basedOn w:val="Normal"/>
    <w:next w:val="Normal"/>
    <w:link w:val="QuoteChar"/>
    <w:uiPriority w:val="29"/>
    <w:qFormat/>
    <w:rsid w:val="000358A1"/>
    <w:pPr>
      <w:spacing w:before="160"/>
      <w:ind w:left="720" w:right="720"/>
    </w:pPr>
    <w:rPr>
      <w:i/>
      <w:iCs/>
      <w:color w:val="000000" w:themeColor="text1"/>
    </w:rPr>
  </w:style>
  <w:style w:type="character" w:customStyle="1" w:styleId="QuoteChar">
    <w:name w:val="Quote Char"/>
    <w:basedOn w:val="DefaultParagraphFont"/>
    <w:link w:val="Quote"/>
    <w:uiPriority w:val="29"/>
    <w:rsid w:val="000358A1"/>
    <w:rPr>
      <w:i/>
      <w:iCs/>
      <w:color w:val="000000" w:themeColor="text1"/>
    </w:rPr>
  </w:style>
  <w:style w:type="paragraph" w:styleId="IntenseQuote">
    <w:name w:val="Intense Quote"/>
    <w:basedOn w:val="Normal"/>
    <w:next w:val="Normal"/>
    <w:link w:val="IntenseQuoteChar"/>
    <w:uiPriority w:val="30"/>
    <w:qFormat/>
    <w:rsid w:val="000358A1"/>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ind w:left="936" w:right="936"/>
      <w:jc w:val="center"/>
    </w:pPr>
    <w:rPr>
      <w:color w:val="000000" w:themeColor="text1"/>
    </w:rPr>
  </w:style>
  <w:style w:type="character" w:customStyle="1" w:styleId="IntenseQuoteChar">
    <w:name w:val="Intense Quote Char"/>
    <w:basedOn w:val="DefaultParagraphFont"/>
    <w:link w:val="IntenseQuote"/>
    <w:uiPriority w:val="30"/>
    <w:rsid w:val="000358A1"/>
    <w:rPr>
      <w:color w:val="000000" w:themeColor="text1"/>
      <w:shd w:val="clear" w:color="auto" w:fill="F2F2F2" w:themeFill="background1" w:themeFillShade="F2"/>
    </w:rPr>
  </w:style>
  <w:style w:type="character" w:styleId="SubtleEmphasis">
    <w:name w:val="Subtle Emphasis"/>
    <w:basedOn w:val="DefaultParagraphFont"/>
    <w:uiPriority w:val="19"/>
    <w:qFormat/>
    <w:rsid w:val="000358A1"/>
    <w:rPr>
      <w:i/>
      <w:iCs/>
      <w:color w:val="404040" w:themeColor="text1" w:themeTint="BF"/>
    </w:rPr>
  </w:style>
  <w:style w:type="character" w:styleId="IntenseEmphasis">
    <w:name w:val="Intense Emphasis"/>
    <w:basedOn w:val="DefaultParagraphFont"/>
    <w:uiPriority w:val="21"/>
    <w:qFormat/>
    <w:rsid w:val="000358A1"/>
    <w:rPr>
      <w:b/>
      <w:bCs/>
      <w:i/>
      <w:iCs/>
      <w:caps/>
    </w:rPr>
  </w:style>
  <w:style w:type="character" w:styleId="SubtleReference">
    <w:name w:val="Subtle Reference"/>
    <w:basedOn w:val="DefaultParagraphFont"/>
    <w:uiPriority w:val="31"/>
    <w:qFormat/>
    <w:rsid w:val="000358A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358A1"/>
    <w:rPr>
      <w:b/>
      <w:bCs/>
      <w:smallCaps/>
      <w:u w:val="single"/>
    </w:rPr>
  </w:style>
  <w:style w:type="character" w:styleId="BookTitle">
    <w:name w:val="Book Title"/>
    <w:basedOn w:val="DefaultParagraphFont"/>
    <w:uiPriority w:val="33"/>
    <w:qFormat/>
    <w:rsid w:val="000358A1"/>
    <w:rPr>
      <w:b w:val="0"/>
      <w:bCs w:val="0"/>
      <w:smallCaps/>
      <w:spacing w:val="5"/>
    </w:rPr>
  </w:style>
  <w:style w:type="paragraph" w:styleId="TOCHeading">
    <w:name w:val="TOC Heading"/>
    <w:basedOn w:val="Heading1"/>
    <w:next w:val="Normal"/>
    <w:uiPriority w:val="39"/>
    <w:semiHidden/>
    <w:unhideWhenUsed/>
    <w:qFormat/>
    <w:rsid w:val="000358A1"/>
    <w:pPr>
      <w:outlineLvl w:val="9"/>
    </w:pPr>
  </w:style>
  <w:style w:type="character" w:styleId="Hyperlink">
    <w:name w:val="Hyperlink"/>
    <w:basedOn w:val="DefaultParagraphFont"/>
    <w:uiPriority w:val="99"/>
    <w:unhideWhenUsed/>
    <w:rsid w:val="00ED76E9"/>
    <w:rPr>
      <w:color w:val="0563C1" w:themeColor="hyperlink"/>
      <w:u w:val="single"/>
    </w:rPr>
  </w:style>
  <w:style w:type="character" w:styleId="FollowedHyperlink">
    <w:name w:val="FollowedHyperlink"/>
    <w:basedOn w:val="DefaultParagraphFont"/>
    <w:uiPriority w:val="99"/>
    <w:semiHidden/>
    <w:unhideWhenUsed/>
    <w:rsid w:val="00CD05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347841">
      <w:bodyDiv w:val="1"/>
      <w:marLeft w:val="0"/>
      <w:marRight w:val="0"/>
      <w:marTop w:val="0"/>
      <w:marBottom w:val="0"/>
      <w:divBdr>
        <w:top w:val="none" w:sz="0" w:space="0" w:color="auto"/>
        <w:left w:val="none" w:sz="0" w:space="0" w:color="auto"/>
        <w:bottom w:val="none" w:sz="0" w:space="0" w:color="auto"/>
        <w:right w:val="none" w:sz="0" w:space="0" w:color="auto"/>
      </w:divBdr>
    </w:div>
    <w:div w:id="834879480">
      <w:bodyDiv w:val="1"/>
      <w:marLeft w:val="0"/>
      <w:marRight w:val="0"/>
      <w:marTop w:val="0"/>
      <w:marBottom w:val="0"/>
      <w:divBdr>
        <w:top w:val="none" w:sz="0" w:space="0" w:color="auto"/>
        <w:left w:val="none" w:sz="0" w:space="0" w:color="auto"/>
        <w:bottom w:val="none" w:sz="0" w:space="0" w:color="auto"/>
        <w:right w:val="none" w:sz="0" w:space="0" w:color="auto"/>
      </w:divBdr>
    </w:div>
    <w:div w:id="936404561">
      <w:bodyDiv w:val="1"/>
      <w:marLeft w:val="0"/>
      <w:marRight w:val="0"/>
      <w:marTop w:val="0"/>
      <w:marBottom w:val="0"/>
      <w:divBdr>
        <w:top w:val="none" w:sz="0" w:space="0" w:color="auto"/>
        <w:left w:val="none" w:sz="0" w:space="0" w:color="auto"/>
        <w:bottom w:val="none" w:sz="0" w:space="0" w:color="auto"/>
        <w:right w:val="none" w:sz="0" w:space="0" w:color="auto"/>
      </w:divBdr>
      <w:divsChild>
        <w:div w:id="1912302934">
          <w:marLeft w:val="0"/>
          <w:marRight w:val="0"/>
          <w:marTop w:val="0"/>
          <w:marBottom w:val="0"/>
          <w:divBdr>
            <w:top w:val="none" w:sz="0" w:space="0" w:color="auto"/>
            <w:left w:val="none" w:sz="0" w:space="0" w:color="auto"/>
            <w:bottom w:val="none" w:sz="0" w:space="0" w:color="auto"/>
            <w:right w:val="none" w:sz="0" w:space="0" w:color="auto"/>
          </w:divBdr>
        </w:div>
      </w:divsChild>
    </w:div>
    <w:div w:id="1136485761">
      <w:bodyDiv w:val="1"/>
      <w:marLeft w:val="0"/>
      <w:marRight w:val="0"/>
      <w:marTop w:val="0"/>
      <w:marBottom w:val="0"/>
      <w:divBdr>
        <w:top w:val="none" w:sz="0" w:space="0" w:color="auto"/>
        <w:left w:val="none" w:sz="0" w:space="0" w:color="auto"/>
        <w:bottom w:val="none" w:sz="0" w:space="0" w:color="auto"/>
        <w:right w:val="none" w:sz="0" w:space="0" w:color="auto"/>
      </w:divBdr>
    </w:div>
    <w:div w:id="1826312945">
      <w:bodyDiv w:val="1"/>
      <w:marLeft w:val="0"/>
      <w:marRight w:val="0"/>
      <w:marTop w:val="0"/>
      <w:marBottom w:val="0"/>
      <w:divBdr>
        <w:top w:val="none" w:sz="0" w:space="0" w:color="auto"/>
        <w:left w:val="none" w:sz="0" w:space="0" w:color="auto"/>
        <w:bottom w:val="none" w:sz="0" w:space="0" w:color="auto"/>
        <w:right w:val="none" w:sz="0" w:space="0" w:color="auto"/>
      </w:divBdr>
      <w:divsChild>
        <w:div w:id="6256197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EEE04A-18F2-4155-829E-F14DF56EB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55A6AD15.dotm</Template>
  <TotalTime>0</TotalTime>
  <Pages>31</Pages>
  <Words>42845</Words>
  <Characters>244223</Characters>
  <Application>Microsoft Office Word</Application>
  <DocSecurity>0</DocSecurity>
  <Lines>2035</Lines>
  <Paragraphs>572</Paragraphs>
  <ScaleCrop>false</ScaleCrop>
  <HeadingPairs>
    <vt:vector size="2" baseType="variant">
      <vt:variant>
        <vt:lpstr>Title</vt:lpstr>
      </vt:variant>
      <vt:variant>
        <vt:i4>1</vt:i4>
      </vt:variant>
    </vt:vector>
  </HeadingPairs>
  <TitlesOfParts>
    <vt:vector size="1" baseType="lpstr">
      <vt:lpstr/>
    </vt:vector>
  </TitlesOfParts>
  <Company>The University of York</Company>
  <LinksUpToDate>false</LinksUpToDate>
  <CharactersWithSpaces>286496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Senior</dc:creator>
  <cp:lastModifiedBy>Jane Mccarthy</cp:lastModifiedBy>
  <cp:revision>2</cp:revision>
  <dcterms:created xsi:type="dcterms:W3CDTF">2017-09-29T09:28:00Z</dcterms:created>
  <dcterms:modified xsi:type="dcterms:W3CDTF">2017-09-29T09:28:00Z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id="QlmmAUhv"/&gt;&lt;style id="http://www.zotero.org/styles/global-change-biology" hasBibliography="1" bibliographyStyleHasBeenSet="1"/&gt;&lt;prefs&gt;&lt;pref name="fieldType" value="Field"/&gt;&lt;pref name="storeRef</vt:lpwstr>
  </property>
  <property fmtid="{D5CDD505-2E9C-101B-9397-08002B2CF9AE}" pid="3" name="ZOTERO_PREF_2">
    <vt:lpwstr>erences" value="true"/&gt;&lt;pref name="automaticJournalAbbreviations" value="true"/&gt;&lt;pref name="noteType" value=""/&gt;&lt;/prefs&gt;&lt;/data&gt;</vt:lpwstr>
  </property>
</Properties>
</file>