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2D594" w14:textId="77777777" w:rsidR="004971F4" w:rsidRDefault="004971F4" w:rsidP="004971F4">
      <w:pPr>
        <w:jc w:val="center"/>
        <w:rPr>
          <w:rFonts w:ascii="Garamond" w:hAnsi="Garamond"/>
          <w:b/>
          <w:sz w:val="44"/>
          <w:szCs w:val="24"/>
        </w:rPr>
      </w:pPr>
      <w:r w:rsidRPr="00EE66F9">
        <w:rPr>
          <w:rFonts w:ascii="Garamond" w:hAnsi="Garamond"/>
          <w:b/>
          <w:sz w:val="44"/>
          <w:szCs w:val="24"/>
        </w:rPr>
        <w:t>Liquidity and Macroeconomic Management</w:t>
      </w:r>
      <w:r>
        <w:rPr>
          <w:rFonts w:ascii="Garamond" w:hAnsi="Garamond"/>
          <w:b/>
          <w:sz w:val="44"/>
          <w:szCs w:val="24"/>
        </w:rPr>
        <w:t xml:space="preserve"> in Emerging Markets</w:t>
      </w:r>
    </w:p>
    <w:p w14:paraId="63588D78" w14:textId="77777777" w:rsidR="004971F4" w:rsidRPr="00EE66F9" w:rsidRDefault="004971F4" w:rsidP="004971F4">
      <w:pPr>
        <w:spacing w:line="360" w:lineRule="auto"/>
        <w:contextualSpacing/>
        <w:jc w:val="center"/>
        <w:rPr>
          <w:rFonts w:ascii="Garamond" w:hAnsi="Garamond"/>
          <w:b/>
          <w:sz w:val="24"/>
          <w:szCs w:val="24"/>
        </w:rPr>
      </w:pPr>
      <w:r w:rsidRPr="00EE66F9">
        <w:rPr>
          <w:rFonts w:ascii="Garamond" w:hAnsi="Garamond"/>
          <w:b/>
          <w:sz w:val="24"/>
          <w:szCs w:val="24"/>
        </w:rPr>
        <w:t>By</w:t>
      </w:r>
    </w:p>
    <w:p w14:paraId="5738146D" w14:textId="77777777" w:rsidR="004971F4" w:rsidRPr="00EE66F9" w:rsidRDefault="004971F4" w:rsidP="004971F4">
      <w:pPr>
        <w:spacing w:line="240" w:lineRule="auto"/>
        <w:contextualSpacing/>
        <w:jc w:val="center"/>
        <w:rPr>
          <w:rFonts w:ascii="Garamond" w:hAnsi="Garamond"/>
          <w:b/>
          <w:sz w:val="24"/>
          <w:szCs w:val="24"/>
        </w:rPr>
      </w:pPr>
      <w:r w:rsidRPr="00EE66F9">
        <w:rPr>
          <w:rFonts w:ascii="Garamond" w:hAnsi="Garamond"/>
          <w:b/>
          <w:sz w:val="24"/>
          <w:szCs w:val="24"/>
        </w:rPr>
        <w:t>Anup Chowdhury</w:t>
      </w:r>
      <w:r>
        <w:rPr>
          <w:rStyle w:val="FootnoteReference"/>
          <w:rFonts w:ascii="Garamond" w:hAnsi="Garamond"/>
          <w:b/>
          <w:sz w:val="24"/>
          <w:szCs w:val="24"/>
        </w:rPr>
        <w:footnoteReference w:id="1"/>
      </w:r>
    </w:p>
    <w:p w14:paraId="1D747FA7" w14:textId="77777777" w:rsidR="004971F4" w:rsidRPr="00EE66F9" w:rsidRDefault="004971F4" w:rsidP="004971F4">
      <w:pPr>
        <w:spacing w:line="240" w:lineRule="auto"/>
        <w:contextualSpacing/>
        <w:jc w:val="center"/>
        <w:rPr>
          <w:rFonts w:ascii="Garamond" w:hAnsi="Garamond"/>
          <w:b/>
          <w:sz w:val="24"/>
          <w:szCs w:val="24"/>
        </w:rPr>
      </w:pPr>
      <w:r w:rsidRPr="00EE66F9">
        <w:rPr>
          <w:rFonts w:ascii="Garamond" w:hAnsi="Garamond"/>
          <w:b/>
          <w:sz w:val="24"/>
          <w:szCs w:val="24"/>
        </w:rPr>
        <w:t>Moshfique Uddin</w:t>
      </w:r>
      <w:r>
        <w:rPr>
          <w:rStyle w:val="FootnoteReference"/>
          <w:rFonts w:ascii="Garamond" w:hAnsi="Garamond"/>
          <w:b/>
          <w:sz w:val="24"/>
          <w:szCs w:val="24"/>
        </w:rPr>
        <w:footnoteReference w:id="2"/>
      </w:r>
    </w:p>
    <w:p w14:paraId="1951EC48" w14:textId="77777777" w:rsidR="004971F4" w:rsidRPr="008264D7" w:rsidRDefault="004971F4" w:rsidP="004971F4">
      <w:pPr>
        <w:spacing w:line="360" w:lineRule="auto"/>
        <w:contextualSpacing/>
        <w:jc w:val="center"/>
        <w:rPr>
          <w:rFonts w:ascii="Garamond" w:hAnsi="Garamond"/>
          <w:b/>
          <w:sz w:val="24"/>
          <w:szCs w:val="24"/>
        </w:rPr>
      </w:pPr>
      <w:r w:rsidRPr="00EE66F9">
        <w:rPr>
          <w:rFonts w:ascii="Garamond" w:hAnsi="Garamond"/>
          <w:b/>
          <w:sz w:val="24"/>
          <w:szCs w:val="24"/>
        </w:rPr>
        <w:t>Keith Anderson</w:t>
      </w:r>
      <w:r>
        <w:rPr>
          <w:rStyle w:val="FootnoteReference"/>
          <w:rFonts w:ascii="Garamond" w:hAnsi="Garamond"/>
          <w:b/>
          <w:sz w:val="24"/>
          <w:szCs w:val="24"/>
        </w:rPr>
        <w:footnoteReference w:id="3"/>
      </w:r>
    </w:p>
    <w:p w14:paraId="76E24BFD" w14:textId="77777777" w:rsidR="004971F4" w:rsidRDefault="004971F4" w:rsidP="004971F4">
      <w:pPr>
        <w:spacing w:line="360" w:lineRule="auto"/>
        <w:jc w:val="center"/>
        <w:rPr>
          <w:rFonts w:ascii="Garamond" w:hAnsi="Garamond"/>
          <w:b/>
          <w:i/>
          <w:sz w:val="24"/>
          <w:szCs w:val="24"/>
        </w:rPr>
      </w:pPr>
    </w:p>
    <w:p w14:paraId="628A0DD6" w14:textId="77777777" w:rsidR="004971F4" w:rsidRDefault="004971F4" w:rsidP="004971F4">
      <w:pPr>
        <w:spacing w:line="360" w:lineRule="auto"/>
        <w:rPr>
          <w:rFonts w:ascii="Garamond" w:hAnsi="Garamond"/>
          <w:b/>
          <w:sz w:val="24"/>
          <w:szCs w:val="24"/>
        </w:rPr>
      </w:pPr>
    </w:p>
    <w:p w14:paraId="6541BE5B" w14:textId="77777777" w:rsidR="004971F4" w:rsidRDefault="004971F4" w:rsidP="004971F4">
      <w:pPr>
        <w:spacing w:line="360" w:lineRule="auto"/>
        <w:jc w:val="center"/>
        <w:rPr>
          <w:rFonts w:ascii="Garamond" w:hAnsi="Garamond"/>
          <w:b/>
          <w:sz w:val="24"/>
          <w:szCs w:val="24"/>
        </w:rPr>
      </w:pPr>
      <w:r w:rsidRPr="00EE66F9">
        <w:rPr>
          <w:rFonts w:ascii="Garamond" w:hAnsi="Garamond"/>
          <w:b/>
          <w:sz w:val="24"/>
          <w:szCs w:val="24"/>
        </w:rPr>
        <w:t>Abstract</w:t>
      </w:r>
    </w:p>
    <w:p w14:paraId="26308D51" w14:textId="238BF124" w:rsidR="004971F4" w:rsidRPr="006F1D71" w:rsidRDefault="004971F4" w:rsidP="004971F4">
      <w:pPr>
        <w:spacing w:line="360" w:lineRule="auto"/>
        <w:jc w:val="both"/>
        <w:rPr>
          <w:rFonts w:ascii="Garamond" w:hAnsi="Garamond"/>
          <w:b/>
          <w:sz w:val="24"/>
          <w:szCs w:val="24"/>
        </w:rPr>
      </w:pPr>
      <w:r>
        <w:rPr>
          <w:rFonts w:ascii="Garamond" w:hAnsi="Garamond"/>
          <w:sz w:val="24"/>
          <w:szCs w:val="24"/>
        </w:rPr>
        <w:t xml:space="preserve">Emerging markets have received considerable attention for foreign investment and international diversification due to the possibility of higher earnings and a low level of integration with global equity markets. These high returns often need to be balanced by the high liquidity costs of trading in illiquid emerging markets. Several studies have shown that central bank and government policies are significant determinants of market liquidity. We investigate the influence of monetary and fiscal policy variables on the market and firm level liquidity of eight emerging stock markets of </w:t>
      </w:r>
      <w:smartTag w:uri="urn:schemas-microsoft-com:office:smarttags" w:element="place">
        <w:r>
          <w:rPr>
            <w:rFonts w:ascii="Garamond" w:hAnsi="Garamond"/>
            <w:sz w:val="24"/>
            <w:szCs w:val="24"/>
          </w:rPr>
          <w:t>Asia</w:t>
        </w:r>
      </w:smartTag>
      <w:r>
        <w:rPr>
          <w:rFonts w:ascii="Garamond" w:hAnsi="Garamond"/>
          <w:sz w:val="24"/>
          <w:szCs w:val="24"/>
        </w:rPr>
        <w:t xml:space="preserve">. Using four different (il)liquidity measures and nine macroeconomic variables, we find that changes in the money supply, government expenditure and private borrowing significantly affect stock market liquidity. Illiquidity is also strongly affected by the bank rate, short-term interest rate and government borrowing. We demonstrate that ‘crowding </w:t>
      </w:r>
      <w:r w:rsidRPr="006F1D71">
        <w:rPr>
          <w:rFonts w:ascii="Garamond" w:hAnsi="Garamond"/>
          <w:sz w:val="24"/>
          <w:szCs w:val="24"/>
        </w:rPr>
        <w:t xml:space="preserve">out’ and ‘cost of funds’ effects exist in these markets. Other major findings are that some markets are more sensitive to local macroeconomic news than world factors, the impact on size based portfolios largely depends on the instruments used by the central banks and government, the liquidity of the manufacturing sector is affected by changes in any policy variables, financial institutions are only influenced by monetary policy variables, and the service sector is least affected.       </w:t>
      </w:r>
    </w:p>
    <w:p w14:paraId="2FAA1140" w14:textId="77777777" w:rsidR="004971F4" w:rsidRPr="00F11E9B" w:rsidRDefault="004971F4" w:rsidP="004971F4">
      <w:pPr>
        <w:pStyle w:val="Heading1"/>
        <w:spacing w:after="200" w:line="360" w:lineRule="auto"/>
        <w:rPr>
          <w:rFonts w:ascii="Garamond" w:hAnsi="Garamond"/>
          <w:color w:val="auto"/>
          <w:sz w:val="24"/>
          <w:szCs w:val="24"/>
        </w:rPr>
      </w:pPr>
      <w:bookmarkStart w:id="0" w:name="_Toc399683668"/>
      <w:r>
        <w:rPr>
          <w:rFonts w:ascii="Garamond" w:hAnsi="Garamond"/>
          <w:color w:val="auto"/>
          <w:sz w:val="24"/>
          <w:szCs w:val="24"/>
        </w:rPr>
        <w:lastRenderedPageBreak/>
        <w:t>1</w:t>
      </w:r>
      <w:r w:rsidRPr="00F11E9B">
        <w:rPr>
          <w:rFonts w:ascii="Garamond" w:hAnsi="Garamond"/>
          <w:color w:val="auto"/>
          <w:sz w:val="24"/>
          <w:szCs w:val="24"/>
        </w:rPr>
        <w:t>. Introduction</w:t>
      </w:r>
      <w:bookmarkEnd w:id="0"/>
    </w:p>
    <w:p w14:paraId="4AAEC330" w14:textId="169AD1E1" w:rsidR="006F1D71" w:rsidRPr="007E3C2B" w:rsidRDefault="006F1D71" w:rsidP="004971F4">
      <w:pPr>
        <w:spacing w:line="360" w:lineRule="auto"/>
        <w:jc w:val="both"/>
        <w:rPr>
          <w:rFonts w:ascii="Garamond" w:hAnsi="Garamond"/>
          <w:sz w:val="24"/>
          <w:szCs w:val="24"/>
        </w:rPr>
      </w:pPr>
      <w:r w:rsidRPr="007E3C2B">
        <w:rPr>
          <w:rFonts w:ascii="Garamond" w:hAnsi="Garamond"/>
          <w:sz w:val="24"/>
          <w:szCs w:val="24"/>
        </w:rPr>
        <w:t>Th</w:t>
      </w:r>
      <w:bookmarkStart w:id="1" w:name="_GoBack"/>
      <w:bookmarkEnd w:id="1"/>
      <w:r w:rsidRPr="007E3C2B">
        <w:rPr>
          <w:rFonts w:ascii="Garamond" w:hAnsi="Garamond"/>
          <w:sz w:val="24"/>
          <w:szCs w:val="24"/>
        </w:rPr>
        <w:t xml:space="preserve">e higher returns </w:t>
      </w:r>
      <w:r w:rsidR="00AD337B" w:rsidRPr="007E3C2B">
        <w:rPr>
          <w:rFonts w:ascii="Garamond" w:hAnsi="Garamond"/>
          <w:sz w:val="24"/>
          <w:szCs w:val="24"/>
        </w:rPr>
        <w:t xml:space="preserve">often </w:t>
      </w:r>
      <w:r w:rsidRPr="007E3C2B">
        <w:rPr>
          <w:rFonts w:ascii="Garamond" w:hAnsi="Garamond"/>
          <w:sz w:val="24"/>
          <w:szCs w:val="24"/>
        </w:rPr>
        <w:t xml:space="preserve">available from investing on emerging markets need to be balanced by their liquidity costs. </w:t>
      </w:r>
      <w:r w:rsidR="000C574B" w:rsidRPr="007E3C2B">
        <w:rPr>
          <w:rFonts w:ascii="Garamond" w:hAnsi="Garamond"/>
          <w:sz w:val="24"/>
          <w:szCs w:val="24"/>
        </w:rPr>
        <w:t>G</w:t>
      </w:r>
      <w:r w:rsidRPr="007E3C2B">
        <w:rPr>
          <w:rFonts w:ascii="Garamond" w:hAnsi="Garamond"/>
          <w:sz w:val="24"/>
          <w:szCs w:val="24"/>
        </w:rPr>
        <w:t>overnments’ monetary and fiscal policies play a central role in determining this liquidity. While the effects of macroeconomic policies on stock market liquidity have been thoroughly explored, there has been little or no work on how the policies of emerging market governments affect liquidity. In this paper we look at eight emerging markets in SE Asia and show that several macroeconomic policies affect liquidity</w:t>
      </w:r>
      <w:r w:rsidR="00AD337B" w:rsidRPr="007E3C2B">
        <w:rPr>
          <w:rFonts w:ascii="Garamond" w:hAnsi="Garamond"/>
          <w:sz w:val="24"/>
          <w:szCs w:val="24"/>
        </w:rPr>
        <w:t>, but that causality can operate in the other direction too (a successful stock market is often seen in these markets as an indicator of a successful ruling party)</w:t>
      </w:r>
      <w:r w:rsidRPr="007E3C2B">
        <w:rPr>
          <w:rFonts w:ascii="Garamond" w:hAnsi="Garamond"/>
          <w:sz w:val="24"/>
          <w:szCs w:val="24"/>
        </w:rPr>
        <w:t>. Some markets behave a lot like developed markets in their sensitivity to world news but others, particularly Bangladesh and Pakistan, march to their own tune. We also show that different industry sectors are affected by different policy variables.</w:t>
      </w:r>
    </w:p>
    <w:p w14:paraId="2A64A043" w14:textId="2D82E71C" w:rsidR="004971F4" w:rsidRDefault="004971F4" w:rsidP="004971F4">
      <w:pPr>
        <w:spacing w:line="360" w:lineRule="auto"/>
        <w:jc w:val="both"/>
        <w:rPr>
          <w:rFonts w:ascii="Garamond" w:hAnsi="Garamond"/>
          <w:sz w:val="24"/>
          <w:szCs w:val="24"/>
        </w:rPr>
      </w:pPr>
      <w:r>
        <w:rPr>
          <w:rFonts w:ascii="Garamond" w:hAnsi="Garamond"/>
          <w:sz w:val="24"/>
          <w:szCs w:val="24"/>
        </w:rPr>
        <w:t xml:space="preserve">The role of liquidity in stock markets and economic development has been documented in a number of recent </w:t>
      </w:r>
      <w:r w:rsidR="00B90008">
        <w:rPr>
          <w:rFonts w:ascii="Garamond" w:hAnsi="Garamond"/>
          <w:sz w:val="24"/>
          <w:szCs w:val="24"/>
        </w:rPr>
        <w:t xml:space="preserve">pieces of </w:t>
      </w:r>
      <w:r>
        <w:rPr>
          <w:rFonts w:ascii="Garamond" w:hAnsi="Garamond"/>
          <w:sz w:val="24"/>
          <w:szCs w:val="24"/>
        </w:rPr>
        <w:t>research. For example, illiquidity shock</w:t>
      </w:r>
      <w:r w:rsidR="00B90008">
        <w:rPr>
          <w:rFonts w:ascii="Garamond" w:hAnsi="Garamond"/>
          <w:sz w:val="24"/>
          <w:szCs w:val="24"/>
        </w:rPr>
        <w:t>s</w:t>
      </w:r>
      <w:r>
        <w:rPr>
          <w:rFonts w:ascii="Garamond" w:hAnsi="Garamond"/>
          <w:sz w:val="24"/>
          <w:szCs w:val="24"/>
        </w:rPr>
        <w:t xml:space="preserve"> could be a reason for recession</w:t>
      </w:r>
      <w:r w:rsidR="00B90008">
        <w:rPr>
          <w:rFonts w:ascii="Garamond" w:hAnsi="Garamond"/>
          <w:sz w:val="24"/>
          <w:szCs w:val="24"/>
        </w:rPr>
        <w:t>s</w:t>
      </w:r>
      <w:r>
        <w:rPr>
          <w:rFonts w:ascii="Garamond" w:hAnsi="Garamond"/>
          <w:sz w:val="24"/>
          <w:szCs w:val="24"/>
        </w:rPr>
        <w:t xml:space="preserve"> and stock market crash</w:t>
      </w:r>
      <w:r w:rsidR="00B90008">
        <w:rPr>
          <w:rFonts w:ascii="Garamond" w:hAnsi="Garamond"/>
          <w:sz w:val="24"/>
          <w:szCs w:val="24"/>
        </w:rPr>
        <w:t>es</w:t>
      </w:r>
      <w:r>
        <w:rPr>
          <w:rFonts w:ascii="Garamond" w:hAnsi="Garamond"/>
          <w:sz w:val="24"/>
          <w:szCs w:val="24"/>
        </w:rPr>
        <w:t xml:space="preserve"> (Jaccard, 2013). Liquidity has been identified as a leading indicator of real economy (</w:t>
      </w:r>
      <w:r w:rsidRPr="00B90008">
        <w:rPr>
          <w:rStyle w:val="HTMLCite"/>
          <w:rFonts w:ascii="Garamond" w:hAnsi="Garamond"/>
          <w:i w:val="0"/>
          <w:sz w:val="24"/>
          <w:szCs w:val="24"/>
        </w:rPr>
        <w:t>Næs</w:t>
      </w:r>
      <w:r>
        <w:rPr>
          <w:rFonts w:ascii="Garamond" w:hAnsi="Garamond"/>
          <w:sz w:val="24"/>
          <w:szCs w:val="24"/>
        </w:rPr>
        <w:t xml:space="preserve"> et al., </w:t>
      </w:r>
      <w:r w:rsidRPr="004A5EFD">
        <w:rPr>
          <w:rFonts w:ascii="Garamond" w:hAnsi="Garamond"/>
          <w:sz w:val="24"/>
          <w:szCs w:val="24"/>
        </w:rPr>
        <w:t>2011</w:t>
      </w:r>
      <w:r>
        <w:rPr>
          <w:rFonts w:ascii="Garamond" w:hAnsi="Garamond"/>
          <w:sz w:val="24"/>
          <w:szCs w:val="24"/>
        </w:rPr>
        <w:t xml:space="preserve">) and </w:t>
      </w:r>
      <w:r w:rsidR="00B90008">
        <w:rPr>
          <w:rFonts w:ascii="Garamond" w:hAnsi="Garamond"/>
          <w:sz w:val="24"/>
          <w:szCs w:val="24"/>
        </w:rPr>
        <w:t xml:space="preserve">is </w:t>
      </w:r>
      <w:r>
        <w:rPr>
          <w:rFonts w:ascii="Garamond" w:hAnsi="Garamond"/>
          <w:sz w:val="24"/>
          <w:szCs w:val="24"/>
        </w:rPr>
        <w:t xml:space="preserve">thought to be a reliable predictor of future economic growth (Levine and Zervos, 1989). Stock market liquidity may also be used as a proxy for investors’ liquidity and transaction costs (Goyenko et al., 2009). Considering these important interconnections between stock market liquidity and both macro and micro market structure, Choi and Cook (2006) argue that the unpredictability of market liquidity is an important source of risk for equity investors. Due to the immense importance of stock market liquidity, both government and market regulators are making constant efforts to maintain a satisfactory level of liquidity. One of the major ways to influence market liquidity is </w:t>
      </w:r>
      <w:r w:rsidR="00B90008">
        <w:rPr>
          <w:rFonts w:ascii="Garamond" w:hAnsi="Garamond"/>
          <w:sz w:val="24"/>
          <w:szCs w:val="24"/>
        </w:rPr>
        <w:t>via</w:t>
      </w:r>
      <w:r>
        <w:rPr>
          <w:rFonts w:ascii="Garamond" w:hAnsi="Garamond"/>
          <w:sz w:val="24"/>
          <w:szCs w:val="24"/>
        </w:rPr>
        <w:t xml:space="preserve"> macroeconomic policy tools, both monetary and fiscal. A number of studies such as </w:t>
      </w:r>
      <w:r w:rsidRPr="005C4A9C">
        <w:rPr>
          <w:rFonts w:ascii="Garamond" w:hAnsi="Garamond"/>
          <w:sz w:val="24"/>
          <w:szCs w:val="24"/>
        </w:rPr>
        <w:t>Fernández-Amador</w:t>
      </w:r>
      <w:r>
        <w:rPr>
          <w:rFonts w:ascii="Garamond" w:hAnsi="Garamond"/>
          <w:sz w:val="24"/>
          <w:szCs w:val="24"/>
        </w:rPr>
        <w:t xml:space="preserve"> et al. (2013), Brunnermeier and Pedersen (2009),</w:t>
      </w:r>
      <w:r w:rsidRPr="000806F7">
        <w:rPr>
          <w:rFonts w:ascii="Garamond" w:hAnsi="Garamond"/>
          <w:sz w:val="24"/>
          <w:szCs w:val="24"/>
        </w:rPr>
        <w:t xml:space="preserve"> </w:t>
      </w:r>
      <w:r>
        <w:rPr>
          <w:rFonts w:ascii="Garamond" w:hAnsi="Garamond"/>
          <w:sz w:val="24"/>
          <w:szCs w:val="24"/>
        </w:rPr>
        <w:t>Easley and O’Hara (1987), Birz and Lott (2011), Chordia, Roll and Subrahmanyam (2001), Goyenko and Ukhov (2009) and Choi and Cook (2006) have explained the influence of economic policies on stock market liquidity. However, one notable similarity in all those studies is that they have examined market liquidity using developed stock markets. This is against the backdrop that emerging markets are gaining importance and they are notably different from developed markets in terms of their institutional and regulatory set ups (</w:t>
      </w:r>
      <w:r w:rsidRPr="00E21936">
        <w:rPr>
          <w:rFonts w:ascii="Garamond" w:hAnsi="Garamond"/>
          <w:sz w:val="24"/>
          <w:szCs w:val="24"/>
        </w:rPr>
        <w:t>Bekaert et al., 2007</w:t>
      </w:r>
      <w:r>
        <w:rPr>
          <w:rFonts w:ascii="Garamond" w:hAnsi="Garamond"/>
          <w:sz w:val="24"/>
          <w:szCs w:val="24"/>
        </w:rPr>
        <w:t xml:space="preserve">). Due to this difference between developed and emerging markets, results from developed markets may not be generalised for emerging markets. Bekaert et al. (2007) further mention that the focus on emerging markets should yield powerful tests and useful independent evidence. In addition, the relationship of market liquidity with fiscal policy is still </w:t>
      </w:r>
      <w:r>
        <w:rPr>
          <w:rFonts w:ascii="Garamond" w:hAnsi="Garamond"/>
          <w:sz w:val="24"/>
          <w:szCs w:val="24"/>
        </w:rPr>
        <w:lastRenderedPageBreak/>
        <w:t xml:space="preserve">significantly under-explored and ambiguous with only the one exception of Gagnon and Gimet (2013) who examined the effect of fiscal policy on market liquidity using US macroeconomic data. </w:t>
      </w:r>
    </w:p>
    <w:p w14:paraId="71650646" w14:textId="1E4E588E" w:rsidR="004971F4" w:rsidRDefault="004971F4" w:rsidP="004971F4">
      <w:pPr>
        <w:spacing w:line="360" w:lineRule="auto"/>
        <w:jc w:val="both"/>
        <w:rPr>
          <w:rFonts w:ascii="Garamond" w:hAnsi="Garamond"/>
          <w:sz w:val="24"/>
          <w:szCs w:val="24"/>
        </w:rPr>
      </w:pPr>
      <w:r>
        <w:rPr>
          <w:rFonts w:ascii="Garamond" w:hAnsi="Garamond"/>
          <w:sz w:val="24"/>
          <w:szCs w:val="24"/>
        </w:rPr>
        <w:t xml:space="preserve">In this study, therefore, our objective is to investigate the influence of monetary and fiscal policy variables on the liquidity of eight emerging stock markets. We examine whether the monetary policies of central banks and the fiscal policies of governments are common determinants of stock liquidity. For example, when the central bank pursues an expansionary monetary policy, the increase in funds could cause higher order inflows into the stock market and potentially change liquidity (see Choi and Cook, 2006; Chordia et al., 2005). Moreover, due to any systematic risk or information shock (e.g. macroeconomic policy uncertainty) investors </w:t>
      </w:r>
      <w:r w:rsidR="00B90008">
        <w:rPr>
          <w:rFonts w:ascii="Garamond" w:hAnsi="Garamond"/>
          <w:sz w:val="24"/>
          <w:szCs w:val="24"/>
        </w:rPr>
        <w:t xml:space="preserve">might </w:t>
      </w:r>
      <w:r>
        <w:rPr>
          <w:rFonts w:ascii="Garamond" w:hAnsi="Garamond"/>
          <w:sz w:val="24"/>
          <w:szCs w:val="24"/>
        </w:rPr>
        <w:t xml:space="preserve">change their asset holdings between stocks and other financial securities. In the first step, therefore, we observe the impact of standard monetary and fiscal policies on aggregate stock market liquidity. In the second step, we extend our analysis to look more deeply into the influence of those policies on the liquidity of sectors and individual stocks. </w:t>
      </w:r>
    </w:p>
    <w:p w14:paraId="3EA7F516" w14:textId="77777777" w:rsidR="00B90008" w:rsidRDefault="004971F4" w:rsidP="004971F4">
      <w:pPr>
        <w:spacing w:line="360" w:lineRule="auto"/>
        <w:jc w:val="both"/>
        <w:rPr>
          <w:rFonts w:ascii="Garamond" w:hAnsi="Garamond"/>
          <w:sz w:val="24"/>
          <w:szCs w:val="24"/>
        </w:rPr>
      </w:pPr>
      <w:r w:rsidRPr="00C6027D">
        <w:rPr>
          <w:rFonts w:ascii="Garamond" w:hAnsi="Garamond"/>
          <w:sz w:val="24"/>
          <w:szCs w:val="24"/>
        </w:rPr>
        <w:t xml:space="preserve">As our second objective we examine whether the effect of macroeconomic policy depends on the size of firms. Amihud (2002) finds that small stocks are more responsive to illiquidity shocks and large firms become more attractive when aggregate liquidity declines. In contrast, Fernández-Amador et al. (2013) report smaller firms are more responsive to liquidity shocks and the liquidity-providing effect of e.g. a loose monetary policy is stronger for larger firms. Similarly, </w:t>
      </w:r>
      <w:r w:rsidRPr="00B90008">
        <w:rPr>
          <w:rStyle w:val="HTMLCite"/>
          <w:rFonts w:ascii="Garamond" w:hAnsi="Garamond"/>
          <w:i w:val="0"/>
          <w:sz w:val="24"/>
          <w:szCs w:val="24"/>
        </w:rPr>
        <w:t>Næs</w:t>
      </w:r>
      <w:r w:rsidRPr="00C6027D">
        <w:rPr>
          <w:rFonts w:ascii="Garamond" w:hAnsi="Garamond"/>
          <w:sz w:val="24"/>
          <w:szCs w:val="24"/>
        </w:rPr>
        <w:t xml:space="preserve"> et al. (2011) assert that the informativeness of stock market liquidity is highest in smaller firms, which are the least liquid. In this study we further investigate this linkage for firms listed on emerging stock markets. </w:t>
      </w:r>
    </w:p>
    <w:p w14:paraId="4BAEA6C3" w14:textId="4C721AFE" w:rsidR="004971F4" w:rsidRDefault="004971F4" w:rsidP="004971F4">
      <w:pPr>
        <w:spacing w:line="360" w:lineRule="auto"/>
        <w:jc w:val="both"/>
        <w:rPr>
          <w:rFonts w:ascii="Garamond" w:hAnsi="Garamond"/>
          <w:sz w:val="24"/>
          <w:szCs w:val="24"/>
        </w:rPr>
      </w:pPr>
      <w:r w:rsidRPr="00C6027D">
        <w:rPr>
          <w:rFonts w:ascii="Garamond" w:hAnsi="Garamond"/>
          <w:sz w:val="24"/>
          <w:szCs w:val="24"/>
        </w:rPr>
        <w:t>Finally, we investigate the characteristics of liquidity in emerging markets during the 200</w:t>
      </w:r>
      <w:r>
        <w:rPr>
          <w:rFonts w:ascii="Garamond" w:hAnsi="Garamond"/>
          <w:sz w:val="24"/>
          <w:szCs w:val="24"/>
        </w:rPr>
        <w:t>7</w:t>
      </w:r>
      <w:r w:rsidRPr="00C6027D">
        <w:rPr>
          <w:rFonts w:ascii="Garamond" w:hAnsi="Garamond"/>
          <w:sz w:val="24"/>
          <w:szCs w:val="24"/>
        </w:rPr>
        <w:t>-</w:t>
      </w:r>
      <w:r>
        <w:rPr>
          <w:rFonts w:ascii="Garamond" w:hAnsi="Garamond"/>
          <w:sz w:val="24"/>
          <w:szCs w:val="24"/>
        </w:rPr>
        <w:t>08</w:t>
      </w:r>
      <w:r w:rsidRPr="00C6027D">
        <w:rPr>
          <w:rFonts w:ascii="Garamond" w:hAnsi="Garamond"/>
          <w:sz w:val="24"/>
          <w:szCs w:val="24"/>
        </w:rPr>
        <w:t xml:space="preserve"> financial crisis. Many studies have reported that market liquidity dropped significantly during the crisis (see e.g. Blanchard et al., 2010</w:t>
      </w:r>
      <w:r>
        <w:rPr>
          <w:rFonts w:ascii="Garamond" w:hAnsi="Garamond"/>
          <w:sz w:val="24"/>
          <w:szCs w:val="24"/>
        </w:rPr>
        <w:t xml:space="preserve">; </w:t>
      </w:r>
      <w:r w:rsidRPr="00BE2865">
        <w:rPr>
          <w:rFonts w:ascii="Garamond" w:hAnsi="Garamond"/>
          <w:sz w:val="24"/>
          <w:szCs w:val="24"/>
        </w:rPr>
        <w:t>Söderberg</w:t>
      </w:r>
      <w:r>
        <w:rPr>
          <w:rFonts w:ascii="Garamond" w:hAnsi="Garamond"/>
          <w:sz w:val="24"/>
          <w:szCs w:val="24"/>
        </w:rPr>
        <w:t>, 2008; Choi and Cook, 2006</w:t>
      </w:r>
      <w:r w:rsidRPr="00C6027D">
        <w:rPr>
          <w:rFonts w:ascii="Garamond" w:hAnsi="Garamond"/>
          <w:sz w:val="24"/>
          <w:szCs w:val="24"/>
        </w:rPr>
        <w:t xml:space="preserve">). We therefore want to see how policies adopted by governments </w:t>
      </w:r>
      <w:r>
        <w:rPr>
          <w:rFonts w:ascii="Garamond" w:hAnsi="Garamond"/>
          <w:sz w:val="24"/>
          <w:szCs w:val="24"/>
        </w:rPr>
        <w:t>during the financial crisis</w:t>
      </w:r>
      <w:r w:rsidRPr="00C6027D">
        <w:rPr>
          <w:rFonts w:ascii="Garamond" w:hAnsi="Garamond"/>
          <w:sz w:val="24"/>
          <w:szCs w:val="24"/>
        </w:rPr>
        <w:t xml:space="preserve"> influenced the flow of funds in the</w:t>
      </w:r>
      <w:r>
        <w:rPr>
          <w:rFonts w:ascii="Garamond" w:hAnsi="Garamond"/>
          <w:sz w:val="24"/>
          <w:szCs w:val="24"/>
        </w:rPr>
        <w:t>ir financial markets.</w:t>
      </w:r>
    </w:p>
    <w:p w14:paraId="06406015" w14:textId="77777777" w:rsidR="004971F4" w:rsidRPr="00342053" w:rsidRDefault="004971F4" w:rsidP="004971F4">
      <w:pPr>
        <w:spacing w:line="360" w:lineRule="auto"/>
        <w:jc w:val="both"/>
        <w:rPr>
          <w:rFonts w:ascii="Garamond" w:hAnsi="Garamond"/>
          <w:sz w:val="24"/>
          <w:szCs w:val="24"/>
        </w:rPr>
      </w:pPr>
      <w:r w:rsidRPr="00342053">
        <w:rPr>
          <w:rFonts w:ascii="Garamond" w:hAnsi="Garamond"/>
          <w:sz w:val="24"/>
          <w:szCs w:val="24"/>
        </w:rPr>
        <w:t xml:space="preserve">Our contributions are threefold. First, by considering macroeconomic management variables as determinants and examining their influence, this paper helps to identify the commonality observed or underlying economic forces responsible for the systematic movement of liquidity in emerging markets. </w:t>
      </w:r>
    </w:p>
    <w:p w14:paraId="6EB2C5EA" w14:textId="77777777" w:rsidR="004971F4" w:rsidRPr="00342053" w:rsidRDefault="004971F4" w:rsidP="004971F4">
      <w:pPr>
        <w:spacing w:line="360" w:lineRule="auto"/>
        <w:jc w:val="both"/>
        <w:rPr>
          <w:rFonts w:ascii="Garamond" w:hAnsi="Garamond"/>
          <w:sz w:val="24"/>
          <w:szCs w:val="24"/>
        </w:rPr>
      </w:pPr>
      <w:r w:rsidRPr="00342053">
        <w:rPr>
          <w:rFonts w:ascii="Garamond" w:hAnsi="Garamond"/>
          <w:sz w:val="24"/>
          <w:szCs w:val="24"/>
        </w:rPr>
        <w:lastRenderedPageBreak/>
        <w:t xml:space="preserve">Second, we know very little about the dynamic relationship of monetary and fiscal policy with stock market liquidity. Yet studies such as Spilimbergo et al. (2009), Blanchard et al. (2010) and Woodford (2011) have detailed how fiscal stimulus packages inject liquidity into financial markets. We will therefore provide new insights into the interaction of these variables in emerging economies. As Choi and Cook (2006) assert, the unpredictability of market liquidity is an important source of risk for investors, but it is clear that the risk is higher for emerging markets where investors generally have less opportunity to diversify their portfolios and face greater asymmetry of information. Consequently, identifying the macroeconomic determinants of the liquidity of these markets will help both local and international investors. </w:t>
      </w:r>
    </w:p>
    <w:p w14:paraId="5B5F9C5D" w14:textId="1D00C94B" w:rsidR="004971F4" w:rsidRPr="00342053" w:rsidRDefault="004971F4" w:rsidP="004971F4">
      <w:pPr>
        <w:spacing w:line="360" w:lineRule="auto"/>
        <w:jc w:val="both"/>
        <w:rPr>
          <w:rFonts w:ascii="Garamond" w:hAnsi="Garamond"/>
          <w:sz w:val="24"/>
          <w:szCs w:val="24"/>
        </w:rPr>
      </w:pPr>
      <w:r w:rsidRPr="00342053">
        <w:rPr>
          <w:rFonts w:ascii="Garamond" w:hAnsi="Garamond"/>
          <w:sz w:val="24"/>
          <w:szCs w:val="24"/>
        </w:rPr>
        <w:t>Third, the reputation of emerging stock markets in the context of investment portfolios and international diversification has received considerable attention over the last decade when developed markets have faced financial crisis. In particular, emerging markets are experiencing explosive growth fuelled by foreign investment and offered returns up to 90 percent (Lesmond, 2005). The United Nation</w:t>
      </w:r>
      <w:r>
        <w:rPr>
          <w:rFonts w:ascii="Garamond" w:hAnsi="Garamond"/>
          <w:sz w:val="24"/>
          <w:szCs w:val="24"/>
        </w:rPr>
        <w:t>s</w:t>
      </w:r>
      <w:r w:rsidRPr="00342053">
        <w:rPr>
          <w:rFonts w:ascii="Garamond" w:hAnsi="Garamond"/>
          <w:sz w:val="24"/>
          <w:szCs w:val="24"/>
        </w:rPr>
        <w:t xml:space="preserve"> Conference on Trade and Development reports that developing economies attracted 795 billion US$ of foreign investment in 2013, which is 52 percent of total foreign direct investment in the world (UNCTAD, 2014)</w:t>
      </w:r>
      <w:r w:rsidRPr="00342053">
        <w:rPr>
          <w:rFonts w:ascii="Garamond" w:hAnsi="Garamond"/>
          <w:color w:val="FF0000"/>
          <w:sz w:val="24"/>
          <w:szCs w:val="24"/>
        </w:rPr>
        <w:t xml:space="preserve">. </w:t>
      </w:r>
      <w:r w:rsidRPr="00342053">
        <w:rPr>
          <w:rFonts w:ascii="Garamond" w:hAnsi="Garamond"/>
          <w:sz w:val="24"/>
          <w:szCs w:val="24"/>
        </w:rPr>
        <w:t xml:space="preserve">Ten emerging markets are now ranked among the top 20 markets in the world and account for more than 30 percent of world market capitalization. According to </w:t>
      </w:r>
      <w:r w:rsidR="00B90008">
        <w:rPr>
          <w:rFonts w:ascii="Garamond" w:hAnsi="Garamond"/>
          <w:sz w:val="24"/>
          <w:szCs w:val="24"/>
        </w:rPr>
        <w:t xml:space="preserve">the </w:t>
      </w:r>
      <w:r w:rsidRPr="00342053">
        <w:rPr>
          <w:rFonts w:ascii="Garamond" w:hAnsi="Garamond"/>
          <w:sz w:val="24"/>
          <w:szCs w:val="24"/>
        </w:rPr>
        <w:t xml:space="preserve">International Monetary Fund the growth rate of emerging markets was slowing in 2015 but is expected to pick up in 2016 (WEO, 2015). Hence researchers, investors and policy makers </w:t>
      </w:r>
      <w:r>
        <w:rPr>
          <w:rFonts w:ascii="Garamond" w:hAnsi="Garamond"/>
          <w:sz w:val="24"/>
          <w:szCs w:val="24"/>
        </w:rPr>
        <w:t>would</w:t>
      </w:r>
      <w:r w:rsidRPr="00342053">
        <w:rPr>
          <w:rFonts w:ascii="Garamond" w:hAnsi="Garamond"/>
          <w:sz w:val="24"/>
          <w:szCs w:val="24"/>
        </w:rPr>
        <w:t xml:space="preserve"> be interested to know the characteristics of market liquidity in these markets, specifically during the 200</w:t>
      </w:r>
      <w:r w:rsidR="00B90008">
        <w:rPr>
          <w:rFonts w:ascii="Garamond" w:hAnsi="Garamond"/>
          <w:sz w:val="24"/>
          <w:szCs w:val="24"/>
        </w:rPr>
        <w:t>7-</w:t>
      </w:r>
      <w:r w:rsidRPr="00342053">
        <w:rPr>
          <w:rFonts w:ascii="Garamond" w:hAnsi="Garamond"/>
          <w:sz w:val="24"/>
          <w:szCs w:val="24"/>
        </w:rPr>
        <w:t xml:space="preserve">8 financial crisis. </w:t>
      </w:r>
    </w:p>
    <w:p w14:paraId="7DFE8D73" w14:textId="4C20A41D" w:rsidR="004971F4" w:rsidRPr="00342053" w:rsidRDefault="004971F4" w:rsidP="004971F4">
      <w:pPr>
        <w:spacing w:line="360" w:lineRule="auto"/>
        <w:jc w:val="both"/>
        <w:rPr>
          <w:rFonts w:ascii="Garamond" w:hAnsi="Garamond"/>
          <w:sz w:val="24"/>
          <w:szCs w:val="24"/>
        </w:rPr>
      </w:pPr>
      <w:r w:rsidRPr="00342053">
        <w:rPr>
          <w:rFonts w:ascii="Garamond" w:hAnsi="Garamond"/>
          <w:sz w:val="24"/>
          <w:szCs w:val="24"/>
        </w:rPr>
        <w:t>Emerging markets have different economic and institutional characteristics from developed markets that make them interesting for research</w:t>
      </w:r>
      <w:r>
        <w:rPr>
          <w:rFonts w:ascii="Garamond" w:hAnsi="Garamond"/>
          <w:sz w:val="24"/>
          <w:szCs w:val="24"/>
        </w:rPr>
        <w:t xml:space="preserve"> as highlighted in e.g. Batten and Szilagyi (2011)</w:t>
      </w:r>
      <w:r w:rsidRPr="00342053">
        <w:rPr>
          <w:rFonts w:ascii="Garamond" w:hAnsi="Garamond"/>
          <w:sz w:val="24"/>
          <w:szCs w:val="24"/>
        </w:rPr>
        <w:t xml:space="preserve">. They are largely dominated by individual investors, </w:t>
      </w:r>
      <w:r>
        <w:rPr>
          <w:rFonts w:ascii="Garamond" w:hAnsi="Garamond"/>
          <w:sz w:val="24"/>
          <w:szCs w:val="24"/>
        </w:rPr>
        <w:t>hav</w:t>
      </w:r>
      <w:r w:rsidR="00B90008">
        <w:rPr>
          <w:rFonts w:ascii="Garamond" w:hAnsi="Garamond"/>
          <w:sz w:val="24"/>
          <w:szCs w:val="24"/>
        </w:rPr>
        <w:t>e</w:t>
      </w:r>
      <w:r w:rsidRPr="00342053">
        <w:rPr>
          <w:rFonts w:ascii="Garamond" w:hAnsi="Garamond"/>
          <w:sz w:val="24"/>
          <w:szCs w:val="24"/>
        </w:rPr>
        <w:t xml:space="preserve"> low integration with world markets and </w:t>
      </w:r>
      <w:r w:rsidR="00B90008">
        <w:rPr>
          <w:rFonts w:ascii="Garamond" w:hAnsi="Garamond"/>
          <w:sz w:val="24"/>
          <w:szCs w:val="24"/>
        </w:rPr>
        <w:t>a</w:t>
      </w:r>
      <w:r>
        <w:rPr>
          <w:rFonts w:ascii="Garamond" w:hAnsi="Garamond"/>
          <w:sz w:val="24"/>
          <w:szCs w:val="24"/>
        </w:rPr>
        <w:t xml:space="preserve"> </w:t>
      </w:r>
      <w:r w:rsidRPr="00342053">
        <w:rPr>
          <w:rFonts w:ascii="Garamond" w:hAnsi="Garamond"/>
          <w:sz w:val="24"/>
          <w:szCs w:val="24"/>
        </w:rPr>
        <w:t xml:space="preserve">significant </w:t>
      </w:r>
      <w:r w:rsidR="00B90008">
        <w:rPr>
          <w:rFonts w:ascii="Garamond" w:hAnsi="Garamond"/>
          <w:sz w:val="24"/>
          <w:szCs w:val="24"/>
        </w:rPr>
        <w:t xml:space="preserve">degree </w:t>
      </w:r>
      <w:r>
        <w:rPr>
          <w:rFonts w:ascii="Garamond" w:hAnsi="Garamond"/>
          <w:sz w:val="24"/>
          <w:szCs w:val="24"/>
        </w:rPr>
        <w:t>of</w:t>
      </w:r>
      <w:r w:rsidRPr="00342053">
        <w:rPr>
          <w:rFonts w:ascii="Garamond" w:hAnsi="Garamond"/>
          <w:sz w:val="24"/>
          <w:szCs w:val="24"/>
        </w:rPr>
        <w:t xml:space="preserve"> political uncertainty. In many of these economies</w:t>
      </w:r>
      <w:r>
        <w:rPr>
          <w:rFonts w:ascii="Garamond" w:hAnsi="Garamond"/>
          <w:sz w:val="24"/>
          <w:szCs w:val="24"/>
        </w:rPr>
        <w:t>,</w:t>
      </w:r>
      <w:r w:rsidRPr="00342053">
        <w:rPr>
          <w:rFonts w:ascii="Garamond" w:hAnsi="Garamond"/>
          <w:sz w:val="24"/>
          <w:szCs w:val="24"/>
        </w:rPr>
        <w:t xml:space="preserve"> stock market performance is seen as an indicator of political success</w:t>
      </w:r>
      <w:r>
        <w:rPr>
          <w:rFonts w:ascii="Garamond" w:hAnsi="Garamond"/>
          <w:sz w:val="24"/>
          <w:szCs w:val="24"/>
        </w:rPr>
        <w:t xml:space="preserve">. Therefore, </w:t>
      </w:r>
      <w:r w:rsidRPr="00342053">
        <w:rPr>
          <w:rFonts w:ascii="Garamond" w:hAnsi="Garamond"/>
          <w:sz w:val="24"/>
          <w:szCs w:val="24"/>
        </w:rPr>
        <w:t>governments often intervene in the</w:t>
      </w:r>
      <w:r>
        <w:rPr>
          <w:rFonts w:ascii="Garamond" w:hAnsi="Garamond"/>
          <w:sz w:val="24"/>
          <w:szCs w:val="24"/>
        </w:rPr>
        <w:t xml:space="preserve">se </w:t>
      </w:r>
      <w:r w:rsidRPr="00342053">
        <w:rPr>
          <w:rFonts w:ascii="Garamond" w:hAnsi="Garamond"/>
          <w:sz w:val="24"/>
          <w:szCs w:val="24"/>
        </w:rPr>
        <w:t>market</w:t>
      </w:r>
      <w:r>
        <w:rPr>
          <w:rFonts w:ascii="Garamond" w:hAnsi="Garamond"/>
          <w:sz w:val="24"/>
          <w:szCs w:val="24"/>
        </w:rPr>
        <w:t>s</w:t>
      </w:r>
      <w:r w:rsidRPr="00342053">
        <w:rPr>
          <w:rFonts w:ascii="Garamond" w:hAnsi="Garamond"/>
          <w:sz w:val="24"/>
          <w:szCs w:val="24"/>
        </w:rPr>
        <w:t xml:space="preserve"> to ensure </w:t>
      </w:r>
      <w:r>
        <w:rPr>
          <w:rFonts w:ascii="Garamond" w:hAnsi="Garamond"/>
          <w:sz w:val="24"/>
          <w:szCs w:val="24"/>
        </w:rPr>
        <w:t>future electoral success</w:t>
      </w:r>
      <w:r w:rsidRPr="00342053">
        <w:rPr>
          <w:rFonts w:ascii="Garamond" w:hAnsi="Garamond"/>
          <w:sz w:val="24"/>
          <w:szCs w:val="24"/>
        </w:rPr>
        <w:t xml:space="preserve">. These markets generally have small scale bond markets but strong alternative investment opportunities (e.g. national savings deposits and wage earners’ bonds). </w:t>
      </w:r>
      <w:r>
        <w:rPr>
          <w:rFonts w:ascii="Garamond" w:hAnsi="Garamond"/>
          <w:sz w:val="24"/>
          <w:szCs w:val="24"/>
        </w:rPr>
        <w:t xml:space="preserve">These distinctive characteristics of emerging markets make it worth investigating </w:t>
      </w:r>
      <w:r w:rsidRPr="00342053">
        <w:rPr>
          <w:rFonts w:ascii="Garamond" w:hAnsi="Garamond"/>
          <w:sz w:val="24"/>
          <w:szCs w:val="24"/>
        </w:rPr>
        <w:t>the dynamic relationship between market liquidity and the policies of emerging market central banks and governments</w:t>
      </w:r>
      <w:r>
        <w:rPr>
          <w:rFonts w:ascii="Garamond" w:hAnsi="Garamond"/>
          <w:sz w:val="24"/>
          <w:szCs w:val="24"/>
        </w:rPr>
        <w:t>.</w:t>
      </w:r>
      <w:r w:rsidRPr="00342053">
        <w:rPr>
          <w:rFonts w:ascii="Garamond" w:hAnsi="Garamond"/>
          <w:sz w:val="24"/>
          <w:szCs w:val="24"/>
        </w:rPr>
        <w:t xml:space="preserve"> </w:t>
      </w:r>
    </w:p>
    <w:p w14:paraId="298563AC" w14:textId="2B76C2AA" w:rsidR="004971F4" w:rsidRDefault="004971F4" w:rsidP="004971F4">
      <w:pPr>
        <w:spacing w:line="360" w:lineRule="auto"/>
        <w:jc w:val="both"/>
        <w:rPr>
          <w:rFonts w:ascii="Garamond" w:hAnsi="Garamond"/>
          <w:sz w:val="24"/>
          <w:szCs w:val="24"/>
        </w:rPr>
      </w:pPr>
      <w:r>
        <w:rPr>
          <w:rFonts w:ascii="Garamond" w:hAnsi="Garamond"/>
          <w:sz w:val="24"/>
          <w:szCs w:val="24"/>
        </w:rPr>
        <w:t xml:space="preserve">Our major findings include: expansionary (restrictive) monetary and fiscal policy has a positive impact on equity market liquidity (illiquidity). There is causality and bidirectional causality </w:t>
      </w:r>
      <w:r>
        <w:rPr>
          <w:rFonts w:ascii="Garamond" w:hAnsi="Garamond"/>
          <w:sz w:val="24"/>
          <w:szCs w:val="24"/>
        </w:rPr>
        <w:lastRenderedPageBreak/>
        <w:t>between macroeconomic variables and (il)liquidity ratios. Bank rate, short-term interest rate and government borrowing can explain a large fraction of the error variance of Amihud’s (2002) illiquidity measures and turnover price impact ratio. This indicates the existence of ‘crowding out’ and ‘cost of funds’ effects in these stock markets. The global financial crisis broadly had a negative influence on market liquidity and significantly increased market illiquidity. Individual stock characteristics such as market capitalization play an important role in the relationship between firm level (il)liquidity and central bank or government policies, such as smaller and larger firms being more sensitive to changes in any variables. For sectoral portfolios, financial institutions in this region are strongly associated with central bank policies, whereas the manufacturing sector is sub</w:t>
      </w:r>
      <w:r w:rsidR="0044365B">
        <w:rPr>
          <w:rFonts w:ascii="Garamond" w:hAnsi="Garamond"/>
          <w:sz w:val="24"/>
          <w:szCs w:val="24"/>
        </w:rPr>
        <w:t>ject</w:t>
      </w:r>
      <w:r>
        <w:rPr>
          <w:rFonts w:ascii="Garamond" w:hAnsi="Garamond"/>
          <w:sz w:val="24"/>
          <w:szCs w:val="24"/>
        </w:rPr>
        <w:t xml:space="preserve"> to both. The liquidity response to macroeconomic shocks in Taiwan is the most consistent among </w:t>
      </w:r>
      <w:r w:rsidR="0044365B">
        <w:rPr>
          <w:rFonts w:ascii="Garamond" w:hAnsi="Garamond"/>
          <w:sz w:val="24"/>
          <w:szCs w:val="24"/>
        </w:rPr>
        <w:t xml:space="preserve">the </w:t>
      </w:r>
      <w:r>
        <w:rPr>
          <w:rFonts w:ascii="Garamond" w:hAnsi="Garamond"/>
          <w:sz w:val="24"/>
          <w:szCs w:val="24"/>
        </w:rPr>
        <w:t>eight equity markets and well in line with theoretical arguments. On the other hand, Pakistan does</w:t>
      </w:r>
      <w:r w:rsidR="0044365B">
        <w:rPr>
          <w:rFonts w:ascii="Garamond" w:hAnsi="Garamond"/>
          <w:sz w:val="24"/>
          <w:szCs w:val="24"/>
        </w:rPr>
        <w:t xml:space="preserve"> </w:t>
      </w:r>
      <w:r>
        <w:rPr>
          <w:rFonts w:ascii="Garamond" w:hAnsi="Garamond"/>
          <w:sz w:val="24"/>
          <w:szCs w:val="24"/>
        </w:rPr>
        <w:t>n</w:t>
      </w:r>
      <w:r w:rsidR="0044365B">
        <w:rPr>
          <w:rFonts w:ascii="Garamond" w:hAnsi="Garamond"/>
          <w:sz w:val="24"/>
          <w:szCs w:val="24"/>
        </w:rPr>
        <w:t>o</w:t>
      </w:r>
      <w:r>
        <w:rPr>
          <w:rFonts w:ascii="Garamond" w:hAnsi="Garamond"/>
          <w:sz w:val="24"/>
          <w:szCs w:val="24"/>
        </w:rPr>
        <w:t xml:space="preserve">t show any clear trend.       </w:t>
      </w:r>
    </w:p>
    <w:p w14:paraId="7D4D90BA" w14:textId="40FBDDC4" w:rsidR="004971F4" w:rsidRDefault="004971F4" w:rsidP="004971F4">
      <w:pPr>
        <w:spacing w:line="360" w:lineRule="auto"/>
        <w:jc w:val="both"/>
        <w:rPr>
          <w:rFonts w:ascii="Garamond" w:hAnsi="Garamond"/>
          <w:sz w:val="24"/>
          <w:szCs w:val="24"/>
        </w:rPr>
      </w:pPr>
      <w:r>
        <w:rPr>
          <w:rFonts w:ascii="Garamond" w:hAnsi="Garamond"/>
          <w:sz w:val="24"/>
          <w:szCs w:val="24"/>
        </w:rPr>
        <w:t>The rest of the study is organised as follows: section 2 reviews the methodological framework and details of the data</w:t>
      </w:r>
      <w:r w:rsidR="0044365B">
        <w:rPr>
          <w:rFonts w:ascii="Garamond" w:hAnsi="Garamond"/>
          <w:sz w:val="24"/>
          <w:szCs w:val="24"/>
        </w:rPr>
        <w:t>.</w:t>
      </w:r>
      <w:r>
        <w:rPr>
          <w:rFonts w:ascii="Garamond" w:hAnsi="Garamond"/>
          <w:sz w:val="24"/>
          <w:szCs w:val="24"/>
        </w:rPr>
        <w:t xml:space="preserve"> </w:t>
      </w:r>
      <w:r w:rsidR="0044365B">
        <w:rPr>
          <w:rFonts w:ascii="Garamond" w:hAnsi="Garamond"/>
          <w:sz w:val="24"/>
          <w:szCs w:val="24"/>
        </w:rPr>
        <w:t>E</w:t>
      </w:r>
      <w:r>
        <w:rPr>
          <w:rFonts w:ascii="Garamond" w:hAnsi="Garamond"/>
          <w:sz w:val="24"/>
          <w:szCs w:val="24"/>
        </w:rPr>
        <w:t xml:space="preserve">mpirical results are reported in section </w:t>
      </w:r>
      <w:r w:rsidR="0044365B">
        <w:rPr>
          <w:rFonts w:ascii="Garamond" w:hAnsi="Garamond"/>
          <w:sz w:val="24"/>
          <w:szCs w:val="24"/>
        </w:rPr>
        <w:t>3. S</w:t>
      </w:r>
      <w:r>
        <w:rPr>
          <w:rFonts w:ascii="Garamond" w:hAnsi="Garamond"/>
          <w:sz w:val="24"/>
          <w:szCs w:val="24"/>
        </w:rPr>
        <w:t xml:space="preserve">ection </w:t>
      </w:r>
      <w:r w:rsidR="0044365B">
        <w:rPr>
          <w:rFonts w:ascii="Garamond" w:hAnsi="Garamond"/>
          <w:sz w:val="24"/>
          <w:szCs w:val="24"/>
        </w:rPr>
        <w:t>4</w:t>
      </w:r>
      <w:r>
        <w:rPr>
          <w:rFonts w:ascii="Garamond" w:hAnsi="Garamond"/>
          <w:sz w:val="24"/>
          <w:szCs w:val="24"/>
        </w:rPr>
        <w:t xml:space="preserve"> summarizes the findings and makes concluding remarks.</w:t>
      </w:r>
    </w:p>
    <w:p w14:paraId="23B62835" w14:textId="77777777" w:rsidR="004971F4" w:rsidRPr="00F11E9B" w:rsidRDefault="004971F4" w:rsidP="004971F4">
      <w:pPr>
        <w:pStyle w:val="Heading1"/>
        <w:rPr>
          <w:rFonts w:ascii="Garamond" w:hAnsi="Garamond"/>
          <w:color w:val="auto"/>
          <w:sz w:val="24"/>
          <w:szCs w:val="24"/>
        </w:rPr>
      </w:pPr>
      <w:bookmarkStart w:id="2" w:name="_Toc399683670"/>
      <w:r>
        <w:rPr>
          <w:rFonts w:ascii="Garamond" w:hAnsi="Garamond"/>
          <w:color w:val="auto"/>
          <w:sz w:val="24"/>
          <w:szCs w:val="24"/>
        </w:rPr>
        <w:t>2</w:t>
      </w:r>
      <w:r w:rsidRPr="000029C0">
        <w:rPr>
          <w:rFonts w:ascii="Garamond" w:hAnsi="Garamond"/>
          <w:color w:val="auto"/>
          <w:sz w:val="24"/>
          <w:szCs w:val="24"/>
        </w:rPr>
        <w:t>. Data and Methodology</w:t>
      </w:r>
      <w:bookmarkEnd w:id="2"/>
    </w:p>
    <w:p w14:paraId="1E313DD1" w14:textId="77777777" w:rsidR="004971F4" w:rsidRPr="00F11E9B" w:rsidRDefault="004971F4" w:rsidP="004971F4">
      <w:pPr>
        <w:pStyle w:val="Heading2"/>
        <w:spacing w:after="200" w:line="360" w:lineRule="auto"/>
        <w:ind w:firstLine="720"/>
        <w:rPr>
          <w:rFonts w:ascii="Garamond" w:hAnsi="Garamond"/>
          <w:color w:val="auto"/>
          <w:sz w:val="24"/>
          <w:szCs w:val="24"/>
        </w:rPr>
      </w:pPr>
      <w:bookmarkStart w:id="3" w:name="_Toc399683671"/>
      <w:r>
        <w:rPr>
          <w:rFonts w:ascii="Garamond" w:hAnsi="Garamond"/>
          <w:color w:val="auto"/>
          <w:sz w:val="24"/>
          <w:szCs w:val="24"/>
        </w:rPr>
        <w:t>2.</w:t>
      </w:r>
      <w:r w:rsidRPr="00F11E9B">
        <w:rPr>
          <w:rFonts w:ascii="Garamond" w:hAnsi="Garamond"/>
          <w:color w:val="auto"/>
          <w:sz w:val="24"/>
          <w:szCs w:val="24"/>
        </w:rPr>
        <w:t>1 Data set</w:t>
      </w:r>
      <w:bookmarkEnd w:id="3"/>
    </w:p>
    <w:p w14:paraId="621D361E" w14:textId="5F3A3412" w:rsidR="004971F4" w:rsidRPr="005010CD" w:rsidRDefault="004971F4" w:rsidP="004971F4">
      <w:pPr>
        <w:spacing w:line="360" w:lineRule="auto"/>
        <w:jc w:val="both"/>
        <w:rPr>
          <w:rFonts w:ascii="Garamond" w:hAnsi="Garamond"/>
          <w:sz w:val="24"/>
          <w:szCs w:val="24"/>
        </w:rPr>
      </w:pPr>
      <w:r w:rsidRPr="00A07320">
        <w:rPr>
          <w:rFonts w:ascii="Garamond" w:hAnsi="Garamond"/>
          <w:sz w:val="24"/>
          <w:szCs w:val="24"/>
        </w:rPr>
        <w:t xml:space="preserve">Our sample consists of financial and macroeconomic data of eight Asian emerging countries (i.e. </w:t>
      </w:r>
      <w:smartTag w:uri="urn:schemas-microsoft-com:office:smarttags" w:element="country-region">
        <w:r w:rsidRPr="00A07320">
          <w:rPr>
            <w:rFonts w:ascii="Garamond" w:hAnsi="Garamond"/>
            <w:sz w:val="24"/>
            <w:szCs w:val="24"/>
          </w:rPr>
          <w:t>Bangladesh</w:t>
        </w:r>
      </w:smartTag>
      <w:r w:rsidRPr="00A07320">
        <w:rPr>
          <w:rFonts w:ascii="Garamond" w:hAnsi="Garamond"/>
          <w:sz w:val="24"/>
          <w:szCs w:val="24"/>
        </w:rPr>
        <w:t xml:space="preserve">, </w:t>
      </w:r>
      <w:smartTag w:uri="urn:schemas-microsoft-com:office:smarttags" w:element="country-region">
        <w:r w:rsidRPr="00A07320">
          <w:rPr>
            <w:rFonts w:ascii="Garamond" w:hAnsi="Garamond"/>
            <w:sz w:val="24"/>
            <w:szCs w:val="24"/>
          </w:rPr>
          <w:t>India</w:t>
        </w:r>
      </w:smartTag>
      <w:r w:rsidRPr="00A07320">
        <w:rPr>
          <w:rFonts w:ascii="Garamond" w:hAnsi="Garamond"/>
          <w:sz w:val="24"/>
          <w:szCs w:val="24"/>
        </w:rPr>
        <w:t xml:space="preserve">, </w:t>
      </w:r>
      <w:smartTag w:uri="urn:schemas-microsoft-com:office:smarttags" w:element="country-region">
        <w:r w:rsidRPr="00A07320">
          <w:rPr>
            <w:rFonts w:ascii="Garamond" w:hAnsi="Garamond"/>
            <w:sz w:val="24"/>
            <w:szCs w:val="24"/>
          </w:rPr>
          <w:t>Indonesia</w:t>
        </w:r>
      </w:smartTag>
      <w:r w:rsidRPr="00A07320">
        <w:rPr>
          <w:rFonts w:ascii="Garamond" w:hAnsi="Garamond"/>
          <w:sz w:val="24"/>
          <w:szCs w:val="24"/>
        </w:rPr>
        <w:t xml:space="preserve">, </w:t>
      </w:r>
      <w:smartTag w:uri="urn:schemas-microsoft-com:office:smarttags" w:element="country-region">
        <w:r w:rsidRPr="00A07320">
          <w:rPr>
            <w:rFonts w:ascii="Garamond" w:hAnsi="Garamond"/>
            <w:sz w:val="24"/>
            <w:szCs w:val="24"/>
          </w:rPr>
          <w:t>Malaysia</w:t>
        </w:r>
      </w:smartTag>
      <w:r w:rsidRPr="00A07320">
        <w:rPr>
          <w:rFonts w:ascii="Garamond" w:hAnsi="Garamond"/>
          <w:sz w:val="24"/>
          <w:szCs w:val="24"/>
        </w:rPr>
        <w:t xml:space="preserve">, </w:t>
      </w:r>
      <w:smartTag w:uri="urn:schemas-microsoft-com:office:smarttags" w:element="country-region">
        <w:r w:rsidRPr="00A07320">
          <w:rPr>
            <w:rFonts w:ascii="Garamond" w:hAnsi="Garamond"/>
            <w:sz w:val="24"/>
            <w:szCs w:val="24"/>
          </w:rPr>
          <w:t>Pakistan</w:t>
        </w:r>
      </w:smartTag>
      <w:r w:rsidRPr="00A07320">
        <w:rPr>
          <w:rFonts w:ascii="Garamond" w:hAnsi="Garamond"/>
          <w:sz w:val="24"/>
          <w:szCs w:val="24"/>
        </w:rPr>
        <w:t xml:space="preserve">, </w:t>
      </w:r>
      <w:smartTag w:uri="urn:schemas-microsoft-com:office:smarttags" w:element="country-region">
        <w:r w:rsidRPr="00A07320">
          <w:rPr>
            <w:rFonts w:ascii="Garamond" w:hAnsi="Garamond"/>
            <w:sz w:val="24"/>
            <w:szCs w:val="24"/>
          </w:rPr>
          <w:t>South Korea</w:t>
        </w:r>
      </w:smartTag>
      <w:r w:rsidRPr="00A07320">
        <w:rPr>
          <w:rFonts w:ascii="Garamond" w:hAnsi="Garamond"/>
          <w:sz w:val="24"/>
          <w:szCs w:val="24"/>
        </w:rPr>
        <w:t xml:space="preserve">, </w:t>
      </w:r>
      <w:smartTag w:uri="urn:schemas-microsoft-com:office:smarttags" w:element="country-region">
        <w:r w:rsidRPr="00A07320">
          <w:rPr>
            <w:rFonts w:ascii="Garamond" w:hAnsi="Garamond"/>
            <w:sz w:val="24"/>
            <w:szCs w:val="24"/>
          </w:rPr>
          <w:t>Taiwan</w:t>
        </w:r>
      </w:smartTag>
      <w:r w:rsidRPr="00A07320">
        <w:rPr>
          <w:rFonts w:ascii="Garamond" w:hAnsi="Garamond"/>
          <w:sz w:val="24"/>
          <w:szCs w:val="24"/>
        </w:rPr>
        <w:t xml:space="preserve"> and </w:t>
      </w:r>
      <w:smartTag w:uri="urn:schemas-microsoft-com:office:smarttags" w:element="country-region">
        <w:smartTag w:uri="urn:schemas-microsoft-com:office:smarttags" w:element="place">
          <w:r w:rsidRPr="00A07320">
            <w:rPr>
              <w:rFonts w:ascii="Garamond" w:hAnsi="Garamond"/>
              <w:sz w:val="24"/>
              <w:szCs w:val="24"/>
            </w:rPr>
            <w:t>Thailand</w:t>
          </w:r>
        </w:smartTag>
      </w:smartTag>
      <w:r w:rsidRPr="00A07320">
        <w:rPr>
          <w:rFonts w:ascii="Garamond" w:hAnsi="Garamond"/>
          <w:sz w:val="24"/>
          <w:szCs w:val="24"/>
        </w:rPr>
        <w:t>) for a sixteen year window starting from January 2000 and ending in December 2015, which is 182 months each for about 1050 selected firms. This is equal to samples of one million daily and 191,100 monthly observations. In addition</w:t>
      </w:r>
      <w:r>
        <w:rPr>
          <w:rFonts w:ascii="Garamond" w:hAnsi="Garamond"/>
          <w:sz w:val="24"/>
          <w:szCs w:val="24"/>
        </w:rPr>
        <w:t xml:space="preserve">, there are about 10,000 monthly macroeconomic data </w:t>
      </w:r>
      <w:r w:rsidR="0044365B">
        <w:rPr>
          <w:rFonts w:ascii="Garamond" w:hAnsi="Garamond"/>
          <w:sz w:val="24"/>
          <w:szCs w:val="24"/>
        </w:rPr>
        <w:t>items</w:t>
      </w:r>
      <w:r>
        <w:rPr>
          <w:rFonts w:ascii="Garamond" w:hAnsi="Garamond"/>
          <w:sz w:val="24"/>
          <w:szCs w:val="24"/>
        </w:rPr>
        <w:t xml:space="preserve"> from these eight markets. The main source of this information is Thomson Reuters Datastream. To compute the returns, liquidity and illiquidity measures stocks are included or excluded based on the criteria stated in Chordia et al. (2005) and </w:t>
      </w:r>
      <w:r w:rsidRPr="005C4A9C">
        <w:rPr>
          <w:rFonts w:ascii="Garamond" w:hAnsi="Garamond"/>
          <w:sz w:val="24"/>
          <w:szCs w:val="24"/>
        </w:rPr>
        <w:t xml:space="preserve">Fernández-Amador et al. </w:t>
      </w:r>
      <w:r>
        <w:rPr>
          <w:rFonts w:ascii="Garamond" w:hAnsi="Garamond"/>
          <w:sz w:val="24"/>
          <w:szCs w:val="24"/>
        </w:rPr>
        <w:t xml:space="preserve">(2013). First, to be included, a stock has to be present at the beginning and at the end of the year; second, </w:t>
      </w:r>
      <w:r w:rsidR="0044365B">
        <w:rPr>
          <w:rFonts w:ascii="Garamond" w:hAnsi="Garamond"/>
          <w:sz w:val="24"/>
          <w:szCs w:val="24"/>
        </w:rPr>
        <w:t>it must</w:t>
      </w:r>
      <w:r>
        <w:rPr>
          <w:rFonts w:ascii="Garamond" w:hAnsi="Garamond"/>
          <w:sz w:val="24"/>
          <w:szCs w:val="24"/>
        </w:rPr>
        <w:t xml:space="preserve"> have traded more than 100 trading days during the calendar year; third, a stock has to be listed for at least fifteen years on the exchange; fourth, to avoid the influence of outliers, we exclude the sample company if the price at any month-end during the year is greater than 1000 in the local currency; finally, due to their different trading characteristics from ordinary shares, we also exclude assets in the following categories – commercial bonds, treasury bonds, mutual funds (both open and closed end), and preferred stocks.    </w:t>
      </w:r>
    </w:p>
    <w:p w14:paraId="15B209C6" w14:textId="77777777" w:rsidR="004971F4" w:rsidRPr="00F11E9B" w:rsidRDefault="004971F4" w:rsidP="004971F4">
      <w:pPr>
        <w:pStyle w:val="Heading2"/>
        <w:spacing w:after="200" w:line="360" w:lineRule="auto"/>
        <w:ind w:firstLine="720"/>
        <w:rPr>
          <w:rFonts w:ascii="Garamond" w:hAnsi="Garamond"/>
          <w:color w:val="auto"/>
          <w:sz w:val="24"/>
          <w:szCs w:val="24"/>
        </w:rPr>
      </w:pPr>
      <w:bookmarkStart w:id="4" w:name="_Toc399683672"/>
      <w:r>
        <w:rPr>
          <w:rFonts w:ascii="Garamond" w:hAnsi="Garamond"/>
          <w:color w:val="auto"/>
          <w:sz w:val="24"/>
          <w:szCs w:val="24"/>
        </w:rPr>
        <w:lastRenderedPageBreak/>
        <w:t>2</w:t>
      </w:r>
      <w:r w:rsidRPr="00F11E9B">
        <w:rPr>
          <w:rFonts w:ascii="Garamond" w:hAnsi="Garamond"/>
          <w:color w:val="auto"/>
          <w:sz w:val="24"/>
          <w:szCs w:val="24"/>
        </w:rPr>
        <w:t>.2 Liquidity and illiquidity measures</w:t>
      </w:r>
      <w:bookmarkEnd w:id="4"/>
    </w:p>
    <w:p w14:paraId="6A2DA17B" w14:textId="77777777" w:rsidR="004971F4" w:rsidRDefault="004971F4" w:rsidP="004971F4">
      <w:pPr>
        <w:spacing w:line="360" w:lineRule="auto"/>
        <w:jc w:val="both"/>
        <w:rPr>
          <w:rFonts w:ascii="Garamond" w:hAnsi="Garamond"/>
          <w:sz w:val="24"/>
          <w:szCs w:val="24"/>
        </w:rPr>
      </w:pPr>
      <w:r w:rsidRPr="00B97CB6">
        <w:rPr>
          <w:rFonts w:ascii="Garamond" w:hAnsi="Garamond"/>
          <w:sz w:val="24"/>
          <w:szCs w:val="24"/>
        </w:rPr>
        <w:t>Liquidity is an elusive concept and is not observed directly but rather has a number of aspects that cannot be captured in a single measure (Amihud, 2002</w:t>
      </w:r>
      <w:r w:rsidRPr="004F412A">
        <w:rPr>
          <w:rFonts w:ascii="Garamond" w:hAnsi="Garamond"/>
          <w:sz w:val="24"/>
          <w:szCs w:val="24"/>
        </w:rPr>
        <w:t>). Follow</w:t>
      </w:r>
      <w:r>
        <w:rPr>
          <w:rFonts w:ascii="Garamond" w:hAnsi="Garamond"/>
          <w:sz w:val="24"/>
          <w:szCs w:val="24"/>
        </w:rPr>
        <w:t>ing</w:t>
      </w:r>
      <w:r w:rsidRPr="004F412A">
        <w:rPr>
          <w:rFonts w:ascii="Garamond" w:hAnsi="Garamond"/>
          <w:sz w:val="24"/>
          <w:szCs w:val="24"/>
        </w:rPr>
        <w:t xml:space="preserve"> the procedures suggested by Goyenko and Ukhov (2009), Amihud (2002) and Datar, Naik and Radcliffe (1998), this study uses four different measures to capture the aspects</w:t>
      </w:r>
      <w:r>
        <w:rPr>
          <w:rFonts w:ascii="Garamond" w:hAnsi="Garamond"/>
          <w:sz w:val="24"/>
          <w:szCs w:val="24"/>
        </w:rPr>
        <w:t xml:space="preserve"> of </w:t>
      </w:r>
      <w:r w:rsidRPr="004F412A">
        <w:rPr>
          <w:rFonts w:ascii="Garamond" w:hAnsi="Garamond"/>
          <w:sz w:val="24"/>
          <w:szCs w:val="24"/>
        </w:rPr>
        <w:t>trading activity and price impact.</w:t>
      </w:r>
    </w:p>
    <w:p w14:paraId="7398E07E" w14:textId="3F336AE3" w:rsidR="004971F4" w:rsidRDefault="004971F4" w:rsidP="004971F4">
      <w:pPr>
        <w:spacing w:line="360" w:lineRule="auto"/>
        <w:jc w:val="both"/>
        <w:rPr>
          <w:rFonts w:ascii="Garamond" w:hAnsi="Garamond"/>
          <w:sz w:val="24"/>
          <w:szCs w:val="24"/>
        </w:rPr>
      </w:pPr>
      <w:r>
        <w:rPr>
          <w:rFonts w:ascii="Garamond" w:hAnsi="Garamond"/>
          <w:sz w:val="24"/>
          <w:szCs w:val="24"/>
        </w:rPr>
        <w:t xml:space="preserve">The first proxy of liquidity for an asset that we use in this study is turnover rate (TR), as suggested in Datar et al. (1998). The turnover rate of a stock is the number of shares traded divided by the number of shares outstanding in the stock. This is an intuitive metric of the liquidity of the stock. The relationship between trading volume and market liquidity is highlighted in much previous literature, such as Amihud and Mendelson (1980), </w:t>
      </w:r>
      <w:r w:rsidR="0044365B">
        <w:rPr>
          <w:rFonts w:ascii="Garamond" w:hAnsi="Garamond"/>
          <w:sz w:val="24"/>
          <w:szCs w:val="24"/>
        </w:rPr>
        <w:t xml:space="preserve">and </w:t>
      </w:r>
      <w:r>
        <w:rPr>
          <w:rFonts w:ascii="Garamond" w:hAnsi="Garamond"/>
          <w:sz w:val="24"/>
          <w:szCs w:val="24"/>
        </w:rPr>
        <w:t xml:space="preserve">Lo and Wang (2000). </w:t>
      </w:r>
      <w:r w:rsidRPr="005C4A9C">
        <w:rPr>
          <w:rFonts w:ascii="Garamond" w:hAnsi="Garamond"/>
          <w:sz w:val="24"/>
          <w:szCs w:val="24"/>
        </w:rPr>
        <w:t xml:space="preserve">Fernández-Amador et al. </w:t>
      </w:r>
      <w:r>
        <w:rPr>
          <w:rFonts w:ascii="Garamond" w:hAnsi="Garamond"/>
          <w:sz w:val="24"/>
          <w:szCs w:val="24"/>
        </w:rPr>
        <w:t>(2013) assert that stock turnover can be interpreted as the reciprocal of the average holding period, which means stocks with higher turnover are on average held for shorter time periods</w:t>
      </w:r>
      <w:r w:rsidR="0044365B">
        <w:rPr>
          <w:rFonts w:ascii="Garamond" w:hAnsi="Garamond"/>
          <w:sz w:val="24"/>
          <w:szCs w:val="24"/>
        </w:rPr>
        <w:t>,</w:t>
      </w:r>
      <w:r>
        <w:rPr>
          <w:rFonts w:ascii="Garamond" w:hAnsi="Garamond"/>
          <w:sz w:val="24"/>
          <w:szCs w:val="24"/>
        </w:rPr>
        <w:t xml:space="preserve"> and thus exhibit increased trading activity. The second variable we use as a proxy of liquidity is traded volume (TV). The relationship is documented in Brennan et al. (1998) – higher trade volume implies increased liquidity. They find a robust effect of trading volume with the presence of both risk-adjusted and unadjusted returns, which support</w:t>
      </w:r>
      <w:r w:rsidR="0044365B">
        <w:rPr>
          <w:rFonts w:ascii="Garamond" w:hAnsi="Garamond"/>
          <w:sz w:val="24"/>
          <w:szCs w:val="24"/>
        </w:rPr>
        <w:t>s</w:t>
      </w:r>
      <w:r>
        <w:rPr>
          <w:rFonts w:ascii="Garamond" w:hAnsi="Garamond"/>
          <w:sz w:val="24"/>
          <w:szCs w:val="24"/>
        </w:rPr>
        <w:t xml:space="preserve"> the notion that this variable is acting as a proxy for the liquidity of the market in the firm’s share (see Brennan et al., 1998 for a detailed discussion). </w:t>
      </w:r>
    </w:p>
    <w:p w14:paraId="53397C73" w14:textId="336C63F7" w:rsidR="00424000" w:rsidRDefault="004971F4" w:rsidP="00424000">
      <w:pPr>
        <w:spacing w:line="360" w:lineRule="auto"/>
        <w:jc w:val="both"/>
        <w:rPr>
          <w:rFonts w:ascii="Garamond" w:hAnsi="Garamond"/>
          <w:sz w:val="24"/>
          <w:szCs w:val="24"/>
        </w:rPr>
      </w:pPr>
      <w:r>
        <w:rPr>
          <w:rFonts w:ascii="Garamond" w:hAnsi="Garamond"/>
          <w:sz w:val="24"/>
          <w:szCs w:val="24"/>
        </w:rPr>
        <w:t>The mathematical measure for each category (i.e. TR and TV) of liquidity proxies can be expressed as follows:</w:t>
      </w:r>
    </w:p>
    <w:p w14:paraId="5F683339" w14:textId="77777777" w:rsidR="00424000" w:rsidRDefault="007E3C2B" w:rsidP="00424000">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TR</m:t>
            </m:r>
          </m:e>
          <m:sub>
            <m:r>
              <w:rPr>
                <w:rFonts w:ascii="Cambria Math" w:hAnsi="Cambria Math"/>
                <w:sz w:val="24"/>
                <w:szCs w:val="24"/>
              </w:rPr>
              <m:t>iym</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d=1</m:t>
                </m:r>
              </m:sub>
              <m:sup>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iym</m:t>
                    </m:r>
                  </m:sub>
                </m:sSub>
              </m:sup>
              <m:e>
                <m:sSub>
                  <m:sSubPr>
                    <m:ctrlPr>
                      <w:rPr>
                        <w:rFonts w:ascii="Cambria Math" w:hAnsi="Cambria Math"/>
                        <w:i/>
                        <w:sz w:val="24"/>
                        <w:szCs w:val="24"/>
                      </w:rPr>
                    </m:ctrlPr>
                  </m:sSubPr>
                  <m:e>
                    <m:r>
                      <w:rPr>
                        <w:rFonts w:ascii="Cambria Math" w:hAnsi="Cambria Math"/>
                        <w:sz w:val="24"/>
                        <w:szCs w:val="24"/>
                      </w:rPr>
                      <m:t>VO</m:t>
                    </m:r>
                  </m:e>
                  <m:sub>
                    <m:r>
                      <w:rPr>
                        <w:rFonts w:ascii="Cambria Math" w:hAnsi="Cambria Math"/>
                        <w:sz w:val="24"/>
                        <w:szCs w:val="24"/>
                      </w:rPr>
                      <m:t>iymd</m:t>
                    </m:r>
                  </m:sub>
                </m:sSub>
              </m:e>
            </m:nary>
          </m:num>
          <m:den>
            <m:sSub>
              <m:sSubPr>
                <m:ctrlPr>
                  <w:rPr>
                    <w:rFonts w:ascii="Cambria Math" w:hAnsi="Cambria Math"/>
                    <w:i/>
                    <w:sz w:val="24"/>
                    <w:szCs w:val="24"/>
                  </w:rPr>
                </m:ctrlPr>
              </m:sSubPr>
              <m:e>
                <m:r>
                  <w:rPr>
                    <w:rFonts w:ascii="Cambria Math" w:hAnsi="Cambria Math"/>
                    <w:sz w:val="24"/>
                    <w:szCs w:val="24"/>
                  </w:rPr>
                  <m:t>NSO</m:t>
                </m:r>
              </m:e>
              <m:sub>
                <m:r>
                  <w:rPr>
                    <w:rFonts w:ascii="Cambria Math" w:hAnsi="Cambria Math"/>
                    <w:sz w:val="24"/>
                    <w:szCs w:val="24"/>
                  </w:rPr>
                  <m:t>iym</m:t>
                </m:r>
              </m:sub>
            </m:sSub>
          </m:den>
        </m:f>
      </m:oMath>
      <w:r w:rsidR="00424000">
        <w:rPr>
          <w:rFonts w:ascii="Garamond" w:hAnsi="Garamond"/>
          <w:sz w:val="24"/>
          <w:szCs w:val="24"/>
        </w:rPr>
        <w:t xml:space="preserve"> </w:t>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t>(i)</w:t>
      </w:r>
    </w:p>
    <w:p w14:paraId="3B81FDAE" w14:textId="50E622FB" w:rsidR="00424000" w:rsidRDefault="00424000" w:rsidP="00424000">
      <w:pPr>
        <w:spacing w:line="360" w:lineRule="auto"/>
        <w:jc w:val="both"/>
        <w:rPr>
          <w:rFonts w:ascii="Garamond" w:hAnsi="Garamond"/>
          <w:sz w:val="24"/>
          <w:szCs w:val="24"/>
        </w:rPr>
      </w:pPr>
      <w:r>
        <w:rPr>
          <w:rFonts w:ascii="Garamond" w:hAnsi="Garamond"/>
          <w:sz w:val="24"/>
          <w:szCs w:val="24"/>
        </w:rPr>
        <w:t xml:space="preserve">where </w:t>
      </w:r>
      <m:oMath>
        <m:sSub>
          <m:sSubPr>
            <m:ctrlPr>
              <w:rPr>
                <w:rFonts w:ascii="Cambria Math" w:hAnsi="Cambria Math"/>
                <w:i/>
                <w:sz w:val="24"/>
                <w:szCs w:val="24"/>
              </w:rPr>
            </m:ctrlPr>
          </m:sSubPr>
          <m:e>
            <m:r>
              <w:rPr>
                <w:rFonts w:ascii="Cambria Math" w:hAnsi="Cambria Math"/>
                <w:sz w:val="24"/>
                <w:szCs w:val="24"/>
              </w:rPr>
              <m:t>TR</m:t>
            </m:r>
          </m:e>
          <m:sub>
            <m:r>
              <w:rPr>
                <w:rFonts w:ascii="Cambria Math" w:hAnsi="Cambria Math"/>
                <w:sz w:val="24"/>
                <w:szCs w:val="24"/>
              </w:rPr>
              <m:t>iym</m:t>
            </m:r>
          </m:sub>
        </m:sSub>
      </m:oMath>
      <w:r>
        <w:rPr>
          <w:rFonts w:ascii="Garamond" w:hAnsi="Garamond"/>
          <w:sz w:val="24"/>
          <w:szCs w:val="24"/>
        </w:rPr>
        <w:t xml:space="preserve"> is the turnover rate of stock </w:t>
      </w:r>
      <w:r w:rsidRPr="009C1286">
        <w:rPr>
          <w:rFonts w:ascii="Garamond" w:hAnsi="Garamond"/>
          <w:i/>
          <w:sz w:val="24"/>
          <w:szCs w:val="24"/>
        </w:rPr>
        <w:t>i</w:t>
      </w:r>
      <w:r>
        <w:rPr>
          <w:rFonts w:ascii="Garamond" w:hAnsi="Garamond"/>
          <w:sz w:val="24"/>
          <w:szCs w:val="24"/>
        </w:rPr>
        <w:t xml:space="preserve"> in month </w:t>
      </w:r>
      <w:r w:rsidRPr="009C1286">
        <w:rPr>
          <w:rFonts w:ascii="Garamond" w:hAnsi="Garamond"/>
          <w:i/>
          <w:sz w:val="24"/>
          <w:szCs w:val="24"/>
        </w:rPr>
        <w:t>m</w:t>
      </w:r>
      <w:r>
        <w:rPr>
          <w:rFonts w:ascii="Garamond" w:hAnsi="Garamond"/>
          <w:sz w:val="24"/>
          <w:szCs w:val="24"/>
        </w:rPr>
        <w:t xml:space="preserve"> of year </w:t>
      </w:r>
      <w:r w:rsidRPr="009C1286">
        <w:rPr>
          <w:rFonts w:ascii="Garamond" w:hAnsi="Garamond"/>
          <w:i/>
          <w:sz w:val="24"/>
          <w:szCs w:val="24"/>
        </w:rPr>
        <w:t>y</w:t>
      </w:r>
      <w:r>
        <w:rPr>
          <w:rFonts w:ascii="Garamond" w:hAnsi="Garamond"/>
          <w:i/>
          <w:sz w:val="24"/>
          <w:szCs w:val="24"/>
        </w:rPr>
        <w:t xml:space="preserve">; </w:t>
      </w:r>
      <w:r>
        <w:rPr>
          <w:rFonts w:ascii="Garamond" w:hAnsi="Garamond"/>
          <w:sz w:val="24"/>
          <w:szCs w:val="24"/>
        </w:rPr>
        <w:t xml:space="preserve"> </w:t>
      </w:r>
      <m:oMath>
        <m:nary>
          <m:naryPr>
            <m:chr m:val="∑"/>
            <m:limLoc m:val="undOvr"/>
            <m:ctrlPr>
              <w:rPr>
                <w:rFonts w:ascii="Cambria Math" w:hAnsi="Cambria Math"/>
                <w:i/>
                <w:sz w:val="24"/>
                <w:szCs w:val="24"/>
              </w:rPr>
            </m:ctrlPr>
          </m:naryPr>
          <m:sub>
            <m:r>
              <w:rPr>
                <w:rFonts w:ascii="Cambria Math" w:hAnsi="Cambria Math"/>
                <w:sz w:val="24"/>
                <w:szCs w:val="24"/>
              </w:rPr>
              <m:t>d=1</m:t>
            </m:r>
          </m:sub>
          <m:sup>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iym</m:t>
                </m:r>
              </m:sub>
            </m:sSub>
          </m:sup>
          <m:e>
            <m:sSub>
              <m:sSubPr>
                <m:ctrlPr>
                  <w:rPr>
                    <w:rFonts w:ascii="Cambria Math" w:hAnsi="Cambria Math"/>
                    <w:i/>
                    <w:sz w:val="24"/>
                    <w:szCs w:val="24"/>
                  </w:rPr>
                </m:ctrlPr>
              </m:sSubPr>
              <m:e>
                <m:r>
                  <w:rPr>
                    <w:rFonts w:ascii="Cambria Math" w:hAnsi="Cambria Math"/>
                    <w:sz w:val="24"/>
                    <w:szCs w:val="24"/>
                  </w:rPr>
                  <m:t>VO</m:t>
                </m:r>
              </m:e>
              <m:sub>
                <m:r>
                  <w:rPr>
                    <w:rFonts w:ascii="Cambria Math" w:hAnsi="Cambria Math"/>
                    <w:sz w:val="24"/>
                    <w:szCs w:val="24"/>
                  </w:rPr>
                  <m:t>iymd</m:t>
                </m:r>
              </m:sub>
            </m:sSub>
          </m:e>
        </m:nary>
      </m:oMath>
      <w:r>
        <w:rPr>
          <w:rFonts w:ascii="Garamond" w:hAnsi="Garamond"/>
          <w:sz w:val="24"/>
          <w:szCs w:val="24"/>
        </w:rPr>
        <w:t xml:space="preserve"> is the monthly sum of the daily number of shares traded and </w:t>
      </w:r>
      <m:oMath>
        <m:sSub>
          <m:sSubPr>
            <m:ctrlPr>
              <w:rPr>
                <w:rFonts w:ascii="Cambria Math" w:hAnsi="Cambria Math"/>
                <w:i/>
                <w:sz w:val="24"/>
                <w:szCs w:val="24"/>
              </w:rPr>
            </m:ctrlPr>
          </m:sSubPr>
          <m:e>
            <m:r>
              <w:rPr>
                <w:rFonts w:ascii="Cambria Math" w:hAnsi="Cambria Math"/>
                <w:sz w:val="24"/>
                <w:szCs w:val="24"/>
              </w:rPr>
              <m:t>NSO</m:t>
            </m:r>
          </m:e>
          <m:sub>
            <m:r>
              <w:rPr>
                <w:rFonts w:ascii="Cambria Math" w:hAnsi="Cambria Math"/>
                <w:sz w:val="24"/>
                <w:szCs w:val="24"/>
              </w:rPr>
              <m:t>iym</m:t>
            </m:r>
          </m:sub>
        </m:sSub>
      </m:oMath>
      <w:r>
        <w:rPr>
          <w:rFonts w:ascii="Garamond" w:hAnsi="Garamond"/>
          <w:sz w:val="24"/>
          <w:szCs w:val="24"/>
        </w:rPr>
        <w:t xml:space="preserve"> is t</w:t>
      </w:r>
      <w:r w:rsidR="0044365B">
        <w:rPr>
          <w:rFonts w:ascii="Garamond" w:hAnsi="Garamond"/>
          <w:sz w:val="24"/>
          <w:szCs w:val="24"/>
        </w:rPr>
        <w:t>he number of shares outstanding; and</w:t>
      </w:r>
    </w:p>
    <w:p w14:paraId="04EDCC3D" w14:textId="77777777" w:rsidR="00424000" w:rsidRDefault="007E3C2B" w:rsidP="00424000">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TV</m:t>
            </m:r>
          </m:e>
          <m:sub>
            <m:r>
              <w:rPr>
                <w:rFonts w:ascii="Cambria Math" w:hAnsi="Cambria Math"/>
                <w:sz w:val="24"/>
                <w:szCs w:val="24"/>
              </w:rPr>
              <m:t>iym</m:t>
            </m:r>
          </m:sub>
        </m:sSub>
        <m:r>
          <w:rPr>
            <w:rFonts w:ascii="Cambria Math" w:hAnsi="Cambria Math"/>
            <w:sz w:val="24"/>
            <w:szCs w:val="24"/>
          </w:rPr>
          <m:t>=ln</m:t>
        </m:r>
        <m:d>
          <m:dPr>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d=1</m:t>
                </m:r>
              </m:sub>
              <m:sup>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iym</m:t>
                    </m:r>
                  </m:sub>
                </m:sSub>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VO</m:t>
                        </m:r>
                      </m:e>
                      <m:sub>
                        <m:r>
                          <w:rPr>
                            <w:rFonts w:ascii="Cambria Math" w:hAnsi="Cambria Math"/>
                            <w:sz w:val="24"/>
                            <w:szCs w:val="24"/>
                          </w:rPr>
                          <m:t>iymd</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iym</m:t>
                        </m:r>
                        <m:r>
                          <w:rPr>
                            <w:rFonts w:ascii="Cambria Math" w:hAnsi="Cambria Math"/>
                            <w:sz w:val="24"/>
                            <w:szCs w:val="24"/>
                          </w:rPr>
                          <m:t>d</m:t>
                        </m:r>
                      </m:sub>
                    </m:sSub>
                  </m:e>
                </m:d>
              </m:e>
            </m:nary>
          </m:e>
        </m:d>
      </m:oMath>
      <w:r w:rsidR="00424000">
        <w:rPr>
          <w:rFonts w:ascii="Garamond" w:hAnsi="Garamond"/>
          <w:sz w:val="24"/>
          <w:szCs w:val="24"/>
        </w:rPr>
        <w:t xml:space="preserve"> </w:t>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t>(ii)</w:t>
      </w:r>
    </w:p>
    <w:p w14:paraId="31C0F356" w14:textId="3EA92AE5" w:rsidR="00424000" w:rsidRDefault="00424000" w:rsidP="00424000">
      <w:pPr>
        <w:spacing w:line="360" w:lineRule="auto"/>
        <w:jc w:val="both"/>
        <w:rPr>
          <w:rFonts w:ascii="Garamond" w:hAnsi="Garamond"/>
          <w:sz w:val="24"/>
          <w:szCs w:val="24"/>
        </w:rPr>
      </w:pPr>
      <w:r>
        <w:rPr>
          <w:rFonts w:ascii="Garamond" w:hAnsi="Garamond"/>
          <w:sz w:val="24"/>
          <w:szCs w:val="24"/>
        </w:rPr>
        <w:t xml:space="preserve">where </w:t>
      </w:r>
      <m:oMath>
        <m:sSub>
          <m:sSubPr>
            <m:ctrlPr>
              <w:rPr>
                <w:rFonts w:ascii="Cambria Math" w:hAnsi="Cambria Math"/>
                <w:i/>
                <w:sz w:val="24"/>
                <w:szCs w:val="24"/>
              </w:rPr>
            </m:ctrlPr>
          </m:sSubPr>
          <m:e>
            <m:r>
              <w:rPr>
                <w:rFonts w:ascii="Cambria Math" w:hAnsi="Cambria Math"/>
                <w:sz w:val="24"/>
                <w:szCs w:val="24"/>
              </w:rPr>
              <m:t>TV</m:t>
            </m:r>
          </m:e>
          <m:sub>
            <m:r>
              <w:rPr>
                <w:rFonts w:ascii="Cambria Math" w:hAnsi="Cambria Math"/>
                <w:sz w:val="24"/>
                <w:szCs w:val="24"/>
              </w:rPr>
              <m:t>iym</m:t>
            </m:r>
          </m:sub>
        </m:sSub>
      </m:oMath>
      <w:r>
        <w:rPr>
          <w:rFonts w:ascii="Garamond" w:hAnsi="Garamond"/>
          <w:sz w:val="24"/>
          <w:szCs w:val="24"/>
        </w:rPr>
        <w:t xml:space="preserve"> is the traded volume of stock </w:t>
      </w:r>
      <w:r w:rsidRPr="009C1286">
        <w:rPr>
          <w:rFonts w:ascii="Garamond" w:hAnsi="Garamond"/>
          <w:i/>
          <w:sz w:val="24"/>
          <w:szCs w:val="24"/>
        </w:rPr>
        <w:t>i</w:t>
      </w:r>
      <w:r>
        <w:rPr>
          <w:rFonts w:ascii="Garamond" w:hAnsi="Garamond"/>
          <w:sz w:val="24"/>
          <w:szCs w:val="24"/>
        </w:rPr>
        <w:t xml:space="preserve"> in month </w:t>
      </w:r>
      <w:r w:rsidRPr="009C1286">
        <w:rPr>
          <w:rFonts w:ascii="Garamond" w:hAnsi="Garamond"/>
          <w:i/>
          <w:sz w:val="24"/>
          <w:szCs w:val="24"/>
        </w:rPr>
        <w:t>m</w:t>
      </w:r>
      <w:r>
        <w:rPr>
          <w:rFonts w:ascii="Garamond" w:hAnsi="Garamond"/>
          <w:sz w:val="24"/>
          <w:szCs w:val="24"/>
        </w:rPr>
        <w:t xml:space="preserve"> of year </w:t>
      </w:r>
      <w:r w:rsidRPr="009C1286">
        <w:rPr>
          <w:rFonts w:ascii="Garamond" w:hAnsi="Garamond"/>
          <w:i/>
          <w:sz w:val="24"/>
          <w:szCs w:val="24"/>
        </w:rPr>
        <w:t>y</w:t>
      </w:r>
      <w:r>
        <w:rPr>
          <w:rFonts w:ascii="Garamond" w:hAnsi="Garamond"/>
          <w:sz w:val="24"/>
          <w:szCs w:val="24"/>
        </w:rPr>
        <w:t xml:space="preserve">; </w:t>
      </w:r>
      <m:oMath>
        <m:sSub>
          <m:sSubPr>
            <m:ctrlPr>
              <w:rPr>
                <w:rFonts w:ascii="Cambria Math" w:hAnsi="Cambria Math"/>
                <w:i/>
                <w:sz w:val="24"/>
                <w:szCs w:val="24"/>
              </w:rPr>
            </m:ctrlPr>
          </m:sSubPr>
          <m:e>
            <m:r>
              <w:rPr>
                <w:rFonts w:ascii="Cambria Math" w:hAnsi="Cambria Math"/>
                <w:sz w:val="24"/>
                <w:szCs w:val="24"/>
              </w:rPr>
              <m:t>VO</m:t>
            </m:r>
          </m:e>
          <m:sub>
            <m:r>
              <w:rPr>
                <w:rFonts w:ascii="Cambria Math" w:hAnsi="Cambria Math"/>
                <w:sz w:val="24"/>
                <w:szCs w:val="24"/>
              </w:rPr>
              <m:t>iymd</m:t>
            </m:r>
          </m:sub>
        </m:sSub>
      </m:oMath>
      <w:r>
        <w:rPr>
          <w:rFonts w:ascii="Garamond" w:hAnsi="Garamond"/>
          <w:sz w:val="24"/>
          <w:szCs w:val="24"/>
        </w:rPr>
        <w:t xml:space="preserve"> is the number of daily traded shares and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iymd</m:t>
            </m:r>
          </m:sub>
        </m:sSub>
      </m:oMath>
      <w:r>
        <w:rPr>
          <w:rFonts w:ascii="Garamond" w:hAnsi="Garamond"/>
          <w:sz w:val="24"/>
          <w:szCs w:val="24"/>
        </w:rPr>
        <w:t xml:space="preserve"> is the daily price of each share. Therefore, traded volume is calculated by taking the natural logarithm of the monthly sum of the daily product of the number of shares traded and their respective market price. Both TR and TV are based on trading activit</w:t>
      </w:r>
      <w:r w:rsidR="0044365B">
        <w:rPr>
          <w:rFonts w:ascii="Garamond" w:hAnsi="Garamond"/>
          <w:sz w:val="24"/>
          <w:szCs w:val="24"/>
        </w:rPr>
        <w:t>y</w:t>
      </w:r>
      <w:r>
        <w:rPr>
          <w:rFonts w:ascii="Garamond" w:hAnsi="Garamond"/>
          <w:sz w:val="24"/>
          <w:szCs w:val="24"/>
        </w:rPr>
        <w:t xml:space="preserve"> </w:t>
      </w:r>
      <w:r>
        <w:rPr>
          <w:rFonts w:ascii="Garamond" w:hAnsi="Garamond"/>
          <w:sz w:val="24"/>
          <w:szCs w:val="24"/>
        </w:rPr>
        <w:lastRenderedPageBreak/>
        <w:t>and we can interpret them as liquidity proxies</w:t>
      </w:r>
      <w:r w:rsidR="00760CAE">
        <w:rPr>
          <w:rFonts w:ascii="Garamond" w:hAnsi="Garamond"/>
          <w:sz w:val="24"/>
          <w:szCs w:val="24"/>
        </w:rPr>
        <w:t>,</w:t>
      </w:r>
      <w:r>
        <w:rPr>
          <w:rFonts w:ascii="Garamond" w:hAnsi="Garamond"/>
          <w:sz w:val="24"/>
          <w:szCs w:val="24"/>
        </w:rPr>
        <w:t xml:space="preserve"> as higher values are associated with more liquid assets.</w:t>
      </w:r>
    </w:p>
    <w:p w14:paraId="52440667" w14:textId="4063770E" w:rsidR="00424000" w:rsidRDefault="00424000" w:rsidP="00424000">
      <w:pPr>
        <w:spacing w:line="360" w:lineRule="auto"/>
        <w:jc w:val="both"/>
        <w:rPr>
          <w:rFonts w:ascii="Garamond" w:hAnsi="Garamond"/>
          <w:sz w:val="24"/>
          <w:szCs w:val="24"/>
        </w:rPr>
      </w:pPr>
      <w:r w:rsidRPr="00BA52EF">
        <w:rPr>
          <w:rFonts w:ascii="Garamond" w:hAnsi="Garamond"/>
          <w:sz w:val="24"/>
          <w:szCs w:val="24"/>
        </w:rPr>
        <w:t xml:space="preserve">Our </w:t>
      </w:r>
      <w:r w:rsidR="007C1EAA" w:rsidRPr="00BA52EF">
        <w:rPr>
          <w:rFonts w:ascii="Garamond" w:hAnsi="Garamond"/>
          <w:sz w:val="24"/>
          <w:szCs w:val="24"/>
        </w:rPr>
        <w:t>third</w:t>
      </w:r>
      <w:r w:rsidRPr="00BA52EF">
        <w:rPr>
          <w:rFonts w:ascii="Garamond" w:hAnsi="Garamond"/>
          <w:sz w:val="24"/>
          <w:szCs w:val="24"/>
        </w:rPr>
        <w:t xml:space="preserve"> </w:t>
      </w:r>
      <w:r w:rsidR="0044365B" w:rsidRPr="00BA52EF">
        <w:rPr>
          <w:rFonts w:ascii="Garamond" w:hAnsi="Garamond"/>
          <w:sz w:val="24"/>
          <w:szCs w:val="24"/>
        </w:rPr>
        <w:t xml:space="preserve">and fourth measures are of illiquidity rather than liquidity. Our third </w:t>
      </w:r>
      <w:r w:rsidRPr="00BA52EF">
        <w:rPr>
          <w:rFonts w:ascii="Garamond" w:hAnsi="Garamond"/>
          <w:sz w:val="24"/>
          <w:szCs w:val="24"/>
        </w:rPr>
        <w:t xml:space="preserve">measure is </w:t>
      </w:r>
      <w:r w:rsidR="000A26A4" w:rsidRPr="00BA52EF">
        <w:rPr>
          <w:rFonts w:ascii="Garamond" w:hAnsi="Garamond"/>
          <w:sz w:val="24"/>
          <w:szCs w:val="24"/>
        </w:rPr>
        <w:t xml:space="preserve">Amihud’s (2002) illiquidity ratio, which quantifies the response of returns to one dollar of trading volume. This illiquidity measure is very well established, particularly since studies such as Hasbrouck (2009) and Goyenko et al. (2009) have reported its </w:t>
      </w:r>
      <w:r w:rsidR="006F1D71" w:rsidRPr="00BA52EF">
        <w:rPr>
          <w:rFonts w:ascii="Garamond" w:hAnsi="Garamond"/>
          <w:sz w:val="24"/>
          <w:szCs w:val="24"/>
        </w:rPr>
        <w:t xml:space="preserve">efficacy </w:t>
      </w:r>
      <w:r w:rsidR="000A26A4" w:rsidRPr="00BA52EF">
        <w:rPr>
          <w:rFonts w:ascii="Garamond" w:hAnsi="Garamond"/>
          <w:sz w:val="24"/>
          <w:szCs w:val="24"/>
        </w:rPr>
        <w:t xml:space="preserve">as a measure of price impact. </w:t>
      </w:r>
      <w:r w:rsidR="00BA52EF" w:rsidRPr="00BA52EF">
        <w:rPr>
          <w:rFonts w:ascii="Garamond" w:hAnsi="Garamond"/>
          <w:sz w:val="24"/>
          <w:szCs w:val="24"/>
        </w:rPr>
        <w:t xml:space="preserve">For our </w:t>
      </w:r>
      <w:r w:rsidR="000A26A4" w:rsidRPr="00BA52EF">
        <w:rPr>
          <w:rFonts w:ascii="Garamond" w:hAnsi="Garamond"/>
          <w:sz w:val="24"/>
          <w:szCs w:val="24"/>
        </w:rPr>
        <w:t>fo</w:t>
      </w:r>
      <w:r w:rsidR="00BA52EF" w:rsidRPr="00BA52EF">
        <w:rPr>
          <w:rFonts w:ascii="Garamond" w:hAnsi="Garamond"/>
          <w:sz w:val="24"/>
          <w:szCs w:val="24"/>
        </w:rPr>
        <w:t>u</w:t>
      </w:r>
      <w:r w:rsidR="000A26A4" w:rsidRPr="00BA52EF">
        <w:rPr>
          <w:rFonts w:ascii="Garamond" w:hAnsi="Garamond"/>
          <w:sz w:val="24"/>
          <w:szCs w:val="24"/>
        </w:rPr>
        <w:t>rth measure</w:t>
      </w:r>
      <w:r w:rsidR="00BA52EF" w:rsidRPr="00BA52EF">
        <w:rPr>
          <w:rFonts w:ascii="Garamond" w:hAnsi="Garamond"/>
          <w:sz w:val="24"/>
          <w:szCs w:val="24"/>
        </w:rPr>
        <w:t xml:space="preserve"> we use</w:t>
      </w:r>
      <w:r w:rsidR="000A26A4" w:rsidRPr="00BA52EF">
        <w:rPr>
          <w:rFonts w:ascii="Garamond" w:hAnsi="Garamond"/>
          <w:sz w:val="24"/>
          <w:szCs w:val="24"/>
        </w:rPr>
        <w:t xml:space="preserve"> </w:t>
      </w:r>
      <w:r w:rsidRPr="00BA52EF">
        <w:rPr>
          <w:rFonts w:ascii="Garamond" w:hAnsi="Garamond"/>
          <w:sz w:val="24"/>
          <w:szCs w:val="24"/>
        </w:rPr>
        <w:t xml:space="preserve">turnover price impact ratio (TPI), </w:t>
      </w:r>
      <w:r w:rsidR="00BA52EF">
        <w:rPr>
          <w:rFonts w:ascii="Garamond" w:hAnsi="Garamond"/>
          <w:sz w:val="24"/>
          <w:szCs w:val="24"/>
        </w:rPr>
        <w:t xml:space="preserve">which was </w:t>
      </w:r>
      <w:r w:rsidRPr="00BA52EF">
        <w:rPr>
          <w:rFonts w:ascii="Garamond" w:hAnsi="Garamond"/>
          <w:sz w:val="24"/>
          <w:szCs w:val="24"/>
        </w:rPr>
        <w:t xml:space="preserve">proposed and </w:t>
      </w:r>
      <w:r>
        <w:rPr>
          <w:rFonts w:ascii="Garamond" w:hAnsi="Garamond"/>
          <w:sz w:val="24"/>
          <w:szCs w:val="24"/>
        </w:rPr>
        <w:t xml:space="preserve">developed by Florackis et al. (2011). The ratio can be defined as the returns impact of a one percent stock turnover. It has several appealing characteristics compared to Amihud’s (2002) illiquidity ratio. </w:t>
      </w:r>
      <w:r w:rsidR="0044365B">
        <w:rPr>
          <w:rFonts w:ascii="Garamond" w:hAnsi="Garamond"/>
          <w:sz w:val="24"/>
          <w:szCs w:val="24"/>
        </w:rPr>
        <w:t>TPI</w:t>
      </w:r>
      <w:r>
        <w:rPr>
          <w:rFonts w:ascii="Garamond" w:hAnsi="Garamond"/>
          <w:sz w:val="24"/>
          <w:szCs w:val="24"/>
        </w:rPr>
        <w:t xml:space="preserve"> is free from size bias and considers trading frequency rather than volume, thus </w:t>
      </w:r>
      <w:r w:rsidR="0044365B">
        <w:rPr>
          <w:rFonts w:ascii="Garamond" w:hAnsi="Garamond"/>
          <w:sz w:val="24"/>
          <w:szCs w:val="24"/>
        </w:rPr>
        <w:t xml:space="preserve">it </w:t>
      </w:r>
      <w:r>
        <w:rPr>
          <w:rFonts w:ascii="Garamond" w:hAnsi="Garamond"/>
          <w:sz w:val="24"/>
          <w:szCs w:val="24"/>
        </w:rPr>
        <w:t xml:space="preserve">is less related to market capitalization and can encapsulate stocks’ cross-sectional variability (see Florackis et al., 2011 for a detailed discussion). </w:t>
      </w:r>
      <w:r w:rsidRPr="005C4A9C">
        <w:rPr>
          <w:rFonts w:ascii="Garamond" w:hAnsi="Garamond"/>
          <w:sz w:val="24"/>
          <w:szCs w:val="24"/>
        </w:rPr>
        <w:t xml:space="preserve">Fernández-Amador et al. </w:t>
      </w:r>
      <w:r>
        <w:rPr>
          <w:rFonts w:ascii="Garamond" w:hAnsi="Garamond"/>
          <w:sz w:val="24"/>
          <w:szCs w:val="24"/>
        </w:rPr>
        <w:t xml:space="preserve">(2013) suggest that TPI is more isolated </w:t>
      </w:r>
      <w:r w:rsidR="0044365B">
        <w:rPr>
          <w:rFonts w:ascii="Garamond" w:hAnsi="Garamond"/>
          <w:sz w:val="24"/>
          <w:szCs w:val="24"/>
        </w:rPr>
        <w:t>from</w:t>
      </w:r>
      <w:r>
        <w:rPr>
          <w:rFonts w:ascii="Garamond" w:hAnsi="Garamond"/>
          <w:sz w:val="24"/>
          <w:szCs w:val="24"/>
        </w:rPr>
        <w:t xml:space="preserve"> nominal effect than Amihud’s (2002) ILLIQ, therefore </w:t>
      </w:r>
      <w:r w:rsidR="00760CAE">
        <w:rPr>
          <w:rFonts w:ascii="Garamond" w:hAnsi="Garamond"/>
          <w:sz w:val="24"/>
          <w:szCs w:val="24"/>
        </w:rPr>
        <w:t xml:space="preserve">it </w:t>
      </w:r>
      <w:r>
        <w:rPr>
          <w:rFonts w:ascii="Garamond" w:hAnsi="Garamond"/>
          <w:sz w:val="24"/>
          <w:szCs w:val="24"/>
        </w:rPr>
        <w:t>can offer different conclusions in an environment where nominal shocks dominate (e.g. an inflationary environment).</w:t>
      </w:r>
    </w:p>
    <w:p w14:paraId="16B6874B" w14:textId="77777777" w:rsidR="00424000" w:rsidRDefault="00424000" w:rsidP="00424000">
      <w:pPr>
        <w:spacing w:line="360" w:lineRule="auto"/>
        <w:jc w:val="both"/>
        <w:rPr>
          <w:rFonts w:ascii="Garamond" w:hAnsi="Garamond"/>
          <w:sz w:val="24"/>
          <w:szCs w:val="24"/>
        </w:rPr>
      </w:pPr>
      <w:r>
        <w:rPr>
          <w:rFonts w:ascii="Garamond" w:hAnsi="Garamond"/>
          <w:sz w:val="24"/>
          <w:szCs w:val="24"/>
        </w:rPr>
        <w:t xml:space="preserve">The mathematical expressions for ILLIQ and TPI are as follows:     </w:t>
      </w:r>
    </w:p>
    <w:p w14:paraId="737114F8" w14:textId="77777777" w:rsidR="00424000" w:rsidRDefault="007E3C2B" w:rsidP="00424000">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ILLIQ</m:t>
            </m:r>
          </m:e>
          <m:sub>
            <m:r>
              <w:rPr>
                <w:rFonts w:ascii="Cambria Math" w:hAnsi="Cambria Math"/>
                <w:sz w:val="24"/>
                <w:szCs w:val="24"/>
              </w:rPr>
              <m:t>iyd</m:t>
            </m:r>
          </m:sub>
        </m:sSub>
        <m: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iyd</m:t>
                    </m:r>
                  </m:sub>
                </m:sSub>
              </m:e>
            </m:d>
          </m:num>
          <m:den>
            <m:sSub>
              <m:sSubPr>
                <m:ctrlPr>
                  <w:rPr>
                    <w:rFonts w:ascii="Cambria Math" w:hAnsi="Cambria Math"/>
                    <w:i/>
                    <w:sz w:val="24"/>
                    <w:szCs w:val="24"/>
                  </w:rPr>
                </m:ctrlPr>
              </m:sSubPr>
              <m:e>
                <m:r>
                  <w:rPr>
                    <w:rFonts w:ascii="Cambria Math" w:hAnsi="Cambria Math"/>
                    <w:sz w:val="24"/>
                    <w:szCs w:val="24"/>
                  </w:rPr>
                  <m:t>TV</m:t>
                </m:r>
              </m:e>
              <m:sub>
                <m:r>
                  <w:rPr>
                    <w:rFonts w:ascii="Cambria Math" w:hAnsi="Cambria Math"/>
                    <w:sz w:val="24"/>
                    <w:szCs w:val="24"/>
                  </w:rPr>
                  <m:t>iyd</m:t>
                </m:r>
              </m:sub>
            </m:sSub>
          </m:den>
        </m:f>
      </m:oMath>
      <w:r w:rsidR="00424000">
        <w:rPr>
          <w:rFonts w:ascii="Garamond" w:hAnsi="Garamond"/>
          <w:sz w:val="24"/>
          <w:szCs w:val="24"/>
        </w:rPr>
        <w:t xml:space="preserve"> </w:t>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t>(iii)</w:t>
      </w:r>
    </w:p>
    <w:p w14:paraId="543E6E4C" w14:textId="60A2AAFA" w:rsidR="00424000" w:rsidRDefault="00424000" w:rsidP="00424000">
      <w:pPr>
        <w:spacing w:line="360" w:lineRule="auto"/>
        <w:jc w:val="both"/>
        <w:rPr>
          <w:rFonts w:ascii="Garamond" w:hAnsi="Garamond"/>
          <w:sz w:val="24"/>
          <w:szCs w:val="24"/>
        </w:rPr>
      </w:pPr>
      <w:r>
        <w:rPr>
          <w:rFonts w:ascii="Garamond" w:hAnsi="Garamond"/>
          <w:sz w:val="24"/>
          <w:szCs w:val="24"/>
        </w:rPr>
        <w:t xml:space="preserve">where </w:t>
      </w:r>
      <m:oMath>
        <m:sSub>
          <m:sSubPr>
            <m:ctrlPr>
              <w:rPr>
                <w:rFonts w:ascii="Cambria Math" w:hAnsi="Cambria Math"/>
                <w:i/>
                <w:sz w:val="24"/>
                <w:szCs w:val="24"/>
              </w:rPr>
            </m:ctrlPr>
          </m:sSubPr>
          <m:e>
            <m:r>
              <w:rPr>
                <w:rFonts w:ascii="Cambria Math" w:hAnsi="Cambria Math"/>
                <w:sz w:val="24"/>
                <w:szCs w:val="24"/>
              </w:rPr>
              <m:t>ILLIQ</m:t>
            </m:r>
          </m:e>
          <m:sub>
            <m:r>
              <w:rPr>
                <w:rFonts w:ascii="Cambria Math" w:hAnsi="Cambria Math"/>
                <w:sz w:val="24"/>
                <w:szCs w:val="24"/>
              </w:rPr>
              <m:t>iyd</m:t>
            </m:r>
          </m:sub>
        </m:sSub>
      </m:oMath>
      <w:r>
        <w:rPr>
          <w:rFonts w:ascii="Garamond" w:hAnsi="Garamond"/>
          <w:sz w:val="24"/>
          <w:szCs w:val="24"/>
        </w:rPr>
        <w:t xml:space="preserve"> is the illiquidity ratio of security </w:t>
      </w:r>
      <w:r w:rsidRPr="00E3099D">
        <w:rPr>
          <w:rFonts w:ascii="Garamond" w:hAnsi="Garamond"/>
          <w:i/>
          <w:sz w:val="24"/>
          <w:szCs w:val="24"/>
        </w:rPr>
        <w:t>i</w:t>
      </w:r>
      <w:r>
        <w:rPr>
          <w:rFonts w:ascii="Garamond" w:hAnsi="Garamond"/>
          <w:sz w:val="24"/>
          <w:szCs w:val="24"/>
        </w:rPr>
        <w:t xml:space="preserve"> on day </w:t>
      </w:r>
      <w:r w:rsidRPr="00E3099D">
        <w:rPr>
          <w:rFonts w:ascii="Garamond" w:hAnsi="Garamond"/>
          <w:i/>
          <w:sz w:val="24"/>
          <w:szCs w:val="24"/>
        </w:rPr>
        <w:t>d</w:t>
      </w:r>
      <w:r>
        <w:rPr>
          <w:rFonts w:ascii="Garamond" w:hAnsi="Garamond"/>
          <w:sz w:val="24"/>
          <w:szCs w:val="24"/>
        </w:rPr>
        <w:t xml:space="preserve"> of year </w:t>
      </w:r>
      <w:r w:rsidRPr="00E3099D">
        <w:rPr>
          <w:rFonts w:ascii="Garamond" w:hAnsi="Garamond"/>
          <w:i/>
          <w:sz w:val="24"/>
          <w:szCs w:val="24"/>
        </w:rPr>
        <w:t>y</w:t>
      </w:r>
      <w:r>
        <w:rPr>
          <w:rFonts w:ascii="Garamond" w:hAnsi="Garamond"/>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iyd</m:t>
            </m:r>
          </m:sub>
        </m:sSub>
      </m:oMath>
      <w:r>
        <w:rPr>
          <w:rFonts w:ascii="Garamond" w:hAnsi="Garamond"/>
          <w:sz w:val="24"/>
          <w:szCs w:val="24"/>
        </w:rPr>
        <w:t xml:space="preserve"> is the return on stock </w:t>
      </w:r>
      <w:r w:rsidRPr="00E3099D">
        <w:rPr>
          <w:rFonts w:ascii="Garamond" w:hAnsi="Garamond"/>
          <w:i/>
          <w:sz w:val="24"/>
          <w:szCs w:val="24"/>
        </w:rPr>
        <w:t>i</w:t>
      </w:r>
      <w:r>
        <w:rPr>
          <w:rFonts w:ascii="Garamond" w:hAnsi="Garamond"/>
          <w:sz w:val="24"/>
          <w:szCs w:val="24"/>
        </w:rPr>
        <w:t xml:space="preserve"> on day </w:t>
      </w:r>
      <w:r w:rsidRPr="00E3099D">
        <w:rPr>
          <w:rFonts w:ascii="Garamond" w:hAnsi="Garamond"/>
          <w:i/>
          <w:sz w:val="24"/>
          <w:szCs w:val="24"/>
        </w:rPr>
        <w:t>d</w:t>
      </w:r>
      <w:r>
        <w:rPr>
          <w:rFonts w:ascii="Garamond" w:hAnsi="Garamond"/>
          <w:sz w:val="24"/>
          <w:szCs w:val="24"/>
        </w:rPr>
        <w:t xml:space="preserve"> of year </w:t>
      </w:r>
      <w:r w:rsidRPr="00E3099D">
        <w:rPr>
          <w:rFonts w:ascii="Garamond" w:hAnsi="Garamond"/>
          <w:i/>
          <w:sz w:val="24"/>
          <w:szCs w:val="24"/>
        </w:rPr>
        <w:t>y</w:t>
      </w:r>
      <w:r>
        <w:rPr>
          <w:rFonts w:ascii="Garamond" w:hAnsi="Garamond"/>
          <w:sz w:val="24"/>
          <w:szCs w:val="24"/>
        </w:rPr>
        <w:t xml:space="preserve"> and </w:t>
      </w:r>
      <m:oMath>
        <m:sSub>
          <m:sSubPr>
            <m:ctrlPr>
              <w:rPr>
                <w:rFonts w:ascii="Cambria Math" w:hAnsi="Cambria Math"/>
                <w:i/>
                <w:sz w:val="24"/>
                <w:szCs w:val="24"/>
              </w:rPr>
            </m:ctrlPr>
          </m:sSubPr>
          <m:e>
            <m:r>
              <w:rPr>
                <w:rFonts w:ascii="Cambria Math" w:hAnsi="Cambria Math"/>
                <w:sz w:val="24"/>
                <w:szCs w:val="24"/>
              </w:rPr>
              <m:t>TV</m:t>
            </m:r>
          </m:e>
          <m:sub>
            <m:r>
              <w:rPr>
                <w:rFonts w:ascii="Cambria Math" w:hAnsi="Cambria Math"/>
                <w:sz w:val="24"/>
                <w:szCs w:val="24"/>
              </w:rPr>
              <m:t>iyd</m:t>
            </m:r>
          </m:sub>
        </m:sSub>
      </m:oMath>
      <w:r>
        <w:rPr>
          <w:rFonts w:ascii="Garamond" w:hAnsi="Garamond"/>
          <w:sz w:val="24"/>
          <w:szCs w:val="24"/>
        </w:rPr>
        <w:t xml:space="preserve"> is the respective daily </w:t>
      </w:r>
      <w:r w:rsidR="0044365B">
        <w:rPr>
          <w:rFonts w:ascii="Garamond" w:hAnsi="Garamond"/>
          <w:sz w:val="24"/>
          <w:szCs w:val="24"/>
        </w:rPr>
        <w:t>volume; and</w:t>
      </w:r>
    </w:p>
    <w:p w14:paraId="7A1A2B5A" w14:textId="77777777" w:rsidR="00424000" w:rsidRPr="00FC5BE3" w:rsidRDefault="007E3C2B" w:rsidP="00424000">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TPI</m:t>
            </m:r>
          </m:e>
          <m:sub>
            <m:r>
              <w:rPr>
                <w:rFonts w:ascii="Cambria Math" w:hAnsi="Cambria Math"/>
                <w:sz w:val="24"/>
                <w:szCs w:val="24"/>
              </w:rPr>
              <m:t>iyd</m:t>
            </m:r>
          </m:sub>
        </m:sSub>
        <m: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iyd</m:t>
                    </m:r>
                  </m:sub>
                </m:sSub>
              </m:e>
            </m:d>
          </m:num>
          <m:den>
            <m:sSub>
              <m:sSubPr>
                <m:ctrlPr>
                  <w:rPr>
                    <w:rFonts w:ascii="Cambria Math" w:hAnsi="Cambria Math"/>
                    <w:i/>
                    <w:sz w:val="24"/>
                    <w:szCs w:val="24"/>
                  </w:rPr>
                </m:ctrlPr>
              </m:sSubPr>
              <m:e>
                <m:r>
                  <w:rPr>
                    <w:rFonts w:ascii="Cambria Math" w:hAnsi="Cambria Math"/>
                    <w:sz w:val="24"/>
                    <w:szCs w:val="24"/>
                  </w:rPr>
                  <m:t>TR</m:t>
                </m:r>
              </m:e>
              <m:sub>
                <m:r>
                  <w:rPr>
                    <w:rFonts w:ascii="Cambria Math" w:hAnsi="Cambria Math"/>
                    <w:sz w:val="24"/>
                    <w:szCs w:val="24"/>
                  </w:rPr>
                  <m:t>iyd</m:t>
                </m:r>
              </m:sub>
            </m:sSub>
          </m:den>
        </m:f>
      </m:oMath>
      <w:r w:rsidR="00424000">
        <w:rPr>
          <w:rFonts w:ascii="Garamond" w:hAnsi="Garamond"/>
          <w:sz w:val="24"/>
          <w:szCs w:val="24"/>
        </w:rPr>
        <w:t xml:space="preserve"> </w:t>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r>
      <w:r w:rsidR="00424000">
        <w:rPr>
          <w:rFonts w:ascii="Garamond" w:hAnsi="Garamond"/>
          <w:sz w:val="24"/>
          <w:szCs w:val="24"/>
        </w:rPr>
        <w:tab/>
        <w:t>(iv)</w:t>
      </w:r>
    </w:p>
    <w:p w14:paraId="58FE226A" w14:textId="16752097" w:rsidR="00424000" w:rsidRPr="003269EB" w:rsidRDefault="00424000" w:rsidP="00424000">
      <w:pPr>
        <w:spacing w:line="360" w:lineRule="auto"/>
        <w:jc w:val="both"/>
        <w:rPr>
          <w:rFonts w:ascii="Garamond" w:hAnsi="Garamond"/>
          <w:sz w:val="24"/>
          <w:szCs w:val="24"/>
        </w:rPr>
      </w:pPr>
      <w:r>
        <w:rPr>
          <w:rFonts w:ascii="Garamond" w:hAnsi="Garamond"/>
          <w:sz w:val="24"/>
          <w:szCs w:val="24"/>
        </w:rPr>
        <w:t xml:space="preserve">where </w:t>
      </w:r>
      <m:oMath>
        <m:sSub>
          <m:sSubPr>
            <m:ctrlPr>
              <w:rPr>
                <w:rFonts w:ascii="Cambria Math" w:hAnsi="Cambria Math"/>
                <w:i/>
                <w:sz w:val="24"/>
                <w:szCs w:val="24"/>
              </w:rPr>
            </m:ctrlPr>
          </m:sSubPr>
          <m:e>
            <m:r>
              <w:rPr>
                <w:rFonts w:ascii="Cambria Math" w:hAnsi="Cambria Math"/>
                <w:sz w:val="24"/>
                <w:szCs w:val="24"/>
              </w:rPr>
              <m:t>TPI</m:t>
            </m:r>
          </m:e>
          <m:sub>
            <m:r>
              <w:rPr>
                <w:rFonts w:ascii="Cambria Math" w:hAnsi="Cambria Math"/>
                <w:sz w:val="24"/>
                <w:szCs w:val="24"/>
              </w:rPr>
              <m:t>iyd</m:t>
            </m:r>
          </m:sub>
        </m:sSub>
      </m:oMath>
      <w:r>
        <w:rPr>
          <w:rFonts w:ascii="Garamond" w:hAnsi="Garamond"/>
          <w:sz w:val="24"/>
          <w:szCs w:val="24"/>
        </w:rPr>
        <w:t xml:space="preserve"> is the turnover price impact of security </w:t>
      </w:r>
      <w:r w:rsidRPr="00E3099D">
        <w:rPr>
          <w:rFonts w:ascii="Garamond" w:hAnsi="Garamond"/>
          <w:i/>
          <w:sz w:val="24"/>
          <w:szCs w:val="24"/>
        </w:rPr>
        <w:t>i</w:t>
      </w:r>
      <w:r>
        <w:rPr>
          <w:rFonts w:ascii="Garamond" w:hAnsi="Garamond"/>
          <w:sz w:val="24"/>
          <w:szCs w:val="24"/>
        </w:rPr>
        <w:t xml:space="preserve"> on day </w:t>
      </w:r>
      <w:r w:rsidRPr="00E3099D">
        <w:rPr>
          <w:rFonts w:ascii="Garamond" w:hAnsi="Garamond"/>
          <w:i/>
          <w:sz w:val="24"/>
          <w:szCs w:val="24"/>
        </w:rPr>
        <w:t>d</w:t>
      </w:r>
      <w:r>
        <w:rPr>
          <w:rFonts w:ascii="Garamond" w:hAnsi="Garamond"/>
          <w:sz w:val="24"/>
          <w:szCs w:val="24"/>
        </w:rPr>
        <w:t xml:space="preserve"> of year </w:t>
      </w:r>
      <w:r w:rsidRPr="00E3099D">
        <w:rPr>
          <w:rFonts w:ascii="Garamond" w:hAnsi="Garamond"/>
          <w:i/>
          <w:sz w:val="24"/>
          <w:szCs w:val="24"/>
        </w:rPr>
        <w:t>y</w:t>
      </w:r>
      <w:r>
        <w:rPr>
          <w:rFonts w:ascii="Garamond" w:hAnsi="Garamond"/>
          <w:sz w:val="24"/>
          <w:szCs w:val="24"/>
        </w:rPr>
        <w:t xml:space="preserve">; </w:t>
      </w:r>
      <m:oMath>
        <m:sSub>
          <m:sSubPr>
            <m:ctrlPr>
              <w:rPr>
                <w:rFonts w:ascii="Cambria Math" w:hAnsi="Cambria Math"/>
                <w:i/>
                <w:sz w:val="24"/>
                <w:szCs w:val="24"/>
              </w:rPr>
            </m:ctrlPr>
          </m:sSubPr>
          <m:e>
            <m:r>
              <w:rPr>
                <w:rFonts w:ascii="Cambria Math" w:hAnsi="Cambria Math"/>
                <w:sz w:val="24"/>
                <w:szCs w:val="24"/>
              </w:rPr>
              <m:t>TR</m:t>
            </m:r>
          </m:e>
          <m:sub>
            <m:r>
              <w:rPr>
                <w:rFonts w:ascii="Cambria Math" w:hAnsi="Cambria Math"/>
                <w:sz w:val="24"/>
                <w:szCs w:val="24"/>
              </w:rPr>
              <m:t>iyd</m:t>
            </m:r>
          </m:sub>
        </m:sSub>
      </m:oMath>
      <w:r>
        <w:rPr>
          <w:rFonts w:ascii="Garamond" w:hAnsi="Garamond"/>
          <w:sz w:val="24"/>
          <w:szCs w:val="24"/>
        </w:rPr>
        <w:t xml:space="preserve"> and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iyd</m:t>
            </m:r>
          </m:sub>
        </m:sSub>
      </m:oMath>
      <w:r>
        <w:rPr>
          <w:rFonts w:ascii="Garamond" w:hAnsi="Garamond"/>
          <w:sz w:val="24"/>
          <w:szCs w:val="24"/>
        </w:rPr>
        <w:t xml:space="preserve"> is the turnover rate and daily return of each share respectively. </w:t>
      </w:r>
      <w:r w:rsidRPr="003269EB">
        <w:rPr>
          <w:rFonts w:ascii="Garamond" w:hAnsi="Garamond"/>
          <w:sz w:val="24"/>
          <w:szCs w:val="24"/>
        </w:rPr>
        <w:t xml:space="preserve">For our empirical models we compute </w:t>
      </w:r>
      <w:r w:rsidR="00760CAE">
        <w:rPr>
          <w:rFonts w:ascii="Garamond" w:hAnsi="Garamond"/>
          <w:sz w:val="24"/>
          <w:szCs w:val="24"/>
        </w:rPr>
        <w:t xml:space="preserve">the </w:t>
      </w:r>
      <w:r w:rsidRPr="003269EB">
        <w:rPr>
          <w:rFonts w:ascii="Garamond" w:hAnsi="Garamond"/>
          <w:sz w:val="24"/>
          <w:szCs w:val="24"/>
        </w:rPr>
        <w:t xml:space="preserve">monthly average of the individual liquidity or illiquidity of each stock and also </w:t>
      </w:r>
      <w:r w:rsidR="00760CAE">
        <w:rPr>
          <w:rFonts w:ascii="Garamond" w:hAnsi="Garamond"/>
          <w:sz w:val="24"/>
          <w:szCs w:val="24"/>
        </w:rPr>
        <w:t xml:space="preserve">the </w:t>
      </w:r>
      <w:r w:rsidRPr="003269EB">
        <w:rPr>
          <w:rFonts w:ascii="Garamond" w:hAnsi="Garamond"/>
          <w:sz w:val="24"/>
          <w:szCs w:val="24"/>
        </w:rPr>
        <w:t>equally weighted cross-sectional averages o</w:t>
      </w:r>
      <w:r>
        <w:rPr>
          <w:rFonts w:ascii="Garamond" w:hAnsi="Garamond"/>
          <w:sz w:val="24"/>
          <w:szCs w:val="24"/>
        </w:rPr>
        <w:t xml:space="preserve">f the liquidity and illiquidity for </w:t>
      </w:r>
      <w:r w:rsidR="00760CAE">
        <w:rPr>
          <w:rFonts w:ascii="Garamond" w:hAnsi="Garamond"/>
          <w:sz w:val="24"/>
          <w:szCs w:val="24"/>
        </w:rPr>
        <w:t xml:space="preserve">the </w:t>
      </w:r>
      <w:r>
        <w:rPr>
          <w:rFonts w:ascii="Garamond" w:hAnsi="Garamond"/>
          <w:sz w:val="24"/>
          <w:szCs w:val="24"/>
        </w:rPr>
        <w:t>vector autoregression model.</w:t>
      </w:r>
    </w:p>
    <w:p w14:paraId="287B2CFA" w14:textId="6EFE96CC" w:rsidR="00424000" w:rsidRPr="00F11E9B" w:rsidRDefault="00F05A67" w:rsidP="00424000">
      <w:pPr>
        <w:pStyle w:val="Heading2"/>
        <w:spacing w:after="200" w:line="360" w:lineRule="auto"/>
        <w:ind w:firstLine="720"/>
        <w:rPr>
          <w:rFonts w:ascii="Garamond" w:hAnsi="Garamond"/>
          <w:color w:val="auto"/>
          <w:sz w:val="24"/>
          <w:szCs w:val="24"/>
        </w:rPr>
      </w:pPr>
      <w:bookmarkStart w:id="5" w:name="_Toc399683673"/>
      <w:r>
        <w:rPr>
          <w:rFonts w:ascii="Garamond" w:hAnsi="Garamond"/>
          <w:color w:val="auto"/>
          <w:sz w:val="24"/>
          <w:szCs w:val="24"/>
        </w:rPr>
        <w:t>2</w:t>
      </w:r>
      <w:r w:rsidR="00424000" w:rsidRPr="00F11E9B">
        <w:rPr>
          <w:rFonts w:ascii="Garamond" w:hAnsi="Garamond"/>
          <w:color w:val="auto"/>
          <w:sz w:val="24"/>
          <w:szCs w:val="24"/>
        </w:rPr>
        <w:t>.3 Macroeconomic variables</w:t>
      </w:r>
      <w:bookmarkEnd w:id="5"/>
    </w:p>
    <w:p w14:paraId="7E70B8BB" w14:textId="49344CE6" w:rsidR="00424000" w:rsidRDefault="00424000" w:rsidP="00424000">
      <w:pPr>
        <w:spacing w:line="360" w:lineRule="auto"/>
        <w:jc w:val="both"/>
        <w:rPr>
          <w:rFonts w:ascii="Garamond" w:hAnsi="Garamond"/>
          <w:sz w:val="24"/>
          <w:szCs w:val="24"/>
        </w:rPr>
      </w:pPr>
      <w:r>
        <w:rPr>
          <w:rFonts w:ascii="Garamond" w:hAnsi="Garamond"/>
          <w:sz w:val="24"/>
          <w:szCs w:val="24"/>
        </w:rPr>
        <w:t xml:space="preserve">The prime objective of this study is to investigate the </w:t>
      </w:r>
      <w:r w:rsidR="00AF0E89">
        <w:rPr>
          <w:rFonts w:ascii="Garamond" w:hAnsi="Garamond"/>
          <w:sz w:val="24"/>
          <w:szCs w:val="24"/>
        </w:rPr>
        <w:t xml:space="preserve">effect of </w:t>
      </w:r>
      <w:r>
        <w:rPr>
          <w:rFonts w:ascii="Garamond" w:hAnsi="Garamond"/>
          <w:sz w:val="24"/>
          <w:szCs w:val="24"/>
        </w:rPr>
        <w:t xml:space="preserve">monetary policy (MP) and fiscal policy (FP) </w:t>
      </w:r>
      <w:r w:rsidR="00AF0E89">
        <w:rPr>
          <w:rFonts w:ascii="Garamond" w:hAnsi="Garamond"/>
          <w:sz w:val="24"/>
          <w:szCs w:val="24"/>
        </w:rPr>
        <w:t xml:space="preserve">on the liquidity of selected emerging stock markets. </w:t>
      </w:r>
      <w:r>
        <w:rPr>
          <w:rFonts w:ascii="Garamond" w:hAnsi="Garamond"/>
          <w:sz w:val="24"/>
          <w:szCs w:val="24"/>
        </w:rPr>
        <w:t xml:space="preserve">To achieve this objective we select several monetary and fiscal policy variables in line with previous studies, e.g. Chordia, Roll </w:t>
      </w:r>
      <w:r>
        <w:rPr>
          <w:rFonts w:ascii="Garamond" w:hAnsi="Garamond"/>
          <w:sz w:val="24"/>
          <w:szCs w:val="24"/>
        </w:rPr>
        <w:lastRenderedPageBreak/>
        <w:t xml:space="preserve">and Subrahmanyam (2001), Chordia et al. (2005), Goyenko and Ukhov (2009). We approximate the monetary policy by using data on the aggregate money supply, bank rate and short-term interest rate. For aggregate money supply we use the rolling twelve month </w:t>
      </w:r>
      <w:r w:rsidR="007C1EAA">
        <w:rPr>
          <w:rFonts w:ascii="Garamond" w:hAnsi="Garamond"/>
          <w:sz w:val="24"/>
          <w:szCs w:val="24"/>
        </w:rPr>
        <w:t xml:space="preserve">growth rate of base money (BM). </w:t>
      </w:r>
      <w:r w:rsidR="0060645D">
        <w:rPr>
          <w:rFonts w:ascii="Garamond" w:hAnsi="Garamond"/>
          <w:sz w:val="24"/>
          <w:szCs w:val="24"/>
        </w:rPr>
        <w:t>Our second variable, bank rate (BR)</w:t>
      </w:r>
      <w:r w:rsidR="00760CAE">
        <w:rPr>
          <w:rFonts w:ascii="Garamond" w:hAnsi="Garamond"/>
          <w:sz w:val="24"/>
          <w:szCs w:val="24"/>
        </w:rPr>
        <w:t>,</w:t>
      </w:r>
      <w:r w:rsidR="0060645D">
        <w:rPr>
          <w:rFonts w:ascii="Garamond" w:hAnsi="Garamond"/>
          <w:sz w:val="24"/>
          <w:szCs w:val="24"/>
        </w:rPr>
        <w:t xml:space="preserve"> is relatively straightforward and </w:t>
      </w:r>
      <w:r>
        <w:rPr>
          <w:rFonts w:ascii="Garamond" w:hAnsi="Garamond"/>
          <w:sz w:val="24"/>
          <w:szCs w:val="24"/>
        </w:rPr>
        <w:t xml:space="preserve">is the rate at which the central bank offers credit to other FIs and thus acted as a control mechanism for market money supply. Finally, we take </w:t>
      </w:r>
      <w:r w:rsidR="00760CAE">
        <w:rPr>
          <w:rFonts w:ascii="Garamond" w:hAnsi="Garamond"/>
          <w:sz w:val="24"/>
          <w:szCs w:val="24"/>
        </w:rPr>
        <w:t xml:space="preserve">the </w:t>
      </w:r>
      <w:r>
        <w:rPr>
          <w:rFonts w:ascii="Garamond" w:hAnsi="Garamond"/>
          <w:sz w:val="24"/>
          <w:szCs w:val="24"/>
        </w:rPr>
        <w:t xml:space="preserve">short-term interest rate (SIR) to consider domestic interest rate shocks on liquidity following the argument of Chordia, Roll and Subrahmanyam (2001) and </w:t>
      </w:r>
      <w:r w:rsidRPr="00BE2865">
        <w:rPr>
          <w:rFonts w:ascii="Garamond" w:hAnsi="Garamond"/>
          <w:sz w:val="24"/>
          <w:szCs w:val="24"/>
        </w:rPr>
        <w:t>Söderberg</w:t>
      </w:r>
      <w:r>
        <w:rPr>
          <w:rFonts w:ascii="Garamond" w:hAnsi="Garamond"/>
          <w:sz w:val="24"/>
          <w:szCs w:val="24"/>
        </w:rPr>
        <w:t xml:space="preserve"> (2008). T</w:t>
      </w:r>
      <w:r w:rsidR="00760CAE">
        <w:rPr>
          <w:rFonts w:ascii="Garamond" w:hAnsi="Garamond"/>
          <w:sz w:val="24"/>
          <w:szCs w:val="24"/>
        </w:rPr>
        <w:t>he t</w:t>
      </w:r>
      <w:r>
        <w:rPr>
          <w:rFonts w:ascii="Garamond" w:hAnsi="Garamond"/>
          <w:sz w:val="24"/>
          <w:szCs w:val="24"/>
        </w:rPr>
        <w:t>hree-mo</w:t>
      </w:r>
      <w:r w:rsidR="00760CAE">
        <w:rPr>
          <w:rFonts w:ascii="Garamond" w:hAnsi="Garamond"/>
          <w:sz w:val="24"/>
          <w:szCs w:val="24"/>
        </w:rPr>
        <w:t>n</w:t>
      </w:r>
      <w:r>
        <w:rPr>
          <w:rFonts w:ascii="Garamond" w:hAnsi="Garamond"/>
          <w:sz w:val="24"/>
          <w:szCs w:val="24"/>
        </w:rPr>
        <w:t xml:space="preserve">th Treasury bill rate is used as </w:t>
      </w:r>
      <w:r w:rsidR="00760CAE">
        <w:rPr>
          <w:rFonts w:ascii="Garamond" w:hAnsi="Garamond"/>
          <w:sz w:val="24"/>
          <w:szCs w:val="24"/>
        </w:rPr>
        <w:t xml:space="preserve">the </w:t>
      </w:r>
      <w:r>
        <w:rPr>
          <w:rFonts w:ascii="Garamond" w:hAnsi="Garamond"/>
          <w:sz w:val="24"/>
          <w:szCs w:val="24"/>
        </w:rPr>
        <w:t>proxy for this short-term interest rate</w:t>
      </w:r>
      <w:r w:rsidR="009C6191">
        <w:rPr>
          <w:rFonts w:ascii="Garamond" w:hAnsi="Garamond"/>
          <w:sz w:val="24"/>
          <w:szCs w:val="24"/>
        </w:rPr>
        <w:t>,</w:t>
      </w:r>
      <w:r>
        <w:rPr>
          <w:rFonts w:ascii="Garamond" w:hAnsi="Garamond"/>
          <w:sz w:val="24"/>
          <w:szCs w:val="24"/>
        </w:rPr>
        <w:t xml:space="preserve"> as suggested in Gagnon and Gimet (2013).</w:t>
      </w:r>
    </w:p>
    <w:p w14:paraId="456BD093" w14:textId="36EAA266" w:rsidR="00424000" w:rsidRDefault="00424000" w:rsidP="00424000">
      <w:pPr>
        <w:spacing w:line="360" w:lineRule="auto"/>
        <w:jc w:val="both"/>
        <w:rPr>
          <w:rFonts w:ascii="Garamond" w:hAnsi="Garamond"/>
          <w:sz w:val="24"/>
          <w:szCs w:val="24"/>
        </w:rPr>
      </w:pPr>
      <w:r>
        <w:rPr>
          <w:rFonts w:ascii="Garamond" w:hAnsi="Garamond"/>
          <w:sz w:val="24"/>
          <w:szCs w:val="24"/>
        </w:rPr>
        <w:t>Next to monetary policy, we consider three fiscal policy variables to capture the government’s intervention in equity market liquidity. These variables are government expenditure (GE), government borrowing from commercial banks (GB) and credit to the private sector (CP). The recent literature identifies a chain of transmission of budgetary policies to the credit sector (Gagnon and Gimet, 2013). For example, Blanchard (2009) reports that the financial crisis affect</w:t>
      </w:r>
      <w:r w:rsidR="009C6191">
        <w:rPr>
          <w:rFonts w:ascii="Garamond" w:hAnsi="Garamond"/>
          <w:sz w:val="24"/>
          <w:szCs w:val="24"/>
        </w:rPr>
        <w:t>ed</w:t>
      </w:r>
      <w:r>
        <w:rPr>
          <w:rFonts w:ascii="Garamond" w:hAnsi="Garamond"/>
          <w:sz w:val="24"/>
          <w:szCs w:val="24"/>
        </w:rPr>
        <w:t xml:space="preserve"> the economy through credit rationing, i.e. tightening of lending standards by banks. Credit to </w:t>
      </w:r>
      <w:r w:rsidR="00760CAE">
        <w:rPr>
          <w:rFonts w:ascii="Garamond" w:hAnsi="Garamond"/>
          <w:sz w:val="24"/>
          <w:szCs w:val="24"/>
        </w:rPr>
        <w:t xml:space="preserve">the </w:t>
      </w:r>
      <w:r>
        <w:rPr>
          <w:rFonts w:ascii="Garamond" w:hAnsi="Garamond"/>
          <w:sz w:val="24"/>
          <w:szCs w:val="24"/>
        </w:rPr>
        <w:t>private sector therefore measure</w:t>
      </w:r>
      <w:r w:rsidR="00760CAE">
        <w:rPr>
          <w:rFonts w:ascii="Garamond" w:hAnsi="Garamond"/>
          <w:sz w:val="24"/>
          <w:szCs w:val="24"/>
        </w:rPr>
        <w:t>s</w:t>
      </w:r>
      <w:r>
        <w:rPr>
          <w:rFonts w:ascii="Garamond" w:hAnsi="Garamond"/>
          <w:sz w:val="24"/>
          <w:szCs w:val="24"/>
        </w:rPr>
        <w:t xml:space="preserve"> the bank’s lending volume and willingness to loosen the credit standard (e.g. margin requirements) following a fiscal policy shock (see Gagnon and Gimet, 2013). For our first fiscal variable, Blinder and Solow (1973) assert that a dollar of additional government spending raise</w:t>
      </w:r>
      <w:r w:rsidR="00760CAE">
        <w:rPr>
          <w:rFonts w:ascii="Garamond" w:hAnsi="Garamond"/>
          <w:sz w:val="24"/>
          <w:szCs w:val="24"/>
        </w:rPr>
        <w:t>s</w:t>
      </w:r>
      <w:r>
        <w:rPr>
          <w:rFonts w:ascii="Garamond" w:hAnsi="Garamond"/>
          <w:sz w:val="24"/>
          <w:szCs w:val="24"/>
        </w:rPr>
        <w:t xml:space="preserve"> national income not only by the original dollar but ha</w:t>
      </w:r>
      <w:r w:rsidR="008857FE">
        <w:rPr>
          <w:rFonts w:ascii="Garamond" w:hAnsi="Garamond"/>
          <w:sz w:val="24"/>
          <w:szCs w:val="24"/>
        </w:rPr>
        <w:t>s</w:t>
      </w:r>
      <w:r>
        <w:rPr>
          <w:rFonts w:ascii="Garamond" w:hAnsi="Garamond"/>
          <w:sz w:val="24"/>
          <w:szCs w:val="24"/>
        </w:rPr>
        <w:t xml:space="preserve"> </w:t>
      </w:r>
      <w:r w:rsidR="00760CAE">
        <w:rPr>
          <w:rFonts w:ascii="Garamond" w:hAnsi="Garamond"/>
          <w:sz w:val="24"/>
          <w:szCs w:val="24"/>
        </w:rPr>
        <w:t xml:space="preserve">a </w:t>
      </w:r>
      <w:r>
        <w:rPr>
          <w:rFonts w:ascii="Garamond" w:hAnsi="Garamond"/>
          <w:sz w:val="24"/>
          <w:szCs w:val="24"/>
        </w:rPr>
        <w:t xml:space="preserve">multiplier effect of perhaps several dollars in the economy. This can facilitate the money flow in the economy and thus any positive shock may increase liquidity. On the other hand, </w:t>
      </w:r>
      <w:r w:rsidRPr="007373BB">
        <w:rPr>
          <w:rFonts w:ascii="Garamond" w:hAnsi="Garamond"/>
          <w:sz w:val="24"/>
          <w:szCs w:val="24"/>
        </w:rPr>
        <w:t>Fisher (1988)</w:t>
      </w:r>
      <w:r>
        <w:rPr>
          <w:rFonts w:ascii="Garamond" w:hAnsi="Garamond"/>
          <w:sz w:val="24"/>
          <w:szCs w:val="24"/>
        </w:rPr>
        <w:t xml:space="preserve"> </w:t>
      </w:r>
      <w:r w:rsidR="00760CAE">
        <w:rPr>
          <w:rFonts w:ascii="Garamond" w:hAnsi="Garamond"/>
          <w:sz w:val="24"/>
          <w:szCs w:val="24"/>
        </w:rPr>
        <w:t xml:space="preserve">among many others </w:t>
      </w:r>
      <w:r>
        <w:rPr>
          <w:rFonts w:ascii="Garamond" w:hAnsi="Garamond"/>
          <w:sz w:val="24"/>
          <w:szCs w:val="24"/>
        </w:rPr>
        <w:t xml:space="preserve">states that borrowing from commercial banks by the government can create </w:t>
      </w:r>
      <w:r w:rsidR="00760CAE">
        <w:rPr>
          <w:rFonts w:ascii="Garamond" w:hAnsi="Garamond"/>
          <w:sz w:val="24"/>
          <w:szCs w:val="24"/>
        </w:rPr>
        <w:t xml:space="preserve">a </w:t>
      </w:r>
      <w:r>
        <w:rPr>
          <w:rFonts w:ascii="Garamond" w:hAnsi="Garamond"/>
          <w:sz w:val="24"/>
          <w:szCs w:val="24"/>
        </w:rPr>
        <w:t xml:space="preserve">‘crowding out’ effect and thus create competition for private savings where business firms may suffer from lack of credit opportunities.      </w:t>
      </w:r>
    </w:p>
    <w:p w14:paraId="542D6DCB" w14:textId="55EDBE62" w:rsidR="00424000" w:rsidRDefault="00424000" w:rsidP="00424000">
      <w:pPr>
        <w:spacing w:line="360" w:lineRule="auto"/>
        <w:jc w:val="both"/>
        <w:rPr>
          <w:rFonts w:ascii="Garamond" w:hAnsi="Garamond"/>
          <w:sz w:val="24"/>
          <w:szCs w:val="24"/>
        </w:rPr>
      </w:pPr>
      <w:r>
        <w:rPr>
          <w:rFonts w:ascii="Garamond" w:hAnsi="Garamond"/>
          <w:sz w:val="24"/>
          <w:szCs w:val="24"/>
        </w:rPr>
        <w:t>Other macroeconomic factors, such as unexpected productivity falls and excessive inflationary pressures</w:t>
      </w:r>
      <w:r w:rsidR="008857FE">
        <w:rPr>
          <w:rFonts w:ascii="Garamond" w:hAnsi="Garamond"/>
          <w:sz w:val="24"/>
          <w:szCs w:val="24"/>
        </w:rPr>
        <w:t>,</w:t>
      </w:r>
      <w:r>
        <w:rPr>
          <w:rFonts w:ascii="Garamond" w:hAnsi="Garamond"/>
          <w:sz w:val="24"/>
          <w:szCs w:val="24"/>
        </w:rPr>
        <w:t xml:space="preserve"> are likely to influence illiquidity indirectly by inducing fund outflows, reducing price, increasing volatility and exacerbating inventory risk (Goyenko and Ukhov, 2009). The interrelationship between various macroeconomic variables (i.e. other than monetary and fiscal policy variables) and market liquidity is theoretically developed in Eisfeldt (2004) and also empirically studied and documented in </w:t>
      </w:r>
      <w:r w:rsidRPr="00BE2865">
        <w:rPr>
          <w:rFonts w:ascii="Garamond" w:hAnsi="Garamond"/>
          <w:sz w:val="24"/>
          <w:szCs w:val="24"/>
        </w:rPr>
        <w:t>Söderberg</w:t>
      </w:r>
      <w:r>
        <w:rPr>
          <w:rFonts w:ascii="Garamond" w:hAnsi="Garamond"/>
          <w:sz w:val="24"/>
          <w:szCs w:val="24"/>
        </w:rPr>
        <w:t xml:space="preserve"> (2008), </w:t>
      </w:r>
      <w:r w:rsidRPr="004A5EFD">
        <w:rPr>
          <w:rStyle w:val="HTMLCite"/>
          <w:rFonts w:ascii="Garamond" w:hAnsi="Garamond"/>
          <w:i w:val="0"/>
          <w:sz w:val="24"/>
          <w:szCs w:val="24"/>
        </w:rPr>
        <w:t>Næs</w:t>
      </w:r>
      <w:r>
        <w:rPr>
          <w:rStyle w:val="HTMLCite"/>
          <w:rFonts w:ascii="Garamond" w:hAnsi="Garamond"/>
          <w:i w:val="0"/>
          <w:sz w:val="24"/>
          <w:szCs w:val="24"/>
        </w:rPr>
        <w:t xml:space="preserve"> et al. (2011) and </w:t>
      </w:r>
      <w:r>
        <w:rPr>
          <w:rFonts w:ascii="Garamond" w:hAnsi="Garamond"/>
          <w:sz w:val="24"/>
          <w:szCs w:val="24"/>
        </w:rPr>
        <w:t xml:space="preserve">Fernández-Amador et al. (2013). Based on their procedure and suggestions, we include monthly growth rate of industrial production (IP) and monthly inflation rate (IR) to capture business cycle and inflation development. Further to control individual stock characteristics, following the argument </w:t>
      </w:r>
      <w:r>
        <w:rPr>
          <w:rFonts w:ascii="Garamond" w:hAnsi="Garamond"/>
          <w:sz w:val="24"/>
          <w:szCs w:val="24"/>
        </w:rPr>
        <w:lastRenderedPageBreak/>
        <w:t>of Fernández-Amador et al. (2013), Brunnermeier and Pedersen (2009) and Copeland and Galai (1983), we include monthly return (RET) and standard deviation (STD). We compute both return and standard deviation from equally weighted average</w:t>
      </w:r>
      <w:r w:rsidR="008857FE">
        <w:rPr>
          <w:rFonts w:ascii="Garamond" w:hAnsi="Garamond"/>
          <w:sz w:val="24"/>
          <w:szCs w:val="24"/>
        </w:rPr>
        <w:t>s</w:t>
      </w:r>
      <w:r>
        <w:rPr>
          <w:rFonts w:ascii="Garamond" w:hAnsi="Garamond"/>
          <w:sz w:val="24"/>
          <w:szCs w:val="24"/>
        </w:rPr>
        <w:t xml:space="preserve"> of individual monthly stock prices. Finally, to control </w:t>
      </w:r>
      <w:r w:rsidR="00760CAE">
        <w:rPr>
          <w:rFonts w:ascii="Garamond" w:hAnsi="Garamond"/>
          <w:sz w:val="24"/>
          <w:szCs w:val="24"/>
        </w:rPr>
        <w:t xml:space="preserve">for </w:t>
      </w:r>
      <w:r>
        <w:rPr>
          <w:rFonts w:ascii="Garamond" w:hAnsi="Garamond"/>
          <w:sz w:val="24"/>
          <w:szCs w:val="24"/>
        </w:rPr>
        <w:t xml:space="preserve">the size effect of firms and cyclical movements of </w:t>
      </w:r>
      <w:r w:rsidR="00760CAE">
        <w:rPr>
          <w:rFonts w:ascii="Garamond" w:hAnsi="Garamond"/>
          <w:sz w:val="24"/>
          <w:szCs w:val="24"/>
        </w:rPr>
        <w:t xml:space="preserve">the </w:t>
      </w:r>
      <w:r>
        <w:rPr>
          <w:rFonts w:ascii="Garamond" w:hAnsi="Garamond"/>
          <w:sz w:val="24"/>
          <w:szCs w:val="24"/>
        </w:rPr>
        <w:t xml:space="preserve">equity market we consider </w:t>
      </w:r>
      <w:r w:rsidR="00760CAE">
        <w:rPr>
          <w:rFonts w:ascii="Garamond" w:hAnsi="Garamond"/>
          <w:sz w:val="24"/>
          <w:szCs w:val="24"/>
        </w:rPr>
        <w:t xml:space="preserve">the </w:t>
      </w:r>
      <w:r>
        <w:rPr>
          <w:rFonts w:ascii="Garamond" w:hAnsi="Garamond"/>
          <w:sz w:val="24"/>
          <w:szCs w:val="24"/>
        </w:rPr>
        <w:t xml:space="preserve">log value of market capitalization (lnMV) and </w:t>
      </w:r>
      <w:r w:rsidR="00760CAE">
        <w:rPr>
          <w:rFonts w:ascii="Garamond" w:hAnsi="Garamond"/>
          <w:sz w:val="24"/>
          <w:szCs w:val="24"/>
        </w:rPr>
        <w:t xml:space="preserve">the </w:t>
      </w:r>
      <w:r>
        <w:rPr>
          <w:rFonts w:ascii="Garamond" w:hAnsi="Garamond"/>
          <w:sz w:val="24"/>
          <w:szCs w:val="24"/>
        </w:rPr>
        <w:t>benchmark stock index (IDX) respectively in our empirical model (see Fernández-Amador et al., 2013 for more discussion).</w:t>
      </w:r>
    </w:p>
    <w:p w14:paraId="6DD9EF24" w14:textId="72F911F3" w:rsidR="00424000" w:rsidRPr="00F11E9B" w:rsidRDefault="00F05A67" w:rsidP="00424000">
      <w:pPr>
        <w:pStyle w:val="Heading2"/>
        <w:ind w:firstLine="720"/>
        <w:rPr>
          <w:rFonts w:ascii="Garamond" w:hAnsi="Garamond"/>
          <w:color w:val="auto"/>
          <w:sz w:val="24"/>
          <w:szCs w:val="24"/>
        </w:rPr>
      </w:pPr>
      <w:bookmarkStart w:id="6" w:name="_Toc399683674"/>
      <w:r>
        <w:rPr>
          <w:rFonts w:ascii="Garamond" w:hAnsi="Garamond"/>
          <w:color w:val="auto"/>
          <w:sz w:val="24"/>
          <w:szCs w:val="24"/>
        </w:rPr>
        <w:t>2</w:t>
      </w:r>
      <w:r w:rsidR="00424000" w:rsidRPr="00F11E9B">
        <w:rPr>
          <w:rFonts w:ascii="Garamond" w:hAnsi="Garamond"/>
          <w:color w:val="auto"/>
          <w:sz w:val="24"/>
          <w:szCs w:val="24"/>
        </w:rPr>
        <w:t>.4 Empirical Models</w:t>
      </w:r>
      <w:bookmarkEnd w:id="6"/>
    </w:p>
    <w:p w14:paraId="5CB83595" w14:textId="245AE45B" w:rsidR="00424000" w:rsidRPr="00F11E9B" w:rsidRDefault="00F05A67" w:rsidP="00424000">
      <w:pPr>
        <w:pStyle w:val="Heading3"/>
        <w:spacing w:after="200" w:line="360" w:lineRule="auto"/>
        <w:ind w:firstLine="720"/>
        <w:rPr>
          <w:rStyle w:val="SubtleEmphasis"/>
          <w:rFonts w:ascii="Garamond" w:hAnsi="Garamond"/>
          <w:i w:val="0"/>
          <w:color w:val="auto"/>
          <w:sz w:val="24"/>
          <w:szCs w:val="24"/>
        </w:rPr>
      </w:pPr>
      <w:bookmarkStart w:id="7" w:name="_Toc399683675"/>
      <w:r>
        <w:rPr>
          <w:rStyle w:val="SubtleEmphasis"/>
          <w:rFonts w:ascii="Garamond" w:hAnsi="Garamond"/>
          <w:i w:val="0"/>
          <w:color w:val="auto"/>
          <w:sz w:val="24"/>
          <w:szCs w:val="24"/>
        </w:rPr>
        <w:t>2</w:t>
      </w:r>
      <w:r w:rsidR="00424000" w:rsidRPr="00F11E9B">
        <w:rPr>
          <w:rStyle w:val="SubtleEmphasis"/>
          <w:rFonts w:ascii="Garamond" w:hAnsi="Garamond"/>
          <w:i w:val="0"/>
          <w:color w:val="auto"/>
          <w:sz w:val="24"/>
          <w:szCs w:val="24"/>
        </w:rPr>
        <w:t>.4.1 Vector Autoregression Analysis</w:t>
      </w:r>
      <w:bookmarkEnd w:id="7"/>
    </w:p>
    <w:p w14:paraId="07D9E137" w14:textId="0241F461" w:rsidR="00424000" w:rsidRDefault="00424000" w:rsidP="00424000">
      <w:pPr>
        <w:spacing w:line="360" w:lineRule="auto"/>
        <w:jc w:val="both"/>
        <w:rPr>
          <w:rStyle w:val="SubtleEmphasis"/>
          <w:rFonts w:ascii="Garamond" w:hAnsi="Garamond"/>
          <w:i w:val="0"/>
          <w:color w:val="auto"/>
          <w:sz w:val="24"/>
          <w:szCs w:val="24"/>
        </w:rPr>
      </w:pPr>
      <w:r w:rsidRPr="00062B92">
        <w:rPr>
          <w:rStyle w:val="SubtleEmphasis"/>
          <w:rFonts w:ascii="Garamond" w:hAnsi="Garamond"/>
          <w:i w:val="0"/>
          <w:color w:val="auto"/>
          <w:sz w:val="24"/>
          <w:szCs w:val="24"/>
        </w:rPr>
        <w:t xml:space="preserve">Our aim is to </w:t>
      </w:r>
      <w:r>
        <w:rPr>
          <w:rStyle w:val="SubtleEmphasis"/>
          <w:rFonts w:ascii="Garamond" w:hAnsi="Garamond"/>
          <w:i w:val="0"/>
          <w:color w:val="auto"/>
          <w:sz w:val="24"/>
          <w:szCs w:val="24"/>
        </w:rPr>
        <w:t>understand</w:t>
      </w:r>
      <w:r w:rsidRPr="00062B92">
        <w:rPr>
          <w:rStyle w:val="SubtleEmphasis"/>
          <w:rFonts w:ascii="Garamond" w:hAnsi="Garamond"/>
          <w:i w:val="0"/>
          <w:color w:val="auto"/>
          <w:sz w:val="24"/>
          <w:szCs w:val="24"/>
        </w:rPr>
        <w:t xml:space="preserve"> the </w:t>
      </w:r>
      <w:r>
        <w:rPr>
          <w:rStyle w:val="SubtleEmphasis"/>
          <w:rFonts w:ascii="Garamond" w:hAnsi="Garamond"/>
          <w:i w:val="0"/>
          <w:color w:val="auto"/>
          <w:sz w:val="24"/>
          <w:szCs w:val="24"/>
        </w:rPr>
        <w:t>relationship</w:t>
      </w:r>
      <w:r w:rsidRPr="00062B92">
        <w:rPr>
          <w:rStyle w:val="SubtleEmphasis"/>
          <w:rFonts w:ascii="Garamond" w:hAnsi="Garamond"/>
          <w:i w:val="0"/>
          <w:color w:val="auto"/>
          <w:sz w:val="24"/>
          <w:szCs w:val="24"/>
        </w:rPr>
        <w:t xml:space="preserve"> between equity market liquidity and its primitive drivers, macr</w:t>
      </w:r>
      <w:r w:rsidR="007C1EAA">
        <w:rPr>
          <w:rStyle w:val="SubtleEmphasis"/>
          <w:rFonts w:ascii="Garamond" w:hAnsi="Garamond"/>
          <w:i w:val="0"/>
          <w:color w:val="auto"/>
          <w:sz w:val="24"/>
          <w:szCs w:val="24"/>
        </w:rPr>
        <w:t>oeconomic management variables.</w:t>
      </w:r>
      <w:r w:rsidR="00544FBC">
        <w:rPr>
          <w:rStyle w:val="SubtleEmphasis"/>
          <w:rFonts w:ascii="Garamond" w:hAnsi="Garamond"/>
          <w:i w:val="0"/>
          <w:color w:val="auto"/>
          <w:sz w:val="24"/>
          <w:szCs w:val="24"/>
        </w:rPr>
        <w:t xml:space="preserve"> </w:t>
      </w:r>
      <w:r>
        <w:rPr>
          <w:rStyle w:val="SubtleEmphasis"/>
          <w:rFonts w:ascii="Garamond" w:hAnsi="Garamond"/>
          <w:i w:val="0"/>
          <w:color w:val="auto"/>
          <w:sz w:val="24"/>
          <w:szCs w:val="24"/>
        </w:rPr>
        <w:t>B</w:t>
      </w:r>
      <w:r w:rsidRPr="00062B92">
        <w:rPr>
          <w:rStyle w:val="SubtleEmphasis"/>
          <w:rFonts w:ascii="Garamond" w:hAnsi="Garamond"/>
          <w:i w:val="0"/>
          <w:color w:val="auto"/>
          <w:sz w:val="24"/>
          <w:szCs w:val="24"/>
        </w:rPr>
        <w:t>ased on earlier studies, we expect possible endogenous associations between market liquidity, monetary, fiscal and other macroeconomic policies. However, there is good reason to assume bidirectional causality</w:t>
      </w:r>
      <w:r>
        <w:rPr>
          <w:rStyle w:val="SubtleEmphasis"/>
          <w:rFonts w:ascii="Garamond" w:hAnsi="Garamond"/>
          <w:i w:val="0"/>
          <w:color w:val="auto"/>
          <w:sz w:val="24"/>
          <w:szCs w:val="24"/>
        </w:rPr>
        <w:t xml:space="preserve"> as well</w:t>
      </w:r>
      <w:r w:rsidRPr="00062B92">
        <w:rPr>
          <w:rStyle w:val="SubtleEmphasis"/>
          <w:rFonts w:ascii="Garamond" w:hAnsi="Garamond"/>
          <w:i w:val="0"/>
          <w:color w:val="auto"/>
          <w:sz w:val="24"/>
          <w:szCs w:val="24"/>
        </w:rPr>
        <w:t xml:space="preserve"> among various market characteristics and liquidity</w:t>
      </w:r>
      <w:r w:rsidR="008857FE">
        <w:rPr>
          <w:rStyle w:val="SubtleEmphasis"/>
          <w:rFonts w:ascii="Garamond" w:hAnsi="Garamond"/>
          <w:i w:val="0"/>
          <w:color w:val="auto"/>
          <w:sz w:val="24"/>
          <w:szCs w:val="24"/>
        </w:rPr>
        <w:t>,</w:t>
      </w:r>
      <w:r w:rsidRPr="00062B92">
        <w:rPr>
          <w:rStyle w:val="SubtleEmphasis"/>
          <w:rFonts w:ascii="Garamond" w:hAnsi="Garamond"/>
          <w:i w:val="0"/>
          <w:color w:val="auto"/>
          <w:sz w:val="24"/>
          <w:szCs w:val="24"/>
        </w:rPr>
        <w:t xml:space="preserve"> </w:t>
      </w:r>
      <w:r w:rsidR="00BC5DE7">
        <w:rPr>
          <w:rStyle w:val="SubtleEmphasis"/>
          <w:rFonts w:ascii="Garamond" w:hAnsi="Garamond"/>
          <w:i w:val="0"/>
          <w:color w:val="auto"/>
          <w:sz w:val="24"/>
          <w:szCs w:val="24"/>
        </w:rPr>
        <w:t xml:space="preserve">as suggested by </w:t>
      </w:r>
      <w:r w:rsidRPr="00062B92">
        <w:rPr>
          <w:rStyle w:val="SubtleEmphasis"/>
          <w:rFonts w:ascii="Garamond" w:hAnsi="Garamond"/>
          <w:i w:val="0"/>
          <w:color w:val="auto"/>
          <w:sz w:val="24"/>
          <w:szCs w:val="24"/>
        </w:rPr>
        <w:t>Chordia et al. 2005</w:t>
      </w:r>
      <w:r w:rsidR="00935B1F">
        <w:rPr>
          <w:rStyle w:val="SubtleEmphasis"/>
          <w:rFonts w:ascii="Garamond" w:hAnsi="Garamond"/>
          <w:i w:val="0"/>
          <w:color w:val="auto"/>
          <w:sz w:val="24"/>
          <w:szCs w:val="24"/>
        </w:rPr>
        <w:t xml:space="preserve">; </w:t>
      </w:r>
      <w:r w:rsidRPr="00062B92">
        <w:rPr>
          <w:rFonts w:ascii="Garamond" w:hAnsi="Garamond"/>
          <w:sz w:val="24"/>
          <w:szCs w:val="24"/>
        </w:rPr>
        <w:t>Fernández-Amador et al., 2013; Gagnon and Gimet, 2013</w:t>
      </w:r>
      <w:r>
        <w:rPr>
          <w:rStyle w:val="SubtleEmphasis"/>
          <w:rFonts w:ascii="Garamond" w:hAnsi="Garamond"/>
          <w:i w:val="0"/>
          <w:color w:val="auto"/>
          <w:sz w:val="24"/>
          <w:szCs w:val="24"/>
        </w:rPr>
        <w:t>).</w:t>
      </w:r>
    </w:p>
    <w:p w14:paraId="4CA1B799" w14:textId="2161BE5B" w:rsidR="00424000" w:rsidRPr="00062B92" w:rsidRDefault="00424000" w:rsidP="00424000">
      <w:pPr>
        <w:spacing w:line="360" w:lineRule="auto"/>
        <w:jc w:val="both"/>
        <w:rPr>
          <w:rStyle w:val="SubtleEmphasis"/>
          <w:rFonts w:ascii="Garamond" w:hAnsi="Garamond"/>
          <w:i w:val="0"/>
          <w:color w:val="auto"/>
          <w:sz w:val="24"/>
          <w:szCs w:val="24"/>
        </w:rPr>
      </w:pPr>
      <w:r w:rsidRPr="00062B92">
        <w:rPr>
          <w:rStyle w:val="SubtleEmphasis"/>
          <w:rFonts w:ascii="Garamond" w:hAnsi="Garamond"/>
          <w:i w:val="0"/>
          <w:color w:val="auto"/>
          <w:sz w:val="24"/>
          <w:szCs w:val="24"/>
        </w:rPr>
        <w:t>Given the bidirectional causalities, we investigate the association between macroeconomic management variables and market liquidity using the vector autoregression procedure e</w:t>
      </w:r>
      <w:r>
        <w:rPr>
          <w:rStyle w:val="SubtleEmphasis"/>
          <w:rFonts w:ascii="Garamond" w:hAnsi="Garamond"/>
          <w:i w:val="0"/>
          <w:color w:val="auto"/>
          <w:sz w:val="24"/>
          <w:szCs w:val="24"/>
        </w:rPr>
        <w:t>mployed in Chordia et al. (2005</w:t>
      </w:r>
      <w:r w:rsidRPr="00062B92">
        <w:rPr>
          <w:rStyle w:val="SubtleEmphasis"/>
          <w:rFonts w:ascii="Garamond" w:hAnsi="Garamond"/>
          <w:i w:val="0"/>
          <w:color w:val="auto"/>
          <w:sz w:val="24"/>
          <w:szCs w:val="24"/>
        </w:rPr>
        <w:t>) and Goyenko and Ukhov (2009). Here, the following system is considered:</w:t>
      </w:r>
    </w:p>
    <w:p w14:paraId="730D4065" w14:textId="77777777" w:rsidR="00424000" w:rsidRPr="00062B92" w:rsidRDefault="00424000" w:rsidP="00424000">
      <w:pPr>
        <w:spacing w:line="360" w:lineRule="auto"/>
        <w:jc w:val="both"/>
        <w:rPr>
          <w:rStyle w:val="SubtleEmphasis"/>
          <w:rFonts w:ascii="Garamond" w:hAnsi="Garamond"/>
          <w:i w:val="0"/>
          <w:color w:val="auto"/>
          <w:sz w:val="24"/>
          <w:szCs w:val="24"/>
        </w:rPr>
      </w:pPr>
      <w:r w:rsidRPr="00062B92">
        <w:rPr>
          <w:rStyle w:val="SubtleEmphasis"/>
          <w:rFonts w:ascii="Garamond" w:hAnsi="Garamond"/>
          <w:i w:val="0"/>
          <w:color w:val="auto"/>
          <w:sz w:val="24"/>
          <w:szCs w:val="24"/>
        </w:rPr>
        <w:t xml:space="preserve">  </w:t>
      </w:r>
      <m:oMath>
        <m:sSub>
          <m:sSubPr>
            <m:ctrlPr>
              <w:rPr>
                <w:rStyle w:val="SubtleEmphasis"/>
                <w:rFonts w:ascii="Cambria Math" w:hAnsi="Cambria Math"/>
                <w:i w:val="0"/>
                <w:iCs w:val="0"/>
                <w:color w:val="auto"/>
                <w:sz w:val="24"/>
                <w:szCs w:val="24"/>
              </w:rPr>
            </m:ctrlPr>
          </m:sSubPr>
          <m:e>
            <m:r>
              <m:rPr>
                <m:sty m:val="p"/>
              </m:rPr>
              <w:rPr>
                <w:rStyle w:val="SubtleEmphasis"/>
                <w:rFonts w:ascii="Cambria Math" w:hAnsi="Cambria Math"/>
                <w:color w:val="auto"/>
                <w:sz w:val="24"/>
                <w:szCs w:val="24"/>
              </w:rPr>
              <m:t>X</m:t>
            </m:r>
          </m:e>
          <m:sub>
            <m:r>
              <m:rPr>
                <m:sty m:val="p"/>
              </m:rPr>
              <w:rPr>
                <w:rStyle w:val="SubtleEmphasis"/>
                <w:rFonts w:ascii="Cambria Math" w:hAnsi="Cambria Math"/>
                <w:color w:val="auto"/>
                <w:sz w:val="24"/>
                <w:szCs w:val="24"/>
              </w:rPr>
              <m:t>t</m:t>
            </m:r>
          </m:sub>
        </m:sSub>
        <m:r>
          <m:rPr>
            <m:sty m:val="p"/>
          </m:rPr>
          <w:rPr>
            <w:rStyle w:val="SubtleEmphasis"/>
            <w:rFonts w:ascii="Cambria Math" w:hAnsi="Cambria Math"/>
            <w:color w:val="auto"/>
            <w:sz w:val="24"/>
            <w:szCs w:val="24"/>
          </w:rPr>
          <m:t>=c+</m:t>
        </m:r>
        <m:nary>
          <m:naryPr>
            <m:chr m:val="∑"/>
            <m:limLoc m:val="undOvr"/>
            <m:ctrlPr>
              <w:rPr>
                <w:rStyle w:val="SubtleEmphasis"/>
                <w:rFonts w:ascii="Cambria Math" w:hAnsi="Cambria Math"/>
                <w:i w:val="0"/>
                <w:iCs w:val="0"/>
                <w:color w:val="auto"/>
                <w:sz w:val="24"/>
                <w:szCs w:val="24"/>
              </w:rPr>
            </m:ctrlPr>
          </m:naryPr>
          <m:sub>
            <m:r>
              <m:rPr>
                <m:sty m:val="p"/>
              </m:rPr>
              <w:rPr>
                <w:rStyle w:val="SubtleEmphasis"/>
                <w:rFonts w:ascii="Cambria Math" w:hAnsi="Cambria Math"/>
                <w:color w:val="auto"/>
                <w:sz w:val="24"/>
                <w:szCs w:val="24"/>
              </w:rPr>
              <m:t>j=1</m:t>
            </m:r>
          </m:sub>
          <m:sup>
            <m:r>
              <m:rPr>
                <m:sty m:val="p"/>
              </m:rPr>
              <w:rPr>
                <w:rStyle w:val="SubtleEmphasis"/>
                <w:rFonts w:ascii="Cambria Math" w:hAnsi="Cambria Math"/>
                <w:color w:val="auto"/>
                <w:sz w:val="24"/>
                <w:szCs w:val="24"/>
              </w:rPr>
              <m:t>k</m:t>
            </m:r>
          </m:sup>
          <m:e>
            <m:sSub>
              <m:sSubPr>
                <m:ctrlPr>
                  <w:rPr>
                    <w:rStyle w:val="SubtleEmphasis"/>
                    <w:rFonts w:ascii="Cambria Math" w:hAnsi="Cambria Math"/>
                    <w:i w:val="0"/>
                    <w:iCs w:val="0"/>
                    <w:color w:val="auto"/>
                    <w:sz w:val="24"/>
                    <w:szCs w:val="24"/>
                  </w:rPr>
                </m:ctrlPr>
              </m:sSubPr>
              <m:e>
                <m:r>
                  <m:rPr>
                    <m:sty m:val="p"/>
                  </m:rPr>
                  <w:rPr>
                    <w:rStyle w:val="SubtleEmphasis"/>
                    <w:rFonts w:ascii="Cambria Math" w:hAnsi="Cambria Math"/>
                    <w:color w:val="auto"/>
                    <w:sz w:val="24"/>
                    <w:szCs w:val="24"/>
                  </w:rPr>
                  <m:t>B</m:t>
                </m:r>
              </m:e>
              <m:sub>
                <m:r>
                  <m:rPr>
                    <m:sty m:val="p"/>
                  </m:rPr>
                  <w:rPr>
                    <w:rStyle w:val="SubtleEmphasis"/>
                    <w:rFonts w:ascii="Cambria Math" w:hAnsi="Cambria Math"/>
                    <w:color w:val="auto"/>
                    <w:sz w:val="24"/>
                    <w:szCs w:val="24"/>
                  </w:rPr>
                  <m:t>1j</m:t>
                </m:r>
              </m:sub>
            </m:sSub>
          </m:e>
        </m:nary>
        <m:sSub>
          <m:sSubPr>
            <m:ctrlPr>
              <w:rPr>
                <w:rStyle w:val="SubtleEmphasis"/>
                <w:rFonts w:ascii="Cambria Math" w:hAnsi="Cambria Math"/>
                <w:i w:val="0"/>
                <w:iCs w:val="0"/>
                <w:color w:val="auto"/>
                <w:sz w:val="24"/>
                <w:szCs w:val="24"/>
              </w:rPr>
            </m:ctrlPr>
          </m:sSubPr>
          <m:e>
            <m:r>
              <m:rPr>
                <m:sty m:val="p"/>
              </m:rPr>
              <w:rPr>
                <w:rStyle w:val="SubtleEmphasis"/>
                <w:rFonts w:ascii="Cambria Math" w:hAnsi="Cambria Math"/>
                <w:color w:val="auto"/>
                <w:sz w:val="24"/>
                <w:szCs w:val="24"/>
              </w:rPr>
              <m:t>X</m:t>
            </m:r>
          </m:e>
          <m:sub>
            <m:r>
              <m:rPr>
                <m:sty m:val="p"/>
              </m:rPr>
              <w:rPr>
                <w:rStyle w:val="SubtleEmphasis"/>
                <w:rFonts w:ascii="Cambria Math" w:hAnsi="Cambria Math"/>
                <w:color w:val="auto"/>
                <w:sz w:val="24"/>
                <w:szCs w:val="24"/>
              </w:rPr>
              <m:t>t-j</m:t>
            </m:r>
          </m:sub>
        </m:sSub>
        <m:r>
          <m:rPr>
            <m:sty m:val="p"/>
          </m:rPr>
          <w:rPr>
            <w:rStyle w:val="SubtleEmphasis"/>
            <w:rFonts w:ascii="Cambria Math" w:hAnsi="Cambria Math"/>
            <w:color w:val="auto"/>
            <w:sz w:val="24"/>
            <w:szCs w:val="24"/>
          </w:rPr>
          <m:t>+</m:t>
        </m:r>
        <m:sSub>
          <m:sSubPr>
            <m:ctrlPr>
              <w:rPr>
                <w:rStyle w:val="SubtleEmphasis"/>
                <w:rFonts w:ascii="Cambria Math" w:hAnsi="Cambria Math"/>
                <w:i w:val="0"/>
                <w:iCs w:val="0"/>
                <w:color w:val="auto"/>
                <w:sz w:val="24"/>
                <w:szCs w:val="24"/>
              </w:rPr>
            </m:ctrlPr>
          </m:sSubPr>
          <m:e>
            <m:r>
              <m:rPr>
                <m:sty m:val="p"/>
              </m:rPr>
              <w:rPr>
                <w:rStyle w:val="SubtleEmphasis"/>
                <w:rFonts w:ascii="Cambria Math" w:hAnsi="Cambria Math"/>
                <w:color w:val="auto"/>
                <w:sz w:val="24"/>
                <w:szCs w:val="24"/>
              </w:rPr>
              <m:t>u</m:t>
            </m:r>
          </m:e>
          <m:sub>
            <m:r>
              <m:rPr>
                <m:sty m:val="p"/>
              </m:rPr>
              <w:rPr>
                <w:rStyle w:val="SubtleEmphasis"/>
                <w:rFonts w:ascii="Cambria Math" w:hAnsi="Cambria Math"/>
                <w:color w:val="auto"/>
                <w:sz w:val="24"/>
                <w:szCs w:val="24"/>
              </w:rPr>
              <m:t>t</m:t>
            </m:r>
          </m:sub>
        </m:sSub>
      </m:oMath>
      <w:r>
        <w:rPr>
          <w:rStyle w:val="SubtleEmphasis"/>
          <w:rFonts w:ascii="Garamond" w:hAnsi="Garamond"/>
          <w:i w:val="0"/>
          <w:iCs w:val="0"/>
          <w:color w:val="auto"/>
          <w:sz w:val="24"/>
          <w:szCs w:val="24"/>
        </w:rPr>
        <w:tab/>
      </w:r>
      <w:r>
        <w:rPr>
          <w:rStyle w:val="SubtleEmphasis"/>
          <w:rFonts w:ascii="Garamond" w:hAnsi="Garamond"/>
          <w:i w:val="0"/>
          <w:iCs w:val="0"/>
          <w:color w:val="auto"/>
          <w:sz w:val="24"/>
          <w:szCs w:val="24"/>
        </w:rPr>
        <w:tab/>
      </w:r>
      <w:r>
        <w:rPr>
          <w:rStyle w:val="SubtleEmphasis"/>
          <w:rFonts w:ascii="Garamond" w:hAnsi="Garamond"/>
          <w:i w:val="0"/>
          <w:iCs w:val="0"/>
          <w:color w:val="auto"/>
          <w:sz w:val="24"/>
          <w:szCs w:val="24"/>
        </w:rPr>
        <w:tab/>
      </w:r>
      <w:r>
        <w:rPr>
          <w:rStyle w:val="SubtleEmphasis"/>
          <w:rFonts w:ascii="Garamond" w:hAnsi="Garamond"/>
          <w:i w:val="0"/>
          <w:iCs w:val="0"/>
          <w:color w:val="auto"/>
          <w:sz w:val="24"/>
          <w:szCs w:val="24"/>
        </w:rPr>
        <w:tab/>
      </w:r>
      <w:r>
        <w:rPr>
          <w:rStyle w:val="SubtleEmphasis"/>
          <w:rFonts w:ascii="Garamond" w:hAnsi="Garamond"/>
          <w:i w:val="0"/>
          <w:iCs w:val="0"/>
          <w:color w:val="auto"/>
          <w:sz w:val="24"/>
          <w:szCs w:val="24"/>
        </w:rPr>
        <w:tab/>
      </w:r>
      <w:r>
        <w:rPr>
          <w:rStyle w:val="SubtleEmphasis"/>
          <w:rFonts w:ascii="Garamond" w:hAnsi="Garamond"/>
          <w:i w:val="0"/>
          <w:iCs w:val="0"/>
          <w:color w:val="auto"/>
          <w:sz w:val="24"/>
          <w:szCs w:val="24"/>
        </w:rPr>
        <w:tab/>
      </w:r>
      <w:r>
        <w:rPr>
          <w:rStyle w:val="SubtleEmphasis"/>
          <w:rFonts w:ascii="Garamond" w:hAnsi="Garamond"/>
          <w:i w:val="0"/>
          <w:iCs w:val="0"/>
          <w:color w:val="auto"/>
          <w:sz w:val="24"/>
          <w:szCs w:val="24"/>
        </w:rPr>
        <w:tab/>
      </w:r>
      <w:r>
        <w:rPr>
          <w:rStyle w:val="SubtleEmphasis"/>
          <w:rFonts w:ascii="Garamond" w:hAnsi="Garamond"/>
          <w:i w:val="0"/>
          <w:iCs w:val="0"/>
          <w:color w:val="auto"/>
          <w:sz w:val="24"/>
          <w:szCs w:val="24"/>
        </w:rPr>
        <w:tab/>
      </w:r>
      <w:r w:rsidRPr="00062B92">
        <w:rPr>
          <w:rStyle w:val="SubtleEmphasis"/>
          <w:rFonts w:ascii="Garamond" w:hAnsi="Garamond"/>
          <w:i w:val="0"/>
          <w:iCs w:val="0"/>
          <w:color w:val="auto"/>
          <w:sz w:val="24"/>
          <w:szCs w:val="24"/>
        </w:rPr>
        <w:t>(</w:t>
      </w:r>
      <w:r>
        <w:rPr>
          <w:rStyle w:val="SubtleEmphasis"/>
          <w:rFonts w:ascii="Garamond" w:hAnsi="Garamond"/>
          <w:i w:val="0"/>
          <w:iCs w:val="0"/>
          <w:color w:val="auto"/>
          <w:sz w:val="24"/>
          <w:szCs w:val="24"/>
        </w:rPr>
        <w:t>v</w:t>
      </w:r>
      <w:r w:rsidRPr="00062B92">
        <w:rPr>
          <w:rStyle w:val="SubtleEmphasis"/>
          <w:rFonts w:ascii="Garamond" w:hAnsi="Garamond"/>
          <w:i w:val="0"/>
          <w:iCs w:val="0"/>
          <w:color w:val="auto"/>
          <w:sz w:val="24"/>
          <w:szCs w:val="24"/>
        </w:rPr>
        <w:t>)</w:t>
      </w:r>
    </w:p>
    <w:p w14:paraId="5E6C5E66" w14:textId="77777777" w:rsidR="00424000" w:rsidRDefault="00424000" w:rsidP="00424000">
      <w:pPr>
        <w:spacing w:line="360" w:lineRule="auto"/>
        <w:jc w:val="both"/>
        <w:rPr>
          <w:rStyle w:val="SubtleEmphasis"/>
          <w:rFonts w:ascii="Garamond" w:hAnsi="Garamond"/>
          <w:i w:val="0"/>
          <w:color w:val="auto"/>
          <w:sz w:val="24"/>
          <w:szCs w:val="24"/>
        </w:rPr>
      </w:pPr>
      <w:r w:rsidRPr="00062B92">
        <w:rPr>
          <w:rStyle w:val="SubtleEmphasis"/>
          <w:rFonts w:ascii="Garamond" w:hAnsi="Garamond"/>
          <w:i w:val="0"/>
          <w:color w:val="auto"/>
          <w:sz w:val="24"/>
          <w:szCs w:val="24"/>
        </w:rPr>
        <w:t xml:space="preserve">where </w:t>
      </w:r>
      <m:oMath>
        <m:sSub>
          <m:sSubPr>
            <m:ctrlPr>
              <w:rPr>
                <w:rStyle w:val="SubtleEmphasis"/>
                <w:rFonts w:ascii="Cambria Math" w:hAnsi="Cambria Math"/>
                <w:i w:val="0"/>
                <w:iCs w:val="0"/>
                <w:color w:val="auto"/>
                <w:sz w:val="24"/>
                <w:szCs w:val="24"/>
              </w:rPr>
            </m:ctrlPr>
          </m:sSubPr>
          <m:e>
            <m:r>
              <m:rPr>
                <m:sty m:val="p"/>
              </m:rPr>
              <w:rPr>
                <w:rStyle w:val="SubtleEmphasis"/>
                <w:rFonts w:ascii="Cambria Math" w:hAnsi="Cambria Math"/>
                <w:color w:val="auto"/>
                <w:sz w:val="24"/>
                <w:szCs w:val="24"/>
              </w:rPr>
              <m:t>X</m:t>
            </m:r>
          </m:e>
          <m:sub>
            <m:r>
              <m:rPr>
                <m:sty m:val="p"/>
              </m:rPr>
              <w:rPr>
                <w:rStyle w:val="SubtleEmphasis"/>
                <w:rFonts w:ascii="Cambria Math" w:hAnsi="Cambria Math"/>
                <w:color w:val="auto"/>
                <w:sz w:val="24"/>
                <w:szCs w:val="24"/>
              </w:rPr>
              <m:t>t</m:t>
            </m:r>
          </m:sub>
        </m:sSub>
      </m:oMath>
      <w:r w:rsidRPr="00062B92">
        <w:rPr>
          <w:rStyle w:val="SubtleEmphasis"/>
          <w:rFonts w:ascii="Garamond" w:hAnsi="Garamond"/>
          <w:i w:val="0"/>
          <w:color w:val="auto"/>
          <w:sz w:val="24"/>
          <w:szCs w:val="24"/>
        </w:rPr>
        <w:t xml:space="preserve"> is a vector that represents endogenous variables - liquidity, returns, volatility, industrial production, inflation, monetary and fiscal policy instruments; </w:t>
      </w:r>
      <w:r w:rsidRPr="00062B92">
        <w:rPr>
          <w:rStyle w:val="SubtleEmphasis"/>
          <w:rFonts w:ascii="Garamond" w:hAnsi="Garamond"/>
          <w:b/>
          <w:color w:val="auto"/>
          <w:sz w:val="24"/>
          <w:szCs w:val="24"/>
        </w:rPr>
        <w:t>c</w:t>
      </w:r>
      <w:r w:rsidRPr="00062B92">
        <w:rPr>
          <w:rStyle w:val="SubtleEmphasis"/>
          <w:rFonts w:ascii="Garamond" w:hAnsi="Garamond"/>
          <w:i w:val="0"/>
          <w:color w:val="auto"/>
          <w:sz w:val="24"/>
          <w:szCs w:val="24"/>
        </w:rPr>
        <w:t xml:space="preserve"> is the vector of intercept, </w:t>
      </w:r>
      <w:r w:rsidRPr="00062B92">
        <w:rPr>
          <w:rStyle w:val="SubtleEmphasis"/>
          <w:rFonts w:ascii="Garamond" w:hAnsi="Garamond"/>
          <w:b/>
          <w:color w:val="auto"/>
          <w:sz w:val="24"/>
          <w:szCs w:val="24"/>
        </w:rPr>
        <w:t>B</w:t>
      </w:r>
      <w:r w:rsidRPr="00062B92">
        <w:rPr>
          <w:rStyle w:val="SubtleEmphasis"/>
          <w:rFonts w:ascii="Garamond" w:hAnsi="Garamond"/>
          <w:i w:val="0"/>
          <w:color w:val="auto"/>
          <w:sz w:val="24"/>
          <w:szCs w:val="24"/>
        </w:rPr>
        <w:t xml:space="preserve"> is a </w:t>
      </w:r>
      <m:oMath>
        <m:r>
          <m:rPr>
            <m:sty m:val="p"/>
          </m:rPr>
          <w:rPr>
            <w:rStyle w:val="SubtleEmphasis"/>
            <w:rFonts w:ascii="Cambria Math" w:hAnsi="Cambria Math"/>
            <w:color w:val="auto"/>
            <w:sz w:val="24"/>
            <w:szCs w:val="24"/>
          </w:rPr>
          <m:t>six×six</m:t>
        </m:r>
      </m:oMath>
      <w:r w:rsidRPr="00062B92">
        <w:rPr>
          <w:rStyle w:val="SubtleEmphasis"/>
          <w:rFonts w:ascii="Garamond" w:hAnsi="Garamond"/>
          <w:i w:val="0"/>
          <w:iCs w:val="0"/>
          <w:color w:val="auto"/>
          <w:sz w:val="24"/>
          <w:szCs w:val="24"/>
        </w:rPr>
        <w:t xml:space="preserve"> </w:t>
      </w:r>
      <w:r w:rsidRPr="00062B92">
        <w:rPr>
          <w:rStyle w:val="SubtleEmphasis"/>
          <w:rFonts w:ascii="Garamond" w:hAnsi="Garamond"/>
          <w:i w:val="0"/>
          <w:color w:val="auto"/>
          <w:sz w:val="24"/>
          <w:szCs w:val="24"/>
        </w:rPr>
        <w:t xml:space="preserve">coefficients matrix (for </w:t>
      </w:r>
      <w:r>
        <w:rPr>
          <w:rStyle w:val="SubtleEmphasis"/>
          <w:rFonts w:ascii="Garamond" w:hAnsi="Garamond"/>
          <w:i w:val="0"/>
          <w:color w:val="auto"/>
          <w:sz w:val="24"/>
          <w:szCs w:val="24"/>
        </w:rPr>
        <w:t>the</w:t>
      </w:r>
      <w:r w:rsidRPr="00062B92">
        <w:rPr>
          <w:rStyle w:val="SubtleEmphasis"/>
          <w:rFonts w:ascii="Garamond" w:hAnsi="Garamond"/>
          <w:i w:val="0"/>
          <w:color w:val="auto"/>
          <w:sz w:val="24"/>
          <w:szCs w:val="24"/>
        </w:rPr>
        <w:t xml:space="preserve"> monetary and fiscal policy variables), and </w:t>
      </w:r>
      <m:oMath>
        <m:sSub>
          <m:sSubPr>
            <m:ctrlPr>
              <w:rPr>
                <w:rStyle w:val="SubtleEmphasis"/>
                <w:rFonts w:ascii="Cambria Math" w:hAnsi="Cambria Math"/>
                <w:i w:val="0"/>
                <w:iCs w:val="0"/>
                <w:color w:val="auto"/>
                <w:sz w:val="24"/>
                <w:szCs w:val="24"/>
              </w:rPr>
            </m:ctrlPr>
          </m:sSubPr>
          <m:e>
            <m:r>
              <m:rPr>
                <m:sty m:val="p"/>
              </m:rPr>
              <w:rPr>
                <w:rStyle w:val="SubtleEmphasis"/>
                <w:rFonts w:ascii="Cambria Math" w:hAnsi="Cambria Math"/>
                <w:color w:val="auto"/>
                <w:sz w:val="24"/>
                <w:szCs w:val="24"/>
              </w:rPr>
              <m:t>u</m:t>
            </m:r>
          </m:e>
          <m:sub>
            <m:r>
              <m:rPr>
                <m:sty m:val="p"/>
              </m:rPr>
              <w:rPr>
                <w:rStyle w:val="SubtleEmphasis"/>
                <w:rFonts w:ascii="Cambria Math" w:hAnsi="Cambria Math"/>
                <w:color w:val="auto"/>
                <w:sz w:val="24"/>
                <w:szCs w:val="24"/>
              </w:rPr>
              <m:t>t</m:t>
            </m:r>
          </m:sub>
        </m:sSub>
      </m:oMath>
      <w:r w:rsidRPr="00062B92">
        <w:rPr>
          <w:rStyle w:val="SubtleEmphasis"/>
          <w:rFonts w:ascii="Garamond" w:hAnsi="Garamond"/>
          <w:i w:val="0"/>
          <w:color w:val="auto"/>
          <w:sz w:val="24"/>
          <w:szCs w:val="24"/>
        </w:rPr>
        <w:t xml:space="preserve"> labels the vector of residuals. The number of lags is estimated based on Akaike information criterion and the Schwarz information criterion. Where they indicate different lag lengths, we choose the lesser lag length for </w:t>
      </w:r>
      <w:r>
        <w:rPr>
          <w:rStyle w:val="SubtleEmphasis"/>
          <w:rFonts w:ascii="Garamond" w:hAnsi="Garamond"/>
          <w:i w:val="0"/>
          <w:color w:val="auto"/>
          <w:sz w:val="24"/>
          <w:szCs w:val="24"/>
        </w:rPr>
        <w:t>parsimony (see</w:t>
      </w:r>
      <w:r w:rsidRPr="00062B92">
        <w:rPr>
          <w:rStyle w:val="SubtleEmphasis"/>
          <w:rFonts w:ascii="Garamond" w:hAnsi="Garamond"/>
          <w:i w:val="0"/>
          <w:color w:val="auto"/>
          <w:sz w:val="24"/>
          <w:szCs w:val="24"/>
        </w:rPr>
        <w:t xml:space="preserve"> Chordia et al. 2</w:t>
      </w:r>
      <w:r>
        <w:rPr>
          <w:rStyle w:val="SubtleEmphasis"/>
          <w:rFonts w:ascii="Garamond" w:hAnsi="Garamond"/>
          <w:i w:val="0"/>
          <w:color w:val="auto"/>
          <w:sz w:val="24"/>
          <w:szCs w:val="24"/>
        </w:rPr>
        <w:t>005). The augmented Dickey-</w:t>
      </w:r>
      <w:r w:rsidRPr="00062B92">
        <w:rPr>
          <w:rStyle w:val="SubtleEmphasis"/>
          <w:rFonts w:ascii="Garamond" w:hAnsi="Garamond"/>
          <w:i w:val="0"/>
          <w:color w:val="auto"/>
          <w:sz w:val="24"/>
          <w:szCs w:val="24"/>
        </w:rPr>
        <w:t xml:space="preserve">Fuller (1979) test is used to check the non-stationarity of the variables. </w:t>
      </w:r>
    </w:p>
    <w:p w14:paraId="7E6E44B2" w14:textId="318C0175" w:rsidR="00424000" w:rsidRPr="00062B92" w:rsidRDefault="00424000" w:rsidP="00424000">
      <w:pPr>
        <w:spacing w:line="360" w:lineRule="auto"/>
        <w:jc w:val="both"/>
        <w:rPr>
          <w:rStyle w:val="SubtleEmphasis"/>
          <w:rFonts w:ascii="Garamond" w:hAnsi="Garamond"/>
          <w:i w:val="0"/>
          <w:color w:val="auto"/>
          <w:sz w:val="24"/>
          <w:szCs w:val="24"/>
        </w:rPr>
      </w:pPr>
      <w:r>
        <w:rPr>
          <w:rStyle w:val="SubtleEmphasis"/>
          <w:rFonts w:ascii="Garamond" w:hAnsi="Garamond"/>
          <w:i w:val="0"/>
          <w:color w:val="auto"/>
          <w:sz w:val="24"/>
          <w:szCs w:val="24"/>
        </w:rPr>
        <w:t>Finally, within this VAR system, we</w:t>
      </w:r>
      <w:r w:rsidRPr="00062B92">
        <w:rPr>
          <w:rStyle w:val="SubtleEmphasis"/>
          <w:rFonts w:ascii="Garamond" w:hAnsi="Garamond"/>
          <w:i w:val="0"/>
          <w:color w:val="auto"/>
          <w:sz w:val="24"/>
          <w:szCs w:val="24"/>
        </w:rPr>
        <w:t xml:space="preserve"> check the influence of </w:t>
      </w:r>
      <w:r w:rsidR="00760CAE">
        <w:rPr>
          <w:rStyle w:val="SubtleEmphasis"/>
          <w:rFonts w:ascii="Garamond" w:hAnsi="Garamond"/>
          <w:i w:val="0"/>
          <w:color w:val="auto"/>
          <w:sz w:val="24"/>
          <w:szCs w:val="24"/>
        </w:rPr>
        <w:t xml:space="preserve">the </w:t>
      </w:r>
      <w:r w:rsidR="00B90008">
        <w:rPr>
          <w:rStyle w:val="SubtleEmphasis"/>
          <w:rFonts w:ascii="Garamond" w:hAnsi="Garamond"/>
          <w:i w:val="0"/>
          <w:color w:val="auto"/>
          <w:sz w:val="24"/>
          <w:szCs w:val="24"/>
        </w:rPr>
        <w:t>financial</w:t>
      </w:r>
      <w:r w:rsidRPr="00062B92">
        <w:rPr>
          <w:rStyle w:val="SubtleEmphasis"/>
          <w:rFonts w:ascii="Garamond" w:hAnsi="Garamond"/>
          <w:i w:val="0"/>
          <w:color w:val="auto"/>
          <w:sz w:val="24"/>
          <w:szCs w:val="24"/>
        </w:rPr>
        <w:t xml:space="preserve"> crisis (200</w:t>
      </w:r>
      <w:r>
        <w:rPr>
          <w:rStyle w:val="SubtleEmphasis"/>
          <w:rFonts w:ascii="Garamond" w:hAnsi="Garamond"/>
          <w:i w:val="0"/>
          <w:color w:val="auto"/>
          <w:sz w:val="24"/>
          <w:szCs w:val="24"/>
        </w:rPr>
        <w:t>7</w:t>
      </w:r>
      <w:r w:rsidRPr="00062B92">
        <w:rPr>
          <w:rStyle w:val="SubtleEmphasis"/>
          <w:rFonts w:ascii="Garamond" w:hAnsi="Garamond"/>
          <w:i w:val="0"/>
          <w:color w:val="auto"/>
          <w:sz w:val="24"/>
          <w:szCs w:val="24"/>
        </w:rPr>
        <w:t>-0</w:t>
      </w:r>
      <w:r>
        <w:rPr>
          <w:rStyle w:val="SubtleEmphasis"/>
          <w:rFonts w:ascii="Garamond" w:hAnsi="Garamond"/>
          <w:i w:val="0"/>
          <w:color w:val="auto"/>
          <w:sz w:val="24"/>
          <w:szCs w:val="24"/>
        </w:rPr>
        <w:t>8</w:t>
      </w:r>
      <w:r w:rsidRPr="00062B92">
        <w:rPr>
          <w:rStyle w:val="SubtleEmphasis"/>
          <w:rFonts w:ascii="Garamond" w:hAnsi="Garamond"/>
          <w:i w:val="0"/>
          <w:color w:val="auto"/>
          <w:sz w:val="24"/>
          <w:szCs w:val="24"/>
        </w:rPr>
        <w:t xml:space="preserve">) on each liquidity measure </w:t>
      </w:r>
      <w:r>
        <w:rPr>
          <w:rStyle w:val="SubtleEmphasis"/>
          <w:rFonts w:ascii="Garamond" w:hAnsi="Garamond"/>
          <w:i w:val="0"/>
          <w:color w:val="auto"/>
          <w:sz w:val="24"/>
          <w:szCs w:val="24"/>
        </w:rPr>
        <w:t xml:space="preserve">by </w:t>
      </w:r>
      <w:r w:rsidRPr="00062B92">
        <w:rPr>
          <w:rStyle w:val="SubtleEmphasis"/>
          <w:rFonts w:ascii="Garamond" w:hAnsi="Garamond"/>
          <w:i w:val="0"/>
          <w:color w:val="auto"/>
          <w:sz w:val="24"/>
          <w:szCs w:val="24"/>
        </w:rPr>
        <w:t>add</w:t>
      </w:r>
      <w:r>
        <w:rPr>
          <w:rStyle w:val="SubtleEmphasis"/>
          <w:rFonts w:ascii="Garamond" w:hAnsi="Garamond"/>
          <w:i w:val="0"/>
          <w:color w:val="auto"/>
          <w:sz w:val="24"/>
          <w:szCs w:val="24"/>
        </w:rPr>
        <w:t>ing</w:t>
      </w:r>
      <w:r w:rsidRPr="00062B92">
        <w:rPr>
          <w:rStyle w:val="SubtleEmphasis"/>
          <w:rFonts w:ascii="Garamond" w:hAnsi="Garamond"/>
          <w:i w:val="0"/>
          <w:color w:val="auto"/>
          <w:sz w:val="24"/>
          <w:szCs w:val="24"/>
        </w:rPr>
        <w:t xml:space="preserve"> a dummy variable </w:t>
      </w:r>
      <w:r>
        <w:rPr>
          <w:rStyle w:val="SubtleEmphasis"/>
          <w:rFonts w:ascii="Garamond" w:hAnsi="Garamond"/>
          <w:i w:val="0"/>
          <w:color w:val="auto"/>
          <w:sz w:val="24"/>
          <w:szCs w:val="24"/>
        </w:rPr>
        <w:t xml:space="preserve">for </w:t>
      </w:r>
      <w:r w:rsidR="00760CAE">
        <w:rPr>
          <w:rStyle w:val="SubtleEmphasis"/>
          <w:rFonts w:ascii="Garamond" w:hAnsi="Garamond"/>
          <w:i w:val="0"/>
          <w:color w:val="auto"/>
          <w:sz w:val="24"/>
          <w:szCs w:val="24"/>
        </w:rPr>
        <w:t xml:space="preserve">the </w:t>
      </w:r>
      <w:r>
        <w:rPr>
          <w:rStyle w:val="SubtleEmphasis"/>
          <w:rFonts w:ascii="Garamond" w:hAnsi="Garamond"/>
          <w:i w:val="0"/>
          <w:color w:val="auto"/>
          <w:sz w:val="24"/>
          <w:szCs w:val="24"/>
        </w:rPr>
        <w:t>crisis</w:t>
      </w:r>
      <w:r w:rsidRPr="00062B92">
        <w:rPr>
          <w:rStyle w:val="SubtleEmphasis"/>
          <w:rFonts w:ascii="Garamond" w:hAnsi="Garamond"/>
          <w:i w:val="0"/>
          <w:color w:val="auto"/>
          <w:sz w:val="24"/>
          <w:szCs w:val="24"/>
        </w:rPr>
        <w:t>.</w:t>
      </w:r>
      <w:r>
        <w:rPr>
          <w:rStyle w:val="SubtleEmphasis"/>
          <w:rFonts w:ascii="Garamond" w:hAnsi="Garamond"/>
          <w:i w:val="0"/>
          <w:color w:val="auto"/>
          <w:sz w:val="24"/>
          <w:szCs w:val="24"/>
        </w:rPr>
        <w:t xml:space="preserve"> To get </w:t>
      </w:r>
      <w:r w:rsidR="00760CAE">
        <w:rPr>
          <w:rStyle w:val="SubtleEmphasis"/>
          <w:rFonts w:ascii="Garamond" w:hAnsi="Garamond"/>
          <w:i w:val="0"/>
          <w:color w:val="auto"/>
          <w:sz w:val="24"/>
          <w:szCs w:val="24"/>
        </w:rPr>
        <w:t xml:space="preserve">a </w:t>
      </w:r>
      <w:r>
        <w:rPr>
          <w:rStyle w:val="SubtleEmphasis"/>
          <w:rFonts w:ascii="Garamond" w:hAnsi="Garamond"/>
          <w:i w:val="0"/>
          <w:color w:val="auto"/>
          <w:sz w:val="24"/>
          <w:szCs w:val="24"/>
        </w:rPr>
        <w:t>clear and compara</w:t>
      </w:r>
      <w:r w:rsidR="00760CAE">
        <w:rPr>
          <w:rStyle w:val="SubtleEmphasis"/>
          <w:rFonts w:ascii="Garamond" w:hAnsi="Garamond"/>
          <w:i w:val="0"/>
          <w:color w:val="auto"/>
          <w:sz w:val="24"/>
          <w:szCs w:val="24"/>
        </w:rPr>
        <w:t>ble</w:t>
      </w:r>
      <w:r>
        <w:rPr>
          <w:rStyle w:val="SubtleEmphasis"/>
          <w:rFonts w:ascii="Garamond" w:hAnsi="Garamond"/>
          <w:i w:val="0"/>
          <w:color w:val="auto"/>
          <w:sz w:val="24"/>
          <w:szCs w:val="24"/>
        </w:rPr>
        <w:t xml:space="preserve"> picture of the impact of </w:t>
      </w:r>
      <w:r w:rsidR="00760CAE">
        <w:rPr>
          <w:rStyle w:val="SubtleEmphasis"/>
          <w:rFonts w:ascii="Garamond" w:hAnsi="Garamond"/>
          <w:i w:val="0"/>
          <w:color w:val="auto"/>
          <w:sz w:val="24"/>
          <w:szCs w:val="24"/>
        </w:rPr>
        <w:t xml:space="preserve">the </w:t>
      </w:r>
      <w:r>
        <w:rPr>
          <w:rStyle w:val="SubtleEmphasis"/>
          <w:rFonts w:ascii="Garamond" w:hAnsi="Garamond"/>
          <w:i w:val="0"/>
          <w:color w:val="auto"/>
          <w:sz w:val="24"/>
          <w:szCs w:val="24"/>
        </w:rPr>
        <w:t xml:space="preserve">crisis, we split the sample between </w:t>
      </w:r>
      <w:r w:rsidR="00760CAE">
        <w:rPr>
          <w:rStyle w:val="SubtleEmphasis"/>
          <w:rFonts w:ascii="Garamond" w:hAnsi="Garamond"/>
          <w:i w:val="0"/>
          <w:color w:val="auto"/>
          <w:sz w:val="24"/>
          <w:szCs w:val="24"/>
        </w:rPr>
        <w:t xml:space="preserve">the </w:t>
      </w:r>
      <w:r>
        <w:rPr>
          <w:rStyle w:val="SubtleEmphasis"/>
          <w:rFonts w:ascii="Garamond" w:hAnsi="Garamond"/>
          <w:i w:val="0"/>
          <w:color w:val="auto"/>
          <w:sz w:val="24"/>
          <w:szCs w:val="24"/>
        </w:rPr>
        <w:t xml:space="preserve">crisis 2007-08 and non-crisis periods. These results will </w:t>
      </w:r>
      <w:r w:rsidR="00760CAE">
        <w:rPr>
          <w:rStyle w:val="SubtleEmphasis"/>
          <w:rFonts w:ascii="Garamond" w:hAnsi="Garamond"/>
          <w:i w:val="0"/>
          <w:color w:val="auto"/>
          <w:sz w:val="24"/>
          <w:szCs w:val="24"/>
        </w:rPr>
        <w:t xml:space="preserve">therefore </w:t>
      </w:r>
      <w:r>
        <w:rPr>
          <w:rStyle w:val="SubtleEmphasis"/>
          <w:rFonts w:ascii="Garamond" w:hAnsi="Garamond"/>
          <w:i w:val="0"/>
          <w:color w:val="auto"/>
          <w:sz w:val="24"/>
          <w:szCs w:val="24"/>
        </w:rPr>
        <w:t>indicate which Asian equity markets were affected by t</w:t>
      </w:r>
      <w:r w:rsidR="000029C0">
        <w:rPr>
          <w:rStyle w:val="SubtleEmphasis"/>
          <w:rFonts w:ascii="Garamond" w:hAnsi="Garamond"/>
          <w:i w:val="0"/>
          <w:color w:val="auto"/>
          <w:sz w:val="24"/>
          <w:szCs w:val="24"/>
        </w:rPr>
        <w:t xml:space="preserve">he </w:t>
      </w:r>
      <w:r w:rsidR="000029C0">
        <w:rPr>
          <w:rStyle w:val="SubtleEmphasis"/>
          <w:rFonts w:ascii="Garamond" w:hAnsi="Garamond"/>
          <w:i w:val="0"/>
          <w:color w:val="auto"/>
          <w:sz w:val="24"/>
          <w:szCs w:val="24"/>
        </w:rPr>
        <w:lastRenderedPageBreak/>
        <w:t>subprime mortgage crisis 2007-08</w:t>
      </w:r>
      <w:r>
        <w:rPr>
          <w:rStyle w:val="SubtleEmphasis"/>
          <w:rFonts w:ascii="Garamond" w:hAnsi="Garamond"/>
          <w:i w:val="0"/>
          <w:color w:val="auto"/>
          <w:sz w:val="24"/>
          <w:szCs w:val="24"/>
        </w:rPr>
        <w:t xml:space="preserve"> originat</w:t>
      </w:r>
      <w:r w:rsidR="00760CAE">
        <w:rPr>
          <w:rStyle w:val="SubtleEmphasis"/>
          <w:rFonts w:ascii="Garamond" w:hAnsi="Garamond"/>
          <w:i w:val="0"/>
          <w:color w:val="auto"/>
          <w:sz w:val="24"/>
          <w:szCs w:val="24"/>
        </w:rPr>
        <w:t>ing</w:t>
      </w:r>
      <w:r>
        <w:rPr>
          <w:rStyle w:val="SubtleEmphasis"/>
          <w:rFonts w:ascii="Garamond" w:hAnsi="Garamond"/>
          <w:i w:val="0"/>
          <w:color w:val="auto"/>
          <w:sz w:val="24"/>
          <w:szCs w:val="24"/>
        </w:rPr>
        <w:t xml:space="preserve"> in </w:t>
      </w:r>
      <w:r w:rsidR="00760CAE">
        <w:rPr>
          <w:rStyle w:val="SubtleEmphasis"/>
          <w:rFonts w:ascii="Garamond" w:hAnsi="Garamond"/>
          <w:i w:val="0"/>
          <w:color w:val="auto"/>
          <w:sz w:val="24"/>
          <w:szCs w:val="24"/>
        </w:rPr>
        <w:t xml:space="preserve">the </w:t>
      </w:r>
      <w:r>
        <w:rPr>
          <w:rStyle w:val="SubtleEmphasis"/>
          <w:rFonts w:ascii="Garamond" w:hAnsi="Garamond"/>
          <w:i w:val="0"/>
          <w:color w:val="auto"/>
          <w:sz w:val="24"/>
          <w:szCs w:val="24"/>
        </w:rPr>
        <w:t>US. It will also help policy makers of th</w:t>
      </w:r>
      <w:r w:rsidR="00760CAE">
        <w:rPr>
          <w:rStyle w:val="SubtleEmphasis"/>
          <w:rFonts w:ascii="Garamond" w:hAnsi="Garamond"/>
          <w:i w:val="0"/>
          <w:color w:val="auto"/>
          <w:sz w:val="24"/>
          <w:szCs w:val="24"/>
        </w:rPr>
        <w:t>e</w:t>
      </w:r>
      <w:r>
        <w:rPr>
          <w:rStyle w:val="SubtleEmphasis"/>
          <w:rFonts w:ascii="Garamond" w:hAnsi="Garamond"/>
          <w:i w:val="0"/>
          <w:color w:val="auto"/>
          <w:sz w:val="24"/>
          <w:szCs w:val="24"/>
        </w:rPr>
        <w:t xml:space="preserve"> respective country to formulate future strategies around their market sensitivity.</w:t>
      </w:r>
    </w:p>
    <w:p w14:paraId="674E521A" w14:textId="1E63F8BA" w:rsidR="00424000" w:rsidRPr="00F11E9B" w:rsidRDefault="00F05A67" w:rsidP="00424000">
      <w:pPr>
        <w:pStyle w:val="Heading3"/>
        <w:spacing w:after="200" w:line="360" w:lineRule="auto"/>
        <w:ind w:firstLine="720"/>
        <w:rPr>
          <w:rFonts w:ascii="Garamond" w:hAnsi="Garamond"/>
          <w:color w:val="auto"/>
          <w:sz w:val="24"/>
          <w:szCs w:val="24"/>
        </w:rPr>
      </w:pPr>
      <w:bookmarkStart w:id="8" w:name="_Toc399683676"/>
      <w:r>
        <w:rPr>
          <w:rFonts w:ascii="Garamond" w:hAnsi="Garamond"/>
          <w:color w:val="auto"/>
          <w:sz w:val="24"/>
          <w:szCs w:val="24"/>
        </w:rPr>
        <w:t>2</w:t>
      </w:r>
      <w:r w:rsidR="00424000" w:rsidRPr="00F11E9B">
        <w:rPr>
          <w:rFonts w:ascii="Garamond" w:hAnsi="Garamond"/>
          <w:color w:val="auto"/>
          <w:sz w:val="24"/>
          <w:szCs w:val="24"/>
        </w:rPr>
        <w:t>.4.2 Panel regression for individual stocks</w:t>
      </w:r>
      <w:bookmarkEnd w:id="8"/>
    </w:p>
    <w:p w14:paraId="42B0AFCC" w14:textId="5F4D6FDF" w:rsidR="00424000" w:rsidRPr="00062B92" w:rsidRDefault="00424000" w:rsidP="00424000">
      <w:pPr>
        <w:spacing w:line="360" w:lineRule="auto"/>
        <w:jc w:val="both"/>
        <w:rPr>
          <w:rStyle w:val="SubtleEmphasis"/>
          <w:rFonts w:ascii="Garamond" w:hAnsi="Garamond"/>
          <w:i w:val="0"/>
          <w:color w:val="auto"/>
          <w:sz w:val="24"/>
          <w:szCs w:val="24"/>
        </w:rPr>
      </w:pPr>
      <w:r>
        <w:rPr>
          <w:rFonts w:ascii="Garamond" w:hAnsi="Garamond"/>
          <w:sz w:val="24"/>
          <w:szCs w:val="24"/>
        </w:rPr>
        <w:t>Having assessed</w:t>
      </w:r>
      <w:r w:rsidRPr="00062B92">
        <w:rPr>
          <w:rFonts w:ascii="Garamond" w:hAnsi="Garamond"/>
          <w:sz w:val="24"/>
          <w:szCs w:val="24"/>
        </w:rPr>
        <w:t xml:space="preserve"> the impact on overall market liquidity, in our second step we look into the influence of monetary and fiscal policy stance on liquidity of individual firms and sectoral stocks. For this purpose, we combine time-series and cross-sectional data of </w:t>
      </w:r>
      <w:r w:rsidRPr="00062B92">
        <w:rPr>
          <w:rStyle w:val="SubtleEmphasis"/>
          <w:rFonts w:ascii="Garamond" w:hAnsi="Garamond"/>
          <w:i w:val="0"/>
          <w:color w:val="auto"/>
          <w:sz w:val="24"/>
          <w:szCs w:val="24"/>
        </w:rPr>
        <w:t xml:space="preserve">liquidity, returns, volatility, industrial production, inflation, monetary and fiscal policy instruments to estimate panel regressions as suggested in </w:t>
      </w:r>
      <w:r w:rsidRPr="00062B92">
        <w:rPr>
          <w:rFonts w:ascii="Garamond" w:hAnsi="Garamond"/>
          <w:sz w:val="24"/>
          <w:szCs w:val="24"/>
        </w:rPr>
        <w:t>Fernández-Amador et al. (2013)</w:t>
      </w:r>
      <w:r w:rsidRPr="00062B92">
        <w:rPr>
          <w:rStyle w:val="SubtleEmphasis"/>
          <w:rFonts w:ascii="Garamond" w:hAnsi="Garamond"/>
          <w:i w:val="0"/>
          <w:color w:val="auto"/>
          <w:sz w:val="24"/>
          <w:szCs w:val="24"/>
        </w:rPr>
        <w:t xml:space="preserve">. </w:t>
      </w:r>
      <w:r>
        <w:rPr>
          <w:rStyle w:val="SubtleEmphasis"/>
          <w:rFonts w:ascii="Garamond" w:hAnsi="Garamond"/>
          <w:i w:val="0"/>
          <w:color w:val="auto"/>
          <w:sz w:val="24"/>
          <w:szCs w:val="24"/>
        </w:rPr>
        <w:t>T</w:t>
      </w:r>
      <w:r w:rsidRPr="00062B92">
        <w:rPr>
          <w:rStyle w:val="SubtleEmphasis"/>
          <w:rFonts w:ascii="Garamond" w:hAnsi="Garamond"/>
          <w:i w:val="0"/>
          <w:color w:val="auto"/>
          <w:sz w:val="24"/>
          <w:szCs w:val="24"/>
        </w:rPr>
        <w:t>he liquidity (</w:t>
      </w:r>
      <m:oMath>
        <m:sSub>
          <m:sSubPr>
            <m:ctrlPr>
              <w:rPr>
                <w:rStyle w:val="SubtleEmphasis"/>
                <w:rFonts w:ascii="Cambria Math" w:hAnsi="Cambria Math"/>
                <w:i w:val="0"/>
                <w:iCs w:val="0"/>
                <w:color w:val="auto"/>
                <w:sz w:val="24"/>
                <w:szCs w:val="24"/>
              </w:rPr>
            </m:ctrlPr>
          </m:sSubPr>
          <m:e>
            <m:r>
              <m:rPr>
                <m:sty m:val="p"/>
              </m:rPr>
              <w:rPr>
                <w:rStyle w:val="SubtleEmphasis"/>
                <w:rFonts w:ascii="Cambria Math" w:hAnsi="Cambria Math"/>
                <w:color w:val="auto"/>
                <w:sz w:val="24"/>
                <w:szCs w:val="24"/>
              </w:rPr>
              <m:t>LIQ</m:t>
            </m:r>
          </m:e>
          <m:sub>
            <m:r>
              <m:rPr>
                <m:sty m:val="p"/>
              </m:rPr>
              <w:rPr>
                <w:rStyle w:val="SubtleEmphasis"/>
                <w:rFonts w:ascii="Cambria Math" w:hAnsi="Cambria Math"/>
                <w:color w:val="auto"/>
                <w:sz w:val="24"/>
                <w:szCs w:val="24"/>
              </w:rPr>
              <m:t>i,t</m:t>
            </m:r>
          </m:sub>
        </m:sSub>
        <m:r>
          <m:rPr>
            <m:sty m:val="p"/>
          </m:rPr>
          <w:rPr>
            <w:rStyle w:val="SubtleEmphasis"/>
            <w:rFonts w:ascii="Cambria Math" w:hAnsi="Cambria Math"/>
            <w:color w:val="auto"/>
            <w:sz w:val="24"/>
            <w:szCs w:val="24"/>
          </w:rPr>
          <m:t>)</m:t>
        </m:r>
      </m:oMath>
      <w:r w:rsidRPr="00062B92">
        <w:rPr>
          <w:rStyle w:val="SubtleEmphasis"/>
          <w:rFonts w:ascii="Garamond" w:hAnsi="Garamond"/>
          <w:i w:val="0"/>
          <w:color w:val="auto"/>
          <w:sz w:val="24"/>
          <w:szCs w:val="24"/>
        </w:rPr>
        <w:t xml:space="preserve"> of stock </w:t>
      </w:r>
      <w:r w:rsidRPr="00062B92">
        <w:rPr>
          <w:rStyle w:val="SubtleEmphasis"/>
          <w:rFonts w:ascii="Garamond" w:hAnsi="Garamond"/>
          <w:b/>
          <w:color w:val="auto"/>
          <w:sz w:val="24"/>
          <w:szCs w:val="24"/>
        </w:rPr>
        <w:t>i</w:t>
      </w:r>
      <w:r w:rsidRPr="00062B92">
        <w:rPr>
          <w:rStyle w:val="SubtleEmphasis"/>
          <w:rFonts w:ascii="Garamond" w:hAnsi="Garamond"/>
          <w:i w:val="0"/>
          <w:color w:val="auto"/>
          <w:sz w:val="24"/>
          <w:szCs w:val="24"/>
        </w:rPr>
        <w:t xml:space="preserve"> in month </w:t>
      </w:r>
      <w:r w:rsidRPr="00062B92">
        <w:rPr>
          <w:rStyle w:val="SubtleEmphasis"/>
          <w:rFonts w:ascii="Garamond" w:hAnsi="Garamond"/>
          <w:b/>
          <w:color w:val="auto"/>
          <w:sz w:val="24"/>
          <w:szCs w:val="24"/>
        </w:rPr>
        <w:t>t</w:t>
      </w:r>
      <w:r w:rsidRPr="00062B92">
        <w:rPr>
          <w:rStyle w:val="SubtleEmphasis"/>
          <w:rFonts w:ascii="Garamond" w:hAnsi="Garamond"/>
          <w:i w:val="0"/>
          <w:color w:val="auto"/>
          <w:sz w:val="24"/>
          <w:szCs w:val="24"/>
        </w:rPr>
        <w:t xml:space="preserve"> is modelled as a function of </w:t>
      </w:r>
      <w:r>
        <w:rPr>
          <w:rStyle w:val="SubtleEmphasis"/>
          <w:rFonts w:ascii="Garamond" w:hAnsi="Garamond"/>
          <w:i w:val="0"/>
          <w:color w:val="auto"/>
          <w:sz w:val="24"/>
          <w:szCs w:val="24"/>
        </w:rPr>
        <w:t xml:space="preserve">the </w:t>
      </w:r>
      <w:r w:rsidRPr="00062B92">
        <w:rPr>
          <w:rStyle w:val="SubtleEmphasis"/>
          <w:rFonts w:ascii="Garamond" w:hAnsi="Garamond"/>
          <w:i w:val="0"/>
          <w:color w:val="auto"/>
          <w:sz w:val="24"/>
          <w:szCs w:val="24"/>
        </w:rPr>
        <w:t>one-month lagged macroeconomic management variables and other lagged control variables. We mode</w:t>
      </w:r>
      <w:r>
        <w:rPr>
          <w:rStyle w:val="SubtleEmphasis"/>
          <w:rFonts w:ascii="Garamond" w:hAnsi="Garamond"/>
          <w:i w:val="0"/>
          <w:color w:val="auto"/>
          <w:sz w:val="24"/>
          <w:szCs w:val="24"/>
        </w:rPr>
        <w:t>l separately for monetary (i.e.</w:t>
      </w:r>
      <w:r w:rsidRPr="00062B92">
        <w:rPr>
          <w:rStyle w:val="SubtleEmphasis"/>
          <w:rFonts w:ascii="Garamond" w:hAnsi="Garamond"/>
          <w:i w:val="0"/>
          <w:color w:val="auto"/>
          <w:sz w:val="24"/>
          <w:szCs w:val="24"/>
        </w:rPr>
        <w:t xml:space="preserve"> equation </w:t>
      </w:r>
      <w:r>
        <w:rPr>
          <w:rStyle w:val="SubtleEmphasis"/>
          <w:rFonts w:ascii="Garamond" w:hAnsi="Garamond"/>
          <w:i w:val="0"/>
          <w:color w:val="auto"/>
          <w:sz w:val="24"/>
          <w:szCs w:val="24"/>
        </w:rPr>
        <w:t>vi</w:t>
      </w:r>
      <w:r w:rsidRPr="00062B92">
        <w:rPr>
          <w:rStyle w:val="SubtleEmphasis"/>
          <w:rFonts w:ascii="Garamond" w:hAnsi="Garamond"/>
          <w:i w:val="0"/>
          <w:color w:val="auto"/>
          <w:sz w:val="24"/>
          <w:szCs w:val="24"/>
        </w:rPr>
        <w:t xml:space="preserve">) and fiscal policy (i.e. equation </w:t>
      </w:r>
      <w:r>
        <w:rPr>
          <w:rStyle w:val="SubtleEmphasis"/>
          <w:rFonts w:ascii="Garamond" w:hAnsi="Garamond"/>
          <w:i w:val="0"/>
          <w:color w:val="auto"/>
          <w:sz w:val="24"/>
          <w:szCs w:val="24"/>
        </w:rPr>
        <w:t>vii</w:t>
      </w:r>
      <w:r w:rsidRPr="00062B92">
        <w:rPr>
          <w:rStyle w:val="SubtleEmphasis"/>
          <w:rFonts w:ascii="Garamond" w:hAnsi="Garamond"/>
          <w:i w:val="0"/>
          <w:color w:val="auto"/>
          <w:sz w:val="24"/>
          <w:szCs w:val="24"/>
        </w:rPr>
        <w:t>)</w:t>
      </w:r>
      <w:r w:rsidR="00760CAE">
        <w:rPr>
          <w:rStyle w:val="SubtleEmphasis"/>
          <w:rFonts w:ascii="Garamond" w:hAnsi="Garamond"/>
          <w:i w:val="0"/>
          <w:color w:val="auto"/>
          <w:sz w:val="24"/>
          <w:szCs w:val="24"/>
        </w:rPr>
        <w:t xml:space="preserve">. The </w:t>
      </w:r>
      <w:r w:rsidRPr="00062B92">
        <w:rPr>
          <w:rStyle w:val="SubtleEmphasis"/>
          <w:rFonts w:ascii="Garamond" w:hAnsi="Garamond"/>
          <w:i w:val="0"/>
          <w:color w:val="auto"/>
          <w:sz w:val="24"/>
          <w:szCs w:val="24"/>
        </w:rPr>
        <w:t>models are:</w:t>
      </w:r>
    </w:p>
    <w:p w14:paraId="0F5504B9" w14:textId="77777777" w:rsidR="00424000" w:rsidRDefault="007E3C2B" w:rsidP="00424000">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LIQ</m:t>
            </m:r>
          </m:e>
          <m:sub>
            <m:r>
              <w:rPr>
                <w:rFonts w:ascii="Cambria Math" w:hAnsi="Cambria Math"/>
                <w:sz w:val="24"/>
                <w:szCs w:val="24"/>
              </w:rPr>
              <m:t>i,t</m:t>
            </m:r>
          </m:sub>
        </m:s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LIQ</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MP</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Int</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5</m:t>
            </m:r>
          </m:sub>
        </m:sSub>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i,t</m:t>
            </m:r>
          </m:sub>
        </m:sSub>
      </m:oMath>
      <w:r w:rsidR="00424000">
        <w:rPr>
          <w:rFonts w:ascii="Garamond" w:hAnsi="Garamond"/>
          <w:sz w:val="24"/>
          <w:szCs w:val="24"/>
        </w:rPr>
        <w:t xml:space="preserve"> (vi)</w:t>
      </w:r>
    </w:p>
    <w:p w14:paraId="4BA2D7FE" w14:textId="77777777" w:rsidR="00424000" w:rsidRPr="00335597" w:rsidRDefault="007E3C2B" w:rsidP="00424000">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LIQ</m:t>
            </m:r>
          </m:e>
          <m:sub>
            <m:r>
              <w:rPr>
                <w:rFonts w:ascii="Cambria Math" w:hAnsi="Cambria Math"/>
                <w:sz w:val="24"/>
                <w:szCs w:val="24"/>
              </w:rPr>
              <m:t>i,t</m:t>
            </m:r>
          </m:sub>
        </m:s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LIQ</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FP</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Int</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5</m:t>
            </m:r>
          </m:sub>
        </m:sSub>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i,t</m:t>
            </m:r>
          </m:sub>
        </m:sSub>
      </m:oMath>
      <w:r w:rsidR="00424000">
        <w:rPr>
          <w:rFonts w:ascii="Garamond" w:hAnsi="Garamond"/>
          <w:sz w:val="24"/>
          <w:szCs w:val="24"/>
        </w:rPr>
        <w:t xml:space="preserve"> (vii)</w:t>
      </w:r>
    </w:p>
    <w:p w14:paraId="4144FA40" w14:textId="3748E43D" w:rsidR="00424000" w:rsidRPr="00EA791B" w:rsidRDefault="00424000" w:rsidP="00424000">
      <w:pPr>
        <w:spacing w:line="360" w:lineRule="auto"/>
        <w:jc w:val="both"/>
        <w:rPr>
          <w:rFonts w:ascii="Garamond" w:hAnsi="Garamond"/>
          <w:sz w:val="24"/>
          <w:szCs w:val="24"/>
        </w:rPr>
      </w:pPr>
      <w:r>
        <w:rPr>
          <w:rFonts w:ascii="Garamond" w:hAnsi="Garamond"/>
          <w:sz w:val="24"/>
          <w:szCs w:val="24"/>
        </w:rPr>
        <w:t xml:space="preserve">where </w:t>
      </w:r>
      <m:oMath>
        <m:sSub>
          <m:sSubPr>
            <m:ctrlPr>
              <w:rPr>
                <w:rFonts w:ascii="Cambria Math" w:hAnsi="Cambria Math"/>
                <w:i/>
                <w:sz w:val="24"/>
                <w:szCs w:val="24"/>
              </w:rPr>
            </m:ctrlPr>
          </m:sSubPr>
          <m:e>
            <m:r>
              <w:rPr>
                <w:rFonts w:ascii="Cambria Math" w:hAnsi="Cambria Math"/>
                <w:sz w:val="24"/>
                <w:szCs w:val="24"/>
              </w:rPr>
              <m:t>LIQ</m:t>
            </m:r>
          </m:e>
          <m:sub>
            <m:r>
              <w:rPr>
                <w:rFonts w:ascii="Cambria Math" w:hAnsi="Cambria Math"/>
                <w:sz w:val="24"/>
                <w:szCs w:val="24"/>
              </w:rPr>
              <m:t>i,t</m:t>
            </m:r>
          </m:sub>
        </m:sSub>
      </m:oMath>
      <w:r>
        <w:rPr>
          <w:rFonts w:ascii="Garamond" w:hAnsi="Garamond"/>
          <w:sz w:val="24"/>
          <w:szCs w:val="24"/>
        </w:rPr>
        <w:t xml:space="preserve"> is the dependent variable and represents </w:t>
      </w:r>
      <w:r w:rsidR="008857FE">
        <w:rPr>
          <w:rFonts w:ascii="Garamond" w:hAnsi="Garamond"/>
          <w:sz w:val="24"/>
          <w:szCs w:val="24"/>
        </w:rPr>
        <w:t xml:space="preserve">the </w:t>
      </w:r>
      <w:r>
        <w:rPr>
          <w:rFonts w:ascii="Garamond" w:hAnsi="Garamond"/>
          <w:sz w:val="24"/>
          <w:szCs w:val="24"/>
        </w:rPr>
        <w:t xml:space="preserve">four (il)liquidity ratios. To account </w:t>
      </w:r>
      <w:r w:rsidR="00760CAE">
        <w:rPr>
          <w:rFonts w:ascii="Garamond" w:hAnsi="Garamond"/>
          <w:sz w:val="24"/>
          <w:szCs w:val="24"/>
        </w:rPr>
        <w:t xml:space="preserve">for </w:t>
      </w:r>
      <w:r>
        <w:rPr>
          <w:rFonts w:ascii="Garamond" w:hAnsi="Garamond"/>
          <w:sz w:val="24"/>
          <w:szCs w:val="24"/>
        </w:rPr>
        <w:t xml:space="preserve">the possible autocorrelation induced by a dynamic relationship in stock liquidity, we include one-month lagged (il)liquidity measures </w:t>
      </w:r>
      <m:oMath>
        <m:sSub>
          <m:sSubPr>
            <m:ctrlPr>
              <w:rPr>
                <w:rFonts w:ascii="Cambria Math" w:hAnsi="Cambria Math"/>
                <w:i/>
                <w:sz w:val="24"/>
                <w:szCs w:val="24"/>
              </w:rPr>
            </m:ctrlPr>
          </m:sSubPr>
          <m:e>
            <m:r>
              <w:rPr>
                <w:rFonts w:ascii="Cambria Math" w:hAnsi="Cambria Math"/>
                <w:sz w:val="24"/>
                <w:szCs w:val="24"/>
              </w:rPr>
              <m:t>LIQ</m:t>
            </m:r>
          </m:e>
          <m:sub>
            <m:r>
              <w:rPr>
                <w:rFonts w:ascii="Cambria Math" w:hAnsi="Cambria Math"/>
                <w:sz w:val="24"/>
                <w:szCs w:val="24"/>
              </w:rPr>
              <m:t>i,t-1</m:t>
            </m:r>
          </m:sub>
        </m:sSub>
      </m:oMath>
      <w:r>
        <w:rPr>
          <w:rFonts w:ascii="Garamond" w:hAnsi="Garamond"/>
          <w:sz w:val="24"/>
          <w:szCs w:val="24"/>
        </w:rPr>
        <w:t>as regressor</w:t>
      </w:r>
      <w:r w:rsidR="00760CAE">
        <w:rPr>
          <w:rFonts w:ascii="Garamond" w:hAnsi="Garamond"/>
          <w:sz w:val="24"/>
          <w:szCs w:val="24"/>
        </w:rPr>
        <w:t>s</w:t>
      </w:r>
      <w:r>
        <w:rPr>
          <w:rFonts w:ascii="Garamond" w:hAnsi="Garamond"/>
          <w:sz w:val="24"/>
          <w:szCs w:val="24"/>
        </w:rPr>
        <w:t xml:space="preserve">. </w:t>
      </w:r>
      <m:oMath>
        <m:sSub>
          <m:sSubPr>
            <m:ctrlPr>
              <w:rPr>
                <w:rFonts w:ascii="Cambria Math" w:hAnsi="Cambria Math"/>
                <w:i/>
                <w:sz w:val="24"/>
                <w:szCs w:val="24"/>
              </w:rPr>
            </m:ctrlPr>
          </m:sSubPr>
          <m:e>
            <m:r>
              <w:rPr>
                <w:rFonts w:ascii="Cambria Math" w:hAnsi="Cambria Math"/>
                <w:sz w:val="24"/>
                <w:szCs w:val="24"/>
              </w:rPr>
              <m:t>MP</m:t>
            </m:r>
          </m:e>
          <m:sub>
            <m:r>
              <w:rPr>
                <w:rFonts w:ascii="Cambria Math" w:hAnsi="Cambria Math"/>
                <w:sz w:val="24"/>
                <w:szCs w:val="24"/>
              </w:rPr>
              <m:t>t-1</m:t>
            </m:r>
          </m:sub>
        </m:sSub>
      </m:oMath>
      <w:r>
        <w:rPr>
          <w:rFonts w:ascii="Garamond" w:hAnsi="Garamond"/>
          <w:sz w:val="24"/>
          <w:szCs w:val="24"/>
        </w:rPr>
        <w:t xml:space="preserve"> and </w:t>
      </w:r>
      <m:oMath>
        <m:sSub>
          <m:sSubPr>
            <m:ctrlPr>
              <w:rPr>
                <w:rFonts w:ascii="Cambria Math" w:hAnsi="Cambria Math"/>
                <w:i/>
                <w:sz w:val="24"/>
                <w:szCs w:val="24"/>
              </w:rPr>
            </m:ctrlPr>
          </m:sSubPr>
          <m:e>
            <m:r>
              <w:rPr>
                <w:rFonts w:ascii="Cambria Math" w:hAnsi="Cambria Math"/>
                <w:sz w:val="24"/>
                <w:szCs w:val="24"/>
              </w:rPr>
              <m:t>FP</m:t>
            </m:r>
          </m:e>
          <m:sub>
            <m:r>
              <w:rPr>
                <w:rFonts w:ascii="Cambria Math" w:hAnsi="Cambria Math"/>
                <w:sz w:val="24"/>
                <w:szCs w:val="24"/>
              </w:rPr>
              <m:t>t-1</m:t>
            </m:r>
          </m:sub>
        </m:sSub>
      </m:oMath>
      <w:r>
        <w:rPr>
          <w:rFonts w:ascii="Garamond" w:hAnsi="Garamond"/>
          <w:sz w:val="24"/>
          <w:szCs w:val="24"/>
        </w:rPr>
        <w:t xml:space="preserve"> are monetary policy and fiscal policy variables respectively. We consider an interaction term </w:t>
      </w:r>
      <m:oMath>
        <m:sSub>
          <m:sSubPr>
            <m:ctrlPr>
              <w:rPr>
                <w:rFonts w:ascii="Cambria Math" w:hAnsi="Cambria Math"/>
                <w:i/>
                <w:sz w:val="24"/>
                <w:szCs w:val="24"/>
              </w:rPr>
            </m:ctrlPr>
          </m:sSubPr>
          <m:e>
            <m:r>
              <w:rPr>
                <w:rFonts w:ascii="Cambria Math" w:hAnsi="Cambria Math"/>
                <w:sz w:val="24"/>
                <w:szCs w:val="24"/>
              </w:rPr>
              <m:t>Int</m:t>
            </m:r>
          </m:e>
          <m:sub>
            <m:r>
              <w:rPr>
                <w:rFonts w:ascii="Cambria Math" w:hAnsi="Cambria Math"/>
                <w:sz w:val="24"/>
                <w:szCs w:val="24"/>
              </w:rPr>
              <m:t>i,t-1</m:t>
            </m:r>
          </m:sub>
        </m:sSub>
      </m:oMath>
      <w:r>
        <w:rPr>
          <w:rFonts w:ascii="Garamond" w:hAnsi="Garamond"/>
          <w:sz w:val="24"/>
          <w:szCs w:val="24"/>
        </w:rPr>
        <w:t xml:space="preserve"> in both equations that indicates whether the influence of monetary policy or fiscal policy depends on size of firm as measured by log market capitalization, </w:t>
      </w:r>
      <m:oMath>
        <m:r>
          <w:rPr>
            <w:rFonts w:ascii="Cambria Math" w:hAnsi="Cambria Math"/>
            <w:sz w:val="24"/>
            <w:szCs w:val="24"/>
          </w:rPr>
          <m:t>ln</m:t>
        </m:r>
        <m:sSub>
          <m:sSubPr>
            <m:ctrlPr>
              <w:rPr>
                <w:rFonts w:ascii="Cambria Math" w:hAnsi="Cambria Math"/>
                <w:i/>
                <w:sz w:val="24"/>
                <w:szCs w:val="24"/>
              </w:rPr>
            </m:ctrlPr>
          </m:sSubPr>
          <m:e>
            <m:r>
              <w:rPr>
                <w:rFonts w:ascii="Cambria Math" w:hAnsi="Cambria Math"/>
                <w:sz w:val="24"/>
                <w:szCs w:val="24"/>
              </w:rPr>
              <m:t>MV</m:t>
            </m:r>
          </m:e>
          <m:sub>
            <m:r>
              <w:rPr>
                <w:rFonts w:ascii="Cambria Math" w:hAnsi="Cambria Math"/>
                <w:sz w:val="24"/>
                <w:szCs w:val="24"/>
              </w:rPr>
              <m:t>i,t-1</m:t>
            </m:r>
          </m:sub>
        </m:sSub>
      </m:oMath>
      <w:r>
        <w:rPr>
          <w:rFonts w:ascii="Garamond" w:hAnsi="Garamond"/>
          <w:sz w:val="24"/>
          <w:szCs w:val="24"/>
        </w:rPr>
        <w:t xml:space="preserve">. Therefore, the interaction term is </w:t>
      </w:r>
      <m:oMath>
        <m:r>
          <w:rPr>
            <w:rFonts w:ascii="Cambria Math" w:hAnsi="Cambria Math"/>
            <w:sz w:val="24"/>
            <w:szCs w:val="24"/>
          </w:rPr>
          <m:t>(MP*ln</m:t>
        </m:r>
        <m:sSub>
          <m:sSubPr>
            <m:ctrlPr>
              <w:rPr>
                <w:rFonts w:ascii="Cambria Math" w:hAnsi="Cambria Math"/>
                <w:i/>
                <w:sz w:val="24"/>
                <w:szCs w:val="24"/>
              </w:rPr>
            </m:ctrlPr>
          </m:sSubPr>
          <m:e>
            <m:r>
              <w:rPr>
                <w:rFonts w:ascii="Cambria Math" w:hAnsi="Cambria Math"/>
                <w:sz w:val="24"/>
                <w:szCs w:val="24"/>
              </w:rPr>
              <m:t>MV</m:t>
            </m:r>
          </m:e>
          <m:sub>
            <m:r>
              <w:rPr>
                <w:rFonts w:ascii="Cambria Math" w:hAnsi="Cambria Math"/>
                <w:sz w:val="24"/>
                <w:szCs w:val="24"/>
              </w:rPr>
              <m:t>i,t-1</m:t>
            </m:r>
          </m:sub>
        </m:sSub>
        <m:r>
          <w:rPr>
            <w:rFonts w:ascii="Cambria Math" w:hAnsi="Cambria Math"/>
            <w:sz w:val="24"/>
            <w:szCs w:val="24"/>
          </w:rPr>
          <m:t>)</m:t>
        </m:r>
      </m:oMath>
      <w:r>
        <w:rPr>
          <w:rFonts w:ascii="Garamond" w:hAnsi="Garamond"/>
          <w:sz w:val="24"/>
          <w:szCs w:val="24"/>
        </w:rPr>
        <w:t xml:space="preserve"> in equation (vi) and </w:t>
      </w:r>
      <m:oMath>
        <m:r>
          <w:rPr>
            <w:rFonts w:ascii="Cambria Math" w:hAnsi="Cambria Math"/>
            <w:sz w:val="24"/>
            <w:szCs w:val="24"/>
          </w:rPr>
          <m:t>(FP*ln</m:t>
        </m:r>
        <m:sSub>
          <m:sSubPr>
            <m:ctrlPr>
              <w:rPr>
                <w:rFonts w:ascii="Cambria Math" w:hAnsi="Cambria Math"/>
                <w:i/>
                <w:sz w:val="24"/>
                <w:szCs w:val="24"/>
              </w:rPr>
            </m:ctrlPr>
          </m:sSubPr>
          <m:e>
            <m:r>
              <w:rPr>
                <w:rFonts w:ascii="Cambria Math" w:hAnsi="Cambria Math"/>
                <w:sz w:val="24"/>
                <w:szCs w:val="24"/>
              </w:rPr>
              <m:t>MV</m:t>
            </m:r>
          </m:e>
          <m:sub>
            <m:r>
              <w:rPr>
                <w:rFonts w:ascii="Cambria Math" w:hAnsi="Cambria Math"/>
                <w:sz w:val="24"/>
                <w:szCs w:val="24"/>
              </w:rPr>
              <m:t>i,t-1</m:t>
            </m:r>
          </m:sub>
        </m:sSub>
        <m:r>
          <w:rPr>
            <w:rFonts w:ascii="Cambria Math" w:hAnsi="Cambria Math"/>
            <w:sz w:val="24"/>
            <w:szCs w:val="24"/>
          </w:rPr>
          <m:t>)</m:t>
        </m:r>
      </m:oMath>
      <w:r>
        <w:rPr>
          <w:rFonts w:ascii="Garamond" w:hAnsi="Garamond"/>
          <w:sz w:val="24"/>
          <w:szCs w:val="24"/>
        </w:rPr>
        <w:t xml:space="preserve"> in equation (vii). However, we do not use any such interaction term in our models for sectoral stocks. The vector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i,t-1</m:t>
            </m:r>
          </m:sub>
        </m:sSub>
      </m:oMath>
      <w:r>
        <w:rPr>
          <w:rFonts w:ascii="Garamond" w:hAnsi="Garamond"/>
          <w:sz w:val="24"/>
          <w:szCs w:val="24"/>
        </w:rPr>
        <w:t xml:space="preserve"> denotes lag value</w:t>
      </w:r>
      <w:r w:rsidR="00760CAE">
        <w:rPr>
          <w:rFonts w:ascii="Garamond" w:hAnsi="Garamond"/>
          <w:sz w:val="24"/>
          <w:szCs w:val="24"/>
        </w:rPr>
        <w:t>s</w:t>
      </w:r>
      <w:r>
        <w:rPr>
          <w:rFonts w:ascii="Garamond" w:hAnsi="Garamond"/>
          <w:sz w:val="24"/>
          <w:szCs w:val="24"/>
        </w:rPr>
        <w:t xml:space="preserve"> of our other control variables for stock characteristics; they are monthly returns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RET</m:t>
                </m:r>
              </m:e>
              <m:sub>
                <m:r>
                  <w:rPr>
                    <w:rFonts w:ascii="Cambria Math" w:hAnsi="Cambria Math"/>
                    <w:sz w:val="24"/>
                    <w:szCs w:val="24"/>
                  </w:rPr>
                  <m:t>i,t-1</m:t>
                </m:r>
              </m:sub>
            </m:sSub>
          </m:e>
        </m:d>
      </m:oMath>
      <w:r>
        <w:rPr>
          <w:rFonts w:ascii="Garamond" w:hAnsi="Garamond"/>
          <w:sz w:val="24"/>
          <w:szCs w:val="24"/>
        </w:rPr>
        <w:t xml:space="preserve">, monthly standard deviation of daily stock returns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STD</m:t>
                </m:r>
              </m:e>
              <m:sub>
                <m:r>
                  <w:rPr>
                    <w:rFonts w:ascii="Cambria Math" w:hAnsi="Cambria Math"/>
                    <w:sz w:val="24"/>
                    <w:szCs w:val="24"/>
                  </w:rPr>
                  <m:t>i,t-1</m:t>
                </m:r>
              </m:sub>
            </m:sSub>
          </m:e>
        </m:d>
      </m:oMath>
      <w:r>
        <w:rPr>
          <w:rFonts w:ascii="Garamond" w:hAnsi="Garamond"/>
          <w:sz w:val="24"/>
          <w:szCs w:val="24"/>
        </w:rPr>
        <w:t xml:space="preserve"> and natural logarithm of market capitalization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lnMV</m:t>
                </m:r>
              </m:e>
              <m:sub>
                <m:r>
                  <w:rPr>
                    <w:rFonts w:ascii="Cambria Math" w:hAnsi="Cambria Math"/>
                    <w:sz w:val="24"/>
                    <w:szCs w:val="24"/>
                  </w:rPr>
                  <m:t>i,t-1</m:t>
                </m:r>
              </m:sub>
            </m:sSub>
          </m:e>
        </m:d>
      </m:oMath>
      <w:r>
        <w:rPr>
          <w:rFonts w:ascii="Garamond" w:hAnsi="Garamond"/>
          <w:sz w:val="24"/>
          <w:szCs w:val="24"/>
        </w:rPr>
        <w:t xml:space="preserve">. The macroeconomic variables to capture cyclical variation, such as monthly growth rate of industrial production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IP</m:t>
                </m:r>
              </m:e>
              <m:sub>
                <m:r>
                  <w:rPr>
                    <w:rFonts w:ascii="Cambria Math" w:hAnsi="Cambria Math"/>
                    <w:sz w:val="24"/>
                    <w:szCs w:val="24"/>
                  </w:rPr>
                  <m:t>i,t-1</m:t>
                </m:r>
              </m:sub>
            </m:sSub>
          </m:e>
        </m:d>
      </m:oMath>
      <w:r>
        <w:rPr>
          <w:rFonts w:ascii="Garamond" w:hAnsi="Garamond"/>
          <w:sz w:val="24"/>
          <w:szCs w:val="24"/>
        </w:rPr>
        <w:t xml:space="preserve">, inflation rate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IR</m:t>
                </m:r>
              </m:e>
              <m:sub>
                <m:r>
                  <w:rPr>
                    <w:rFonts w:ascii="Cambria Math" w:hAnsi="Cambria Math"/>
                    <w:sz w:val="24"/>
                    <w:szCs w:val="24"/>
                  </w:rPr>
                  <m:t>i,t-1</m:t>
                </m:r>
              </m:sub>
            </m:sSub>
          </m:e>
        </m:d>
      </m:oMath>
      <w:r>
        <w:rPr>
          <w:rFonts w:ascii="Garamond" w:hAnsi="Garamond"/>
          <w:sz w:val="24"/>
          <w:szCs w:val="24"/>
        </w:rPr>
        <w:t xml:space="preserve"> and share price index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IDX</m:t>
                </m:r>
              </m:e>
              <m:sub>
                <m:r>
                  <w:rPr>
                    <w:rFonts w:ascii="Cambria Math" w:hAnsi="Cambria Math"/>
                    <w:sz w:val="24"/>
                    <w:szCs w:val="24"/>
                  </w:rPr>
                  <m:t>i,t-1</m:t>
                </m:r>
              </m:sub>
            </m:sSub>
          </m:e>
        </m:d>
      </m:oMath>
      <w:r>
        <w:rPr>
          <w:rFonts w:ascii="Garamond" w:hAnsi="Garamond"/>
          <w:sz w:val="24"/>
          <w:szCs w:val="24"/>
        </w:rPr>
        <w:t xml:space="preserve"> are represented by the vector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i,t-1</m:t>
            </m:r>
          </m:sub>
        </m:sSub>
      </m:oMath>
      <w:r>
        <w:rPr>
          <w:rFonts w:ascii="Garamond" w:hAnsi="Garamond"/>
          <w:sz w:val="24"/>
          <w:szCs w:val="24"/>
        </w:rPr>
        <w:t>. As recommended in Fernández-Amador et al. (2013), to account for time-invariant stock</w:t>
      </w:r>
      <w:r w:rsidR="00760CAE">
        <w:rPr>
          <w:rFonts w:ascii="Garamond" w:hAnsi="Garamond"/>
          <w:sz w:val="24"/>
          <w:szCs w:val="24"/>
        </w:rPr>
        <w:t>-</w:t>
      </w:r>
      <w:r>
        <w:rPr>
          <w:rFonts w:ascii="Garamond" w:hAnsi="Garamond"/>
          <w:sz w:val="24"/>
          <w:szCs w:val="24"/>
        </w:rPr>
        <w:t xml:space="preserve">specific determinants of liquidity, we use the fixed-effect (within) estimator and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oMath>
      <w:r>
        <w:rPr>
          <w:rFonts w:ascii="Garamond" w:hAnsi="Garamond"/>
          <w:sz w:val="24"/>
          <w:szCs w:val="24"/>
        </w:rPr>
        <w:t xml:space="preserve"> is the fixed-effect in this cross-section. Finally,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i,t</m:t>
            </m:r>
          </m:sub>
        </m:sSub>
      </m:oMath>
      <w:r>
        <w:rPr>
          <w:rFonts w:ascii="Garamond" w:hAnsi="Garamond"/>
          <w:sz w:val="24"/>
          <w:szCs w:val="24"/>
        </w:rPr>
        <w:t xml:space="preserve"> is the residual in our models. The number of lag order for each variable is selected based on whether any autocorrelation exist</w:t>
      </w:r>
      <w:r w:rsidR="00760CAE">
        <w:rPr>
          <w:rFonts w:ascii="Garamond" w:hAnsi="Garamond"/>
          <w:sz w:val="24"/>
          <w:szCs w:val="24"/>
        </w:rPr>
        <w:t>s</w:t>
      </w:r>
      <w:r>
        <w:rPr>
          <w:rFonts w:ascii="Garamond" w:hAnsi="Garamond"/>
          <w:sz w:val="24"/>
          <w:szCs w:val="24"/>
        </w:rPr>
        <w:t xml:space="preserve"> in </w:t>
      </w:r>
      <w:r w:rsidR="00760CAE">
        <w:rPr>
          <w:rFonts w:ascii="Garamond" w:hAnsi="Garamond"/>
          <w:sz w:val="24"/>
          <w:szCs w:val="24"/>
        </w:rPr>
        <w:t xml:space="preserve">the </w:t>
      </w:r>
      <w:r>
        <w:rPr>
          <w:rFonts w:ascii="Garamond" w:hAnsi="Garamond"/>
          <w:sz w:val="24"/>
          <w:szCs w:val="24"/>
        </w:rPr>
        <w:t xml:space="preserve">residuals. </w:t>
      </w:r>
    </w:p>
    <w:p w14:paraId="42525DED" w14:textId="77777777" w:rsidR="00BE49FD" w:rsidRPr="00F11E9B" w:rsidRDefault="00BE49FD" w:rsidP="00BE49FD">
      <w:pPr>
        <w:pStyle w:val="Heading1"/>
        <w:spacing w:after="200" w:line="360" w:lineRule="auto"/>
        <w:rPr>
          <w:rFonts w:ascii="Garamond" w:hAnsi="Garamond"/>
          <w:color w:val="auto"/>
          <w:sz w:val="24"/>
          <w:szCs w:val="24"/>
        </w:rPr>
      </w:pPr>
      <w:bookmarkStart w:id="9" w:name="_Toc399683677"/>
      <w:r>
        <w:rPr>
          <w:rFonts w:ascii="Garamond" w:hAnsi="Garamond"/>
          <w:color w:val="auto"/>
          <w:sz w:val="24"/>
          <w:szCs w:val="24"/>
        </w:rPr>
        <w:lastRenderedPageBreak/>
        <w:t>3.</w:t>
      </w:r>
      <w:r w:rsidRPr="00F11E9B">
        <w:rPr>
          <w:rFonts w:ascii="Garamond" w:hAnsi="Garamond"/>
          <w:color w:val="auto"/>
          <w:sz w:val="24"/>
          <w:szCs w:val="24"/>
        </w:rPr>
        <w:t xml:space="preserve"> Empirical results</w:t>
      </w:r>
      <w:bookmarkEnd w:id="9"/>
    </w:p>
    <w:p w14:paraId="6CEA3791" w14:textId="6DDC269A" w:rsidR="00BE49FD" w:rsidRPr="0089117B" w:rsidRDefault="00BE49FD" w:rsidP="00BE49FD">
      <w:pPr>
        <w:spacing w:line="360" w:lineRule="auto"/>
        <w:jc w:val="both"/>
        <w:rPr>
          <w:rFonts w:ascii="Garamond" w:hAnsi="Garamond"/>
          <w:sz w:val="24"/>
          <w:szCs w:val="24"/>
        </w:rPr>
      </w:pPr>
      <w:r w:rsidRPr="0089117B">
        <w:rPr>
          <w:rFonts w:ascii="Garamond" w:hAnsi="Garamond"/>
          <w:sz w:val="24"/>
          <w:szCs w:val="24"/>
        </w:rPr>
        <w:t xml:space="preserve">The empirical results on the association of market liquidity with monetary and fiscal policy </w:t>
      </w:r>
      <w:r>
        <w:rPr>
          <w:rFonts w:ascii="Garamond" w:hAnsi="Garamond"/>
          <w:sz w:val="24"/>
          <w:szCs w:val="24"/>
        </w:rPr>
        <w:t xml:space="preserve">variables </w:t>
      </w:r>
      <w:r w:rsidRPr="0089117B">
        <w:rPr>
          <w:rFonts w:ascii="Garamond" w:hAnsi="Garamond"/>
          <w:sz w:val="24"/>
          <w:szCs w:val="24"/>
        </w:rPr>
        <w:t>are rep</w:t>
      </w:r>
      <w:r>
        <w:rPr>
          <w:rFonts w:ascii="Garamond" w:hAnsi="Garamond"/>
          <w:sz w:val="24"/>
          <w:szCs w:val="24"/>
        </w:rPr>
        <w:t>orted in this section. Section 3</w:t>
      </w:r>
      <w:r w:rsidRPr="0089117B">
        <w:rPr>
          <w:rFonts w:ascii="Garamond" w:hAnsi="Garamond"/>
          <w:sz w:val="24"/>
          <w:szCs w:val="24"/>
        </w:rPr>
        <w:t xml:space="preserve">.1 presents the preliminary statistics of our cross-sectional and time series data, bivariate cross-sectional correlation among mean of time series data and panel cointegration between macroeconomic management variables and stock price. Section </w:t>
      </w:r>
      <w:r>
        <w:rPr>
          <w:rFonts w:ascii="Garamond" w:hAnsi="Garamond"/>
          <w:sz w:val="24"/>
          <w:szCs w:val="24"/>
        </w:rPr>
        <w:t>3</w:t>
      </w:r>
      <w:r w:rsidRPr="0089117B">
        <w:rPr>
          <w:rFonts w:ascii="Garamond" w:hAnsi="Garamond"/>
          <w:sz w:val="24"/>
          <w:szCs w:val="24"/>
        </w:rPr>
        <w:t xml:space="preserve">.2 discusses the influence of monetary policy, fiscal policy and </w:t>
      </w:r>
      <w:r>
        <w:rPr>
          <w:rFonts w:ascii="Garamond" w:hAnsi="Garamond"/>
          <w:sz w:val="24"/>
          <w:szCs w:val="24"/>
        </w:rPr>
        <w:t xml:space="preserve">the </w:t>
      </w:r>
      <w:r w:rsidR="00B90008">
        <w:rPr>
          <w:rFonts w:ascii="Garamond" w:hAnsi="Garamond"/>
          <w:sz w:val="24"/>
          <w:szCs w:val="24"/>
        </w:rPr>
        <w:t>2007-8</w:t>
      </w:r>
      <w:r w:rsidRPr="0089117B">
        <w:rPr>
          <w:rFonts w:ascii="Garamond" w:hAnsi="Garamond"/>
          <w:sz w:val="24"/>
          <w:szCs w:val="24"/>
        </w:rPr>
        <w:t xml:space="preserve"> financial crisis on aggregate market liquidity. Finally, firm and industry level evidence on the connection between liquidity and macroeconomic vari</w:t>
      </w:r>
      <w:r>
        <w:rPr>
          <w:rFonts w:ascii="Garamond" w:hAnsi="Garamond"/>
          <w:sz w:val="24"/>
          <w:szCs w:val="24"/>
        </w:rPr>
        <w:t xml:space="preserve">ables </w:t>
      </w:r>
      <w:r w:rsidR="008857FE">
        <w:rPr>
          <w:rFonts w:ascii="Garamond" w:hAnsi="Garamond"/>
          <w:sz w:val="24"/>
          <w:szCs w:val="24"/>
        </w:rPr>
        <w:t>is assessed</w:t>
      </w:r>
      <w:r>
        <w:rPr>
          <w:rFonts w:ascii="Garamond" w:hAnsi="Garamond"/>
          <w:sz w:val="24"/>
          <w:szCs w:val="24"/>
        </w:rPr>
        <w:t xml:space="preserve"> in section 3</w:t>
      </w:r>
      <w:r w:rsidRPr="0089117B">
        <w:rPr>
          <w:rFonts w:ascii="Garamond" w:hAnsi="Garamond"/>
          <w:sz w:val="24"/>
          <w:szCs w:val="24"/>
        </w:rPr>
        <w:t>.</w:t>
      </w:r>
      <w:r>
        <w:rPr>
          <w:rFonts w:ascii="Garamond" w:hAnsi="Garamond"/>
          <w:sz w:val="24"/>
          <w:szCs w:val="24"/>
        </w:rPr>
        <w:t>3</w:t>
      </w:r>
      <w:r w:rsidRPr="0089117B">
        <w:rPr>
          <w:rFonts w:ascii="Garamond" w:hAnsi="Garamond"/>
          <w:sz w:val="24"/>
          <w:szCs w:val="24"/>
        </w:rPr>
        <w:t>.</w:t>
      </w:r>
    </w:p>
    <w:p w14:paraId="7062BA25" w14:textId="77777777" w:rsidR="00BE49FD" w:rsidRPr="00F11E9B" w:rsidRDefault="00BE49FD" w:rsidP="00BE49FD">
      <w:pPr>
        <w:pStyle w:val="Heading2"/>
        <w:spacing w:after="200" w:line="360" w:lineRule="auto"/>
        <w:ind w:firstLine="720"/>
        <w:rPr>
          <w:rFonts w:ascii="Garamond" w:hAnsi="Garamond"/>
          <w:color w:val="auto"/>
          <w:sz w:val="24"/>
          <w:szCs w:val="24"/>
        </w:rPr>
      </w:pPr>
      <w:bookmarkStart w:id="10" w:name="_Toc399683678"/>
      <w:r>
        <w:rPr>
          <w:rFonts w:ascii="Garamond" w:hAnsi="Garamond"/>
          <w:color w:val="auto"/>
          <w:sz w:val="24"/>
          <w:szCs w:val="24"/>
        </w:rPr>
        <w:t>3</w:t>
      </w:r>
      <w:r w:rsidRPr="00F11E9B">
        <w:rPr>
          <w:rFonts w:ascii="Garamond" w:hAnsi="Garamond"/>
          <w:color w:val="auto"/>
          <w:sz w:val="24"/>
          <w:szCs w:val="24"/>
        </w:rPr>
        <w:t>.1 Preliminary statistics</w:t>
      </w:r>
      <w:bookmarkEnd w:id="10"/>
    </w:p>
    <w:p w14:paraId="168C230B" w14:textId="18D3D175" w:rsidR="00BE49FD" w:rsidRDefault="00BE49FD" w:rsidP="00BE49FD">
      <w:pPr>
        <w:spacing w:line="360" w:lineRule="auto"/>
        <w:jc w:val="both"/>
        <w:rPr>
          <w:rFonts w:ascii="Garamond" w:hAnsi="Garamond"/>
          <w:sz w:val="24"/>
          <w:szCs w:val="24"/>
        </w:rPr>
      </w:pPr>
      <w:r>
        <w:rPr>
          <w:rFonts w:ascii="Garamond" w:hAnsi="Garamond"/>
          <w:sz w:val="24"/>
          <w:szCs w:val="24"/>
        </w:rPr>
        <w:t>We present the summary statistics in Table</w:t>
      </w:r>
      <w:r w:rsidR="008857FE">
        <w:rPr>
          <w:rFonts w:ascii="Garamond" w:hAnsi="Garamond"/>
          <w:sz w:val="24"/>
          <w:szCs w:val="24"/>
        </w:rPr>
        <w:t>s</w:t>
      </w:r>
      <w:r>
        <w:rPr>
          <w:rFonts w:ascii="Garamond" w:hAnsi="Garamond"/>
          <w:sz w:val="24"/>
          <w:szCs w:val="24"/>
        </w:rPr>
        <w:t xml:space="preserve"> 1 and 2, where Table 1 shows the statistics for cross-sectional variables that we use in our panel estimations and Table 2 includes descriptive statistics related to time-series </w:t>
      </w:r>
      <w:r w:rsidR="008857FE">
        <w:rPr>
          <w:rFonts w:ascii="Garamond" w:hAnsi="Garamond"/>
          <w:sz w:val="24"/>
          <w:szCs w:val="24"/>
        </w:rPr>
        <w:t xml:space="preserve">macroeconomic </w:t>
      </w:r>
      <w:r>
        <w:rPr>
          <w:rFonts w:ascii="Garamond" w:hAnsi="Garamond"/>
          <w:sz w:val="24"/>
          <w:szCs w:val="24"/>
        </w:rPr>
        <w:t xml:space="preserve">variables. However, our particular interest is to see the bivariate correlation between VAR endogenous variables and the average monthly values of </w:t>
      </w:r>
      <w:r w:rsidR="008857FE">
        <w:rPr>
          <w:rFonts w:ascii="Garamond" w:hAnsi="Garamond"/>
          <w:sz w:val="24"/>
          <w:szCs w:val="24"/>
        </w:rPr>
        <w:t xml:space="preserve">the </w:t>
      </w:r>
      <w:r>
        <w:rPr>
          <w:rFonts w:ascii="Garamond" w:hAnsi="Garamond"/>
          <w:sz w:val="24"/>
          <w:szCs w:val="24"/>
        </w:rPr>
        <w:t>four (il)liquidity ratios. The results are given in Table 3. It is obvious that one could expect cross-sectional correlation between the trading activity measures (i.e. TR and TV) and the price impact ratios related to illiquidity (i.e. ILLIQ and TPI). Fernández-Amador et al. (2013) assert that this observation is intuitive, since higher trading activity translates into more liquid stocks, whereas higher levels of price impact or transaction costs indicate less liquid stocks. From the median values of the correlation matrix of each market, we find positive correlation respectively between trading activity and price impact ratios</w:t>
      </w:r>
      <w:r w:rsidR="008857FE">
        <w:rPr>
          <w:rFonts w:ascii="Garamond" w:hAnsi="Garamond"/>
          <w:sz w:val="24"/>
          <w:szCs w:val="24"/>
        </w:rPr>
        <w:t>,</w:t>
      </w:r>
      <w:r>
        <w:rPr>
          <w:rFonts w:ascii="Garamond" w:hAnsi="Garamond"/>
          <w:sz w:val="24"/>
          <w:szCs w:val="24"/>
        </w:rPr>
        <w:t xml:space="preserve"> and yet their cross-sectional relationships are found to be negative as expected. For example, among these four (il)liquidity measures, the highest negative correlation is reported between trading volume (TV) and Amihud’s illiquidity ratio, which is -0.112. Similarly, the highest positive correlation is identified between Amihud’s (2002) illiquidity ratio (i.e. ILLIQ) with the turnover price impact (0.117). These results are also statistically significant at the 1 percent level.</w:t>
      </w:r>
    </w:p>
    <w:p w14:paraId="19290B61" w14:textId="2EA035A1" w:rsidR="00BE49FD" w:rsidRPr="00DB1454" w:rsidRDefault="00BE49FD" w:rsidP="00BE49FD">
      <w:pPr>
        <w:spacing w:line="360" w:lineRule="auto"/>
        <w:jc w:val="both"/>
        <w:rPr>
          <w:rFonts w:ascii="Garamond" w:hAnsi="Garamond"/>
          <w:sz w:val="24"/>
          <w:szCs w:val="24"/>
        </w:rPr>
      </w:pPr>
      <w:r>
        <w:rPr>
          <w:rFonts w:ascii="Garamond" w:hAnsi="Garamond"/>
          <w:sz w:val="24"/>
          <w:szCs w:val="24"/>
        </w:rPr>
        <w:t xml:space="preserve">Other than the bidirectional correlation between liquidity measures, Table 3 also reports their relations with return (RET), volatility (STD) and market capitalization (lnMV). The positive (negative) correlation between the market value of firms and liquidity (illiquidity) suggests that stocks of larger firms tend to be more liquid as suggested in Fernández-Amador et al. (2013). Further from the median values in Table 3, we find that TR (0.13) and TV (0.04) are positively related to lnMV but there is a negative association with ILLIQ (-05) and TPI (-0.05). </w:t>
      </w:r>
    </w:p>
    <w:p w14:paraId="00A822AD" w14:textId="77777777" w:rsidR="00E500C6" w:rsidRDefault="00E500C6">
      <w:pPr>
        <w:rPr>
          <w:rFonts w:ascii="Garamond" w:hAnsi="Garamond"/>
          <w:b/>
          <w:sz w:val="24"/>
          <w:szCs w:val="24"/>
        </w:rPr>
      </w:pPr>
      <w:r>
        <w:rPr>
          <w:rFonts w:ascii="Garamond" w:hAnsi="Garamond"/>
          <w:b/>
          <w:sz w:val="24"/>
          <w:szCs w:val="24"/>
        </w:rPr>
        <w:br w:type="page"/>
      </w:r>
    </w:p>
    <w:p w14:paraId="56A64C6C" w14:textId="1FAE66BD" w:rsidR="00BE49FD" w:rsidRDefault="00BE49FD" w:rsidP="00BE49FD">
      <w:pPr>
        <w:spacing w:line="360" w:lineRule="auto"/>
        <w:jc w:val="center"/>
        <w:rPr>
          <w:rFonts w:ascii="Garamond" w:hAnsi="Garamond"/>
          <w:b/>
          <w:sz w:val="24"/>
          <w:szCs w:val="24"/>
        </w:rPr>
      </w:pPr>
      <w:r>
        <w:rPr>
          <w:rFonts w:ascii="Garamond" w:hAnsi="Garamond"/>
          <w:b/>
          <w:sz w:val="24"/>
          <w:szCs w:val="24"/>
        </w:rPr>
        <w:lastRenderedPageBreak/>
        <w:t>Table 1: Descriptive statistics for cross-sectional variables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6"/>
        <w:gridCol w:w="1385"/>
        <w:gridCol w:w="1434"/>
        <w:gridCol w:w="1368"/>
        <w:gridCol w:w="1375"/>
        <w:gridCol w:w="1293"/>
        <w:gridCol w:w="1541"/>
      </w:tblGrid>
      <w:tr w:rsidR="00BE49FD" w:rsidRPr="008A703F" w14:paraId="553BB3A4" w14:textId="77777777" w:rsidTr="00B90008">
        <w:trPr>
          <w:trHeight w:val="495"/>
          <w:jc w:val="center"/>
        </w:trPr>
        <w:tc>
          <w:tcPr>
            <w:tcW w:w="0" w:type="auto"/>
            <w:tcBorders>
              <w:top w:val="single" w:sz="4" w:space="0" w:color="auto"/>
              <w:bottom w:val="single" w:sz="4" w:space="0" w:color="auto"/>
            </w:tcBorders>
            <w:shd w:val="clear" w:color="auto" w:fill="auto"/>
            <w:vAlign w:val="center"/>
          </w:tcPr>
          <w:p w14:paraId="44CEB050"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 </w:t>
            </w:r>
          </w:p>
        </w:tc>
        <w:tc>
          <w:tcPr>
            <w:tcW w:w="0" w:type="auto"/>
            <w:tcBorders>
              <w:top w:val="single" w:sz="4" w:space="0" w:color="auto"/>
              <w:bottom w:val="single" w:sz="4" w:space="0" w:color="auto"/>
            </w:tcBorders>
            <w:shd w:val="clear" w:color="auto" w:fill="auto"/>
            <w:vAlign w:val="center"/>
          </w:tcPr>
          <w:p w14:paraId="484EC82D"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Mean of monthly mean</w:t>
            </w:r>
          </w:p>
        </w:tc>
        <w:tc>
          <w:tcPr>
            <w:tcW w:w="0" w:type="auto"/>
            <w:tcBorders>
              <w:top w:val="single" w:sz="4" w:space="0" w:color="auto"/>
              <w:bottom w:val="single" w:sz="4" w:space="0" w:color="auto"/>
            </w:tcBorders>
            <w:shd w:val="clear" w:color="auto" w:fill="auto"/>
            <w:vAlign w:val="center"/>
          </w:tcPr>
          <w:p w14:paraId="11623B65"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Median of monthly mean</w:t>
            </w:r>
          </w:p>
        </w:tc>
        <w:tc>
          <w:tcPr>
            <w:tcW w:w="0" w:type="auto"/>
            <w:tcBorders>
              <w:top w:val="single" w:sz="4" w:space="0" w:color="auto"/>
              <w:bottom w:val="single" w:sz="4" w:space="0" w:color="auto"/>
            </w:tcBorders>
            <w:shd w:val="clear" w:color="auto" w:fill="auto"/>
            <w:vAlign w:val="center"/>
          </w:tcPr>
          <w:p w14:paraId="008D4B64"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Max. of monthly mean</w:t>
            </w:r>
          </w:p>
        </w:tc>
        <w:tc>
          <w:tcPr>
            <w:tcW w:w="0" w:type="auto"/>
            <w:tcBorders>
              <w:top w:val="single" w:sz="4" w:space="0" w:color="auto"/>
              <w:bottom w:val="single" w:sz="4" w:space="0" w:color="auto"/>
            </w:tcBorders>
            <w:shd w:val="clear" w:color="auto" w:fill="auto"/>
            <w:vAlign w:val="center"/>
          </w:tcPr>
          <w:p w14:paraId="4791E98F"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Mini. of monthly mean</w:t>
            </w:r>
          </w:p>
        </w:tc>
        <w:tc>
          <w:tcPr>
            <w:tcW w:w="0" w:type="auto"/>
            <w:tcBorders>
              <w:top w:val="single" w:sz="4" w:space="0" w:color="auto"/>
              <w:bottom w:val="single" w:sz="4" w:space="0" w:color="auto"/>
            </w:tcBorders>
            <w:shd w:val="clear" w:color="auto" w:fill="auto"/>
            <w:vAlign w:val="center"/>
          </w:tcPr>
          <w:p w14:paraId="43B9EF90"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Mean of monthly  σ</w:t>
            </w:r>
          </w:p>
        </w:tc>
        <w:tc>
          <w:tcPr>
            <w:tcW w:w="0" w:type="auto"/>
            <w:tcBorders>
              <w:top w:val="single" w:sz="4" w:space="0" w:color="auto"/>
              <w:bottom w:val="single" w:sz="4" w:space="0" w:color="auto"/>
            </w:tcBorders>
            <w:shd w:val="clear" w:color="auto" w:fill="auto"/>
            <w:vAlign w:val="center"/>
          </w:tcPr>
          <w:p w14:paraId="4F2839BC"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Mean of monthly skewness</w:t>
            </w:r>
          </w:p>
        </w:tc>
      </w:tr>
      <w:tr w:rsidR="00BE49FD" w:rsidRPr="008A703F" w14:paraId="7EC87C8E" w14:textId="77777777" w:rsidTr="00B90008">
        <w:trPr>
          <w:trHeight w:val="157"/>
          <w:jc w:val="center"/>
        </w:trPr>
        <w:tc>
          <w:tcPr>
            <w:tcW w:w="0" w:type="auto"/>
            <w:tcBorders>
              <w:top w:val="single" w:sz="4" w:space="0" w:color="auto"/>
              <w:left w:val="single" w:sz="4" w:space="0" w:color="auto"/>
              <w:bottom w:val="nil"/>
              <w:right w:val="nil"/>
            </w:tcBorders>
            <w:shd w:val="clear" w:color="auto" w:fill="auto"/>
            <w:vAlign w:val="center"/>
          </w:tcPr>
          <w:p w14:paraId="6E678C51"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TR</w:t>
            </w:r>
          </w:p>
        </w:tc>
        <w:tc>
          <w:tcPr>
            <w:tcW w:w="0" w:type="auto"/>
            <w:tcBorders>
              <w:top w:val="single" w:sz="4" w:space="0" w:color="auto"/>
              <w:left w:val="nil"/>
              <w:bottom w:val="nil"/>
              <w:right w:val="nil"/>
            </w:tcBorders>
            <w:shd w:val="clear" w:color="auto" w:fill="auto"/>
            <w:vAlign w:val="bottom"/>
          </w:tcPr>
          <w:p w14:paraId="157EF54A" w14:textId="5D833C97" w:rsidR="00BE49FD" w:rsidRPr="008A703F" w:rsidRDefault="00BE49FD" w:rsidP="000A26A4">
            <w:pPr>
              <w:spacing w:line="240" w:lineRule="auto"/>
              <w:contextualSpacing/>
              <w:rPr>
                <w:rFonts w:ascii="Garamond" w:hAnsi="Garamond"/>
                <w:sz w:val="24"/>
                <w:szCs w:val="24"/>
              </w:rPr>
            </w:pPr>
            <w:r w:rsidRPr="008A703F">
              <w:rPr>
                <w:rFonts w:ascii="Garamond" w:hAnsi="Garamond"/>
                <w:sz w:val="24"/>
                <w:szCs w:val="24"/>
              </w:rPr>
              <w:t>2.3259</w:t>
            </w:r>
          </w:p>
        </w:tc>
        <w:tc>
          <w:tcPr>
            <w:tcW w:w="0" w:type="auto"/>
            <w:tcBorders>
              <w:top w:val="single" w:sz="4" w:space="0" w:color="auto"/>
              <w:left w:val="nil"/>
              <w:bottom w:val="nil"/>
              <w:right w:val="nil"/>
            </w:tcBorders>
            <w:shd w:val="clear" w:color="auto" w:fill="auto"/>
            <w:vAlign w:val="bottom"/>
          </w:tcPr>
          <w:p w14:paraId="4294E715" w14:textId="2F21D612"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2.1497</w:t>
            </w:r>
          </w:p>
        </w:tc>
        <w:tc>
          <w:tcPr>
            <w:tcW w:w="0" w:type="auto"/>
            <w:tcBorders>
              <w:top w:val="single" w:sz="4" w:space="0" w:color="auto"/>
              <w:left w:val="nil"/>
              <w:bottom w:val="nil"/>
              <w:right w:val="nil"/>
            </w:tcBorders>
            <w:shd w:val="clear" w:color="auto" w:fill="auto"/>
            <w:vAlign w:val="bottom"/>
          </w:tcPr>
          <w:p w14:paraId="6571EA3E" w14:textId="14935D54"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5.1484</w:t>
            </w:r>
          </w:p>
        </w:tc>
        <w:tc>
          <w:tcPr>
            <w:tcW w:w="0" w:type="auto"/>
            <w:tcBorders>
              <w:top w:val="single" w:sz="4" w:space="0" w:color="auto"/>
              <w:left w:val="nil"/>
              <w:bottom w:val="nil"/>
              <w:right w:val="nil"/>
            </w:tcBorders>
            <w:shd w:val="clear" w:color="auto" w:fill="auto"/>
            <w:vAlign w:val="bottom"/>
          </w:tcPr>
          <w:p w14:paraId="5E342FA7" w14:textId="7DC15152"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1.1914</w:t>
            </w:r>
          </w:p>
        </w:tc>
        <w:tc>
          <w:tcPr>
            <w:tcW w:w="0" w:type="auto"/>
            <w:tcBorders>
              <w:top w:val="single" w:sz="4" w:space="0" w:color="auto"/>
              <w:left w:val="nil"/>
              <w:bottom w:val="nil"/>
              <w:right w:val="nil"/>
            </w:tcBorders>
            <w:shd w:val="clear" w:color="auto" w:fill="auto"/>
            <w:vAlign w:val="bottom"/>
          </w:tcPr>
          <w:p w14:paraId="1314FF6C" w14:textId="55ADC9AA"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0.7966</w:t>
            </w:r>
          </w:p>
        </w:tc>
        <w:tc>
          <w:tcPr>
            <w:tcW w:w="0" w:type="auto"/>
            <w:tcBorders>
              <w:top w:val="single" w:sz="4" w:space="0" w:color="auto"/>
              <w:left w:val="nil"/>
              <w:bottom w:val="nil"/>
              <w:right w:val="single" w:sz="4" w:space="0" w:color="auto"/>
            </w:tcBorders>
            <w:shd w:val="clear" w:color="auto" w:fill="auto"/>
            <w:vAlign w:val="bottom"/>
          </w:tcPr>
          <w:p w14:paraId="27979F56" w14:textId="6D78F34B"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1.8144</w:t>
            </w:r>
          </w:p>
        </w:tc>
      </w:tr>
      <w:tr w:rsidR="00BE49FD" w:rsidRPr="008A703F" w14:paraId="32EEDC32" w14:textId="77777777" w:rsidTr="00B90008">
        <w:trPr>
          <w:trHeight w:val="392"/>
          <w:jc w:val="center"/>
        </w:trPr>
        <w:tc>
          <w:tcPr>
            <w:tcW w:w="0" w:type="auto"/>
            <w:tcBorders>
              <w:top w:val="nil"/>
              <w:left w:val="single" w:sz="4" w:space="0" w:color="auto"/>
              <w:bottom w:val="nil"/>
              <w:right w:val="nil"/>
            </w:tcBorders>
            <w:shd w:val="clear" w:color="auto" w:fill="auto"/>
            <w:vAlign w:val="center"/>
          </w:tcPr>
          <w:p w14:paraId="6C5F5D60"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TV</w:t>
            </w:r>
          </w:p>
        </w:tc>
        <w:tc>
          <w:tcPr>
            <w:tcW w:w="0" w:type="auto"/>
            <w:tcBorders>
              <w:top w:val="nil"/>
              <w:left w:val="nil"/>
              <w:bottom w:val="nil"/>
              <w:right w:val="nil"/>
            </w:tcBorders>
            <w:shd w:val="clear" w:color="auto" w:fill="auto"/>
            <w:vAlign w:val="bottom"/>
          </w:tcPr>
          <w:p w14:paraId="218E2D94" w14:textId="0EB842CD" w:rsidR="00BE49FD" w:rsidRPr="008A703F" w:rsidRDefault="00BE49FD" w:rsidP="000A26A4">
            <w:pPr>
              <w:spacing w:line="240" w:lineRule="auto"/>
              <w:contextualSpacing/>
              <w:rPr>
                <w:rFonts w:ascii="Garamond" w:hAnsi="Garamond"/>
                <w:sz w:val="24"/>
                <w:szCs w:val="24"/>
              </w:rPr>
            </w:pPr>
            <w:r w:rsidRPr="008A703F">
              <w:rPr>
                <w:rFonts w:ascii="Garamond" w:hAnsi="Garamond"/>
                <w:sz w:val="24"/>
                <w:szCs w:val="24"/>
              </w:rPr>
              <w:t>12.6894</w:t>
            </w:r>
          </w:p>
        </w:tc>
        <w:tc>
          <w:tcPr>
            <w:tcW w:w="0" w:type="auto"/>
            <w:tcBorders>
              <w:top w:val="nil"/>
              <w:left w:val="nil"/>
              <w:bottom w:val="nil"/>
              <w:right w:val="nil"/>
            </w:tcBorders>
            <w:shd w:val="clear" w:color="auto" w:fill="auto"/>
            <w:vAlign w:val="bottom"/>
          </w:tcPr>
          <w:p w14:paraId="66774A6D" w14:textId="4A7263D1"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12.9613</w:t>
            </w:r>
          </w:p>
        </w:tc>
        <w:tc>
          <w:tcPr>
            <w:tcW w:w="0" w:type="auto"/>
            <w:tcBorders>
              <w:top w:val="nil"/>
              <w:left w:val="nil"/>
              <w:bottom w:val="nil"/>
              <w:right w:val="nil"/>
            </w:tcBorders>
            <w:shd w:val="clear" w:color="auto" w:fill="auto"/>
            <w:vAlign w:val="bottom"/>
          </w:tcPr>
          <w:p w14:paraId="096F1244" w14:textId="747026D8"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15.1625</w:t>
            </w:r>
          </w:p>
        </w:tc>
        <w:tc>
          <w:tcPr>
            <w:tcW w:w="0" w:type="auto"/>
            <w:tcBorders>
              <w:top w:val="nil"/>
              <w:left w:val="nil"/>
              <w:bottom w:val="nil"/>
              <w:right w:val="nil"/>
            </w:tcBorders>
            <w:shd w:val="clear" w:color="auto" w:fill="auto"/>
            <w:vAlign w:val="bottom"/>
          </w:tcPr>
          <w:p w14:paraId="051C65F1" w14:textId="1A71B8AE"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8.7732</w:t>
            </w:r>
          </w:p>
        </w:tc>
        <w:tc>
          <w:tcPr>
            <w:tcW w:w="0" w:type="auto"/>
            <w:tcBorders>
              <w:top w:val="nil"/>
              <w:left w:val="nil"/>
              <w:bottom w:val="nil"/>
              <w:right w:val="nil"/>
            </w:tcBorders>
            <w:shd w:val="clear" w:color="auto" w:fill="auto"/>
            <w:vAlign w:val="bottom"/>
          </w:tcPr>
          <w:p w14:paraId="2D7F7A9C" w14:textId="73A0EFFD"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1.6242</w:t>
            </w:r>
          </w:p>
        </w:tc>
        <w:tc>
          <w:tcPr>
            <w:tcW w:w="0" w:type="auto"/>
            <w:tcBorders>
              <w:top w:val="nil"/>
              <w:left w:val="nil"/>
              <w:bottom w:val="nil"/>
              <w:right w:val="single" w:sz="4" w:space="0" w:color="auto"/>
            </w:tcBorders>
            <w:shd w:val="clear" w:color="auto" w:fill="auto"/>
            <w:vAlign w:val="bottom"/>
          </w:tcPr>
          <w:p w14:paraId="0E8F8505" w14:textId="541A6E7E"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-0.8117</w:t>
            </w:r>
          </w:p>
        </w:tc>
      </w:tr>
      <w:tr w:rsidR="00BE49FD" w:rsidRPr="008A703F" w14:paraId="2149B079" w14:textId="77777777" w:rsidTr="00B90008">
        <w:trPr>
          <w:trHeight w:val="315"/>
          <w:jc w:val="center"/>
        </w:trPr>
        <w:tc>
          <w:tcPr>
            <w:tcW w:w="0" w:type="auto"/>
            <w:tcBorders>
              <w:top w:val="nil"/>
              <w:left w:val="single" w:sz="4" w:space="0" w:color="auto"/>
              <w:bottom w:val="nil"/>
              <w:right w:val="nil"/>
            </w:tcBorders>
            <w:shd w:val="clear" w:color="auto" w:fill="auto"/>
            <w:vAlign w:val="center"/>
          </w:tcPr>
          <w:p w14:paraId="108239AB"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ILLIQ</w:t>
            </w:r>
          </w:p>
        </w:tc>
        <w:tc>
          <w:tcPr>
            <w:tcW w:w="0" w:type="auto"/>
            <w:tcBorders>
              <w:top w:val="nil"/>
              <w:left w:val="nil"/>
              <w:bottom w:val="nil"/>
              <w:right w:val="nil"/>
            </w:tcBorders>
            <w:shd w:val="clear" w:color="auto" w:fill="auto"/>
            <w:vAlign w:val="bottom"/>
          </w:tcPr>
          <w:p w14:paraId="6EEAFDE1" w14:textId="4FCBE4D4" w:rsidR="00BE49FD" w:rsidRPr="008A703F" w:rsidRDefault="000A26A4" w:rsidP="000A26A4">
            <w:pPr>
              <w:spacing w:line="240" w:lineRule="auto"/>
              <w:contextualSpacing/>
              <w:rPr>
                <w:rFonts w:ascii="Garamond" w:hAnsi="Garamond"/>
                <w:sz w:val="24"/>
                <w:szCs w:val="24"/>
              </w:rPr>
            </w:pPr>
            <w:r>
              <w:rPr>
                <w:rFonts w:ascii="Garamond" w:hAnsi="Garamond"/>
                <w:sz w:val="24"/>
                <w:szCs w:val="24"/>
              </w:rPr>
              <w:t>0.0014</w:t>
            </w:r>
          </w:p>
        </w:tc>
        <w:tc>
          <w:tcPr>
            <w:tcW w:w="0" w:type="auto"/>
            <w:tcBorders>
              <w:top w:val="nil"/>
              <w:left w:val="nil"/>
              <w:bottom w:val="nil"/>
              <w:right w:val="nil"/>
            </w:tcBorders>
            <w:shd w:val="clear" w:color="auto" w:fill="auto"/>
            <w:vAlign w:val="bottom"/>
          </w:tcPr>
          <w:p w14:paraId="481A99BF" w14:textId="4ADDBDA0"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0.0005</w:t>
            </w:r>
          </w:p>
        </w:tc>
        <w:tc>
          <w:tcPr>
            <w:tcW w:w="0" w:type="auto"/>
            <w:tcBorders>
              <w:top w:val="nil"/>
              <w:left w:val="nil"/>
              <w:bottom w:val="nil"/>
              <w:right w:val="nil"/>
            </w:tcBorders>
            <w:shd w:val="clear" w:color="auto" w:fill="auto"/>
            <w:vAlign w:val="bottom"/>
          </w:tcPr>
          <w:p w14:paraId="3F891BB7" w14:textId="40FD5CBD"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0.0351</w:t>
            </w:r>
          </w:p>
        </w:tc>
        <w:tc>
          <w:tcPr>
            <w:tcW w:w="0" w:type="auto"/>
            <w:tcBorders>
              <w:top w:val="nil"/>
              <w:left w:val="nil"/>
              <w:bottom w:val="nil"/>
              <w:right w:val="nil"/>
            </w:tcBorders>
            <w:shd w:val="clear" w:color="auto" w:fill="auto"/>
            <w:vAlign w:val="bottom"/>
          </w:tcPr>
          <w:p w14:paraId="09F90178"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3.09E-05</w:t>
            </w:r>
          </w:p>
        </w:tc>
        <w:tc>
          <w:tcPr>
            <w:tcW w:w="0" w:type="auto"/>
            <w:tcBorders>
              <w:top w:val="nil"/>
              <w:left w:val="nil"/>
              <w:bottom w:val="nil"/>
              <w:right w:val="nil"/>
            </w:tcBorders>
            <w:shd w:val="clear" w:color="auto" w:fill="auto"/>
            <w:vAlign w:val="bottom"/>
          </w:tcPr>
          <w:p w14:paraId="30B9FEBC" w14:textId="71BF8575"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0.0036</w:t>
            </w:r>
          </w:p>
        </w:tc>
        <w:tc>
          <w:tcPr>
            <w:tcW w:w="0" w:type="auto"/>
            <w:tcBorders>
              <w:top w:val="nil"/>
              <w:left w:val="nil"/>
              <w:bottom w:val="nil"/>
              <w:right w:val="single" w:sz="4" w:space="0" w:color="auto"/>
            </w:tcBorders>
            <w:shd w:val="clear" w:color="auto" w:fill="auto"/>
            <w:vAlign w:val="bottom"/>
          </w:tcPr>
          <w:p w14:paraId="6A6E373B" w14:textId="4CAAFFF2"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6.1442</w:t>
            </w:r>
          </w:p>
        </w:tc>
      </w:tr>
      <w:tr w:rsidR="00BE49FD" w:rsidRPr="008A703F" w14:paraId="39665113" w14:textId="77777777" w:rsidTr="00B90008">
        <w:trPr>
          <w:trHeight w:val="315"/>
          <w:jc w:val="center"/>
        </w:trPr>
        <w:tc>
          <w:tcPr>
            <w:tcW w:w="0" w:type="auto"/>
            <w:tcBorders>
              <w:top w:val="nil"/>
              <w:left w:val="single" w:sz="4" w:space="0" w:color="auto"/>
              <w:bottom w:val="nil"/>
              <w:right w:val="nil"/>
            </w:tcBorders>
            <w:shd w:val="clear" w:color="auto" w:fill="auto"/>
            <w:vAlign w:val="center"/>
          </w:tcPr>
          <w:p w14:paraId="2303C3DD"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TPI</w:t>
            </w:r>
          </w:p>
        </w:tc>
        <w:tc>
          <w:tcPr>
            <w:tcW w:w="0" w:type="auto"/>
            <w:tcBorders>
              <w:top w:val="nil"/>
              <w:left w:val="nil"/>
              <w:bottom w:val="nil"/>
              <w:right w:val="nil"/>
            </w:tcBorders>
            <w:shd w:val="clear" w:color="auto" w:fill="auto"/>
            <w:vAlign w:val="bottom"/>
          </w:tcPr>
          <w:p w14:paraId="627DA7B6" w14:textId="5A98BCE2" w:rsidR="00BE49FD" w:rsidRPr="008A703F" w:rsidRDefault="000A26A4" w:rsidP="000A26A4">
            <w:pPr>
              <w:spacing w:line="240" w:lineRule="auto"/>
              <w:contextualSpacing/>
              <w:rPr>
                <w:rFonts w:ascii="Garamond" w:hAnsi="Garamond"/>
                <w:sz w:val="24"/>
                <w:szCs w:val="24"/>
              </w:rPr>
            </w:pPr>
            <w:r>
              <w:rPr>
                <w:rFonts w:ascii="Garamond" w:hAnsi="Garamond"/>
                <w:sz w:val="24"/>
                <w:szCs w:val="24"/>
              </w:rPr>
              <w:t>5.4719</w:t>
            </w:r>
          </w:p>
        </w:tc>
        <w:tc>
          <w:tcPr>
            <w:tcW w:w="0" w:type="auto"/>
            <w:tcBorders>
              <w:top w:val="nil"/>
              <w:left w:val="nil"/>
              <w:bottom w:val="nil"/>
              <w:right w:val="nil"/>
            </w:tcBorders>
            <w:shd w:val="clear" w:color="auto" w:fill="auto"/>
            <w:vAlign w:val="bottom"/>
          </w:tcPr>
          <w:p w14:paraId="0997D453" w14:textId="44FF9036"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1.1498</w:t>
            </w:r>
          </w:p>
        </w:tc>
        <w:tc>
          <w:tcPr>
            <w:tcW w:w="0" w:type="auto"/>
            <w:tcBorders>
              <w:top w:val="nil"/>
              <w:left w:val="nil"/>
              <w:bottom w:val="nil"/>
              <w:right w:val="nil"/>
            </w:tcBorders>
            <w:shd w:val="clear" w:color="auto" w:fill="auto"/>
            <w:vAlign w:val="bottom"/>
          </w:tcPr>
          <w:p w14:paraId="20B93A83" w14:textId="259E61C6"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12.7002</w:t>
            </w:r>
          </w:p>
        </w:tc>
        <w:tc>
          <w:tcPr>
            <w:tcW w:w="0" w:type="auto"/>
            <w:tcBorders>
              <w:top w:val="nil"/>
              <w:left w:val="nil"/>
              <w:bottom w:val="nil"/>
              <w:right w:val="nil"/>
            </w:tcBorders>
            <w:shd w:val="clear" w:color="auto" w:fill="auto"/>
            <w:vAlign w:val="bottom"/>
          </w:tcPr>
          <w:p w14:paraId="7D067C91" w14:textId="3C68F917"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0.0424</w:t>
            </w:r>
          </w:p>
        </w:tc>
        <w:tc>
          <w:tcPr>
            <w:tcW w:w="0" w:type="auto"/>
            <w:tcBorders>
              <w:top w:val="nil"/>
              <w:left w:val="nil"/>
              <w:bottom w:val="nil"/>
              <w:right w:val="nil"/>
            </w:tcBorders>
            <w:shd w:val="clear" w:color="auto" w:fill="auto"/>
            <w:vAlign w:val="bottom"/>
          </w:tcPr>
          <w:p w14:paraId="7CE5C3BA" w14:textId="247C2F88"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9.3148</w:t>
            </w:r>
          </w:p>
        </w:tc>
        <w:tc>
          <w:tcPr>
            <w:tcW w:w="0" w:type="auto"/>
            <w:tcBorders>
              <w:top w:val="nil"/>
              <w:left w:val="nil"/>
              <w:bottom w:val="nil"/>
              <w:right w:val="single" w:sz="4" w:space="0" w:color="auto"/>
            </w:tcBorders>
            <w:shd w:val="clear" w:color="auto" w:fill="auto"/>
            <w:vAlign w:val="bottom"/>
          </w:tcPr>
          <w:p w14:paraId="1592BCEB" w14:textId="75A6D6DF"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6.1994</w:t>
            </w:r>
          </w:p>
        </w:tc>
      </w:tr>
      <w:tr w:rsidR="00BE49FD" w:rsidRPr="008A703F" w14:paraId="6D106801" w14:textId="77777777" w:rsidTr="00B90008">
        <w:trPr>
          <w:trHeight w:val="315"/>
          <w:jc w:val="center"/>
        </w:trPr>
        <w:tc>
          <w:tcPr>
            <w:tcW w:w="0" w:type="auto"/>
            <w:tcBorders>
              <w:top w:val="nil"/>
              <w:left w:val="single" w:sz="4" w:space="0" w:color="auto"/>
              <w:bottom w:val="nil"/>
              <w:right w:val="nil"/>
            </w:tcBorders>
            <w:shd w:val="clear" w:color="auto" w:fill="auto"/>
            <w:vAlign w:val="center"/>
          </w:tcPr>
          <w:p w14:paraId="2541073E"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RET</w:t>
            </w:r>
          </w:p>
        </w:tc>
        <w:tc>
          <w:tcPr>
            <w:tcW w:w="0" w:type="auto"/>
            <w:tcBorders>
              <w:top w:val="nil"/>
              <w:left w:val="nil"/>
              <w:bottom w:val="nil"/>
              <w:right w:val="nil"/>
            </w:tcBorders>
            <w:shd w:val="clear" w:color="auto" w:fill="auto"/>
            <w:vAlign w:val="bottom"/>
          </w:tcPr>
          <w:p w14:paraId="4ABF97FC" w14:textId="0FFA92A0"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0.0071</w:t>
            </w:r>
          </w:p>
        </w:tc>
        <w:tc>
          <w:tcPr>
            <w:tcW w:w="0" w:type="auto"/>
            <w:tcBorders>
              <w:top w:val="nil"/>
              <w:left w:val="nil"/>
              <w:bottom w:val="nil"/>
              <w:right w:val="nil"/>
            </w:tcBorders>
            <w:shd w:val="clear" w:color="auto" w:fill="auto"/>
            <w:vAlign w:val="bottom"/>
          </w:tcPr>
          <w:p w14:paraId="33367CCF" w14:textId="54BA96BB"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0.0078</w:t>
            </w:r>
          </w:p>
        </w:tc>
        <w:tc>
          <w:tcPr>
            <w:tcW w:w="0" w:type="auto"/>
            <w:tcBorders>
              <w:top w:val="nil"/>
              <w:left w:val="nil"/>
              <w:bottom w:val="nil"/>
              <w:right w:val="nil"/>
            </w:tcBorders>
            <w:shd w:val="clear" w:color="auto" w:fill="auto"/>
            <w:vAlign w:val="bottom"/>
          </w:tcPr>
          <w:p w14:paraId="4C5ED802" w14:textId="51B9C59D"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0.2133</w:t>
            </w:r>
          </w:p>
        </w:tc>
        <w:tc>
          <w:tcPr>
            <w:tcW w:w="0" w:type="auto"/>
            <w:tcBorders>
              <w:top w:val="nil"/>
              <w:left w:val="nil"/>
              <w:bottom w:val="nil"/>
              <w:right w:val="nil"/>
            </w:tcBorders>
            <w:shd w:val="clear" w:color="auto" w:fill="auto"/>
            <w:vAlign w:val="bottom"/>
          </w:tcPr>
          <w:p w14:paraId="6D919127" w14:textId="2228B343"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-0.2100</w:t>
            </w:r>
          </w:p>
        </w:tc>
        <w:tc>
          <w:tcPr>
            <w:tcW w:w="0" w:type="auto"/>
            <w:tcBorders>
              <w:top w:val="nil"/>
              <w:left w:val="nil"/>
              <w:bottom w:val="nil"/>
              <w:right w:val="nil"/>
            </w:tcBorders>
            <w:shd w:val="clear" w:color="auto" w:fill="auto"/>
            <w:vAlign w:val="bottom"/>
          </w:tcPr>
          <w:p w14:paraId="047A6980" w14:textId="4B383DFD"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0.0602</w:t>
            </w:r>
          </w:p>
        </w:tc>
        <w:tc>
          <w:tcPr>
            <w:tcW w:w="0" w:type="auto"/>
            <w:tcBorders>
              <w:top w:val="nil"/>
              <w:left w:val="nil"/>
              <w:bottom w:val="nil"/>
              <w:right w:val="single" w:sz="4" w:space="0" w:color="auto"/>
            </w:tcBorders>
            <w:shd w:val="clear" w:color="auto" w:fill="auto"/>
            <w:vAlign w:val="bottom"/>
          </w:tcPr>
          <w:p w14:paraId="672E0F5E" w14:textId="20B7FD8D"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-0.2964</w:t>
            </w:r>
          </w:p>
        </w:tc>
      </w:tr>
      <w:tr w:rsidR="00BE49FD" w:rsidRPr="008A703F" w14:paraId="44AADA72" w14:textId="77777777" w:rsidTr="00B90008">
        <w:trPr>
          <w:trHeight w:val="315"/>
          <w:jc w:val="center"/>
        </w:trPr>
        <w:tc>
          <w:tcPr>
            <w:tcW w:w="0" w:type="auto"/>
            <w:tcBorders>
              <w:top w:val="nil"/>
              <w:left w:val="single" w:sz="4" w:space="0" w:color="auto"/>
              <w:bottom w:val="nil"/>
              <w:right w:val="nil"/>
            </w:tcBorders>
            <w:shd w:val="clear" w:color="auto" w:fill="auto"/>
            <w:vAlign w:val="center"/>
          </w:tcPr>
          <w:p w14:paraId="2972ECEB"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STD</w:t>
            </w:r>
          </w:p>
        </w:tc>
        <w:tc>
          <w:tcPr>
            <w:tcW w:w="0" w:type="auto"/>
            <w:tcBorders>
              <w:top w:val="nil"/>
              <w:left w:val="nil"/>
              <w:bottom w:val="nil"/>
              <w:right w:val="nil"/>
            </w:tcBorders>
            <w:shd w:val="clear" w:color="auto" w:fill="auto"/>
            <w:vAlign w:val="bottom"/>
          </w:tcPr>
          <w:p w14:paraId="38F7C545" w14:textId="55346752"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0.0884</w:t>
            </w:r>
          </w:p>
        </w:tc>
        <w:tc>
          <w:tcPr>
            <w:tcW w:w="0" w:type="auto"/>
            <w:tcBorders>
              <w:top w:val="nil"/>
              <w:left w:val="nil"/>
              <w:bottom w:val="nil"/>
              <w:right w:val="nil"/>
            </w:tcBorders>
            <w:shd w:val="clear" w:color="auto" w:fill="auto"/>
            <w:vAlign w:val="bottom"/>
          </w:tcPr>
          <w:p w14:paraId="1457B000" w14:textId="3C807969"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0.0828</w:t>
            </w:r>
          </w:p>
        </w:tc>
        <w:tc>
          <w:tcPr>
            <w:tcW w:w="0" w:type="auto"/>
            <w:tcBorders>
              <w:top w:val="nil"/>
              <w:left w:val="nil"/>
              <w:bottom w:val="nil"/>
              <w:right w:val="nil"/>
            </w:tcBorders>
            <w:shd w:val="clear" w:color="auto" w:fill="auto"/>
            <w:vAlign w:val="bottom"/>
          </w:tcPr>
          <w:p w14:paraId="0307B1DE" w14:textId="29BE3260"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0.2117</w:t>
            </w:r>
          </w:p>
        </w:tc>
        <w:tc>
          <w:tcPr>
            <w:tcW w:w="0" w:type="auto"/>
            <w:tcBorders>
              <w:top w:val="nil"/>
              <w:left w:val="nil"/>
              <w:bottom w:val="nil"/>
              <w:right w:val="nil"/>
            </w:tcBorders>
            <w:shd w:val="clear" w:color="auto" w:fill="auto"/>
            <w:vAlign w:val="bottom"/>
          </w:tcPr>
          <w:p w14:paraId="593F3829" w14:textId="3D9B3778"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0.0175</w:t>
            </w:r>
          </w:p>
        </w:tc>
        <w:tc>
          <w:tcPr>
            <w:tcW w:w="0" w:type="auto"/>
            <w:tcBorders>
              <w:top w:val="nil"/>
              <w:left w:val="nil"/>
              <w:bottom w:val="nil"/>
              <w:right w:val="nil"/>
            </w:tcBorders>
            <w:shd w:val="clear" w:color="auto" w:fill="auto"/>
            <w:vAlign w:val="bottom"/>
          </w:tcPr>
          <w:p w14:paraId="695A64AC" w14:textId="5655284F"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0.0308</w:t>
            </w:r>
          </w:p>
        </w:tc>
        <w:tc>
          <w:tcPr>
            <w:tcW w:w="0" w:type="auto"/>
            <w:tcBorders>
              <w:top w:val="nil"/>
              <w:left w:val="nil"/>
              <w:bottom w:val="nil"/>
              <w:right w:val="single" w:sz="4" w:space="0" w:color="auto"/>
            </w:tcBorders>
            <w:shd w:val="clear" w:color="auto" w:fill="auto"/>
            <w:vAlign w:val="bottom"/>
          </w:tcPr>
          <w:p w14:paraId="4BD4FAEB" w14:textId="495B5D55"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1.0830</w:t>
            </w:r>
          </w:p>
        </w:tc>
      </w:tr>
      <w:tr w:rsidR="00BE49FD" w:rsidRPr="008A703F" w14:paraId="276C1D35" w14:textId="77777777" w:rsidTr="00B90008">
        <w:trPr>
          <w:trHeight w:val="315"/>
          <w:jc w:val="center"/>
        </w:trPr>
        <w:tc>
          <w:tcPr>
            <w:tcW w:w="0" w:type="auto"/>
            <w:tcBorders>
              <w:top w:val="nil"/>
              <w:left w:val="single" w:sz="4" w:space="0" w:color="auto"/>
              <w:bottom w:val="single" w:sz="4" w:space="0" w:color="auto"/>
              <w:right w:val="nil"/>
            </w:tcBorders>
            <w:shd w:val="clear" w:color="auto" w:fill="auto"/>
            <w:vAlign w:val="center"/>
          </w:tcPr>
          <w:p w14:paraId="698B0F6B"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lnMV</w:t>
            </w:r>
          </w:p>
        </w:tc>
        <w:tc>
          <w:tcPr>
            <w:tcW w:w="0" w:type="auto"/>
            <w:tcBorders>
              <w:top w:val="nil"/>
              <w:left w:val="nil"/>
              <w:bottom w:val="single" w:sz="4" w:space="0" w:color="auto"/>
              <w:right w:val="nil"/>
            </w:tcBorders>
            <w:shd w:val="clear" w:color="auto" w:fill="auto"/>
            <w:vAlign w:val="bottom"/>
          </w:tcPr>
          <w:p w14:paraId="16DB6B11" w14:textId="1826B304"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11.2445</w:t>
            </w:r>
          </w:p>
        </w:tc>
        <w:tc>
          <w:tcPr>
            <w:tcW w:w="0" w:type="auto"/>
            <w:tcBorders>
              <w:top w:val="nil"/>
              <w:left w:val="nil"/>
              <w:bottom w:val="single" w:sz="4" w:space="0" w:color="auto"/>
              <w:right w:val="nil"/>
            </w:tcBorders>
            <w:shd w:val="clear" w:color="auto" w:fill="auto"/>
            <w:vAlign w:val="bottom"/>
          </w:tcPr>
          <w:p w14:paraId="7AA733EE" w14:textId="397656FC"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11.4553</w:t>
            </w:r>
          </w:p>
        </w:tc>
        <w:tc>
          <w:tcPr>
            <w:tcW w:w="0" w:type="auto"/>
            <w:tcBorders>
              <w:top w:val="nil"/>
              <w:left w:val="nil"/>
              <w:bottom w:val="single" w:sz="4" w:space="0" w:color="auto"/>
              <w:right w:val="nil"/>
            </w:tcBorders>
            <w:shd w:val="clear" w:color="auto" w:fill="auto"/>
            <w:vAlign w:val="bottom"/>
          </w:tcPr>
          <w:p w14:paraId="7B80199C" w14:textId="77777777" w:rsidR="00BE49FD" w:rsidRPr="008A703F" w:rsidRDefault="00BE49FD" w:rsidP="00B90008">
            <w:pPr>
              <w:spacing w:line="240" w:lineRule="auto"/>
              <w:contextualSpacing/>
              <w:rPr>
                <w:rFonts w:ascii="Garamond" w:hAnsi="Garamond"/>
                <w:sz w:val="24"/>
                <w:szCs w:val="24"/>
              </w:rPr>
            </w:pPr>
            <w:r w:rsidRPr="008A703F">
              <w:rPr>
                <w:rFonts w:ascii="Garamond" w:hAnsi="Garamond"/>
                <w:sz w:val="24"/>
                <w:szCs w:val="24"/>
              </w:rPr>
              <w:t>13.7206</w:t>
            </w:r>
          </w:p>
        </w:tc>
        <w:tc>
          <w:tcPr>
            <w:tcW w:w="0" w:type="auto"/>
            <w:tcBorders>
              <w:top w:val="nil"/>
              <w:left w:val="nil"/>
              <w:bottom w:val="single" w:sz="4" w:space="0" w:color="auto"/>
              <w:right w:val="nil"/>
            </w:tcBorders>
            <w:shd w:val="clear" w:color="auto" w:fill="auto"/>
            <w:vAlign w:val="bottom"/>
          </w:tcPr>
          <w:p w14:paraId="7C636217" w14:textId="52A6EBB2"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6.4254</w:t>
            </w:r>
          </w:p>
        </w:tc>
        <w:tc>
          <w:tcPr>
            <w:tcW w:w="0" w:type="auto"/>
            <w:tcBorders>
              <w:top w:val="nil"/>
              <w:left w:val="nil"/>
              <w:bottom w:val="single" w:sz="4" w:space="0" w:color="auto"/>
              <w:right w:val="nil"/>
            </w:tcBorders>
            <w:shd w:val="clear" w:color="auto" w:fill="auto"/>
            <w:vAlign w:val="bottom"/>
          </w:tcPr>
          <w:p w14:paraId="0BB70644" w14:textId="1CAC3729" w:rsidR="00BE49FD" w:rsidRPr="008A703F" w:rsidRDefault="00BE49FD" w:rsidP="00E500C6">
            <w:pPr>
              <w:spacing w:line="240" w:lineRule="auto"/>
              <w:contextualSpacing/>
              <w:rPr>
                <w:rFonts w:ascii="Garamond" w:hAnsi="Garamond"/>
                <w:sz w:val="24"/>
                <w:szCs w:val="24"/>
              </w:rPr>
            </w:pPr>
            <w:r w:rsidRPr="008A703F">
              <w:rPr>
                <w:rFonts w:ascii="Garamond" w:hAnsi="Garamond"/>
                <w:sz w:val="24"/>
                <w:szCs w:val="24"/>
              </w:rPr>
              <w:t>1.4406</w:t>
            </w:r>
          </w:p>
        </w:tc>
        <w:tc>
          <w:tcPr>
            <w:tcW w:w="0" w:type="auto"/>
            <w:tcBorders>
              <w:top w:val="nil"/>
              <w:left w:val="nil"/>
              <w:bottom w:val="single" w:sz="4" w:space="0" w:color="auto"/>
              <w:right w:val="single" w:sz="4" w:space="0" w:color="auto"/>
            </w:tcBorders>
            <w:shd w:val="clear" w:color="auto" w:fill="auto"/>
            <w:vAlign w:val="bottom"/>
          </w:tcPr>
          <w:p w14:paraId="07782690" w14:textId="2882D6D7" w:rsidR="00BE49FD" w:rsidRPr="008A703F" w:rsidRDefault="00E500C6" w:rsidP="00E500C6">
            <w:pPr>
              <w:spacing w:line="240" w:lineRule="auto"/>
              <w:contextualSpacing/>
              <w:rPr>
                <w:rFonts w:ascii="Garamond" w:hAnsi="Garamond"/>
                <w:sz w:val="24"/>
                <w:szCs w:val="24"/>
              </w:rPr>
            </w:pPr>
            <w:r>
              <w:rPr>
                <w:rFonts w:ascii="Garamond" w:hAnsi="Garamond"/>
                <w:sz w:val="24"/>
                <w:szCs w:val="24"/>
              </w:rPr>
              <w:t>-0.9948</w:t>
            </w:r>
          </w:p>
        </w:tc>
      </w:tr>
    </w:tbl>
    <w:p w14:paraId="79A94B40" w14:textId="6027B2DD" w:rsidR="00BE49FD" w:rsidRPr="00DB1454" w:rsidRDefault="00BE49FD" w:rsidP="00BE49FD">
      <w:pPr>
        <w:spacing w:line="240" w:lineRule="auto"/>
        <w:contextualSpacing/>
        <w:jc w:val="both"/>
        <w:rPr>
          <w:rFonts w:ascii="Garamond" w:hAnsi="Garamond"/>
        </w:rPr>
      </w:pPr>
      <w:r w:rsidRPr="00216D6B">
        <w:rPr>
          <w:rFonts w:ascii="Garamond" w:hAnsi="Garamond"/>
          <w:i/>
        </w:rPr>
        <w:t>Note:</w:t>
      </w:r>
      <w:r w:rsidRPr="00216D6B">
        <w:rPr>
          <w:rFonts w:ascii="Garamond" w:hAnsi="Garamond"/>
        </w:rPr>
        <w:t xml:space="preserve"> </w:t>
      </w:r>
      <w:r>
        <w:rPr>
          <w:rFonts w:ascii="Garamond" w:hAnsi="Garamond"/>
        </w:rPr>
        <w:t xml:space="preserve">The table represents the average of descriptive statistics for cross-sectional variables of all markets in our sample. </w:t>
      </w:r>
      <w:r w:rsidRPr="00216D6B">
        <w:rPr>
          <w:rFonts w:ascii="Garamond" w:hAnsi="Garamond"/>
        </w:rPr>
        <w:t xml:space="preserve">Each variable is calculated for each stock in each month across stocks admitted to the sample in that year, and then the mean, standard deviation and skewness are calculated across stocks in each year. The table represents the mean over the </w:t>
      </w:r>
      <w:r>
        <w:rPr>
          <w:rFonts w:ascii="Garamond" w:hAnsi="Garamond"/>
        </w:rPr>
        <w:t>sixteen</w:t>
      </w:r>
      <w:r w:rsidRPr="00216D6B">
        <w:rPr>
          <w:rFonts w:ascii="Garamond" w:hAnsi="Garamond"/>
        </w:rPr>
        <w:t xml:space="preserve"> years of the monthly mean, standard deviations and skewness and the median of the monthly mean, as well as the maximum and minimum monthly mean. Statistics for </w:t>
      </w:r>
      <w:r>
        <w:rPr>
          <w:rFonts w:ascii="Garamond" w:hAnsi="Garamond"/>
        </w:rPr>
        <w:t xml:space="preserve">monthly average </w:t>
      </w:r>
      <w:r w:rsidR="008857FE">
        <w:rPr>
          <w:rFonts w:ascii="Garamond" w:hAnsi="Garamond"/>
        </w:rPr>
        <w:t>m</w:t>
      </w:r>
      <w:r w:rsidRPr="00216D6B">
        <w:rPr>
          <w:rFonts w:ascii="Garamond" w:hAnsi="Garamond"/>
        </w:rPr>
        <w:t>arket capitalization</w:t>
      </w:r>
      <w:r>
        <w:rPr>
          <w:rFonts w:ascii="Garamond" w:hAnsi="Garamond"/>
        </w:rPr>
        <w:t>s</w:t>
      </w:r>
      <w:r w:rsidRPr="00216D6B">
        <w:rPr>
          <w:rFonts w:ascii="Garamond" w:hAnsi="Garamond"/>
        </w:rPr>
        <w:t xml:space="preserve"> (MV) </w:t>
      </w:r>
      <w:r>
        <w:rPr>
          <w:rFonts w:ascii="Garamond" w:hAnsi="Garamond"/>
        </w:rPr>
        <w:t xml:space="preserve">of each stock </w:t>
      </w:r>
      <w:r w:rsidRPr="00216D6B">
        <w:rPr>
          <w:rFonts w:ascii="Garamond" w:hAnsi="Garamond"/>
        </w:rPr>
        <w:t>are calculated ba</w:t>
      </w:r>
      <w:r>
        <w:rPr>
          <w:rFonts w:ascii="Garamond" w:hAnsi="Garamond"/>
        </w:rPr>
        <w:t xml:space="preserve">sed on its natural log values. </w:t>
      </w:r>
    </w:p>
    <w:p w14:paraId="40507C9F" w14:textId="77777777" w:rsidR="00BE49FD" w:rsidRDefault="00BE49FD" w:rsidP="00BE49FD">
      <w:pPr>
        <w:rPr>
          <w:rFonts w:ascii="Garamond" w:hAnsi="Garamond"/>
          <w:b/>
          <w:sz w:val="24"/>
          <w:szCs w:val="24"/>
        </w:rPr>
      </w:pPr>
      <w:r>
        <w:rPr>
          <w:rFonts w:ascii="Garamond" w:hAnsi="Garamond"/>
          <w:b/>
          <w:sz w:val="24"/>
          <w:szCs w:val="24"/>
        </w:rPr>
        <w:br w:type="page"/>
      </w:r>
    </w:p>
    <w:p w14:paraId="6AC9A837" w14:textId="5F23EC63" w:rsidR="00BE49FD" w:rsidRPr="00360358" w:rsidRDefault="00BE49FD" w:rsidP="00BE49FD">
      <w:pPr>
        <w:spacing w:line="360" w:lineRule="auto"/>
        <w:jc w:val="center"/>
        <w:rPr>
          <w:rFonts w:ascii="Garamond" w:hAnsi="Garamond"/>
          <w:b/>
          <w:sz w:val="24"/>
          <w:szCs w:val="24"/>
        </w:rPr>
      </w:pPr>
      <w:r>
        <w:rPr>
          <w:rFonts w:ascii="Garamond" w:hAnsi="Garamond"/>
          <w:b/>
          <w:sz w:val="24"/>
          <w:szCs w:val="24"/>
        </w:rPr>
        <w:lastRenderedPageBreak/>
        <w:t xml:space="preserve">Table 2: Descriptive statistics for </w:t>
      </w:r>
      <w:r w:rsidR="008857FE">
        <w:rPr>
          <w:rFonts w:ascii="Garamond" w:hAnsi="Garamond"/>
          <w:b/>
          <w:sz w:val="24"/>
          <w:szCs w:val="24"/>
        </w:rPr>
        <w:t>macroeconomic time series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tblGrid>
      <w:tr w:rsidR="00BE49FD" w:rsidRPr="008A703F" w14:paraId="0901DEB1" w14:textId="77777777" w:rsidTr="00B90008">
        <w:trPr>
          <w:trHeight w:val="225"/>
          <w:jc w:val="center"/>
        </w:trPr>
        <w:tc>
          <w:tcPr>
            <w:tcW w:w="1492" w:type="dxa"/>
            <w:vAlign w:val="bottom"/>
          </w:tcPr>
          <w:p w14:paraId="5547389F" w14:textId="77777777" w:rsidR="00BE49FD" w:rsidRPr="008A703F" w:rsidRDefault="00BE49FD" w:rsidP="00B90008">
            <w:pPr>
              <w:autoSpaceDE w:val="0"/>
              <w:autoSpaceDN w:val="0"/>
              <w:adjustRightInd w:val="0"/>
              <w:spacing w:line="240" w:lineRule="auto"/>
              <w:contextualSpacing/>
              <w:jc w:val="center"/>
              <w:rPr>
                <w:rFonts w:ascii="Garamond" w:hAnsi="Garamond" w:cs="Arial"/>
                <w:color w:val="000000"/>
                <w:sz w:val="24"/>
                <w:szCs w:val="24"/>
              </w:rPr>
            </w:pPr>
          </w:p>
        </w:tc>
        <w:tc>
          <w:tcPr>
            <w:tcW w:w="1313" w:type="dxa"/>
            <w:vAlign w:val="bottom"/>
          </w:tcPr>
          <w:p w14:paraId="2854024E" w14:textId="77777777" w:rsidR="00BE49FD" w:rsidRPr="008A703F" w:rsidRDefault="00BE49FD" w:rsidP="00B90008">
            <w:pPr>
              <w:autoSpaceDE w:val="0"/>
              <w:autoSpaceDN w:val="0"/>
              <w:adjustRightInd w:val="0"/>
              <w:spacing w:line="240" w:lineRule="auto"/>
              <w:contextualSpacing/>
              <w:jc w:val="center"/>
              <w:rPr>
                <w:rFonts w:ascii="Garamond" w:hAnsi="Garamond" w:cs="Arial"/>
                <w:color w:val="000000"/>
                <w:sz w:val="24"/>
                <w:szCs w:val="24"/>
              </w:rPr>
            </w:pPr>
            <w:r w:rsidRPr="008A703F">
              <w:rPr>
                <w:rFonts w:ascii="Garamond" w:hAnsi="Garamond" w:cs="Arial"/>
                <w:color w:val="000000"/>
                <w:sz w:val="24"/>
                <w:szCs w:val="24"/>
              </w:rPr>
              <w:t>IP</w:t>
            </w:r>
          </w:p>
        </w:tc>
        <w:tc>
          <w:tcPr>
            <w:tcW w:w="1312" w:type="dxa"/>
            <w:vAlign w:val="bottom"/>
          </w:tcPr>
          <w:p w14:paraId="39E93C4F" w14:textId="77777777" w:rsidR="00BE49FD" w:rsidRPr="008A703F" w:rsidRDefault="00BE49FD" w:rsidP="00B90008">
            <w:pPr>
              <w:autoSpaceDE w:val="0"/>
              <w:autoSpaceDN w:val="0"/>
              <w:adjustRightInd w:val="0"/>
              <w:spacing w:line="240" w:lineRule="auto"/>
              <w:contextualSpacing/>
              <w:jc w:val="center"/>
              <w:rPr>
                <w:rFonts w:ascii="Garamond" w:hAnsi="Garamond" w:cs="Arial"/>
                <w:color w:val="000000"/>
                <w:sz w:val="24"/>
                <w:szCs w:val="24"/>
              </w:rPr>
            </w:pPr>
            <w:r w:rsidRPr="008A703F">
              <w:rPr>
                <w:rFonts w:ascii="Garamond" w:hAnsi="Garamond" w:cs="Arial"/>
                <w:color w:val="000000"/>
                <w:sz w:val="24"/>
                <w:szCs w:val="24"/>
              </w:rPr>
              <w:t>IR</w:t>
            </w:r>
          </w:p>
        </w:tc>
        <w:tc>
          <w:tcPr>
            <w:tcW w:w="1313" w:type="dxa"/>
            <w:vAlign w:val="bottom"/>
          </w:tcPr>
          <w:p w14:paraId="43BB7199" w14:textId="77777777" w:rsidR="00BE49FD" w:rsidRPr="008A703F" w:rsidRDefault="00BE49FD" w:rsidP="00B90008">
            <w:pPr>
              <w:autoSpaceDE w:val="0"/>
              <w:autoSpaceDN w:val="0"/>
              <w:adjustRightInd w:val="0"/>
              <w:spacing w:line="240" w:lineRule="auto"/>
              <w:contextualSpacing/>
              <w:jc w:val="center"/>
              <w:rPr>
                <w:rFonts w:ascii="Garamond" w:hAnsi="Garamond" w:cs="Arial"/>
                <w:color w:val="000000"/>
                <w:sz w:val="24"/>
                <w:szCs w:val="24"/>
              </w:rPr>
            </w:pPr>
            <w:r w:rsidRPr="008A703F">
              <w:rPr>
                <w:rFonts w:ascii="Garamond" w:hAnsi="Garamond" w:cs="Arial"/>
                <w:color w:val="000000"/>
                <w:sz w:val="24"/>
                <w:szCs w:val="24"/>
              </w:rPr>
              <w:t>lnIDX</w:t>
            </w:r>
          </w:p>
        </w:tc>
      </w:tr>
      <w:tr w:rsidR="00BE49FD" w:rsidRPr="008A703F" w14:paraId="182EBB2D" w14:textId="77777777" w:rsidTr="00B90008">
        <w:trPr>
          <w:trHeight w:val="225"/>
          <w:jc w:val="center"/>
        </w:trPr>
        <w:tc>
          <w:tcPr>
            <w:tcW w:w="1492" w:type="dxa"/>
            <w:vAlign w:val="bottom"/>
          </w:tcPr>
          <w:p w14:paraId="27C8D331"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 Mean</w:t>
            </w:r>
          </w:p>
        </w:tc>
        <w:tc>
          <w:tcPr>
            <w:tcW w:w="1313" w:type="dxa"/>
            <w:vAlign w:val="bottom"/>
          </w:tcPr>
          <w:p w14:paraId="5E5ABCB1" w14:textId="17C9D264"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0.5284</w:t>
            </w:r>
          </w:p>
        </w:tc>
        <w:tc>
          <w:tcPr>
            <w:tcW w:w="1312" w:type="dxa"/>
            <w:vAlign w:val="bottom"/>
          </w:tcPr>
          <w:p w14:paraId="5A05AD7D" w14:textId="430D46D5"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1.8780</w:t>
            </w:r>
          </w:p>
        </w:tc>
        <w:tc>
          <w:tcPr>
            <w:tcW w:w="1313" w:type="dxa"/>
            <w:vAlign w:val="bottom"/>
          </w:tcPr>
          <w:p w14:paraId="26DD706D" w14:textId="7C23ABF5"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7.6629</w:t>
            </w:r>
          </w:p>
        </w:tc>
      </w:tr>
      <w:tr w:rsidR="00BE49FD" w:rsidRPr="008A703F" w14:paraId="19A090FA" w14:textId="77777777" w:rsidTr="00B90008">
        <w:trPr>
          <w:trHeight w:val="225"/>
          <w:jc w:val="center"/>
        </w:trPr>
        <w:tc>
          <w:tcPr>
            <w:tcW w:w="1492" w:type="dxa"/>
            <w:vAlign w:val="bottom"/>
          </w:tcPr>
          <w:p w14:paraId="53CF5BF4"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 Median</w:t>
            </w:r>
          </w:p>
        </w:tc>
        <w:tc>
          <w:tcPr>
            <w:tcW w:w="1313" w:type="dxa"/>
            <w:vAlign w:val="bottom"/>
          </w:tcPr>
          <w:p w14:paraId="550778BB" w14:textId="6FC924FE"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0.4041</w:t>
            </w:r>
          </w:p>
        </w:tc>
        <w:tc>
          <w:tcPr>
            <w:tcW w:w="1312" w:type="dxa"/>
            <w:vAlign w:val="bottom"/>
          </w:tcPr>
          <w:p w14:paraId="1AAF76A7" w14:textId="4DDD92BB"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1.7086</w:t>
            </w:r>
          </w:p>
        </w:tc>
        <w:tc>
          <w:tcPr>
            <w:tcW w:w="1313" w:type="dxa"/>
            <w:vAlign w:val="bottom"/>
          </w:tcPr>
          <w:p w14:paraId="58679A8A" w14:textId="287ABB38"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7.7861</w:t>
            </w:r>
          </w:p>
        </w:tc>
      </w:tr>
      <w:tr w:rsidR="00BE49FD" w:rsidRPr="008A703F" w14:paraId="635FF8CD" w14:textId="77777777" w:rsidTr="00B90008">
        <w:trPr>
          <w:trHeight w:val="225"/>
          <w:jc w:val="center"/>
        </w:trPr>
        <w:tc>
          <w:tcPr>
            <w:tcW w:w="1492" w:type="dxa"/>
            <w:vAlign w:val="bottom"/>
          </w:tcPr>
          <w:p w14:paraId="3FE68F6D"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 Maximum</w:t>
            </w:r>
          </w:p>
        </w:tc>
        <w:tc>
          <w:tcPr>
            <w:tcW w:w="1313" w:type="dxa"/>
            <w:vAlign w:val="bottom"/>
          </w:tcPr>
          <w:p w14:paraId="0B1922D1" w14:textId="77777777" w:rsidR="00BE49FD" w:rsidRPr="008A703F" w:rsidRDefault="00BE49FD" w:rsidP="00B90008">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18.1443</w:t>
            </w:r>
          </w:p>
        </w:tc>
        <w:tc>
          <w:tcPr>
            <w:tcW w:w="1312" w:type="dxa"/>
            <w:vAlign w:val="bottom"/>
          </w:tcPr>
          <w:p w14:paraId="5E5953B6" w14:textId="1E202A3B"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5.9750</w:t>
            </w:r>
          </w:p>
        </w:tc>
        <w:tc>
          <w:tcPr>
            <w:tcW w:w="1313" w:type="dxa"/>
            <w:vAlign w:val="bottom"/>
          </w:tcPr>
          <w:p w14:paraId="23ED5844" w14:textId="076D1D27"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8.5343</w:t>
            </w:r>
          </w:p>
        </w:tc>
      </w:tr>
      <w:tr w:rsidR="00BE49FD" w:rsidRPr="008A703F" w14:paraId="0EEED3BF" w14:textId="77777777" w:rsidTr="00B90008">
        <w:trPr>
          <w:trHeight w:val="225"/>
          <w:jc w:val="center"/>
        </w:trPr>
        <w:tc>
          <w:tcPr>
            <w:tcW w:w="1492" w:type="dxa"/>
            <w:vAlign w:val="bottom"/>
          </w:tcPr>
          <w:p w14:paraId="73D8B0FA"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 Minimum</w:t>
            </w:r>
          </w:p>
        </w:tc>
        <w:tc>
          <w:tcPr>
            <w:tcW w:w="1313" w:type="dxa"/>
            <w:vAlign w:val="bottom"/>
          </w:tcPr>
          <w:p w14:paraId="5B0A6539" w14:textId="77777777" w:rsidR="00BE49FD" w:rsidRPr="008A703F" w:rsidRDefault="00BE49FD" w:rsidP="00B90008">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-18.0782</w:t>
            </w:r>
          </w:p>
        </w:tc>
        <w:tc>
          <w:tcPr>
            <w:tcW w:w="1312" w:type="dxa"/>
            <w:vAlign w:val="bottom"/>
          </w:tcPr>
          <w:p w14:paraId="38DA2608" w14:textId="62AA8254"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-0.9958</w:t>
            </w:r>
          </w:p>
        </w:tc>
        <w:tc>
          <w:tcPr>
            <w:tcW w:w="1313" w:type="dxa"/>
            <w:vAlign w:val="bottom"/>
          </w:tcPr>
          <w:p w14:paraId="23F1D115" w14:textId="371D352D"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6.5042</w:t>
            </w:r>
          </w:p>
        </w:tc>
      </w:tr>
      <w:tr w:rsidR="00BE49FD" w:rsidRPr="008A703F" w14:paraId="72392ADC" w14:textId="77777777" w:rsidTr="00B90008">
        <w:trPr>
          <w:trHeight w:val="225"/>
          <w:jc w:val="center"/>
        </w:trPr>
        <w:tc>
          <w:tcPr>
            <w:tcW w:w="1492" w:type="dxa"/>
            <w:vAlign w:val="bottom"/>
          </w:tcPr>
          <w:p w14:paraId="7B3DF3F1"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 xml:space="preserve"> Std. dev.</w:t>
            </w:r>
          </w:p>
        </w:tc>
        <w:tc>
          <w:tcPr>
            <w:tcW w:w="1313" w:type="dxa"/>
            <w:vAlign w:val="bottom"/>
          </w:tcPr>
          <w:p w14:paraId="12C44F2D" w14:textId="47FE5770"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4.9124</w:t>
            </w:r>
          </w:p>
        </w:tc>
        <w:tc>
          <w:tcPr>
            <w:tcW w:w="1312" w:type="dxa"/>
            <w:vAlign w:val="bottom"/>
          </w:tcPr>
          <w:p w14:paraId="101E371C" w14:textId="06DC5CA7"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1.2363</w:t>
            </w:r>
          </w:p>
        </w:tc>
        <w:tc>
          <w:tcPr>
            <w:tcW w:w="1313" w:type="dxa"/>
            <w:vAlign w:val="bottom"/>
          </w:tcPr>
          <w:p w14:paraId="7234E4C4" w14:textId="0C2727C4"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0.5797</w:t>
            </w:r>
          </w:p>
        </w:tc>
      </w:tr>
      <w:tr w:rsidR="00BE49FD" w:rsidRPr="008A703F" w14:paraId="43244899" w14:textId="77777777" w:rsidTr="00B90008">
        <w:trPr>
          <w:trHeight w:val="225"/>
          <w:jc w:val="center"/>
        </w:trPr>
        <w:tc>
          <w:tcPr>
            <w:tcW w:w="1492" w:type="dxa"/>
            <w:vAlign w:val="bottom"/>
          </w:tcPr>
          <w:p w14:paraId="162E3D46"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 Skewness</w:t>
            </w:r>
          </w:p>
        </w:tc>
        <w:tc>
          <w:tcPr>
            <w:tcW w:w="1313" w:type="dxa"/>
            <w:vAlign w:val="bottom"/>
          </w:tcPr>
          <w:p w14:paraId="06F169F2" w14:textId="036D3D61"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-0.3511</w:t>
            </w:r>
          </w:p>
        </w:tc>
        <w:tc>
          <w:tcPr>
            <w:tcW w:w="1312" w:type="dxa"/>
            <w:vAlign w:val="bottom"/>
          </w:tcPr>
          <w:p w14:paraId="767A0F46" w14:textId="5CE58344"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0.5603</w:t>
            </w:r>
          </w:p>
        </w:tc>
        <w:tc>
          <w:tcPr>
            <w:tcW w:w="1313" w:type="dxa"/>
            <w:vAlign w:val="bottom"/>
          </w:tcPr>
          <w:p w14:paraId="43A8F0A2" w14:textId="77777777" w:rsidR="00BE49FD" w:rsidRPr="008A703F" w:rsidRDefault="00BE49FD" w:rsidP="00B90008">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-0.3878</w:t>
            </w:r>
          </w:p>
        </w:tc>
      </w:tr>
    </w:tbl>
    <w:p w14:paraId="6201F5F0" w14:textId="4F4AA858" w:rsidR="00BE49FD" w:rsidRPr="00544FBC" w:rsidRDefault="00BE49FD" w:rsidP="00BE49FD">
      <w:pPr>
        <w:spacing w:line="240" w:lineRule="auto"/>
        <w:contextualSpacing/>
        <w:rPr>
          <w:rFonts w:ascii="Garamond" w:hAnsi="Garamond" w:cs="Arial"/>
        </w:rPr>
      </w:pPr>
      <w:r w:rsidRPr="00301818">
        <w:rPr>
          <w:rFonts w:ascii="Garamond" w:hAnsi="Garamond" w:cs="Arial"/>
        </w:rPr>
        <w:t xml:space="preserve">Note: </w:t>
      </w:r>
      <w:r>
        <w:rPr>
          <w:rFonts w:ascii="Garamond" w:hAnsi="Garamond" w:cs="Arial"/>
        </w:rPr>
        <w:t xml:space="preserve">The table presents the average of descriptive statistics for </w:t>
      </w:r>
      <w:r w:rsidR="008857FE">
        <w:rPr>
          <w:rFonts w:ascii="Garamond" w:hAnsi="Garamond" w:cs="Arial"/>
        </w:rPr>
        <w:t xml:space="preserve">the macroeconomic time series of </w:t>
      </w:r>
      <w:r>
        <w:rPr>
          <w:rFonts w:ascii="Garamond" w:hAnsi="Garamond" w:cs="Arial"/>
        </w:rPr>
        <w:t xml:space="preserve">all markets in our sample. </w:t>
      </w:r>
      <w:r w:rsidR="008857FE">
        <w:rPr>
          <w:rFonts w:ascii="Garamond" w:hAnsi="Garamond" w:cs="Arial"/>
        </w:rPr>
        <w:t>Stock index s</w:t>
      </w:r>
      <w:r w:rsidRPr="00301818">
        <w:rPr>
          <w:rFonts w:ascii="Garamond" w:hAnsi="Garamond" w:cs="Arial"/>
        </w:rPr>
        <w:t>tatistics</w:t>
      </w:r>
      <w:r w:rsidR="008857FE">
        <w:rPr>
          <w:rFonts w:ascii="Garamond" w:hAnsi="Garamond" w:cs="Arial"/>
        </w:rPr>
        <w:t xml:space="preserve"> are </w:t>
      </w:r>
      <w:r w:rsidRPr="00301818">
        <w:rPr>
          <w:rFonts w:ascii="Garamond" w:hAnsi="Garamond" w:cs="Arial"/>
        </w:rPr>
        <w:t>based on log values.</w:t>
      </w:r>
    </w:p>
    <w:p w14:paraId="0044E8A9" w14:textId="77777777" w:rsidR="00BE49FD" w:rsidRPr="00DB1454" w:rsidRDefault="00BE49FD" w:rsidP="00BE49FD">
      <w:pPr>
        <w:jc w:val="center"/>
        <w:rPr>
          <w:rFonts w:ascii="Garamond" w:hAnsi="Garamond" w:cs="Arial"/>
          <w:b/>
          <w:sz w:val="24"/>
          <w:szCs w:val="24"/>
        </w:rPr>
      </w:pPr>
      <w:r>
        <w:rPr>
          <w:rFonts w:ascii="Garamond" w:hAnsi="Garamond" w:cs="Arial"/>
          <w:b/>
          <w:sz w:val="24"/>
          <w:szCs w:val="24"/>
        </w:rPr>
        <w:br/>
      </w:r>
      <w:r w:rsidRPr="00301818">
        <w:rPr>
          <w:rFonts w:ascii="Garamond" w:hAnsi="Garamond" w:cs="Arial"/>
          <w:b/>
          <w:sz w:val="24"/>
          <w:szCs w:val="24"/>
        </w:rPr>
        <w:t xml:space="preserve">Table 3: Correlation matrix of time-series means of the monthly bivariate cross-sectional </w:t>
      </w:r>
      <w:r>
        <w:rPr>
          <w:rFonts w:ascii="Garamond" w:hAnsi="Garamond" w:cs="Arial"/>
          <w:b/>
          <w:sz w:val="24"/>
          <w:szCs w:val="24"/>
        </w:rPr>
        <w:t>variables</w:t>
      </w:r>
    </w:p>
    <w:tbl>
      <w:tblPr>
        <w:tblW w:w="5000"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6"/>
        <w:gridCol w:w="1243"/>
        <w:gridCol w:w="1243"/>
        <w:gridCol w:w="1243"/>
        <w:gridCol w:w="1164"/>
        <w:gridCol w:w="1164"/>
        <w:gridCol w:w="1164"/>
        <w:gridCol w:w="819"/>
      </w:tblGrid>
      <w:tr w:rsidR="00BE49FD" w:rsidRPr="008A703F" w14:paraId="6C2EAE16" w14:textId="77777777" w:rsidTr="00B90008">
        <w:trPr>
          <w:trHeight w:val="439"/>
          <w:jc w:val="center"/>
        </w:trPr>
        <w:tc>
          <w:tcPr>
            <w:tcW w:w="551" w:type="pct"/>
            <w:vAlign w:val="center"/>
          </w:tcPr>
          <w:p w14:paraId="6E9E4128" w14:textId="77777777" w:rsidR="00BE49FD" w:rsidRPr="008A703F" w:rsidRDefault="00BE49FD" w:rsidP="00B90008">
            <w:pPr>
              <w:autoSpaceDE w:val="0"/>
              <w:autoSpaceDN w:val="0"/>
              <w:adjustRightInd w:val="0"/>
              <w:spacing w:line="240" w:lineRule="auto"/>
              <w:contextualSpacing/>
              <w:jc w:val="center"/>
              <w:rPr>
                <w:rFonts w:ascii="Garamond" w:hAnsi="Garamond" w:cs="Arial"/>
                <w:color w:val="000000"/>
                <w:sz w:val="24"/>
                <w:szCs w:val="24"/>
              </w:rPr>
            </w:pPr>
          </w:p>
        </w:tc>
        <w:tc>
          <w:tcPr>
            <w:tcW w:w="688" w:type="pct"/>
            <w:vAlign w:val="center"/>
          </w:tcPr>
          <w:p w14:paraId="48368A5A" w14:textId="77777777" w:rsidR="00BE49FD" w:rsidRPr="008A703F" w:rsidRDefault="00BE49FD" w:rsidP="00B90008">
            <w:pPr>
              <w:autoSpaceDE w:val="0"/>
              <w:autoSpaceDN w:val="0"/>
              <w:adjustRightInd w:val="0"/>
              <w:spacing w:line="240" w:lineRule="auto"/>
              <w:ind w:right="10"/>
              <w:contextualSpacing/>
              <w:jc w:val="center"/>
              <w:rPr>
                <w:rFonts w:ascii="Garamond" w:hAnsi="Garamond" w:cs="Arial"/>
                <w:color w:val="000000"/>
                <w:sz w:val="24"/>
                <w:szCs w:val="24"/>
              </w:rPr>
            </w:pPr>
            <w:r w:rsidRPr="008A703F">
              <w:rPr>
                <w:rFonts w:ascii="Garamond" w:hAnsi="Garamond" w:cs="Arial"/>
                <w:color w:val="000000"/>
                <w:sz w:val="24"/>
                <w:szCs w:val="24"/>
              </w:rPr>
              <w:t>TR</w:t>
            </w:r>
          </w:p>
        </w:tc>
        <w:tc>
          <w:tcPr>
            <w:tcW w:w="688" w:type="pct"/>
            <w:vAlign w:val="center"/>
          </w:tcPr>
          <w:p w14:paraId="6F66796E" w14:textId="77777777" w:rsidR="00BE49FD" w:rsidRPr="008A703F" w:rsidRDefault="00BE49FD" w:rsidP="00B90008">
            <w:pPr>
              <w:autoSpaceDE w:val="0"/>
              <w:autoSpaceDN w:val="0"/>
              <w:adjustRightInd w:val="0"/>
              <w:spacing w:line="240" w:lineRule="auto"/>
              <w:ind w:right="10"/>
              <w:contextualSpacing/>
              <w:jc w:val="center"/>
              <w:rPr>
                <w:rFonts w:ascii="Garamond" w:hAnsi="Garamond" w:cs="Arial"/>
                <w:color w:val="000000"/>
                <w:sz w:val="24"/>
                <w:szCs w:val="24"/>
              </w:rPr>
            </w:pPr>
            <w:r w:rsidRPr="008A703F">
              <w:rPr>
                <w:rFonts w:ascii="Garamond" w:hAnsi="Garamond" w:cs="Arial"/>
                <w:color w:val="000000"/>
                <w:sz w:val="24"/>
                <w:szCs w:val="24"/>
              </w:rPr>
              <w:t>TV</w:t>
            </w:r>
          </w:p>
        </w:tc>
        <w:tc>
          <w:tcPr>
            <w:tcW w:w="688" w:type="pct"/>
            <w:vAlign w:val="center"/>
          </w:tcPr>
          <w:p w14:paraId="494D6FE4" w14:textId="77777777" w:rsidR="00BE49FD" w:rsidRPr="008A703F" w:rsidRDefault="00BE49FD" w:rsidP="00B90008">
            <w:pPr>
              <w:autoSpaceDE w:val="0"/>
              <w:autoSpaceDN w:val="0"/>
              <w:adjustRightInd w:val="0"/>
              <w:spacing w:line="240" w:lineRule="auto"/>
              <w:ind w:right="10"/>
              <w:contextualSpacing/>
              <w:jc w:val="center"/>
              <w:rPr>
                <w:rFonts w:ascii="Garamond" w:hAnsi="Garamond" w:cs="Arial"/>
                <w:color w:val="000000"/>
                <w:sz w:val="24"/>
                <w:szCs w:val="24"/>
              </w:rPr>
            </w:pPr>
            <w:r w:rsidRPr="008A703F">
              <w:rPr>
                <w:rFonts w:ascii="Garamond" w:hAnsi="Garamond" w:cs="Arial"/>
                <w:color w:val="000000"/>
                <w:sz w:val="24"/>
                <w:szCs w:val="24"/>
              </w:rPr>
              <w:t>ILLIQ</w:t>
            </w:r>
          </w:p>
        </w:tc>
        <w:tc>
          <w:tcPr>
            <w:tcW w:w="644" w:type="pct"/>
            <w:vAlign w:val="center"/>
          </w:tcPr>
          <w:p w14:paraId="3ACA4C47" w14:textId="77777777" w:rsidR="00BE49FD" w:rsidRPr="008A703F" w:rsidRDefault="00BE49FD" w:rsidP="00B90008">
            <w:pPr>
              <w:autoSpaceDE w:val="0"/>
              <w:autoSpaceDN w:val="0"/>
              <w:adjustRightInd w:val="0"/>
              <w:spacing w:line="240" w:lineRule="auto"/>
              <w:ind w:right="10"/>
              <w:contextualSpacing/>
              <w:jc w:val="center"/>
              <w:rPr>
                <w:rFonts w:ascii="Garamond" w:hAnsi="Garamond" w:cs="Arial"/>
                <w:color w:val="000000"/>
                <w:sz w:val="24"/>
                <w:szCs w:val="24"/>
              </w:rPr>
            </w:pPr>
            <w:r w:rsidRPr="008A703F">
              <w:rPr>
                <w:rFonts w:ascii="Garamond" w:hAnsi="Garamond" w:cs="Arial"/>
                <w:color w:val="000000"/>
                <w:sz w:val="24"/>
                <w:szCs w:val="24"/>
              </w:rPr>
              <w:t>TPI</w:t>
            </w:r>
          </w:p>
        </w:tc>
        <w:tc>
          <w:tcPr>
            <w:tcW w:w="644" w:type="pct"/>
            <w:vAlign w:val="center"/>
          </w:tcPr>
          <w:p w14:paraId="7DDD2072" w14:textId="77777777" w:rsidR="00BE49FD" w:rsidRPr="008A703F" w:rsidRDefault="00BE49FD" w:rsidP="00B90008">
            <w:pPr>
              <w:autoSpaceDE w:val="0"/>
              <w:autoSpaceDN w:val="0"/>
              <w:adjustRightInd w:val="0"/>
              <w:spacing w:line="240" w:lineRule="auto"/>
              <w:ind w:right="10"/>
              <w:contextualSpacing/>
              <w:jc w:val="center"/>
              <w:rPr>
                <w:rFonts w:ascii="Garamond" w:hAnsi="Garamond" w:cs="Arial"/>
                <w:color w:val="000000"/>
                <w:sz w:val="24"/>
                <w:szCs w:val="24"/>
              </w:rPr>
            </w:pPr>
            <w:r w:rsidRPr="008A703F">
              <w:rPr>
                <w:rFonts w:ascii="Garamond" w:hAnsi="Garamond" w:cs="Arial"/>
                <w:color w:val="000000"/>
                <w:sz w:val="24"/>
                <w:szCs w:val="24"/>
              </w:rPr>
              <w:t>RET</w:t>
            </w:r>
          </w:p>
        </w:tc>
        <w:tc>
          <w:tcPr>
            <w:tcW w:w="644" w:type="pct"/>
            <w:vAlign w:val="center"/>
          </w:tcPr>
          <w:p w14:paraId="2732C1C2" w14:textId="77777777" w:rsidR="00BE49FD" w:rsidRPr="008A703F" w:rsidRDefault="00BE49FD" w:rsidP="00B90008">
            <w:pPr>
              <w:autoSpaceDE w:val="0"/>
              <w:autoSpaceDN w:val="0"/>
              <w:adjustRightInd w:val="0"/>
              <w:spacing w:line="240" w:lineRule="auto"/>
              <w:ind w:right="10"/>
              <w:contextualSpacing/>
              <w:jc w:val="center"/>
              <w:rPr>
                <w:rFonts w:ascii="Garamond" w:hAnsi="Garamond" w:cs="Arial"/>
                <w:color w:val="000000"/>
                <w:sz w:val="24"/>
                <w:szCs w:val="24"/>
              </w:rPr>
            </w:pPr>
            <w:r w:rsidRPr="008A703F">
              <w:rPr>
                <w:rFonts w:ascii="Garamond" w:hAnsi="Garamond" w:cs="Arial"/>
                <w:color w:val="000000"/>
                <w:sz w:val="24"/>
                <w:szCs w:val="24"/>
              </w:rPr>
              <w:t>STD</w:t>
            </w:r>
          </w:p>
        </w:tc>
        <w:tc>
          <w:tcPr>
            <w:tcW w:w="454" w:type="pct"/>
            <w:vAlign w:val="center"/>
          </w:tcPr>
          <w:p w14:paraId="613FEB31" w14:textId="77777777" w:rsidR="00BE49FD" w:rsidRPr="008A703F" w:rsidRDefault="00BE49FD" w:rsidP="00B90008">
            <w:pPr>
              <w:autoSpaceDE w:val="0"/>
              <w:autoSpaceDN w:val="0"/>
              <w:adjustRightInd w:val="0"/>
              <w:spacing w:line="240" w:lineRule="auto"/>
              <w:ind w:right="10"/>
              <w:contextualSpacing/>
              <w:jc w:val="center"/>
              <w:rPr>
                <w:rFonts w:ascii="Garamond" w:hAnsi="Garamond" w:cs="Arial"/>
                <w:color w:val="000000"/>
                <w:sz w:val="24"/>
                <w:szCs w:val="24"/>
              </w:rPr>
            </w:pPr>
            <w:r w:rsidRPr="008A703F">
              <w:rPr>
                <w:rFonts w:ascii="Garamond" w:hAnsi="Garamond" w:cs="Arial"/>
                <w:color w:val="000000"/>
                <w:sz w:val="24"/>
                <w:szCs w:val="24"/>
              </w:rPr>
              <w:t>lnMV</w:t>
            </w:r>
          </w:p>
        </w:tc>
      </w:tr>
      <w:tr w:rsidR="00BE49FD" w:rsidRPr="008A703F" w14:paraId="3444E884" w14:textId="77777777" w:rsidTr="00B90008">
        <w:trPr>
          <w:trHeight w:val="225"/>
          <w:jc w:val="center"/>
        </w:trPr>
        <w:tc>
          <w:tcPr>
            <w:tcW w:w="551" w:type="pct"/>
            <w:vAlign w:val="center"/>
          </w:tcPr>
          <w:p w14:paraId="55D9626D"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TR</w:t>
            </w:r>
          </w:p>
        </w:tc>
        <w:tc>
          <w:tcPr>
            <w:tcW w:w="688" w:type="pct"/>
            <w:vAlign w:val="bottom"/>
          </w:tcPr>
          <w:p w14:paraId="0FA1C0C0" w14:textId="77777777" w:rsidR="00BE49FD" w:rsidRPr="008A703F" w:rsidRDefault="00BE49FD" w:rsidP="00B90008">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w:t>
            </w:r>
          </w:p>
        </w:tc>
        <w:tc>
          <w:tcPr>
            <w:tcW w:w="688" w:type="pct"/>
            <w:vAlign w:val="bottom"/>
          </w:tcPr>
          <w:p w14:paraId="4B6C2E5C" w14:textId="77777777" w:rsidR="00BE49FD" w:rsidRPr="008A703F" w:rsidRDefault="00BE49FD" w:rsidP="00B90008">
            <w:pPr>
              <w:spacing w:line="240" w:lineRule="auto"/>
              <w:contextualSpacing/>
              <w:jc w:val="center"/>
              <w:rPr>
                <w:rFonts w:ascii="Garamond" w:hAnsi="Garamond"/>
                <w:color w:val="000000"/>
                <w:sz w:val="24"/>
                <w:szCs w:val="24"/>
              </w:rPr>
            </w:pPr>
          </w:p>
        </w:tc>
        <w:tc>
          <w:tcPr>
            <w:tcW w:w="688" w:type="pct"/>
            <w:vAlign w:val="bottom"/>
          </w:tcPr>
          <w:p w14:paraId="103B6A7F"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52715344"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60943C55"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31DB608C" w14:textId="77777777" w:rsidR="00BE49FD" w:rsidRPr="008A703F" w:rsidRDefault="00BE49FD" w:rsidP="00B90008">
            <w:pPr>
              <w:spacing w:line="240" w:lineRule="auto"/>
              <w:contextualSpacing/>
              <w:jc w:val="center"/>
              <w:rPr>
                <w:rFonts w:ascii="Garamond" w:hAnsi="Garamond"/>
                <w:color w:val="000000"/>
                <w:sz w:val="24"/>
                <w:szCs w:val="24"/>
              </w:rPr>
            </w:pPr>
          </w:p>
        </w:tc>
        <w:tc>
          <w:tcPr>
            <w:tcW w:w="454" w:type="pct"/>
            <w:vAlign w:val="bottom"/>
          </w:tcPr>
          <w:p w14:paraId="4813A244" w14:textId="77777777" w:rsidR="00BE49FD" w:rsidRPr="008A703F" w:rsidRDefault="00BE49FD" w:rsidP="00B90008">
            <w:pPr>
              <w:spacing w:line="240" w:lineRule="auto"/>
              <w:contextualSpacing/>
              <w:jc w:val="center"/>
              <w:rPr>
                <w:rFonts w:ascii="Garamond" w:hAnsi="Garamond"/>
                <w:color w:val="000000"/>
                <w:sz w:val="24"/>
                <w:szCs w:val="24"/>
              </w:rPr>
            </w:pPr>
          </w:p>
        </w:tc>
      </w:tr>
      <w:tr w:rsidR="00BE49FD" w:rsidRPr="008A703F" w14:paraId="11BB9DAE" w14:textId="77777777" w:rsidTr="00B90008">
        <w:trPr>
          <w:trHeight w:val="225"/>
          <w:jc w:val="center"/>
        </w:trPr>
        <w:tc>
          <w:tcPr>
            <w:tcW w:w="551" w:type="pct"/>
            <w:vAlign w:val="center"/>
          </w:tcPr>
          <w:p w14:paraId="5298D350"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TV</w:t>
            </w:r>
          </w:p>
        </w:tc>
        <w:tc>
          <w:tcPr>
            <w:tcW w:w="688" w:type="pct"/>
            <w:vAlign w:val="bottom"/>
          </w:tcPr>
          <w:p w14:paraId="4BEF8937" w14:textId="51F16751"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0.0943</w:t>
            </w:r>
            <w:r w:rsidR="00BE49FD" w:rsidRPr="008A703F">
              <w:rPr>
                <w:rFonts w:ascii="Garamond" w:hAnsi="Garamond"/>
                <w:color w:val="000000"/>
                <w:sz w:val="24"/>
                <w:szCs w:val="24"/>
              </w:rPr>
              <w:t>***</w:t>
            </w:r>
          </w:p>
        </w:tc>
        <w:tc>
          <w:tcPr>
            <w:tcW w:w="688" w:type="pct"/>
            <w:vAlign w:val="bottom"/>
          </w:tcPr>
          <w:p w14:paraId="3F6FE510" w14:textId="77777777" w:rsidR="00BE49FD" w:rsidRPr="008A703F" w:rsidRDefault="00BE49FD" w:rsidP="00B90008">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w:t>
            </w:r>
          </w:p>
        </w:tc>
        <w:tc>
          <w:tcPr>
            <w:tcW w:w="688" w:type="pct"/>
            <w:vAlign w:val="bottom"/>
          </w:tcPr>
          <w:p w14:paraId="42B367BC"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779F77BA"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3BC11202"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78DC9EE1" w14:textId="77777777" w:rsidR="00BE49FD" w:rsidRPr="008A703F" w:rsidRDefault="00BE49FD" w:rsidP="00B90008">
            <w:pPr>
              <w:spacing w:line="240" w:lineRule="auto"/>
              <w:contextualSpacing/>
              <w:jc w:val="center"/>
              <w:rPr>
                <w:rFonts w:ascii="Garamond" w:hAnsi="Garamond"/>
                <w:color w:val="000000"/>
                <w:sz w:val="24"/>
                <w:szCs w:val="24"/>
              </w:rPr>
            </w:pPr>
          </w:p>
        </w:tc>
        <w:tc>
          <w:tcPr>
            <w:tcW w:w="454" w:type="pct"/>
            <w:vAlign w:val="bottom"/>
          </w:tcPr>
          <w:p w14:paraId="42C81ADE" w14:textId="77777777" w:rsidR="00BE49FD" w:rsidRPr="008A703F" w:rsidRDefault="00BE49FD" w:rsidP="00B90008">
            <w:pPr>
              <w:spacing w:line="240" w:lineRule="auto"/>
              <w:contextualSpacing/>
              <w:jc w:val="center"/>
              <w:rPr>
                <w:rFonts w:ascii="Garamond" w:hAnsi="Garamond"/>
                <w:color w:val="000000"/>
                <w:sz w:val="24"/>
                <w:szCs w:val="24"/>
              </w:rPr>
            </w:pPr>
          </w:p>
        </w:tc>
      </w:tr>
      <w:tr w:rsidR="00BE49FD" w:rsidRPr="008A703F" w14:paraId="4A5A84C0" w14:textId="77777777" w:rsidTr="00B90008">
        <w:trPr>
          <w:trHeight w:val="225"/>
          <w:jc w:val="center"/>
        </w:trPr>
        <w:tc>
          <w:tcPr>
            <w:tcW w:w="551" w:type="pct"/>
            <w:vAlign w:val="center"/>
          </w:tcPr>
          <w:p w14:paraId="659CC652"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p>
        </w:tc>
        <w:tc>
          <w:tcPr>
            <w:tcW w:w="688" w:type="pct"/>
            <w:vAlign w:val="bottom"/>
          </w:tcPr>
          <w:p w14:paraId="4A7114C6" w14:textId="39B99CD6"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(5.3296</w:t>
            </w:r>
            <w:r w:rsidR="00BE49FD" w:rsidRPr="008A703F">
              <w:rPr>
                <w:rFonts w:ascii="Garamond" w:hAnsi="Garamond"/>
                <w:color w:val="000000"/>
                <w:sz w:val="24"/>
                <w:szCs w:val="24"/>
              </w:rPr>
              <w:t>)</w:t>
            </w:r>
          </w:p>
        </w:tc>
        <w:tc>
          <w:tcPr>
            <w:tcW w:w="688" w:type="pct"/>
            <w:vAlign w:val="bottom"/>
          </w:tcPr>
          <w:p w14:paraId="6F36D9BA" w14:textId="77777777" w:rsidR="00BE49FD" w:rsidRPr="008A703F" w:rsidRDefault="00BE49FD" w:rsidP="00B90008">
            <w:pPr>
              <w:spacing w:line="240" w:lineRule="auto"/>
              <w:contextualSpacing/>
              <w:jc w:val="center"/>
              <w:rPr>
                <w:rFonts w:ascii="Garamond" w:hAnsi="Garamond"/>
                <w:color w:val="000000"/>
                <w:sz w:val="24"/>
                <w:szCs w:val="24"/>
              </w:rPr>
            </w:pPr>
          </w:p>
        </w:tc>
        <w:tc>
          <w:tcPr>
            <w:tcW w:w="688" w:type="pct"/>
            <w:vAlign w:val="bottom"/>
          </w:tcPr>
          <w:p w14:paraId="264BA0B2"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3E608456"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17C1AF83"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7C76E703" w14:textId="77777777" w:rsidR="00BE49FD" w:rsidRPr="008A703F" w:rsidRDefault="00BE49FD" w:rsidP="00B90008">
            <w:pPr>
              <w:spacing w:line="240" w:lineRule="auto"/>
              <w:contextualSpacing/>
              <w:jc w:val="center"/>
              <w:rPr>
                <w:rFonts w:ascii="Garamond" w:hAnsi="Garamond"/>
                <w:color w:val="000000"/>
                <w:sz w:val="24"/>
                <w:szCs w:val="24"/>
              </w:rPr>
            </w:pPr>
          </w:p>
        </w:tc>
        <w:tc>
          <w:tcPr>
            <w:tcW w:w="454" w:type="pct"/>
            <w:vAlign w:val="bottom"/>
          </w:tcPr>
          <w:p w14:paraId="788967A8" w14:textId="77777777" w:rsidR="00BE49FD" w:rsidRPr="008A703F" w:rsidRDefault="00BE49FD" w:rsidP="00B90008">
            <w:pPr>
              <w:spacing w:line="240" w:lineRule="auto"/>
              <w:contextualSpacing/>
              <w:jc w:val="center"/>
              <w:rPr>
                <w:rFonts w:ascii="Garamond" w:hAnsi="Garamond"/>
                <w:color w:val="000000"/>
                <w:sz w:val="24"/>
                <w:szCs w:val="24"/>
              </w:rPr>
            </w:pPr>
          </w:p>
        </w:tc>
      </w:tr>
      <w:tr w:rsidR="00BE49FD" w:rsidRPr="008A703F" w14:paraId="640057F1" w14:textId="77777777" w:rsidTr="00B90008">
        <w:trPr>
          <w:trHeight w:val="225"/>
          <w:jc w:val="center"/>
        </w:trPr>
        <w:tc>
          <w:tcPr>
            <w:tcW w:w="551" w:type="pct"/>
            <w:vAlign w:val="center"/>
          </w:tcPr>
          <w:p w14:paraId="0DA3A92C"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ILLIQ</w:t>
            </w:r>
          </w:p>
        </w:tc>
        <w:tc>
          <w:tcPr>
            <w:tcW w:w="688" w:type="pct"/>
            <w:vAlign w:val="bottom"/>
          </w:tcPr>
          <w:p w14:paraId="5A9DB448" w14:textId="20C2999B"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-0.0804***</w:t>
            </w:r>
          </w:p>
        </w:tc>
        <w:tc>
          <w:tcPr>
            <w:tcW w:w="688" w:type="pct"/>
            <w:vAlign w:val="bottom"/>
          </w:tcPr>
          <w:p w14:paraId="6F1A09F1" w14:textId="79F7C003"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-0.1121**</w:t>
            </w:r>
          </w:p>
        </w:tc>
        <w:tc>
          <w:tcPr>
            <w:tcW w:w="688" w:type="pct"/>
            <w:vAlign w:val="bottom"/>
          </w:tcPr>
          <w:p w14:paraId="54FC4FF2" w14:textId="77777777" w:rsidR="00BE49FD" w:rsidRPr="008A703F" w:rsidRDefault="00BE49FD" w:rsidP="00B90008">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w:t>
            </w:r>
          </w:p>
        </w:tc>
        <w:tc>
          <w:tcPr>
            <w:tcW w:w="644" w:type="pct"/>
            <w:vAlign w:val="bottom"/>
          </w:tcPr>
          <w:p w14:paraId="6E93D83E"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38DBC0DA"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61824EA0" w14:textId="77777777" w:rsidR="00BE49FD" w:rsidRPr="008A703F" w:rsidRDefault="00BE49FD" w:rsidP="00B90008">
            <w:pPr>
              <w:spacing w:line="240" w:lineRule="auto"/>
              <w:contextualSpacing/>
              <w:jc w:val="center"/>
              <w:rPr>
                <w:rFonts w:ascii="Garamond" w:hAnsi="Garamond"/>
                <w:color w:val="000000"/>
                <w:sz w:val="24"/>
                <w:szCs w:val="24"/>
              </w:rPr>
            </w:pPr>
          </w:p>
        </w:tc>
        <w:tc>
          <w:tcPr>
            <w:tcW w:w="454" w:type="pct"/>
            <w:vAlign w:val="bottom"/>
          </w:tcPr>
          <w:p w14:paraId="5F0F2B63" w14:textId="77777777" w:rsidR="00BE49FD" w:rsidRPr="008A703F" w:rsidRDefault="00BE49FD" w:rsidP="00B90008">
            <w:pPr>
              <w:spacing w:line="240" w:lineRule="auto"/>
              <w:contextualSpacing/>
              <w:jc w:val="center"/>
              <w:rPr>
                <w:rFonts w:ascii="Garamond" w:hAnsi="Garamond"/>
                <w:color w:val="000000"/>
                <w:sz w:val="24"/>
                <w:szCs w:val="24"/>
              </w:rPr>
            </w:pPr>
          </w:p>
        </w:tc>
      </w:tr>
      <w:tr w:rsidR="00BE49FD" w:rsidRPr="008A703F" w14:paraId="54E9FE36" w14:textId="77777777" w:rsidTr="00B90008">
        <w:trPr>
          <w:trHeight w:val="225"/>
          <w:jc w:val="center"/>
        </w:trPr>
        <w:tc>
          <w:tcPr>
            <w:tcW w:w="551" w:type="pct"/>
            <w:vAlign w:val="center"/>
          </w:tcPr>
          <w:p w14:paraId="7C3AB6BA"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p>
        </w:tc>
        <w:tc>
          <w:tcPr>
            <w:tcW w:w="688" w:type="pct"/>
            <w:vAlign w:val="bottom"/>
          </w:tcPr>
          <w:p w14:paraId="7380F946" w14:textId="45420EFC"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(-6.3267</w:t>
            </w:r>
            <w:r w:rsidR="00BE49FD" w:rsidRPr="008A703F">
              <w:rPr>
                <w:rFonts w:ascii="Garamond" w:hAnsi="Garamond"/>
                <w:color w:val="000000"/>
                <w:sz w:val="24"/>
                <w:szCs w:val="24"/>
              </w:rPr>
              <w:t>)</w:t>
            </w:r>
          </w:p>
        </w:tc>
        <w:tc>
          <w:tcPr>
            <w:tcW w:w="688" w:type="pct"/>
            <w:vAlign w:val="bottom"/>
          </w:tcPr>
          <w:p w14:paraId="35E7EE70" w14:textId="54103920"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(-2.0356</w:t>
            </w:r>
            <w:r w:rsidR="00BE49FD" w:rsidRPr="008A703F">
              <w:rPr>
                <w:rFonts w:ascii="Garamond" w:hAnsi="Garamond"/>
                <w:color w:val="000000"/>
                <w:sz w:val="24"/>
                <w:szCs w:val="24"/>
              </w:rPr>
              <w:t>)</w:t>
            </w:r>
          </w:p>
        </w:tc>
        <w:tc>
          <w:tcPr>
            <w:tcW w:w="688" w:type="pct"/>
            <w:vAlign w:val="bottom"/>
          </w:tcPr>
          <w:p w14:paraId="1DB309D8"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788D5E0F"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625E674C"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5AADC691" w14:textId="77777777" w:rsidR="00BE49FD" w:rsidRPr="008A703F" w:rsidRDefault="00BE49FD" w:rsidP="00B90008">
            <w:pPr>
              <w:spacing w:line="240" w:lineRule="auto"/>
              <w:contextualSpacing/>
              <w:jc w:val="center"/>
              <w:rPr>
                <w:rFonts w:ascii="Garamond" w:hAnsi="Garamond"/>
                <w:color w:val="000000"/>
                <w:sz w:val="24"/>
                <w:szCs w:val="24"/>
              </w:rPr>
            </w:pPr>
          </w:p>
        </w:tc>
        <w:tc>
          <w:tcPr>
            <w:tcW w:w="454" w:type="pct"/>
            <w:vAlign w:val="bottom"/>
          </w:tcPr>
          <w:p w14:paraId="57A7A176" w14:textId="77777777" w:rsidR="00BE49FD" w:rsidRPr="008A703F" w:rsidRDefault="00BE49FD" w:rsidP="00B90008">
            <w:pPr>
              <w:spacing w:line="240" w:lineRule="auto"/>
              <w:contextualSpacing/>
              <w:jc w:val="center"/>
              <w:rPr>
                <w:rFonts w:ascii="Garamond" w:hAnsi="Garamond"/>
                <w:color w:val="000000"/>
                <w:sz w:val="24"/>
                <w:szCs w:val="24"/>
              </w:rPr>
            </w:pPr>
          </w:p>
        </w:tc>
      </w:tr>
      <w:tr w:rsidR="00BE49FD" w:rsidRPr="008A703F" w14:paraId="6971B683" w14:textId="77777777" w:rsidTr="00B90008">
        <w:trPr>
          <w:trHeight w:val="225"/>
          <w:jc w:val="center"/>
        </w:trPr>
        <w:tc>
          <w:tcPr>
            <w:tcW w:w="551" w:type="pct"/>
            <w:vAlign w:val="center"/>
          </w:tcPr>
          <w:p w14:paraId="2FCA4F5C"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TPI</w:t>
            </w:r>
          </w:p>
        </w:tc>
        <w:tc>
          <w:tcPr>
            <w:tcW w:w="688" w:type="pct"/>
            <w:vAlign w:val="bottom"/>
          </w:tcPr>
          <w:p w14:paraId="7F534BEB" w14:textId="1245B94F"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-0.0929***</w:t>
            </w:r>
          </w:p>
        </w:tc>
        <w:tc>
          <w:tcPr>
            <w:tcW w:w="688" w:type="pct"/>
            <w:vAlign w:val="bottom"/>
          </w:tcPr>
          <w:p w14:paraId="39946BDC" w14:textId="12CE6246"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-0.0794***</w:t>
            </w:r>
          </w:p>
        </w:tc>
        <w:tc>
          <w:tcPr>
            <w:tcW w:w="688" w:type="pct"/>
            <w:vAlign w:val="bottom"/>
          </w:tcPr>
          <w:p w14:paraId="0DFAA992" w14:textId="50AA638D"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0.1178</w:t>
            </w:r>
            <w:r w:rsidR="00BE49FD" w:rsidRPr="008A703F">
              <w:rPr>
                <w:rFonts w:ascii="Garamond" w:hAnsi="Garamond"/>
                <w:color w:val="000000"/>
                <w:sz w:val="24"/>
                <w:szCs w:val="24"/>
              </w:rPr>
              <w:t>***</w:t>
            </w:r>
          </w:p>
        </w:tc>
        <w:tc>
          <w:tcPr>
            <w:tcW w:w="644" w:type="pct"/>
            <w:vAlign w:val="bottom"/>
          </w:tcPr>
          <w:p w14:paraId="644806ED" w14:textId="77777777" w:rsidR="00BE49FD" w:rsidRPr="008A703F" w:rsidRDefault="00BE49FD" w:rsidP="00B90008">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w:t>
            </w:r>
          </w:p>
        </w:tc>
        <w:tc>
          <w:tcPr>
            <w:tcW w:w="644" w:type="pct"/>
            <w:vAlign w:val="bottom"/>
          </w:tcPr>
          <w:p w14:paraId="3A3E977A"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0E45F3F2" w14:textId="77777777" w:rsidR="00BE49FD" w:rsidRPr="008A703F" w:rsidRDefault="00BE49FD" w:rsidP="00B90008">
            <w:pPr>
              <w:spacing w:line="240" w:lineRule="auto"/>
              <w:contextualSpacing/>
              <w:jc w:val="center"/>
              <w:rPr>
                <w:rFonts w:ascii="Garamond" w:hAnsi="Garamond"/>
                <w:color w:val="000000"/>
                <w:sz w:val="24"/>
                <w:szCs w:val="24"/>
              </w:rPr>
            </w:pPr>
          </w:p>
        </w:tc>
        <w:tc>
          <w:tcPr>
            <w:tcW w:w="454" w:type="pct"/>
            <w:vAlign w:val="bottom"/>
          </w:tcPr>
          <w:p w14:paraId="2CAC4F7A" w14:textId="77777777" w:rsidR="00BE49FD" w:rsidRPr="008A703F" w:rsidRDefault="00BE49FD" w:rsidP="00B90008">
            <w:pPr>
              <w:spacing w:line="240" w:lineRule="auto"/>
              <w:contextualSpacing/>
              <w:jc w:val="center"/>
              <w:rPr>
                <w:rFonts w:ascii="Garamond" w:hAnsi="Garamond"/>
                <w:color w:val="000000"/>
                <w:sz w:val="24"/>
                <w:szCs w:val="24"/>
              </w:rPr>
            </w:pPr>
          </w:p>
        </w:tc>
      </w:tr>
      <w:tr w:rsidR="00BE49FD" w:rsidRPr="008A703F" w14:paraId="22E96375" w14:textId="77777777" w:rsidTr="00B90008">
        <w:trPr>
          <w:trHeight w:val="225"/>
          <w:jc w:val="center"/>
        </w:trPr>
        <w:tc>
          <w:tcPr>
            <w:tcW w:w="551" w:type="pct"/>
            <w:vAlign w:val="center"/>
          </w:tcPr>
          <w:p w14:paraId="4A73AC76"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p>
        </w:tc>
        <w:tc>
          <w:tcPr>
            <w:tcW w:w="688" w:type="pct"/>
            <w:vAlign w:val="bottom"/>
          </w:tcPr>
          <w:p w14:paraId="52AC01C8" w14:textId="17E2C46C"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(-7.6906)</w:t>
            </w:r>
          </w:p>
        </w:tc>
        <w:tc>
          <w:tcPr>
            <w:tcW w:w="688" w:type="pct"/>
            <w:vAlign w:val="bottom"/>
          </w:tcPr>
          <w:p w14:paraId="2BCD4A79" w14:textId="0EE4D5CE"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(-4.2364</w:t>
            </w:r>
            <w:r w:rsidR="00BE49FD" w:rsidRPr="008A703F">
              <w:rPr>
                <w:rFonts w:ascii="Garamond" w:hAnsi="Garamond"/>
                <w:color w:val="000000"/>
                <w:sz w:val="24"/>
                <w:szCs w:val="24"/>
              </w:rPr>
              <w:t>)</w:t>
            </w:r>
          </w:p>
        </w:tc>
        <w:tc>
          <w:tcPr>
            <w:tcW w:w="688" w:type="pct"/>
            <w:vAlign w:val="bottom"/>
          </w:tcPr>
          <w:p w14:paraId="7DAEBE3F" w14:textId="7B519306"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(13.5723</w:t>
            </w:r>
            <w:r w:rsidR="00BE49FD" w:rsidRPr="008A703F">
              <w:rPr>
                <w:rFonts w:ascii="Garamond" w:hAnsi="Garamond"/>
                <w:color w:val="000000"/>
                <w:sz w:val="24"/>
                <w:szCs w:val="24"/>
              </w:rPr>
              <w:t>)</w:t>
            </w:r>
          </w:p>
        </w:tc>
        <w:tc>
          <w:tcPr>
            <w:tcW w:w="644" w:type="pct"/>
            <w:vAlign w:val="bottom"/>
          </w:tcPr>
          <w:p w14:paraId="33C5833A"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3B482A27"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5A85EB17" w14:textId="77777777" w:rsidR="00BE49FD" w:rsidRPr="008A703F" w:rsidRDefault="00BE49FD" w:rsidP="00B90008">
            <w:pPr>
              <w:spacing w:line="240" w:lineRule="auto"/>
              <w:contextualSpacing/>
              <w:jc w:val="center"/>
              <w:rPr>
                <w:rFonts w:ascii="Garamond" w:hAnsi="Garamond"/>
                <w:color w:val="000000"/>
                <w:sz w:val="24"/>
                <w:szCs w:val="24"/>
              </w:rPr>
            </w:pPr>
          </w:p>
        </w:tc>
        <w:tc>
          <w:tcPr>
            <w:tcW w:w="454" w:type="pct"/>
            <w:vAlign w:val="bottom"/>
          </w:tcPr>
          <w:p w14:paraId="5E98B1C9" w14:textId="77777777" w:rsidR="00BE49FD" w:rsidRPr="008A703F" w:rsidRDefault="00BE49FD" w:rsidP="00B90008">
            <w:pPr>
              <w:spacing w:line="240" w:lineRule="auto"/>
              <w:contextualSpacing/>
              <w:jc w:val="center"/>
              <w:rPr>
                <w:rFonts w:ascii="Garamond" w:hAnsi="Garamond"/>
                <w:color w:val="000000"/>
                <w:sz w:val="24"/>
                <w:szCs w:val="24"/>
              </w:rPr>
            </w:pPr>
          </w:p>
        </w:tc>
      </w:tr>
      <w:tr w:rsidR="00BE49FD" w:rsidRPr="008A703F" w14:paraId="7464E116" w14:textId="77777777" w:rsidTr="00B90008">
        <w:trPr>
          <w:trHeight w:val="225"/>
          <w:jc w:val="center"/>
        </w:trPr>
        <w:tc>
          <w:tcPr>
            <w:tcW w:w="551" w:type="pct"/>
            <w:vAlign w:val="center"/>
          </w:tcPr>
          <w:p w14:paraId="6E994782"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RET</w:t>
            </w:r>
          </w:p>
        </w:tc>
        <w:tc>
          <w:tcPr>
            <w:tcW w:w="688" w:type="pct"/>
            <w:vAlign w:val="bottom"/>
          </w:tcPr>
          <w:p w14:paraId="0959356C" w14:textId="28D4D48E"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0.0003</w:t>
            </w:r>
          </w:p>
        </w:tc>
        <w:tc>
          <w:tcPr>
            <w:tcW w:w="688" w:type="pct"/>
            <w:vAlign w:val="bottom"/>
          </w:tcPr>
          <w:p w14:paraId="3E6338FD" w14:textId="7DF587B5"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0.0417</w:t>
            </w:r>
          </w:p>
        </w:tc>
        <w:tc>
          <w:tcPr>
            <w:tcW w:w="688" w:type="pct"/>
            <w:vAlign w:val="bottom"/>
          </w:tcPr>
          <w:p w14:paraId="7F8E2A0F" w14:textId="5916637F"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-0.0274</w:t>
            </w:r>
          </w:p>
        </w:tc>
        <w:tc>
          <w:tcPr>
            <w:tcW w:w="644" w:type="pct"/>
            <w:vAlign w:val="bottom"/>
          </w:tcPr>
          <w:p w14:paraId="0BF06DB9" w14:textId="7A67AF6F"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0.0025</w:t>
            </w:r>
          </w:p>
        </w:tc>
        <w:tc>
          <w:tcPr>
            <w:tcW w:w="644" w:type="pct"/>
            <w:vAlign w:val="bottom"/>
          </w:tcPr>
          <w:p w14:paraId="21AE17D1" w14:textId="77777777" w:rsidR="00BE49FD" w:rsidRPr="008A703F" w:rsidRDefault="00BE49FD" w:rsidP="00B90008">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w:t>
            </w:r>
          </w:p>
        </w:tc>
        <w:tc>
          <w:tcPr>
            <w:tcW w:w="644" w:type="pct"/>
            <w:vAlign w:val="bottom"/>
          </w:tcPr>
          <w:p w14:paraId="2ED47CF3" w14:textId="77777777" w:rsidR="00BE49FD" w:rsidRPr="008A703F" w:rsidRDefault="00BE49FD" w:rsidP="00B90008">
            <w:pPr>
              <w:spacing w:line="240" w:lineRule="auto"/>
              <w:contextualSpacing/>
              <w:jc w:val="center"/>
              <w:rPr>
                <w:rFonts w:ascii="Garamond" w:hAnsi="Garamond"/>
                <w:color w:val="000000"/>
                <w:sz w:val="24"/>
                <w:szCs w:val="24"/>
              </w:rPr>
            </w:pPr>
          </w:p>
        </w:tc>
        <w:tc>
          <w:tcPr>
            <w:tcW w:w="454" w:type="pct"/>
            <w:vAlign w:val="bottom"/>
          </w:tcPr>
          <w:p w14:paraId="28CA4FD2" w14:textId="77777777" w:rsidR="00BE49FD" w:rsidRPr="008A703F" w:rsidRDefault="00BE49FD" w:rsidP="00B90008">
            <w:pPr>
              <w:spacing w:line="240" w:lineRule="auto"/>
              <w:contextualSpacing/>
              <w:jc w:val="center"/>
              <w:rPr>
                <w:rFonts w:ascii="Garamond" w:hAnsi="Garamond"/>
                <w:color w:val="000000"/>
                <w:sz w:val="24"/>
                <w:szCs w:val="24"/>
              </w:rPr>
            </w:pPr>
          </w:p>
        </w:tc>
      </w:tr>
      <w:tr w:rsidR="00BE49FD" w:rsidRPr="008A703F" w14:paraId="53BCEA0A" w14:textId="77777777" w:rsidTr="00B90008">
        <w:trPr>
          <w:trHeight w:val="225"/>
          <w:jc w:val="center"/>
        </w:trPr>
        <w:tc>
          <w:tcPr>
            <w:tcW w:w="551" w:type="pct"/>
            <w:vAlign w:val="center"/>
          </w:tcPr>
          <w:p w14:paraId="5D1BF2DD"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p>
        </w:tc>
        <w:tc>
          <w:tcPr>
            <w:tcW w:w="688" w:type="pct"/>
            <w:vAlign w:val="bottom"/>
          </w:tcPr>
          <w:p w14:paraId="1440FB74" w14:textId="07EB0DC0"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(-0.2278)</w:t>
            </w:r>
          </w:p>
        </w:tc>
        <w:tc>
          <w:tcPr>
            <w:tcW w:w="688" w:type="pct"/>
            <w:vAlign w:val="bottom"/>
          </w:tcPr>
          <w:p w14:paraId="1BFB4B96" w14:textId="09AE9D2A"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(0.4338</w:t>
            </w:r>
            <w:r w:rsidR="00BE49FD" w:rsidRPr="008A703F">
              <w:rPr>
                <w:rFonts w:ascii="Garamond" w:hAnsi="Garamond"/>
                <w:color w:val="000000"/>
                <w:sz w:val="24"/>
                <w:szCs w:val="24"/>
              </w:rPr>
              <w:t>)</w:t>
            </w:r>
          </w:p>
        </w:tc>
        <w:tc>
          <w:tcPr>
            <w:tcW w:w="688" w:type="pct"/>
            <w:vAlign w:val="bottom"/>
          </w:tcPr>
          <w:p w14:paraId="128F870C" w14:textId="44CB5F28"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(-0.4082</w:t>
            </w:r>
            <w:r w:rsidR="00BE49FD" w:rsidRPr="008A703F">
              <w:rPr>
                <w:rFonts w:ascii="Garamond" w:hAnsi="Garamond"/>
                <w:color w:val="000000"/>
                <w:sz w:val="24"/>
                <w:szCs w:val="24"/>
              </w:rPr>
              <w:t>)</w:t>
            </w:r>
          </w:p>
        </w:tc>
        <w:tc>
          <w:tcPr>
            <w:tcW w:w="644" w:type="pct"/>
            <w:vAlign w:val="bottom"/>
          </w:tcPr>
          <w:p w14:paraId="273C8AC3" w14:textId="13FC68D3"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(0.3457)</w:t>
            </w:r>
          </w:p>
        </w:tc>
        <w:tc>
          <w:tcPr>
            <w:tcW w:w="644" w:type="pct"/>
            <w:vAlign w:val="bottom"/>
          </w:tcPr>
          <w:p w14:paraId="58A4258B" w14:textId="77777777" w:rsidR="00BE49FD" w:rsidRPr="008A703F" w:rsidRDefault="00BE49FD" w:rsidP="00B90008">
            <w:pPr>
              <w:spacing w:line="240" w:lineRule="auto"/>
              <w:contextualSpacing/>
              <w:jc w:val="center"/>
              <w:rPr>
                <w:rFonts w:ascii="Garamond" w:hAnsi="Garamond"/>
                <w:color w:val="000000"/>
                <w:sz w:val="24"/>
                <w:szCs w:val="24"/>
              </w:rPr>
            </w:pPr>
          </w:p>
        </w:tc>
        <w:tc>
          <w:tcPr>
            <w:tcW w:w="644" w:type="pct"/>
            <w:vAlign w:val="bottom"/>
          </w:tcPr>
          <w:p w14:paraId="2C412302" w14:textId="77777777" w:rsidR="00BE49FD" w:rsidRPr="008A703F" w:rsidRDefault="00BE49FD" w:rsidP="00B90008">
            <w:pPr>
              <w:spacing w:line="240" w:lineRule="auto"/>
              <w:contextualSpacing/>
              <w:jc w:val="center"/>
              <w:rPr>
                <w:rFonts w:ascii="Garamond" w:hAnsi="Garamond"/>
                <w:color w:val="000000"/>
                <w:sz w:val="24"/>
                <w:szCs w:val="24"/>
              </w:rPr>
            </w:pPr>
          </w:p>
        </w:tc>
        <w:tc>
          <w:tcPr>
            <w:tcW w:w="454" w:type="pct"/>
            <w:vAlign w:val="bottom"/>
          </w:tcPr>
          <w:p w14:paraId="59E8D193" w14:textId="77777777" w:rsidR="00BE49FD" w:rsidRPr="008A703F" w:rsidRDefault="00BE49FD" w:rsidP="00B90008">
            <w:pPr>
              <w:spacing w:line="240" w:lineRule="auto"/>
              <w:contextualSpacing/>
              <w:jc w:val="center"/>
              <w:rPr>
                <w:rFonts w:ascii="Garamond" w:hAnsi="Garamond"/>
                <w:color w:val="000000"/>
                <w:sz w:val="24"/>
                <w:szCs w:val="24"/>
              </w:rPr>
            </w:pPr>
          </w:p>
        </w:tc>
      </w:tr>
      <w:tr w:rsidR="00BE49FD" w:rsidRPr="008A703F" w14:paraId="7C772D53" w14:textId="77777777" w:rsidTr="00B90008">
        <w:trPr>
          <w:trHeight w:val="225"/>
          <w:jc w:val="center"/>
        </w:trPr>
        <w:tc>
          <w:tcPr>
            <w:tcW w:w="551" w:type="pct"/>
            <w:vAlign w:val="center"/>
          </w:tcPr>
          <w:p w14:paraId="116B6238"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STD</w:t>
            </w:r>
          </w:p>
        </w:tc>
        <w:tc>
          <w:tcPr>
            <w:tcW w:w="688" w:type="pct"/>
            <w:vAlign w:val="bottom"/>
          </w:tcPr>
          <w:p w14:paraId="5FA3B6FD" w14:textId="167EB302"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0.1355**</w:t>
            </w:r>
          </w:p>
        </w:tc>
        <w:tc>
          <w:tcPr>
            <w:tcW w:w="688" w:type="pct"/>
            <w:vAlign w:val="bottom"/>
          </w:tcPr>
          <w:p w14:paraId="26AFEE0A" w14:textId="69F386E6"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0.1110</w:t>
            </w:r>
          </w:p>
        </w:tc>
        <w:tc>
          <w:tcPr>
            <w:tcW w:w="688" w:type="pct"/>
            <w:vAlign w:val="bottom"/>
          </w:tcPr>
          <w:p w14:paraId="464BBF36" w14:textId="24B1DF1A"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0.1649</w:t>
            </w:r>
            <w:r w:rsidR="00BE49FD" w:rsidRPr="008A703F">
              <w:rPr>
                <w:rFonts w:ascii="Garamond" w:hAnsi="Garamond"/>
                <w:color w:val="000000"/>
                <w:sz w:val="24"/>
                <w:szCs w:val="24"/>
              </w:rPr>
              <w:t>**</w:t>
            </w:r>
          </w:p>
        </w:tc>
        <w:tc>
          <w:tcPr>
            <w:tcW w:w="644" w:type="pct"/>
            <w:vAlign w:val="bottom"/>
          </w:tcPr>
          <w:p w14:paraId="62F362B1" w14:textId="313EAACC"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0.1455**</w:t>
            </w:r>
          </w:p>
        </w:tc>
        <w:tc>
          <w:tcPr>
            <w:tcW w:w="644" w:type="pct"/>
            <w:vAlign w:val="bottom"/>
          </w:tcPr>
          <w:p w14:paraId="2E1E059B" w14:textId="75FF15A9"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0.0878***</w:t>
            </w:r>
          </w:p>
        </w:tc>
        <w:tc>
          <w:tcPr>
            <w:tcW w:w="644" w:type="pct"/>
            <w:vAlign w:val="bottom"/>
          </w:tcPr>
          <w:p w14:paraId="50C9D4F6" w14:textId="77777777" w:rsidR="00BE49FD" w:rsidRPr="008A703F" w:rsidRDefault="00BE49FD" w:rsidP="00B90008">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w:t>
            </w:r>
          </w:p>
        </w:tc>
        <w:tc>
          <w:tcPr>
            <w:tcW w:w="454" w:type="pct"/>
            <w:vAlign w:val="bottom"/>
          </w:tcPr>
          <w:p w14:paraId="69FBD069" w14:textId="77777777" w:rsidR="00BE49FD" w:rsidRPr="008A703F" w:rsidRDefault="00BE49FD" w:rsidP="00B90008">
            <w:pPr>
              <w:spacing w:line="240" w:lineRule="auto"/>
              <w:contextualSpacing/>
              <w:jc w:val="center"/>
              <w:rPr>
                <w:rFonts w:ascii="Garamond" w:hAnsi="Garamond"/>
                <w:color w:val="000000"/>
                <w:sz w:val="24"/>
                <w:szCs w:val="24"/>
              </w:rPr>
            </w:pPr>
          </w:p>
        </w:tc>
      </w:tr>
      <w:tr w:rsidR="00BE49FD" w:rsidRPr="008A703F" w14:paraId="1A6ECE99" w14:textId="77777777" w:rsidTr="00B90008">
        <w:trPr>
          <w:trHeight w:val="225"/>
          <w:jc w:val="center"/>
        </w:trPr>
        <w:tc>
          <w:tcPr>
            <w:tcW w:w="551" w:type="pct"/>
            <w:vAlign w:val="center"/>
          </w:tcPr>
          <w:p w14:paraId="0312B98C"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p>
        </w:tc>
        <w:tc>
          <w:tcPr>
            <w:tcW w:w="688" w:type="pct"/>
            <w:vAlign w:val="bottom"/>
          </w:tcPr>
          <w:p w14:paraId="0064F506" w14:textId="2065107B"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(2.1033</w:t>
            </w:r>
            <w:r w:rsidR="00BE49FD" w:rsidRPr="008A703F">
              <w:rPr>
                <w:rFonts w:ascii="Garamond" w:hAnsi="Garamond"/>
                <w:color w:val="000000"/>
                <w:sz w:val="24"/>
                <w:szCs w:val="24"/>
              </w:rPr>
              <w:t>)</w:t>
            </w:r>
          </w:p>
        </w:tc>
        <w:tc>
          <w:tcPr>
            <w:tcW w:w="688" w:type="pct"/>
            <w:vAlign w:val="bottom"/>
          </w:tcPr>
          <w:p w14:paraId="3C188D65" w14:textId="06D4B917"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(1.3613)</w:t>
            </w:r>
          </w:p>
        </w:tc>
        <w:tc>
          <w:tcPr>
            <w:tcW w:w="688" w:type="pct"/>
            <w:vAlign w:val="bottom"/>
          </w:tcPr>
          <w:p w14:paraId="14F53E98" w14:textId="00E0A14D"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(1.9912)</w:t>
            </w:r>
          </w:p>
        </w:tc>
        <w:tc>
          <w:tcPr>
            <w:tcW w:w="644" w:type="pct"/>
            <w:vAlign w:val="bottom"/>
          </w:tcPr>
          <w:p w14:paraId="1F6F0DCF" w14:textId="4B0195A2"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(1.9421</w:t>
            </w:r>
            <w:r w:rsidR="00BE49FD" w:rsidRPr="008A703F">
              <w:rPr>
                <w:rFonts w:ascii="Garamond" w:hAnsi="Garamond"/>
                <w:color w:val="000000"/>
                <w:sz w:val="24"/>
                <w:szCs w:val="24"/>
              </w:rPr>
              <w:t>)</w:t>
            </w:r>
          </w:p>
        </w:tc>
        <w:tc>
          <w:tcPr>
            <w:tcW w:w="644" w:type="pct"/>
            <w:vAlign w:val="bottom"/>
          </w:tcPr>
          <w:p w14:paraId="027187B5" w14:textId="55EEDAAC"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(-10.9269)</w:t>
            </w:r>
          </w:p>
        </w:tc>
        <w:tc>
          <w:tcPr>
            <w:tcW w:w="644" w:type="pct"/>
            <w:vAlign w:val="bottom"/>
          </w:tcPr>
          <w:p w14:paraId="586FE57F" w14:textId="77777777" w:rsidR="00BE49FD" w:rsidRPr="008A703F" w:rsidRDefault="00BE49FD" w:rsidP="00B90008">
            <w:pPr>
              <w:spacing w:line="240" w:lineRule="auto"/>
              <w:contextualSpacing/>
              <w:jc w:val="center"/>
              <w:rPr>
                <w:rFonts w:ascii="Garamond" w:hAnsi="Garamond"/>
                <w:color w:val="000000"/>
                <w:sz w:val="24"/>
                <w:szCs w:val="24"/>
              </w:rPr>
            </w:pPr>
          </w:p>
        </w:tc>
        <w:tc>
          <w:tcPr>
            <w:tcW w:w="454" w:type="pct"/>
            <w:vAlign w:val="bottom"/>
          </w:tcPr>
          <w:p w14:paraId="57C42290" w14:textId="77777777" w:rsidR="00BE49FD" w:rsidRPr="008A703F" w:rsidRDefault="00BE49FD" w:rsidP="00B90008">
            <w:pPr>
              <w:spacing w:line="240" w:lineRule="auto"/>
              <w:contextualSpacing/>
              <w:jc w:val="center"/>
              <w:rPr>
                <w:rFonts w:ascii="Garamond" w:hAnsi="Garamond"/>
                <w:color w:val="000000"/>
                <w:sz w:val="24"/>
                <w:szCs w:val="24"/>
              </w:rPr>
            </w:pPr>
          </w:p>
        </w:tc>
      </w:tr>
      <w:tr w:rsidR="00BE49FD" w:rsidRPr="008A703F" w14:paraId="3D17527F" w14:textId="77777777" w:rsidTr="00B90008">
        <w:trPr>
          <w:trHeight w:val="225"/>
          <w:jc w:val="center"/>
        </w:trPr>
        <w:tc>
          <w:tcPr>
            <w:tcW w:w="551" w:type="pct"/>
            <w:vAlign w:val="center"/>
          </w:tcPr>
          <w:p w14:paraId="27F886B8"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r w:rsidRPr="008A703F">
              <w:rPr>
                <w:rFonts w:ascii="Garamond" w:hAnsi="Garamond" w:cs="Arial"/>
                <w:color w:val="000000"/>
                <w:sz w:val="24"/>
                <w:szCs w:val="24"/>
              </w:rPr>
              <w:t>lnMV</w:t>
            </w:r>
          </w:p>
        </w:tc>
        <w:tc>
          <w:tcPr>
            <w:tcW w:w="688" w:type="pct"/>
            <w:vAlign w:val="bottom"/>
          </w:tcPr>
          <w:p w14:paraId="04551119" w14:textId="5946ECAB"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0.1287</w:t>
            </w:r>
            <w:r w:rsidR="00BE49FD" w:rsidRPr="008A703F">
              <w:rPr>
                <w:rFonts w:ascii="Garamond" w:hAnsi="Garamond"/>
                <w:color w:val="000000"/>
                <w:sz w:val="24"/>
                <w:szCs w:val="24"/>
              </w:rPr>
              <w:t>***</w:t>
            </w:r>
          </w:p>
        </w:tc>
        <w:tc>
          <w:tcPr>
            <w:tcW w:w="688" w:type="pct"/>
            <w:vAlign w:val="bottom"/>
          </w:tcPr>
          <w:p w14:paraId="4E7D8DCD" w14:textId="08A50C7E"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0.0439***</w:t>
            </w:r>
          </w:p>
        </w:tc>
        <w:tc>
          <w:tcPr>
            <w:tcW w:w="688" w:type="pct"/>
            <w:vAlign w:val="bottom"/>
          </w:tcPr>
          <w:p w14:paraId="41B5C146" w14:textId="2EF9C4B3"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-0.0483**</w:t>
            </w:r>
          </w:p>
        </w:tc>
        <w:tc>
          <w:tcPr>
            <w:tcW w:w="644" w:type="pct"/>
            <w:vAlign w:val="bottom"/>
          </w:tcPr>
          <w:p w14:paraId="74C45F10" w14:textId="37A27272"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-0.0500</w:t>
            </w:r>
          </w:p>
        </w:tc>
        <w:tc>
          <w:tcPr>
            <w:tcW w:w="644" w:type="pct"/>
            <w:vAlign w:val="bottom"/>
          </w:tcPr>
          <w:p w14:paraId="2C7FD157" w14:textId="722C8E52"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-0.0348</w:t>
            </w:r>
          </w:p>
        </w:tc>
        <w:tc>
          <w:tcPr>
            <w:tcW w:w="644" w:type="pct"/>
            <w:vAlign w:val="bottom"/>
          </w:tcPr>
          <w:p w14:paraId="3E8EB911" w14:textId="39E5D36D"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-0.0807</w:t>
            </w:r>
            <w:r w:rsidR="00BE49FD" w:rsidRPr="008A703F">
              <w:rPr>
                <w:rFonts w:ascii="Garamond" w:hAnsi="Garamond"/>
                <w:color w:val="000000"/>
                <w:sz w:val="24"/>
                <w:szCs w:val="24"/>
              </w:rPr>
              <w:t>***</w:t>
            </w:r>
          </w:p>
        </w:tc>
        <w:tc>
          <w:tcPr>
            <w:tcW w:w="454" w:type="pct"/>
            <w:vAlign w:val="bottom"/>
          </w:tcPr>
          <w:p w14:paraId="045E9F71" w14:textId="77777777" w:rsidR="00BE49FD" w:rsidRPr="008A703F" w:rsidRDefault="00BE49FD" w:rsidP="00B90008">
            <w:pPr>
              <w:spacing w:line="240" w:lineRule="auto"/>
              <w:contextualSpacing/>
              <w:jc w:val="center"/>
              <w:rPr>
                <w:rFonts w:ascii="Garamond" w:hAnsi="Garamond"/>
                <w:color w:val="000000"/>
                <w:sz w:val="24"/>
                <w:szCs w:val="24"/>
              </w:rPr>
            </w:pPr>
            <w:r w:rsidRPr="008A703F">
              <w:rPr>
                <w:rFonts w:ascii="Garamond" w:hAnsi="Garamond"/>
                <w:color w:val="000000"/>
                <w:sz w:val="24"/>
                <w:szCs w:val="24"/>
              </w:rPr>
              <w:t>1</w:t>
            </w:r>
          </w:p>
        </w:tc>
      </w:tr>
      <w:tr w:rsidR="00BE49FD" w:rsidRPr="008A703F" w14:paraId="63CB2EEA" w14:textId="77777777" w:rsidTr="00B90008">
        <w:trPr>
          <w:trHeight w:val="225"/>
          <w:jc w:val="center"/>
        </w:trPr>
        <w:tc>
          <w:tcPr>
            <w:tcW w:w="551" w:type="pct"/>
            <w:vAlign w:val="center"/>
          </w:tcPr>
          <w:p w14:paraId="42C49E90" w14:textId="77777777" w:rsidR="00BE49FD" w:rsidRPr="008A703F" w:rsidRDefault="00BE49FD" w:rsidP="00B90008">
            <w:pPr>
              <w:autoSpaceDE w:val="0"/>
              <w:autoSpaceDN w:val="0"/>
              <w:adjustRightInd w:val="0"/>
              <w:spacing w:line="240" w:lineRule="auto"/>
              <w:contextualSpacing/>
              <w:rPr>
                <w:rFonts w:ascii="Garamond" w:hAnsi="Garamond" w:cs="Arial"/>
                <w:color w:val="000000"/>
                <w:sz w:val="24"/>
                <w:szCs w:val="24"/>
              </w:rPr>
            </w:pPr>
          </w:p>
        </w:tc>
        <w:tc>
          <w:tcPr>
            <w:tcW w:w="688" w:type="pct"/>
            <w:vAlign w:val="bottom"/>
          </w:tcPr>
          <w:p w14:paraId="0C03DEA5" w14:textId="3DD30E7E"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(6.2767</w:t>
            </w:r>
            <w:r w:rsidR="00BE49FD" w:rsidRPr="008A703F">
              <w:rPr>
                <w:rFonts w:ascii="Garamond" w:hAnsi="Garamond"/>
                <w:color w:val="000000"/>
                <w:sz w:val="24"/>
                <w:szCs w:val="24"/>
              </w:rPr>
              <w:t>)</w:t>
            </w:r>
          </w:p>
        </w:tc>
        <w:tc>
          <w:tcPr>
            <w:tcW w:w="688" w:type="pct"/>
            <w:vAlign w:val="bottom"/>
          </w:tcPr>
          <w:p w14:paraId="0B811BBD" w14:textId="1148FAC2"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(3.2013</w:t>
            </w:r>
            <w:r w:rsidR="00BE49FD" w:rsidRPr="008A703F">
              <w:rPr>
                <w:rFonts w:ascii="Garamond" w:hAnsi="Garamond"/>
                <w:color w:val="000000"/>
                <w:sz w:val="24"/>
                <w:szCs w:val="24"/>
              </w:rPr>
              <w:t>)</w:t>
            </w:r>
          </w:p>
        </w:tc>
        <w:tc>
          <w:tcPr>
            <w:tcW w:w="688" w:type="pct"/>
            <w:vAlign w:val="bottom"/>
          </w:tcPr>
          <w:p w14:paraId="7311D32F" w14:textId="5B7949A9"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(-2.2938)</w:t>
            </w:r>
          </w:p>
        </w:tc>
        <w:tc>
          <w:tcPr>
            <w:tcW w:w="644" w:type="pct"/>
            <w:vAlign w:val="bottom"/>
          </w:tcPr>
          <w:p w14:paraId="0DDFB4C1" w14:textId="0A0EC6CD"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(-1.4301</w:t>
            </w:r>
            <w:r w:rsidR="00BE49FD" w:rsidRPr="008A703F">
              <w:rPr>
                <w:rFonts w:ascii="Garamond" w:hAnsi="Garamond"/>
                <w:color w:val="000000"/>
                <w:sz w:val="24"/>
                <w:szCs w:val="24"/>
              </w:rPr>
              <w:t>)</w:t>
            </w:r>
          </w:p>
        </w:tc>
        <w:tc>
          <w:tcPr>
            <w:tcW w:w="644" w:type="pct"/>
            <w:vAlign w:val="bottom"/>
          </w:tcPr>
          <w:p w14:paraId="5A25FB32" w14:textId="24C28865" w:rsidR="00BE49FD" w:rsidRPr="008A703F" w:rsidRDefault="00E500C6" w:rsidP="00E500C6">
            <w:pPr>
              <w:spacing w:line="240" w:lineRule="auto"/>
              <w:contextualSpacing/>
              <w:jc w:val="center"/>
              <w:rPr>
                <w:rFonts w:ascii="Garamond" w:hAnsi="Garamond"/>
                <w:color w:val="000000"/>
                <w:sz w:val="24"/>
                <w:szCs w:val="24"/>
              </w:rPr>
            </w:pPr>
            <w:r>
              <w:rPr>
                <w:rFonts w:ascii="Garamond" w:hAnsi="Garamond"/>
                <w:color w:val="000000"/>
                <w:sz w:val="24"/>
                <w:szCs w:val="24"/>
              </w:rPr>
              <w:t>(-0.6386</w:t>
            </w:r>
            <w:r w:rsidR="00BE49FD" w:rsidRPr="008A703F">
              <w:rPr>
                <w:rFonts w:ascii="Garamond" w:hAnsi="Garamond"/>
                <w:color w:val="000000"/>
                <w:sz w:val="24"/>
                <w:szCs w:val="24"/>
              </w:rPr>
              <w:t>)</w:t>
            </w:r>
          </w:p>
        </w:tc>
        <w:tc>
          <w:tcPr>
            <w:tcW w:w="644" w:type="pct"/>
            <w:vAlign w:val="bottom"/>
          </w:tcPr>
          <w:p w14:paraId="7E229802" w14:textId="40ECDEC1" w:rsidR="00BE49FD" w:rsidRPr="008A703F" w:rsidRDefault="00BE49FD" w:rsidP="00E500C6">
            <w:pPr>
              <w:spacing w:line="240" w:lineRule="auto"/>
              <w:contextualSpacing/>
              <w:jc w:val="center"/>
              <w:rPr>
                <w:rFonts w:ascii="Garamond" w:hAnsi="Garamond"/>
                <w:color w:val="000000"/>
                <w:sz w:val="24"/>
                <w:szCs w:val="24"/>
              </w:rPr>
            </w:pPr>
            <w:r w:rsidRPr="008A703F">
              <w:rPr>
                <w:rFonts w:ascii="Garamond" w:hAnsi="Garamond"/>
                <w:color w:val="000000"/>
                <w:sz w:val="24"/>
                <w:szCs w:val="24"/>
              </w:rPr>
              <w:t>(-2.5934)</w:t>
            </w:r>
          </w:p>
        </w:tc>
        <w:tc>
          <w:tcPr>
            <w:tcW w:w="454" w:type="pct"/>
            <w:vAlign w:val="bottom"/>
          </w:tcPr>
          <w:p w14:paraId="102E85AE" w14:textId="77777777" w:rsidR="00BE49FD" w:rsidRPr="008A703F" w:rsidRDefault="00BE49FD" w:rsidP="00B90008">
            <w:pPr>
              <w:spacing w:line="240" w:lineRule="auto"/>
              <w:contextualSpacing/>
              <w:jc w:val="center"/>
              <w:rPr>
                <w:rFonts w:ascii="Garamond" w:hAnsi="Garamond"/>
                <w:color w:val="000000"/>
                <w:sz w:val="24"/>
                <w:szCs w:val="24"/>
              </w:rPr>
            </w:pPr>
          </w:p>
        </w:tc>
      </w:tr>
    </w:tbl>
    <w:p w14:paraId="04D3A486" w14:textId="77777777" w:rsidR="00BE49FD" w:rsidRDefault="00BE49FD" w:rsidP="00BE49FD">
      <w:pPr>
        <w:autoSpaceDE w:val="0"/>
        <w:autoSpaceDN w:val="0"/>
        <w:adjustRightInd w:val="0"/>
        <w:spacing w:line="240" w:lineRule="auto"/>
        <w:contextualSpacing/>
        <w:jc w:val="both"/>
        <w:rPr>
          <w:rFonts w:ascii="Garamond" w:hAnsi="Garamond" w:cs="Arial"/>
        </w:rPr>
      </w:pPr>
      <w:r>
        <w:rPr>
          <w:rFonts w:ascii="Garamond" w:hAnsi="Garamond" w:cs="Arial"/>
        </w:rPr>
        <w:t>Note: This table represents the median values of correlation matrix of time-series means of the monthly bivariate variables of each market.</w:t>
      </w:r>
      <w:r w:rsidRPr="00F62AFC">
        <w:rPr>
          <w:rFonts w:ascii="Garamond" w:hAnsi="Garamond" w:cs="Arial"/>
        </w:rPr>
        <w:t xml:space="preserve"> </w:t>
      </w:r>
    </w:p>
    <w:p w14:paraId="465B502B" w14:textId="77777777" w:rsidR="00BE49FD" w:rsidRDefault="00BE49FD" w:rsidP="00BE49FD">
      <w:pPr>
        <w:autoSpaceDE w:val="0"/>
        <w:autoSpaceDN w:val="0"/>
        <w:adjustRightInd w:val="0"/>
        <w:spacing w:line="240" w:lineRule="auto"/>
        <w:contextualSpacing/>
        <w:jc w:val="both"/>
        <w:rPr>
          <w:rFonts w:ascii="Garamond" w:hAnsi="Garamond" w:cs="Arial"/>
        </w:rPr>
      </w:pPr>
      <w:r>
        <w:rPr>
          <w:rFonts w:ascii="Garamond" w:hAnsi="Garamond" w:cs="Arial"/>
        </w:rPr>
        <w:t>***, ** and * are significant at the 1, 5 and 10 percent levels; t-statistics are in parenthesis.</w:t>
      </w:r>
    </w:p>
    <w:p w14:paraId="381F50E5" w14:textId="77777777" w:rsidR="00BE49FD" w:rsidRPr="00527A63" w:rsidRDefault="00BE49FD" w:rsidP="00BE49FD">
      <w:pPr>
        <w:spacing w:line="360" w:lineRule="auto"/>
        <w:jc w:val="both"/>
        <w:rPr>
          <w:rFonts w:ascii="Garamond" w:hAnsi="Garamond" w:cs="Arial"/>
          <w:sz w:val="24"/>
          <w:szCs w:val="24"/>
        </w:rPr>
      </w:pPr>
      <w:r>
        <w:rPr>
          <w:rFonts w:ascii="Arial" w:hAnsi="Arial" w:cs="Arial"/>
          <w:sz w:val="18"/>
          <w:szCs w:val="18"/>
        </w:rPr>
        <w:br/>
      </w:r>
      <w:r>
        <w:rPr>
          <w:rFonts w:ascii="Garamond" w:hAnsi="Garamond" w:cs="Arial"/>
          <w:sz w:val="24"/>
          <w:szCs w:val="24"/>
        </w:rPr>
        <w:t xml:space="preserve">Similar to the previous studies, such as Chordia et al. (2005) and Goyenko and Ukhov (2009) the median correlation of standard deviation with each of the liquidity measures of our sample markets is strong and statistically significant. All results are positive and the strongest association is found with the illiquidity ratio (0.32). In addition, there is a positive correlation (0.13) between return and standard deviation among the sample companies over the sample periods for all eight Asian equity markets. This suggests investors of this market could earn higher returns from risky investments. Surprisingly, the magnitude of correlations between (il)liquidity measures are relatively small, e.g. TV and TPI or TR and ILLIQ. This highlights the fact that the several (il)liquidity measures used in the analysis are not representing the same information, but different aspects of the broad concept of market liquidity (see </w:t>
      </w:r>
      <w:r>
        <w:rPr>
          <w:rFonts w:ascii="Garamond" w:hAnsi="Garamond"/>
          <w:sz w:val="24"/>
          <w:szCs w:val="24"/>
        </w:rPr>
        <w:t>Fernández-Amador et al., 2013).</w:t>
      </w:r>
    </w:p>
    <w:p w14:paraId="246F41C7" w14:textId="4B70FAFF" w:rsidR="00BE49FD" w:rsidRPr="00544FBC" w:rsidRDefault="00BE49FD" w:rsidP="00BE49FD">
      <w:pPr>
        <w:spacing w:line="360" w:lineRule="auto"/>
        <w:jc w:val="both"/>
        <w:rPr>
          <w:rFonts w:ascii="Garamond" w:hAnsi="Garamond" w:cs="Arial"/>
          <w:sz w:val="24"/>
          <w:szCs w:val="24"/>
        </w:rPr>
      </w:pPr>
      <w:r w:rsidRPr="00544FBC">
        <w:rPr>
          <w:rFonts w:ascii="Garamond" w:hAnsi="Garamond"/>
          <w:sz w:val="24"/>
          <w:szCs w:val="24"/>
        </w:rPr>
        <w:lastRenderedPageBreak/>
        <w:t>We also check whether any long-run association</w:t>
      </w:r>
      <w:r>
        <w:rPr>
          <w:rFonts w:ascii="Garamond" w:hAnsi="Garamond"/>
          <w:sz w:val="24"/>
          <w:szCs w:val="24"/>
        </w:rPr>
        <w:t>s</w:t>
      </w:r>
      <w:r w:rsidRPr="00544FBC">
        <w:rPr>
          <w:rFonts w:ascii="Garamond" w:hAnsi="Garamond"/>
          <w:sz w:val="24"/>
          <w:szCs w:val="24"/>
        </w:rPr>
        <w:t xml:space="preserve"> exist between </w:t>
      </w:r>
      <w:r w:rsidR="001615B7">
        <w:rPr>
          <w:rFonts w:ascii="Garamond" w:hAnsi="Garamond"/>
          <w:sz w:val="24"/>
          <w:szCs w:val="24"/>
        </w:rPr>
        <w:t xml:space="preserve">the </w:t>
      </w:r>
      <w:r w:rsidRPr="00544FBC">
        <w:rPr>
          <w:rFonts w:ascii="Garamond" w:hAnsi="Garamond"/>
          <w:sz w:val="24"/>
          <w:szCs w:val="24"/>
        </w:rPr>
        <w:t xml:space="preserve">price of each stock and macroeconomic management policies applying </w:t>
      </w:r>
      <w:r>
        <w:rPr>
          <w:rFonts w:ascii="Garamond" w:hAnsi="Garamond"/>
          <w:sz w:val="24"/>
          <w:szCs w:val="24"/>
        </w:rPr>
        <w:t xml:space="preserve">the </w:t>
      </w:r>
      <w:r w:rsidRPr="00544FBC">
        <w:rPr>
          <w:rFonts w:ascii="Garamond" w:hAnsi="Garamond"/>
          <w:sz w:val="24"/>
          <w:szCs w:val="24"/>
        </w:rPr>
        <w:t xml:space="preserve">‘cross-sectional cointegration’ framework of </w:t>
      </w:r>
      <w:r w:rsidRPr="00544FBC">
        <w:rPr>
          <w:rFonts w:ascii="Garamond" w:hAnsi="Garamond" w:cs="Arial"/>
          <w:sz w:val="24"/>
          <w:szCs w:val="24"/>
        </w:rPr>
        <w:t>Pedroni (1999, 2004) and Kao (1999)</w:t>
      </w:r>
      <w:r w:rsidRPr="00544FBC">
        <w:rPr>
          <w:rFonts w:ascii="Garamond" w:hAnsi="Garamond"/>
          <w:sz w:val="24"/>
          <w:szCs w:val="24"/>
        </w:rPr>
        <w:t xml:space="preserve">. We do this because when time series are cointegrated there must be at least one Granger causal flow in the system; moreover, the causal flow may exist because they have some other common feature (see Alexander, 2008). That means when some variables are cointegrated with each other, they may also influence some further dynamics within those series. </w:t>
      </w:r>
      <w:r w:rsidR="001615B7">
        <w:rPr>
          <w:rFonts w:ascii="Garamond" w:hAnsi="Garamond"/>
          <w:sz w:val="24"/>
          <w:szCs w:val="24"/>
        </w:rPr>
        <w:t>For example,</w:t>
      </w:r>
      <w:r w:rsidRPr="00544FBC">
        <w:rPr>
          <w:rFonts w:ascii="Garamond" w:hAnsi="Garamond"/>
          <w:sz w:val="24"/>
          <w:szCs w:val="24"/>
        </w:rPr>
        <w:t xml:space="preserve"> when money supply and price series are cointegrated then changes in </w:t>
      </w:r>
      <w:r w:rsidR="001615B7">
        <w:rPr>
          <w:rFonts w:ascii="Garamond" w:hAnsi="Garamond"/>
          <w:sz w:val="24"/>
          <w:szCs w:val="24"/>
        </w:rPr>
        <w:t xml:space="preserve">the </w:t>
      </w:r>
      <w:r w:rsidRPr="00544FBC">
        <w:rPr>
          <w:rFonts w:ascii="Garamond" w:hAnsi="Garamond"/>
          <w:sz w:val="24"/>
          <w:szCs w:val="24"/>
        </w:rPr>
        <w:t xml:space="preserve">money supply (growth rate) may influence stock </w:t>
      </w:r>
      <w:r w:rsidR="001615B7">
        <w:rPr>
          <w:rFonts w:ascii="Garamond" w:hAnsi="Garamond"/>
          <w:sz w:val="24"/>
          <w:szCs w:val="24"/>
        </w:rPr>
        <w:t xml:space="preserve">bid-ask </w:t>
      </w:r>
      <w:r w:rsidRPr="00544FBC">
        <w:rPr>
          <w:rFonts w:ascii="Garamond" w:hAnsi="Garamond"/>
          <w:sz w:val="24"/>
          <w:szCs w:val="24"/>
        </w:rPr>
        <w:t>spread</w:t>
      </w:r>
      <w:r w:rsidR="001615B7">
        <w:rPr>
          <w:rFonts w:ascii="Garamond" w:hAnsi="Garamond"/>
          <w:sz w:val="24"/>
          <w:szCs w:val="24"/>
        </w:rPr>
        <w:t>s</w:t>
      </w:r>
      <w:r w:rsidRPr="00544FBC">
        <w:rPr>
          <w:rFonts w:ascii="Garamond" w:hAnsi="Garamond"/>
          <w:sz w:val="24"/>
          <w:szCs w:val="24"/>
        </w:rPr>
        <w:t xml:space="preserve">, returns or volatility. </w:t>
      </w:r>
      <w:r w:rsidRPr="00544FBC">
        <w:rPr>
          <w:rFonts w:ascii="Garamond" w:hAnsi="Garamond" w:cs="Arial"/>
          <w:sz w:val="24"/>
          <w:szCs w:val="24"/>
        </w:rPr>
        <w:t>The detail</w:t>
      </w:r>
      <w:r>
        <w:rPr>
          <w:rFonts w:ascii="Garamond" w:hAnsi="Garamond" w:cs="Arial"/>
          <w:sz w:val="24"/>
          <w:szCs w:val="24"/>
        </w:rPr>
        <w:t>ed</w:t>
      </w:r>
      <w:r w:rsidRPr="00544FBC">
        <w:rPr>
          <w:rFonts w:ascii="Garamond" w:hAnsi="Garamond" w:cs="Arial"/>
          <w:sz w:val="24"/>
          <w:szCs w:val="24"/>
        </w:rPr>
        <w:t xml:space="preserve"> results of our panel cointegration are not reported here but available on request. </w:t>
      </w:r>
    </w:p>
    <w:p w14:paraId="5B3B27F0" w14:textId="5FC9AAB1" w:rsidR="00BE49FD" w:rsidRPr="00544FBC" w:rsidRDefault="00BE49FD" w:rsidP="00BE49FD">
      <w:pPr>
        <w:autoSpaceDE w:val="0"/>
        <w:autoSpaceDN w:val="0"/>
        <w:adjustRightInd w:val="0"/>
        <w:spacing w:line="360" w:lineRule="auto"/>
        <w:jc w:val="both"/>
        <w:rPr>
          <w:rFonts w:ascii="Garamond" w:hAnsi="Garamond" w:cs="Arial"/>
          <w:sz w:val="24"/>
          <w:szCs w:val="24"/>
        </w:rPr>
      </w:pPr>
      <w:r w:rsidRPr="00544FBC">
        <w:rPr>
          <w:rFonts w:ascii="Garamond" w:hAnsi="Garamond" w:cs="Arial"/>
          <w:sz w:val="24"/>
          <w:szCs w:val="24"/>
        </w:rPr>
        <w:t>Under the structure of Pedroni (1999, 2004), we check</w:t>
      </w:r>
      <w:r>
        <w:rPr>
          <w:rFonts w:ascii="Garamond" w:hAnsi="Garamond" w:cs="Arial"/>
          <w:sz w:val="24"/>
          <w:szCs w:val="24"/>
        </w:rPr>
        <w:t>ed</w:t>
      </w:r>
      <w:r w:rsidRPr="00544FBC">
        <w:rPr>
          <w:rFonts w:ascii="Garamond" w:hAnsi="Garamond" w:cs="Arial"/>
          <w:sz w:val="24"/>
          <w:szCs w:val="24"/>
        </w:rPr>
        <w:t xml:space="preserve"> the long-run association of stock price respectively with monetary and fiscal policy variables. Results for each market indicate that several within-dimension and between-dimension statistics are significant from </w:t>
      </w:r>
      <w:r>
        <w:rPr>
          <w:rFonts w:ascii="Garamond" w:hAnsi="Garamond" w:cs="Arial"/>
          <w:sz w:val="24"/>
          <w:szCs w:val="24"/>
        </w:rPr>
        <w:t xml:space="preserve">the </w:t>
      </w:r>
      <w:r w:rsidRPr="00544FBC">
        <w:rPr>
          <w:rFonts w:ascii="Garamond" w:hAnsi="Garamond" w:cs="Arial"/>
          <w:sz w:val="24"/>
          <w:szCs w:val="24"/>
        </w:rPr>
        <w:t>1 to 10 percent level. That means we can reject the null hypothesis of no cointegration and therefore, long-run association</w:t>
      </w:r>
      <w:r>
        <w:rPr>
          <w:rFonts w:ascii="Garamond" w:hAnsi="Garamond" w:cs="Arial"/>
          <w:sz w:val="24"/>
          <w:szCs w:val="24"/>
        </w:rPr>
        <w:t>s</w:t>
      </w:r>
      <w:r w:rsidRPr="00544FBC">
        <w:rPr>
          <w:rFonts w:ascii="Garamond" w:hAnsi="Garamond" w:cs="Arial"/>
          <w:sz w:val="24"/>
          <w:szCs w:val="24"/>
        </w:rPr>
        <w:t xml:space="preserve"> exist </w:t>
      </w:r>
      <w:r w:rsidR="001615B7">
        <w:rPr>
          <w:rFonts w:ascii="Garamond" w:hAnsi="Garamond" w:cs="Arial"/>
          <w:sz w:val="24"/>
          <w:szCs w:val="24"/>
        </w:rPr>
        <w:t>between</w:t>
      </w:r>
      <w:r w:rsidRPr="00544FBC">
        <w:rPr>
          <w:rFonts w:ascii="Garamond" w:hAnsi="Garamond" w:cs="Arial"/>
          <w:sz w:val="24"/>
          <w:szCs w:val="24"/>
        </w:rPr>
        <w:t xml:space="preserve"> </w:t>
      </w:r>
      <w:r w:rsidR="001615B7">
        <w:rPr>
          <w:rFonts w:ascii="Garamond" w:hAnsi="Garamond" w:cs="Arial"/>
          <w:sz w:val="24"/>
          <w:szCs w:val="24"/>
        </w:rPr>
        <w:t>the</w:t>
      </w:r>
      <w:r w:rsidRPr="00544FBC">
        <w:rPr>
          <w:rFonts w:ascii="Garamond" w:hAnsi="Garamond" w:cs="Arial"/>
          <w:sz w:val="24"/>
          <w:szCs w:val="24"/>
        </w:rPr>
        <w:t xml:space="preserve"> monetary and fiscal policy variables </w:t>
      </w:r>
      <w:r w:rsidR="001615B7">
        <w:rPr>
          <w:rFonts w:ascii="Garamond" w:hAnsi="Garamond" w:cs="Arial"/>
          <w:sz w:val="24"/>
          <w:szCs w:val="24"/>
        </w:rPr>
        <w:t>and</w:t>
      </w:r>
      <w:r w:rsidRPr="00544FBC">
        <w:rPr>
          <w:rFonts w:ascii="Garamond" w:hAnsi="Garamond" w:cs="Arial"/>
          <w:sz w:val="24"/>
          <w:szCs w:val="24"/>
        </w:rPr>
        <w:t xml:space="preserve"> the monthly price of each stock in our sample. We combine the macroeconomic variables and macroeconomic management variables to run Kao’s (1999) panel cointegration with </w:t>
      </w:r>
      <w:r>
        <w:rPr>
          <w:rFonts w:ascii="Garamond" w:hAnsi="Garamond" w:cs="Arial"/>
          <w:sz w:val="24"/>
          <w:szCs w:val="24"/>
        </w:rPr>
        <w:t xml:space="preserve">the </w:t>
      </w:r>
      <w:r w:rsidRPr="00544FBC">
        <w:rPr>
          <w:rFonts w:ascii="Garamond" w:hAnsi="Garamond" w:cs="Arial"/>
          <w:sz w:val="24"/>
          <w:szCs w:val="24"/>
        </w:rPr>
        <w:t xml:space="preserve">monthly price series. That means we include </w:t>
      </w:r>
      <w:r>
        <w:rPr>
          <w:rFonts w:ascii="Garamond" w:hAnsi="Garamond" w:cs="Arial"/>
          <w:sz w:val="24"/>
          <w:szCs w:val="24"/>
        </w:rPr>
        <w:t xml:space="preserve">the </w:t>
      </w:r>
      <w:r w:rsidRPr="00544FBC">
        <w:rPr>
          <w:rFonts w:ascii="Garamond" w:hAnsi="Garamond" w:cs="Arial"/>
          <w:sz w:val="24"/>
          <w:szCs w:val="24"/>
        </w:rPr>
        <w:t xml:space="preserve">industrial production and inflation rate along with monetary and fiscal policy variables in our model. The corresponding probability of test statistics indicates that we can accept the alternative hypothesis of integration among the price series and exogenous variables at </w:t>
      </w:r>
      <w:r>
        <w:rPr>
          <w:rFonts w:ascii="Garamond" w:hAnsi="Garamond" w:cs="Arial"/>
          <w:sz w:val="24"/>
          <w:szCs w:val="24"/>
        </w:rPr>
        <w:t xml:space="preserve">a </w:t>
      </w:r>
      <w:r w:rsidRPr="00544FBC">
        <w:rPr>
          <w:rFonts w:ascii="Garamond" w:hAnsi="Garamond" w:cs="Arial"/>
          <w:sz w:val="24"/>
          <w:szCs w:val="24"/>
        </w:rPr>
        <w:t xml:space="preserve">95 percent level of confidence. </w:t>
      </w:r>
    </w:p>
    <w:p w14:paraId="07780852" w14:textId="5090C996" w:rsidR="00BE49FD" w:rsidRPr="00544FBC" w:rsidRDefault="00BE49FD" w:rsidP="00BE49FD">
      <w:pPr>
        <w:autoSpaceDE w:val="0"/>
        <w:autoSpaceDN w:val="0"/>
        <w:adjustRightInd w:val="0"/>
        <w:spacing w:line="360" w:lineRule="auto"/>
        <w:jc w:val="both"/>
        <w:rPr>
          <w:rFonts w:ascii="Garamond" w:hAnsi="Garamond" w:cs="Arial"/>
          <w:sz w:val="24"/>
          <w:szCs w:val="24"/>
        </w:rPr>
      </w:pPr>
      <w:r w:rsidRPr="00544FBC">
        <w:rPr>
          <w:rFonts w:ascii="Garamond" w:hAnsi="Garamond" w:cs="Arial"/>
          <w:sz w:val="24"/>
          <w:szCs w:val="24"/>
        </w:rPr>
        <w:t xml:space="preserve">Based on these two models, we can say that </w:t>
      </w:r>
      <w:r>
        <w:rPr>
          <w:rFonts w:ascii="Garamond" w:hAnsi="Garamond" w:cs="Arial"/>
          <w:sz w:val="24"/>
          <w:szCs w:val="24"/>
        </w:rPr>
        <w:t xml:space="preserve">the </w:t>
      </w:r>
      <w:r w:rsidRPr="00544FBC">
        <w:rPr>
          <w:rFonts w:ascii="Garamond" w:hAnsi="Garamond" w:cs="Arial"/>
          <w:sz w:val="24"/>
          <w:szCs w:val="24"/>
        </w:rPr>
        <w:t>monthly stock price</w:t>
      </w:r>
      <w:r>
        <w:rPr>
          <w:rFonts w:ascii="Garamond" w:hAnsi="Garamond" w:cs="Arial"/>
          <w:sz w:val="24"/>
          <w:szCs w:val="24"/>
        </w:rPr>
        <w:t>s</w:t>
      </w:r>
      <w:r w:rsidRPr="00544FBC">
        <w:rPr>
          <w:rFonts w:ascii="Garamond" w:hAnsi="Garamond" w:cs="Arial"/>
          <w:sz w:val="24"/>
          <w:szCs w:val="24"/>
        </w:rPr>
        <w:t xml:space="preserve"> of our sample firms and macroeconomic variables of </w:t>
      </w:r>
      <w:r>
        <w:rPr>
          <w:rFonts w:ascii="Garamond" w:hAnsi="Garamond" w:cs="Arial"/>
          <w:sz w:val="24"/>
          <w:szCs w:val="24"/>
        </w:rPr>
        <w:t xml:space="preserve">the </w:t>
      </w:r>
      <w:r w:rsidRPr="00544FBC">
        <w:rPr>
          <w:rFonts w:ascii="Garamond" w:hAnsi="Garamond" w:cs="Arial"/>
          <w:sz w:val="24"/>
          <w:szCs w:val="24"/>
        </w:rPr>
        <w:t xml:space="preserve">respective country are tied together in the long term, which means in the short term they can drift apart, but over a period of time they must drift back together (see </w:t>
      </w:r>
      <w:r w:rsidRPr="00544FBC">
        <w:rPr>
          <w:rFonts w:ascii="Garamond" w:hAnsi="Garamond"/>
          <w:sz w:val="24"/>
          <w:szCs w:val="24"/>
        </w:rPr>
        <w:t>Alexander, 2008).</w:t>
      </w:r>
      <w:r w:rsidRPr="00544FBC">
        <w:rPr>
          <w:rFonts w:ascii="Garamond" w:hAnsi="Garamond" w:cs="Arial"/>
          <w:sz w:val="24"/>
          <w:szCs w:val="24"/>
        </w:rPr>
        <w:t xml:space="preserve"> Thus, one can </w:t>
      </w:r>
      <w:r w:rsidR="001615B7">
        <w:rPr>
          <w:rFonts w:ascii="Garamond" w:hAnsi="Garamond" w:cs="Arial"/>
          <w:sz w:val="24"/>
          <w:szCs w:val="24"/>
        </w:rPr>
        <w:t>emphasise</w:t>
      </w:r>
      <w:r w:rsidRPr="00544FBC">
        <w:rPr>
          <w:rFonts w:ascii="Garamond" w:hAnsi="Garamond" w:cs="Arial"/>
          <w:sz w:val="24"/>
          <w:szCs w:val="24"/>
        </w:rPr>
        <w:t xml:space="preserve"> that there might </w:t>
      </w:r>
      <w:r>
        <w:rPr>
          <w:rFonts w:ascii="Garamond" w:hAnsi="Garamond" w:cs="Arial"/>
          <w:sz w:val="24"/>
          <w:szCs w:val="24"/>
        </w:rPr>
        <w:t>be</w:t>
      </w:r>
      <w:r w:rsidRPr="00544FBC">
        <w:rPr>
          <w:rFonts w:ascii="Garamond" w:hAnsi="Garamond" w:cs="Arial"/>
          <w:sz w:val="24"/>
          <w:szCs w:val="24"/>
        </w:rPr>
        <w:t xml:space="preserve"> causal flows between these series and their underlying characteristics, such as market liquidity and </w:t>
      </w:r>
      <w:r>
        <w:rPr>
          <w:rFonts w:ascii="Garamond" w:hAnsi="Garamond" w:cs="Arial"/>
          <w:sz w:val="24"/>
          <w:szCs w:val="24"/>
        </w:rPr>
        <w:t xml:space="preserve">the </w:t>
      </w:r>
      <w:r w:rsidRPr="00544FBC">
        <w:rPr>
          <w:rFonts w:ascii="Garamond" w:hAnsi="Garamond" w:cs="Arial"/>
          <w:sz w:val="24"/>
          <w:szCs w:val="24"/>
        </w:rPr>
        <w:t xml:space="preserve">growth rate of each macro variable may be interlinked. In the following two sections, we check that linkage using </w:t>
      </w:r>
      <w:r w:rsidR="001615B7">
        <w:rPr>
          <w:rFonts w:ascii="Garamond" w:hAnsi="Garamond" w:cs="Arial"/>
          <w:sz w:val="24"/>
          <w:szCs w:val="24"/>
        </w:rPr>
        <w:t xml:space="preserve">the </w:t>
      </w:r>
      <w:r w:rsidRPr="00544FBC">
        <w:rPr>
          <w:rFonts w:ascii="Garamond" w:hAnsi="Garamond" w:cs="Arial"/>
          <w:sz w:val="24"/>
          <w:szCs w:val="24"/>
        </w:rPr>
        <w:t xml:space="preserve">VAR system and </w:t>
      </w:r>
      <w:r w:rsidR="001615B7">
        <w:rPr>
          <w:rFonts w:ascii="Garamond" w:hAnsi="Garamond" w:cs="Arial"/>
          <w:sz w:val="24"/>
          <w:szCs w:val="24"/>
        </w:rPr>
        <w:t xml:space="preserve">the </w:t>
      </w:r>
      <w:r w:rsidRPr="00544FBC">
        <w:rPr>
          <w:rFonts w:ascii="Garamond" w:hAnsi="Garamond" w:cs="Arial"/>
          <w:sz w:val="24"/>
          <w:szCs w:val="24"/>
        </w:rPr>
        <w:t>panel regression model</w:t>
      </w:r>
      <w:bookmarkStart w:id="11" w:name="_Toc399683679"/>
      <w:r w:rsidRPr="00544FBC">
        <w:rPr>
          <w:rFonts w:ascii="Garamond" w:hAnsi="Garamond" w:cs="Arial"/>
          <w:sz w:val="24"/>
          <w:szCs w:val="24"/>
        </w:rPr>
        <w:t>.</w:t>
      </w:r>
    </w:p>
    <w:p w14:paraId="22E3D502" w14:textId="77777777" w:rsidR="00BE49FD" w:rsidRPr="00083DA9" w:rsidRDefault="00BE49FD" w:rsidP="00BE49FD">
      <w:pPr>
        <w:autoSpaceDE w:val="0"/>
        <w:autoSpaceDN w:val="0"/>
        <w:adjustRightInd w:val="0"/>
        <w:spacing w:line="360" w:lineRule="auto"/>
        <w:jc w:val="both"/>
        <w:rPr>
          <w:rFonts w:ascii="Garamond" w:hAnsi="Garamond"/>
          <w:b/>
          <w:bCs/>
          <w:sz w:val="24"/>
          <w:szCs w:val="24"/>
        </w:rPr>
      </w:pPr>
      <w:r>
        <w:rPr>
          <w:rFonts w:ascii="Garamond" w:hAnsi="Garamond" w:cs="Arial"/>
          <w:b/>
          <w:bCs/>
          <w:sz w:val="24"/>
          <w:szCs w:val="24"/>
        </w:rPr>
        <w:t>3</w:t>
      </w:r>
      <w:r w:rsidRPr="00083DA9">
        <w:rPr>
          <w:rFonts w:ascii="Garamond" w:hAnsi="Garamond" w:cs="Arial"/>
          <w:b/>
          <w:bCs/>
          <w:sz w:val="24"/>
          <w:szCs w:val="24"/>
        </w:rPr>
        <w:t xml:space="preserve">.2 </w:t>
      </w:r>
      <w:r w:rsidRPr="00083DA9">
        <w:rPr>
          <w:rFonts w:ascii="Garamond" w:hAnsi="Garamond"/>
          <w:b/>
          <w:bCs/>
          <w:sz w:val="24"/>
          <w:szCs w:val="24"/>
        </w:rPr>
        <w:t>Influence on aggregate market liquidity</w:t>
      </w:r>
      <w:bookmarkEnd w:id="11"/>
    </w:p>
    <w:p w14:paraId="196F6F71" w14:textId="031659FB" w:rsidR="00BE49FD" w:rsidRPr="00F638AF" w:rsidRDefault="00BE49FD" w:rsidP="00BE49FD">
      <w:pPr>
        <w:spacing w:line="360" w:lineRule="auto"/>
        <w:jc w:val="both"/>
        <w:rPr>
          <w:rFonts w:ascii="Garamond" w:hAnsi="Garamond"/>
          <w:sz w:val="24"/>
          <w:szCs w:val="24"/>
        </w:rPr>
      </w:pPr>
      <w:r>
        <w:rPr>
          <w:rFonts w:ascii="Garamond" w:hAnsi="Garamond"/>
          <w:sz w:val="24"/>
          <w:szCs w:val="24"/>
        </w:rPr>
        <w:t xml:space="preserve">This section reports results related to the influence of macroeconomic variables on the overall liquidity of eight equity markets using the vector autoregression (VAR) framework of equation (v). We use Granger causality, impulse response function and variance decomposition associated with monetary policy, fiscal policy and the </w:t>
      </w:r>
      <w:r w:rsidR="00B90008">
        <w:rPr>
          <w:rFonts w:ascii="Garamond" w:hAnsi="Garamond"/>
          <w:sz w:val="24"/>
          <w:szCs w:val="24"/>
        </w:rPr>
        <w:t>financial</w:t>
      </w:r>
      <w:r>
        <w:rPr>
          <w:rFonts w:ascii="Garamond" w:hAnsi="Garamond"/>
          <w:sz w:val="24"/>
          <w:szCs w:val="24"/>
        </w:rPr>
        <w:t xml:space="preserve"> crisis (i.e. 2007-08) shocks. </w:t>
      </w:r>
      <w:r w:rsidR="001615B7">
        <w:rPr>
          <w:rFonts w:ascii="Garamond" w:hAnsi="Garamond"/>
          <w:sz w:val="24"/>
          <w:szCs w:val="24"/>
        </w:rPr>
        <w:t>We use t</w:t>
      </w:r>
      <w:r>
        <w:rPr>
          <w:rFonts w:ascii="Garamond" w:hAnsi="Garamond"/>
          <w:sz w:val="24"/>
          <w:szCs w:val="24"/>
        </w:rPr>
        <w:t xml:space="preserve">he </w:t>
      </w:r>
      <w:r>
        <w:rPr>
          <w:rFonts w:ascii="Garamond" w:hAnsi="Garamond"/>
          <w:sz w:val="24"/>
          <w:szCs w:val="24"/>
        </w:rPr>
        <w:lastRenderedPageBreak/>
        <w:t>Augmented Dickey-Fuller (1979) test to check for non-stationarity</w:t>
      </w:r>
      <w:r w:rsidR="001615B7">
        <w:rPr>
          <w:rFonts w:ascii="Garamond" w:hAnsi="Garamond"/>
          <w:sz w:val="24"/>
          <w:szCs w:val="24"/>
        </w:rPr>
        <w:t>. T</w:t>
      </w:r>
      <w:r>
        <w:rPr>
          <w:rFonts w:ascii="Garamond" w:hAnsi="Garamond"/>
          <w:sz w:val="24"/>
          <w:szCs w:val="24"/>
        </w:rPr>
        <w:t xml:space="preserve">o ensure that the variables are in order of integration we employ the first difference of the variables. Each of the VAR model is estimated with the optimum lags according to the Bayesian Schwartz criterion.  </w:t>
      </w:r>
    </w:p>
    <w:p w14:paraId="631300FD" w14:textId="46F2DD0D" w:rsidR="00BE49FD" w:rsidRPr="00A14352" w:rsidRDefault="00BE49FD" w:rsidP="00BE49FD">
      <w:pPr>
        <w:pStyle w:val="Heading3"/>
        <w:spacing w:after="200" w:line="360" w:lineRule="auto"/>
        <w:ind w:firstLine="720"/>
        <w:rPr>
          <w:rFonts w:ascii="Garamond" w:hAnsi="Garamond"/>
          <w:color w:val="auto"/>
          <w:sz w:val="24"/>
          <w:szCs w:val="24"/>
        </w:rPr>
      </w:pPr>
      <w:bookmarkStart w:id="12" w:name="_Toc399683680"/>
      <w:r>
        <w:rPr>
          <w:rFonts w:ascii="Garamond" w:hAnsi="Garamond"/>
          <w:color w:val="auto"/>
          <w:sz w:val="24"/>
          <w:szCs w:val="24"/>
        </w:rPr>
        <w:t>3</w:t>
      </w:r>
      <w:r w:rsidRPr="00A14352">
        <w:rPr>
          <w:rFonts w:ascii="Garamond" w:hAnsi="Garamond"/>
          <w:color w:val="auto"/>
          <w:sz w:val="24"/>
          <w:szCs w:val="24"/>
        </w:rPr>
        <w:t xml:space="preserve">.2.1 </w:t>
      </w:r>
      <w:r w:rsidR="001615B7">
        <w:rPr>
          <w:rFonts w:ascii="Garamond" w:hAnsi="Garamond"/>
          <w:color w:val="auto"/>
          <w:sz w:val="24"/>
          <w:szCs w:val="24"/>
        </w:rPr>
        <w:t>The i</w:t>
      </w:r>
      <w:r w:rsidRPr="00A14352">
        <w:rPr>
          <w:rFonts w:ascii="Garamond" w:hAnsi="Garamond"/>
          <w:color w:val="auto"/>
          <w:sz w:val="24"/>
          <w:szCs w:val="24"/>
        </w:rPr>
        <w:t>mpact of monetary policy shocks</w:t>
      </w:r>
      <w:bookmarkEnd w:id="12"/>
    </w:p>
    <w:p w14:paraId="6B19D9ED" w14:textId="77777777" w:rsidR="00BE49FD" w:rsidRPr="00F761D8" w:rsidRDefault="00BE49FD" w:rsidP="00BE49FD">
      <w:pPr>
        <w:spacing w:line="360" w:lineRule="auto"/>
        <w:jc w:val="both"/>
        <w:rPr>
          <w:rFonts w:ascii="Garamond" w:hAnsi="Garamond"/>
          <w:sz w:val="24"/>
          <w:szCs w:val="24"/>
        </w:rPr>
      </w:pPr>
      <w:r w:rsidRPr="00F761D8">
        <w:rPr>
          <w:rFonts w:ascii="Garamond" w:hAnsi="Garamond"/>
          <w:sz w:val="24"/>
          <w:szCs w:val="24"/>
        </w:rPr>
        <w:t xml:space="preserve">We estimate </w:t>
      </w:r>
      <w:r>
        <w:rPr>
          <w:rFonts w:ascii="Garamond" w:hAnsi="Garamond"/>
          <w:sz w:val="24"/>
          <w:szCs w:val="24"/>
        </w:rPr>
        <w:t xml:space="preserve">a </w:t>
      </w:r>
      <w:r w:rsidRPr="00F761D8">
        <w:rPr>
          <w:rFonts w:ascii="Garamond" w:hAnsi="Garamond"/>
          <w:sz w:val="24"/>
          <w:szCs w:val="24"/>
        </w:rPr>
        <w:t>total of 12 different VAR models for each stock market for each of the four (il)liquidity measures and three monetary policy variables considered in our analysis. In order to inte</w:t>
      </w:r>
      <w:r>
        <w:rPr>
          <w:rFonts w:ascii="Garamond" w:hAnsi="Garamond"/>
          <w:sz w:val="24"/>
          <w:szCs w:val="24"/>
        </w:rPr>
        <w:t xml:space="preserve">rpret the </w:t>
      </w:r>
      <w:r w:rsidRPr="00F761D8">
        <w:rPr>
          <w:rFonts w:ascii="Garamond" w:hAnsi="Garamond"/>
          <w:sz w:val="24"/>
          <w:szCs w:val="24"/>
        </w:rPr>
        <w:t xml:space="preserve">results of </w:t>
      </w:r>
      <w:r>
        <w:rPr>
          <w:rFonts w:ascii="Garamond" w:hAnsi="Garamond"/>
          <w:sz w:val="24"/>
          <w:szCs w:val="24"/>
        </w:rPr>
        <w:t xml:space="preserve">the </w:t>
      </w:r>
      <w:r w:rsidRPr="00F761D8">
        <w:rPr>
          <w:rFonts w:ascii="Garamond" w:hAnsi="Garamond"/>
          <w:sz w:val="24"/>
          <w:szCs w:val="24"/>
        </w:rPr>
        <w:t xml:space="preserve">estimated VAR models we also run the Granger causality test (see Granger, 1969) as suggested in Chordia (2005) and Goyenko and Ukov (2009). </w:t>
      </w:r>
      <w:r>
        <w:rPr>
          <w:rFonts w:ascii="Garamond" w:hAnsi="Garamond"/>
          <w:sz w:val="24"/>
          <w:szCs w:val="24"/>
        </w:rPr>
        <w:t>For</w:t>
      </w:r>
      <w:r w:rsidRPr="00F761D8">
        <w:rPr>
          <w:rFonts w:ascii="Garamond" w:hAnsi="Garamond"/>
          <w:sz w:val="24"/>
          <w:szCs w:val="24"/>
        </w:rPr>
        <w:t xml:space="preserve"> the pairwise Granger causality we consider two series </w:t>
      </w:r>
      <w:r w:rsidRPr="00B7391C">
        <w:rPr>
          <w:rFonts w:ascii="Garamond" w:hAnsi="Garamond"/>
          <w:i/>
          <w:iCs/>
          <w:sz w:val="24"/>
          <w:szCs w:val="24"/>
        </w:rPr>
        <w:t>a</w:t>
      </w:r>
      <w:r w:rsidRPr="00B7391C">
        <w:rPr>
          <w:rFonts w:ascii="Garamond" w:hAnsi="Garamond"/>
          <w:i/>
          <w:iCs/>
          <w:sz w:val="24"/>
          <w:szCs w:val="24"/>
          <w:vertAlign w:val="subscript"/>
        </w:rPr>
        <w:t>t</w:t>
      </w:r>
      <w:r w:rsidRPr="00F761D8">
        <w:rPr>
          <w:rFonts w:ascii="Garamond" w:hAnsi="Garamond"/>
          <w:sz w:val="24"/>
          <w:szCs w:val="24"/>
          <w:vertAlign w:val="subscript"/>
        </w:rPr>
        <w:t xml:space="preserve"> </w:t>
      </w:r>
      <w:r>
        <w:rPr>
          <w:rFonts w:ascii="Garamond" w:hAnsi="Garamond"/>
          <w:sz w:val="24"/>
          <w:szCs w:val="24"/>
          <w:vertAlign w:val="subscript"/>
        </w:rPr>
        <w:t xml:space="preserve"> </w:t>
      </w:r>
      <w:r w:rsidRPr="00F761D8">
        <w:rPr>
          <w:rFonts w:ascii="Garamond" w:hAnsi="Garamond"/>
          <w:sz w:val="24"/>
          <w:szCs w:val="24"/>
        </w:rPr>
        <w:t xml:space="preserve">and </w:t>
      </w:r>
      <w:r w:rsidRPr="00B7391C">
        <w:rPr>
          <w:rFonts w:ascii="Garamond" w:hAnsi="Garamond"/>
          <w:i/>
          <w:iCs/>
          <w:sz w:val="24"/>
          <w:szCs w:val="24"/>
        </w:rPr>
        <w:t>b</w:t>
      </w:r>
      <w:r w:rsidRPr="00B7391C">
        <w:rPr>
          <w:rFonts w:ascii="Garamond" w:hAnsi="Garamond"/>
          <w:i/>
          <w:iCs/>
          <w:sz w:val="24"/>
          <w:szCs w:val="24"/>
          <w:vertAlign w:val="subscript"/>
        </w:rPr>
        <w:t>f</w:t>
      </w:r>
      <w:r w:rsidRPr="00F761D8">
        <w:rPr>
          <w:rFonts w:ascii="Garamond" w:hAnsi="Garamond"/>
          <w:sz w:val="24"/>
          <w:szCs w:val="24"/>
        </w:rPr>
        <w:t xml:space="preserve">, then estimate the equations: </w:t>
      </w:r>
    </w:p>
    <w:p w14:paraId="59CA4824" w14:textId="38D16441" w:rsidR="00BE49FD" w:rsidRPr="00F761D8" w:rsidRDefault="00BE49FD" w:rsidP="00BE49FD">
      <w:pPr>
        <w:spacing w:line="360" w:lineRule="auto"/>
        <w:jc w:val="both"/>
        <w:rPr>
          <w:rFonts w:ascii="Garamond" w:hAnsi="Garamond"/>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t-1</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m</m:t>
                </m:r>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1t</m:t>
                    </m:r>
                  </m:sub>
                </m:sSub>
              </m:e>
            </m:nary>
          </m:e>
        </m:nary>
      </m:oMath>
      <w:r>
        <w:rPr>
          <w:rFonts w:ascii="Garamond" w:hAnsi="Garamond"/>
          <w:sz w:val="24"/>
          <w:szCs w:val="24"/>
        </w:rPr>
        <w:t xml:space="preserve"> ; </w:t>
      </w:r>
      <w:r w:rsidRPr="00F761D8">
        <w:rPr>
          <w:rFonts w:ascii="Garamond" w:hAnsi="Garamond"/>
          <w:sz w:val="24"/>
          <w:szCs w:val="24"/>
        </w:rPr>
        <w:t xml:space="preserve">and </w:t>
      </w:r>
      <w:r w:rsidR="003C00A3">
        <w:rPr>
          <w:rFonts w:ascii="Garamond" w:hAnsi="Garamond"/>
          <w:sz w:val="24"/>
          <w:szCs w:val="24"/>
        </w:rPr>
        <w:tab/>
      </w:r>
      <w:r w:rsidR="003C00A3">
        <w:rPr>
          <w:rFonts w:ascii="Garamond" w:hAnsi="Garamond"/>
          <w:sz w:val="24"/>
          <w:szCs w:val="24"/>
        </w:rPr>
        <w:tab/>
      </w:r>
      <w:r w:rsidR="003C00A3">
        <w:rPr>
          <w:rFonts w:ascii="Garamond" w:hAnsi="Garamond"/>
          <w:sz w:val="24"/>
          <w:szCs w:val="24"/>
        </w:rPr>
        <w:tab/>
      </w:r>
      <w:r w:rsidR="003C00A3">
        <w:rPr>
          <w:rFonts w:ascii="Garamond" w:hAnsi="Garamond"/>
          <w:sz w:val="24"/>
          <w:szCs w:val="24"/>
        </w:rPr>
        <w:tab/>
        <w:t>(viii)</w:t>
      </w:r>
    </w:p>
    <w:p w14:paraId="403E6E69" w14:textId="53FFEA8E" w:rsidR="00BE49FD" w:rsidRPr="00F761D8" w:rsidRDefault="00BE49FD" w:rsidP="00BE49FD">
      <w:pPr>
        <w:spacing w:line="360" w:lineRule="auto"/>
        <w:jc w:val="both"/>
        <w:rPr>
          <w:rFonts w:ascii="Garamond" w:hAnsi="Garamond"/>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0</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t-1</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m</m:t>
                </m:r>
              </m:sup>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2i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1t</m:t>
                    </m:r>
                  </m:sub>
                </m:sSub>
              </m:e>
            </m:nary>
          </m:e>
        </m:nary>
      </m:oMath>
      <w:r w:rsidRPr="00F761D8">
        <w:rPr>
          <w:rFonts w:ascii="Garamond" w:hAnsi="Garamond"/>
          <w:sz w:val="24"/>
          <w:szCs w:val="24"/>
        </w:rPr>
        <w:t xml:space="preserve"> </w:t>
      </w:r>
      <w:r w:rsidR="003C00A3">
        <w:rPr>
          <w:rFonts w:ascii="Garamond" w:hAnsi="Garamond"/>
          <w:sz w:val="24"/>
          <w:szCs w:val="24"/>
        </w:rPr>
        <w:tab/>
      </w:r>
      <w:r w:rsidR="003C00A3">
        <w:rPr>
          <w:rFonts w:ascii="Garamond" w:hAnsi="Garamond"/>
          <w:sz w:val="24"/>
          <w:szCs w:val="24"/>
        </w:rPr>
        <w:tab/>
      </w:r>
      <w:r w:rsidR="003C00A3">
        <w:rPr>
          <w:rFonts w:ascii="Garamond" w:hAnsi="Garamond"/>
          <w:sz w:val="24"/>
          <w:szCs w:val="24"/>
        </w:rPr>
        <w:tab/>
      </w:r>
      <w:r w:rsidR="003C00A3">
        <w:rPr>
          <w:rFonts w:ascii="Garamond" w:hAnsi="Garamond"/>
          <w:sz w:val="24"/>
          <w:szCs w:val="24"/>
        </w:rPr>
        <w:tab/>
      </w:r>
      <w:r w:rsidR="003C00A3">
        <w:rPr>
          <w:rFonts w:ascii="Garamond" w:hAnsi="Garamond"/>
          <w:sz w:val="24"/>
          <w:szCs w:val="24"/>
        </w:rPr>
        <w:tab/>
        <w:t>(ix)</w:t>
      </w:r>
      <w:r w:rsidR="003C00A3">
        <w:rPr>
          <w:rFonts w:ascii="Garamond" w:hAnsi="Garamond"/>
          <w:sz w:val="24"/>
          <w:szCs w:val="24"/>
        </w:rPr>
        <w:tab/>
      </w:r>
    </w:p>
    <w:p w14:paraId="361E8A1C" w14:textId="77777777" w:rsidR="00BE49FD" w:rsidRPr="00F761D8" w:rsidRDefault="00BE49FD" w:rsidP="00BE49FD">
      <w:pPr>
        <w:spacing w:line="360" w:lineRule="auto"/>
        <w:jc w:val="both"/>
        <w:rPr>
          <w:rFonts w:ascii="Garamond" w:hAnsi="Garamond"/>
          <w:sz w:val="24"/>
          <w:szCs w:val="24"/>
        </w:rPr>
      </w:pPr>
      <w:r>
        <w:rPr>
          <w:rFonts w:ascii="Garamond" w:hAnsi="Garamond"/>
          <w:sz w:val="24"/>
          <w:szCs w:val="24"/>
        </w:rPr>
        <w:t>We use</w:t>
      </w:r>
      <w:r w:rsidRPr="00F761D8">
        <w:rPr>
          <w:rFonts w:ascii="Garamond" w:hAnsi="Garamond"/>
          <w:sz w:val="24"/>
          <w:szCs w:val="24"/>
        </w:rPr>
        <w:t xml:space="preserve"> an F-test for </w:t>
      </w:r>
      <w:r>
        <w:rPr>
          <w:rFonts w:ascii="Garamond" w:hAnsi="Garamond"/>
          <w:sz w:val="24"/>
          <w:szCs w:val="24"/>
        </w:rPr>
        <w:t xml:space="preserve">the </w:t>
      </w:r>
      <w:r w:rsidRPr="00F761D8">
        <w:rPr>
          <w:rFonts w:ascii="Garamond" w:hAnsi="Garamond"/>
          <w:sz w:val="24"/>
          <w:szCs w:val="24"/>
        </w:rPr>
        <w:t xml:space="preserve">joint significance of the coefficient assuming </w:t>
      </w:r>
      <w:r>
        <w:rPr>
          <w:rFonts w:ascii="Garamond" w:hAnsi="Garamond"/>
          <w:sz w:val="24"/>
          <w:szCs w:val="24"/>
        </w:rPr>
        <w:t xml:space="preserve">a </w:t>
      </w:r>
      <w:r w:rsidRPr="00F761D8">
        <w:rPr>
          <w:rFonts w:ascii="Garamond" w:hAnsi="Garamond"/>
          <w:sz w:val="24"/>
          <w:szCs w:val="24"/>
        </w:rPr>
        <w:t xml:space="preserve">null hypothesis that </w:t>
      </w:r>
      <w:r w:rsidRPr="00B7391C">
        <w:rPr>
          <w:rFonts w:ascii="Garamond" w:hAnsi="Garamond"/>
          <w:i/>
          <w:iCs/>
          <w:sz w:val="24"/>
          <w:szCs w:val="24"/>
        </w:rPr>
        <w:t>a</w:t>
      </w:r>
      <w:r w:rsidRPr="00B7391C">
        <w:rPr>
          <w:rFonts w:ascii="Garamond" w:hAnsi="Garamond"/>
          <w:i/>
          <w:iCs/>
          <w:sz w:val="24"/>
          <w:szCs w:val="24"/>
          <w:vertAlign w:val="subscript"/>
        </w:rPr>
        <w:t>t</w:t>
      </w:r>
      <w:r w:rsidRPr="00B7391C">
        <w:rPr>
          <w:rFonts w:ascii="Garamond" w:hAnsi="Garamond"/>
          <w:i/>
          <w:iCs/>
          <w:sz w:val="24"/>
          <w:szCs w:val="24"/>
        </w:rPr>
        <w:t xml:space="preserve"> </w:t>
      </w:r>
      <w:r w:rsidRPr="00F761D8">
        <w:rPr>
          <w:rFonts w:ascii="Garamond" w:hAnsi="Garamond"/>
          <w:sz w:val="24"/>
          <w:szCs w:val="24"/>
        </w:rPr>
        <w:t xml:space="preserve">does not Granger cause </w:t>
      </w:r>
      <w:r w:rsidRPr="00B7391C">
        <w:rPr>
          <w:rFonts w:ascii="Garamond" w:hAnsi="Garamond"/>
          <w:i/>
          <w:iCs/>
          <w:sz w:val="24"/>
          <w:szCs w:val="24"/>
        </w:rPr>
        <w:t>b</w:t>
      </w:r>
      <w:r w:rsidRPr="00B7391C">
        <w:rPr>
          <w:rFonts w:ascii="Garamond" w:hAnsi="Garamond"/>
          <w:i/>
          <w:iCs/>
          <w:sz w:val="24"/>
          <w:szCs w:val="24"/>
          <w:vertAlign w:val="subscript"/>
        </w:rPr>
        <w:t>t</w:t>
      </w:r>
      <w:r w:rsidRPr="00F761D8">
        <w:rPr>
          <w:rFonts w:ascii="Garamond" w:hAnsi="Garamond"/>
          <w:sz w:val="24"/>
          <w:szCs w:val="24"/>
        </w:rPr>
        <w:t xml:space="preserve"> and vice versa. </w:t>
      </w:r>
      <w:r>
        <w:rPr>
          <w:rFonts w:ascii="Garamond" w:hAnsi="Garamond"/>
          <w:sz w:val="24"/>
          <w:szCs w:val="24"/>
        </w:rPr>
        <w:t xml:space="preserve">In the null hypothesis we test that the lagged endogenous variables of interest (i.e. monetary policy or liquidity measures) do not Granger cause the dependent variable of interest (again, either market liquidity or monetary policy variables). </w:t>
      </w:r>
      <w:r w:rsidRPr="00F761D8">
        <w:rPr>
          <w:rFonts w:ascii="Garamond" w:hAnsi="Garamond"/>
          <w:sz w:val="24"/>
          <w:szCs w:val="24"/>
        </w:rPr>
        <w:t>A rejection of the null hypothesis shows the</w:t>
      </w:r>
      <w:r>
        <w:rPr>
          <w:rFonts w:ascii="Garamond" w:hAnsi="Garamond"/>
          <w:sz w:val="24"/>
          <w:szCs w:val="24"/>
        </w:rPr>
        <w:t xml:space="preserve"> presence of Granger causality. Detailed results are not presented here but available on request.</w:t>
      </w:r>
    </w:p>
    <w:p w14:paraId="4CA53774" w14:textId="5E3C3ECD" w:rsidR="00BE49FD" w:rsidRPr="00544FBC" w:rsidRDefault="00BE49FD" w:rsidP="00BE49FD">
      <w:pPr>
        <w:spacing w:line="360" w:lineRule="auto"/>
        <w:jc w:val="both"/>
        <w:rPr>
          <w:rFonts w:ascii="Garamond" w:hAnsi="Garamond"/>
          <w:sz w:val="24"/>
          <w:szCs w:val="24"/>
        </w:rPr>
      </w:pPr>
      <w:r w:rsidRPr="00544FBC">
        <w:rPr>
          <w:rFonts w:ascii="Garamond" w:hAnsi="Garamond"/>
          <w:sz w:val="24"/>
          <w:szCs w:val="24"/>
        </w:rPr>
        <w:t xml:space="preserve">The results indicate that there </w:t>
      </w:r>
      <w:r>
        <w:rPr>
          <w:rFonts w:ascii="Garamond" w:hAnsi="Garamond"/>
          <w:sz w:val="24"/>
          <w:szCs w:val="24"/>
        </w:rPr>
        <w:t>is</w:t>
      </w:r>
      <w:r w:rsidRPr="00544FBC">
        <w:rPr>
          <w:rFonts w:ascii="Garamond" w:hAnsi="Garamond"/>
          <w:sz w:val="24"/>
          <w:szCs w:val="24"/>
        </w:rPr>
        <w:t xml:space="preserve"> causality and reverse causality between </w:t>
      </w:r>
      <w:r>
        <w:rPr>
          <w:rFonts w:ascii="Garamond" w:hAnsi="Garamond"/>
          <w:sz w:val="24"/>
          <w:szCs w:val="24"/>
        </w:rPr>
        <w:t xml:space="preserve">the </w:t>
      </w:r>
      <w:r w:rsidRPr="00544FBC">
        <w:rPr>
          <w:rFonts w:ascii="Garamond" w:hAnsi="Garamond"/>
          <w:sz w:val="24"/>
          <w:szCs w:val="24"/>
        </w:rPr>
        <w:t xml:space="preserve">monetary policy variables </w:t>
      </w:r>
      <w:r w:rsidR="001608DE">
        <w:rPr>
          <w:rFonts w:ascii="Garamond" w:hAnsi="Garamond"/>
          <w:sz w:val="24"/>
          <w:szCs w:val="24"/>
        </w:rPr>
        <w:t xml:space="preserve">and the </w:t>
      </w:r>
      <w:r w:rsidRPr="00544FBC">
        <w:rPr>
          <w:rFonts w:ascii="Garamond" w:hAnsi="Garamond"/>
          <w:sz w:val="24"/>
          <w:szCs w:val="24"/>
        </w:rPr>
        <w:t>(il)liquidity ratio</w:t>
      </w:r>
      <w:r w:rsidR="001608DE">
        <w:rPr>
          <w:rFonts w:ascii="Garamond" w:hAnsi="Garamond"/>
          <w:sz w:val="24"/>
          <w:szCs w:val="24"/>
        </w:rPr>
        <w:t>s</w:t>
      </w:r>
      <w:r w:rsidRPr="00544FBC">
        <w:rPr>
          <w:rFonts w:ascii="Garamond" w:hAnsi="Garamond"/>
          <w:sz w:val="24"/>
          <w:szCs w:val="24"/>
        </w:rPr>
        <w:t xml:space="preserve">. Interestingly, </w:t>
      </w:r>
      <w:r>
        <w:rPr>
          <w:rFonts w:ascii="Garamond" w:hAnsi="Garamond"/>
          <w:sz w:val="24"/>
          <w:szCs w:val="24"/>
        </w:rPr>
        <w:t xml:space="preserve">the </w:t>
      </w:r>
      <w:r w:rsidRPr="00544FBC">
        <w:rPr>
          <w:rFonts w:ascii="Garamond" w:hAnsi="Garamond"/>
          <w:sz w:val="24"/>
          <w:szCs w:val="24"/>
        </w:rPr>
        <w:t xml:space="preserve">(il)liquidity of </w:t>
      </w:r>
      <w:smartTag w:uri="urn:schemas-microsoft-com:office:smarttags" w:element="country-region">
        <w:r w:rsidRPr="00544FBC">
          <w:rPr>
            <w:rFonts w:ascii="Garamond" w:hAnsi="Garamond"/>
            <w:sz w:val="24"/>
            <w:szCs w:val="24"/>
          </w:rPr>
          <w:t>Indonesia</w:t>
        </w:r>
      </w:smartTag>
      <w:r w:rsidRPr="00544FBC">
        <w:rPr>
          <w:rFonts w:ascii="Garamond" w:hAnsi="Garamond"/>
          <w:sz w:val="24"/>
          <w:szCs w:val="24"/>
        </w:rPr>
        <w:t xml:space="preserve">, </w:t>
      </w:r>
      <w:smartTag w:uri="urn:schemas-microsoft-com:office:smarttags" w:element="country-region">
        <w:r w:rsidRPr="00544FBC">
          <w:rPr>
            <w:rFonts w:ascii="Garamond" w:hAnsi="Garamond"/>
            <w:sz w:val="24"/>
            <w:szCs w:val="24"/>
          </w:rPr>
          <w:t>Pakistan</w:t>
        </w:r>
      </w:smartTag>
      <w:r w:rsidRPr="00544FBC">
        <w:rPr>
          <w:rFonts w:ascii="Garamond" w:hAnsi="Garamond"/>
          <w:sz w:val="24"/>
          <w:szCs w:val="24"/>
        </w:rPr>
        <w:t xml:space="preserve">, </w:t>
      </w:r>
      <w:smartTag w:uri="urn:schemas-microsoft-com:office:smarttags" w:element="country-region">
        <w:r w:rsidRPr="00544FBC">
          <w:rPr>
            <w:rFonts w:ascii="Garamond" w:hAnsi="Garamond"/>
            <w:sz w:val="24"/>
            <w:szCs w:val="24"/>
          </w:rPr>
          <w:t>Taiwan</w:t>
        </w:r>
      </w:smartTag>
      <w:r w:rsidRPr="00544FBC">
        <w:rPr>
          <w:rFonts w:ascii="Garamond" w:hAnsi="Garamond"/>
          <w:sz w:val="24"/>
          <w:szCs w:val="24"/>
        </w:rPr>
        <w:t xml:space="preserve"> and </w:t>
      </w:r>
      <w:smartTag w:uri="urn:schemas-microsoft-com:office:smarttags" w:element="place">
        <w:smartTag w:uri="urn:schemas-microsoft-com:office:smarttags" w:element="country-region">
          <w:r w:rsidRPr="00544FBC">
            <w:rPr>
              <w:rFonts w:ascii="Garamond" w:hAnsi="Garamond"/>
              <w:sz w:val="24"/>
              <w:szCs w:val="24"/>
            </w:rPr>
            <w:t>Thailand</w:t>
          </w:r>
        </w:smartTag>
      </w:smartTag>
      <w:r w:rsidRPr="00544FBC">
        <w:rPr>
          <w:rFonts w:ascii="Garamond" w:hAnsi="Garamond"/>
          <w:sz w:val="24"/>
          <w:szCs w:val="24"/>
        </w:rPr>
        <w:t xml:space="preserve"> are found </w:t>
      </w:r>
      <w:r>
        <w:rPr>
          <w:rFonts w:ascii="Garamond" w:hAnsi="Garamond"/>
          <w:sz w:val="24"/>
          <w:szCs w:val="24"/>
        </w:rPr>
        <w:t xml:space="preserve">to be </w:t>
      </w:r>
      <w:r w:rsidRPr="00544FBC">
        <w:rPr>
          <w:rFonts w:ascii="Garamond" w:hAnsi="Garamond"/>
          <w:sz w:val="24"/>
          <w:szCs w:val="24"/>
        </w:rPr>
        <w:t xml:space="preserve">more sensitive to monetary policy. Among </w:t>
      </w:r>
      <w:r w:rsidR="001608DE">
        <w:rPr>
          <w:rFonts w:ascii="Garamond" w:hAnsi="Garamond"/>
          <w:sz w:val="24"/>
          <w:szCs w:val="24"/>
        </w:rPr>
        <w:t xml:space="preserve">the </w:t>
      </w:r>
      <w:r w:rsidRPr="00544FBC">
        <w:rPr>
          <w:rFonts w:ascii="Garamond" w:hAnsi="Garamond"/>
          <w:sz w:val="24"/>
          <w:szCs w:val="24"/>
        </w:rPr>
        <w:t xml:space="preserve">monetary variables, as expected, base money growth and short-term interest rate significantly Granger cause both liquidity and illiquidity of each Asian market. In particular, base money growth Granger cause trading volume and turnover rate of </w:t>
      </w:r>
      <w:smartTag w:uri="urn:schemas-microsoft-com:office:smarttags" w:element="country-region">
        <w:r w:rsidRPr="00544FBC">
          <w:rPr>
            <w:rFonts w:ascii="Garamond" w:hAnsi="Garamond"/>
            <w:sz w:val="24"/>
            <w:szCs w:val="24"/>
          </w:rPr>
          <w:t>Bangladesh</w:t>
        </w:r>
      </w:smartTag>
      <w:r w:rsidRPr="00544FBC">
        <w:rPr>
          <w:rFonts w:ascii="Garamond" w:hAnsi="Garamond"/>
          <w:sz w:val="24"/>
          <w:szCs w:val="24"/>
        </w:rPr>
        <w:t xml:space="preserve">, </w:t>
      </w:r>
      <w:smartTag w:uri="urn:schemas-microsoft-com:office:smarttags" w:element="country-region">
        <w:r w:rsidRPr="00544FBC">
          <w:rPr>
            <w:rFonts w:ascii="Garamond" w:hAnsi="Garamond"/>
            <w:sz w:val="24"/>
            <w:szCs w:val="24"/>
          </w:rPr>
          <w:t>Indonesia</w:t>
        </w:r>
      </w:smartTag>
      <w:r w:rsidRPr="00544FBC">
        <w:rPr>
          <w:rFonts w:ascii="Garamond" w:hAnsi="Garamond"/>
          <w:sz w:val="24"/>
          <w:szCs w:val="24"/>
        </w:rPr>
        <w:t xml:space="preserve">, </w:t>
      </w:r>
      <w:smartTag w:uri="urn:schemas-microsoft-com:office:smarttags" w:element="country-region">
        <w:r w:rsidRPr="00544FBC">
          <w:rPr>
            <w:rFonts w:ascii="Garamond" w:hAnsi="Garamond"/>
            <w:sz w:val="24"/>
            <w:szCs w:val="24"/>
          </w:rPr>
          <w:t>Taiwan</w:t>
        </w:r>
      </w:smartTag>
      <w:r w:rsidRPr="00544FBC">
        <w:rPr>
          <w:rFonts w:ascii="Garamond" w:hAnsi="Garamond"/>
          <w:sz w:val="24"/>
          <w:szCs w:val="24"/>
        </w:rPr>
        <w:t xml:space="preserve"> and </w:t>
      </w:r>
      <w:smartTag w:uri="urn:schemas-microsoft-com:office:smarttags" w:element="country-region">
        <w:smartTag w:uri="urn:schemas-microsoft-com:office:smarttags" w:element="place">
          <w:r w:rsidRPr="00544FBC">
            <w:rPr>
              <w:rFonts w:ascii="Garamond" w:hAnsi="Garamond"/>
              <w:sz w:val="24"/>
              <w:szCs w:val="24"/>
            </w:rPr>
            <w:t>Thailand</w:t>
          </w:r>
        </w:smartTag>
      </w:smartTag>
      <w:r w:rsidRPr="00544FBC">
        <w:rPr>
          <w:rFonts w:ascii="Garamond" w:hAnsi="Garamond"/>
          <w:sz w:val="24"/>
          <w:szCs w:val="24"/>
        </w:rPr>
        <w:t xml:space="preserve">. Besides, reverse causality is documented in </w:t>
      </w:r>
      <w:smartTag w:uri="urn:schemas-microsoft-com:office:smarttags" w:element="country-region">
        <w:r w:rsidRPr="00544FBC">
          <w:rPr>
            <w:rFonts w:ascii="Garamond" w:hAnsi="Garamond"/>
            <w:sz w:val="24"/>
            <w:szCs w:val="24"/>
          </w:rPr>
          <w:t>Indonesia</w:t>
        </w:r>
      </w:smartTag>
      <w:r w:rsidRPr="00544FBC">
        <w:rPr>
          <w:rFonts w:ascii="Garamond" w:hAnsi="Garamond"/>
          <w:sz w:val="24"/>
          <w:szCs w:val="24"/>
        </w:rPr>
        <w:t xml:space="preserve"> and </w:t>
      </w:r>
      <w:smartTag w:uri="urn:schemas-microsoft-com:office:smarttags" w:element="country-region">
        <w:smartTag w:uri="urn:schemas-microsoft-com:office:smarttags" w:element="place">
          <w:r w:rsidRPr="00544FBC">
            <w:rPr>
              <w:rFonts w:ascii="Garamond" w:hAnsi="Garamond"/>
              <w:sz w:val="24"/>
              <w:szCs w:val="24"/>
            </w:rPr>
            <w:t>Thailand</w:t>
          </w:r>
        </w:smartTag>
      </w:smartTag>
      <w:r w:rsidRPr="00544FBC">
        <w:rPr>
          <w:rFonts w:ascii="Garamond" w:hAnsi="Garamond"/>
          <w:sz w:val="24"/>
          <w:szCs w:val="24"/>
        </w:rPr>
        <w:t xml:space="preserve">. For </w:t>
      </w:r>
      <w:smartTag w:uri="urn:schemas-microsoft-com:office:smarttags" w:element="country-region">
        <w:r w:rsidRPr="00544FBC">
          <w:rPr>
            <w:rFonts w:ascii="Garamond" w:hAnsi="Garamond"/>
            <w:sz w:val="24"/>
            <w:szCs w:val="24"/>
          </w:rPr>
          <w:t>India</w:t>
        </w:r>
      </w:smartTag>
      <w:r w:rsidRPr="00544FBC">
        <w:rPr>
          <w:rFonts w:ascii="Garamond" w:hAnsi="Garamond"/>
          <w:sz w:val="24"/>
          <w:szCs w:val="24"/>
        </w:rPr>
        <w:t xml:space="preserve"> and </w:t>
      </w:r>
      <w:smartTag w:uri="urn:schemas-microsoft-com:office:smarttags" w:element="country-region">
        <w:smartTag w:uri="urn:schemas-microsoft-com:office:smarttags" w:element="place">
          <w:r w:rsidRPr="00544FBC">
            <w:rPr>
              <w:rFonts w:ascii="Garamond" w:hAnsi="Garamond"/>
              <w:sz w:val="24"/>
              <w:szCs w:val="24"/>
            </w:rPr>
            <w:t>Pakistan</w:t>
          </w:r>
        </w:smartTag>
      </w:smartTag>
      <w:r w:rsidRPr="00544FBC">
        <w:rPr>
          <w:rFonts w:ascii="Garamond" w:hAnsi="Garamond"/>
          <w:sz w:val="24"/>
          <w:szCs w:val="24"/>
        </w:rPr>
        <w:t xml:space="preserve"> base money growth rate has causality and reverse causality with both illiquidity measures - Amihud’s (2002) illiquidity and turnover price impact ratio. Similarly, </w:t>
      </w:r>
      <w:r w:rsidR="001608DE">
        <w:rPr>
          <w:rFonts w:ascii="Garamond" w:hAnsi="Garamond"/>
          <w:sz w:val="24"/>
          <w:szCs w:val="24"/>
        </w:rPr>
        <w:t xml:space="preserve">the </w:t>
      </w:r>
      <w:r w:rsidRPr="00544FBC">
        <w:rPr>
          <w:rFonts w:ascii="Garamond" w:hAnsi="Garamond"/>
          <w:sz w:val="24"/>
          <w:szCs w:val="24"/>
        </w:rPr>
        <w:t xml:space="preserve">short-term interest rate is found </w:t>
      </w:r>
      <w:r>
        <w:rPr>
          <w:rFonts w:ascii="Garamond" w:hAnsi="Garamond"/>
          <w:sz w:val="24"/>
          <w:szCs w:val="24"/>
        </w:rPr>
        <w:t xml:space="preserve">to have </w:t>
      </w:r>
      <w:r w:rsidRPr="00544FBC">
        <w:rPr>
          <w:rFonts w:ascii="Garamond" w:hAnsi="Garamond"/>
          <w:sz w:val="24"/>
          <w:szCs w:val="24"/>
        </w:rPr>
        <w:t xml:space="preserve">statistically significant causality with </w:t>
      </w:r>
      <w:r>
        <w:rPr>
          <w:rFonts w:ascii="Garamond" w:hAnsi="Garamond"/>
          <w:sz w:val="24"/>
          <w:szCs w:val="24"/>
        </w:rPr>
        <w:t xml:space="preserve">the </w:t>
      </w:r>
      <w:r w:rsidRPr="00544FBC">
        <w:rPr>
          <w:rFonts w:ascii="Garamond" w:hAnsi="Garamond"/>
          <w:sz w:val="24"/>
          <w:szCs w:val="24"/>
        </w:rPr>
        <w:t xml:space="preserve">illiquidity measures of Indonesia, Malaysia, Pakistan and South Korea. However, strong reverse causality exists with Ahmihud’s (2002) illiquidity and </w:t>
      </w:r>
      <w:r>
        <w:rPr>
          <w:rFonts w:ascii="Garamond" w:hAnsi="Garamond"/>
          <w:sz w:val="24"/>
          <w:szCs w:val="24"/>
        </w:rPr>
        <w:t xml:space="preserve">the </w:t>
      </w:r>
      <w:r w:rsidRPr="00544FBC">
        <w:rPr>
          <w:rFonts w:ascii="Garamond" w:hAnsi="Garamond"/>
          <w:sz w:val="24"/>
          <w:szCs w:val="24"/>
        </w:rPr>
        <w:t xml:space="preserve">turnover price impact ratio of </w:t>
      </w:r>
      <w:smartTag w:uri="urn:schemas-microsoft-com:office:smarttags" w:element="country-region">
        <w:r w:rsidRPr="00544FBC">
          <w:rPr>
            <w:rFonts w:ascii="Garamond" w:hAnsi="Garamond"/>
            <w:sz w:val="24"/>
            <w:szCs w:val="24"/>
          </w:rPr>
          <w:t>India</w:t>
        </w:r>
      </w:smartTag>
      <w:r w:rsidRPr="00544FBC">
        <w:rPr>
          <w:rFonts w:ascii="Garamond" w:hAnsi="Garamond"/>
          <w:sz w:val="24"/>
          <w:szCs w:val="24"/>
        </w:rPr>
        <w:t xml:space="preserve"> and </w:t>
      </w:r>
      <w:smartTag w:uri="urn:schemas-microsoft-com:office:smarttags" w:element="country-region">
        <w:smartTag w:uri="urn:schemas-microsoft-com:office:smarttags" w:element="place">
          <w:r w:rsidRPr="00544FBC">
            <w:rPr>
              <w:rFonts w:ascii="Garamond" w:hAnsi="Garamond"/>
              <w:sz w:val="24"/>
              <w:szCs w:val="24"/>
            </w:rPr>
            <w:t>Thailand</w:t>
          </w:r>
        </w:smartTag>
      </w:smartTag>
      <w:r w:rsidRPr="00544FBC">
        <w:rPr>
          <w:rFonts w:ascii="Garamond" w:hAnsi="Garamond"/>
          <w:sz w:val="24"/>
          <w:szCs w:val="24"/>
        </w:rPr>
        <w:t xml:space="preserve">. Our results also identify a substantial connection of </w:t>
      </w:r>
      <w:r w:rsidR="001608DE">
        <w:rPr>
          <w:rFonts w:ascii="Garamond" w:hAnsi="Garamond"/>
          <w:sz w:val="24"/>
          <w:szCs w:val="24"/>
        </w:rPr>
        <w:t xml:space="preserve">the </w:t>
      </w:r>
      <w:r w:rsidRPr="00544FBC">
        <w:rPr>
          <w:rFonts w:ascii="Garamond" w:hAnsi="Garamond"/>
          <w:sz w:val="24"/>
          <w:szCs w:val="24"/>
        </w:rPr>
        <w:t xml:space="preserve">short-term interest rate with </w:t>
      </w:r>
      <w:r w:rsidR="001608DE">
        <w:rPr>
          <w:rFonts w:ascii="Garamond" w:hAnsi="Garamond"/>
          <w:sz w:val="24"/>
          <w:szCs w:val="24"/>
        </w:rPr>
        <w:t xml:space="preserve">the </w:t>
      </w:r>
      <w:r w:rsidRPr="00544FBC">
        <w:rPr>
          <w:rFonts w:ascii="Garamond" w:hAnsi="Garamond"/>
          <w:sz w:val="24"/>
          <w:szCs w:val="24"/>
        </w:rPr>
        <w:t xml:space="preserve">turnover rate (in Pakistan and South Korea) and trading volume (in India and Taiwan). Surprisingly, no causation is found in </w:t>
      </w:r>
      <w:r>
        <w:rPr>
          <w:rFonts w:ascii="Garamond" w:hAnsi="Garamond"/>
          <w:sz w:val="24"/>
          <w:szCs w:val="24"/>
        </w:rPr>
        <w:t xml:space="preserve">the </w:t>
      </w:r>
      <w:r w:rsidRPr="00544FBC">
        <w:rPr>
          <w:rFonts w:ascii="Garamond" w:hAnsi="Garamond"/>
          <w:sz w:val="24"/>
          <w:szCs w:val="24"/>
        </w:rPr>
        <w:t xml:space="preserve">Bangladesh </w:t>
      </w:r>
      <w:r w:rsidRPr="00544FBC">
        <w:rPr>
          <w:rFonts w:ascii="Garamond" w:hAnsi="Garamond"/>
          <w:sz w:val="24"/>
          <w:szCs w:val="24"/>
        </w:rPr>
        <w:lastRenderedPageBreak/>
        <w:t>stock market for this monetary policy</w:t>
      </w:r>
      <w:r w:rsidR="001608DE">
        <w:rPr>
          <w:rFonts w:ascii="Garamond" w:hAnsi="Garamond"/>
          <w:sz w:val="24"/>
          <w:szCs w:val="24"/>
        </w:rPr>
        <w:t xml:space="preserve"> instrument</w:t>
      </w:r>
      <w:r w:rsidRPr="00544FBC">
        <w:rPr>
          <w:rFonts w:ascii="Garamond" w:hAnsi="Garamond"/>
          <w:sz w:val="24"/>
          <w:szCs w:val="24"/>
        </w:rPr>
        <w:t xml:space="preserve">. Finally, bank rate has causal and bidirectional causal influence only on (il)liquidity in </w:t>
      </w:r>
      <w:smartTag w:uri="urn:schemas-microsoft-com:office:smarttags" w:element="country-region">
        <w:r w:rsidRPr="00544FBC">
          <w:rPr>
            <w:rFonts w:ascii="Garamond" w:hAnsi="Garamond"/>
            <w:sz w:val="24"/>
            <w:szCs w:val="24"/>
          </w:rPr>
          <w:t>Indonesia</w:t>
        </w:r>
      </w:smartTag>
      <w:r w:rsidRPr="00544FBC">
        <w:rPr>
          <w:rFonts w:ascii="Garamond" w:hAnsi="Garamond"/>
          <w:sz w:val="24"/>
          <w:szCs w:val="24"/>
        </w:rPr>
        <w:t xml:space="preserve">, </w:t>
      </w:r>
      <w:smartTag w:uri="urn:schemas-microsoft-com:office:smarttags" w:element="country-region">
        <w:r w:rsidRPr="00544FBC">
          <w:rPr>
            <w:rFonts w:ascii="Garamond" w:hAnsi="Garamond"/>
            <w:sz w:val="24"/>
            <w:szCs w:val="24"/>
          </w:rPr>
          <w:t>Pakistan</w:t>
        </w:r>
      </w:smartTag>
      <w:r w:rsidRPr="00544FBC">
        <w:rPr>
          <w:rFonts w:ascii="Garamond" w:hAnsi="Garamond"/>
          <w:sz w:val="24"/>
          <w:szCs w:val="24"/>
        </w:rPr>
        <w:t xml:space="preserve">, </w:t>
      </w:r>
      <w:smartTag w:uri="urn:schemas-microsoft-com:office:smarttags" w:element="country-region">
        <w:r w:rsidRPr="00544FBC">
          <w:rPr>
            <w:rFonts w:ascii="Garamond" w:hAnsi="Garamond"/>
            <w:sz w:val="24"/>
            <w:szCs w:val="24"/>
          </w:rPr>
          <w:t>Taiwan</w:t>
        </w:r>
      </w:smartTag>
      <w:r w:rsidRPr="00544FBC">
        <w:rPr>
          <w:rFonts w:ascii="Garamond" w:hAnsi="Garamond"/>
          <w:sz w:val="24"/>
          <w:szCs w:val="24"/>
        </w:rPr>
        <w:t xml:space="preserve"> and </w:t>
      </w:r>
      <w:smartTag w:uri="urn:schemas-microsoft-com:office:smarttags" w:element="place">
        <w:smartTag w:uri="urn:schemas-microsoft-com:office:smarttags" w:element="country-region">
          <w:r w:rsidRPr="00544FBC">
            <w:rPr>
              <w:rFonts w:ascii="Garamond" w:hAnsi="Garamond"/>
              <w:sz w:val="24"/>
              <w:szCs w:val="24"/>
            </w:rPr>
            <w:t>Thailand</w:t>
          </w:r>
        </w:smartTag>
      </w:smartTag>
      <w:r w:rsidRPr="00544FBC">
        <w:rPr>
          <w:rFonts w:ascii="Garamond" w:hAnsi="Garamond"/>
          <w:sz w:val="24"/>
          <w:szCs w:val="24"/>
        </w:rPr>
        <w:t>. There is no pivotal impact identified for bank rate in India, Malaysia and South Kore</w:t>
      </w:r>
      <w:r w:rsidR="001608DE">
        <w:rPr>
          <w:rFonts w:ascii="Garamond" w:hAnsi="Garamond"/>
          <w:sz w:val="24"/>
          <w:szCs w:val="24"/>
        </w:rPr>
        <w:t>a</w:t>
      </w:r>
      <w:r w:rsidRPr="00544FBC">
        <w:rPr>
          <w:rFonts w:ascii="Garamond" w:hAnsi="Garamond"/>
          <w:sz w:val="24"/>
          <w:szCs w:val="24"/>
        </w:rPr>
        <w:t xml:space="preserve">. Overall, our findings support the cointegration reported in </w:t>
      </w:r>
      <w:r>
        <w:rPr>
          <w:rFonts w:ascii="Garamond" w:hAnsi="Garamond"/>
          <w:sz w:val="24"/>
          <w:szCs w:val="24"/>
        </w:rPr>
        <w:t xml:space="preserve">the </w:t>
      </w:r>
      <w:r w:rsidRPr="00544FBC">
        <w:rPr>
          <w:rFonts w:ascii="Garamond" w:hAnsi="Garamond"/>
          <w:sz w:val="24"/>
          <w:szCs w:val="24"/>
        </w:rPr>
        <w:t>previous section and favour the hypothesis that the central bank monetary policy causes the aggregate market (il)liquidity or alternatively that market (il)liquidity causes central bank monetary policy.</w:t>
      </w:r>
    </w:p>
    <w:p w14:paraId="794D2A77" w14:textId="387E462C" w:rsidR="00BE49FD" w:rsidRDefault="00BE49FD" w:rsidP="00BE49FD">
      <w:pPr>
        <w:spacing w:line="360" w:lineRule="auto"/>
        <w:jc w:val="both"/>
        <w:rPr>
          <w:rFonts w:ascii="Garamond" w:hAnsi="Garamond"/>
          <w:sz w:val="24"/>
          <w:szCs w:val="24"/>
        </w:rPr>
      </w:pPr>
      <w:r w:rsidRPr="00544FBC">
        <w:rPr>
          <w:rFonts w:ascii="Garamond" w:hAnsi="Garamond"/>
          <w:sz w:val="24"/>
          <w:szCs w:val="24"/>
        </w:rPr>
        <w:t xml:space="preserve">The Granger causality results also identify the interaction of liquidity measures with other endogenous variables. We find that stock volatility has significant causal influence on (il)liquidity in </w:t>
      </w:r>
      <w:smartTag w:uri="urn:schemas-microsoft-com:office:smarttags" w:element="country-region">
        <w:r w:rsidRPr="00544FBC">
          <w:rPr>
            <w:rFonts w:ascii="Garamond" w:hAnsi="Garamond"/>
            <w:sz w:val="24"/>
            <w:szCs w:val="24"/>
          </w:rPr>
          <w:t>South Korea</w:t>
        </w:r>
      </w:smartTag>
      <w:r w:rsidRPr="00544FBC">
        <w:rPr>
          <w:rFonts w:ascii="Garamond" w:hAnsi="Garamond"/>
          <w:sz w:val="24"/>
          <w:szCs w:val="24"/>
        </w:rPr>
        <w:t xml:space="preserve">, </w:t>
      </w:r>
      <w:smartTag w:uri="urn:schemas-microsoft-com:office:smarttags" w:element="country-region">
        <w:r w:rsidRPr="00544FBC">
          <w:rPr>
            <w:rFonts w:ascii="Garamond" w:hAnsi="Garamond"/>
            <w:sz w:val="24"/>
            <w:szCs w:val="24"/>
          </w:rPr>
          <w:t>Taiwan</w:t>
        </w:r>
      </w:smartTag>
      <w:r w:rsidRPr="00544FBC">
        <w:rPr>
          <w:rFonts w:ascii="Garamond" w:hAnsi="Garamond"/>
          <w:sz w:val="24"/>
          <w:szCs w:val="24"/>
        </w:rPr>
        <w:t xml:space="preserve"> and </w:t>
      </w:r>
      <w:smartTag w:uri="urn:schemas-microsoft-com:office:smarttags" w:element="place">
        <w:smartTag w:uri="urn:schemas-microsoft-com:office:smarttags" w:element="country-region">
          <w:r w:rsidRPr="00544FBC">
            <w:rPr>
              <w:rFonts w:ascii="Garamond" w:hAnsi="Garamond"/>
              <w:sz w:val="24"/>
              <w:szCs w:val="24"/>
            </w:rPr>
            <w:t>Thailand</w:t>
          </w:r>
        </w:smartTag>
      </w:smartTag>
      <w:r w:rsidRPr="00544FBC">
        <w:rPr>
          <w:rFonts w:ascii="Garamond" w:hAnsi="Garamond"/>
          <w:sz w:val="24"/>
          <w:szCs w:val="24"/>
        </w:rPr>
        <w:t xml:space="preserve">. However, returns have </w:t>
      </w:r>
      <w:r>
        <w:rPr>
          <w:rFonts w:ascii="Garamond" w:hAnsi="Garamond"/>
          <w:sz w:val="24"/>
          <w:szCs w:val="24"/>
        </w:rPr>
        <w:t xml:space="preserve">a </w:t>
      </w:r>
      <w:r w:rsidRPr="00544FBC">
        <w:rPr>
          <w:rFonts w:ascii="Garamond" w:hAnsi="Garamond"/>
          <w:sz w:val="24"/>
          <w:szCs w:val="24"/>
        </w:rPr>
        <w:t xml:space="preserve">larger effect in </w:t>
      </w:r>
      <w:smartTag w:uri="urn:schemas-microsoft-com:office:smarttags" w:element="country-region">
        <w:smartTag w:uri="urn:schemas-microsoft-com:office:smarttags" w:element="place">
          <w:r w:rsidRPr="00544FBC">
            <w:rPr>
              <w:rFonts w:ascii="Garamond" w:hAnsi="Garamond"/>
              <w:sz w:val="24"/>
              <w:szCs w:val="24"/>
            </w:rPr>
            <w:t>Malaysia</w:t>
          </w:r>
        </w:smartTag>
      </w:smartTag>
      <w:r w:rsidRPr="00544FBC">
        <w:rPr>
          <w:rFonts w:ascii="Garamond" w:hAnsi="Garamond"/>
          <w:sz w:val="24"/>
          <w:szCs w:val="24"/>
        </w:rPr>
        <w:t xml:space="preserve">. Surprisingly, </w:t>
      </w:r>
      <w:r w:rsidR="001608DE">
        <w:rPr>
          <w:rFonts w:ascii="Garamond" w:hAnsi="Garamond"/>
          <w:sz w:val="24"/>
          <w:szCs w:val="24"/>
        </w:rPr>
        <w:t xml:space="preserve">the </w:t>
      </w:r>
      <w:r w:rsidRPr="00544FBC">
        <w:rPr>
          <w:rFonts w:ascii="Garamond" w:hAnsi="Garamond"/>
          <w:sz w:val="24"/>
          <w:szCs w:val="24"/>
        </w:rPr>
        <w:t xml:space="preserve">(il)liquidity of </w:t>
      </w:r>
      <w:r w:rsidR="001608DE">
        <w:rPr>
          <w:rFonts w:ascii="Garamond" w:hAnsi="Garamond"/>
          <w:sz w:val="24"/>
          <w:szCs w:val="24"/>
        </w:rPr>
        <w:t xml:space="preserve">the </w:t>
      </w:r>
      <w:r w:rsidRPr="00544FBC">
        <w:rPr>
          <w:rFonts w:ascii="Garamond" w:hAnsi="Garamond"/>
          <w:sz w:val="24"/>
          <w:szCs w:val="24"/>
        </w:rPr>
        <w:t>Indian and Pakistani equity markets ha</w:t>
      </w:r>
      <w:r w:rsidR="001608DE">
        <w:rPr>
          <w:rFonts w:ascii="Garamond" w:hAnsi="Garamond"/>
          <w:sz w:val="24"/>
          <w:szCs w:val="24"/>
        </w:rPr>
        <w:t>s</w:t>
      </w:r>
      <w:r w:rsidRPr="00544FBC">
        <w:rPr>
          <w:rFonts w:ascii="Garamond" w:hAnsi="Garamond"/>
          <w:sz w:val="24"/>
          <w:szCs w:val="24"/>
        </w:rPr>
        <w:t xml:space="preserve"> </w:t>
      </w:r>
      <w:r>
        <w:rPr>
          <w:rFonts w:ascii="Garamond" w:hAnsi="Garamond"/>
          <w:sz w:val="24"/>
          <w:szCs w:val="24"/>
        </w:rPr>
        <w:t xml:space="preserve">a </w:t>
      </w:r>
      <w:r w:rsidRPr="00544FBC">
        <w:rPr>
          <w:rFonts w:ascii="Garamond" w:hAnsi="Garamond"/>
          <w:sz w:val="24"/>
          <w:szCs w:val="24"/>
        </w:rPr>
        <w:t>strong impact o</w:t>
      </w:r>
      <w:r w:rsidR="001608DE">
        <w:rPr>
          <w:rFonts w:ascii="Garamond" w:hAnsi="Garamond"/>
          <w:sz w:val="24"/>
          <w:szCs w:val="24"/>
        </w:rPr>
        <w:t>n</w:t>
      </w:r>
      <w:r w:rsidRPr="00544FBC">
        <w:rPr>
          <w:rFonts w:ascii="Garamond" w:hAnsi="Garamond"/>
          <w:sz w:val="24"/>
          <w:szCs w:val="24"/>
        </w:rPr>
        <w:t xml:space="preserve"> both returns and volatility. In particular, there is only </w:t>
      </w:r>
      <w:r>
        <w:rPr>
          <w:rFonts w:ascii="Garamond" w:hAnsi="Garamond"/>
          <w:sz w:val="24"/>
          <w:szCs w:val="24"/>
        </w:rPr>
        <w:t xml:space="preserve">a </w:t>
      </w:r>
      <w:r w:rsidRPr="00544FBC">
        <w:rPr>
          <w:rFonts w:ascii="Garamond" w:hAnsi="Garamond"/>
          <w:sz w:val="24"/>
          <w:szCs w:val="24"/>
        </w:rPr>
        <w:t xml:space="preserve">one-way causation between stock returns and (il)liquidity in </w:t>
      </w:r>
      <w:smartTag w:uri="urn:schemas-microsoft-com:office:smarttags" w:element="place">
        <w:smartTag w:uri="urn:schemas-microsoft-com:office:smarttags" w:element="country-region">
          <w:r w:rsidRPr="00544FBC">
            <w:rPr>
              <w:rFonts w:ascii="Garamond" w:hAnsi="Garamond"/>
              <w:sz w:val="24"/>
              <w:szCs w:val="24"/>
            </w:rPr>
            <w:t>India</w:t>
          </w:r>
        </w:smartTag>
      </w:smartTag>
      <w:r w:rsidRPr="00544FBC">
        <w:rPr>
          <w:rFonts w:ascii="Garamond" w:hAnsi="Garamond"/>
          <w:sz w:val="24"/>
          <w:szCs w:val="24"/>
        </w:rPr>
        <w:t xml:space="preserve"> and these results are significant at </w:t>
      </w:r>
      <w:r>
        <w:rPr>
          <w:rFonts w:ascii="Garamond" w:hAnsi="Garamond"/>
          <w:sz w:val="24"/>
          <w:szCs w:val="24"/>
        </w:rPr>
        <w:t xml:space="preserve">a </w:t>
      </w:r>
      <w:r w:rsidRPr="00544FBC">
        <w:rPr>
          <w:rFonts w:ascii="Garamond" w:hAnsi="Garamond"/>
          <w:sz w:val="24"/>
          <w:szCs w:val="24"/>
        </w:rPr>
        <w:t xml:space="preserve">99 percent level of confidence. Results indicate </w:t>
      </w:r>
      <w:r>
        <w:rPr>
          <w:rFonts w:ascii="Garamond" w:hAnsi="Garamond"/>
          <w:sz w:val="24"/>
          <w:szCs w:val="24"/>
        </w:rPr>
        <w:t xml:space="preserve">a </w:t>
      </w:r>
      <w:r w:rsidRPr="00544FBC">
        <w:rPr>
          <w:rFonts w:ascii="Garamond" w:hAnsi="Garamond"/>
          <w:sz w:val="24"/>
          <w:szCs w:val="24"/>
        </w:rPr>
        <w:t xml:space="preserve">strong bidirectional causality of equity returns with Amihud’s (2002) illiquidity measure and turnover price impact in </w:t>
      </w:r>
      <w:smartTag w:uri="urn:schemas-microsoft-com:office:smarttags" w:element="country-region">
        <w:r w:rsidRPr="00544FBC">
          <w:rPr>
            <w:rFonts w:ascii="Garamond" w:hAnsi="Garamond"/>
            <w:sz w:val="24"/>
            <w:szCs w:val="24"/>
          </w:rPr>
          <w:t>Pakistan</w:t>
        </w:r>
      </w:smartTag>
      <w:r w:rsidRPr="00544FBC">
        <w:rPr>
          <w:rFonts w:ascii="Garamond" w:hAnsi="Garamond"/>
          <w:sz w:val="24"/>
          <w:szCs w:val="24"/>
        </w:rPr>
        <w:t xml:space="preserve"> and </w:t>
      </w:r>
      <w:smartTag w:uri="urn:schemas-microsoft-com:office:smarttags" w:element="country-region">
        <w:smartTag w:uri="urn:schemas-microsoft-com:office:smarttags" w:element="place">
          <w:r w:rsidRPr="00544FBC">
            <w:rPr>
              <w:rFonts w:ascii="Garamond" w:hAnsi="Garamond"/>
              <w:sz w:val="24"/>
              <w:szCs w:val="24"/>
            </w:rPr>
            <w:t>Malaysia</w:t>
          </w:r>
        </w:smartTag>
      </w:smartTag>
      <w:r w:rsidRPr="00544FBC">
        <w:rPr>
          <w:rFonts w:ascii="Garamond" w:hAnsi="Garamond"/>
          <w:sz w:val="24"/>
          <w:szCs w:val="24"/>
        </w:rPr>
        <w:t xml:space="preserve">. For the stock volatility, we see it has </w:t>
      </w:r>
      <w:r>
        <w:rPr>
          <w:rFonts w:ascii="Garamond" w:hAnsi="Garamond"/>
          <w:sz w:val="24"/>
          <w:szCs w:val="24"/>
        </w:rPr>
        <w:t xml:space="preserve">a </w:t>
      </w:r>
      <w:r w:rsidRPr="00544FBC">
        <w:rPr>
          <w:rFonts w:ascii="Garamond" w:hAnsi="Garamond"/>
          <w:sz w:val="24"/>
          <w:szCs w:val="24"/>
        </w:rPr>
        <w:t xml:space="preserve">two-way causation with both illiquidity ratio in </w:t>
      </w:r>
      <w:smartTag w:uri="urn:schemas-microsoft-com:office:smarttags" w:element="country-region">
        <w:r w:rsidRPr="00544FBC">
          <w:rPr>
            <w:rFonts w:ascii="Garamond" w:hAnsi="Garamond"/>
            <w:sz w:val="24"/>
            <w:szCs w:val="24"/>
          </w:rPr>
          <w:t>India</w:t>
        </w:r>
      </w:smartTag>
      <w:r w:rsidRPr="00544FBC">
        <w:rPr>
          <w:rFonts w:ascii="Garamond" w:hAnsi="Garamond"/>
          <w:sz w:val="24"/>
          <w:szCs w:val="24"/>
        </w:rPr>
        <w:t xml:space="preserve">, </w:t>
      </w:r>
      <w:smartTag w:uri="urn:schemas-microsoft-com:office:smarttags" w:element="country-region">
        <w:r w:rsidRPr="00544FBC">
          <w:rPr>
            <w:rFonts w:ascii="Garamond" w:hAnsi="Garamond"/>
            <w:sz w:val="24"/>
            <w:szCs w:val="24"/>
          </w:rPr>
          <w:t>Pakistan</w:t>
        </w:r>
      </w:smartTag>
      <w:r w:rsidRPr="00544FBC">
        <w:rPr>
          <w:rFonts w:ascii="Garamond" w:hAnsi="Garamond"/>
          <w:sz w:val="24"/>
          <w:szCs w:val="24"/>
        </w:rPr>
        <w:t xml:space="preserve">, </w:t>
      </w:r>
      <w:smartTag w:uri="urn:schemas-microsoft-com:office:smarttags" w:element="country-region">
        <w:r w:rsidRPr="00544FBC">
          <w:rPr>
            <w:rFonts w:ascii="Garamond" w:hAnsi="Garamond"/>
            <w:sz w:val="24"/>
            <w:szCs w:val="24"/>
          </w:rPr>
          <w:t>South Korea</w:t>
        </w:r>
      </w:smartTag>
      <w:r w:rsidRPr="00544FBC">
        <w:rPr>
          <w:rFonts w:ascii="Garamond" w:hAnsi="Garamond"/>
          <w:sz w:val="24"/>
          <w:szCs w:val="24"/>
        </w:rPr>
        <w:t xml:space="preserve"> and </w:t>
      </w:r>
      <w:smartTag w:uri="urn:schemas-microsoft-com:office:smarttags" w:element="country-region">
        <w:smartTag w:uri="urn:schemas-microsoft-com:office:smarttags" w:element="place">
          <w:r w:rsidRPr="00544FBC">
            <w:rPr>
              <w:rFonts w:ascii="Garamond" w:hAnsi="Garamond"/>
              <w:sz w:val="24"/>
              <w:szCs w:val="24"/>
            </w:rPr>
            <w:t>Thailand</w:t>
          </w:r>
        </w:smartTag>
      </w:smartTag>
      <w:r w:rsidRPr="00544FBC">
        <w:rPr>
          <w:rFonts w:ascii="Garamond" w:hAnsi="Garamond"/>
          <w:sz w:val="24"/>
          <w:szCs w:val="24"/>
        </w:rPr>
        <w:t xml:space="preserve">. But there is only </w:t>
      </w:r>
      <w:r>
        <w:rPr>
          <w:rFonts w:ascii="Garamond" w:hAnsi="Garamond"/>
          <w:sz w:val="24"/>
          <w:szCs w:val="24"/>
        </w:rPr>
        <w:t xml:space="preserve">a </w:t>
      </w:r>
      <w:r w:rsidRPr="00544FBC">
        <w:rPr>
          <w:rFonts w:ascii="Garamond" w:hAnsi="Garamond"/>
          <w:sz w:val="24"/>
          <w:szCs w:val="24"/>
        </w:rPr>
        <w:t xml:space="preserve">one-way causality between stock volatility and all four (il)liquidity measures in </w:t>
      </w:r>
      <w:smartTag w:uri="urn:schemas-microsoft-com:office:smarttags" w:element="place">
        <w:smartTag w:uri="urn:schemas-microsoft-com:office:smarttags" w:element="country-region">
          <w:r w:rsidRPr="00544FBC">
            <w:rPr>
              <w:rFonts w:ascii="Garamond" w:hAnsi="Garamond"/>
              <w:sz w:val="24"/>
              <w:szCs w:val="24"/>
            </w:rPr>
            <w:t>Taiwan</w:t>
          </w:r>
        </w:smartTag>
      </w:smartTag>
      <w:r w:rsidRPr="00544FBC">
        <w:rPr>
          <w:rFonts w:ascii="Garamond" w:hAnsi="Garamond"/>
          <w:sz w:val="24"/>
          <w:szCs w:val="24"/>
        </w:rPr>
        <w:t>. Our results, altogether, are therefore consistent with those of Chordia et al. (2005) and Goyenko and Ukhov (2009) that stock returns and volatility concurrently Granger cause market liquidity and illiquidity.</w:t>
      </w:r>
      <w:r>
        <w:rPr>
          <w:rFonts w:ascii="Garamond" w:hAnsi="Garamond"/>
          <w:sz w:val="24"/>
          <w:szCs w:val="24"/>
        </w:rPr>
        <w:t xml:space="preserve"> </w:t>
      </w:r>
    </w:p>
    <w:p w14:paraId="20630275" w14:textId="70C48936" w:rsidR="00BE49FD" w:rsidRDefault="00BE49FD" w:rsidP="00BE49FD">
      <w:pPr>
        <w:spacing w:line="360" w:lineRule="auto"/>
        <w:jc w:val="both"/>
        <w:rPr>
          <w:rFonts w:ascii="Garamond" w:hAnsi="Garamond"/>
          <w:sz w:val="24"/>
          <w:szCs w:val="24"/>
        </w:rPr>
      </w:pPr>
      <w:r w:rsidRPr="001454A8">
        <w:rPr>
          <w:rFonts w:ascii="Garamond" w:hAnsi="Garamond"/>
          <w:sz w:val="24"/>
          <w:szCs w:val="24"/>
        </w:rPr>
        <w:t xml:space="preserve">Finally, </w:t>
      </w:r>
      <w:r>
        <w:rPr>
          <w:rFonts w:ascii="Garamond" w:hAnsi="Garamond"/>
          <w:sz w:val="24"/>
          <w:szCs w:val="24"/>
        </w:rPr>
        <w:t>other than the (il)liquidity variables</w:t>
      </w:r>
      <w:r w:rsidR="001608DE">
        <w:rPr>
          <w:rFonts w:ascii="Garamond" w:hAnsi="Garamond"/>
          <w:sz w:val="24"/>
          <w:szCs w:val="24"/>
        </w:rPr>
        <w:t>,</w:t>
      </w:r>
      <w:r>
        <w:rPr>
          <w:rFonts w:ascii="Garamond" w:hAnsi="Garamond"/>
          <w:sz w:val="24"/>
          <w:szCs w:val="24"/>
        </w:rPr>
        <w:t xml:space="preserve"> monetary policy has </w:t>
      </w:r>
      <w:r w:rsidR="001608DE">
        <w:rPr>
          <w:rFonts w:ascii="Garamond" w:hAnsi="Garamond"/>
          <w:sz w:val="24"/>
          <w:szCs w:val="24"/>
        </w:rPr>
        <w:t xml:space="preserve">a </w:t>
      </w:r>
      <w:r>
        <w:rPr>
          <w:rFonts w:ascii="Garamond" w:hAnsi="Garamond"/>
          <w:sz w:val="24"/>
          <w:szCs w:val="24"/>
        </w:rPr>
        <w:t xml:space="preserve">causal association with stock returns and volatility. For example, the bank rate and short-term interest rate significantly Granger cause stock returns in Indonesia, Pakistan and Taiwan. These two monetary variables Granger cause volatility in </w:t>
      </w:r>
      <w:smartTag w:uri="urn:schemas-microsoft-com:office:smarttags" w:element="country-region">
        <w:r>
          <w:rPr>
            <w:rFonts w:ascii="Garamond" w:hAnsi="Garamond"/>
            <w:sz w:val="24"/>
            <w:szCs w:val="24"/>
          </w:rPr>
          <w:t>Malaysia</w:t>
        </w:r>
      </w:smartTag>
      <w:r>
        <w:rPr>
          <w:rFonts w:ascii="Garamond" w:hAnsi="Garamond"/>
          <w:sz w:val="24"/>
          <w:szCs w:val="24"/>
        </w:rPr>
        <w:t xml:space="preserve">, </w:t>
      </w:r>
      <w:smartTag w:uri="urn:schemas-microsoft-com:office:smarttags" w:element="country-region">
        <w:r>
          <w:rPr>
            <w:rFonts w:ascii="Garamond" w:hAnsi="Garamond"/>
            <w:sz w:val="24"/>
            <w:szCs w:val="24"/>
          </w:rPr>
          <w:t>South Korea</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Taiwan</w:t>
          </w:r>
        </w:smartTag>
      </w:smartTag>
      <w:r>
        <w:rPr>
          <w:rFonts w:ascii="Garamond" w:hAnsi="Garamond"/>
          <w:sz w:val="24"/>
          <w:szCs w:val="24"/>
        </w:rPr>
        <w:t xml:space="preserve">. However, </w:t>
      </w:r>
      <w:r w:rsidR="001608DE">
        <w:rPr>
          <w:rFonts w:ascii="Garamond" w:hAnsi="Garamond"/>
          <w:sz w:val="24"/>
          <w:szCs w:val="24"/>
        </w:rPr>
        <w:t>i</w:t>
      </w:r>
      <w:r>
        <w:rPr>
          <w:rFonts w:ascii="Garamond" w:hAnsi="Garamond"/>
          <w:sz w:val="24"/>
          <w:szCs w:val="24"/>
        </w:rPr>
        <w:t xml:space="preserve">n </w:t>
      </w:r>
      <w:r w:rsidR="001608DE">
        <w:rPr>
          <w:rFonts w:ascii="Garamond" w:hAnsi="Garamond"/>
          <w:sz w:val="24"/>
          <w:szCs w:val="24"/>
        </w:rPr>
        <w:t xml:space="preserve">the </w:t>
      </w:r>
      <w:r>
        <w:rPr>
          <w:rFonts w:ascii="Garamond" w:hAnsi="Garamond"/>
          <w:sz w:val="24"/>
          <w:szCs w:val="24"/>
        </w:rPr>
        <w:t xml:space="preserve">reverse direction stock returns Granger cause the broad money growth rate in India and Indonesia; bank rate in Pakistan and Taiwan; and short-term interest rate in Indonesia. On the other hand, volatility Granger causes the bank rate in </w:t>
      </w:r>
      <w:smartTag w:uri="urn:schemas-microsoft-com:office:smarttags" w:element="country-region">
        <w:r>
          <w:rPr>
            <w:rFonts w:ascii="Garamond" w:hAnsi="Garamond"/>
            <w:sz w:val="24"/>
            <w:szCs w:val="24"/>
          </w:rPr>
          <w:t>Malaysia</w:t>
        </w:r>
      </w:smartTag>
      <w:r>
        <w:rPr>
          <w:rFonts w:ascii="Garamond" w:hAnsi="Garamond"/>
          <w:sz w:val="24"/>
          <w:szCs w:val="24"/>
        </w:rPr>
        <w:t xml:space="preserve">, </w:t>
      </w:r>
      <w:smartTag w:uri="urn:schemas-microsoft-com:office:smarttags" w:element="country-region">
        <w:r>
          <w:rPr>
            <w:rFonts w:ascii="Garamond" w:hAnsi="Garamond"/>
            <w:sz w:val="24"/>
            <w:szCs w:val="24"/>
          </w:rPr>
          <w:t>South Korea</w:t>
        </w:r>
      </w:smartTag>
      <w:r>
        <w:rPr>
          <w:rFonts w:ascii="Garamond" w:hAnsi="Garamond"/>
          <w:sz w:val="24"/>
          <w:szCs w:val="24"/>
        </w:rPr>
        <w:t xml:space="preserve"> and </w:t>
      </w:r>
      <w:smartTag w:uri="urn:schemas-microsoft-com:office:smarttags" w:element="country-region">
        <w:r>
          <w:rPr>
            <w:rFonts w:ascii="Garamond" w:hAnsi="Garamond"/>
            <w:sz w:val="24"/>
            <w:szCs w:val="24"/>
          </w:rPr>
          <w:t>Thailand</w:t>
        </w:r>
      </w:smartTag>
      <w:r>
        <w:rPr>
          <w:rFonts w:ascii="Garamond" w:hAnsi="Garamond"/>
          <w:sz w:val="24"/>
          <w:szCs w:val="24"/>
        </w:rPr>
        <w:t xml:space="preserve">; and the short-term interest rate in </w:t>
      </w:r>
      <w:smartTag w:uri="urn:schemas-microsoft-com:office:smarttags" w:element="country-region">
        <w:r>
          <w:rPr>
            <w:rFonts w:ascii="Garamond" w:hAnsi="Garamond"/>
            <w:sz w:val="24"/>
            <w:szCs w:val="24"/>
          </w:rPr>
          <w:t>Indonesia</w:t>
        </w:r>
      </w:smartTag>
      <w:r>
        <w:rPr>
          <w:rFonts w:ascii="Garamond" w:hAnsi="Garamond"/>
          <w:sz w:val="24"/>
          <w:szCs w:val="24"/>
        </w:rPr>
        <w:t xml:space="preserve">, </w:t>
      </w:r>
      <w:smartTag w:uri="urn:schemas-microsoft-com:office:smarttags" w:element="country-region">
        <w:r>
          <w:rPr>
            <w:rFonts w:ascii="Garamond" w:hAnsi="Garamond"/>
            <w:sz w:val="24"/>
            <w:szCs w:val="24"/>
          </w:rPr>
          <w:t>South Korea</w:t>
        </w:r>
      </w:smartTag>
      <w:r>
        <w:rPr>
          <w:rFonts w:ascii="Garamond" w:hAnsi="Garamond"/>
          <w:sz w:val="24"/>
          <w:szCs w:val="24"/>
        </w:rPr>
        <w:t xml:space="preserve">, </w:t>
      </w:r>
      <w:smartTag w:uri="urn:schemas-microsoft-com:office:smarttags" w:element="country-region">
        <w:r>
          <w:rPr>
            <w:rFonts w:ascii="Garamond" w:hAnsi="Garamond"/>
            <w:sz w:val="24"/>
            <w:szCs w:val="24"/>
          </w:rPr>
          <w:t>Taiwan</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Thailand</w:t>
          </w:r>
        </w:smartTag>
      </w:smartTag>
      <w:r>
        <w:rPr>
          <w:rFonts w:ascii="Garamond" w:hAnsi="Garamond"/>
          <w:sz w:val="24"/>
          <w:szCs w:val="24"/>
        </w:rPr>
        <w:t>.</w:t>
      </w:r>
    </w:p>
    <w:p w14:paraId="1161F349" w14:textId="3ED0D5B4" w:rsidR="00BE49FD" w:rsidRDefault="00BE49FD" w:rsidP="00BE49FD">
      <w:pPr>
        <w:spacing w:line="360" w:lineRule="auto"/>
        <w:jc w:val="both"/>
        <w:rPr>
          <w:rFonts w:ascii="Garamond" w:hAnsi="Garamond"/>
          <w:sz w:val="24"/>
          <w:szCs w:val="24"/>
        </w:rPr>
      </w:pPr>
      <w:r>
        <w:rPr>
          <w:rFonts w:ascii="Garamond" w:hAnsi="Garamond"/>
          <w:sz w:val="24"/>
          <w:szCs w:val="24"/>
        </w:rPr>
        <w:t xml:space="preserve">For a deeper understanding of the dynamics of liquidity and its interaction with monetary policy within the VAR system we also report the impulse response functions (IRFs) and variance decomposition as suggested in earlier studies, e.g. Chordia et al. (2005), Goyenko and Ukhov (2009), </w:t>
      </w:r>
      <w:r w:rsidR="001608DE">
        <w:rPr>
          <w:rFonts w:ascii="Garamond" w:hAnsi="Garamond"/>
          <w:sz w:val="24"/>
          <w:szCs w:val="24"/>
        </w:rPr>
        <w:t xml:space="preserve">and </w:t>
      </w:r>
      <w:r>
        <w:rPr>
          <w:rFonts w:ascii="Garamond" w:hAnsi="Garamond"/>
          <w:sz w:val="24"/>
          <w:szCs w:val="24"/>
        </w:rPr>
        <w:t xml:space="preserve">Gagnon and Gimet (2013). The IRF traces the impact of a one-time, unit standard deviation, positive shock to one variable on the current and future values of the endogenous variables. Results from the IRFs and variance decompositions are generally sensitive to the </w:t>
      </w:r>
      <w:r>
        <w:rPr>
          <w:rFonts w:ascii="Garamond" w:hAnsi="Garamond"/>
          <w:sz w:val="24"/>
          <w:szCs w:val="24"/>
        </w:rPr>
        <w:lastRenderedPageBreak/>
        <w:t>specific ordering of the endogenous variables (see Chordia et al., 2005 for a detailed discussion). Therefore, in choosing an ordering, we rely on the prior evidence of Chordia et al. (2005), Goyenko and Ukhov (2009), and Fernández-Amador et al. (2013). We order our variables as follows: macroeconomic variables, IP, IR and MP first, followed by STD, RET and (il)liquidity. We put liquidity and illiquidity at the end of the VAR ordering in our estimates to gain stronger statistical power (see Goyenko and Ukhov, 2009).</w:t>
      </w:r>
    </w:p>
    <w:p w14:paraId="75BEF482" w14:textId="59FECD29" w:rsidR="00BE49FD" w:rsidRDefault="00BE49FD" w:rsidP="00BE49FD">
      <w:pPr>
        <w:spacing w:line="360" w:lineRule="auto"/>
        <w:jc w:val="both"/>
        <w:rPr>
          <w:rFonts w:ascii="Garamond" w:hAnsi="Garamond"/>
          <w:sz w:val="24"/>
          <w:szCs w:val="24"/>
        </w:rPr>
      </w:pPr>
      <w:r>
        <w:rPr>
          <w:rFonts w:ascii="Garamond" w:hAnsi="Garamond"/>
          <w:sz w:val="24"/>
          <w:szCs w:val="24"/>
        </w:rPr>
        <w:t xml:space="preserve">The accumulated responses of market (il)liquidity to a unit standard deviation innovation in monetary policy shocks are summarized in Table 4, traced forward over a period of 12 months. Here, responses are measured using standard Cholesky decomposition of the VAR residuals. Bootstrap 95 percent confidence bands are used to gauge the statistical significance of the responses. The second to fifth columns (i.e. Group A) of Table 4 illustrate the aggregate response of </w:t>
      </w:r>
      <w:r w:rsidR="001608DE">
        <w:rPr>
          <w:rFonts w:ascii="Garamond" w:hAnsi="Garamond"/>
          <w:sz w:val="24"/>
          <w:szCs w:val="24"/>
        </w:rPr>
        <w:t xml:space="preserve">the </w:t>
      </w:r>
      <w:r>
        <w:rPr>
          <w:rFonts w:ascii="Garamond" w:hAnsi="Garamond"/>
          <w:sz w:val="24"/>
          <w:szCs w:val="24"/>
        </w:rPr>
        <w:t xml:space="preserve">four (il)liquidity </w:t>
      </w:r>
      <w:r w:rsidR="001608DE">
        <w:rPr>
          <w:rFonts w:ascii="Garamond" w:hAnsi="Garamond"/>
          <w:sz w:val="24"/>
          <w:szCs w:val="24"/>
        </w:rPr>
        <w:t xml:space="preserve">measures </w:t>
      </w:r>
      <w:r>
        <w:rPr>
          <w:rFonts w:ascii="Garamond" w:hAnsi="Garamond"/>
          <w:sz w:val="24"/>
          <w:szCs w:val="24"/>
        </w:rPr>
        <w:t xml:space="preserve">to </w:t>
      </w:r>
      <w:r w:rsidR="001608DE">
        <w:rPr>
          <w:rFonts w:ascii="Garamond" w:hAnsi="Garamond"/>
          <w:sz w:val="24"/>
          <w:szCs w:val="24"/>
        </w:rPr>
        <w:t xml:space="preserve">a </w:t>
      </w:r>
      <w:r>
        <w:rPr>
          <w:rFonts w:ascii="Garamond" w:hAnsi="Garamond"/>
          <w:sz w:val="24"/>
          <w:szCs w:val="24"/>
        </w:rPr>
        <w:t>one-time shock in base money growth</w:t>
      </w:r>
      <w:r w:rsidR="001608DE">
        <w:rPr>
          <w:rFonts w:ascii="Garamond" w:hAnsi="Garamond"/>
          <w:sz w:val="24"/>
          <w:szCs w:val="24"/>
        </w:rPr>
        <w:t>.</w:t>
      </w:r>
      <w:r>
        <w:rPr>
          <w:rFonts w:ascii="Garamond" w:hAnsi="Garamond"/>
          <w:sz w:val="24"/>
          <w:szCs w:val="24"/>
        </w:rPr>
        <w:t xml:space="preserve"> </w:t>
      </w:r>
      <w:r w:rsidR="001608DE">
        <w:rPr>
          <w:rFonts w:ascii="Garamond" w:hAnsi="Garamond"/>
          <w:sz w:val="24"/>
          <w:szCs w:val="24"/>
        </w:rPr>
        <w:t>M</w:t>
      </w:r>
      <w:r>
        <w:rPr>
          <w:rFonts w:ascii="Garamond" w:hAnsi="Garamond"/>
          <w:sz w:val="24"/>
          <w:szCs w:val="24"/>
        </w:rPr>
        <w:t>ost of the signs are in line with our hypothesis and significant. Here, following the base money growth shocks the trading volume and turnover rate get</w:t>
      </w:r>
      <w:r w:rsidR="001608DE">
        <w:rPr>
          <w:rFonts w:ascii="Garamond" w:hAnsi="Garamond"/>
          <w:sz w:val="24"/>
          <w:szCs w:val="24"/>
        </w:rPr>
        <w:t xml:space="preserve"> a</w:t>
      </w:r>
      <w:r>
        <w:rPr>
          <w:rFonts w:ascii="Garamond" w:hAnsi="Garamond"/>
          <w:sz w:val="24"/>
          <w:szCs w:val="24"/>
        </w:rPr>
        <w:t xml:space="preserve"> positive response and illiquidity ratios get </w:t>
      </w:r>
      <w:r w:rsidR="001608DE">
        <w:rPr>
          <w:rFonts w:ascii="Garamond" w:hAnsi="Garamond"/>
          <w:sz w:val="24"/>
          <w:szCs w:val="24"/>
        </w:rPr>
        <w:t xml:space="preserve">a </w:t>
      </w:r>
      <w:r>
        <w:rPr>
          <w:rFonts w:ascii="Garamond" w:hAnsi="Garamond"/>
          <w:sz w:val="24"/>
          <w:szCs w:val="24"/>
        </w:rPr>
        <w:t>negative response. That indicates</w:t>
      </w:r>
      <w:r w:rsidR="001608DE">
        <w:rPr>
          <w:rFonts w:ascii="Garamond" w:hAnsi="Garamond"/>
          <w:sz w:val="24"/>
          <w:szCs w:val="24"/>
        </w:rPr>
        <w:t xml:space="preserve"> that</w:t>
      </w:r>
      <w:r>
        <w:rPr>
          <w:rFonts w:ascii="Garamond" w:hAnsi="Garamond"/>
          <w:sz w:val="24"/>
          <w:szCs w:val="24"/>
        </w:rPr>
        <w:t xml:space="preserve"> market liquidity increases (decreases) with higher (lower) broad money supply in the economy for seven markets </w:t>
      </w:r>
      <w:r w:rsidR="001608DE">
        <w:rPr>
          <w:rFonts w:ascii="Garamond" w:hAnsi="Garamond"/>
          <w:sz w:val="24"/>
          <w:szCs w:val="24"/>
        </w:rPr>
        <w:t xml:space="preserve">but not </w:t>
      </w:r>
      <w:r>
        <w:rPr>
          <w:rFonts w:ascii="Garamond" w:hAnsi="Garamond"/>
          <w:sz w:val="24"/>
          <w:szCs w:val="24"/>
        </w:rPr>
        <w:t>Pakistan. For Pakistan our results show that market liquidity (illiquidity) decreases (increase</w:t>
      </w:r>
      <w:r w:rsidR="001608DE">
        <w:rPr>
          <w:rFonts w:ascii="Garamond" w:hAnsi="Garamond"/>
          <w:sz w:val="24"/>
          <w:szCs w:val="24"/>
        </w:rPr>
        <w:t>s</w:t>
      </w:r>
      <w:r>
        <w:rPr>
          <w:rFonts w:ascii="Garamond" w:hAnsi="Garamond"/>
          <w:sz w:val="24"/>
          <w:szCs w:val="24"/>
        </w:rPr>
        <w:t>) with easing (tightening) of monetary policy. Similar to the money supply growth rate, the impulse response signs for the bank rate (Group B) and short-term interest rate (Group C) are found as expected, however, their magnitudes are different. In general, higher (lower) bank rate and short-term interest rate represent conservative (expansionary) monetary policy</w:t>
      </w:r>
      <w:r w:rsidR="001608DE">
        <w:rPr>
          <w:rFonts w:ascii="Garamond" w:hAnsi="Garamond"/>
          <w:sz w:val="24"/>
          <w:szCs w:val="24"/>
        </w:rPr>
        <w:t>,</w:t>
      </w:r>
      <w:r>
        <w:rPr>
          <w:rFonts w:ascii="Garamond" w:hAnsi="Garamond"/>
          <w:sz w:val="24"/>
          <w:szCs w:val="24"/>
        </w:rPr>
        <w:t xml:space="preserve"> thus generat</w:t>
      </w:r>
      <w:r w:rsidR="001608DE">
        <w:rPr>
          <w:rFonts w:ascii="Garamond" w:hAnsi="Garamond"/>
          <w:sz w:val="24"/>
          <w:szCs w:val="24"/>
        </w:rPr>
        <w:t>ing</w:t>
      </w:r>
      <w:r>
        <w:rPr>
          <w:rFonts w:ascii="Garamond" w:hAnsi="Garamond"/>
          <w:sz w:val="24"/>
          <w:szCs w:val="24"/>
        </w:rPr>
        <w:t xml:space="preserve"> negative (positive) influence</w:t>
      </w:r>
      <w:r w:rsidR="001608DE">
        <w:rPr>
          <w:rFonts w:ascii="Garamond" w:hAnsi="Garamond"/>
          <w:sz w:val="24"/>
          <w:szCs w:val="24"/>
        </w:rPr>
        <w:t>s</w:t>
      </w:r>
      <w:r>
        <w:rPr>
          <w:rFonts w:ascii="Garamond" w:hAnsi="Garamond"/>
          <w:sz w:val="24"/>
          <w:szCs w:val="24"/>
        </w:rPr>
        <w:t xml:space="preserve"> on liquidity (illiquidity). The signs, such as bank rate impact on turnover rate in Bang</w:t>
      </w:r>
      <w:r w:rsidR="00A66A79">
        <w:rPr>
          <w:rFonts w:ascii="Garamond" w:hAnsi="Garamond"/>
          <w:sz w:val="24"/>
          <w:szCs w:val="24"/>
        </w:rPr>
        <w:t>l</w:t>
      </w:r>
      <w:r>
        <w:rPr>
          <w:rFonts w:ascii="Garamond" w:hAnsi="Garamond"/>
          <w:sz w:val="24"/>
          <w:szCs w:val="24"/>
        </w:rPr>
        <w:t xml:space="preserve">adesh and Indonesia; on turnover rate and trading volume in Pakistan; and on Amihud’s (2002) illiquidity ratio in Bangladesh are not found as expected. </w:t>
      </w:r>
      <w:smartTag w:uri="urn:schemas-microsoft-com:office:smarttags" w:element="country-region">
        <w:r>
          <w:rPr>
            <w:rFonts w:ascii="Garamond" w:hAnsi="Garamond"/>
            <w:sz w:val="24"/>
            <w:szCs w:val="24"/>
          </w:rPr>
          <w:t>India</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Indonesia</w:t>
          </w:r>
        </w:smartTag>
      </w:smartTag>
      <w:r>
        <w:rPr>
          <w:rFonts w:ascii="Garamond" w:hAnsi="Garamond"/>
          <w:sz w:val="24"/>
          <w:szCs w:val="24"/>
        </w:rPr>
        <w:t xml:space="preserve"> also display some deviation from the expected impulse response signs of short-term interest rate shocks.   </w:t>
      </w:r>
    </w:p>
    <w:p w14:paraId="39B719E3" w14:textId="77777777" w:rsidR="00BE49FD" w:rsidRDefault="00BE49FD" w:rsidP="00BE49FD">
      <w:pPr>
        <w:rPr>
          <w:rFonts w:ascii="Garamond" w:hAnsi="Garamond"/>
          <w:b/>
          <w:bCs/>
          <w:sz w:val="24"/>
          <w:szCs w:val="24"/>
        </w:rPr>
      </w:pPr>
      <w:r>
        <w:rPr>
          <w:rFonts w:ascii="Garamond" w:hAnsi="Garamond"/>
          <w:b/>
          <w:bCs/>
          <w:sz w:val="24"/>
          <w:szCs w:val="24"/>
        </w:rPr>
        <w:br w:type="page"/>
      </w:r>
    </w:p>
    <w:p w14:paraId="4068DA47" w14:textId="77777777" w:rsidR="00BE49FD" w:rsidRPr="007B3DF2" w:rsidRDefault="00BE49FD" w:rsidP="00BE49FD">
      <w:pPr>
        <w:spacing w:line="360" w:lineRule="auto"/>
        <w:jc w:val="center"/>
        <w:rPr>
          <w:rFonts w:ascii="Garamond" w:hAnsi="Garamond"/>
          <w:b/>
          <w:bCs/>
          <w:sz w:val="24"/>
          <w:szCs w:val="24"/>
        </w:rPr>
      </w:pPr>
      <w:r w:rsidRPr="007B3DF2">
        <w:rPr>
          <w:rFonts w:ascii="Garamond" w:hAnsi="Garamond"/>
          <w:b/>
          <w:bCs/>
          <w:sz w:val="24"/>
          <w:szCs w:val="24"/>
        </w:rPr>
        <w:lastRenderedPageBreak/>
        <w:t>Table 4: Summary of impulse response function</w:t>
      </w:r>
      <w:r>
        <w:rPr>
          <w:rFonts w:ascii="Garamond" w:hAnsi="Garamond"/>
          <w:b/>
          <w:bCs/>
          <w:sz w:val="24"/>
          <w:szCs w:val="24"/>
        </w:rPr>
        <w:t xml:space="preserve"> sign</w:t>
      </w:r>
      <w:r w:rsidRPr="007B3DF2">
        <w:rPr>
          <w:rFonts w:ascii="Garamond" w:hAnsi="Garamond"/>
          <w:b/>
          <w:bCs/>
          <w:sz w:val="24"/>
          <w:szCs w:val="24"/>
        </w:rPr>
        <w:t xml:space="preserve">s to monetary policy </w:t>
      </w:r>
      <w:r>
        <w:rPr>
          <w:rFonts w:ascii="Garamond" w:hAnsi="Garamond"/>
          <w:b/>
          <w:bCs/>
          <w:sz w:val="24"/>
          <w:szCs w:val="24"/>
        </w:rPr>
        <w:t>shocks</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53"/>
        <w:gridCol w:w="563"/>
        <w:gridCol w:w="847"/>
        <w:gridCol w:w="623"/>
        <w:gridCol w:w="514"/>
        <w:gridCol w:w="527"/>
        <w:gridCol w:w="846"/>
        <w:gridCol w:w="584"/>
        <w:gridCol w:w="596"/>
        <w:gridCol w:w="639"/>
        <w:gridCol w:w="959"/>
        <w:gridCol w:w="706"/>
      </w:tblGrid>
      <w:tr w:rsidR="00BE49FD" w:rsidRPr="008A703F" w14:paraId="2A740261" w14:textId="77777777" w:rsidTr="00B90008">
        <w:trPr>
          <w:trHeight w:val="334"/>
          <w:jc w:val="center"/>
        </w:trPr>
        <w:tc>
          <w:tcPr>
            <w:tcW w:w="687" w:type="pct"/>
            <w:tcBorders>
              <w:top w:val="single" w:sz="4" w:space="0" w:color="auto"/>
              <w:left w:val="single" w:sz="4" w:space="0" w:color="auto"/>
              <w:bottom w:val="nil"/>
              <w:right w:val="single" w:sz="4" w:space="0" w:color="auto"/>
            </w:tcBorders>
            <w:shd w:val="clear" w:color="auto" w:fill="auto"/>
            <w:noWrap/>
          </w:tcPr>
          <w:p w14:paraId="118AB435" w14:textId="77777777" w:rsidR="00BE49FD" w:rsidRPr="00151295" w:rsidRDefault="00BE49FD" w:rsidP="00B90008">
            <w:pPr>
              <w:spacing w:after="0" w:line="240" w:lineRule="auto"/>
              <w:jc w:val="center"/>
              <w:rPr>
                <w:rFonts w:ascii="Garamond" w:hAnsi="Garamond"/>
                <w:color w:val="000000"/>
                <w:sz w:val="24"/>
                <w:szCs w:val="24"/>
                <w:lang w:bidi="bn-IN"/>
              </w:rPr>
            </w:pPr>
          </w:p>
        </w:tc>
        <w:tc>
          <w:tcPr>
            <w:tcW w:w="1494" w:type="pct"/>
            <w:gridSpan w:val="4"/>
            <w:tcBorders>
              <w:top w:val="single" w:sz="4" w:space="0" w:color="auto"/>
              <w:left w:val="single" w:sz="4" w:space="0" w:color="auto"/>
              <w:bottom w:val="single" w:sz="4" w:space="0" w:color="auto"/>
              <w:right w:val="single" w:sz="4" w:space="0" w:color="auto"/>
            </w:tcBorders>
            <w:shd w:val="clear" w:color="auto" w:fill="auto"/>
            <w:noWrap/>
          </w:tcPr>
          <w:p w14:paraId="113003A3" w14:textId="77777777" w:rsidR="00BE49FD"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Group A: Base money</w:t>
            </w:r>
          </w:p>
          <w:p w14:paraId="7A08486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growth</w:t>
            </w:r>
          </w:p>
        </w:tc>
        <w:tc>
          <w:tcPr>
            <w:tcW w:w="1139" w:type="pct"/>
            <w:gridSpan w:val="4"/>
            <w:tcBorders>
              <w:top w:val="single" w:sz="4" w:space="0" w:color="auto"/>
              <w:left w:val="single" w:sz="4" w:space="0" w:color="auto"/>
              <w:bottom w:val="single" w:sz="4" w:space="0" w:color="auto"/>
              <w:right w:val="single" w:sz="4" w:space="0" w:color="auto"/>
            </w:tcBorders>
            <w:shd w:val="clear" w:color="auto" w:fill="auto"/>
            <w:noWrap/>
          </w:tcPr>
          <w:p w14:paraId="2ACE562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Group B: Bank rate</w:t>
            </w:r>
          </w:p>
        </w:tc>
        <w:tc>
          <w:tcPr>
            <w:tcW w:w="1680" w:type="pct"/>
            <w:gridSpan w:val="4"/>
            <w:tcBorders>
              <w:top w:val="single" w:sz="4" w:space="0" w:color="auto"/>
              <w:left w:val="single" w:sz="4" w:space="0" w:color="auto"/>
              <w:bottom w:val="single" w:sz="4" w:space="0" w:color="auto"/>
              <w:right w:val="single" w:sz="4" w:space="0" w:color="auto"/>
            </w:tcBorders>
            <w:shd w:val="clear" w:color="auto" w:fill="auto"/>
            <w:noWrap/>
          </w:tcPr>
          <w:p w14:paraId="48CB318A" w14:textId="77777777" w:rsidR="00BE49FD"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Group C: Short-term</w:t>
            </w:r>
          </w:p>
          <w:p w14:paraId="3638572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interest rate</w:t>
            </w:r>
          </w:p>
        </w:tc>
      </w:tr>
      <w:tr w:rsidR="00BE49FD" w:rsidRPr="008A703F" w14:paraId="425A42AF" w14:textId="77777777" w:rsidTr="00B90008">
        <w:trPr>
          <w:trHeight w:val="300"/>
          <w:jc w:val="center"/>
        </w:trPr>
        <w:tc>
          <w:tcPr>
            <w:tcW w:w="687" w:type="pct"/>
            <w:tcBorders>
              <w:top w:val="nil"/>
              <w:left w:val="single" w:sz="4" w:space="0" w:color="auto"/>
              <w:bottom w:val="nil"/>
              <w:right w:val="single" w:sz="4" w:space="0" w:color="auto"/>
            </w:tcBorders>
            <w:shd w:val="clear" w:color="auto" w:fill="auto"/>
            <w:noWrap/>
            <w:vAlign w:val="bottom"/>
          </w:tcPr>
          <w:p w14:paraId="3F8C1835" w14:textId="77777777" w:rsidR="00BE49FD" w:rsidRPr="00151295" w:rsidRDefault="00BE49FD" w:rsidP="00B90008">
            <w:pPr>
              <w:spacing w:after="0" w:line="240" w:lineRule="auto"/>
              <w:rPr>
                <w:rFonts w:ascii="Garamond" w:hAnsi="Garamond"/>
                <w:color w:val="000000"/>
                <w:sz w:val="24"/>
                <w:szCs w:val="24"/>
                <w:lang w:bidi="bn-IN"/>
              </w:rPr>
            </w:pPr>
            <w:r w:rsidRPr="00151295">
              <w:rPr>
                <w:rFonts w:ascii="Garamond" w:hAnsi="Garamond"/>
                <w:color w:val="000000"/>
                <w:sz w:val="24"/>
                <w:szCs w:val="24"/>
                <w:lang w:bidi="bn-IN"/>
              </w:rPr>
              <w:t> </w:t>
            </w:r>
          </w:p>
        </w:tc>
        <w:tc>
          <w:tcPr>
            <w:tcW w:w="4313" w:type="pct"/>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7C898257"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(il)liquidity measures</w:t>
            </w:r>
          </w:p>
        </w:tc>
      </w:tr>
      <w:tr w:rsidR="00BE49FD" w:rsidRPr="008A703F" w14:paraId="4A3365C7" w14:textId="77777777" w:rsidTr="00B90008">
        <w:trPr>
          <w:trHeight w:val="300"/>
          <w:jc w:val="center"/>
        </w:trPr>
        <w:tc>
          <w:tcPr>
            <w:tcW w:w="687" w:type="pct"/>
            <w:tcBorders>
              <w:top w:val="nil"/>
              <w:left w:val="single" w:sz="4" w:space="0" w:color="auto"/>
              <w:bottom w:val="nil"/>
              <w:right w:val="single" w:sz="4" w:space="0" w:color="auto"/>
            </w:tcBorders>
            <w:shd w:val="clear" w:color="auto" w:fill="auto"/>
            <w:noWrap/>
            <w:vAlign w:val="bottom"/>
          </w:tcPr>
          <w:p w14:paraId="1BBD0FD0" w14:textId="77777777" w:rsidR="00BE49FD" w:rsidRPr="00151295" w:rsidRDefault="00BE49FD" w:rsidP="00B90008">
            <w:pPr>
              <w:spacing w:after="0" w:line="240" w:lineRule="auto"/>
              <w:rPr>
                <w:rFonts w:ascii="Garamond" w:hAnsi="Garamond"/>
                <w:color w:val="000000"/>
                <w:sz w:val="24"/>
                <w:szCs w:val="24"/>
                <w:lang w:bidi="bn-IN"/>
              </w:rPr>
            </w:pPr>
            <w:r w:rsidRPr="00151295">
              <w:rPr>
                <w:rFonts w:ascii="Garamond" w:hAnsi="Garamond"/>
                <w:color w:val="000000"/>
                <w:sz w:val="24"/>
                <w:szCs w:val="24"/>
                <w:lang w:bidi="bn-IN"/>
              </w:rPr>
              <w:t> </w:t>
            </w:r>
          </w:p>
        </w:tc>
        <w:tc>
          <w:tcPr>
            <w:tcW w:w="324" w:type="pct"/>
            <w:tcBorders>
              <w:top w:val="single" w:sz="4" w:space="0" w:color="auto"/>
              <w:left w:val="single" w:sz="4" w:space="0" w:color="auto"/>
              <w:bottom w:val="nil"/>
              <w:right w:val="nil"/>
            </w:tcBorders>
            <w:shd w:val="clear" w:color="auto" w:fill="auto"/>
            <w:noWrap/>
            <w:vAlign w:val="bottom"/>
          </w:tcPr>
          <w:p w14:paraId="3F14690B"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TR</w:t>
            </w:r>
          </w:p>
        </w:tc>
        <w:tc>
          <w:tcPr>
            <w:tcW w:w="329" w:type="pct"/>
            <w:tcBorders>
              <w:top w:val="single" w:sz="4" w:space="0" w:color="auto"/>
              <w:left w:val="nil"/>
              <w:bottom w:val="nil"/>
              <w:right w:val="nil"/>
            </w:tcBorders>
            <w:shd w:val="clear" w:color="auto" w:fill="auto"/>
            <w:noWrap/>
            <w:vAlign w:val="bottom"/>
          </w:tcPr>
          <w:p w14:paraId="0D0E939B"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TV</w:t>
            </w:r>
          </w:p>
        </w:tc>
        <w:tc>
          <w:tcPr>
            <w:tcW w:w="481" w:type="pct"/>
            <w:tcBorders>
              <w:top w:val="single" w:sz="4" w:space="0" w:color="auto"/>
              <w:left w:val="nil"/>
              <w:bottom w:val="nil"/>
              <w:right w:val="nil"/>
            </w:tcBorders>
            <w:shd w:val="clear" w:color="auto" w:fill="auto"/>
            <w:noWrap/>
            <w:vAlign w:val="bottom"/>
          </w:tcPr>
          <w:p w14:paraId="0341552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ILLIQ</w:t>
            </w:r>
          </w:p>
        </w:tc>
        <w:tc>
          <w:tcPr>
            <w:tcW w:w="361" w:type="pct"/>
            <w:tcBorders>
              <w:top w:val="single" w:sz="4" w:space="0" w:color="auto"/>
              <w:left w:val="nil"/>
              <w:bottom w:val="nil"/>
              <w:right w:val="single" w:sz="4" w:space="0" w:color="auto"/>
            </w:tcBorders>
            <w:shd w:val="clear" w:color="auto" w:fill="auto"/>
            <w:noWrap/>
            <w:vAlign w:val="bottom"/>
          </w:tcPr>
          <w:p w14:paraId="7C6CD40B"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TPI</w:t>
            </w:r>
          </w:p>
        </w:tc>
        <w:tc>
          <w:tcPr>
            <w:tcW w:w="234" w:type="pct"/>
            <w:tcBorders>
              <w:top w:val="single" w:sz="4" w:space="0" w:color="auto"/>
              <w:left w:val="single" w:sz="4" w:space="0" w:color="auto"/>
              <w:bottom w:val="nil"/>
              <w:right w:val="nil"/>
            </w:tcBorders>
            <w:shd w:val="clear" w:color="auto" w:fill="auto"/>
            <w:noWrap/>
            <w:vAlign w:val="bottom"/>
          </w:tcPr>
          <w:p w14:paraId="760F952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TR</w:t>
            </w:r>
          </w:p>
        </w:tc>
        <w:tc>
          <w:tcPr>
            <w:tcW w:w="237" w:type="pct"/>
            <w:tcBorders>
              <w:top w:val="single" w:sz="4" w:space="0" w:color="auto"/>
              <w:left w:val="nil"/>
              <w:bottom w:val="nil"/>
              <w:right w:val="nil"/>
            </w:tcBorders>
            <w:shd w:val="clear" w:color="auto" w:fill="auto"/>
            <w:noWrap/>
            <w:vAlign w:val="bottom"/>
          </w:tcPr>
          <w:p w14:paraId="4ED9939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TV</w:t>
            </w:r>
          </w:p>
        </w:tc>
        <w:tc>
          <w:tcPr>
            <w:tcW w:w="347" w:type="pct"/>
            <w:tcBorders>
              <w:top w:val="single" w:sz="4" w:space="0" w:color="auto"/>
              <w:left w:val="nil"/>
              <w:bottom w:val="nil"/>
              <w:right w:val="nil"/>
            </w:tcBorders>
            <w:shd w:val="clear" w:color="auto" w:fill="auto"/>
            <w:noWrap/>
            <w:vAlign w:val="bottom"/>
          </w:tcPr>
          <w:p w14:paraId="0C00F2E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ILLIQ</w:t>
            </w:r>
          </w:p>
        </w:tc>
        <w:tc>
          <w:tcPr>
            <w:tcW w:w="322" w:type="pct"/>
            <w:tcBorders>
              <w:top w:val="single" w:sz="4" w:space="0" w:color="auto"/>
              <w:left w:val="nil"/>
              <w:bottom w:val="nil"/>
              <w:right w:val="single" w:sz="4" w:space="0" w:color="auto"/>
            </w:tcBorders>
            <w:shd w:val="clear" w:color="auto" w:fill="auto"/>
            <w:noWrap/>
            <w:vAlign w:val="bottom"/>
          </w:tcPr>
          <w:p w14:paraId="1B72A3D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TPI</w:t>
            </w:r>
          </w:p>
        </w:tc>
        <w:tc>
          <w:tcPr>
            <w:tcW w:w="364" w:type="pct"/>
            <w:tcBorders>
              <w:top w:val="single" w:sz="4" w:space="0" w:color="auto"/>
              <w:left w:val="single" w:sz="4" w:space="0" w:color="auto"/>
              <w:bottom w:val="nil"/>
              <w:right w:val="nil"/>
            </w:tcBorders>
            <w:shd w:val="clear" w:color="auto" w:fill="auto"/>
            <w:noWrap/>
            <w:vAlign w:val="bottom"/>
          </w:tcPr>
          <w:p w14:paraId="180348F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TR</w:t>
            </w:r>
          </w:p>
        </w:tc>
        <w:tc>
          <w:tcPr>
            <w:tcW w:w="369" w:type="pct"/>
            <w:tcBorders>
              <w:top w:val="single" w:sz="4" w:space="0" w:color="auto"/>
              <w:left w:val="nil"/>
              <w:bottom w:val="nil"/>
              <w:right w:val="nil"/>
            </w:tcBorders>
            <w:shd w:val="clear" w:color="auto" w:fill="auto"/>
            <w:noWrap/>
            <w:vAlign w:val="bottom"/>
          </w:tcPr>
          <w:p w14:paraId="5113F75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TV</w:t>
            </w:r>
          </w:p>
        </w:tc>
        <w:tc>
          <w:tcPr>
            <w:tcW w:w="540" w:type="pct"/>
            <w:tcBorders>
              <w:top w:val="single" w:sz="4" w:space="0" w:color="auto"/>
              <w:left w:val="nil"/>
              <w:bottom w:val="nil"/>
              <w:right w:val="nil"/>
            </w:tcBorders>
            <w:shd w:val="clear" w:color="auto" w:fill="auto"/>
            <w:noWrap/>
            <w:vAlign w:val="bottom"/>
          </w:tcPr>
          <w:p w14:paraId="0605826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ILLIQ</w:t>
            </w:r>
          </w:p>
        </w:tc>
        <w:tc>
          <w:tcPr>
            <w:tcW w:w="407" w:type="pct"/>
            <w:tcBorders>
              <w:top w:val="single" w:sz="4" w:space="0" w:color="auto"/>
              <w:left w:val="nil"/>
              <w:bottom w:val="nil"/>
              <w:right w:val="single" w:sz="4" w:space="0" w:color="auto"/>
            </w:tcBorders>
            <w:shd w:val="clear" w:color="auto" w:fill="auto"/>
            <w:noWrap/>
            <w:vAlign w:val="bottom"/>
          </w:tcPr>
          <w:p w14:paraId="1C6783A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TPI</w:t>
            </w:r>
          </w:p>
        </w:tc>
      </w:tr>
      <w:tr w:rsidR="00BE49FD" w:rsidRPr="008A703F" w14:paraId="52F3A4D7" w14:textId="77777777" w:rsidTr="00B90008">
        <w:trPr>
          <w:trHeight w:val="300"/>
          <w:jc w:val="center"/>
        </w:trPr>
        <w:tc>
          <w:tcPr>
            <w:tcW w:w="687" w:type="pct"/>
            <w:tcBorders>
              <w:top w:val="nil"/>
              <w:left w:val="single" w:sz="4" w:space="0" w:color="auto"/>
              <w:bottom w:val="nil"/>
              <w:right w:val="single" w:sz="4" w:space="0" w:color="auto"/>
            </w:tcBorders>
            <w:shd w:val="clear" w:color="auto" w:fill="auto"/>
            <w:noWrap/>
            <w:vAlign w:val="bottom"/>
          </w:tcPr>
          <w:p w14:paraId="30D46CA5"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Bangladesh</w:t>
                </w:r>
              </w:smartTag>
            </w:smartTag>
          </w:p>
        </w:tc>
        <w:tc>
          <w:tcPr>
            <w:tcW w:w="324" w:type="pct"/>
            <w:tcBorders>
              <w:top w:val="nil"/>
              <w:left w:val="single" w:sz="4" w:space="0" w:color="auto"/>
              <w:bottom w:val="nil"/>
              <w:right w:val="nil"/>
            </w:tcBorders>
            <w:shd w:val="clear" w:color="auto" w:fill="auto"/>
            <w:noWrap/>
            <w:vAlign w:val="bottom"/>
          </w:tcPr>
          <w:p w14:paraId="6058B84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9" w:type="pct"/>
            <w:tcBorders>
              <w:top w:val="nil"/>
              <w:left w:val="nil"/>
              <w:bottom w:val="nil"/>
              <w:right w:val="nil"/>
            </w:tcBorders>
            <w:shd w:val="clear" w:color="auto" w:fill="auto"/>
            <w:noWrap/>
            <w:vAlign w:val="bottom"/>
          </w:tcPr>
          <w:p w14:paraId="46A165F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81" w:type="pct"/>
            <w:tcBorders>
              <w:top w:val="nil"/>
              <w:left w:val="nil"/>
              <w:bottom w:val="nil"/>
              <w:right w:val="nil"/>
            </w:tcBorders>
            <w:shd w:val="clear" w:color="auto" w:fill="auto"/>
            <w:noWrap/>
            <w:vAlign w:val="bottom"/>
          </w:tcPr>
          <w:p w14:paraId="38D0773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1" w:type="pct"/>
            <w:tcBorders>
              <w:top w:val="nil"/>
              <w:left w:val="nil"/>
              <w:bottom w:val="nil"/>
              <w:right w:val="single" w:sz="4" w:space="0" w:color="auto"/>
            </w:tcBorders>
            <w:shd w:val="clear" w:color="auto" w:fill="auto"/>
            <w:noWrap/>
            <w:vAlign w:val="bottom"/>
          </w:tcPr>
          <w:p w14:paraId="307B2AD7"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4" w:type="pct"/>
            <w:tcBorders>
              <w:top w:val="nil"/>
              <w:left w:val="single" w:sz="4" w:space="0" w:color="auto"/>
              <w:bottom w:val="nil"/>
              <w:right w:val="nil"/>
            </w:tcBorders>
            <w:shd w:val="clear" w:color="auto" w:fill="auto"/>
            <w:noWrap/>
            <w:vAlign w:val="bottom"/>
          </w:tcPr>
          <w:p w14:paraId="00273F1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7" w:type="pct"/>
            <w:tcBorders>
              <w:top w:val="nil"/>
              <w:left w:val="nil"/>
              <w:bottom w:val="nil"/>
              <w:right w:val="nil"/>
            </w:tcBorders>
            <w:shd w:val="clear" w:color="auto" w:fill="auto"/>
            <w:noWrap/>
            <w:vAlign w:val="bottom"/>
          </w:tcPr>
          <w:p w14:paraId="7CAD208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47" w:type="pct"/>
            <w:tcBorders>
              <w:top w:val="nil"/>
              <w:left w:val="nil"/>
              <w:bottom w:val="nil"/>
              <w:right w:val="nil"/>
            </w:tcBorders>
            <w:shd w:val="clear" w:color="auto" w:fill="auto"/>
            <w:noWrap/>
            <w:vAlign w:val="bottom"/>
          </w:tcPr>
          <w:p w14:paraId="18C6224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2" w:type="pct"/>
            <w:tcBorders>
              <w:top w:val="nil"/>
              <w:left w:val="nil"/>
              <w:bottom w:val="nil"/>
              <w:right w:val="single" w:sz="4" w:space="0" w:color="auto"/>
            </w:tcBorders>
            <w:shd w:val="clear" w:color="auto" w:fill="auto"/>
            <w:noWrap/>
            <w:vAlign w:val="bottom"/>
          </w:tcPr>
          <w:p w14:paraId="041DE56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4" w:type="pct"/>
            <w:tcBorders>
              <w:top w:val="nil"/>
              <w:left w:val="single" w:sz="4" w:space="0" w:color="auto"/>
              <w:bottom w:val="nil"/>
              <w:right w:val="nil"/>
            </w:tcBorders>
            <w:shd w:val="clear" w:color="auto" w:fill="auto"/>
            <w:noWrap/>
            <w:vAlign w:val="bottom"/>
          </w:tcPr>
          <w:p w14:paraId="09F71BBB"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9" w:type="pct"/>
            <w:tcBorders>
              <w:top w:val="nil"/>
              <w:left w:val="nil"/>
              <w:bottom w:val="nil"/>
              <w:right w:val="nil"/>
            </w:tcBorders>
            <w:shd w:val="clear" w:color="auto" w:fill="auto"/>
            <w:noWrap/>
            <w:vAlign w:val="bottom"/>
          </w:tcPr>
          <w:p w14:paraId="67EF90F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540" w:type="pct"/>
            <w:tcBorders>
              <w:top w:val="nil"/>
              <w:left w:val="nil"/>
              <w:bottom w:val="nil"/>
              <w:right w:val="nil"/>
            </w:tcBorders>
            <w:shd w:val="clear" w:color="auto" w:fill="auto"/>
            <w:noWrap/>
            <w:vAlign w:val="bottom"/>
          </w:tcPr>
          <w:p w14:paraId="6C98A71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07" w:type="pct"/>
            <w:tcBorders>
              <w:top w:val="nil"/>
              <w:left w:val="nil"/>
              <w:bottom w:val="nil"/>
              <w:right w:val="single" w:sz="4" w:space="0" w:color="auto"/>
            </w:tcBorders>
            <w:shd w:val="clear" w:color="auto" w:fill="auto"/>
            <w:noWrap/>
            <w:vAlign w:val="bottom"/>
          </w:tcPr>
          <w:p w14:paraId="374E53D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660AE193" w14:textId="77777777" w:rsidTr="00B90008">
        <w:trPr>
          <w:trHeight w:val="300"/>
          <w:jc w:val="center"/>
        </w:trPr>
        <w:tc>
          <w:tcPr>
            <w:tcW w:w="687" w:type="pct"/>
            <w:tcBorders>
              <w:top w:val="nil"/>
              <w:left w:val="single" w:sz="4" w:space="0" w:color="auto"/>
              <w:bottom w:val="nil"/>
              <w:right w:val="single" w:sz="4" w:space="0" w:color="auto"/>
            </w:tcBorders>
            <w:shd w:val="clear" w:color="auto" w:fill="auto"/>
            <w:noWrap/>
            <w:vAlign w:val="bottom"/>
          </w:tcPr>
          <w:p w14:paraId="6807B35B"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India</w:t>
                </w:r>
              </w:smartTag>
            </w:smartTag>
          </w:p>
        </w:tc>
        <w:tc>
          <w:tcPr>
            <w:tcW w:w="324" w:type="pct"/>
            <w:tcBorders>
              <w:top w:val="nil"/>
              <w:left w:val="single" w:sz="4" w:space="0" w:color="auto"/>
              <w:bottom w:val="nil"/>
              <w:right w:val="nil"/>
            </w:tcBorders>
            <w:shd w:val="clear" w:color="auto" w:fill="auto"/>
            <w:noWrap/>
            <w:vAlign w:val="bottom"/>
          </w:tcPr>
          <w:p w14:paraId="0A788F7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9" w:type="pct"/>
            <w:tcBorders>
              <w:top w:val="nil"/>
              <w:left w:val="nil"/>
              <w:bottom w:val="nil"/>
              <w:right w:val="nil"/>
            </w:tcBorders>
            <w:shd w:val="clear" w:color="auto" w:fill="auto"/>
            <w:noWrap/>
            <w:vAlign w:val="bottom"/>
          </w:tcPr>
          <w:p w14:paraId="4E238C4F"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481" w:type="pct"/>
            <w:tcBorders>
              <w:top w:val="nil"/>
              <w:left w:val="nil"/>
              <w:bottom w:val="nil"/>
              <w:right w:val="nil"/>
            </w:tcBorders>
            <w:shd w:val="clear" w:color="auto" w:fill="auto"/>
            <w:noWrap/>
            <w:vAlign w:val="bottom"/>
          </w:tcPr>
          <w:p w14:paraId="44CA9D9F"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1" w:type="pct"/>
            <w:tcBorders>
              <w:top w:val="nil"/>
              <w:left w:val="nil"/>
              <w:bottom w:val="nil"/>
              <w:right w:val="single" w:sz="4" w:space="0" w:color="auto"/>
            </w:tcBorders>
            <w:shd w:val="clear" w:color="auto" w:fill="auto"/>
            <w:noWrap/>
            <w:vAlign w:val="bottom"/>
          </w:tcPr>
          <w:p w14:paraId="2C0DBE5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4" w:type="pct"/>
            <w:tcBorders>
              <w:top w:val="nil"/>
              <w:left w:val="single" w:sz="4" w:space="0" w:color="auto"/>
              <w:bottom w:val="nil"/>
              <w:right w:val="nil"/>
            </w:tcBorders>
            <w:shd w:val="clear" w:color="auto" w:fill="auto"/>
            <w:noWrap/>
            <w:vAlign w:val="bottom"/>
          </w:tcPr>
          <w:p w14:paraId="264B164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7" w:type="pct"/>
            <w:tcBorders>
              <w:top w:val="nil"/>
              <w:left w:val="nil"/>
              <w:bottom w:val="nil"/>
              <w:right w:val="nil"/>
            </w:tcBorders>
            <w:shd w:val="clear" w:color="auto" w:fill="auto"/>
            <w:noWrap/>
            <w:vAlign w:val="bottom"/>
          </w:tcPr>
          <w:p w14:paraId="29A33887"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47" w:type="pct"/>
            <w:tcBorders>
              <w:top w:val="nil"/>
              <w:left w:val="nil"/>
              <w:bottom w:val="nil"/>
              <w:right w:val="nil"/>
            </w:tcBorders>
            <w:shd w:val="clear" w:color="auto" w:fill="auto"/>
            <w:noWrap/>
            <w:vAlign w:val="bottom"/>
          </w:tcPr>
          <w:p w14:paraId="75BC617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2" w:type="pct"/>
            <w:tcBorders>
              <w:top w:val="nil"/>
              <w:left w:val="nil"/>
              <w:bottom w:val="nil"/>
              <w:right w:val="single" w:sz="4" w:space="0" w:color="auto"/>
            </w:tcBorders>
            <w:shd w:val="clear" w:color="auto" w:fill="auto"/>
            <w:noWrap/>
            <w:vAlign w:val="bottom"/>
          </w:tcPr>
          <w:p w14:paraId="56F4FF6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4" w:type="pct"/>
            <w:tcBorders>
              <w:top w:val="nil"/>
              <w:left w:val="single" w:sz="4" w:space="0" w:color="auto"/>
              <w:bottom w:val="nil"/>
              <w:right w:val="nil"/>
            </w:tcBorders>
            <w:shd w:val="clear" w:color="auto" w:fill="auto"/>
            <w:noWrap/>
            <w:vAlign w:val="bottom"/>
          </w:tcPr>
          <w:p w14:paraId="0FF80517"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9" w:type="pct"/>
            <w:tcBorders>
              <w:top w:val="nil"/>
              <w:left w:val="nil"/>
              <w:bottom w:val="nil"/>
              <w:right w:val="nil"/>
            </w:tcBorders>
            <w:shd w:val="clear" w:color="auto" w:fill="auto"/>
            <w:noWrap/>
            <w:vAlign w:val="bottom"/>
          </w:tcPr>
          <w:p w14:paraId="38E80CF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540" w:type="pct"/>
            <w:tcBorders>
              <w:top w:val="nil"/>
              <w:left w:val="nil"/>
              <w:bottom w:val="nil"/>
              <w:right w:val="nil"/>
            </w:tcBorders>
            <w:shd w:val="clear" w:color="auto" w:fill="auto"/>
            <w:noWrap/>
            <w:vAlign w:val="bottom"/>
          </w:tcPr>
          <w:p w14:paraId="394514E6"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07" w:type="pct"/>
            <w:tcBorders>
              <w:top w:val="nil"/>
              <w:left w:val="nil"/>
              <w:bottom w:val="nil"/>
              <w:right w:val="single" w:sz="4" w:space="0" w:color="auto"/>
            </w:tcBorders>
            <w:shd w:val="clear" w:color="auto" w:fill="auto"/>
            <w:noWrap/>
            <w:vAlign w:val="bottom"/>
          </w:tcPr>
          <w:p w14:paraId="2A3FA0D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4B259C4F" w14:textId="77777777" w:rsidTr="00B90008">
        <w:trPr>
          <w:trHeight w:val="300"/>
          <w:jc w:val="center"/>
        </w:trPr>
        <w:tc>
          <w:tcPr>
            <w:tcW w:w="687" w:type="pct"/>
            <w:tcBorders>
              <w:top w:val="nil"/>
              <w:left w:val="single" w:sz="4" w:space="0" w:color="auto"/>
              <w:bottom w:val="nil"/>
              <w:right w:val="single" w:sz="4" w:space="0" w:color="auto"/>
            </w:tcBorders>
            <w:shd w:val="clear" w:color="auto" w:fill="auto"/>
            <w:noWrap/>
            <w:vAlign w:val="bottom"/>
          </w:tcPr>
          <w:p w14:paraId="4A7CB372"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Indonesia</w:t>
                </w:r>
              </w:smartTag>
            </w:smartTag>
          </w:p>
        </w:tc>
        <w:tc>
          <w:tcPr>
            <w:tcW w:w="324" w:type="pct"/>
            <w:tcBorders>
              <w:top w:val="nil"/>
              <w:left w:val="single" w:sz="4" w:space="0" w:color="auto"/>
              <w:bottom w:val="nil"/>
              <w:right w:val="nil"/>
            </w:tcBorders>
            <w:shd w:val="clear" w:color="auto" w:fill="auto"/>
            <w:noWrap/>
            <w:vAlign w:val="bottom"/>
          </w:tcPr>
          <w:p w14:paraId="2CFCFD9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9" w:type="pct"/>
            <w:tcBorders>
              <w:top w:val="nil"/>
              <w:left w:val="nil"/>
              <w:bottom w:val="nil"/>
              <w:right w:val="nil"/>
            </w:tcBorders>
            <w:shd w:val="clear" w:color="auto" w:fill="auto"/>
            <w:noWrap/>
            <w:vAlign w:val="bottom"/>
          </w:tcPr>
          <w:p w14:paraId="0099A09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81" w:type="pct"/>
            <w:tcBorders>
              <w:top w:val="nil"/>
              <w:left w:val="nil"/>
              <w:bottom w:val="nil"/>
              <w:right w:val="nil"/>
            </w:tcBorders>
            <w:shd w:val="clear" w:color="auto" w:fill="auto"/>
            <w:noWrap/>
            <w:vAlign w:val="bottom"/>
          </w:tcPr>
          <w:p w14:paraId="20B36C3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1" w:type="pct"/>
            <w:tcBorders>
              <w:top w:val="nil"/>
              <w:left w:val="nil"/>
              <w:bottom w:val="nil"/>
              <w:right w:val="single" w:sz="4" w:space="0" w:color="auto"/>
            </w:tcBorders>
            <w:shd w:val="clear" w:color="auto" w:fill="auto"/>
            <w:noWrap/>
            <w:vAlign w:val="bottom"/>
          </w:tcPr>
          <w:p w14:paraId="1E4A86BF"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4" w:type="pct"/>
            <w:tcBorders>
              <w:top w:val="nil"/>
              <w:left w:val="single" w:sz="4" w:space="0" w:color="auto"/>
              <w:bottom w:val="nil"/>
              <w:right w:val="nil"/>
            </w:tcBorders>
            <w:shd w:val="clear" w:color="auto" w:fill="auto"/>
            <w:noWrap/>
            <w:vAlign w:val="bottom"/>
          </w:tcPr>
          <w:p w14:paraId="2C1FFE6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7" w:type="pct"/>
            <w:tcBorders>
              <w:top w:val="nil"/>
              <w:left w:val="nil"/>
              <w:bottom w:val="nil"/>
              <w:right w:val="nil"/>
            </w:tcBorders>
            <w:shd w:val="clear" w:color="auto" w:fill="auto"/>
            <w:noWrap/>
            <w:vAlign w:val="bottom"/>
          </w:tcPr>
          <w:p w14:paraId="6270842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47" w:type="pct"/>
            <w:tcBorders>
              <w:top w:val="nil"/>
              <w:left w:val="nil"/>
              <w:bottom w:val="nil"/>
              <w:right w:val="nil"/>
            </w:tcBorders>
            <w:shd w:val="clear" w:color="auto" w:fill="auto"/>
            <w:noWrap/>
            <w:vAlign w:val="bottom"/>
          </w:tcPr>
          <w:p w14:paraId="118AF1F3"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322" w:type="pct"/>
            <w:tcBorders>
              <w:top w:val="nil"/>
              <w:left w:val="nil"/>
              <w:bottom w:val="nil"/>
              <w:right w:val="single" w:sz="4" w:space="0" w:color="auto"/>
            </w:tcBorders>
            <w:shd w:val="clear" w:color="auto" w:fill="auto"/>
            <w:noWrap/>
            <w:vAlign w:val="bottom"/>
          </w:tcPr>
          <w:p w14:paraId="1A70B95E"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364" w:type="pct"/>
            <w:tcBorders>
              <w:top w:val="nil"/>
              <w:left w:val="single" w:sz="4" w:space="0" w:color="auto"/>
              <w:bottom w:val="nil"/>
              <w:right w:val="nil"/>
            </w:tcBorders>
            <w:shd w:val="clear" w:color="auto" w:fill="auto"/>
            <w:noWrap/>
            <w:vAlign w:val="bottom"/>
          </w:tcPr>
          <w:p w14:paraId="7184069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9" w:type="pct"/>
            <w:tcBorders>
              <w:top w:val="nil"/>
              <w:left w:val="nil"/>
              <w:bottom w:val="nil"/>
              <w:right w:val="nil"/>
            </w:tcBorders>
            <w:shd w:val="clear" w:color="auto" w:fill="auto"/>
            <w:noWrap/>
            <w:vAlign w:val="bottom"/>
          </w:tcPr>
          <w:p w14:paraId="70FCC416"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540" w:type="pct"/>
            <w:tcBorders>
              <w:top w:val="nil"/>
              <w:left w:val="nil"/>
              <w:bottom w:val="nil"/>
              <w:right w:val="nil"/>
            </w:tcBorders>
            <w:shd w:val="clear" w:color="auto" w:fill="auto"/>
            <w:noWrap/>
            <w:vAlign w:val="bottom"/>
          </w:tcPr>
          <w:p w14:paraId="2BFB70E9"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407" w:type="pct"/>
            <w:tcBorders>
              <w:top w:val="nil"/>
              <w:left w:val="nil"/>
              <w:bottom w:val="nil"/>
              <w:right w:val="single" w:sz="4" w:space="0" w:color="auto"/>
            </w:tcBorders>
            <w:shd w:val="clear" w:color="auto" w:fill="auto"/>
            <w:noWrap/>
            <w:vAlign w:val="bottom"/>
          </w:tcPr>
          <w:p w14:paraId="68276A4B"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r>
      <w:tr w:rsidR="00BE49FD" w:rsidRPr="008A703F" w14:paraId="03501E89" w14:textId="77777777" w:rsidTr="00B90008">
        <w:trPr>
          <w:trHeight w:val="300"/>
          <w:jc w:val="center"/>
        </w:trPr>
        <w:tc>
          <w:tcPr>
            <w:tcW w:w="687" w:type="pct"/>
            <w:tcBorders>
              <w:top w:val="nil"/>
              <w:left w:val="single" w:sz="4" w:space="0" w:color="auto"/>
              <w:bottom w:val="nil"/>
              <w:right w:val="single" w:sz="4" w:space="0" w:color="auto"/>
            </w:tcBorders>
            <w:shd w:val="clear" w:color="auto" w:fill="auto"/>
            <w:noWrap/>
            <w:vAlign w:val="bottom"/>
          </w:tcPr>
          <w:p w14:paraId="7CEA4D1A"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Malaysia</w:t>
                </w:r>
              </w:smartTag>
            </w:smartTag>
          </w:p>
        </w:tc>
        <w:tc>
          <w:tcPr>
            <w:tcW w:w="324" w:type="pct"/>
            <w:tcBorders>
              <w:top w:val="nil"/>
              <w:left w:val="single" w:sz="4" w:space="0" w:color="auto"/>
              <w:bottom w:val="nil"/>
              <w:right w:val="nil"/>
            </w:tcBorders>
            <w:shd w:val="clear" w:color="auto" w:fill="auto"/>
            <w:noWrap/>
            <w:vAlign w:val="bottom"/>
          </w:tcPr>
          <w:p w14:paraId="439CC67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9" w:type="pct"/>
            <w:tcBorders>
              <w:top w:val="nil"/>
              <w:left w:val="nil"/>
              <w:bottom w:val="nil"/>
              <w:right w:val="nil"/>
            </w:tcBorders>
            <w:shd w:val="clear" w:color="auto" w:fill="auto"/>
            <w:noWrap/>
            <w:vAlign w:val="bottom"/>
          </w:tcPr>
          <w:p w14:paraId="7075E1BF"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81" w:type="pct"/>
            <w:tcBorders>
              <w:top w:val="nil"/>
              <w:left w:val="nil"/>
              <w:bottom w:val="nil"/>
              <w:right w:val="nil"/>
            </w:tcBorders>
            <w:shd w:val="clear" w:color="auto" w:fill="auto"/>
            <w:noWrap/>
            <w:vAlign w:val="bottom"/>
          </w:tcPr>
          <w:p w14:paraId="75625086"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1" w:type="pct"/>
            <w:tcBorders>
              <w:top w:val="nil"/>
              <w:left w:val="nil"/>
              <w:bottom w:val="nil"/>
              <w:right w:val="single" w:sz="4" w:space="0" w:color="auto"/>
            </w:tcBorders>
            <w:shd w:val="clear" w:color="auto" w:fill="auto"/>
            <w:noWrap/>
            <w:vAlign w:val="bottom"/>
          </w:tcPr>
          <w:p w14:paraId="57B8137F"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4" w:type="pct"/>
            <w:tcBorders>
              <w:top w:val="nil"/>
              <w:left w:val="single" w:sz="4" w:space="0" w:color="auto"/>
              <w:bottom w:val="nil"/>
              <w:right w:val="nil"/>
            </w:tcBorders>
            <w:shd w:val="clear" w:color="auto" w:fill="auto"/>
            <w:noWrap/>
            <w:vAlign w:val="bottom"/>
          </w:tcPr>
          <w:p w14:paraId="4BD0E1D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7" w:type="pct"/>
            <w:tcBorders>
              <w:top w:val="nil"/>
              <w:left w:val="nil"/>
              <w:bottom w:val="nil"/>
              <w:right w:val="nil"/>
            </w:tcBorders>
            <w:shd w:val="clear" w:color="auto" w:fill="auto"/>
            <w:noWrap/>
            <w:vAlign w:val="bottom"/>
          </w:tcPr>
          <w:p w14:paraId="2775458F"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47" w:type="pct"/>
            <w:tcBorders>
              <w:top w:val="nil"/>
              <w:left w:val="nil"/>
              <w:bottom w:val="nil"/>
              <w:right w:val="nil"/>
            </w:tcBorders>
            <w:shd w:val="clear" w:color="auto" w:fill="auto"/>
            <w:noWrap/>
            <w:vAlign w:val="bottom"/>
          </w:tcPr>
          <w:p w14:paraId="58FA3ED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2" w:type="pct"/>
            <w:tcBorders>
              <w:top w:val="nil"/>
              <w:left w:val="nil"/>
              <w:bottom w:val="nil"/>
              <w:right w:val="single" w:sz="4" w:space="0" w:color="auto"/>
            </w:tcBorders>
            <w:shd w:val="clear" w:color="auto" w:fill="auto"/>
            <w:noWrap/>
            <w:vAlign w:val="bottom"/>
          </w:tcPr>
          <w:p w14:paraId="134A7BC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4" w:type="pct"/>
            <w:tcBorders>
              <w:top w:val="nil"/>
              <w:left w:val="single" w:sz="4" w:space="0" w:color="auto"/>
              <w:bottom w:val="nil"/>
              <w:right w:val="nil"/>
            </w:tcBorders>
            <w:shd w:val="clear" w:color="auto" w:fill="auto"/>
            <w:noWrap/>
            <w:vAlign w:val="bottom"/>
          </w:tcPr>
          <w:p w14:paraId="2B7C474F"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9" w:type="pct"/>
            <w:tcBorders>
              <w:top w:val="nil"/>
              <w:left w:val="nil"/>
              <w:bottom w:val="nil"/>
              <w:right w:val="nil"/>
            </w:tcBorders>
            <w:shd w:val="clear" w:color="auto" w:fill="auto"/>
            <w:noWrap/>
            <w:vAlign w:val="bottom"/>
          </w:tcPr>
          <w:p w14:paraId="59C8616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540" w:type="pct"/>
            <w:tcBorders>
              <w:top w:val="nil"/>
              <w:left w:val="nil"/>
              <w:bottom w:val="nil"/>
              <w:right w:val="nil"/>
            </w:tcBorders>
            <w:shd w:val="clear" w:color="auto" w:fill="auto"/>
            <w:noWrap/>
            <w:vAlign w:val="bottom"/>
          </w:tcPr>
          <w:p w14:paraId="774CFBF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07" w:type="pct"/>
            <w:tcBorders>
              <w:top w:val="nil"/>
              <w:left w:val="nil"/>
              <w:bottom w:val="nil"/>
              <w:right w:val="single" w:sz="4" w:space="0" w:color="auto"/>
            </w:tcBorders>
            <w:shd w:val="clear" w:color="auto" w:fill="auto"/>
            <w:noWrap/>
            <w:vAlign w:val="bottom"/>
          </w:tcPr>
          <w:p w14:paraId="5F6A126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1239CDF6" w14:textId="77777777" w:rsidTr="00B90008">
        <w:trPr>
          <w:trHeight w:val="300"/>
          <w:jc w:val="center"/>
        </w:trPr>
        <w:tc>
          <w:tcPr>
            <w:tcW w:w="687" w:type="pct"/>
            <w:tcBorders>
              <w:top w:val="nil"/>
              <w:left w:val="single" w:sz="4" w:space="0" w:color="auto"/>
              <w:bottom w:val="nil"/>
              <w:right w:val="single" w:sz="4" w:space="0" w:color="auto"/>
            </w:tcBorders>
            <w:shd w:val="clear" w:color="auto" w:fill="auto"/>
            <w:noWrap/>
            <w:vAlign w:val="bottom"/>
          </w:tcPr>
          <w:p w14:paraId="33B01495"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Pakistan</w:t>
                </w:r>
              </w:smartTag>
            </w:smartTag>
          </w:p>
        </w:tc>
        <w:tc>
          <w:tcPr>
            <w:tcW w:w="324" w:type="pct"/>
            <w:tcBorders>
              <w:top w:val="nil"/>
              <w:left w:val="single" w:sz="4" w:space="0" w:color="auto"/>
              <w:bottom w:val="nil"/>
              <w:right w:val="nil"/>
            </w:tcBorders>
            <w:shd w:val="clear" w:color="auto" w:fill="auto"/>
            <w:noWrap/>
            <w:vAlign w:val="bottom"/>
          </w:tcPr>
          <w:p w14:paraId="0512756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9" w:type="pct"/>
            <w:tcBorders>
              <w:top w:val="nil"/>
              <w:left w:val="nil"/>
              <w:bottom w:val="nil"/>
              <w:right w:val="nil"/>
            </w:tcBorders>
            <w:shd w:val="clear" w:color="auto" w:fill="auto"/>
            <w:noWrap/>
            <w:vAlign w:val="bottom"/>
          </w:tcPr>
          <w:p w14:paraId="302F59D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81" w:type="pct"/>
            <w:tcBorders>
              <w:top w:val="nil"/>
              <w:left w:val="nil"/>
              <w:bottom w:val="nil"/>
              <w:right w:val="nil"/>
            </w:tcBorders>
            <w:shd w:val="clear" w:color="auto" w:fill="auto"/>
            <w:noWrap/>
            <w:vAlign w:val="bottom"/>
          </w:tcPr>
          <w:p w14:paraId="23959FD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1" w:type="pct"/>
            <w:tcBorders>
              <w:top w:val="nil"/>
              <w:left w:val="nil"/>
              <w:bottom w:val="nil"/>
              <w:right w:val="single" w:sz="4" w:space="0" w:color="auto"/>
            </w:tcBorders>
            <w:shd w:val="clear" w:color="auto" w:fill="auto"/>
            <w:noWrap/>
            <w:vAlign w:val="bottom"/>
          </w:tcPr>
          <w:p w14:paraId="3E229B3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4" w:type="pct"/>
            <w:tcBorders>
              <w:top w:val="nil"/>
              <w:left w:val="single" w:sz="4" w:space="0" w:color="auto"/>
              <w:bottom w:val="nil"/>
              <w:right w:val="nil"/>
            </w:tcBorders>
            <w:shd w:val="clear" w:color="auto" w:fill="auto"/>
            <w:noWrap/>
            <w:vAlign w:val="bottom"/>
          </w:tcPr>
          <w:p w14:paraId="50A90364"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7" w:type="pct"/>
            <w:tcBorders>
              <w:top w:val="nil"/>
              <w:left w:val="nil"/>
              <w:bottom w:val="nil"/>
              <w:right w:val="nil"/>
            </w:tcBorders>
            <w:shd w:val="clear" w:color="auto" w:fill="auto"/>
            <w:noWrap/>
            <w:vAlign w:val="bottom"/>
          </w:tcPr>
          <w:p w14:paraId="7EF3E39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47" w:type="pct"/>
            <w:tcBorders>
              <w:top w:val="nil"/>
              <w:left w:val="nil"/>
              <w:bottom w:val="nil"/>
              <w:right w:val="nil"/>
            </w:tcBorders>
            <w:shd w:val="clear" w:color="auto" w:fill="auto"/>
            <w:noWrap/>
            <w:vAlign w:val="bottom"/>
          </w:tcPr>
          <w:p w14:paraId="6D6E6CD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2" w:type="pct"/>
            <w:tcBorders>
              <w:top w:val="nil"/>
              <w:left w:val="nil"/>
              <w:bottom w:val="nil"/>
              <w:right w:val="single" w:sz="4" w:space="0" w:color="auto"/>
            </w:tcBorders>
            <w:shd w:val="clear" w:color="auto" w:fill="auto"/>
            <w:noWrap/>
            <w:vAlign w:val="bottom"/>
          </w:tcPr>
          <w:p w14:paraId="405290C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4" w:type="pct"/>
            <w:tcBorders>
              <w:top w:val="nil"/>
              <w:left w:val="single" w:sz="4" w:space="0" w:color="auto"/>
              <w:bottom w:val="nil"/>
              <w:right w:val="nil"/>
            </w:tcBorders>
            <w:shd w:val="clear" w:color="auto" w:fill="auto"/>
            <w:noWrap/>
            <w:vAlign w:val="bottom"/>
          </w:tcPr>
          <w:p w14:paraId="3A891B4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9" w:type="pct"/>
            <w:tcBorders>
              <w:top w:val="nil"/>
              <w:left w:val="nil"/>
              <w:bottom w:val="nil"/>
              <w:right w:val="nil"/>
            </w:tcBorders>
            <w:shd w:val="clear" w:color="auto" w:fill="auto"/>
            <w:noWrap/>
            <w:vAlign w:val="bottom"/>
          </w:tcPr>
          <w:p w14:paraId="38E9403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540" w:type="pct"/>
            <w:tcBorders>
              <w:top w:val="nil"/>
              <w:left w:val="nil"/>
              <w:bottom w:val="nil"/>
              <w:right w:val="nil"/>
            </w:tcBorders>
            <w:shd w:val="clear" w:color="auto" w:fill="auto"/>
            <w:noWrap/>
            <w:vAlign w:val="bottom"/>
          </w:tcPr>
          <w:p w14:paraId="6751B015"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407" w:type="pct"/>
            <w:tcBorders>
              <w:top w:val="nil"/>
              <w:left w:val="nil"/>
              <w:bottom w:val="nil"/>
              <w:right w:val="single" w:sz="4" w:space="0" w:color="auto"/>
            </w:tcBorders>
            <w:shd w:val="clear" w:color="auto" w:fill="auto"/>
            <w:noWrap/>
            <w:vAlign w:val="bottom"/>
          </w:tcPr>
          <w:p w14:paraId="43DD0C9D"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r>
      <w:tr w:rsidR="00BE49FD" w:rsidRPr="008A703F" w14:paraId="5EE0D906" w14:textId="77777777" w:rsidTr="00B90008">
        <w:trPr>
          <w:trHeight w:val="300"/>
          <w:jc w:val="center"/>
        </w:trPr>
        <w:tc>
          <w:tcPr>
            <w:tcW w:w="687" w:type="pct"/>
            <w:tcBorders>
              <w:top w:val="nil"/>
              <w:left w:val="single" w:sz="4" w:space="0" w:color="auto"/>
              <w:bottom w:val="nil"/>
              <w:right w:val="single" w:sz="4" w:space="0" w:color="auto"/>
            </w:tcBorders>
            <w:shd w:val="clear" w:color="auto" w:fill="auto"/>
            <w:noWrap/>
            <w:vAlign w:val="bottom"/>
          </w:tcPr>
          <w:p w14:paraId="4E9F118F"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South Korea</w:t>
                </w:r>
              </w:smartTag>
            </w:smartTag>
          </w:p>
        </w:tc>
        <w:tc>
          <w:tcPr>
            <w:tcW w:w="324" w:type="pct"/>
            <w:tcBorders>
              <w:top w:val="nil"/>
              <w:left w:val="single" w:sz="4" w:space="0" w:color="auto"/>
              <w:bottom w:val="nil"/>
              <w:right w:val="nil"/>
            </w:tcBorders>
            <w:shd w:val="clear" w:color="auto" w:fill="auto"/>
            <w:noWrap/>
            <w:vAlign w:val="bottom"/>
          </w:tcPr>
          <w:p w14:paraId="477187D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9" w:type="pct"/>
            <w:tcBorders>
              <w:top w:val="nil"/>
              <w:left w:val="nil"/>
              <w:bottom w:val="nil"/>
              <w:right w:val="nil"/>
            </w:tcBorders>
            <w:shd w:val="clear" w:color="auto" w:fill="auto"/>
            <w:noWrap/>
            <w:vAlign w:val="bottom"/>
          </w:tcPr>
          <w:p w14:paraId="69745A34"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81" w:type="pct"/>
            <w:tcBorders>
              <w:top w:val="nil"/>
              <w:left w:val="nil"/>
              <w:bottom w:val="nil"/>
              <w:right w:val="nil"/>
            </w:tcBorders>
            <w:shd w:val="clear" w:color="auto" w:fill="auto"/>
            <w:noWrap/>
            <w:vAlign w:val="bottom"/>
          </w:tcPr>
          <w:p w14:paraId="2FB571B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1" w:type="pct"/>
            <w:tcBorders>
              <w:top w:val="nil"/>
              <w:left w:val="nil"/>
              <w:bottom w:val="nil"/>
              <w:right w:val="single" w:sz="4" w:space="0" w:color="auto"/>
            </w:tcBorders>
            <w:shd w:val="clear" w:color="auto" w:fill="auto"/>
            <w:noWrap/>
            <w:vAlign w:val="bottom"/>
          </w:tcPr>
          <w:p w14:paraId="5ED7E70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4" w:type="pct"/>
            <w:tcBorders>
              <w:top w:val="nil"/>
              <w:left w:val="single" w:sz="4" w:space="0" w:color="auto"/>
              <w:bottom w:val="nil"/>
              <w:right w:val="nil"/>
            </w:tcBorders>
            <w:shd w:val="clear" w:color="auto" w:fill="auto"/>
            <w:noWrap/>
            <w:vAlign w:val="bottom"/>
          </w:tcPr>
          <w:p w14:paraId="1BC79D57"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7" w:type="pct"/>
            <w:tcBorders>
              <w:top w:val="nil"/>
              <w:left w:val="nil"/>
              <w:bottom w:val="nil"/>
              <w:right w:val="nil"/>
            </w:tcBorders>
            <w:shd w:val="clear" w:color="auto" w:fill="auto"/>
            <w:noWrap/>
            <w:vAlign w:val="bottom"/>
          </w:tcPr>
          <w:p w14:paraId="53EBCE3F"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47" w:type="pct"/>
            <w:tcBorders>
              <w:top w:val="nil"/>
              <w:left w:val="nil"/>
              <w:bottom w:val="nil"/>
              <w:right w:val="nil"/>
            </w:tcBorders>
            <w:shd w:val="clear" w:color="auto" w:fill="auto"/>
            <w:noWrap/>
            <w:vAlign w:val="bottom"/>
          </w:tcPr>
          <w:p w14:paraId="18543735"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322" w:type="pct"/>
            <w:tcBorders>
              <w:top w:val="nil"/>
              <w:left w:val="nil"/>
              <w:bottom w:val="nil"/>
              <w:right w:val="single" w:sz="4" w:space="0" w:color="auto"/>
            </w:tcBorders>
            <w:shd w:val="clear" w:color="auto" w:fill="auto"/>
            <w:noWrap/>
            <w:vAlign w:val="bottom"/>
          </w:tcPr>
          <w:p w14:paraId="71D6AA71"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364" w:type="pct"/>
            <w:tcBorders>
              <w:top w:val="nil"/>
              <w:left w:val="single" w:sz="4" w:space="0" w:color="auto"/>
              <w:bottom w:val="nil"/>
              <w:right w:val="nil"/>
            </w:tcBorders>
            <w:shd w:val="clear" w:color="auto" w:fill="auto"/>
            <w:noWrap/>
            <w:vAlign w:val="bottom"/>
          </w:tcPr>
          <w:p w14:paraId="5355A81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9" w:type="pct"/>
            <w:tcBorders>
              <w:top w:val="nil"/>
              <w:left w:val="nil"/>
              <w:bottom w:val="nil"/>
              <w:right w:val="nil"/>
            </w:tcBorders>
            <w:shd w:val="clear" w:color="auto" w:fill="auto"/>
            <w:noWrap/>
            <w:vAlign w:val="bottom"/>
          </w:tcPr>
          <w:p w14:paraId="181F2C24"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540" w:type="pct"/>
            <w:tcBorders>
              <w:top w:val="nil"/>
              <w:left w:val="nil"/>
              <w:bottom w:val="nil"/>
              <w:right w:val="nil"/>
            </w:tcBorders>
            <w:shd w:val="clear" w:color="auto" w:fill="auto"/>
            <w:noWrap/>
            <w:vAlign w:val="bottom"/>
          </w:tcPr>
          <w:p w14:paraId="7EED1F1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07" w:type="pct"/>
            <w:tcBorders>
              <w:top w:val="nil"/>
              <w:left w:val="nil"/>
              <w:bottom w:val="nil"/>
              <w:right w:val="single" w:sz="4" w:space="0" w:color="auto"/>
            </w:tcBorders>
            <w:shd w:val="clear" w:color="auto" w:fill="auto"/>
            <w:noWrap/>
            <w:vAlign w:val="bottom"/>
          </w:tcPr>
          <w:p w14:paraId="69CFAB0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2227BF52" w14:textId="77777777" w:rsidTr="00B90008">
        <w:trPr>
          <w:trHeight w:val="300"/>
          <w:jc w:val="center"/>
        </w:trPr>
        <w:tc>
          <w:tcPr>
            <w:tcW w:w="687" w:type="pct"/>
            <w:tcBorders>
              <w:top w:val="nil"/>
              <w:left w:val="single" w:sz="4" w:space="0" w:color="auto"/>
              <w:bottom w:val="nil"/>
              <w:right w:val="single" w:sz="4" w:space="0" w:color="auto"/>
            </w:tcBorders>
            <w:shd w:val="clear" w:color="auto" w:fill="auto"/>
            <w:noWrap/>
            <w:vAlign w:val="bottom"/>
          </w:tcPr>
          <w:p w14:paraId="72F29ED5"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Taiwan</w:t>
                </w:r>
              </w:smartTag>
            </w:smartTag>
          </w:p>
        </w:tc>
        <w:tc>
          <w:tcPr>
            <w:tcW w:w="324" w:type="pct"/>
            <w:tcBorders>
              <w:top w:val="nil"/>
              <w:left w:val="single" w:sz="4" w:space="0" w:color="auto"/>
              <w:bottom w:val="nil"/>
              <w:right w:val="nil"/>
            </w:tcBorders>
            <w:shd w:val="clear" w:color="auto" w:fill="auto"/>
            <w:noWrap/>
            <w:vAlign w:val="bottom"/>
          </w:tcPr>
          <w:p w14:paraId="60C4418B"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9" w:type="pct"/>
            <w:tcBorders>
              <w:top w:val="nil"/>
              <w:left w:val="nil"/>
              <w:bottom w:val="nil"/>
              <w:right w:val="nil"/>
            </w:tcBorders>
            <w:shd w:val="clear" w:color="auto" w:fill="auto"/>
            <w:noWrap/>
            <w:vAlign w:val="bottom"/>
          </w:tcPr>
          <w:p w14:paraId="64136E8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81" w:type="pct"/>
            <w:tcBorders>
              <w:top w:val="nil"/>
              <w:left w:val="nil"/>
              <w:bottom w:val="nil"/>
              <w:right w:val="nil"/>
            </w:tcBorders>
            <w:shd w:val="clear" w:color="auto" w:fill="auto"/>
            <w:noWrap/>
            <w:vAlign w:val="bottom"/>
          </w:tcPr>
          <w:p w14:paraId="5884F72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1" w:type="pct"/>
            <w:tcBorders>
              <w:top w:val="nil"/>
              <w:left w:val="nil"/>
              <w:bottom w:val="nil"/>
              <w:right w:val="single" w:sz="4" w:space="0" w:color="auto"/>
            </w:tcBorders>
            <w:shd w:val="clear" w:color="auto" w:fill="auto"/>
            <w:noWrap/>
            <w:vAlign w:val="bottom"/>
          </w:tcPr>
          <w:p w14:paraId="00099A0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4" w:type="pct"/>
            <w:tcBorders>
              <w:top w:val="nil"/>
              <w:left w:val="single" w:sz="4" w:space="0" w:color="auto"/>
              <w:bottom w:val="nil"/>
              <w:right w:val="nil"/>
            </w:tcBorders>
            <w:shd w:val="clear" w:color="auto" w:fill="auto"/>
            <w:noWrap/>
            <w:vAlign w:val="bottom"/>
          </w:tcPr>
          <w:p w14:paraId="0B66239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7" w:type="pct"/>
            <w:tcBorders>
              <w:top w:val="nil"/>
              <w:left w:val="nil"/>
              <w:bottom w:val="nil"/>
              <w:right w:val="nil"/>
            </w:tcBorders>
            <w:shd w:val="clear" w:color="auto" w:fill="auto"/>
            <w:noWrap/>
            <w:vAlign w:val="bottom"/>
          </w:tcPr>
          <w:p w14:paraId="686FD156"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47" w:type="pct"/>
            <w:tcBorders>
              <w:top w:val="nil"/>
              <w:left w:val="nil"/>
              <w:bottom w:val="nil"/>
              <w:right w:val="nil"/>
            </w:tcBorders>
            <w:shd w:val="clear" w:color="auto" w:fill="auto"/>
            <w:noWrap/>
            <w:vAlign w:val="bottom"/>
          </w:tcPr>
          <w:p w14:paraId="24BEBF4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2" w:type="pct"/>
            <w:tcBorders>
              <w:top w:val="nil"/>
              <w:left w:val="nil"/>
              <w:bottom w:val="nil"/>
              <w:right w:val="single" w:sz="4" w:space="0" w:color="auto"/>
            </w:tcBorders>
            <w:shd w:val="clear" w:color="auto" w:fill="auto"/>
            <w:noWrap/>
            <w:vAlign w:val="bottom"/>
          </w:tcPr>
          <w:p w14:paraId="44BDECA7"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4" w:type="pct"/>
            <w:tcBorders>
              <w:top w:val="nil"/>
              <w:left w:val="single" w:sz="4" w:space="0" w:color="auto"/>
              <w:bottom w:val="nil"/>
              <w:right w:val="nil"/>
            </w:tcBorders>
            <w:shd w:val="clear" w:color="auto" w:fill="auto"/>
            <w:noWrap/>
            <w:vAlign w:val="bottom"/>
          </w:tcPr>
          <w:p w14:paraId="452C89E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9" w:type="pct"/>
            <w:tcBorders>
              <w:top w:val="nil"/>
              <w:left w:val="nil"/>
              <w:bottom w:val="nil"/>
              <w:right w:val="nil"/>
            </w:tcBorders>
            <w:shd w:val="clear" w:color="auto" w:fill="auto"/>
            <w:noWrap/>
            <w:vAlign w:val="bottom"/>
          </w:tcPr>
          <w:p w14:paraId="58B418F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540" w:type="pct"/>
            <w:tcBorders>
              <w:top w:val="nil"/>
              <w:left w:val="nil"/>
              <w:bottom w:val="nil"/>
              <w:right w:val="nil"/>
            </w:tcBorders>
            <w:shd w:val="clear" w:color="auto" w:fill="auto"/>
            <w:noWrap/>
            <w:vAlign w:val="bottom"/>
          </w:tcPr>
          <w:p w14:paraId="102ED41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07" w:type="pct"/>
            <w:tcBorders>
              <w:top w:val="nil"/>
              <w:left w:val="nil"/>
              <w:bottom w:val="nil"/>
              <w:right w:val="single" w:sz="4" w:space="0" w:color="auto"/>
            </w:tcBorders>
            <w:shd w:val="clear" w:color="auto" w:fill="auto"/>
            <w:noWrap/>
            <w:vAlign w:val="bottom"/>
          </w:tcPr>
          <w:p w14:paraId="6F8A27D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2AC9E1EA" w14:textId="77777777" w:rsidTr="00B90008">
        <w:trPr>
          <w:trHeight w:val="300"/>
          <w:jc w:val="center"/>
        </w:trPr>
        <w:tc>
          <w:tcPr>
            <w:tcW w:w="687" w:type="pct"/>
            <w:tcBorders>
              <w:top w:val="nil"/>
              <w:left w:val="single" w:sz="4" w:space="0" w:color="auto"/>
              <w:bottom w:val="single" w:sz="4" w:space="0" w:color="auto"/>
              <w:right w:val="single" w:sz="4" w:space="0" w:color="auto"/>
            </w:tcBorders>
            <w:shd w:val="clear" w:color="auto" w:fill="auto"/>
            <w:noWrap/>
            <w:vAlign w:val="bottom"/>
          </w:tcPr>
          <w:p w14:paraId="69E380A2"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Thailand</w:t>
                </w:r>
              </w:smartTag>
            </w:smartTag>
          </w:p>
        </w:tc>
        <w:tc>
          <w:tcPr>
            <w:tcW w:w="324" w:type="pct"/>
            <w:tcBorders>
              <w:top w:val="nil"/>
              <w:left w:val="single" w:sz="4" w:space="0" w:color="auto"/>
              <w:bottom w:val="single" w:sz="4" w:space="0" w:color="auto"/>
              <w:right w:val="nil"/>
            </w:tcBorders>
            <w:shd w:val="clear" w:color="auto" w:fill="auto"/>
            <w:noWrap/>
            <w:vAlign w:val="bottom"/>
          </w:tcPr>
          <w:p w14:paraId="57CAAA8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29" w:type="pct"/>
            <w:tcBorders>
              <w:top w:val="nil"/>
              <w:left w:val="nil"/>
              <w:bottom w:val="single" w:sz="4" w:space="0" w:color="auto"/>
              <w:right w:val="nil"/>
            </w:tcBorders>
            <w:shd w:val="clear" w:color="auto" w:fill="auto"/>
            <w:noWrap/>
            <w:vAlign w:val="bottom"/>
          </w:tcPr>
          <w:p w14:paraId="14FC070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481" w:type="pct"/>
            <w:tcBorders>
              <w:top w:val="nil"/>
              <w:left w:val="nil"/>
              <w:bottom w:val="single" w:sz="4" w:space="0" w:color="auto"/>
              <w:right w:val="nil"/>
            </w:tcBorders>
            <w:shd w:val="clear" w:color="auto" w:fill="auto"/>
            <w:noWrap/>
            <w:vAlign w:val="bottom"/>
          </w:tcPr>
          <w:p w14:paraId="23A69487"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1" w:type="pct"/>
            <w:tcBorders>
              <w:top w:val="nil"/>
              <w:left w:val="nil"/>
              <w:bottom w:val="single" w:sz="4" w:space="0" w:color="auto"/>
              <w:right w:val="single" w:sz="4" w:space="0" w:color="auto"/>
            </w:tcBorders>
            <w:shd w:val="clear" w:color="auto" w:fill="auto"/>
            <w:noWrap/>
            <w:vAlign w:val="bottom"/>
          </w:tcPr>
          <w:p w14:paraId="489CB19F"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4" w:type="pct"/>
            <w:tcBorders>
              <w:top w:val="nil"/>
              <w:left w:val="single" w:sz="4" w:space="0" w:color="auto"/>
              <w:bottom w:val="single" w:sz="4" w:space="0" w:color="auto"/>
              <w:right w:val="nil"/>
            </w:tcBorders>
            <w:shd w:val="clear" w:color="auto" w:fill="auto"/>
            <w:noWrap/>
            <w:vAlign w:val="bottom"/>
          </w:tcPr>
          <w:p w14:paraId="3E56EB8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237" w:type="pct"/>
            <w:tcBorders>
              <w:top w:val="nil"/>
              <w:left w:val="nil"/>
              <w:bottom w:val="single" w:sz="4" w:space="0" w:color="auto"/>
              <w:right w:val="nil"/>
            </w:tcBorders>
            <w:shd w:val="clear" w:color="auto" w:fill="auto"/>
            <w:noWrap/>
            <w:vAlign w:val="bottom"/>
          </w:tcPr>
          <w:p w14:paraId="2796F19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47" w:type="pct"/>
            <w:tcBorders>
              <w:top w:val="nil"/>
              <w:left w:val="nil"/>
              <w:bottom w:val="single" w:sz="4" w:space="0" w:color="auto"/>
              <w:right w:val="nil"/>
            </w:tcBorders>
            <w:shd w:val="clear" w:color="auto" w:fill="auto"/>
            <w:noWrap/>
            <w:vAlign w:val="bottom"/>
          </w:tcPr>
          <w:p w14:paraId="64BFDDC3"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322" w:type="pct"/>
            <w:tcBorders>
              <w:top w:val="nil"/>
              <w:left w:val="nil"/>
              <w:bottom w:val="single" w:sz="4" w:space="0" w:color="auto"/>
              <w:right w:val="single" w:sz="4" w:space="0" w:color="auto"/>
            </w:tcBorders>
            <w:shd w:val="clear" w:color="auto" w:fill="auto"/>
            <w:noWrap/>
            <w:vAlign w:val="bottom"/>
          </w:tcPr>
          <w:p w14:paraId="2FAB77D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4" w:type="pct"/>
            <w:tcBorders>
              <w:top w:val="nil"/>
              <w:left w:val="single" w:sz="4" w:space="0" w:color="auto"/>
              <w:bottom w:val="single" w:sz="4" w:space="0" w:color="auto"/>
              <w:right w:val="nil"/>
            </w:tcBorders>
            <w:shd w:val="clear" w:color="auto" w:fill="auto"/>
            <w:noWrap/>
            <w:vAlign w:val="bottom"/>
          </w:tcPr>
          <w:p w14:paraId="6021C34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369" w:type="pct"/>
            <w:tcBorders>
              <w:top w:val="nil"/>
              <w:left w:val="nil"/>
              <w:bottom w:val="single" w:sz="4" w:space="0" w:color="auto"/>
              <w:right w:val="nil"/>
            </w:tcBorders>
            <w:shd w:val="clear" w:color="auto" w:fill="auto"/>
            <w:noWrap/>
            <w:vAlign w:val="bottom"/>
          </w:tcPr>
          <w:p w14:paraId="0A4C856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540" w:type="pct"/>
            <w:tcBorders>
              <w:top w:val="nil"/>
              <w:left w:val="nil"/>
              <w:bottom w:val="single" w:sz="4" w:space="0" w:color="auto"/>
              <w:right w:val="nil"/>
            </w:tcBorders>
            <w:shd w:val="clear" w:color="auto" w:fill="auto"/>
            <w:noWrap/>
            <w:vAlign w:val="bottom"/>
          </w:tcPr>
          <w:p w14:paraId="34A5C23D"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407" w:type="pct"/>
            <w:tcBorders>
              <w:top w:val="nil"/>
              <w:left w:val="nil"/>
              <w:bottom w:val="single" w:sz="4" w:space="0" w:color="auto"/>
              <w:right w:val="single" w:sz="4" w:space="0" w:color="auto"/>
            </w:tcBorders>
            <w:shd w:val="clear" w:color="auto" w:fill="auto"/>
            <w:noWrap/>
            <w:vAlign w:val="bottom"/>
          </w:tcPr>
          <w:p w14:paraId="56197C7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bl>
    <w:p w14:paraId="1DEC9651" w14:textId="77777777" w:rsidR="00BE49FD" w:rsidRDefault="00BE49FD" w:rsidP="00BE49FD">
      <w:pPr>
        <w:tabs>
          <w:tab w:val="left" w:pos="3360"/>
        </w:tabs>
        <w:spacing w:line="240" w:lineRule="auto"/>
        <w:jc w:val="both"/>
        <w:rPr>
          <w:rFonts w:ascii="Garamond" w:hAnsi="Garamond"/>
          <w:bCs/>
        </w:rPr>
      </w:pPr>
      <w:r>
        <w:rPr>
          <w:rFonts w:ascii="Garamond" w:hAnsi="Garamond"/>
          <w:bCs/>
        </w:rPr>
        <w:t xml:space="preserve">Note: + and – are positive and negative responses </w:t>
      </w:r>
      <w:r w:rsidRPr="007B3DF2">
        <w:rPr>
          <w:rFonts w:ascii="Garamond" w:hAnsi="Garamond"/>
          <w:bCs/>
        </w:rPr>
        <w:t xml:space="preserve">of four (il)liquidity measures to a unit standard deviation innovation in the monetary policy variables. </w:t>
      </w:r>
      <w:r>
        <w:rPr>
          <w:rFonts w:ascii="Garamond" w:hAnsi="Garamond"/>
          <w:bCs/>
        </w:rPr>
        <w:t xml:space="preserve">‘ns’ </w:t>
      </w:r>
      <w:r w:rsidRPr="007B3DF2">
        <w:rPr>
          <w:rFonts w:ascii="Garamond" w:hAnsi="Garamond"/>
          <w:bCs/>
        </w:rPr>
        <w:t xml:space="preserve">indicates </w:t>
      </w:r>
      <w:r>
        <w:rPr>
          <w:rFonts w:ascii="Garamond" w:hAnsi="Garamond"/>
          <w:bCs/>
        </w:rPr>
        <w:t xml:space="preserve">no significant </w:t>
      </w:r>
      <w:r w:rsidRPr="007B3DF2">
        <w:rPr>
          <w:rFonts w:ascii="Garamond" w:hAnsi="Garamond"/>
          <w:bCs/>
        </w:rPr>
        <w:t xml:space="preserve">positive </w:t>
      </w:r>
      <w:r>
        <w:rPr>
          <w:rFonts w:ascii="Garamond" w:hAnsi="Garamond"/>
          <w:bCs/>
        </w:rPr>
        <w:t>or</w:t>
      </w:r>
      <w:r w:rsidRPr="007B3DF2">
        <w:rPr>
          <w:rFonts w:ascii="Garamond" w:hAnsi="Garamond"/>
          <w:bCs/>
        </w:rPr>
        <w:t xml:space="preserve"> negative response</w:t>
      </w:r>
      <w:r>
        <w:rPr>
          <w:rFonts w:ascii="Garamond" w:hAnsi="Garamond"/>
          <w:bCs/>
        </w:rPr>
        <w:t>.</w:t>
      </w:r>
    </w:p>
    <w:p w14:paraId="184F5FC5" w14:textId="21B23071" w:rsidR="00BE49FD" w:rsidRDefault="00BE49FD" w:rsidP="00BE49FD">
      <w:pPr>
        <w:spacing w:line="360" w:lineRule="auto"/>
        <w:jc w:val="both"/>
        <w:rPr>
          <w:rFonts w:ascii="Garamond" w:hAnsi="Garamond"/>
          <w:sz w:val="24"/>
          <w:szCs w:val="24"/>
        </w:rPr>
      </w:pPr>
      <w:r>
        <w:rPr>
          <w:rFonts w:ascii="Garamond" w:hAnsi="Garamond"/>
          <w:sz w:val="24"/>
          <w:szCs w:val="24"/>
        </w:rPr>
        <w:t xml:space="preserve">From </w:t>
      </w:r>
      <w:r w:rsidR="00A66A79">
        <w:rPr>
          <w:rFonts w:ascii="Garamond" w:hAnsi="Garamond"/>
          <w:sz w:val="24"/>
          <w:szCs w:val="24"/>
        </w:rPr>
        <w:t>these</w:t>
      </w:r>
      <w:r>
        <w:rPr>
          <w:rFonts w:ascii="Garamond" w:hAnsi="Garamond"/>
          <w:sz w:val="24"/>
          <w:szCs w:val="24"/>
        </w:rPr>
        <w:t xml:space="preserve"> results it is </w:t>
      </w:r>
      <w:r w:rsidR="00A66A79">
        <w:rPr>
          <w:rFonts w:ascii="Garamond" w:hAnsi="Garamond"/>
          <w:sz w:val="24"/>
          <w:szCs w:val="24"/>
        </w:rPr>
        <w:t>clear</w:t>
      </w:r>
      <w:r>
        <w:rPr>
          <w:rFonts w:ascii="Garamond" w:hAnsi="Garamond"/>
          <w:sz w:val="24"/>
          <w:szCs w:val="24"/>
        </w:rPr>
        <w:t xml:space="preserve"> that, first, the monetary policy variables of Malaysia and Taiwan have </w:t>
      </w:r>
      <w:r w:rsidR="00A66A79">
        <w:rPr>
          <w:rFonts w:ascii="Garamond" w:hAnsi="Garamond"/>
          <w:sz w:val="24"/>
          <w:szCs w:val="24"/>
        </w:rPr>
        <w:t>the</w:t>
      </w:r>
      <w:r>
        <w:rPr>
          <w:rFonts w:ascii="Garamond" w:hAnsi="Garamond"/>
          <w:sz w:val="24"/>
          <w:szCs w:val="24"/>
        </w:rPr>
        <w:t xml:space="preserve"> least impact on both liquidity and illiquidity compared to </w:t>
      </w:r>
      <w:r w:rsidR="00A66A79">
        <w:rPr>
          <w:rFonts w:ascii="Garamond" w:hAnsi="Garamond"/>
          <w:sz w:val="24"/>
          <w:szCs w:val="24"/>
        </w:rPr>
        <w:t xml:space="preserve">the </w:t>
      </w:r>
      <w:r>
        <w:rPr>
          <w:rFonts w:ascii="Garamond" w:hAnsi="Garamond"/>
          <w:sz w:val="24"/>
          <w:szCs w:val="24"/>
        </w:rPr>
        <w:t xml:space="preserve">other Asian equity markets considered in this study. Second, between Amihud’s (2002) illiquidity ratio and </w:t>
      </w:r>
      <w:r w:rsidR="00A66A79">
        <w:rPr>
          <w:rFonts w:ascii="Garamond" w:hAnsi="Garamond"/>
          <w:sz w:val="24"/>
          <w:szCs w:val="24"/>
        </w:rPr>
        <w:t xml:space="preserve">the </w:t>
      </w:r>
      <w:r>
        <w:rPr>
          <w:rFonts w:ascii="Garamond" w:hAnsi="Garamond"/>
          <w:sz w:val="24"/>
          <w:szCs w:val="24"/>
        </w:rPr>
        <w:t xml:space="preserve">turnover price impact of Florackis et al. (2011), the response to money growth shocks is stronger for Amihud’s (2002) illiquidity ratio. Third and finally, in line with </w:t>
      </w:r>
      <w:r w:rsidR="00A66A79">
        <w:rPr>
          <w:rFonts w:ascii="Garamond" w:hAnsi="Garamond"/>
          <w:sz w:val="24"/>
          <w:szCs w:val="24"/>
        </w:rPr>
        <w:t xml:space="preserve">the </w:t>
      </w:r>
      <w:r>
        <w:rPr>
          <w:rFonts w:ascii="Garamond" w:hAnsi="Garamond"/>
          <w:sz w:val="24"/>
          <w:szCs w:val="24"/>
        </w:rPr>
        <w:t xml:space="preserve">Granger causality results, the (il)liquidity of these eight markets is more sensitive to </w:t>
      </w:r>
      <w:r w:rsidR="00A66A79">
        <w:rPr>
          <w:rFonts w:ascii="Garamond" w:hAnsi="Garamond"/>
          <w:sz w:val="24"/>
          <w:szCs w:val="24"/>
        </w:rPr>
        <w:t xml:space="preserve">the </w:t>
      </w:r>
      <w:r>
        <w:rPr>
          <w:rFonts w:ascii="Garamond" w:hAnsi="Garamond"/>
          <w:sz w:val="24"/>
          <w:szCs w:val="24"/>
        </w:rPr>
        <w:t xml:space="preserve">short-term interest rate and </w:t>
      </w:r>
      <w:r w:rsidR="00A66A79">
        <w:rPr>
          <w:rFonts w:ascii="Garamond" w:hAnsi="Garamond"/>
          <w:sz w:val="24"/>
          <w:szCs w:val="24"/>
        </w:rPr>
        <w:t xml:space="preserve">the </w:t>
      </w:r>
      <w:r>
        <w:rPr>
          <w:rFonts w:ascii="Garamond" w:hAnsi="Garamond"/>
          <w:sz w:val="24"/>
          <w:szCs w:val="24"/>
        </w:rPr>
        <w:t xml:space="preserve">broad money supply growth rate than </w:t>
      </w:r>
      <w:r w:rsidR="00A66A79">
        <w:rPr>
          <w:rFonts w:ascii="Garamond" w:hAnsi="Garamond"/>
          <w:sz w:val="24"/>
          <w:szCs w:val="24"/>
        </w:rPr>
        <w:t xml:space="preserve">to </w:t>
      </w:r>
      <w:r>
        <w:rPr>
          <w:rFonts w:ascii="Garamond" w:hAnsi="Garamond"/>
          <w:sz w:val="24"/>
          <w:szCs w:val="24"/>
        </w:rPr>
        <w:t xml:space="preserve">bank rate. Therefore, based on </w:t>
      </w:r>
      <w:r w:rsidR="00A66A79">
        <w:rPr>
          <w:rFonts w:ascii="Garamond" w:hAnsi="Garamond"/>
          <w:sz w:val="24"/>
          <w:szCs w:val="24"/>
        </w:rPr>
        <w:t xml:space="preserve">the </w:t>
      </w:r>
      <w:r>
        <w:rPr>
          <w:rFonts w:ascii="Garamond" w:hAnsi="Garamond"/>
          <w:sz w:val="24"/>
          <w:szCs w:val="24"/>
        </w:rPr>
        <w:t>overall impulse responses, we can conclude that stock market liquidity (illiquidity) tends to rise (decline) as the base money growth increases. Conversely, market illiquidity (liquidity) tends to rise (decline) as the bank rate, cash reserve ratio and short-term interest rate increase. That means expansionary (contractionary) monetary policy of central bank increases (decreases) the liquidity (illiquidity) in Asian equity markets. The results are consistent with previous studies, such as Chordia et al. (2005), Goyenko and Ukhov (2009) and Fernández-Amador et al. (2013).</w:t>
      </w:r>
    </w:p>
    <w:p w14:paraId="3819C0D7" w14:textId="3970B48D" w:rsidR="00BE49FD" w:rsidRPr="00DB1454" w:rsidRDefault="00BE49FD" w:rsidP="00BE49FD">
      <w:pPr>
        <w:spacing w:line="360" w:lineRule="auto"/>
        <w:jc w:val="both"/>
        <w:rPr>
          <w:rFonts w:ascii="Garamond" w:hAnsi="Garamond"/>
          <w:sz w:val="24"/>
          <w:szCs w:val="24"/>
        </w:rPr>
      </w:pPr>
      <w:r>
        <w:rPr>
          <w:rFonts w:ascii="Garamond" w:hAnsi="Garamond"/>
          <w:sz w:val="24"/>
          <w:szCs w:val="24"/>
        </w:rPr>
        <w:t>As an alternative measure recommended in many other</w:t>
      </w:r>
      <w:r w:rsidR="00A66A79">
        <w:rPr>
          <w:rFonts w:ascii="Garamond" w:hAnsi="Garamond"/>
          <w:sz w:val="24"/>
          <w:szCs w:val="24"/>
        </w:rPr>
        <w:t xml:space="preserve"> paper</w:t>
      </w:r>
      <w:r>
        <w:rPr>
          <w:rFonts w:ascii="Garamond" w:hAnsi="Garamond"/>
          <w:sz w:val="24"/>
          <w:szCs w:val="24"/>
        </w:rPr>
        <w:t xml:space="preserve">s including Chordia et al. (2005), we consider the variance decomposition (results available on request) of the liquidity measures to disentangle the information contributed by </w:t>
      </w:r>
      <w:r w:rsidR="00A66A79">
        <w:rPr>
          <w:rFonts w:ascii="Garamond" w:hAnsi="Garamond"/>
          <w:sz w:val="24"/>
          <w:szCs w:val="24"/>
        </w:rPr>
        <w:t xml:space="preserve">the </w:t>
      </w:r>
      <w:r>
        <w:rPr>
          <w:rFonts w:ascii="Garamond" w:hAnsi="Garamond"/>
          <w:sz w:val="24"/>
          <w:szCs w:val="24"/>
        </w:rPr>
        <w:t xml:space="preserve">monetary policy measures. The results indicate that the base money growth and bank rate respectively can explain more than a 10 percent variance of trading volume and Amihud’s (2002) illiquidity ratio in Bangaldesh. Their effects also stabilize after 3 and 6 months respectively. The short-term interest rate has a weak power to explain the variance of any </w:t>
      </w:r>
      <w:r w:rsidR="00A66A79">
        <w:rPr>
          <w:rFonts w:ascii="Garamond" w:hAnsi="Garamond"/>
          <w:sz w:val="24"/>
          <w:szCs w:val="24"/>
        </w:rPr>
        <w:t xml:space="preserve">of the </w:t>
      </w:r>
      <w:r>
        <w:rPr>
          <w:rFonts w:ascii="Garamond" w:hAnsi="Garamond"/>
          <w:sz w:val="24"/>
          <w:szCs w:val="24"/>
        </w:rPr>
        <w:t xml:space="preserve">four (il)liquidity measures. For other markets, such as broad money supply and bank rate in India and Taiwan it can explain up to a 12 percent variance of TR </w:t>
      </w:r>
      <w:r>
        <w:rPr>
          <w:rFonts w:ascii="Garamond" w:hAnsi="Garamond"/>
          <w:sz w:val="24"/>
          <w:szCs w:val="24"/>
        </w:rPr>
        <w:lastRenderedPageBreak/>
        <w:t>and TV</w:t>
      </w:r>
      <w:r w:rsidR="00A66A79">
        <w:rPr>
          <w:rFonts w:ascii="Garamond" w:hAnsi="Garamond"/>
          <w:sz w:val="24"/>
          <w:szCs w:val="24"/>
        </w:rPr>
        <w:t>. The</w:t>
      </w:r>
      <w:r>
        <w:rPr>
          <w:rFonts w:ascii="Garamond" w:hAnsi="Garamond"/>
          <w:sz w:val="24"/>
          <w:szCs w:val="24"/>
        </w:rPr>
        <w:t xml:space="preserve"> short-term interest rate can explain about 13 percent of Amihud’s (2002) illiquidity and TPI ratio. Similarly, </w:t>
      </w:r>
      <w:r w:rsidR="00A66A79">
        <w:rPr>
          <w:rFonts w:ascii="Garamond" w:hAnsi="Garamond"/>
          <w:sz w:val="24"/>
          <w:szCs w:val="24"/>
        </w:rPr>
        <w:t xml:space="preserve">the </w:t>
      </w:r>
      <w:r>
        <w:rPr>
          <w:rFonts w:ascii="Garamond" w:hAnsi="Garamond"/>
          <w:sz w:val="24"/>
          <w:szCs w:val="24"/>
        </w:rPr>
        <w:t xml:space="preserve">short-term interest rate can explain the variance of TV and Amihud’s (2002) illiquidity ratio up to 10 and 7 percent respectively in Indonesia and South Korea; bank rate can explain up to 8 and 12 percent of Amihud’s (2002) illiquidity ratio in Malaysia and Pakistan respectively; and bank rates and short-term interest rates can explain up to 11 percent in Thailand. For </w:t>
      </w:r>
      <w:r w:rsidR="00A66A79">
        <w:rPr>
          <w:rFonts w:ascii="Garamond" w:hAnsi="Garamond"/>
          <w:sz w:val="24"/>
          <w:szCs w:val="24"/>
        </w:rPr>
        <w:t xml:space="preserve">the </w:t>
      </w:r>
      <w:r>
        <w:rPr>
          <w:rFonts w:ascii="Garamond" w:hAnsi="Garamond"/>
          <w:sz w:val="24"/>
          <w:szCs w:val="24"/>
        </w:rPr>
        <w:t xml:space="preserve">other macroeconomic variables, we find that both inflation rate and industrial production have </w:t>
      </w:r>
      <w:r w:rsidR="00A66A79">
        <w:rPr>
          <w:rFonts w:ascii="Garamond" w:hAnsi="Garamond"/>
          <w:sz w:val="24"/>
          <w:szCs w:val="24"/>
        </w:rPr>
        <w:t xml:space="preserve">a </w:t>
      </w:r>
      <w:r>
        <w:rPr>
          <w:rFonts w:ascii="Garamond" w:hAnsi="Garamond"/>
          <w:sz w:val="24"/>
          <w:szCs w:val="24"/>
        </w:rPr>
        <w:t xml:space="preserve">significant effect on market liquidity. Own-market volatility and returns are other important variables as suggested in Chordia et al. (2005) that can significantly explain the variance of the market (il)liquidity and in our sample the maximum influence is up to 20 percent.  </w:t>
      </w:r>
      <w:bookmarkStart w:id="13" w:name="_Toc399683681"/>
    </w:p>
    <w:p w14:paraId="4F07BB64" w14:textId="77777777" w:rsidR="00BE49FD" w:rsidRPr="00897774" w:rsidRDefault="00BE49FD" w:rsidP="00BE49FD">
      <w:pPr>
        <w:rPr>
          <w:rFonts w:ascii="Garamond" w:hAnsi="Garamond"/>
          <w:b/>
          <w:bCs/>
          <w:sz w:val="24"/>
          <w:szCs w:val="24"/>
        </w:rPr>
      </w:pPr>
      <w:r>
        <w:rPr>
          <w:rFonts w:ascii="Garamond" w:hAnsi="Garamond"/>
          <w:b/>
          <w:bCs/>
          <w:sz w:val="24"/>
          <w:szCs w:val="24"/>
        </w:rPr>
        <w:t>3</w:t>
      </w:r>
      <w:r w:rsidRPr="00897774">
        <w:rPr>
          <w:rFonts w:ascii="Garamond" w:hAnsi="Garamond"/>
          <w:b/>
          <w:bCs/>
          <w:sz w:val="24"/>
          <w:szCs w:val="24"/>
        </w:rPr>
        <w:t>.2.2 The impact of fiscal policy shocks</w:t>
      </w:r>
      <w:bookmarkEnd w:id="13"/>
    </w:p>
    <w:p w14:paraId="76ACC983" w14:textId="497C2FAA" w:rsidR="00BE49FD" w:rsidRDefault="00BE49FD" w:rsidP="00BE49FD">
      <w:pPr>
        <w:spacing w:line="360" w:lineRule="auto"/>
        <w:jc w:val="both"/>
        <w:rPr>
          <w:rFonts w:ascii="Garamond" w:hAnsi="Garamond"/>
          <w:sz w:val="24"/>
          <w:szCs w:val="24"/>
        </w:rPr>
      </w:pPr>
      <w:r w:rsidRPr="00B05D04">
        <w:rPr>
          <w:rFonts w:ascii="Garamond" w:hAnsi="Garamond"/>
          <w:sz w:val="24"/>
          <w:szCs w:val="24"/>
        </w:rPr>
        <w:t>For fiscal policy and liquidity measures, we run 12 different VAR models</w:t>
      </w:r>
      <w:r>
        <w:rPr>
          <w:rFonts w:ascii="Garamond" w:hAnsi="Garamond"/>
          <w:sz w:val="24"/>
          <w:szCs w:val="24"/>
        </w:rPr>
        <w:t xml:space="preserve"> for each equity market</w:t>
      </w:r>
      <w:r w:rsidRPr="00B05D04">
        <w:rPr>
          <w:rFonts w:ascii="Garamond" w:hAnsi="Garamond"/>
          <w:sz w:val="24"/>
          <w:szCs w:val="24"/>
        </w:rPr>
        <w:t xml:space="preserve"> and the pairwise Granger causality between endogenous variables associated with those VAR models.</w:t>
      </w:r>
      <w:r>
        <w:rPr>
          <w:rFonts w:ascii="Garamond" w:hAnsi="Garamond"/>
          <w:sz w:val="24"/>
          <w:szCs w:val="24"/>
        </w:rPr>
        <w:t xml:space="preserve"> Here, the null hypothesis we test is that the lagged endogenous variables of interest (i.e. fiscal policy or liquidity measures) do not Granger cause the dependent variable of interest (again, either market liquidity or fiscal policy variables). The results shows that fiscal policy variables have causal and reverse-causal associations with both liquidity and illiquidity measures (detailed results are available on request). </w:t>
      </w:r>
      <w:r w:rsidR="00A66A79">
        <w:rPr>
          <w:rFonts w:ascii="Garamond" w:hAnsi="Garamond"/>
          <w:sz w:val="24"/>
          <w:szCs w:val="24"/>
        </w:rPr>
        <w:t>In p</w:t>
      </w:r>
      <w:r>
        <w:rPr>
          <w:rFonts w:ascii="Garamond" w:hAnsi="Garamond"/>
          <w:sz w:val="24"/>
          <w:szCs w:val="24"/>
        </w:rPr>
        <w:t xml:space="preserve">articular, government expenditure has significant impact in Bangladesh, India and South Korea; government borrowing in Bangladesh, India and Taiwan; and public borrowing in India and Pakistan. For example, government expenditure has a significant causality with trading volume in </w:t>
      </w:r>
      <w:smartTag w:uri="urn:schemas-microsoft-com:office:smarttags" w:element="country-region">
        <w:r>
          <w:rPr>
            <w:rFonts w:ascii="Garamond" w:hAnsi="Garamond"/>
            <w:sz w:val="24"/>
            <w:szCs w:val="24"/>
          </w:rPr>
          <w:t>Bangladesh</w:t>
        </w:r>
      </w:smartTag>
      <w:r>
        <w:rPr>
          <w:rFonts w:ascii="Garamond" w:hAnsi="Garamond"/>
          <w:sz w:val="24"/>
          <w:szCs w:val="24"/>
        </w:rPr>
        <w:t xml:space="preserve">, </w:t>
      </w:r>
      <w:smartTag w:uri="urn:schemas-microsoft-com:office:smarttags" w:element="country-region">
        <w:r>
          <w:rPr>
            <w:rFonts w:ascii="Garamond" w:hAnsi="Garamond"/>
            <w:sz w:val="24"/>
            <w:szCs w:val="24"/>
          </w:rPr>
          <w:t>Indonesia</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South Korea</w:t>
          </w:r>
        </w:smartTag>
      </w:smartTag>
      <w:r>
        <w:rPr>
          <w:rFonts w:ascii="Garamond" w:hAnsi="Garamond"/>
          <w:sz w:val="24"/>
          <w:szCs w:val="24"/>
        </w:rPr>
        <w:t xml:space="preserve">. Similarly, Amihud’s (2002) illiquidity measure is Granger caused by government borrowing and public borrowing in </w:t>
      </w:r>
      <w:smartTag w:uri="urn:schemas-microsoft-com:office:smarttags" w:element="country-region">
        <w:r>
          <w:rPr>
            <w:rFonts w:ascii="Garamond" w:hAnsi="Garamond"/>
            <w:sz w:val="24"/>
            <w:szCs w:val="24"/>
          </w:rPr>
          <w:t>Bangladesh</w:t>
        </w:r>
      </w:smartTag>
      <w:r>
        <w:rPr>
          <w:rFonts w:ascii="Garamond" w:hAnsi="Garamond"/>
          <w:sz w:val="24"/>
          <w:szCs w:val="24"/>
        </w:rPr>
        <w:t xml:space="preserve">, </w:t>
      </w:r>
      <w:smartTag w:uri="urn:schemas-microsoft-com:office:smarttags" w:element="country-region">
        <w:r>
          <w:rPr>
            <w:rFonts w:ascii="Garamond" w:hAnsi="Garamond"/>
            <w:sz w:val="24"/>
            <w:szCs w:val="24"/>
          </w:rPr>
          <w:t>India</w:t>
        </w:r>
      </w:smartTag>
      <w:r>
        <w:rPr>
          <w:rFonts w:ascii="Garamond" w:hAnsi="Garamond"/>
          <w:sz w:val="24"/>
          <w:szCs w:val="24"/>
        </w:rPr>
        <w:t xml:space="preserve">, </w:t>
      </w:r>
      <w:smartTag w:uri="urn:schemas-microsoft-com:office:smarttags" w:element="country-region">
        <w:r>
          <w:rPr>
            <w:rFonts w:ascii="Garamond" w:hAnsi="Garamond"/>
            <w:sz w:val="24"/>
            <w:szCs w:val="24"/>
          </w:rPr>
          <w:t>Pakistan</w:t>
        </w:r>
      </w:smartTag>
      <w:r>
        <w:rPr>
          <w:rFonts w:ascii="Garamond" w:hAnsi="Garamond"/>
          <w:sz w:val="24"/>
          <w:szCs w:val="24"/>
        </w:rPr>
        <w:t xml:space="preserve">, </w:t>
      </w:r>
      <w:smartTag w:uri="urn:schemas-microsoft-com:office:smarttags" w:element="country-region">
        <w:r>
          <w:rPr>
            <w:rFonts w:ascii="Garamond" w:hAnsi="Garamond"/>
            <w:sz w:val="24"/>
            <w:szCs w:val="24"/>
          </w:rPr>
          <w:t>Taiwan</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Thailand</w:t>
          </w:r>
        </w:smartTag>
      </w:smartTag>
      <w:r>
        <w:rPr>
          <w:rFonts w:ascii="Garamond" w:hAnsi="Garamond"/>
          <w:sz w:val="24"/>
          <w:szCs w:val="24"/>
        </w:rPr>
        <w:t>; the coefficients are statistically significant at 5 and 10 percent respectively. However, we see there is only reverse</w:t>
      </w:r>
      <w:r w:rsidR="00A66A79">
        <w:rPr>
          <w:rFonts w:ascii="Garamond" w:hAnsi="Garamond"/>
          <w:sz w:val="24"/>
          <w:szCs w:val="24"/>
        </w:rPr>
        <w:t xml:space="preserve"> </w:t>
      </w:r>
      <w:r>
        <w:rPr>
          <w:rFonts w:ascii="Garamond" w:hAnsi="Garamond"/>
          <w:sz w:val="24"/>
          <w:szCs w:val="24"/>
        </w:rPr>
        <w:t xml:space="preserve">causality between </w:t>
      </w:r>
      <w:r w:rsidR="00A66A79">
        <w:rPr>
          <w:rFonts w:ascii="Garamond" w:hAnsi="Garamond"/>
          <w:sz w:val="24"/>
          <w:szCs w:val="24"/>
        </w:rPr>
        <w:t xml:space="preserve">the </w:t>
      </w:r>
      <w:r>
        <w:rPr>
          <w:rFonts w:ascii="Garamond" w:hAnsi="Garamond"/>
          <w:sz w:val="24"/>
          <w:szCs w:val="24"/>
        </w:rPr>
        <w:t xml:space="preserve">turnover rate and private borrowing in Bangladesh and Malaysia. Altogether, </w:t>
      </w:r>
      <w:r w:rsidR="00A66A79">
        <w:rPr>
          <w:rFonts w:ascii="Garamond" w:hAnsi="Garamond"/>
          <w:sz w:val="24"/>
          <w:szCs w:val="24"/>
        </w:rPr>
        <w:t xml:space="preserve">these </w:t>
      </w:r>
      <w:r>
        <w:rPr>
          <w:rFonts w:ascii="Garamond" w:hAnsi="Garamond"/>
          <w:sz w:val="24"/>
          <w:szCs w:val="24"/>
        </w:rPr>
        <w:t>results support the long-run cointegration found between liquidity measures and fiscal policy variables in section 3.1.</w:t>
      </w:r>
    </w:p>
    <w:p w14:paraId="5DBB8CCA" w14:textId="04CB3513" w:rsidR="00BE49FD" w:rsidRPr="00ED656D" w:rsidRDefault="00BE49FD" w:rsidP="00BE49FD">
      <w:pPr>
        <w:spacing w:line="360" w:lineRule="auto"/>
        <w:jc w:val="both"/>
        <w:rPr>
          <w:rFonts w:ascii="Garamond" w:hAnsi="Garamond"/>
          <w:sz w:val="24"/>
          <w:szCs w:val="24"/>
        </w:rPr>
      </w:pPr>
      <w:r>
        <w:rPr>
          <w:rFonts w:ascii="Garamond" w:hAnsi="Garamond"/>
          <w:sz w:val="24"/>
          <w:szCs w:val="24"/>
        </w:rPr>
        <w:t xml:space="preserve">Our results further show a strong two-way causation between fiscal policy and other endogenous variables of the VAR. For example, government expenditure has a one-way causation with market returns in </w:t>
      </w:r>
      <w:smartTag w:uri="urn:schemas-microsoft-com:office:smarttags" w:element="country-region">
        <w:smartTag w:uri="urn:schemas-microsoft-com:office:smarttags" w:element="place">
          <w:r>
            <w:rPr>
              <w:rFonts w:ascii="Garamond" w:hAnsi="Garamond"/>
              <w:sz w:val="24"/>
              <w:szCs w:val="24"/>
            </w:rPr>
            <w:t>Bangladesh</w:t>
          </w:r>
        </w:smartTag>
      </w:smartTag>
      <w:r>
        <w:rPr>
          <w:rFonts w:ascii="Garamond" w:hAnsi="Garamond"/>
          <w:sz w:val="24"/>
          <w:szCs w:val="24"/>
        </w:rPr>
        <w:t xml:space="preserve"> and this association is statistically significant at a 5 percent level. Government borrowing and public borrowing have significant causality with returns in India and Indonesia. The bidirectional causality identified in India, Indonesia, Pakistan, South Korea, Taiwan and Thailand</w:t>
      </w:r>
      <w:r w:rsidR="00A66A79">
        <w:rPr>
          <w:rFonts w:ascii="Garamond" w:hAnsi="Garamond"/>
          <w:sz w:val="24"/>
          <w:szCs w:val="24"/>
        </w:rPr>
        <w:t xml:space="preserve"> is,</w:t>
      </w:r>
      <w:r>
        <w:rPr>
          <w:rFonts w:ascii="Garamond" w:hAnsi="Garamond"/>
          <w:sz w:val="24"/>
          <w:szCs w:val="24"/>
        </w:rPr>
        <w:t xml:space="preserve"> however, mostly with government borrowing. Besides, market volatility </w:t>
      </w:r>
      <w:r>
        <w:rPr>
          <w:rFonts w:ascii="Garamond" w:hAnsi="Garamond"/>
          <w:sz w:val="24"/>
          <w:szCs w:val="24"/>
        </w:rPr>
        <w:lastRenderedPageBreak/>
        <w:t xml:space="preserve">is significantly Granger caused by government expenditure and government borrowing in </w:t>
      </w:r>
      <w:smartTag w:uri="urn:schemas-microsoft-com:office:smarttags" w:element="country-region">
        <w:r>
          <w:rPr>
            <w:rFonts w:ascii="Garamond" w:hAnsi="Garamond"/>
            <w:sz w:val="24"/>
            <w:szCs w:val="24"/>
          </w:rPr>
          <w:t>Bangladesh</w:t>
        </w:r>
      </w:smartTag>
      <w:r>
        <w:rPr>
          <w:rFonts w:ascii="Garamond" w:hAnsi="Garamond"/>
          <w:sz w:val="24"/>
          <w:szCs w:val="24"/>
        </w:rPr>
        <w:t xml:space="preserve">, </w:t>
      </w:r>
      <w:smartTag w:uri="urn:schemas-microsoft-com:office:smarttags" w:element="country-region">
        <w:r>
          <w:rPr>
            <w:rFonts w:ascii="Garamond" w:hAnsi="Garamond"/>
            <w:sz w:val="24"/>
            <w:szCs w:val="24"/>
          </w:rPr>
          <w:t>Indonesia</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Pakistan</w:t>
          </w:r>
        </w:smartTag>
      </w:smartTag>
      <w:r>
        <w:rPr>
          <w:rFonts w:ascii="Garamond" w:hAnsi="Garamond"/>
          <w:sz w:val="24"/>
          <w:szCs w:val="24"/>
        </w:rPr>
        <w:t xml:space="preserve">. </w:t>
      </w:r>
      <w:r w:rsidR="004346D4">
        <w:rPr>
          <w:rFonts w:ascii="Garamond" w:hAnsi="Garamond"/>
          <w:sz w:val="24"/>
          <w:szCs w:val="24"/>
        </w:rPr>
        <w:t>A r</w:t>
      </w:r>
      <w:r>
        <w:rPr>
          <w:rFonts w:ascii="Garamond" w:hAnsi="Garamond"/>
          <w:sz w:val="24"/>
          <w:szCs w:val="24"/>
        </w:rPr>
        <w:t>everse impact exists with government borrowing in Indonesia, South Korea and Thailand; and with private borrowing in Taiwan. All these bidirectional causations of stock returns and volatility imply that sometimes market characteristics can influence the government’s fiscal decision</w:t>
      </w:r>
      <w:r w:rsidR="004346D4">
        <w:rPr>
          <w:rFonts w:ascii="Garamond" w:hAnsi="Garamond"/>
          <w:sz w:val="24"/>
          <w:szCs w:val="24"/>
        </w:rPr>
        <w:t>. T</w:t>
      </w:r>
      <w:r w:rsidRPr="004B549B">
        <w:rPr>
          <w:rFonts w:ascii="Garamond" w:hAnsi="Garamond"/>
          <w:sz w:val="24"/>
          <w:szCs w:val="24"/>
        </w:rPr>
        <w:t xml:space="preserve">here </w:t>
      </w:r>
      <w:r w:rsidR="004346D4">
        <w:rPr>
          <w:rFonts w:ascii="Garamond" w:hAnsi="Garamond"/>
          <w:sz w:val="24"/>
          <w:szCs w:val="24"/>
        </w:rPr>
        <w:t>is</w:t>
      </w:r>
      <w:r w:rsidRPr="004B549B">
        <w:rPr>
          <w:rFonts w:ascii="Garamond" w:hAnsi="Garamond"/>
          <w:sz w:val="24"/>
          <w:szCs w:val="24"/>
        </w:rPr>
        <w:t xml:space="preserve"> empirical evidence</w:t>
      </w:r>
      <w:r>
        <w:rPr>
          <w:rFonts w:ascii="Garamond" w:hAnsi="Garamond"/>
          <w:sz w:val="24"/>
          <w:szCs w:val="24"/>
        </w:rPr>
        <w:t xml:space="preserve"> </w:t>
      </w:r>
      <w:r w:rsidRPr="004B549B">
        <w:rPr>
          <w:rFonts w:ascii="Garamond" w:hAnsi="Garamond"/>
          <w:sz w:val="24"/>
          <w:szCs w:val="24"/>
        </w:rPr>
        <w:t xml:space="preserve">available on </w:t>
      </w:r>
      <w:r>
        <w:rPr>
          <w:rFonts w:ascii="Garamond" w:hAnsi="Garamond"/>
          <w:sz w:val="24"/>
          <w:szCs w:val="24"/>
        </w:rPr>
        <w:t>this relationship</w:t>
      </w:r>
      <w:r w:rsidRPr="004B549B">
        <w:rPr>
          <w:rFonts w:ascii="Garamond" w:hAnsi="Garamond"/>
          <w:sz w:val="24"/>
          <w:szCs w:val="24"/>
        </w:rPr>
        <w:t>. For example, Tagkalakis (2011) reports that changes in equity price have</w:t>
      </w:r>
      <w:r w:rsidR="004346D4">
        <w:rPr>
          <w:rFonts w:ascii="Garamond" w:hAnsi="Garamond"/>
          <w:sz w:val="24"/>
          <w:szCs w:val="24"/>
        </w:rPr>
        <w:t xml:space="preserve"> an</w:t>
      </w:r>
      <w:r w:rsidRPr="004B549B">
        <w:rPr>
          <w:rFonts w:ascii="Garamond" w:hAnsi="Garamond"/>
          <w:sz w:val="24"/>
          <w:szCs w:val="24"/>
        </w:rPr>
        <w:t xml:space="preserve"> impact on government expenditure and revenue.</w:t>
      </w:r>
    </w:p>
    <w:p w14:paraId="7F15184A" w14:textId="75510E7D" w:rsidR="00BE49FD" w:rsidRPr="00A20325" w:rsidRDefault="00BE49FD" w:rsidP="00BE49FD">
      <w:pPr>
        <w:spacing w:line="360" w:lineRule="auto"/>
        <w:jc w:val="both"/>
        <w:rPr>
          <w:rFonts w:ascii="Garamond" w:hAnsi="Garamond"/>
          <w:sz w:val="24"/>
          <w:szCs w:val="24"/>
        </w:rPr>
      </w:pPr>
      <w:r w:rsidRPr="002405FC">
        <w:rPr>
          <w:rFonts w:ascii="Garamond" w:hAnsi="Garamond"/>
          <w:sz w:val="24"/>
          <w:szCs w:val="24"/>
        </w:rPr>
        <w:t xml:space="preserve">Similar to the monetary policy </w:t>
      </w:r>
      <w:r>
        <w:rPr>
          <w:rFonts w:ascii="Garamond" w:hAnsi="Garamond"/>
          <w:sz w:val="24"/>
          <w:szCs w:val="24"/>
        </w:rPr>
        <w:t xml:space="preserve">influences </w:t>
      </w:r>
      <w:r w:rsidRPr="002405FC">
        <w:rPr>
          <w:rFonts w:ascii="Garamond" w:hAnsi="Garamond"/>
          <w:sz w:val="24"/>
          <w:szCs w:val="24"/>
        </w:rPr>
        <w:t xml:space="preserve">and the recommendation of Gagnon and Gimet (2013), we </w:t>
      </w:r>
      <w:r>
        <w:rPr>
          <w:rFonts w:ascii="Garamond" w:hAnsi="Garamond"/>
          <w:sz w:val="24"/>
          <w:szCs w:val="24"/>
        </w:rPr>
        <w:t>report the impulse response functions and variance decomposition to better understand the dynamics of fiscal policy within the VAR system. We order our variables as follows: macroeconomic variables - IP, IR and FP first, followed by STD, RET and (il)liquidity ratios.</w:t>
      </w:r>
      <w:r w:rsidRPr="002405FC">
        <w:rPr>
          <w:rFonts w:ascii="Garamond" w:hAnsi="Garamond"/>
          <w:sz w:val="24"/>
          <w:szCs w:val="24"/>
        </w:rPr>
        <w:t xml:space="preserve"> </w:t>
      </w:r>
      <w:r>
        <w:rPr>
          <w:rFonts w:ascii="Garamond" w:hAnsi="Garamond"/>
          <w:sz w:val="24"/>
          <w:szCs w:val="24"/>
        </w:rPr>
        <w:t xml:space="preserve">The signs of accumulated responses of market liquidity to a unit standard deviation innovation of fiscal policy shocks are presented in Table 5 (from Groups A to C), traced forward over a period of 12 months. In each group </w:t>
      </w:r>
      <w:r w:rsidR="004346D4">
        <w:rPr>
          <w:rFonts w:ascii="Garamond" w:hAnsi="Garamond"/>
          <w:sz w:val="24"/>
          <w:szCs w:val="24"/>
        </w:rPr>
        <w:t xml:space="preserve">the </w:t>
      </w:r>
      <w:r>
        <w:rPr>
          <w:rFonts w:ascii="Garamond" w:hAnsi="Garamond"/>
          <w:sz w:val="24"/>
          <w:szCs w:val="24"/>
        </w:rPr>
        <w:t>four variables represent</w:t>
      </w:r>
      <w:r w:rsidR="004346D4">
        <w:rPr>
          <w:rFonts w:ascii="Garamond" w:hAnsi="Garamond"/>
          <w:sz w:val="24"/>
          <w:szCs w:val="24"/>
        </w:rPr>
        <w:t xml:space="preserve"> the</w:t>
      </w:r>
      <w:r>
        <w:rPr>
          <w:rFonts w:ascii="Garamond" w:hAnsi="Garamond"/>
          <w:sz w:val="24"/>
          <w:szCs w:val="24"/>
        </w:rPr>
        <w:t xml:space="preserve"> two liquidity and two illiquidity </w:t>
      </w:r>
      <w:r w:rsidR="004346D4">
        <w:rPr>
          <w:rFonts w:ascii="Garamond" w:hAnsi="Garamond"/>
          <w:sz w:val="24"/>
          <w:szCs w:val="24"/>
        </w:rPr>
        <w:t xml:space="preserve">responses to </w:t>
      </w:r>
      <w:r>
        <w:rPr>
          <w:rFonts w:ascii="Garamond" w:hAnsi="Garamond"/>
          <w:sz w:val="24"/>
          <w:szCs w:val="24"/>
        </w:rPr>
        <w:t>fiscal policy variables. The responses are estimated using a standard Cholesky decomposition of the VAR residuals and use the bootstrap 95 percent confidence bands to gauge the statistical significance of the responses.</w:t>
      </w:r>
    </w:p>
    <w:p w14:paraId="6751D933" w14:textId="77777777" w:rsidR="00BE49FD" w:rsidRPr="00A619FB" w:rsidRDefault="00BE49FD" w:rsidP="00BE49FD">
      <w:pPr>
        <w:spacing w:line="360" w:lineRule="auto"/>
        <w:jc w:val="center"/>
        <w:rPr>
          <w:rFonts w:ascii="Garamond" w:hAnsi="Garamond"/>
          <w:b/>
          <w:bCs/>
          <w:sz w:val="24"/>
          <w:szCs w:val="24"/>
        </w:rPr>
      </w:pPr>
      <w:r w:rsidRPr="00A619FB">
        <w:rPr>
          <w:rFonts w:ascii="Garamond" w:hAnsi="Garamond"/>
          <w:b/>
          <w:bCs/>
          <w:sz w:val="24"/>
          <w:szCs w:val="24"/>
        </w:rPr>
        <w:t>Table 5: Summary of impulse response function</w:t>
      </w:r>
      <w:r>
        <w:rPr>
          <w:rFonts w:ascii="Garamond" w:hAnsi="Garamond"/>
          <w:b/>
          <w:bCs/>
          <w:sz w:val="24"/>
          <w:szCs w:val="24"/>
        </w:rPr>
        <w:t xml:space="preserve"> sign</w:t>
      </w:r>
      <w:r w:rsidRPr="00A619FB">
        <w:rPr>
          <w:rFonts w:ascii="Garamond" w:hAnsi="Garamond"/>
          <w:b/>
          <w:bCs/>
          <w:sz w:val="24"/>
          <w:szCs w:val="24"/>
        </w:rPr>
        <w:t xml:space="preserve">s to </w:t>
      </w:r>
      <w:r>
        <w:rPr>
          <w:rFonts w:ascii="Garamond" w:hAnsi="Garamond"/>
          <w:b/>
          <w:bCs/>
          <w:sz w:val="24"/>
          <w:szCs w:val="24"/>
        </w:rPr>
        <w:t>fiscal policy shocks</w:t>
      </w:r>
    </w:p>
    <w:tbl>
      <w:tblPr>
        <w:tblW w:w="9605" w:type="dxa"/>
        <w:tblInd w:w="93" w:type="dxa"/>
        <w:tblLook w:val="04A0" w:firstRow="1" w:lastRow="0" w:firstColumn="1" w:lastColumn="0" w:noHBand="0" w:noVBand="1"/>
      </w:tblPr>
      <w:tblGrid>
        <w:gridCol w:w="1564"/>
        <w:gridCol w:w="557"/>
        <w:gridCol w:w="571"/>
        <w:gridCol w:w="918"/>
        <w:gridCol w:w="633"/>
        <w:gridCol w:w="558"/>
        <w:gridCol w:w="572"/>
        <w:gridCol w:w="918"/>
        <w:gridCol w:w="633"/>
        <w:gridCol w:w="558"/>
        <w:gridCol w:w="572"/>
        <w:gridCol w:w="918"/>
        <w:gridCol w:w="633"/>
      </w:tblGrid>
      <w:tr w:rsidR="00BE49FD" w:rsidRPr="008A703F" w14:paraId="0D9BF130" w14:textId="77777777" w:rsidTr="00B90008">
        <w:trPr>
          <w:trHeight w:val="334"/>
        </w:trPr>
        <w:tc>
          <w:tcPr>
            <w:tcW w:w="1564" w:type="dxa"/>
            <w:tcBorders>
              <w:top w:val="single" w:sz="4" w:space="0" w:color="auto"/>
              <w:left w:val="single" w:sz="4" w:space="0" w:color="auto"/>
              <w:right w:val="single" w:sz="4" w:space="0" w:color="auto"/>
            </w:tcBorders>
            <w:shd w:val="clear" w:color="auto" w:fill="auto"/>
            <w:noWrap/>
            <w:vAlign w:val="bottom"/>
          </w:tcPr>
          <w:p w14:paraId="4A065F5B" w14:textId="77777777" w:rsidR="00BE49FD" w:rsidRPr="00151295" w:rsidRDefault="00BE49FD" w:rsidP="00B90008">
            <w:pPr>
              <w:spacing w:after="0" w:line="240" w:lineRule="auto"/>
              <w:jc w:val="center"/>
              <w:rPr>
                <w:rFonts w:ascii="Garamond" w:hAnsi="Garamond"/>
                <w:color w:val="000000"/>
                <w:sz w:val="24"/>
                <w:szCs w:val="24"/>
                <w:lang w:bidi="bn-IN"/>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184FA2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 xml:space="preserve">Group A: Government </w:t>
            </w:r>
          </w:p>
          <w:p w14:paraId="157C963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Consumption</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tcPr>
          <w:p w14:paraId="679A6CF4"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Group B: Government</w:t>
            </w:r>
          </w:p>
          <w:p w14:paraId="2A52AB5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 xml:space="preserve"> Borrowing</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tcPr>
          <w:p w14:paraId="408465F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Group C: Private</w:t>
            </w:r>
          </w:p>
          <w:p w14:paraId="3247F55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 xml:space="preserve"> Borrowing</w:t>
            </w:r>
          </w:p>
        </w:tc>
      </w:tr>
      <w:tr w:rsidR="00BE49FD" w:rsidRPr="008A703F" w14:paraId="3755044C" w14:textId="77777777" w:rsidTr="00B90008">
        <w:trPr>
          <w:trHeight w:val="300"/>
        </w:trPr>
        <w:tc>
          <w:tcPr>
            <w:tcW w:w="1564" w:type="dxa"/>
            <w:tcBorders>
              <w:top w:val="nil"/>
              <w:left w:val="single" w:sz="4" w:space="0" w:color="auto"/>
              <w:right w:val="single" w:sz="4" w:space="0" w:color="auto"/>
            </w:tcBorders>
            <w:shd w:val="clear" w:color="auto" w:fill="auto"/>
            <w:noWrap/>
            <w:vAlign w:val="bottom"/>
          </w:tcPr>
          <w:p w14:paraId="3280651A" w14:textId="77777777" w:rsidR="00BE49FD" w:rsidRPr="00151295" w:rsidRDefault="00BE49FD" w:rsidP="00B90008">
            <w:pPr>
              <w:spacing w:after="0" w:line="240" w:lineRule="auto"/>
              <w:rPr>
                <w:rFonts w:ascii="Garamond" w:hAnsi="Garamond"/>
                <w:color w:val="000000"/>
                <w:sz w:val="24"/>
                <w:szCs w:val="24"/>
                <w:lang w:bidi="bn-IN"/>
              </w:rPr>
            </w:pPr>
            <w:r w:rsidRPr="00151295">
              <w:rPr>
                <w:rFonts w:ascii="Garamond" w:hAnsi="Garamond"/>
                <w:color w:val="000000"/>
                <w:sz w:val="24"/>
                <w:szCs w:val="24"/>
                <w:lang w:bidi="bn-IN"/>
              </w:rPr>
              <w:t> </w:t>
            </w:r>
          </w:p>
        </w:tc>
        <w:tc>
          <w:tcPr>
            <w:tcW w:w="0" w:type="auto"/>
            <w:gridSpan w:val="12"/>
            <w:tcBorders>
              <w:top w:val="nil"/>
              <w:left w:val="single" w:sz="4" w:space="0" w:color="auto"/>
              <w:bottom w:val="single" w:sz="4" w:space="0" w:color="auto"/>
              <w:right w:val="single" w:sz="4" w:space="0" w:color="auto"/>
            </w:tcBorders>
            <w:shd w:val="clear" w:color="auto" w:fill="auto"/>
            <w:noWrap/>
            <w:vAlign w:val="bottom"/>
          </w:tcPr>
          <w:p w14:paraId="02B365C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(il)liquidity measures</w:t>
            </w:r>
          </w:p>
        </w:tc>
      </w:tr>
      <w:tr w:rsidR="00BE49FD" w:rsidRPr="008A703F" w14:paraId="2CDA0796" w14:textId="77777777" w:rsidTr="00B90008">
        <w:trPr>
          <w:trHeight w:val="300"/>
        </w:trPr>
        <w:tc>
          <w:tcPr>
            <w:tcW w:w="1564" w:type="dxa"/>
            <w:tcBorders>
              <w:top w:val="nil"/>
              <w:left w:val="single" w:sz="4" w:space="0" w:color="auto"/>
              <w:right w:val="single" w:sz="4" w:space="0" w:color="auto"/>
            </w:tcBorders>
            <w:shd w:val="clear" w:color="auto" w:fill="auto"/>
            <w:noWrap/>
            <w:vAlign w:val="bottom"/>
          </w:tcPr>
          <w:p w14:paraId="5392B280" w14:textId="77777777" w:rsidR="00BE49FD" w:rsidRPr="00151295" w:rsidRDefault="00BE49FD" w:rsidP="00B90008">
            <w:pPr>
              <w:spacing w:after="0" w:line="240" w:lineRule="auto"/>
              <w:rPr>
                <w:rFonts w:ascii="Garamond" w:hAnsi="Garamond"/>
                <w:color w:val="000000"/>
                <w:sz w:val="24"/>
                <w:szCs w:val="24"/>
                <w:lang w:bidi="bn-IN"/>
              </w:rPr>
            </w:pPr>
            <w:r w:rsidRPr="00151295">
              <w:rPr>
                <w:rFonts w:ascii="Garamond" w:hAnsi="Garamond"/>
                <w:color w:val="000000"/>
                <w:sz w:val="24"/>
                <w:szCs w:val="24"/>
                <w:lang w:bidi="bn-IN"/>
              </w:rPr>
              <w:t> </w:t>
            </w:r>
          </w:p>
        </w:tc>
        <w:tc>
          <w:tcPr>
            <w:tcW w:w="0" w:type="auto"/>
            <w:tcBorders>
              <w:top w:val="single" w:sz="4" w:space="0" w:color="auto"/>
              <w:left w:val="single" w:sz="4" w:space="0" w:color="auto"/>
            </w:tcBorders>
            <w:shd w:val="clear" w:color="auto" w:fill="auto"/>
            <w:noWrap/>
            <w:vAlign w:val="bottom"/>
          </w:tcPr>
          <w:p w14:paraId="3DD6AFA4"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TR</w:t>
            </w:r>
          </w:p>
        </w:tc>
        <w:tc>
          <w:tcPr>
            <w:tcW w:w="0" w:type="auto"/>
            <w:tcBorders>
              <w:top w:val="single" w:sz="4" w:space="0" w:color="auto"/>
            </w:tcBorders>
            <w:shd w:val="clear" w:color="auto" w:fill="auto"/>
            <w:noWrap/>
            <w:vAlign w:val="bottom"/>
          </w:tcPr>
          <w:p w14:paraId="701D09E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TV</w:t>
            </w:r>
          </w:p>
        </w:tc>
        <w:tc>
          <w:tcPr>
            <w:tcW w:w="0" w:type="auto"/>
            <w:tcBorders>
              <w:top w:val="single" w:sz="4" w:space="0" w:color="auto"/>
            </w:tcBorders>
            <w:shd w:val="clear" w:color="auto" w:fill="auto"/>
            <w:noWrap/>
            <w:vAlign w:val="bottom"/>
          </w:tcPr>
          <w:p w14:paraId="2512EA1F"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ILLIQ</w:t>
            </w:r>
          </w:p>
        </w:tc>
        <w:tc>
          <w:tcPr>
            <w:tcW w:w="0" w:type="auto"/>
            <w:tcBorders>
              <w:top w:val="single" w:sz="4" w:space="0" w:color="auto"/>
              <w:right w:val="single" w:sz="4" w:space="0" w:color="auto"/>
            </w:tcBorders>
            <w:shd w:val="clear" w:color="auto" w:fill="auto"/>
            <w:noWrap/>
            <w:vAlign w:val="bottom"/>
          </w:tcPr>
          <w:p w14:paraId="61AC681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TPI</w:t>
            </w:r>
          </w:p>
        </w:tc>
        <w:tc>
          <w:tcPr>
            <w:tcW w:w="0" w:type="auto"/>
            <w:tcBorders>
              <w:top w:val="single" w:sz="4" w:space="0" w:color="auto"/>
              <w:left w:val="single" w:sz="4" w:space="0" w:color="auto"/>
            </w:tcBorders>
            <w:shd w:val="clear" w:color="auto" w:fill="auto"/>
            <w:noWrap/>
            <w:vAlign w:val="bottom"/>
          </w:tcPr>
          <w:p w14:paraId="2E217F5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TR</w:t>
            </w:r>
          </w:p>
        </w:tc>
        <w:tc>
          <w:tcPr>
            <w:tcW w:w="0" w:type="auto"/>
            <w:tcBorders>
              <w:top w:val="single" w:sz="4" w:space="0" w:color="auto"/>
            </w:tcBorders>
            <w:shd w:val="clear" w:color="auto" w:fill="auto"/>
            <w:noWrap/>
            <w:vAlign w:val="bottom"/>
          </w:tcPr>
          <w:p w14:paraId="561DF4C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TV</w:t>
            </w:r>
          </w:p>
        </w:tc>
        <w:tc>
          <w:tcPr>
            <w:tcW w:w="0" w:type="auto"/>
            <w:tcBorders>
              <w:top w:val="single" w:sz="4" w:space="0" w:color="auto"/>
            </w:tcBorders>
            <w:shd w:val="clear" w:color="auto" w:fill="auto"/>
            <w:noWrap/>
            <w:vAlign w:val="bottom"/>
          </w:tcPr>
          <w:p w14:paraId="56456D6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ILLIQ</w:t>
            </w:r>
          </w:p>
        </w:tc>
        <w:tc>
          <w:tcPr>
            <w:tcW w:w="0" w:type="auto"/>
            <w:tcBorders>
              <w:top w:val="single" w:sz="4" w:space="0" w:color="auto"/>
              <w:right w:val="single" w:sz="4" w:space="0" w:color="auto"/>
            </w:tcBorders>
            <w:shd w:val="clear" w:color="auto" w:fill="auto"/>
            <w:noWrap/>
            <w:vAlign w:val="bottom"/>
          </w:tcPr>
          <w:p w14:paraId="40822DA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TPI</w:t>
            </w:r>
          </w:p>
        </w:tc>
        <w:tc>
          <w:tcPr>
            <w:tcW w:w="0" w:type="auto"/>
            <w:tcBorders>
              <w:top w:val="single" w:sz="4" w:space="0" w:color="auto"/>
              <w:left w:val="single" w:sz="4" w:space="0" w:color="auto"/>
            </w:tcBorders>
            <w:shd w:val="clear" w:color="auto" w:fill="auto"/>
            <w:noWrap/>
            <w:vAlign w:val="bottom"/>
          </w:tcPr>
          <w:p w14:paraId="5D1F475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TR</w:t>
            </w:r>
          </w:p>
        </w:tc>
        <w:tc>
          <w:tcPr>
            <w:tcW w:w="0" w:type="auto"/>
            <w:tcBorders>
              <w:top w:val="single" w:sz="4" w:space="0" w:color="auto"/>
            </w:tcBorders>
            <w:shd w:val="clear" w:color="auto" w:fill="auto"/>
            <w:noWrap/>
            <w:vAlign w:val="bottom"/>
          </w:tcPr>
          <w:p w14:paraId="1400103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TV</w:t>
            </w:r>
          </w:p>
        </w:tc>
        <w:tc>
          <w:tcPr>
            <w:tcW w:w="0" w:type="auto"/>
            <w:tcBorders>
              <w:top w:val="single" w:sz="4" w:space="0" w:color="auto"/>
            </w:tcBorders>
            <w:shd w:val="clear" w:color="auto" w:fill="auto"/>
            <w:noWrap/>
            <w:vAlign w:val="bottom"/>
          </w:tcPr>
          <w:p w14:paraId="617A2E3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ILLIQ</w:t>
            </w:r>
          </w:p>
        </w:tc>
        <w:tc>
          <w:tcPr>
            <w:tcW w:w="0" w:type="auto"/>
            <w:tcBorders>
              <w:top w:val="single" w:sz="4" w:space="0" w:color="auto"/>
              <w:right w:val="single" w:sz="4" w:space="0" w:color="auto"/>
            </w:tcBorders>
            <w:shd w:val="clear" w:color="auto" w:fill="auto"/>
            <w:noWrap/>
            <w:vAlign w:val="bottom"/>
          </w:tcPr>
          <w:p w14:paraId="274C154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TPI</w:t>
            </w:r>
          </w:p>
        </w:tc>
      </w:tr>
      <w:tr w:rsidR="00BE49FD" w:rsidRPr="008A703F" w14:paraId="077B5F4A" w14:textId="77777777" w:rsidTr="00B90008">
        <w:trPr>
          <w:trHeight w:val="300"/>
        </w:trPr>
        <w:tc>
          <w:tcPr>
            <w:tcW w:w="1564" w:type="dxa"/>
            <w:tcBorders>
              <w:top w:val="nil"/>
              <w:left w:val="single" w:sz="4" w:space="0" w:color="auto"/>
              <w:right w:val="single" w:sz="4" w:space="0" w:color="auto"/>
            </w:tcBorders>
            <w:shd w:val="clear" w:color="auto" w:fill="auto"/>
            <w:noWrap/>
            <w:vAlign w:val="bottom"/>
          </w:tcPr>
          <w:p w14:paraId="4361CC73"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Bangladesh</w:t>
                </w:r>
              </w:smartTag>
            </w:smartTag>
          </w:p>
        </w:tc>
        <w:tc>
          <w:tcPr>
            <w:tcW w:w="0" w:type="auto"/>
            <w:tcBorders>
              <w:top w:val="nil"/>
              <w:left w:val="single" w:sz="4" w:space="0" w:color="auto"/>
            </w:tcBorders>
            <w:shd w:val="clear" w:color="auto" w:fill="auto"/>
            <w:noWrap/>
            <w:vAlign w:val="bottom"/>
          </w:tcPr>
          <w:p w14:paraId="19ED322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3BA96B2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6D810D2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0AE2D51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3B16465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6095A07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673AEBA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5A6F0C0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712D68B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7618390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1A51CDF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4F583F2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17ED94D6" w14:textId="77777777" w:rsidTr="00B90008">
        <w:trPr>
          <w:trHeight w:val="300"/>
        </w:trPr>
        <w:tc>
          <w:tcPr>
            <w:tcW w:w="1564" w:type="dxa"/>
            <w:tcBorders>
              <w:top w:val="nil"/>
              <w:left w:val="single" w:sz="4" w:space="0" w:color="auto"/>
              <w:right w:val="single" w:sz="4" w:space="0" w:color="auto"/>
            </w:tcBorders>
            <w:shd w:val="clear" w:color="auto" w:fill="auto"/>
            <w:noWrap/>
            <w:vAlign w:val="bottom"/>
          </w:tcPr>
          <w:p w14:paraId="23033C21"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India</w:t>
                </w:r>
              </w:smartTag>
            </w:smartTag>
          </w:p>
        </w:tc>
        <w:tc>
          <w:tcPr>
            <w:tcW w:w="0" w:type="auto"/>
            <w:tcBorders>
              <w:top w:val="nil"/>
              <w:left w:val="single" w:sz="4" w:space="0" w:color="auto"/>
            </w:tcBorders>
            <w:shd w:val="clear" w:color="auto" w:fill="auto"/>
            <w:noWrap/>
            <w:vAlign w:val="bottom"/>
          </w:tcPr>
          <w:p w14:paraId="4E2671D7"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33EA134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35F18FC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0F24FBF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18E206B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3227B2B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37FF8DA4"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61E995C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5924054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55EA622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1BC486A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5D6F752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3FD92ED9" w14:textId="77777777" w:rsidTr="00B90008">
        <w:trPr>
          <w:trHeight w:val="300"/>
        </w:trPr>
        <w:tc>
          <w:tcPr>
            <w:tcW w:w="1564" w:type="dxa"/>
            <w:tcBorders>
              <w:top w:val="nil"/>
              <w:left w:val="single" w:sz="4" w:space="0" w:color="auto"/>
              <w:right w:val="single" w:sz="4" w:space="0" w:color="auto"/>
            </w:tcBorders>
            <w:shd w:val="clear" w:color="auto" w:fill="auto"/>
            <w:noWrap/>
            <w:vAlign w:val="bottom"/>
          </w:tcPr>
          <w:p w14:paraId="10739669"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Indonesia</w:t>
                </w:r>
              </w:smartTag>
            </w:smartTag>
          </w:p>
        </w:tc>
        <w:tc>
          <w:tcPr>
            <w:tcW w:w="0" w:type="auto"/>
            <w:tcBorders>
              <w:top w:val="nil"/>
              <w:left w:val="single" w:sz="4" w:space="0" w:color="auto"/>
            </w:tcBorders>
            <w:shd w:val="clear" w:color="auto" w:fill="auto"/>
            <w:noWrap/>
            <w:vAlign w:val="bottom"/>
          </w:tcPr>
          <w:p w14:paraId="3D5DE44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560A6E9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6941CD6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1C70EE5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33751D6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2EF509E6"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0989997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7ED14D0F"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3E8628B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3BD3EC0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4C12F806"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0EC1E77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0490CEA0" w14:textId="77777777" w:rsidTr="00B90008">
        <w:trPr>
          <w:trHeight w:val="300"/>
        </w:trPr>
        <w:tc>
          <w:tcPr>
            <w:tcW w:w="1564" w:type="dxa"/>
            <w:tcBorders>
              <w:top w:val="nil"/>
              <w:left w:val="single" w:sz="4" w:space="0" w:color="auto"/>
              <w:right w:val="single" w:sz="4" w:space="0" w:color="auto"/>
            </w:tcBorders>
            <w:shd w:val="clear" w:color="auto" w:fill="auto"/>
            <w:noWrap/>
            <w:vAlign w:val="bottom"/>
          </w:tcPr>
          <w:p w14:paraId="09E70F48"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Malaysia</w:t>
                </w:r>
              </w:smartTag>
            </w:smartTag>
          </w:p>
        </w:tc>
        <w:tc>
          <w:tcPr>
            <w:tcW w:w="0" w:type="auto"/>
            <w:tcBorders>
              <w:top w:val="nil"/>
              <w:left w:val="single" w:sz="4" w:space="0" w:color="auto"/>
            </w:tcBorders>
            <w:shd w:val="clear" w:color="auto" w:fill="auto"/>
            <w:noWrap/>
            <w:vAlign w:val="bottom"/>
          </w:tcPr>
          <w:p w14:paraId="0041E57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7B0CFBC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3C24745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5D90DEF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19C57E26"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48852CE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381977F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441CCA0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1F7E387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48491E9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3827A69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642F45A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6BC1CF5E" w14:textId="77777777" w:rsidTr="00B90008">
        <w:trPr>
          <w:trHeight w:val="300"/>
        </w:trPr>
        <w:tc>
          <w:tcPr>
            <w:tcW w:w="1564" w:type="dxa"/>
            <w:tcBorders>
              <w:top w:val="nil"/>
              <w:left w:val="single" w:sz="4" w:space="0" w:color="auto"/>
              <w:right w:val="single" w:sz="4" w:space="0" w:color="auto"/>
            </w:tcBorders>
            <w:shd w:val="clear" w:color="auto" w:fill="auto"/>
            <w:noWrap/>
            <w:vAlign w:val="bottom"/>
          </w:tcPr>
          <w:p w14:paraId="42537C42"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Pakistan</w:t>
                </w:r>
              </w:smartTag>
            </w:smartTag>
          </w:p>
        </w:tc>
        <w:tc>
          <w:tcPr>
            <w:tcW w:w="0" w:type="auto"/>
            <w:tcBorders>
              <w:top w:val="nil"/>
              <w:left w:val="single" w:sz="4" w:space="0" w:color="auto"/>
            </w:tcBorders>
            <w:shd w:val="clear" w:color="auto" w:fill="auto"/>
            <w:noWrap/>
            <w:vAlign w:val="bottom"/>
          </w:tcPr>
          <w:p w14:paraId="17D2C94B"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0C81098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4D5669B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07234344"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6ED845B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79F8732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4B664CA6"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2E97600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004C0A0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002A1A7F"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6A472D16"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4799A0F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250A93D5" w14:textId="77777777" w:rsidTr="00B90008">
        <w:trPr>
          <w:trHeight w:val="300"/>
        </w:trPr>
        <w:tc>
          <w:tcPr>
            <w:tcW w:w="1564" w:type="dxa"/>
            <w:tcBorders>
              <w:top w:val="nil"/>
              <w:left w:val="single" w:sz="4" w:space="0" w:color="auto"/>
              <w:right w:val="single" w:sz="4" w:space="0" w:color="auto"/>
            </w:tcBorders>
            <w:shd w:val="clear" w:color="auto" w:fill="auto"/>
            <w:noWrap/>
            <w:vAlign w:val="bottom"/>
          </w:tcPr>
          <w:p w14:paraId="053D319A"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South Korea</w:t>
                </w:r>
              </w:smartTag>
            </w:smartTag>
          </w:p>
        </w:tc>
        <w:tc>
          <w:tcPr>
            <w:tcW w:w="0" w:type="auto"/>
            <w:tcBorders>
              <w:top w:val="nil"/>
              <w:left w:val="single" w:sz="4" w:space="0" w:color="auto"/>
            </w:tcBorders>
            <w:shd w:val="clear" w:color="auto" w:fill="auto"/>
            <w:noWrap/>
            <w:vAlign w:val="bottom"/>
          </w:tcPr>
          <w:p w14:paraId="17A49C84"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0" w:type="auto"/>
            <w:tcBorders>
              <w:top w:val="nil"/>
            </w:tcBorders>
            <w:shd w:val="clear" w:color="auto" w:fill="auto"/>
            <w:noWrap/>
            <w:vAlign w:val="bottom"/>
          </w:tcPr>
          <w:p w14:paraId="211536F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45E97DD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298E579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54C3CAB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7644E6E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4C5A577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40DAA20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1E870E6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3E3F9AA5"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291C8C00"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4733B098"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1842EB6D" w14:textId="77777777" w:rsidTr="00B90008">
        <w:trPr>
          <w:trHeight w:val="300"/>
        </w:trPr>
        <w:tc>
          <w:tcPr>
            <w:tcW w:w="1564" w:type="dxa"/>
            <w:tcBorders>
              <w:top w:val="nil"/>
              <w:left w:val="single" w:sz="4" w:space="0" w:color="auto"/>
              <w:right w:val="single" w:sz="4" w:space="0" w:color="auto"/>
            </w:tcBorders>
            <w:shd w:val="clear" w:color="auto" w:fill="auto"/>
            <w:noWrap/>
            <w:vAlign w:val="bottom"/>
          </w:tcPr>
          <w:p w14:paraId="21D61957"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Taiwan</w:t>
                </w:r>
              </w:smartTag>
            </w:smartTag>
          </w:p>
        </w:tc>
        <w:tc>
          <w:tcPr>
            <w:tcW w:w="0" w:type="auto"/>
            <w:tcBorders>
              <w:top w:val="nil"/>
              <w:left w:val="single" w:sz="4" w:space="0" w:color="auto"/>
            </w:tcBorders>
            <w:shd w:val="clear" w:color="auto" w:fill="auto"/>
            <w:noWrap/>
            <w:vAlign w:val="bottom"/>
          </w:tcPr>
          <w:p w14:paraId="2D96D29B"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0E1A6066"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24F0E59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48A4EF6E"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7A82286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6E55B2C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68B8DD7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17147E8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tcBorders>
            <w:shd w:val="clear" w:color="auto" w:fill="auto"/>
            <w:noWrap/>
            <w:vAlign w:val="bottom"/>
          </w:tcPr>
          <w:p w14:paraId="08472DFB"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2DBBB25A"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tcBorders>
            <w:shd w:val="clear" w:color="auto" w:fill="auto"/>
            <w:noWrap/>
            <w:vAlign w:val="bottom"/>
          </w:tcPr>
          <w:p w14:paraId="14B5FB1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right w:val="single" w:sz="4" w:space="0" w:color="auto"/>
            </w:tcBorders>
            <w:shd w:val="clear" w:color="auto" w:fill="auto"/>
            <w:noWrap/>
            <w:vAlign w:val="bottom"/>
          </w:tcPr>
          <w:p w14:paraId="246D82E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r w:rsidR="00BE49FD" w:rsidRPr="008A703F" w14:paraId="6A810744" w14:textId="77777777" w:rsidTr="00B90008">
        <w:trPr>
          <w:trHeight w:val="300"/>
        </w:trPr>
        <w:tc>
          <w:tcPr>
            <w:tcW w:w="1564" w:type="dxa"/>
            <w:tcBorders>
              <w:top w:val="nil"/>
              <w:left w:val="single" w:sz="4" w:space="0" w:color="auto"/>
              <w:bottom w:val="single" w:sz="4" w:space="0" w:color="auto"/>
              <w:right w:val="single" w:sz="4" w:space="0" w:color="auto"/>
            </w:tcBorders>
            <w:shd w:val="clear" w:color="auto" w:fill="auto"/>
            <w:noWrap/>
            <w:vAlign w:val="bottom"/>
          </w:tcPr>
          <w:p w14:paraId="5A4E6779"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sidRPr="00151295">
                  <w:rPr>
                    <w:rFonts w:ascii="Garamond" w:hAnsi="Garamond"/>
                    <w:color w:val="000000"/>
                    <w:sz w:val="24"/>
                    <w:szCs w:val="24"/>
                    <w:lang w:bidi="bn-IN"/>
                  </w:rPr>
                  <w:t>Thailand</w:t>
                </w:r>
              </w:smartTag>
            </w:smartTag>
          </w:p>
        </w:tc>
        <w:tc>
          <w:tcPr>
            <w:tcW w:w="0" w:type="auto"/>
            <w:tcBorders>
              <w:top w:val="nil"/>
              <w:left w:val="single" w:sz="4" w:space="0" w:color="auto"/>
              <w:bottom w:val="single" w:sz="4" w:space="0" w:color="auto"/>
            </w:tcBorders>
            <w:shd w:val="clear" w:color="auto" w:fill="auto"/>
            <w:noWrap/>
            <w:vAlign w:val="bottom"/>
          </w:tcPr>
          <w:p w14:paraId="0CE4739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bottom w:val="single" w:sz="4" w:space="0" w:color="auto"/>
            </w:tcBorders>
            <w:shd w:val="clear" w:color="auto" w:fill="auto"/>
            <w:noWrap/>
            <w:vAlign w:val="bottom"/>
          </w:tcPr>
          <w:p w14:paraId="3333FBAB"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bottom w:val="single" w:sz="4" w:space="0" w:color="auto"/>
            </w:tcBorders>
            <w:shd w:val="clear" w:color="auto" w:fill="auto"/>
            <w:noWrap/>
            <w:vAlign w:val="bottom"/>
          </w:tcPr>
          <w:p w14:paraId="6C4A9A5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bottom w:val="single" w:sz="4" w:space="0" w:color="auto"/>
              <w:right w:val="single" w:sz="4" w:space="0" w:color="auto"/>
            </w:tcBorders>
            <w:shd w:val="clear" w:color="auto" w:fill="auto"/>
            <w:noWrap/>
            <w:vAlign w:val="bottom"/>
          </w:tcPr>
          <w:p w14:paraId="05103043"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bottom w:val="single" w:sz="4" w:space="0" w:color="auto"/>
            </w:tcBorders>
            <w:shd w:val="clear" w:color="auto" w:fill="auto"/>
            <w:noWrap/>
            <w:vAlign w:val="bottom"/>
          </w:tcPr>
          <w:p w14:paraId="59182B6B"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bottom w:val="single" w:sz="4" w:space="0" w:color="auto"/>
            </w:tcBorders>
            <w:shd w:val="clear" w:color="auto" w:fill="auto"/>
            <w:noWrap/>
            <w:vAlign w:val="bottom"/>
          </w:tcPr>
          <w:p w14:paraId="0F4680B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bottom w:val="single" w:sz="4" w:space="0" w:color="auto"/>
            </w:tcBorders>
            <w:shd w:val="clear" w:color="auto" w:fill="auto"/>
            <w:noWrap/>
            <w:vAlign w:val="bottom"/>
          </w:tcPr>
          <w:p w14:paraId="1EC59679"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bottom w:val="single" w:sz="4" w:space="0" w:color="auto"/>
              <w:right w:val="single" w:sz="4" w:space="0" w:color="auto"/>
            </w:tcBorders>
            <w:shd w:val="clear" w:color="auto" w:fill="auto"/>
            <w:noWrap/>
            <w:vAlign w:val="bottom"/>
          </w:tcPr>
          <w:p w14:paraId="1D2A6232"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left w:val="single" w:sz="4" w:space="0" w:color="auto"/>
              <w:bottom w:val="single" w:sz="4" w:space="0" w:color="auto"/>
            </w:tcBorders>
            <w:shd w:val="clear" w:color="auto" w:fill="auto"/>
            <w:noWrap/>
            <w:vAlign w:val="bottom"/>
          </w:tcPr>
          <w:p w14:paraId="7E05E184"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bottom w:val="single" w:sz="4" w:space="0" w:color="auto"/>
            </w:tcBorders>
            <w:shd w:val="clear" w:color="auto" w:fill="auto"/>
            <w:noWrap/>
            <w:vAlign w:val="bottom"/>
          </w:tcPr>
          <w:p w14:paraId="42A97E7D"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bottom w:val="single" w:sz="4" w:space="0" w:color="auto"/>
            </w:tcBorders>
            <w:shd w:val="clear" w:color="auto" w:fill="auto"/>
            <w:noWrap/>
            <w:vAlign w:val="bottom"/>
          </w:tcPr>
          <w:p w14:paraId="7B664CDC"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c>
          <w:tcPr>
            <w:tcW w:w="0" w:type="auto"/>
            <w:tcBorders>
              <w:top w:val="nil"/>
              <w:bottom w:val="single" w:sz="4" w:space="0" w:color="auto"/>
              <w:right w:val="single" w:sz="4" w:space="0" w:color="auto"/>
            </w:tcBorders>
            <w:shd w:val="clear" w:color="auto" w:fill="auto"/>
            <w:noWrap/>
            <w:vAlign w:val="bottom"/>
          </w:tcPr>
          <w:p w14:paraId="1E9F90C1" w14:textId="77777777" w:rsidR="00BE49FD" w:rsidRPr="00151295" w:rsidRDefault="00BE49FD" w:rsidP="00B90008">
            <w:pPr>
              <w:spacing w:after="0" w:line="240" w:lineRule="auto"/>
              <w:jc w:val="center"/>
              <w:rPr>
                <w:rFonts w:ascii="Garamond" w:hAnsi="Garamond"/>
                <w:color w:val="000000"/>
                <w:sz w:val="24"/>
                <w:szCs w:val="24"/>
                <w:lang w:bidi="bn-IN"/>
              </w:rPr>
            </w:pPr>
            <w:r w:rsidRPr="00151295">
              <w:rPr>
                <w:rFonts w:ascii="Garamond" w:hAnsi="Garamond"/>
                <w:color w:val="000000"/>
                <w:sz w:val="24"/>
                <w:szCs w:val="24"/>
                <w:lang w:bidi="bn-IN"/>
              </w:rPr>
              <w:t>-</w:t>
            </w:r>
          </w:p>
        </w:tc>
      </w:tr>
    </w:tbl>
    <w:p w14:paraId="73009CA8" w14:textId="77777777" w:rsidR="00BE49FD" w:rsidRDefault="00BE49FD" w:rsidP="00BE49FD">
      <w:pPr>
        <w:tabs>
          <w:tab w:val="left" w:pos="3360"/>
        </w:tabs>
        <w:spacing w:line="240" w:lineRule="auto"/>
        <w:jc w:val="both"/>
        <w:rPr>
          <w:rFonts w:ascii="Garamond" w:hAnsi="Garamond"/>
          <w:bCs/>
        </w:rPr>
      </w:pPr>
      <w:r>
        <w:rPr>
          <w:rFonts w:ascii="Garamond" w:hAnsi="Garamond"/>
          <w:bCs/>
        </w:rPr>
        <w:t xml:space="preserve">Note: + and – are positive and negative responses </w:t>
      </w:r>
      <w:r w:rsidRPr="007B3DF2">
        <w:rPr>
          <w:rFonts w:ascii="Garamond" w:hAnsi="Garamond"/>
          <w:bCs/>
        </w:rPr>
        <w:t xml:space="preserve">of four (il)liquidity measures to a unit standard deviation innovation in the monetary policy variables. </w:t>
      </w:r>
      <w:r>
        <w:rPr>
          <w:rFonts w:ascii="Garamond" w:hAnsi="Garamond"/>
          <w:bCs/>
        </w:rPr>
        <w:t xml:space="preserve">‘ns’ </w:t>
      </w:r>
      <w:r w:rsidRPr="007B3DF2">
        <w:rPr>
          <w:rFonts w:ascii="Garamond" w:hAnsi="Garamond"/>
          <w:bCs/>
        </w:rPr>
        <w:t xml:space="preserve">indicates </w:t>
      </w:r>
      <w:r>
        <w:rPr>
          <w:rFonts w:ascii="Garamond" w:hAnsi="Garamond"/>
          <w:bCs/>
        </w:rPr>
        <w:t xml:space="preserve">no significant </w:t>
      </w:r>
      <w:r w:rsidRPr="007B3DF2">
        <w:rPr>
          <w:rFonts w:ascii="Garamond" w:hAnsi="Garamond"/>
          <w:bCs/>
        </w:rPr>
        <w:t xml:space="preserve">positive </w:t>
      </w:r>
      <w:r>
        <w:rPr>
          <w:rFonts w:ascii="Garamond" w:hAnsi="Garamond"/>
          <w:bCs/>
        </w:rPr>
        <w:t>or</w:t>
      </w:r>
      <w:r w:rsidRPr="007B3DF2">
        <w:rPr>
          <w:rFonts w:ascii="Garamond" w:hAnsi="Garamond"/>
          <w:bCs/>
        </w:rPr>
        <w:t xml:space="preserve"> negative response</w:t>
      </w:r>
      <w:r>
        <w:rPr>
          <w:rFonts w:ascii="Garamond" w:hAnsi="Garamond"/>
          <w:bCs/>
        </w:rPr>
        <w:t>.</w:t>
      </w:r>
    </w:p>
    <w:p w14:paraId="7986DAE1" w14:textId="297B27A5" w:rsidR="00BE49FD" w:rsidRDefault="00BE49FD" w:rsidP="00BE49FD">
      <w:pPr>
        <w:spacing w:line="360" w:lineRule="auto"/>
        <w:jc w:val="both"/>
        <w:rPr>
          <w:rFonts w:ascii="Garamond" w:hAnsi="Garamond"/>
          <w:sz w:val="24"/>
          <w:szCs w:val="24"/>
        </w:rPr>
      </w:pPr>
      <w:r>
        <w:rPr>
          <w:rFonts w:ascii="Garamond" w:hAnsi="Garamond"/>
          <w:sz w:val="24"/>
          <w:szCs w:val="24"/>
        </w:rPr>
        <w:t>The accumulated responses (from Group A to C) show that market liquidity increases following government expenditure and private borrowing shocks, and decrease</w:t>
      </w:r>
      <w:r w:rsidR="004346D4">
        <w:rPr>
          <w:rFonts w:ascii="Garamond" w:hAnsi="Garamond"/>
          <w:sz w:val="24"/>
          <w:szCs w:val="24"/>
        </w:rPr>
        <w:t>s</w:t>
      </w:r>
      <w:r>
        <w:rPr>
          <w:rFonts w:ascii="Garamond" w:hAnsi="Garamond"/>
          <w:sz w:val="24"/>
          <w:szCs w:val="24"/>
        </w:rPr>
        <w:t xml:space="preserve"> with government borrowing shocks. Surprisingly, some of the market</w:t>
      </w:r>
      <w:r w:rsidR="004346D4">
        <w:rPr>
          <w:rFonts w:ascii="Garamond" w:hAnsi="Garamond"/>
          <w:sz w:val="24"/>
          <w:szCs w:val="24"/>
        </w:rPr>
        <w:t>s</w:t>
      </w:r>
      <w:r>
        <w:rPr>
          <w:rFonts w:ascii="Garamond" w:hAnsi="Garamond"/>
          <w:sz w:val="24"/>
          <w:szCs w:val="24"/>
        </w:rPr>
        <w:t xml:space="preserve"> do not show the usual reaction to fiscal policy shocks, such as in Pakistan. The illiquidity ratio (i.e. turnover price impact) of this market </w:t>
      </w:r>
      <w:r>
        <w:rPr>
          <w:rFonts w:ascii="Garamond" w:hAnsi="Garamond"/>
          <w:sz w:val="24"/>
          <w:szCs w:val="24"/>
        </w:rPr>
        <w:lastRenderedPageBreak/>
        <w:t xml:space="preserve">gives a positive response to government consumption and private borrowing innovations. Furthermore, government borrowing and market liquidity ratios are positively related in both </w:t>
      </w:r>
      <w:smartTag w:uri="urn:schemas-microsoft-com:office:smarttags" w:element="country-region">
        <w:r>
          <w:rPr>
            <w:rFonts w:ascii="Garamond" w:hAnsi="Garamond"/>
            <w:sz w:val="24"/>
            <w:szCs w:val="24"/>
          </w:rPr>
          <w:t>Pakistan</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Malaysia</w:t>
          </w:r>
        </w:smartTag>
      </w:smartTag>
      <w:r>
        <w:rPr>
          <w:rFonts w:ascii="Garamond" w:hAnsi="Garamond"/>
          <w:sz w:val="24"/>
          <w:szCs w:val="24"/>
        </w:rPr>
        <w:t xml:space="preserve">. Similarly, the response of turnover price impact in </w:t>
      </w:r>
      <w:smartTag w:uri="urn:schemas-microsoft-com:office:smarttags" w:element="country-region">
        <w:r>
          <w:rPr>
            <w:rFonts w:ascii="Garamond" w:hAnsi="Garamond"/>
            <w:sz w:val="24"/>
            <w:szCs w:val="24"/>
          </w:rPr>
          <w:t>Bangladesh</w:t>
        </w:r>
      </w:smartTag>
      <w:r>
        <w:rPr>
          <w:rFonts w:ascii="Garamond" w:hAnsi="Garamond"/>
          <w:sz w:val="24"/>
          <w:szCs w:val="24"/>
        </w:rPr>
        <w:t xml:space="preserve">, </w:t>
      </w:r>
      <w:smartTag w:uri="urn:schemas-microsoft-com:office:smarttags" w:element="country-region">
        <w:r>
          <w:rPr>
            <w:rFonts w:ascii="Garamond" w:hAnsi="Garamond"/>
            <w:sz w:val="24"/>
            <w:szCs w:val="24"/>
          </w:rPr>
          <w:t>Pakistan</w:t>
        </w:r>
      </w:smartTag>
      <w:r>
        <w:rPr>
          <w:rFonts w:ascii="Garamond" w:hAnsi="Garamond"/>
          <w:sz w:val="24"/>
          <w:szCs w:val="24"/>
        </w:rPr>
        <w:t xml:space="preserve"> and </w:t>
      </w:r>
      <w:smartTag w:uri="urn:schemas-microsoft-com:office:smarttags" w:element="country-region">
        <w:r>
          <w:rPr>
            <w:rFonts w:ascii="Garamond" w:hAnsi="Garamond"/>
            <w:sz w:val="24"/>
            <w:szCs w:val="24"/>
          </w:rPr>
          <w:t>Thailand</w:t>
        </w:r>
      </w:smartTag>
      <w:r>
        <w:rPr>
          <w:rFonts w:ascii="Garamond" w:hAnsi="Garamond"/>
          <w:sz w:val="24"/>
          <w:szCs w:val="24"/>
        </w:rPr>
        <w:t xml:space="preserve">; the response of Amihud’s (2002) illiquidity in </w:t>
      </w:r>
      <w:smartTag w:uri="urn:schemas-microsoft-com:office:smarttags" w:element="country-region">
        <w:r>
          <w:rPr>
            <w:rFonts w:ascii="Garamond" w:hAnsi="Garamond"/>
            <w:sz w:val="24"/>
            <w:szCs w:val="24"/>
          </w:rPr>
          <w:t>South Korea</w:t>
        </w:r>
      </w:smartTag>
      <w:r>
        <w:rPr>
          <w:rFonts w:ascii="Garamond" w:hAnsi="Garamond"/>
          <w:sz w:val="24"/>
          <w:szCs w:val="24"/>
        </w:rPr>
        <w:t xml:space="preserve">; and the response of turnover rate in </w:t>
      </w:r>
      <w:smartTag w:uri="urn:schemas-microsoft-com:office:smarttags" w:element="country-region">
        <w:smartTag w:uri="urn:schemas-microsoft-com:office:smarttags" w:element="place">
          <w:r>
            <w:rPr>
              <w:rFonts w:ascii="Garamond" w:hAnsi="Garamond"/>
              <w:sz w:val="24"/>
              <w:szCs w:val="24"/>
            </w:rPr>
            <w:t>Thailand</w:t>
          </w:r>
        </w:smartTag>
      </w:smartTag>
      <w:r>
        <w:rPr>
          <w:rFonts w:ascii="Garamond" w:hAnsi="Garamond"/>
          <w:sz w:val="24"/>
          <w:szCs w:val="24"/>
        </w:rPr>
        <w:t xml:space="preserve"> are positive. Other than these, most of our impulse response signs (i.e. eighty signs out of ninety six) are found as expected and explained in theory. </w:t>
      </w:r>
      <w:r w:rsidRPr="00882AFB">
        <w:rPr>
          <w:rFonts w:ascii="Garamond" w:hAnsi="Garamond"/>
          <w:sz w:val="24"/>
          <w:szCs w:val="24"/>
        </w:rPr>
        <w:t xml:space="preserve">In particular, trading volume and turnover </w:t>
      </w:r>
      <w:r>
        <w:rPr>
          <w:rFonts w:ascii="Garamond" w:hAnsi="Garamond"/>
          <w:sz w:val="24"/>
          <w:szCs w:val="24"/>
        </w:rPr>
        <w:t xml:space="preserve">rate increases over the 12 month period due to any changes in government expenditure or private borrowing. The influence is strongly more positive for private borrowing than government expenditure on illiquidity ratios in </w:t>
      </w:r>
      <w:smartTag w:uri="urn:schemas-microsoft-com:office:smarttags" w:element="country-region">
        <w:r>
          <w:rPr>
            <w:rFonts w:ascii="Garamond" w:hAnsi="Garamond"/>
            <w:sz w:val="24"/>
            <w:szCs w:val="24"/>
          </w:rPr>
          <w:t>India</w:t>
        </w:r>
      </w:smartTag>
      <w:r>
        <w:rPr>
          <w:rFonts w:ascii="Garamond" w:hAnsi="Garamond"/>
          <w:sz w:val="24"/>
          <w:szCs w:val="24"/>
        </w:rPr>
        <w:t xml:space="preserve">, </w:t>
      </w:r>
      <w:smartTag w:uri="urn:schemas-microsoft-com:office:smarttags" w:element="country-region">
        <w:r>
          <w:rPr>
            <w:rFonts w:ascii="Garamond" w:hAnsi="Garamond"/>
            <w:sz w:val="24"/>
            <w:szCs w:val="24"/>
          </w:rPr>
          <w:t>Malaysia</w:t>
        </w:r>
      </w:smartTag>
      <w:r>
        <w:rPr>
          <w:rFonts w:ascii="Garamond" w:hAnsi="Garamond"/>
          <w:sz w:val="24"/>
          <w:szCs w:val="24"/>
        </w:rPr>
        <w:t xml:space="preserve">, </w:t>
      </w:r>
      <w:smartTag w:uri="urn:schemas-microsoft-com:office:smarttags" w:element="country-region">
        <w:r>
          <w:rPr>
            <w:rFonts w:ascii="Garamond" w:hAnsi="Garamond"/>
            <w:sz w:val="24"/>
            <w:szCs w:val="24"/>
          </w:rPr>
          <w:t>Pakistan</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Thailand</w:t>
          </w:r>
        </w:smartTag>
      </w:smartTag>
      <w:r>
        <w:rPr>
          <w:rFonts w:ascii="Garamond" w:hAnsi="Garamond"/>
          <w:sz w:val="24"/>
          <w:szCs w:val="24"/>
        </w:rPr>
        <w:t xml:space="preserve">. On the contrary, trading volume more significantly increases due to any shocks from government expenditure than private borrowing in </w:t>
      </w:r>
      <w:smartTag w:uri="urn:schemas-microsoft-com:office:smarttags" w:element="country-region">
        <w:r>
          <w:rPr>
            <w:rFonts w:ascii="Garamond" w:hAnsi="Garamond"/>
            <w:sz w:val="24"/>
            <w:szCs w:val="24"/>
          </w:rPr>
          <w:t>Bangladesh</w:t>
        </w:r>
      </w:smartTag>
      <w:r>
        <w:rPr>
          <w:rFonts w:ascii="Garamond" w:hAnsi="Garamond"/>
          <w:sz w:val="24"/>
          <w:szCs w:val="24"/>
        </w:rPr>
        <w:t xml:space="preserve">, </w:t>
      </w:r>
      <w:smartTag w:uri="urn:schemas-microsoft-com:office:smarttags" w:element="country-region">
        <w:r>
          <w:rPr>
            <w:rFonts w:ascii="Garamond" w:hAnsi="Garamond"/>
            <w:sz w:val="24"/>
            <w:szCs w:val="24"/>
          </w:rPr>
          <w:t>Indonesia</w:t>
        </w:r>
      </w:smartTag>
      <w:r>
        <w:rPr>
          <w:rFonts w:ascii="Garamond" w:hAnsi="Garamond"/>
          <w:sz w:val="24"/>
          <w:szCs w:val="24"/>
        </w:rPr>
        <w:t xml:space="preserve">, </w:t>
      </w:r>
      <w:smartTag w:uri="urn:schemas-microsoft-com:office:smarttags" w:element="country-region">
        <w:r>
          <w:rPr>
            <w:rFonts w:ascii="Garamond" w:hAnsi="Garamond"/>
            <w:sz w:val="24"/>
            <w:szCs w:val="24"/>
          </w:rPr>
          <w:t>South Korea</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Taiwan</w:t>
          </w:r>
        </w:smartTag>
      </w:smartTag>
      <w:r>
        <w:rPr>
          <w:rFonts w:ascii="Garamond" w:hAnsi="Garamond"/>
          <w:sz w:val="24"/>
          <w:szCs w:val="24"/>
        </w:rPr>
        <w:t xml:space="preserve">. Therefore, </w:t>
      </w:r>
      <w:r w:rsidR="004346D4">
        <w:rPr>
          <w:rFonts w:ascii="Garamond" w:hAnsi="Garamond"/>
          <w:sz w:val="24"/>
          <w:szCs w:val="24"/>
        </w:rPr>
        <w:t>all together</w:t>
      </w:r>
      <w:r>
        <w:rPr>
          <w:rFonts w:ascii="Garamond" w:hAnsi="Garamond"/>
          <w:sz w:val="24"/>
          <w:szCs w:val="24"/>
        </w:rPr>
        <w:t xml:space="preserve">, we can </w:t>
      </w:r>
      <w:r w:rsidR="004346D4">
        <w:rPr>
          <w:rFonts w:ascii="Garamond" w:hAnsi="Garamond"/>
          <w:sz w:val="24"/>
          <w:szCs w:val="24"/>
        </w:rPr>
        <w:t xml:space="preserve">state </w:t>
      </w:r>
      <w:r>
        <w:rPr>
          <w:rFonts w:ascii="Garamond" w:hAnsi="Garamond"/>
          <w:sz w:val="24"/>
          <w:szCs w:val="24"/>
        </w:rPr>
        <w:t>that expansionary (contractionary) fiscal policy increases (decreases) the market liquidity of the Asian equity markets. In this vein, it is documented in earlier literature that fiscal shocks or a large budgetary stimulus can facilitate access to credit for the private sector (see Blanchard, 2009; Gagnon and Gimet, 2013) and this credit could channel to the stock market to boost liquidity.</w:t>
      </w:r>
    </w:p>
    <w:p w14:paraId="4587E1B3" w14:textId="425B8E1C" w:rsidR="00BE49FD" w:rsidRPr="002405FC" w:rsidRDefault="00BE49FD" w:rsidP="00BE49FD">
      <w:pPr>
        <w:spacing w:line="360" w:lineRule="auto"/>
        <w:jc w:val="both"/>
        <w:rPr>
          <w:rFonts w:ascii="Garamond" w:hAnsi="Garamond"/>
          <w:sz w:val="24"/>
          <w:szCs w:val="24"/>
        </w:rPr>
      </w:pPr>
      <w:r>
        <w:rPr>
          <w:rFonts w:ascii="Garamond" w:hAnsi="Garamond"/>
          <w:sz w:val="24"/>
          <w:szCs w:val="24"/>
        </w:rPr>
        <w:t xml:space="preserve">On the other hand, as expected, government borrowing significantly influences Amihud’s (2002) illiquidity ratio and turnover price impact (see Group B in Table 5). In addition, signs of impulse response functions show that government borrowing reduces the liquidity related ratios except in Malaysia and Pakistan (however, turnover price impact ratio increases with government borrowing). Combined, these results support a ‘crowding out’ effect in this economy created by the government and thus business firms suffer from a lack of credit opportunity. Interestingly, we also find a strong effect of government expenditure and private borrowing on illiquidity measures of </w:t>
      </w:r>
      <w:smartTag w:uri="urn:schemas-microsoft-com:office:smarttags" w:element="country-region">
        <w:r>
          <w:rPr>
            <w:rFonts w:ascii="Garamond" w:hAnsi="Garamond"/>
            <w:sz w:val="24"/>
            <w:szCs w:val="24"/>
          </w:rPr>
          <w:t>India</w:t>
        </w:r>
      </w:smartTag>
      <w:r>
        <w:rPr>
          <w:rFonts w:ascii="Garamond" w:hAnsi="Garamond"/>
          <w:sz w:val="24"/>
          <w:szCs w:val="24"/>
        </w:rPr>
        <w:t xml:space="preserve">, </w:t>
      </w:r>
      <w:smartTag w:uri="urn:schemas-microsoft-com:office:smarttags" w:element="country-region">
        <w:r>
          <w:rPr>
            <w:rFonts w:ascii="Garamond" w:hAnsi="Garamond"/>
            <w:sz w:val="24"/>
            <w:szCs w:val="24"/>
          </w:rPr>
          <w:t>South Korea</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Thailand</w:t>
          </w:r>
        </w:smartTag>
      </w:smartTag>
      <w:r>
        <w:rPr>
          <w:rFonts w:ascii="Garamond" w:hAnsi="Garamond"/>
          <w:sz w:val="24"/>
          <w:szCs w:val="24"/>
        </w:rPr>
        <w:t xml:space="preserve">. </w:t>
      </w:r>
    </w:p>
    <w:p w14:paraId="08EA6287" w14:textId="23886374" w:rsidR="00BE49FD" w:rsidRDefault="00BE49FD" w:rsidP="00BE49FD">
      <w:pPr>
        <w:spacing w:line="360" w:lineRule="auto"/>
        <w:jc w:val="both"/>
        <w:rPr>
          <w:rFonts w:ascii="Garamond" w:hAnsi="Garamond"/>
          <w:sz w:val="24"/>
          <w:szCs w:val="24"/>
        </w:rPr>
      </w:pPr>
      <w:r>
        <w:rPr>
          <w:rFonts w:ascii="Garamond" w:hAnsi="Garamond"/>
          <w:sz w:val="24"/>
          <w:szCs w:val="24"/>
        </w:rPr>
        <w:t xml:space="preserve">In line with monetary policy and the arguments of earlier papers, we estimate the variance decomposition of liquidity measures associated with fiscal policy variables (not reported but available on request). We can make several conclusions from these results. First, government expenditure and private borrowing have greater power than government borrowing to explain the variation in liquidity and illiquidity. For example, government expenditure (private borrowing) can explain up to 12 (10) percent of the variance in turnover rate and up to 15 (12) percent in trading volume. Government borrowing, on the other hand, can contribute around 8 percent of information to Amihud’s (2002) illiquidity ratio and around 6 percent of information to the turnover price impact of Florackis et al. (2011). Second, at </w:t>
      </w:r>
      <w:r w:rsidR="004346D4">
        <w:rPr>
          <w:rFonts w:ascii="Garamond" w:hAnsi="Garamond"/>
          <w:sz w:val="24"/>
          <w:szCs w:val="24"/>
        </w:rPr>
        <w:t xml:space="preserve">a </w:t>
      </w:r>
      <w:r>
        <w:rPr>
          <w:rFonts w:ascii="Garamond" w:hAnsi="Garamond"/>
          <w:sz w:val="24"/>
          <w:szCs w:val="24"/>
        </w:rPr>
        <w:t xml:space="preserve">short horizon private </w:t>
      </w:r>
      <w:r>
        <w:rPr>
          <w:rFonts w:ascii="Garamond" w:hAnsi="Garamond"/>
          <w:sz w:val="24"/>
          <w:szCs w:val="24"/>
        </w:rPr>
        <w:lastRenderedPageBreak/>
        <w:t>borrowing significantly in</w:t>
      </w:r>
      <w:r w:rsidR="004346D4">
        <w:rPr>
          <w:rFonts w:ascii="Garamond" w:hAnsi="Garamond"/>
          <w:sz w:val="24"/>
          <w:szCs w:val="24"/>
        </w:rPr>
        <w:t xml:space="preserve">creases </w:t>
      </w:r>
      <w:r>
        <w:rPr>
          <w:rFonts w:ascii="Garamond" w:hAnsi="Garamond"/>
          <w:sz w:val="24"/>
          <w:szCs w:val="24"/>
        </w:rPr>
        <w:t xml:space="preserve">market liquidity </w:t>
      </w:r>
      <w:r w:rsidR="004346D4">
        <w:rPr>
          <w:rFonts w:ascii="Garamond" w:hAnsi="Garamond"/>
          <w:sz w:val="24"/>
          <w:szCs w:val="24"/>
        </w:rPr>
        <w:t xml:space="preserve">by </w:t>
      </w:r>
      <w:r>
        <w:rPr>
          <w:rFonts w:ascii="Garamond" w:hAnsi="Garamond"/>
          <w:sz w:val="24"/>
          <w:szCs w:val="24"/>
        </w:rPr>
        <w:t xml:space="preserve">up to 10 percent, however, </w:t>
      </w:r>
      <w:r w:rsidR="004346D4">
        <w:rPr>
          <w:rFonts w:ascii="Garamond" w:hAnsi="Garamond"/>
          <w:sz w:val="24"/>
          <w:szCs w:val="24"/>
        </w:rPr>
        <w:t>i</w:t>
      </w:r>
      <w:r>
        <w:rPr>
          <w:rFonts w:ascii="Garamond" w:hAnsi="Garamond"/>
          <w:sz w:val="24"/>
          <w:szCs w:val="24"/>
        </w:rPr>
        <w:t xml:space="preserve">t stabilizes after six months. Third, for most markets, </w:t>
      </w:r>
      <w:r w:rsidR="004346D4">
        <w:rPr>
          <w:rFonts w:ascii="Garamond" w:hAnsi="Garamond"/>
          <w:sz w:val="24"/>
          <w:szCs w:val="24"/>
        </w:rPr>
        <w:t xml:space="preserve">the </w:t>
      </w:r>
      <w:r>
        <w:rPr>
          <w:rFonts w:ascii="Garamond" w:hAnsi="Garamond"/>
          <w:sz w:val="24"/>
          <w:szCs w:val="24"/>
        </w:rPr>
        <w:t xml:space="preserve">percentages explained by fiscal policy measures stabilize after 3 to 6 month periods. Fourth, the effect of fiscal policy is comparable to or even larger than other macroeconomic variables, such as industrial production and inflation rate. However, own-market returns and standard deviation are often important factors for explaining the liquidity variances. Fifth, for some markets, such as </w:t>
      </w:r>
      <w:smartTag w:uri="urn:schemas-microsoft-com:office:smarttags" w:element="place">
        <w:smartTag w:uri="urn:schemas-microsoft-com:office:smarttags" w:element="country-region">
          <w:r>
            <w:rPr>
              <w:rFonts w:ascii="Garamond" w:hAnsi="Garamond"/>
              <w:sz w:val="24"/>
              <w:szCs w:val="24"/>
            </w:rPr>
            <w:t>Bangladesh</w:t>
          </w:r>
        </w:smartTag>
      </w:smartTag>
      <w:r>
        <w:rPr>
          <w:rFonts w:ascii="Garamond" w:hAnsi="Garamond"/>
          <w:sz w:val="24"/>
          <w:szCs w:val="24"/>
        </w:rPr>
        <w:t xml:space="preserve">, government borrowing is a significant determinant of market (il)liquidity. Finally, the amount of information contributed by fiscal policy in liquidity variance is higher than the monetary policy variables for some countries, such as </w:t>
      </w:r>
      <w:smartTag w:uri="urn:schemas-microsoft-com:office:smarttags" w:element="country-region">
        <w:r>
          <w:rPr>
            <w:rFonts w:ascii="Garamond" w:hAnsi="Garamond"/>
            <w:sz w:val="24"/>
            <w:szCs w:val="24"/>
          </w:rPr>
          <w:t>Bangladesh</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Pakistan</w:t>
          </w:r>
        </w:smartTag>
      </w:smartTag>
      <w:r>
        <w:rPr>
          <w:rFonts w:ascii="Garamond" w:hAnsi="Garamond"/>
          <w:sz w:val="24"/>
          <w:szCs w:val="24"/>
        </w:rPr>
        <w:t>.</w:t>
      </w:r>
    </w:p>
    <w:p w14:paraId="22D287FF" w14:textId="642E2F19" w:rsidR="00BE49FD" w:rsidRDefault="00BE49FD" w:rsidP="00BE49FD">
      <w:pPr>
        <w:spacing w:line="360" w:lineRule="auto"/>
        <w:jc w:val="both"/>
        <w:rPr>
          <w:rFonts w:ascii="Garamond" w:hAnsi="Garamond"/>
          <w:sz w:val="24"/>
          <w:szCs w:val="24"/>
        </w:rPr>
      </w:pPr>
      <w:r>
        <w:rPr>
          <w:rFonts w:ascii="Garamond" w:hAnsi="Garamond"/>
          <w:sz w:val="24"/>
          <w:szCs w:val="24"/>
        </w:rPr>
        <w:t>Interestingly, it is documented from the results of impulse responses and variance decomposition that the liquidity measures of Asian stock markets are not only influenced by monetary policy but fiscal policy variables also have significant effect. Nevertheless, there is little empirical evidence available in this area of fiscal policy except Gagnon and Gimet (2013). In their paper, Gagnon and Gimet (2013) report</w:t>
      </w:r>
      <w:r w:rsidR="004346D4">
        <w:rPr>
          <w:rFonts w:ascii="Garamond" w:hAnsi="Garamond"/>
          <w:sz w:val="24"/>
          <w:szCs w:val="24"/>
        </w:rPr>
        <w:t xml:space="preserve"> that</w:t>
      </w:r>
      <w:r>
        <w:rPr>
          <w:rFonts w:ascii="Garamond" w:hAnsi="Garamond"/>
          <w:sz w:val="24"/>
          <w:szCs w:val="24"/>
        </w:rPr>
        <w:t xml:space="preserve"> government spending has a positive impact on credit and consumption. Earlier studies, e.g. Spilimbergo et al. (2009), Blanchard et al. (2010), and Eggertsson and Krugman (2012) support this idea and suggest that tax breaks, fiscal stimulus and expansionary fiscal policy can increase firms’ and investors’ access to credit. In particular, Spilimbergo et al. (2009) assert that tax breaks can strengthen consumers’ and companies’ financial health, which would in turn increase their access to credit and thus enhance market liquidity.</w:t>
      </w:r>
    </w:p>
    <w:p w14:paraId="01B808E6" w14:textId="104E7D01" w:rsidR="00BE49FD" w:rsidRPr="00383AFD" w:rsidRDefault="00BE49FD" w:rsidP="00BE49FD">
      <w:pPr>
        <w:spacing w:line="360" w:lineRule="auto"/>
        <w:jc w:val="both"/>
        <w:rPr>
          <w:rFonts w:ascii="Garamond" w:hAnsi="Garamond"/>
          <w:sz w:val="24"/>
          <w:szCs w:val="24"/>
        </w:rPr>
      </w:pPr>
      <w:r>
        <w:rPr>
          <w:rFonts w:ascii="Garamond" w:hAnsi="Garamond"/>
          <w:sz w:val="24"/>
          <w:szCs w:val="24"/>
        </w:rPr>
        <w:t xml:space="preserve">Beside this limited empirical documentation on the influence of </w:t>
      </w:r>
      <w:r w:rsidR="004346D4">
        <w:rPr>
          <w:rFonts w:ascii="Garamond" w:hAnsi="Garamond"/>
          <w:sz w:val="24"/>
          <w:szCs w:val="24"/>
        </w:rPr>
        <w:t xml:space="preserve">fiscal measures on </w:t>
      </w:r>
      <w:r>
        <w:rPr>
          <w:rFonts w:ascii="Garamond" w:hAnsi="Garamond"/>
          <w:sz w:val="24"/>
          <w:szCs w:val="24"/>
        </w:rPr>
        <w:t xml:space="preserve">liquidity, there is much evidence available on the connection between fiscal policy and other characteristics of financial markets from both developed and emerging economies. For example, Darrat (1988) finds that fiscal deficit exerts a highly significant negative impact on the current stock market of </w:t>
      </w:r>
      <w:smartTag w:uri="urn:schemas-microsoft-com:office:smarttags" w:element="country-region">
        <w:smartTag w:uri="urn:schemas-microsoft-com:office:smarttags" w:element="place">
          <w:r>
            <w:rPr>
              <w:rFonts w:ascii="Garamond" w:hAnsi="Garamond"/>
              <w:sz w:val="24"/>
              <w:szCs w:val="24"/>
            </w:rPr>
            <w:t>Canada</w:t>
          </w:r>
        </w:smartTag>
      </w:smartTag>
      <w:r>
        <w:rPr>
          <w:rFonts w:ascii="Garamond" w:hAnsi="Garamond"/>
          <w:sz w:val="24"/>
          <w:szCs w:val="24"/>
        </w:rPr>
        <w:t>. Using a panel of OECD countries, Ardagna (2009) reports that fiscal adjustments based on expenditure reductions are related to an increase in stock market price</w:t>
      </w:r>
      <w:r w:rsidR="004346D4">
        <w:rPr>
          <w:rFonts w:ascii="Garamond" w:hAnsi="Garamond"/>
          <w:sz w:val="24"/>
          <w:szCs w:val="24"/>
        </w:rPr>
        <w:t>s</w:t>
      </w:r>
      <w:r>
        <w:rPr>
          <w:rFonts w:ascii="Garamond" w:hAnsi="Garamond"/>
          <w:sz w:val="24"/>
          <w:szCs w:val="24"/>
        </w:rPr>
        <w:t>. Montes and Tiberto (2012) provide evidence from Brazil suggest</w:t>
      </w:r>
      <w:r w:rsidR="004346D4">
        <w:rPr>
          <w:rFonts w:ascii="Garamond" w:hAnsi="Garamond"/>
          <w:sz w:val="24"/>
          <w:szCs w:val="24"/>
        </w:rPr>
        <w:t>ing</w:t>
      </w:r>
      <w:r>
        <w:rPr>
          <w:rFonts w:ascii="Garamond" w:hAnsi="Garamond"/>
          <w:sz w:val="24"/>
          <w:szCs w:val="24"/>
        </w:rPr>
        <w:t xml:space="preserve"> that the efforts of both fiscal and monetary authorities have been essential for macroeconomic stability</w:t>
      </w:r>
      <w:r w:rsidR="004346D4">
        <w:rPr>
          <w:rFonts w:ascii="Garamond" w:hAnsi="Garamond"/>
          <w:sz w:val="24"/>
          <w:szCs w:val="24"/>
        </w:rPr>
        <w:t>,</w:t>
      </w:r>
      <w:r>
        <w:rPr>
          <w:rFonts w:ascii="Garamond" w:hAnsi="Garamond"/>
          <w:sz w:val="24"/>
          <w:szCs w:val="24"/>
        </w:rPr>
        <w:t xml:space="preserve"> and thus to stimulate the stock market. Similarly, from a multi-country data set Chatziantoniou et al. (2013) report that both fiscal and monetary policies influence the stock market, via direct or indirect channels. Recently, Belo et al. (2013) claim government spending has an impact on expected firm cash flows. In addition, uncertainty about the impact of government policies can affect the rate at which future cash flows are discounted. </w:t>
      </w:r>
      <w:r w:rsidRPr="00383AFD">
        <w:rPr>
          <w:rFonts w:ascii="Garamond" w:hAnsi="Garamond"/>
          <w:sz w:val="24"/>
          <w:szCs w:val="24"/>
        </w:rPr>
        <w:t>Pástor and Veronesi (2012) comment</w:t>
      </w:r>
      <w:r w:rsidR="004346D4">
        <w:rPr>
          <w:rFonts w:ascii="Garamond" w:hAnsi="Garamond"/>
          <w:sz w:val="24"/>
          <w:szCs w:val="24"/>
        </w:rPr>
        <w:t xml:space="preserve"> that</w:t>
      </w:r>
      <w:r w:rsidRPr="00383AFD">
        <w:rPr>
          <w:rFonts w:ascii="Garamond" w:hAnsi="Garamond"/>
          <w:sz w:val="24"/>
          <w:szCs w:val="24"/>
        </w:rPr>
        <w:t xml:space="preserve"> </w:t>
      </w:r>
      <w:r w:rsidRPr="00383AFD">
        <w:rPr>
          <w:rFonts w:ascii="Garamond" w:hAnsi="Garamond"/>
          <w:sz w:val="24"/>
          <w:szCs w:val="24"/>
        </w:rPr>
        <w:lastRenderedPageBreak/>
        <w:t>government</w:t>
      </w:r>
      <w:r>
        <w:rPr>
          <w:rFonts w:ascii="Garamond" w:hAnsi="Garamond"/>
          <w:sz w:val="24"/>
          <w:szCs w:val="24"/>
        </w:rPr>
        <w:t>s</w:t>
      </w:r>
      <w:r w:rsidRPr="00383AFD">
        <w:rPr>
          <w:rFonts w:ascii="Garamond" w:hAnsi="Garamond"/>
          <w:sz w:val="24"/>
          <w:szCs w:val="24"/>
        </w:rPr>
        <w:t xml:space="preserve"> shape the environment in which the private sector operates and </w:t>
      </w:r>
      <w:r>
        <w:rPr>
          <w:rFonts w:ascii="Garamond" w:hAnsi="Garamond"/>
          <w:sz w:val="24"/>
          <w:szCs w:val="24"/>
        </w:rPr>
        <w:t>stock prices should fall on the announcement of policy changes, on average.</w:t>
      </w:r>
    </w:p>
    <w:p w14:paraId="0C3A0912" w14:textId="2E1E37D3" w:rsidR="00BE49FD" w:rsidRDefault="00BE49FD" w:rsidP="00BE49FD">
      <w:pPr>
        <w:spacing w:line="360" w:lineRule="auto"/>
        <w:jc w:val="both"/>
        <w:rPr>
          <w:rFonts w:ascii="Garamond" w:hAnsi="Garamond"/>
          <w:sz w:val="24"/>
          <w:szCs w:val="24"/>
        </w:rPr>
      </w:pPr>
      <w:r>
        <w:rPr>
          <w:rFonts w:ascii="Garamond" w:hAnsi="Garamond"/>
          <w:sz w:val="24"/>
          <w:szCs w:val="24"/>
        </w:rPr>
        <w:t>Sometime</w:t>
      </w:r>
      <w:r w:rsidR="004346D4">
        <w:rPr>
          <w:rFonts w:ascii="Garamond" w:hAnsi="Garamond"/>
          <w:sz w:val="24"/>
          <w:szCs w:val="24"/>
        </w:rPr>
        <w:t>s</w:t>
      </w:r>
      <w:r>
        <w:rPr>
          <w:rFonts w:ascii="Garamond" w:hAnsi="Garamond"/>
          <w:sz w:val="24"/>
          <w:szCs w:val="24"/>
        </w:rPr>
        <w:t xml:space="preserve"> the impact of monetary policy depends on fiscal policy, e.g. Jansen et al. (2008) maintain that the effect of monetary policy on the stock market varies, depending on the fiscal policy stance. Moreover, when the equity market is influenced by both policies, as happens in most of our sample Asian markets, the direction of final interaction between these two variables is important. This is because when the central bank formulates disinflationary policies while the government is engaged in expansionary strategies then the ultimate outcome will deviate significantly from the desired objective (see Dixit and Lambertini, 2003). For investors our findings have significant implications. They have to understand the interaction between macroeconomic variables and the characteristics of a stock market while making their investment decisions. More specifically, they should consider the cyclic association between fiscal and monetary policy rather than the isolated impact on the stock market.  </w:t>
      </w:r>
    </w:p>
    <w:p w14:paraId="297A9CC8" w14:textId="4514196D" w:rsidR="00BE49FD" w:rsidRPr="00A14352" w:rsidRDefault="00BE49FD" w:rsidP="00BE49FD">
      <w:pPr>
        <w:pStyle w:val="Heading3"/>
        <w:spacing w:after="200" w:line="360" w:lineRule="auto"/>
        <w:ind w:firstLine="720"/>
        <w:rPr>
          <w:rFonts w:ascii="Garamond" w:hAnsi="Garamond"/>
          <w:color w:val="auto"/>
          <w:sz w:val="24"/>
          <w:szCs w:val="24"/>
        </w:rPr>
      </w:pPr>
      <w:bookmarkStart w:id="14" w:name="_Toc399683682"/>
      <w:r>
        <w:rPr>
          <w:rFonts w:ascii="Garamond" w:hAnsi="Garamond"/>
          <w:color w:val="auto"/>
          <w:sz w:val="24"/>
          <w:szCs w:val="24"/>
        </w:rPr>
        <w:t>3</w:t>
      </w:r>
      <w:r w:rsidRPr="00A14352">
        <w:rPr>
          <w:rFonts w:ascii="Garamond" w:hAnsi="Garamond"/>
          <w:color w:val="auto"/>
          <w:sz w:val="24"/>
          <w:szCs w:val="24"/>
        </w:rPr>
        <w:t xml:space="preserve">.2.3 The </w:t>
      </w:r>
      <w:r w:rsidR="00B90008">
        <w:rPr>
          <w:rFonts w:ascii="Garamond" w:hAnsi="Garamond"/>
          <w:color w:val="auto"/>
          <w:sz w:val="24"/>
          <w:szCs w:val="24"/>
        </w:rPr>
        <w:t>i</w:t>
      </w:r>
      <w:r w:rsidRPr="00A14352">
        <w:rPr>
          <w:rFonts w:ascii="Garamond" w:hAnsi="Garamond"/>
          <w:color w:val="auto"/>
          <w:sz w:val="24"/>
          <w:szCs w:val="24"/>
        </w:rPr>
        <w:t xml:space="preserve">mpact of </w:t>
      </w:r>
      <w:r w:rsidR="00B90008">
        <w:rPr>
          <w:rFonts w:ascii="Garamond" w:hAnsi="Garamond"/>
          <w:color w:val="auto"/>
          <w:sz w:val="24"/>
          <w:szCs w:val="24"/>
        </w:rPr>
        <w:t xml:space="preserve">the 2007-8 </w:t>
      </w:r>
      <w:r w:rsidRPr="00A14352">
        <w:rPr>
          <w:rFonts w:ascii="Garamond" w:hAnsi="Garamond"/>
          <w:color w:val="auto"/>
          <w:sz w:val="24"/>
          <w:szCs w:val="24"/>
        </w:rPr>
        <w:t>financial crisis</w:t>
      </w:r>
      <w:bookmarkEnd w:id="14"/>
    </w:p>
    <w:p w14:paraId="5FDD79B0" w14:textId="7C13F233" w:rsidR="00BE49FD" w:rsidRDefault="00BE49FD" w:rsidP="00BE49FD">
      <w:pPr>
        <w:spacing w:line="360" w:lineRule="auto"/>
        <w:jc w:val="both"/>
        <w:rPr>
          <w:rFonts w:ascii="Garamond" w:hAnsi="Garamond"/>
          <w:sz w:val="24"/>
          <w:szCs w:val="24"/>
        </w:rPr>
      </w:pPr>
      <w:r w:rsidRPr="00200A1D">
        <w:rPr>
          <w:rFonts w:ascii="Garamond" w:hAnsi="Garamond"/>
          <w:sz w:val="24"/>
          <w:szCs w:val="24"/>
        </w:rPr>
        <w:t xml:space="preserve">It is documented in earlier literature that </w:t>
      </w:r>
      <w:r>
        <w:rPr>
          <w:rFonts w:ascii="Garamond" w:hAnsi="Garamond"/>
          <w:sz w:val="24"/>
          <w:szCs w:val="24"/>
        </w:rPr>
        <w:t>during</w:t>
      </w:r>
      <w:r w:rsidRPr="00200A1D">
        <w:rPr>
          <w:rFonts w:ascii="Garamond" w:hAnsi="Garamond"/>
          <w:sz w:val="24"/>
          <w:szCs w:val="24"/>
        </w:rPr>
        <w:t xml:space="preserve"> </w:t>
      </w:r>
      <w:r>
        <w:rPr>
          <w:rFonts w:ascii="Garamond" w:hAnsi="Garamond"/>
          <w:sz w:val="24"/>
          <w:szCs w:val="24"/>
        </w:rPr>
        <w:t xml:space="preserve">a </w:t>
      </w:r>
      <w:r w:rsidRPr="00200A1D">
        <w:rPr>
          <w:rFonts w:ascii="Garamond" w:hAnsi="Garamond"/>
          <w:sz w:val="24"/>
          <w:szCs w:val="24"/>
        </w:rPr>
        <w:t>financial crisis market conditions can be severe and liquidity can decline or even disappear</w:t>
      </w:r>
      <w:r w:rsidR="004346D4">
        <w:rPr>
          <w:rFonts w:ascii="Garamond" w:hAnsi="Garamond"/>
          <w:sz w:val="24"/>
          <w:szCs w:val="24"/>
        </w:rPr>
        <w:t>. As</w:t>
      </w:r>
      <w:r w:rsidRPr="00200A1D">
        <w:rPr>
          <w:rFonts w:ascii="Garamond" w:hAnsi="Garamond"/>
          <w:sz w:val="24"/>
          <w:szCs w:val="24"/>
        </w:rPr>
        <w:t xml:space="preserve"> Chordia et al.</w:t>
      </w:r>
      <w:r w:rsidR="004346D4">
        <w:rPr>
          <w:rFonts w:ascii="Garamond" w:hAnsi="Garamond"/>
          <w:sz w:val="24"/>
          <w:szCs w:val="24"/>
        </w:rPr>
        <w:t xml:space="preserve"> (</w:t>
      </w:r>
      <w:r w:rsidRPr="00200A1D">
        <w:rPr>
          <w:rFonts w:ascii="Garamond" w:hAnsi="Garamond"/>
          <w:sz w:val="24"/>
          <w:szCs w:val="24"/>
        </w:rPr>
        <w:t>2005)</w:t>
      </w:r>
      <w:r w:rsidR="004346D4">
        <w:rPr>
          <w:rFonts w:ascii="Garamond" w:hAnsi="Garamond"/>
          <w:sz w:val="24"/>
          <w:szCs w:val="24"/>
        </w:rPr>
        <w:t xml:space="preserve"> suggest,</w:t>
      </w:r>
      <w:r>
        <w:rPr>
          <w:rFonts w:ascii="Garamond" w:hAnsi="Garamond"/>
          <w:sz w:val="24"/>
          <w:szCs w:val="24"/>
        </w:rPr>
        <w:t xml:space="preserve"> such liquidity shocks are a potential channel through which asset prices are influenced by liquidity. In this vein, </w:t>
      </w:r>
      <w:r w:rsidRPr="00B90008">
        <w:rPr>
          <w:rStyle w:val="HTMLCite"/>
          <w:rFonts w:ascii="Garamond" w:hAnsi="Garamond"/>
          <w:i w:val="0"/>
          <w:sz w:val="24"/>
          <w:szCs w:val="24"/>
        </w:rPr>
        <w:t>Næs</w:t>
      </w:r>
      <w:r w:rsidRPr="004A5EFD">
        <w:rPr>
          <w:rFonts w:ascii="Garamond" w:hAnsi="Garamond"/>
          <w:sz w:val="24"/>
          <w:szCs w:val="24"/>
        </w:rPr>
        <w:t xml:space="preserve"> et al. </w:t>
      </w:r>
      <w:r>
        <w:rPr>
          <w:rFonts w:ascii="Garamond" w:hAnsi="Garamond"/>
          <w:sz w:val="24"/>
          <w:szCs w:val="24"/>
        </w:rPr>
        <w:t>(</w:t>
      </w:r>
      <w:r w:rsidRPr="004A5EFD">
        <w:rPr>
          <w:rFonts w:ascii="Garamond" w:hAnsi="Garamond"/>
          <w:sz w:val="24"/>
          <w:szCs w:val="24"/>
        </w:rPr>
        <w:t>2011</w:t>
      </w:r>
      <w:r>
        <w:rPr>
          <w:rFonts w:ascii="Garamond" w:hAnsi="Garamond"/>
          <w:sz w:val="24"/>
          <w:szCs w:val="24"/>
        </w:rPr>
        <w:t>) mention a possible causal link between a decline in the liquidity of financial assets and economic crises. Many other empirical papers, such as Amihud et al. (1990), Liu (2006), Brunnermeier and Pedersen (2009),</w:t>
      </w:r>
      <w:r w:rsidRPr="00334440">
        <w:rPr>
          <w:rFonts w:ascii="Garamond" w:hAnsi="Garamond"/>
          <w:sz w:val="24"/>
          <w:szCs w:val="24"/>
        </w:rPr>
        <w:t xml:space="preserve"> Rösch</w:t>
      </w:r>
      <w:r>
        <w:rPr>
          <w:rFonts w:ascii="Garamond" w:hAnsi="Garamond"/>
          <w:sz w:val="24"/>
          <w:szCs w:val="24"/>
        </w:rPr>
        <w:t xml:space="preserve"> and Kaserer (2013) and Gagnon and Gimet (2013) have highlighted the relationship between equity market liquidity and various financial crises. We, following these earlier studies</w:t>
      </w:r>
      <w:r w:rsidR="004346D4">
        <w:rPr>
          <w:rFonts w:ascii="Garamond" w:hAnsi="Garamond"/>
          <w:sz w:val="24"/>
          <w:szCs w:val="24"/>
        </w:rPr>
        <w:t>,</w:t>
      </w:r>
      <w:r>
        <w:rPr>
          <w:rFonts w:ascii="Garamond" w:hAnsi="Garamond"/>
          <w:sz w:val="24"/>
          <w:szCs w:val="24"/>
        </w:rPr>
        <w:t xml:space="preserve"> investigate the influence of the </w:t>
      </w:r>
      <w:r w:rsidR="00B90008">
        <w:rPr>
          <w:rFonts w:ascii="Garamond" w:hAnsi="Garamond"/>
          <w:sz w:val="24"/>
          <w:szCs w:val="24"/>
        </w:rPr>
        <w:t>financial</w:t>
      </w:r>
      <w:r>
        <w:rPr>
          <w:rFonts w:ascii="Garamond" w:hAnsi="Garamond"/>
          <w:sz w:val="24"/>
          <w:szCs w:val="24"/>
        </w:rPr>
        <w:t xml:space="preserve"> crisis (i.e. 2007-08) on the liquidity measures of these eight emerging stock markets of </w:t>
      </w:r>
      <w:smartTag w:uri="urn:schemas-microsoft-com:office:smarttags" w:element="place">
        <w:r>
          <w:rPr>
            <w:rFonts w:ascii="Garamond" w:hAnsi="Garamond"/>
            <w:sz w:val="24"/>
            <w:szCs w:val="24"/>
          </w:rPr>
          <w:t>Asia</w:t>
        </w:r>
      </w:smartTag>
      <w:r>
        <w:rPr>
          <w:rFonts w:ascii="Garamond" w:hAnsi="Garamond"/>
          <w:sz w:val="24"/>
          <w:szCs w:val="24"/>
        </w:rPr>
        <w:t>. Since the crisis of 2007-08 expanded and bec</w:t>
      </w:r>
      <w:r w:rsidR="004346D4">
        <w:rPr>
          <w:rFonts w:ascii="Garamond" w:hAnsi="Garamond"/>
          <w:sz w:val="24"/>
          <w:szCs w:val="24"/>
        </w:rPr>
        <w:t>a</w:t>
      </w:r>
      <w:r>
        <w:rPr>
          <w:rFonts w:ascii="Garamond" w:hAnsi="Garamond"/>
          <w:sz w:val="24"/>
          <w:szCs w:val="24"/>
        </w:rPr>
        <w:t>me global, emerging markets</w:t>
      </w:r>
      <w:r w:rsidR="004346D4">
        <w:rPr>
          <w:rFonts w:ascii="Garamond" w:hAnsi="Garamond"/>
          <w:sz w:val="24"/>
          <w:szCs w:val="24"/>
        </w:rPr>
        <w:t xml:space="preserve"> also</w:t>
      </w:r>
      <w:r>
        <w:rPr>
          <w:rFonts w:ascii="Garamond" w:hAnsi="Garamond"/>
          <w:sz w:val="24"/>
          <w:szCs w:val="24"/>
        </w:rPr>
        <w:t xml:space="preserve"> began to experience liquidity strains (Yehoue, 2009). Similarly, Blanchard (2009) mentions that by 2008 the credit freeze crisis had spread internationally, causing a dramatic global decrease in stock prices and a fall in consumers’ and firms’ confidence. Previously, on emerging markets liquidity, Lesmond (2005) and Yeyati et al. (2008) have examined the impact of financial crises. However, Lesmond (2005) shows the impact of the Asian and Russian crises and Yeyati et al. (2008) consider the crisis episodes over the period from April 1994 t</w:t>
      </w:r>
      <w:r w:rsidR="004346D4">
        <w:rPr>
          <w:rFonts w:ascii="Garamond" w:hAnsi="Garamond"/>
          <w:sz w:val="24"/>
          <w:szCs w:val="24"/>
        </w:rPr>
        <w:t>o</w:t>
      </w:r>
      <w:r>
        <w:rPr>
          <w:rFonts w:ascii="Garamond" w:hAnsi="Garamond"/>
          <w:sz w:val="24"/>
          <w:szCs w:val="24"/>
        </w:rPr>
        <w:t xml:space="preserve"> June 2004.</w:t>
      </w:r>
    </w:p>
    <w:p w14:paraId="4E924C1C" w14:textId="3E9A3A47" w:rsidR="00BE49FD" w:rsidRDefault="00BE49FD" w:rsidP="00BE49FD">
      <w:pPr>
        <w:spacing w:line="360" w:lineRule="auto"/>
        <w:jc w:val="both"/>
        <w:rPr>
          <w:rFonts w:ascii="Garamond" w:hAnsi="Garamond"/>
          <w:sz w:val="24"/>
          <w:szCs w:val="24"/>
        </w:rPr>
      </w:pPr>
      <w:r>
        <w:rPr>
          <w:rFonts w:ascii="Garamond" w:hAnsi="Garamond"/>
          <w:sz w:val="24"/>
          <w:szCs w:val="24"/>
        </w:rPr>
        <w:t xml:space="preserve">Firstly, we </w:t>
      </w:r>
      <w:r w:rsidR="004346D4">
        <w:rPr>
          <w:rFonts w:ascii="Garamond" w:hAnsi="Garamond"/>
          <w:sz w:val="24"/>
          <w:szCs w:val="24"/>
        </w:rPr>
        <w:t>tested for</w:t>
      </w:r>
      <w:r>
        <w:rPr>
          <w:rFonts w:ascii="Garamond" w:hAnsi="Garamond"/>
          <w:sz w:val="24"/>
          <w:szCs w:val="24"/>
        </w:rPr>
        <w:t xml:space="preserve"> Granger causality between market liquidity measures and the </w:t>
      </w:r>
      <w:r w:rsidR="00B90008">
        <w:rPr>
          <w:rFonts w:ascii="Garamond" w:hAnsi="Garamond"/>
          <w:sz w:val="24"/>
          <w:szCs w:val="24"/>
        </w:rPr>
        <w:t>financial</w:t>
      </w:r>
      <w:r>
        <w:rPr>
          <w:rFonts w:ascii="Garamond" w:hAnsi="Garamond"/>
          <w:sz w:val="24"/>
          <w:szCs w:val="24"/>
        </w:rPr>
        <w:t xml:space="preserve"> crisis (results available on request). The results indicate that the 2007-08 cris</w:t>
      </w:r>
      <w:r w:rsidR="004346D4">
        <w:rPr>
          <w:rFonts w:ascii="Garamond" w:hAnsi="Garamond"/>
          <w:sz w:val="24"/>
          <w:szCs w:val="24"/>
        </w:rPr>
        <w:t>i</w:t>
      </w:r>
      <w:r>
        <w:rPr>
          <w:rFonts w:ascii="Garamond" w:hAnsi="Garamond"/>
          <w:sz w:val="24"/>
          <w:szCs w:val="24"/>
        </w:rPr>
        <w:t>s ha</w:t>
      </w:r>
      <w:r w:rsidR="004346D4">
        <w:rPr>
          <w:rFonts w:ascii="Garamond" w:hAnsi="Garamond"/>
          <w:sz w:val="24"/>
          <w:szCs w:val="24"/>
        </w:rPr>
        <w:t>s</w:t>
      </w:r>
      <w:r>
        <w:rPr>
          <w:rFonts w:ascii="Garamond" w:hAnsi="Garamond"/>
          <w:sz w:val="24"/>
          <w:szCs w:val="24"/>
        </w:rPr>
        <w:t xml:space="preserve"> significant influence </w:t>
      </w:r>
      <w:r>
        <w:rPr>
          <w:rFonts w:ascii="Garamond" w:hAnsi="Garamond"/>
          <w:sz w:val="24"/>
          <w:szCs w:val="24"/>
        </w:rPr>
        <w:lastRenderedPageBreak/>
        <w:t xml:space="preserve">on market illiquidity. For example, the crisis has </w:t>
      </w:r>
      <w:r w:rsidR="004346D4">
        <w:rPr>
          <w:rFonts w:ascii="Garamond" w:hAnsi="Garamond"/>
          <w:sz w:val="24"/>
          <w:szCs w:val="24"/>
        </w:rPr>
        <w:t xml:space="preserve">a </w:t>
      </w:r>
      <w:r>
        <w:rPr>
          <w:rFonts w:ascii="Garamond" w:hAnsi="Garamond"/>
          <w:sz w:val="24"/>
          <w:szCs w:val="24"/>
        </w:rPr>
        <w:t xml:space="preserve">strong causal effect </w:t>
      </w:r>
      <w:r w:rsidR="004346D4">
        <w:rPr>
          <w:rFonts w:ascii="Garamond" w:hAnsi="Garamond"/>
          <w:sz w:val="24"/>
          <w:szCs w:val="24"/>
        </w:rPr>
        <w:t>on</w:t>
      </w:r>
      <w:r>
        <w:rPr>
          <w:rFonts w:ascii="Garamond" w:hAnsi="Garamond"/>
          <w:sz w:val="24"/>
          <w:szCs w:val="24"/>
        </w:rPr>
        <w:t xml:space="preserve"> Amihud’s (2002) illiquidity ratio in Indonesia, Malaysia, Pakistan and Taiwan. Similarly, there is a relationship between the turnover price impact ratio and the crisis in Malaysia, Pakistan and Taiwan. Furthermore, Malaysia has a bidirectional causal effect from illiquidity measures. Due to this result, we cannot deny the argument of Amihud and Mendelson (1986) and </w:t>
      </w:r>
      <w:r w:rsidRPr="00B90008">
        <w:rPr>
          <w:rStyle w:val="HTMLCite"/>
          <w:rFonts w:ascii="Garamond" w:hAnsi="Garamond"/>
          <w:i w:val="0"/>
          <w:sz w:val="24"/>
          <w:szCs w:val="24"/>
        </w:rPr>
        <w:t>Næs</w:t>
      </w:r>
      <w:r w:rsidRPr="004A5EFD">
        <w:rPr>
          <w:rFonts w:ascii="Garamond" w:hAnsi="Garamond"/>
          <w:sz w:val="24"/>
          <w:szCs w:val="24"/>
        </w:rPr>
        <w:t xml:space="preserve"> et al. </w:t>
      </w:r>
      <w:r>
        <w:rPr>
          <w:rFonts w:ascii="Garamond" w:hAnsi="Garamond"/>
          <w:sz w:val="24"/>
          <w:szCs w:val="24"/>
        </w:rPr>
        <w:t>(</w:t>
      </w:r>
      <w:r w:rsidRPr="004A5EFD">
        <w:rPr>
          <w:rFonts w:ascii="Garamond" w:hAnsi="Garamond"/>
          <w:sz w:val="24"/>
          <w:szCs w:val="24"/>
        </w:rPr>
        <w:t>2011</w:t>
      </w:r>
      <w:r>
        <w:rPr>
          <w:rFonts w:ascii="Garamond" w:hAnsi="Garamond"/>
          <w:sz w:val="24"/>
          <w:szCs w:val="24"/>
        </w:rPr>
        <w:t xml:space="preserve">) that illiquidity does not lead to a crisis, or a decline in the liquidity of financial assets does not Granger cause an economic crisis. On the other hand, the crisis of 2007-08 Granger causes the liquidity ratios in </w:t>
      </w:r>
      <w:smartTag w:uri="urn:schemas-microsoft-com:office:smarttags" w:element="country-region">
        <w:r>
          <w:rPr>
            <w:rFonts w:ascii="Garamond" w:hAnsi="Garamond"/>
            <w:sz w:val="24"/>
            <w:szCs w:val="24"/>
          </w:rPr>
          <w:t>Bangladesh</w:t>
        </w:r>
      </w:smartTag>
      <w:r>
        <w:rPr>
          <w:rFonts w:ascii="Garamond" w:hAnsi="Garamond"/>
          <w:sz w:val="24"/>
          <w:szCs w:val="24"/>
        </w:rPr>
        <w:t xml:space="preserve">, </w:t>
      </w:r>
      <w:smartTag w:uri="urn:schemas-microsoft-com:office:smarttags" w:element="country-region">
        <w:r>
          <w:rPr>
            <w:rFonts w:ascii="Garamond" w:hAnsi="Garamond"/>
            <w:sz w:val="24"/>
            <w:szCs w:val="24"/>
          </w:rPr>
          <w:t>India</w:t>
        </w:r>
      </w:smartTag>
      <w:r>
        <w:rPr>
          <w:rFonts w:ascii="Garamond" w:hAnsi="Garamond"/>
          <w:sz w:val="24"/>
          <w:szCs w:val="24"/>
        </w:rPr>
        <w:t xml:space="preserve">, </w:t>
      </w:r>
      <w:smartTag w:uri="urn:schemas-microsoft-com:office:smarttags" w:element="country-region">
        <w:r>
          <w:rPr>
            <w:rFonts w:ascii="Garamond" w:hAnsi="Garamond"/>
            <w:sz w:val="24"/>
            <w:szCs w:val="24"/>
          </w:rPr>
          <w:t>Indonesia</w:t>
        </w:r>
      </w:smartTag>
      <w:r>
        <w:rPr>
          <w:rFonts w:ascii="Garamond" w:hAnsi="Garamond"/>
          <w:sz w:val="24"/>
          <w:szCs w:val="24"/>
        </w:rPr>
        <w:t xml:space="preserve"> and </w:t>
      </w:r>
      <w:smartTag w:uri="urn:schemas-microsoft-com:office:smarttags" w:element="place">
        <w:smartTag w:uri="urn:schemas-microsoft-com:office:smarttags" w:element="country-region">
          <w:r>
            <w:rPr>
              <w:rFonts w:ascii="Garamond" w:hAnsi="Garamond"/>
              <w:sz w:val="24"/>
              <w:szCs w:val="24"/>
            </w:rPr>
            <w:t>Malaysia</w:t>
          </w:r>
        </w:smartTag>
      </w:smartTag>
      <w:r>
        <w:rPr>
          <w:rFonts w:ascii="Garamond" w:hAnsi="Garamond"/>
          <w:sz w:val="24"/>
          <w:szCs w:val="24"/>
        </w:rPr>
        <w:t xml:space="preserve">. </w:t>
      </w:r>
      <w:r w:rsidR="004346D4">
        <w:rPr>
          <w:rFonts w:ascii="Garamond" w:hAnsi="Garamond"/>
          <w:sz w:val="24"/>
          <w:szCs w:val="24"/>
        </w:rPr>
        <w:t>For example</w:t>
      </w:r>
      <w:r>
        <w:rPr>
          <w:rFonts w:ascii="Garamond" w:hAnsi="Garamond"/>
          <w:sz w:val="24"/>
          <w:szCs w:val="24"/>
        </w:rPr>
        <w:t xml:space="preserve">, there is one-way </w:t>
      </w:r>
      <w:r w:rsidRPr="00BA52EF">
        <w:rPr>
          <w:rFonts w:ascii="Garamond" w:hAnsi="Garamond"/>
          <w:sz w:val="24"/>
          <w:szCs w:val="24"/>
        </w:rPr>
        <w:t xml:space="preserve">causality with turnover rate and trading volume in Bangladesh and with turnover rate in India. </w:t>
      </w:r>
      <w:r w:rsidR="00833B70" w:rsidRPr="00BA52EF">
        <w:rPr>
          <w:rFonts w:ascii="Garamond" w:hAnsi="Garamond"/>
          <w:sz w:val="24"/>
          <w:szCs w:val="24"/>
        </w:rPr>
        <w:t xml:space="preserve">In particular, </w:t>
      </w:r>
      <w:r w:rsidRPr="00BA52EF">
        <w:rPr>
          <w:rFonts w:ascii="Garamond" w:hAnsi="Garamond"/>
          <w:sz w:val="24"/>
          <w:szCs w:val="24"/>
        </w:rPr>
        <w:t xml:space="preserve">we can </w:t>
      </w:r>
      <w:r w:rsidR="00833B70" w:rsidRPr="00BA52EF">
        <w:rPr>
          <w:rFonts w:ascii="Garamond" w:hAnsi="Garamond"/>
          <w:sz w:val="24"/>
          <w:szCs w:val="24"/>
        </w:rPr>
        <w:t>accept</w:t>
      </w:r>
      <w:r w:rsidRPr="00BA52EF">
        <w:rPr>
          <w:rFonts w:ascii="Garamond" w:hAnsi="Garamond"/>
          <w:sz w:val="24"/>
          <w:szCs w:val="24"/>
        </w:rPr>
        <w:t xml:space="preserve"> the </w:t>
      </w:r>
      <w:r w:rsidR="00833B70" w:rsidRPr="00BA52EF">
        <w:rPr>
          <w:rFonts w:ascii="Garamond" w:hAnsi="Garamond"/>
          <w:sz w:val="24"/>
          <w:szCs w:val="24"/>
        </w:rPr>
        <w:t>alternative</w:t>
      </w:r>
      <w:r w:rsidRPr="00BA52EF">
        <w:rPr>
          <w:rFonts w:ascii="Garamond" w:hAnsi="Garamond"/>
          <w:sz w:val="24"/>
          <w:szCs w:val="24"/>
        </w:rPr>
        <w:t xml:space="preserve"> hypothesis that </w:t>
      </w:r>
      <w:r w:rsidR="00833B70" w:rsidRPr="00BA52EF">
        <w:rPr>
          <w:rFonts w:ascii="Garamond" w:hAnsi="Garamond"/>
          <w:sz w:val="24"/>
          <w:szCs w:val="24"/>
        </w:rPr>
        <w:t>a crisis Granger causes</w:t>
      </w:r>
      <w:r w:rsidRPr="00BA52EF">
        <w:rPr>
          <w:rFonts w:ascii="Garamond" w:hAnsi="Garamond"/>
          <w:sz w:val="24"/>
          <w:szCs w:val="24"/>
        </w:rPr>
        <w:t xml:space="preserve"> turnover rate </w:t>
      </w:r>
      <w:r w:rsidR="00BA52EF" w:rsidRPr="00BA52EF">
        <w:rPr>
          <w:rFonts w:ascii="Garamond" w:hAnsi="Garamond"/>
          <w:sz w:val="24"/>
          <w:szCs w:val="24"/>
        </w:rPr>
        <w:t xml:space="preserve">at the </w:t>
      </w:r>
      <w:r w:rsidRPr="00BA52EF">
        <w:rPr>
          <w:rFonts w:ascii="Garamond" w:hAnsi="Garamond"/>
          <w:sz w:val="24"/>
          <w:szCs w:val="24"/>
        </w:rPr>
        <w:t>1 and 7 percent level</w:t>
      </w:r>
      <w:r w:rsidR="00BA52EF" w:rsidRPr="00BA52EF">
        <w:rPr>
          <w:rFonts w:ascii="Garamond" w:hAnsi="Garamond"/>
          <w:sz w:val="24"/>
          <w:szCs w:val="24"/>
        </w:rPr>
        <w:t>s</w:t>
      </w:r>
      <w:r w:rsidRPr="00BA52EF">
        <w:rPr>
          <w:rFonts w:ascii="Garamond" w:hAnsi="Garamond"/>
          <w:sz w:val="24"/>
          <w:szCs w:val="24"/>
        </w:rPr>
        <w:t xml:space="preserve"> respectively </w:t>
      </w:r>
      <w:r w:rsidR="00833B70" w:rsidRPr="00BA52EF">
        <w:rPr>
          <w:rFonts w:ascii="Garamond" w:hAnsi="Garamond"/>
          <w:sz w:val="24"/>
          <w:szCs w:val="24"/>
        </w:rPr>
        <w:t xml:space="preserve">for Bangladesh and India; </w:t>
      </w:r>
      <w:r w:rsidRPr="00BA52EF">
        <w:rPr>
          <w:rFonts w:ascii="Garamond" w:hAnsi="Garamond"/>
          <w:sz w:val="24"/>
          <w:szCs w:val="24"/>
        </w:rPr>
        <w:t xml:space="preserve">and at </w:t>
      </w:r>
      <w:r w:rsidR="00BA52EF" w:rsidRPr="00BA52EF">
        <w:rPr>
          <w:rFonts w:ascii="Garamond" w:hAnsi="Garamond"/>
          <w:sz w:val="24"/>
          <w:szCs w:val="24"/>
        </w:rPr>
        <w:t xml:space="preserve">the </w:t>
      </w:r>
      <w:r w:rsidRPr="00BA52EF">
        <w:rPr>
          <w:rFonts w:ascii="Garamond" w:hAnsi="Garamond"/>
          <w:sz w:val="24"/>
          <w:szCs w:val="24"/>
        </w:rPr>
        <w:t>10 percent level for trading volume</w:t>
      </w:r>
      <w:r w:rsidR="00833B70" w:rsidRPr="00BA52EF">
        <w:rPr>
          <w:rFonts w:ascii="Garamond" w:hAnsi="Garamond"/>
          <w:sz w:val="24"/>
          <w:szCs w:val="24"/>
        </w:rPr>
        <w:t xml:space="preserve"> </w:t>
      </w:r>
      <w:r w:rsidR="00BA52EF" w:rsidRPr="00BA52EF">
        <w:rPr>
          <w:rFonts w:ascii="Garamond" w:hAnsi="Garamond"/>
          <w:sz w:val="24"/>
          <w:szCs w:val="24"/>
        </w:rPr>
        <w:t>in</w:t>
      </w:r>
      <w:r w:rsidR="00833B70" w:rsidRPr="00BA52EF">
        <w:rPr>
          <w:rFonts w:ascii="Garamond" w:hAnsi="Garamond"/>
          <w:sz w:val="24"/>
          <w:szCs w:val="24"/>
        </w:rPr>
        <w:t xml:space="preserve"> Bangladesh</w:t>
      </w:r>
      <w:r w:rsidRPr="00BA52EF">
        <w:rPr>
          <w:rFonts w:ascii="Garamond" w:hAnsi="Garamond"/>
          <w:sz w:val="24"/>
          <w:szCs w:val="24"/>
        </w:rPr>
        <w:t xml:space="preserve">. There is reverse causality between a crisis and the turnover rate in </w:t>
      </w:r>
      <w:smartTag w:uri="urn:schemas-microsoft-com:office:smarttags" w:element="country-region">
        <w:r>
          <w:rPr>
            <w:rFonts w:ascii="Garamond" w:hAnsi="Garamond"/>
            <w:sz w:val="24"/>
            <w:szCs w:val="24"/>
          </w:rPr>
          <w:t>Indonesia</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Malaysia</w:t>
          </w:r>
        </w:smartTag>
      </w:smartTag>
      <w:r>
        <w:rPr>
          <w:rFonts w:ascii="Garamond" w:hAnsi="Garamond"/>
          <w:sz w:val="24"/>
          <w:szCs w:val="24"/>
        </w:rPr>
        <w:t>. That means</w:t>
      </w:r>
      <w:r w:rsidR="00B6107E">
        <w:rPr>
          <w:rFonts w:ascii="Garamond" w:hAnsi="Garamond"/>
          <w:sz w:val="24"/>
          <w:szCs w:val="24"/>
        </w:rPr>
        <w:t xml:space="preserve"> that</w:t>
      </w:r>
      <w:r>
        <w:rPr>
          <w:rFonts w:ascii="Garamond" w:hAnsi="Garamond"/>
          <w:sz w:val="24"/>
          <w:szCs w:val="24"/>
        </w:rPr>
        <w:t xml:space="preserve"> during the </w:t>
      </w:r>
      <w:r w:rsidR="00B90008">
        <w:rPr>
          <w:rFonts w:ascii="Garamond" w:hAnsi="Garamond"/>
          <w:sz w:val="24"/>
          <w:szCs w:val="24"/>
        </w:rPr>
        <w:t>financial</w:t>
      </w:r>
      <w:r>
        <w:rPr>
          <w:rFonts w:ascii="Garamond" w:hAnsi="Garamond"/>
          <w:sz w:val="24"/>
          <w:szCs w:val="24"/>
        </w:rPr>
        <w:t xml:space="preserve"> crisis </w:t>
      </w:r>
      <w:r w:rsidR="00B6107E">
        <w:rPr>
          <w:rFonts w:ascii="Garamond" w:hAnsi="Garamond"/>
          <w:sz w:val="24"/>
          <w:szCs w:val="24"/>
        </w:rPr>
        <w:t xml:space="preserve">the </w:t>
      </w:r>
      <w:r>
        <w:rPr>
          <w:rFonts w:ascii="Garamond" w:hAnsi="Garamond"/>
          <w:sz w:val="24"/>
          <w:szCs w:val="24"/>
        </w:rPr>
        <w:t xml:space="preserve">trading activities of Asian equity markets </w:t>
      </w:r>
      <w:r w:rsidR="00B6107E">
        <w:rPr>
          <w:rFonts w:ascii="Garamond" w:hAnsi="Garamond"/>
          <w:sz w:val="24"/>
          <w:szCs w:val="24"/>
        </w:rPr>
        <w:t>were</w:t>
      </w:r>
      <w:r>
        <w:rPr>
          <w:rFonts w:ascii="Garamond" w:hAnsi="Garamond"/>
          <w:sz w:val="24"/>
          <w:szCs w:val="24"/>
        </w:rPr>
        <w:t xml:space="preserve"> significantly affected. </w:t>
      </w:r>
      <w:r w:rsidR="00B6107E">
        <w:rPr>
          <w:rFonts w:ascii="Garamond" w:hAnsi="Garamond"/>
          <w:sz w:val="24"/>
          <w:szCs w:val="24"/>
        </w:rPr>
        <w:t>A</w:t>
      </w:r>
      <w:r>
        <w:rPr>
          <w:rFonts w:ascii="Garamond" w:hAnsi="Garamond"/>
          <w:sz w:val="24"/>
          <w:szCs w:val="24"/>
        </w:rPr>
        <w:t xml:space="preserve"> similar influence of a financial crisis on trading activity </w:t>
      </w:r>
      <w:r w:rsidR="00B6107E">
        <w:rPr>
          <w:rFonts w:ascii="Garamond" w:hAnsi="Garamond"/>
          <w:sz w:val="24"/>
          <w:szCs w:val="24"/>
        </w:rPr>
        <w:t>w</w:t>
      </w:r>
      <w:r>
        <w:rPr>
          <w:rFonts w:ascii="Garamond" w:hAnsi="Garamond"/>
          <w:sz w:val="24"/>
          <w:szCs w:val="24"/>
        </w:rPr>
        <w:t xml:space="preserve">as identified by Yeyati et al. (2008) in their emerging markets sample. </w:t>
      </w:r>
    </w:p>
    <w:p w14:paraId="5D7EB75F" w14:textId="4E19A881" w:rsidR="00BE49FD" w:rsidRPr="009614CA" w:rsidRDefault="00BE49FD" w:rsidP="00BE49FD">
      <w:pPr>
        <w:spacing w:line="360" w:lineRule="auto"/>
        <w:jc w:val="both"/>
        <w:rPr>
          <w:rFonts w:ascii="Garamond" w:hAnsi="Garamond"/>
          <w:sz w:val="24"/>
          <w:szCs w:val="24"/>
        </w:rPr>
      </w:pPr>
      <w:r w:rsidRPr="009614CA">
        <w:rPr>
          <w:rFonts w:ascii="Garamond" w:hAnsi="Garamond"/>
          <w:sz w:val="24"/>
          <w:szCs w:val="24"/>
        </w:rPr>
        <w:t xml:space="preserve">The impulse responses of our VAR system are reported in Figure 3 (from Group A to Group H). Figure 3 shows the accumulated responses of market liquidity to a unit standard deviation innovation in </w:t>
      </w:r>
      <w:r>
        <w:rPr>
          <w:rFonts w:ascii="Garamond" w:hAnsi="Garamond"/>
          <w:sz w:val="24"/>
          <w:szCs w:val="24"/>
        </w:rPr>
        <w:t xml:space="preserve">a </w:t>
      </w:r>
      <w:r w:rsidRPr="009614CA">
        <w:rPr>
          <w:rFonts w:ascii="Garamond" w:hAnsi="Garamond"/>
          <w:sz w:val="24"/>
          <w:szCs w:val="24"/>
        </w:rPr>
        <w:t>crisis, traced forward over a period of 12 months. Simi</w:t>
      </w:r>
      <w:r>
        <w:rPr>
          <w:rFonts w:ascii="Garamond" w:hAnsi="Garamond"/>
          <w:sz w:val="24"/>
          <w:szCs w:val="24"/>
        </w:rPr>
        <w:t>lar to previous sections (i.e. 3.2.1 &amp; 3</w:t>
      </w:r>
      <w:r w:rsidRPr="009614CA">
        <w:rPr>
          <w:rFonts w:ascii="Garamond" w:hAnsi="Garamond"/>
          <w:sz w:val="24"/>
          <w:szCs w:val="24"/>
        </w:rPr>
        <w:t xml:space="preserve">.2.2), the responses are estimated using </w:t>
      </w:r>
      <w:r>
        <w:rPr>
          <w:rFonts w:ascii="Garamond" w:hAnsi="Garamond"/>
          <w:sz w:val="24"/>
          <w:szCs w:val="24"/>
        </w:rPr>
        <w:t xml:space="preserve">a </w:t>
      </w:r>
      <w:r w:rsidRPr="009614CA">
        <w:rPr>
          <w:rFonts w:ascii="Garamond" w:hAnsi="Garamond"/>
          <w:sz w:val="24"/>
          <w:szCs w:val="24"/>
        </w:rPr>
        <w:t>standard Cholesky decomposition of the VAR residuals and the bootstrap 95 percent confidence bands gauge the statistical significance of the responses. Surprisingly, our results indicate that Asian markets received differential impact</w:t>
      </w:r>
      <w:r>
        <w:rPr>
          <w:rFonts w:ascii="Garamond" w:hAnsi="Garamond"/>
          <w:sz w:val="24"/>
          <w:szCs w:val="24"/>
        </w:rPr>
        <w:t>s</w:t>
      </w:r>
      <w:r w:rsidRPr="009614CA">
        <w:rPr>
          <w:rFonts w:ascii="Garamond" w:hAnsi="Garamond"/>
          <w:sz w:val="24"/>
          <w:szCs w:val="24"/>
        </w:rPr>
        <w:t xml:space="preserve"> </w:t>
      </w:r>
      <w:r w:rsidR="00B6107E">
        <w:rPr>
          <w:rFonts w:ascii="Garamond" w:hAnsi="Garamond"/>
          <w:sz w:val="24"/>
          <w:szCs w:val="24"/>
        </w:rPr>
        <w:t>from</w:t>
      </w:r>
      <w:r w:rsidRPr="009614CA">
        <w:rPr>
          <w:rFonts w:ascii="Garamond" w:hAnsi="Garamond"/>
          <w:sz w:val="24"/>
          <w:szCs w:val="24"/>
        </w:rPr>
        <w:t xml:space="preserve"> </w:t>
      </w:r>
      <w:r>
        <w:rPr>
          <w:rFonts w:ascii="Garamond" w:hAnsi="Garamond"/>
          <w:sz w:val="24"/>
          <w:szCs w:val="24"/>
        </w:rPr>
        <w:t xml:space="preserve">the </w:t>
      </w:r>
      <w:r w:rsidRPr="009614CA">
        <w:rPr>
          <w:rFonts w:ascii="Garamond" w:hAnsi="Garamond"/>
          <w:sz w:val="24"/>
          <w:szCs w:val="24"/>
        </w:rPr>
        <w:t xml:space="preserve">crisis </w:t>
      </w:r>
      <w:r>
        <w:rPr>
          <w:rFonts w:ascii="Garamond" w:hAnsi="Garamond"/>
          <w:sz w:val="24"/>
          <w:szCs w:val="24"/>
        </w:rPr>
        <w:t xml:space="preserve">of </w:t>
      </w:r>
      <w:r w:rsidRPr="009614CA">
        <w:rPr>
          <w:rFonts w:ascii="Garamond" w:hAnsi="Garamond"/>
          <w:sz w:val="24"/>
          <w:szCs w:val="24"/>
        </w:rPr>
        <w:t xml:space="preserve">2007-08. </w:t>
      </w:r>
      <w:r w:rsidR="00B6107E">
        <w:rPr>
          <w:rFonts w:ascii="Garamond" w:hAnsi="Garamond"/>
          <w:sz w:val="24"/>
          <w:szCs w:val="24"/>
        </w:rPr>
        <w:t>I</w:t>
      </w:r>
      <w:r w:rsidRPr="009614CA">
        <w:rPr>
          <w:rFonts w:ascii="Garamond" w:hAnsi="Garamond"/>
          <w:sz w:val="24"/>
          <w:szCs w:val="24"/>
        </w:rPr>
        <w:t>n most of the markets (i.e. India, Indone</w:t>
      </w:r>
      <w:r>
        <w:rPr>
          <w:rFonts w:ascii="Garamond" w:hAnsi="Garamond"/>
          <w:sz w:val="24"/>
          <w:szCs w:val="24"/>
        </w:rPr>
        <w:t>sia, Malaysia, Pakistan, and Taiwan</w:t>
      </w:r>
      <w:r w:rsidRPr="009614CA">
        <w:rPr>
          <w:rFonts w:ascii="Garamond" w:hAnsi="Garamond"/>
          <w:sz w:val="24"/>
          <w:szCs w:val="24"/>
        </w:rPr>
        <w:t xml:space="preserve">) illiquidity related measures </w:t>
      </w:r>
      <w:r w:rsidR="00B6107E">
        <w:rPr>
          <w:rFonts w:ascii="Garamond" w:hAnsi="Garamond"/>
          <w:sz w:val="24"/>
          <w:szCs w:val="24"/>
        </w:rPr>
        <w:t xml:space="preserve">were </w:t>
      </w:r>
      <w:r w:rsidRPr="009614CA">
        <w:rPr>
          <w:rFonts w:ascii="Garamond" w:hAnsi="Garamond"/>
          <w:sz w:val="24"/>
          <w:szCs w:val="24"/>
        </w:rPr>
        <w:t>affect</w:t>
      </w:r>
      <w:r w:rsidR="00B6107E">
        <w:rPr>
          <w:rFonts w:ascii="Garamond" w:hAnsi="Garamond"/>
          <w:sz w:val="24"/>
          <w:szCs w:val="24"/>
        </w:rPr>
        <w:t>ed</w:t>
      </w:r>
      <w:r w:rsidRPr="009614CA">
        <w:rPr>
          <w:rFonts w:ascii="Garamond" w:hAnsi="Garamond"/>
          <w:sz w:val="24"/>
          <w:szCs w:val="24"/>
        </w:rPr>
        <w:t xml:space="preserve"> positively, where Amihud’s (2002) illiquidity ratio (in Indonesia, Malaysia, Pakistan and Taiwan) received </w:t>
      </w:r>
      <w:r>
        <w:rPr>
          <w:rFonts w:ascii="Garamond" w:hAnsi="Garamond"/>
          <w:sz w:val="24"/>
          <w:szCs w:val="24"/>
        </w:rPr>
        <w:t xml:space="preserve">a </w:t>
      </w:r>
      <w:r w:rsidRPr="009614CA">
        <w:rPr>
          <w:rFonts w:ascii="Garamond" w:hAnsi="Garamond"/>
          <w:sz w:val="24"/>
          <w:szCs w:val="24"/>
        </w:rPr>
        <w:t xml:space="preserve">greater impact than </w:t>
      </w:r>
      <w:r>
        <w:rPr>
          <w:rFonts w:ascii="Garamond" w:hAnsi="Garamond"/>
          <w:sz w:val="24"/>
          <w:szCs w:val="24"/>
        </w:rPr>
        <w:t xml:space="preserve">the </w:t>
      </w:r>
      <w:r w:rsidRPr="009614CA">
        <w:rPr>
          <w:rFonts w:ascii="Garamond" w:hAnsi="Garamond"/>
          <w:sz w:val="24"/>
          <w:szCs w:val="24"/>
        </w:rPr>
        <w:t>turnover price impact (significant in India and Taiwan). This finding support</w:t>
      </w:r>
      <w:r>
        <w:rPr>
          <w:rFonts w:ascii="Garamond" w:hAnsi="Garamond"/>
          <w:sz w:val="24"/>
          <w:szCs w:val="24"/>
        </w:rPr>
        <w:t>s</w:t>
      </w:r>
      <w:r w:rsidRPr="009614CA">
        <w:rPr>
          <w:rFonts w:ascii="Garamond" w:hAnsi="Garamond"/>
          <w:sz w:val="24"/>
          <w:szCs w:val="24"/>
        </w:rPr>
        <w:t xml:space="preserve"> the conventional argument mentioned in Yeyati et al. (2008) that during </w:t>
      </w:r>
      <w:r>
        <w:rPr>
          <w:rFonts w:ascii="Garamond" w:hAnsi="Garamond"/>
          <w:sz w:val="24"/>
          <w:szCs w:val="24"/>
        </w:rPr>
        <w:t xml:space="preserve">a </w:t>
      </w:r>
      <w:r w:rsidRPr="009614CA">
        <w:rPr>
          <w:rFonts w:ascii="Garamond" w:hAnsi="Garamond"/>
          <w:sz w:val="24"/>
          <w:szCs w:val="24"/>
        </w:rPr>
        <w:t>crisis</w:t>
      </w:r>
      <w:r w:rsidR="00B6107E">
        <w:rPr>
          <w:rFonts w:ascii="Garamond" w:hAnsi="Garamond"/>
          <w:sz w:val="24"/>
          <w:szCs w:val="24"/>
        </w:rPr>
        <w:t>,</w:t>
      </w:r>
      <w:r w:rsidRPr="009614CA">
        <w:rPr>
          <w:rFonts w:ascii="Garamond" w:hAnsi="Garamond"/>
          <w:sz w:val="24"/>
          <w:szCs w:val="24"/>
        </w:rPr>
        <w:t xml:space="preserve"> prices change more with each dollar transacted</w:t>
      </w:r>
      <w:r w:rsidR="00B6107E">
        <w:rPr>
          <w:rFonts w:ascii="Garamond" w:hAnsi="Garamond"/>
          <w:sz w:val="24"/>
          <w:szCs w:val="24"/>
        </w:rPr>
        <w:t>,</w:t>
      </w:r>
      <w:r w:rsidRPr="009614CA">
        <w:rPr>
          <w:rFonts w:ascii="Garamond" w:hAnsi="Garamond"/>
          <w:sz w:val="24"/>
          <w:szCs w:val="24"/>
        </w:rPr>
        <w:t xml:space="preserve"> pushing Amihud’s illiquidity measure up</w:t>
      </w:r>
      <w:r>
        <w:rPr>
          <w:rFonts w:ascii="Garamond" w:hAnsi="Garamond"/>
          <w:sz w:val="24"/>
          <w:szCs w:val="24"/>
        </w:rPr>
        <w:t>,</w:t>
      </w:r>
      <w:r w:rsidRPr="009614CA">
        <w:rPr>
          <w:rFonts w:ascii="Garamond" w:hAnsi="Garamond"/>
          <w:sz w:val="24"/>
          <w:szCs w:val="24"/>
        </w:rPr>
        <w:t xml:space="preserve"> and bid-ask spreads widen. The drying-up of market liquidity during the financial crisis is a well-documented phenomenon, responsible for the financial contagion experienced during the crisis (see</w:t>
      </w:r>
      <w:r w:rsidRPr="009614CA">
        <w:rPr>
          <w:sz w:val="21"/>
          <w:szCs w:val="21"/>
        </w:rPr>
        <w:t xml:space="preserve"> </w:t>
      </w:r>
      <w:r w:rsidRPr="009614CA">
        <w:rPr>
          <w:rFonts w:ascii="Garamond" w:hAnsi="Garamond"/>
          <w:sz w:val="24"/>
          <w:szCs w:val="24"/>
        </w:rPr>
        <w:t>Rösch and Kaserer, 2013).</w:t>
      </w:r>
    </w:p>
    <w:p w14:paraId="614D9240" w14:textId="7B5AB3C1" w:rsidR="00BE49FD" w:rsidRPr="009614CA" w:rsidRDefault="00BE49FD" w:rsidP="00BE49FD">
      <w:pPr>
        <w:spacing w:line="360" w:lineRule="auto"/>
        <w:jc w:val="both"/>
        <w:rPr>
          <w:rFonts w:ascii="Garamond" w:hAnsi="Garamond"/>
          <w:sz w:val="24"/>
          <w:szCs w:val="24"/>
        </w:rPr>
      </w:pPr>
      <w:r w:rsidRPr="009614CA">
        <w:rPr>
          <w:rFonts w:ascii="Garamond" w:hAnsi="Garamond"/>
          <w:sz w:val="24"/>
          <w:szCs w:val="24"/>
        </w:rPr>
        <w:t xml:space="preserve">Instead, we see both </w:t>
      </w:r>
      <w:r>
        <w:rPr>
          <w:rFonts w:ascii="Garamond" w:hAnsi="Garamond"/>
          <w:sz w:val="24"/>
          <w:szCs w:val="24"/>
        </w:rPr>
        <w:t xml:space="preserve">of </w:t>
      </w:r>
      <w:r w:rsidRPr="009614CA">
        <w:rPr>
          <w:rFonts w:ascii="Garamond" w:hAnsi="Garamond"/>
          <w:sz w:val="24"/>
          <w:szCs w:val="24"/>
        </w:rPr>
        <w:t xml:space="preserve">the liquidity related measures (i.e. turnover rate and trading volume) </w:t>
      </w:r>
      <w:r>
        <w:rPr>
          <w:rFonts w:ascii="Garamond" w:hAnsi="Garamond"/>
          <w:sz w:val="24"/>
          <w:szCs w:val="24"/>
        </w:rPr>
        <w:t xml:space="preserve">increase following the crisis shock in </w:t>
      </w:r>
      <w:smartTag w:uri="urn:schemas-microsoft-com:office:smarttags" w:element="country-region">
        <w:r>
          <w:rPr>
            <w:rFonts w:ascii="Garamond" w:hAnsi="Garamond"/>
            <w:sz w:val="24"/>
            <w:szCs w:val="24"/>
          </w:rPr>
          <w:t>Bangladesh</w:t>
        </w:r>
      </w:smartTag>
      <w:r>
        <w:rPr>
          <w:rFonts w:ascii="Garamond" w:hAnsi="Garamond"/>
          <w:sz w:val="24"/>
          <w:szCs w:val="24"/>
        </w:rPr>
        <w:t xml:space="preserve">, and only the trading volume in </w:t>
      </w:r>
      <w:smartTag w:uri="urn:schemas-microsoft-com:office:smarttags" w:element="country-region">
        <w:smartTag w:uri="urn:schemas-microsoft-com:office:smarttags" w:element="place">
          <w:r>
            <w:rPr>
              <w:rFonts w:ascii="Garamond" w:hAnsi="Garamond"/>
              <w:sz w:val="24"/>
              <w:szCs w:val="24"/>
            </w:rPr>
            <w:t>India</w:t>
          </w:r>
        </w:smartTag>
      </w:smartTag>
      <w:r>
        <w:rPr>
          <w:rFonts w:ascii="Garamond" w:hAnsi="Garamond"/>
          <w:sz w:val="24"/>
          <w:szCs w:val="24"/>
        </w:rPr>
        <w:t xml:space="preserve">. For </w:t>
      </w:r>
      <w:smartTag w:uri="urn:schemas-microsoft-com:office:smarttags" w:element="country-region">
        <w:smartTag w:uri="urn:schemas-microsoft-com:office:smarttags" w:element="place">
          <w:r>
            <w:rPr>
              <w:rFonts w:ascii="Garamond" w:hAnsi="Garamond"/>
              <w:sz w:val="24"/>
              <w:szCs w:val="24"/>
            </w:rPr>
            <w:t>Bangladesh</w:t>
          </w:r>
        </w:smartTag>
      </w:smartTag>
      <w:r>
        <w:rPr>
          <w:rFonts w:ascii="Garamond" w:hAnsi="Garamond"/>
          <w:sz w:val="24"/>
          <w:szCs w:val="24"/>
        </w:rPr>
        <w:t xml:space="preserve"> an innovation to the crisis is strongly significant on the turnover rate with the response peaking from period one. However, the trading volume starts to increase from the </w:t>
      </w:r>
      <w:r>
        <w:rPr>
          <w:rFonts w:ascii="Garamond" w:hAnsi="Garamond"/>
          <w:sz w:val="24"/>
          <w:szCs w:val="24"/>
        </w:rPr>
        <w:lastRenderedPageBreak/>
        <w:t xml:space="preserve">fourth month following </w:t>
      </w:r>
      <w:r w:rsidRPr="00A07320">
        <w:rPr>
          <w:rFonts w:ascii="Garamond" w:hAnsi="Garamond"/>
          <w:sz w:val="24"/>
          <w:szCs w:val="24"/>
        </w:rPr>
        <w:t xml:space="preserve">an innovation to </w:t>
      </w:r>
      <w:r>
        <w:rPr>
          <w:rFonts w:ascii="Garamond" w:hAnsi="Garamond"/>
          <w:sz w:val="24"/>
          <w:szCs w:val="24"/>
        </w:rPr>
        <w:t xml:space="preserve">the </w:t>
      </w:r>
      <w:r w:rsidRPr="00A07320">
        <w:rPr>
          <w:rFonts w:ascii="Garamond" w:hAnsi="Garamond"/>
          <w:sz w:val="24"/>
          <w:szCs w:val="24"/>
        </w:rPr>
        <w:t xml:space="preserve">crisis. Except these two countries, trading volume receives significant negative shocks in </w:t>
      </w:r>
      <w:smartTag w:uri="urn:schemas-microsoft-com:office:smarttags" w:element="country-region">
        <w:r w:rsidRPr="00A07320">
          <w:rPr>
            <w:rFonts w:ascii="Garamond" w:hAnsi="Garamond"/>
            <w:sz w:val="24"/>
            <w:szCs w:val="24"/>
          </w:rPr>
          <w:t>South Korea</w:t>
        </w:r>
      </w:smartTag>
      <w:r w:rsidRPr="00A07320">
        <w:rPr>
          <w:rFonts w:ascii="Garamond" w:hAnsi="Garamond"/>
          <w:sz w:val="24"/>
          <w:szCs w:val="24"/>
        </w:rPr>
        <w:t xml:space="preserve">, </w:t>
      </w:r>
      <w:smartTag w:uri="urn:schemas-microsoft-com:office:smarttags" w:element="country-region">
        <w:r w:rsidRPr="00A07320">
          <w:rPr>
            <w:rFonts w:ascii="Garamond" w:hAnsi="Garamond"/>
            <w:sz w:val="24"/>
            <w:szCs w:val="24"/>
          </w:rPr>
          <w:t>Taiwan</w:t>
        </w:r>
      </w:smartTag>
      <w:r w:rsidRPr="00A07320">
        <w:rPr>
          <w:rFonts w:ascii="Garamond" w:hAnsi="Garamond"/>
          <w:sz w:val="24"/>
          <w:szCs w:val="24"/>
        </w:rPr>
        <w:t xml:space="preserve"> and </w:t>
      </w:r>
      <w:smartTag w:uri="urn:schemas-microsoft-com:office:smarttags" w:element="country-region">
        <w:r w:rsidRPr="00A07320">
          <w:rPr>
            <w:rFonts w:ascii="Garamond" w:hAnsi="Garamond"/>
            <w:sz w:val="24"/>
            <w:szCs w:val="24"/>
          </w:rPr>
          <w:t>Thailand</w:t>
        </w:r>
      </w:smartTag>
      <w:r w:rsidRPr="00A07320">
        <w:rPr>
          <w:rFonts w:ascii="Garamond" w:hAnsi="Garamond"/>
          <w:sz w:val="24"/>
          <w:szCs w:val="24"/>
        </w:rPr>
        <w:t xml:space="preserve">; and turnover rate receives negative shocks in </w:t>
      </w:r>
      <w:smartTag w:uri="urn:schemas-microsoft-com:office:smarttags" w:element="country-region">
        <w:r w:rsidRPr="00A07320">
          <w:rPr>
            <w:rFonts w:ascii="Garamond" w:hAnsi="Garamond"/>
            <w:sz w:val="24"/>
            <w:szCs w:val="24"/>
          </w:rPr>
          <w:t>Indonesia</w:t>
        </w:r>
      </w:smartTag>
      <w:r w:rsidRPr="00A07320">
        <w:rPr>
          <w:rFonts w:ascii="Garamond" w:hAnsi="Garamond"/>
          <w:sz w:val="24"/>
          <w:szCs w:val="24"/>
        </w:rPr>
        <w:t xml:space="preserve">, </w:t>
      </w:r>
      <w:smartTag w:uri="urn:schemas-microsoft-com:office:smarttags" w:element="country-region">
        <w:r w:rsidRPr="00A07320">
          <w:rPr>
            <w:rFonts w:ascii="Garamond" w:hAnsi="Garamond"/>
            <w:sz w:val="24"/>
            <w:szCs w:val="24"/>
          </w:rPr>
          <w:t>Malaysia</w:t>
        </w:r>
      </w:smartTag>
      <w:r w:rsidRPr="00A07320">
        <w:rPr>
          <w:rFonts w:ascii="Garamond" w:hAnsi="Garamond"/>
          <w:sz w:val="24"/>
          <w:szCs w:val="24"/>
        </w:rPr>
        <w:t xml:space="preserve">, </w:t>
      </w:r>
      <w:smartTag w:uri="urn:schemas-microsoft-com:office:smarttags" w:element="country-region">
        <w:r w:rsidRPr="00A07320">
          <w:rPr>
            <w:rFonts w:ascii="Garamond" w:hAnsi="Garamond"/>
            <w:sz w:val="24"/>
            <w:szCs w:val="24"/>
          </w:rPr>
          <w:t>Pakistan</w:t>
        </w:r>
      </w:smartTag>
      <w:r w:rsidRPr="00A07320">
        <w:rPr>
          <w:rFonts w:ascii="Garamond" w:hAnsi="Garamond"/>
          <w:sz w:val="24"/>
          <w:szCs w:val="24"/>
        </w:rPr>
        <w:t xml:space="preserve">, </w:t>
      </w:r>
      <w:smartTag w:uri="urn:schemas-microsoft-com:office:smarttags" w:element="country-region">
        <w:r w:rsidRPr="00A07320">
          <w:rPr>
            <w:rFonts w:ascii="Garamond" w:hAnsi="Garamond"/>
            <w:sz w:val="24"/>
            <w:szCs w:val="24"/>
          </w:rPr>
          <w:t>South Korea</w:t>
        </w:r>
      </w:smartTag>
      <w:r w:rsidRPr="00A07320">
        <w:rPr>
          <w:rFonts w:ascii="Garamond" w:hAnsi="Garamond"/>
          <w:sz w:val="24"/>
          <w:szCs w:val="24"/>
        </w:rPr>
        <w:t xml:space="preserve"> and </w:t>
      </w:r>
      <w:smartTag w:uri="urn:schemas-microsoft-com:office:smarttags" w:element="country-region">
        <w:smartTag w:uri="urn:schemas-microsoft-com:office:smarttags" w:element="place">
          <w:r w:rsidRPr="00A07320">
            <w:rPr>
              <w:rFonts w:ascii="Garamond" w:hAnsi="Garamond"/>
              <w:sz w:val="24"/>
              <w:szCs w:val="24"/>
            </w:rPr>
            <w:t>Thailand</w:t>
          </w:r>
        </w:smartTag>
      </w:smartTag>
      <w:r w:rsidRPr="00A07320">
        <w:rPr>
          <w:rFonts w:ascii="Garamond" w:hAnsi="Garamond"/>
          <w:sz w:val="24"/>
          <w:szCs w:val="24"/>
        </w:rPr>
        <w:t>. Our results</w:t>
      </w:r>
      <w:r w:rsidR="00B6107E">
        <w:rPr>
          <w:rFonts w:ascii="Garamond" w:hAnsi="Garamond"/>
          <w:sz w:val="24"/>
          <w:szCs w:val="24"/>
        </w:rPr>
        <w:t xml:space="preserve"> therefore</w:t>
      </w:r>
      <w:r w:rsidRPr="00A07320">
        <w:rPr>
          <w:rFonts w:ascii="Garamond" w:hAnsi="Garamond"/>
          <w:sz w:val="24"/>
          <w:szCs w:val="24"/>
        </w:rPr>
        <w:t xml:space="preserve"> highlight the fact that the nature and depth of </w:t>
      </w:r>
      <w:r>
        <w:rPr>
          <w:rFonts w:ascii="Garamond" w:hAnsi="Garamond"/>
          <w:sz w:val="24"/>
          <w:szCs w:val="24"/>
        </w:rPr>
        <w:t xml:space="preserve">the </w:t>
      </w:r>
      <w:r w:rsidRPr="00A07320">
        <w:rPr>
          <w:rFonts w:ascii="Garamond" w:hAnsi="Garamond"/>
          <w:sz w:val="24"/>
          <w:szCs w:val="24"/>
        </w:rPr>
        <w:t xml:space="preserve">financial crisis </w:t>
      </w:r>
      <w:r>
        <w:rPr>
          <w:rFonts w:ascii="Garamond" w:hAnsi="Garamond"/>
          <w:sz w:val="24"/>
          <w:szCs w:val="24"/>
        </w:rPr>
        <w:t xml:space="preserve">of </w:t>
      </w:r>
      <w:r w:rsidRPr="00A07320">
        <w:rPr>
          <w:rFonts w:ascii="Garamond" w:hAnsi="Garamond"/>
          <w:sz w:val="24"/>
          <w:szCs w:val="24"/>
        </w:rPr>
        <w:t xml:space="preserve">2007-08 was different </w:t>
      </w:r>
      <w:r w:rsidR="00B6107E">
        <w:rPr>
          <w:rFonts w:ascii="Garamond" w:hAnsi="Garamond"/>
          <w:sz w:val="24"/>
          <w:szCs w:val="24"/>
        </w:rPr>
        <w:t>from</w:t>
      </w:r>
      <w:r w:rsidRPr="00A07320">
        <w:rPr>
          <w:rFonts w:ascii="Garamond" w:hAnsi="Garamond"/>
          <w:sz w:val="24"/>
          <w:szCs w:val="24"/>
        </w:rPr>
        <w:t xml:space="preserve"> other financial cris</w:t>
      </w:r>
      <w:r>
        <w:rPr>
          <w:rFonts w:ascii="Garamond" w:hAnsi="Garamond"/>
          <w:sz w:val="24"/>
          <w:szCs w:val="24"/>
        </w:rPr>
        <w:t>e</w:t>
      </w:r>
      <w:r w:rsidRPr="00A07320">
        <w:rPr>
          <w:rFonts w:ascii="Garamond" w:hAnsi="Garamond"/>
          <w:sz w:val="24"/>
          <w:szCs w:val="24"/>
        </w:rPr>
        <w:t>s</w:t>
      </w:r>
      <w:r>
        <w:rPr>
          <w:rFonts w:ascii="Garamond" w:hAnsi="Garamond"/>
          <w:sz w:val="24"/>
          <w:szCs w:val="24"/>
        </w:rPr>
        <w:t>,</w:t>
      </w:r>
      <w:r w:rsidRPr="00A07320">
        <w:rPr>
          <w:rFonts w:ascii="Garamond" w:hAnsi="Garamond"/>
          <w:sz w:val="24"/>
          <w:szCs w:val="24"/>
        </w:rPr>
        <w:t xml:space="preserve"> or </w:t>
      </w:r>
      <w:r>
        <w:rPr>
          <w:rFonts w:ascii="Garamond" w:hAnsi="Garamond"/>
          <w:sz w:val="24"/>
          <w:szCs w:val="24"/>
        </w:rPr>
        <w:t xml:space="preserve">the </w:t>
      </w:r>
      <w:r w:rsidRPr="00A07320">
        <w:rPr>
          <w:rFonts w:ascii="Garamond" w:hAnsi="Garamond"/>
          <w:sz w:val="24"/>
          <w:szCs w:val="24"/>
        </w:rPr>
        <w:t>cris</w:t>
      </w:r>
      <w:r>
        <w:rPr>
          <w:rFonts w:ascii="Garamond" w:hAnsi="Garamond"/>
          <w:sz w:val="24"/>
          <w:szCs w:val="24"/>
        </w:rPr>
        <w:t>e</w:t>
      </w:r>
      <w:r w:rsidRPr="00A07320">
        <w:rPr>
          <w:rFonts w:ascii="Garamond" w:hAnsi="Garamond"/>
          <w:sz w:val="24"/>
          <w:szCs w:val="24"/>
        </w:rPr>
        <w:t xml:space="preserve">s </w:t>
      </w:r>
      <w:r>
        <w:rPr>
          <w:rFonts w:ascii="Garamond" w:hAnsi="Garamond"/>
          <w:sz w:val="24"/>
          <w:szCs w:val="24"/>
        </w:rPr>
        <w:t xml:space="preserve">that </w:t>
      </w:r>
      <w:r w:rsidRPr="00A07320">
        <w:rPr>
          <w:rFonts w:ascii="Garamond" w:hAnsi="Garamond"/>
          <w:sz w:val="24"/>
          <w:szCs w:val="24"/>
        </w:rPr>
        <w:t>happened in certain region</w:t>
      </w:r>
      <w:r>
        <w:rPr>
          <w:rFonts w:ascii="Garamond" w:hAnsi="Garamond"/>
          <w:sz w:val="24"/>
          <w:szCs w:val="24"/>
        </w:rPr>
        <w:t>s,</w:t>
      </w:r>
      <w:r w:rsidRPr="00A07320">
        <w:rPr>
          <w:rFonts w:ascii="Garamond" w:hAnsi="Garamond"/>
          <w:sz w:val="24"/>
          <w:szCs w:val="24"/>
        </w:rPr>
        <w:t xml:space="preserve"> as suggested in many earlier studies, such as Bartram and Bodnar (2009). For example, Lesmond (2005) analyses 23 emerging markets and find</w:t>
      </w:r>
      <w:r>
        <w:rPr>
          <w:rFonts w:ascii="Garamond" w:hAnsi="Garamond"/>
          <w:sz w:val="24"/>
          <w:szCs w:val="24"/>
        </w:rPr>
        <w:t>s</w:t>
      </w:r>
      <w:r w:rsidRPr="00A07320">
        <w:rPr>
          <w:rFonts w:ascii="Garamond" w:hAnsi="Garamond"/>
          <w:sz w:val="24"/>
          <w:szCs w:val="24"/>
        </w:rPr>
        <w:t xml:space="preserve"> that bid-ask spread</w:t>
      </w:r>
      <w:r w:rsidR="00B6107E">
        <w:rPr>
          <w:rFonts w:ascii="Garamond" w:hAnsi="Garamond"/>
          <w:sz w:val="24"/>
          <w:szCs w:val="24"/>
        </w:rPr>
        <w:t>s</w:t>
      </w:r>
      <w:r w:rsidRPr="00A07320">
        <w:rPr>
          <w:rFonts w:ascii="Garamond" w:hAnsi="Garamond"/>
          <w:sz w:val="24"/>
          <w:szCs w:val="24"/>
        </w:rPr>
        <w:t xml:space="preserve"> and several other liquidity measures sharply increase</w:t>
      </w:r>
      <w:r>
        <w:rPr>
          <w:rFonts w:ascii="Garamond" w:hAnsi="Garamond"/>
          <w:sz w:val="24"/>
          <w:szCs w:val="24"/>
        </w:rPr>
        <w:t>d</w:t>
      </w:r>
      <w:r w:rsidRPr="00A07320">
        <w:rPr>
          <w:rFonts w:ascii="Garamond" w:hAnsi="Garamond"/>
          <w:sz w:val="24"/>
          <w:szCs w:val="24"/>
        </w:rPr>
        <w:t xml:space="preserve"> during the Asian and Russian financial cris</w:t>
      </w:r>
      <w:r>
        <w:rPr>
          <w:rFonts w:ascii="Garamond" w:hAnsi="Garamond"/>
          <w:sz w:val="24"/>
          <w:szCs w:val="24"/>
        </w:rPr>
        <w:t>e</w:t>
      </w:r>
      <w:r w:rsidRPr="00A07320">
        <w:rPr>
          <w:rFonts w:ascii="Garamond" w:hAnsi="Garamond"/>
          <w:sz w:val="24"/>
          <w:szCs w:val="24"/>
        </w:rPr>
        <w:t xml:space="preserve">s. Yeyati et al. (2008) also find </w:t>
      </w:r>
      <w:r w:rsidR="00B6107E">
        <w:rPr>
          <w:rFonts w:ascii="Garamond" w:hAnsi="Garamond"/>
          <w:sz w:val="24"/>
          <w:szCs w:val="24"/>
        </w:rPr>
        <w:t xml:space="preserve">an </w:t>
      </w:r>
      <w:r w:rsidRPr="00A07320">
        <w:rPr>
          <w:rFonts w:ascii="Garamond" w:hAnsi="Garamond"/>
          <w:sz w:val="24"/>
          <w:szCs w:val="24"/>
        </w:rPr>
        <w:t xml:space="preserve">initial increase in trading activity during </w:t>
      </w:r>
      <w:r w:rsidR="00B6107E">
        <w:rPr>
          <w:rFonts w:ascii="Garamond" w:hAnsi="Garamond"/>
          <w:sz w:val="24"/>
          <w:szCs w:val="24"/>
        </w:rPr>
        <w:t xml:space="preserve">the </w:t>
      </w:r>
      <w:r w:rsidRPr="00A07320">
        <w:rPr>
          <w:rFonts w:ascii="Garamond" w:hAnsi="Garamond"/>
          <w:sz w:val="24"/>
          <w:szCs w:val="24"/>
        </w:rPr>
        <w:t>crisis period by examining seven different countries and 52 different stocks over a crisis period from April 1994–June 2004. On the contra</w:t>
      </w:r>
      <w:r>
        <w:rPr>
          <w:rFonts w:ascii="Garamond" w:hAnsi="Garamond"/>
          <w:sz w:val="24"/>
          <w:szCs w:val="24"/>
        </w:rPr>
        <w:t>ry</w:t>
      </w:r>
      <w:r w:rsidRPr="00A07320">
        <w:rPr>
          <w:rFonts w:ascii="Garamond" w:hAnsi="Garamond"/>
          <w:sz w:val="24"/>
          <w:szCs w:val="24"/>
        </w:rPr>
        <w:t xml:space="preserve">, due to </w:t>
      </w:r>
      <w:r>
        <w:rPr>
          <w:rFonts w:ascii="Garamond" w:hAnsi="Garamond"/>
          <w:sz w:val="24"/>
          <w:szCs w:val="24"/>
        </w:rPr>
        <w:t xml:space="preserve">an </w:t>
      </w:r>
      <w:r w:rsidRPr="00A07320">
        <w:rPr>
          <w:rFonts w:ascii="Garamond" w:hAnsi="Garamond"/>
          <w:sz w:val="24"/>
          <w:szCs w:val="24"/>
        </w:rPr>
        <w:t xml:space="preserve">absence of liquidity during </w:t>
      </w:r>
      <w:r>
        <w:rPr>
          <w:rFonts w:ascii="Garamond" w:hAnsi="Garamond"/>
          <w:sz w:val="24"/>
          <w:szCs w:val="24"/>
        </w:rPr>
        <w:t xml:space="preserve">the </w:t>
      </w:r>
      <w:r w:rsidRPr="00A07320">
        <w:rPr>
          <w:rFonts w:ascii="Garamond" w:hAnsi="Garamond"/>
          <w:sz w:val="24"/>
          <w:szCs w:val="24"/>
        </w:rPr>
        <w:t xml:space="preserve">crisis </w:t>
      </w:r>
      <w:r>
        <w:rPr>
          <w:rFonts w:ascii="Garamond" w:hAnsi="Garamond"/>
          <w:sz w:val="24"/>
          <w:szCs w:val="24"/>
        </w:rPr>
        <w:t xml:space="preserve">of </w:t>
      </w:r>
      <w:r w:rsidRPr="00A07320">
        <w:rPr>
          <w:rFonts w:ascii="Garamond" w:hAnsi="Garamond"/>
          <w:sz w:val="24"/>
          <w:szCs w:val="24"/>
        </w:rPr>
        <w:t>2007-08, the world faced dramatic falls in stock markets and all over the world central bank</w:t>
      </w:r>
      <w:r>
        <w:rPr>
          <w:rFonts w:ascii="Garamond" w:hAnsi="Garamond"/>
          <w:sz w:val="24"/>
          <w:szCs w:val="24"/>
        </w:rPr>
        <w:t>s</w:t>
      </w:r>
      <w:r w:rsidRPr="00A07320">
        <w:rPr>
          <w:rFonts w:ascii="Garamond" w:hAnsi="Garamond"/>
          <w:sz w:val="24"/>
          <w:szCs w:val="24"/>
        </w:rPr>
        <w:t xml:space="preserve"> and governments adopted massive stimulus package</w:t>
      </w:r>
      <w:r>
        <w:rPr>
          <w:rFonts w:ascii="Garamond" w:hAnsi="Garamond"/>
          <w:sz w:val="24"/>
          <w:szCs w:val="24"/>
        </w:rPr>
        <w:t>s</w:t>
      </w:r>
      <w:r w:rsidRPr="00A07320">
        <w:rPr>
          <w:rFonts w:ascii="Garamond" w:hAnsi="Garamond"/>
          <w:sz w:val="24"/>
          <w:szCs w:val="24"/>
        </w:rPr>
        <w:t xml:space="preserve"> to </w:t>
      </w:r>
      <w:r w:rsidR="00B6107E">
        <w:rPr>
          <w:rFonts w:ascii="Garamond" w:hAnsi="Garamond"/>
          <w:sz w:val="24"/>
          <w:szCs w:val="24"/>
        </w:rPr>
        <w:t>increase</w:t>
      </w:r>
      <w:r w:rsidRPr="00A07320">
        <w:rPr>
          <w:rFonts w:ascii="Garamond" w:hAnsi="Garamond"/>
          <w:sz w:val="24"/>
          <w:szCs w:val="24"/>
        </w:rPr>
        <w:t xml:space="preserve"> liquidity (see Söderberg, 2008; Blanchard et al., 2010; Woodfrod, 2011). </w:t>
      </w:r>
      <w:r w:rsidR="00B6107E">
        <w:rPr>
          <w:rFonts w:ascii="Garamond" w:hAnsi="Garamond"/>
          <w:sz w:val="24"/>
          <w:szCs w:val="24"/>
        </w:rPr>
        <w:t>G</w:t>
      </w:r>
      <w:r w:rsidRPr="00A07320">
        <w:rPr>
          <w:rFonts w:ascii="Garamond" w:hAnsi="Garamond"/>
          <w:sz w:val="24"/>
          <w:szCs w:val="24"/>
        </w:rPr>
        <w:t xml:space="preserve">lobal equity market capitalization </w:t>
      </w:r>
      <w:r w:rsidR="00B6107E">
        <w:rPr>
          <w:rFonts w:ascii="Garamond" w:hAnsi="Garamond"/>
          <w:sz w:val="24"/>
          <w:szCs w:val="24"/>
        </w:rPr>
        <w:t>fell</w:t>
      </w:r>
      <w:r w:rsidRPr="00A07320">
        <w:rPr>
          <w:rFonts w:ascii="Garamond" w:hAnsi="Garamond"/>
          <w:sz w:val="24"/>
          <w:szCs w:val="24"/>
        </w:rPr>
        <w:t xml:space="preserve"> from $51 trillion to $22 trillion over </w:t>
      </w:r>
      <w:r>
        <w:rPr>
          <w:rFonts w:ascii="Garamond" w:hAnsi="Garamond"/>
          <w:sz w:val="24"/>
          <w:szCs w:val="24"/>
        </w:rPr>
        <w:t xml:space="preserve">the </w:t>
      </w:r>
      <w:r w:rsidRPr="00A07320">
        <w:rPr>
          <w:rFonts w:ascii="Garamond" w:hAnsi="Garamond"/>
          <w:sz w:val="24"/>
          <w:szCs w:val="24"/>
        </w:rPr>
        <w:t xml:space="preserve">17 month period from October 2007 to February 2009 (see Bartram and Bodnar, 2009). </w:t>
      </w:r>
      <w:r>
        <w:rPr>
          <w:rFonts w:ascii="Garamond" w:hAnsi="Garamond"/>
          <w:sz w:val="24"/>
          <w:szCs w:val="24"/>
        </w:rPr>
        <w:t xml:space="preserve">In particular, the onset of the global financial crisis dealt a heavy blow to highly export dependent Asian economies, such that East Asia’s capital account suffered a $172 billion fall in just a year from 2007 to 2008; Asian markets experienced a $35.7 billion decline from their portfolio investment account in 2007; and in 2008 the net outflow from the emerging Asian markets took up 61.3 percent of total net outflow from the emerging markets (see Park, Pempel and Xiao, 2012 for more discussion). </w:t>
      </w:r>
    </w:p>
    <w:p w14:paraId="77F079D0" w14:textId="77777777" w:rsidR="00BE49FD" w:rsidRDefault="00BE49FD" w:rsidP="00BE49FD">
      <w:pPr>
        <w:rPr>
          <w:rFonts w:ascii="Garamond" w:hAnsi="Garamond"/>
          <w:b/>
          <w:sz w:val="24"/>
          <w:szCs w:val="24"/>
        </w:rPr>
      </w:pPr>
      <w:r>
        <w:rPr>
          <w:rFonts w:ascii="Garamond" w:hAnsi="Garamond"/>
          <w:b/>
          <w:sz w:val="24"/>
          <w:szCs w:val="24"/>
        </w:rPr>
        <w:br w:type="page"/>
      </w:r>
    </w:p>
    <w:p w14:paraId="5F7E1539" w14:textId="77777777" w:rsidR="00BE49FD" w:rsidRDefault="00BE49FD" w:rsidP="00BE49FD">
      <w:pPr>
        <w:spacing w:line="360" w:lineRule="auto"/>
        <w:jc w:val="center"/>
        <w:rPr>
          <w:rFonts w:ascii="Garamond" w:hAnsi="Garamond"/>
          <w:b/>
          <w:sz w:val="24"/>
          <w:szCs w:val="24"/>
        </w:rPr>
      </w:pPr>
      <w:r w:rsidRPr="00FE64C6">
        <w:rPr>
          <w:rFonts w:ascii="Garamond" w:hAnsi="Garamond"/>
          <w:b/>
          <w:sz w:val="24"/>
          <w:szCs w:val="24"/>
        </w:rPr>
        <w:lastRenderedPageBreak/>
        <w:t>Figure 3: Accumulated response of (il) liquidity variables to Cholesky One S.D. crisis shocks</w:t>
      </w:r>
    </w:p>
    <w:p w14:paraId="030124DF" w14:textId="77777777" w:rsidR="00BE49FD" w:rsidRPr="00FE64C6" w:rsidRDefault="00BE49FD" w:rsidP="00BE49FD">
      <w:pPr>
        <w:spacing w:line="360" w:lineRule="auto"/>
        <w:jc w:val="center"/>
        <w:rPr>
          <w:rFonts w:ascii="Garamond" w:hAnsi="Garamond"/>
          <w:b/>
          <w:sz w:val="24"/>
          <w:szCs w:val="24"/>
        </w:rPr>
      </w:pPr>
      <w:r>
        <w:rPr>
          <w:rFonts w:ascii="Garamond" w:hAnsi="Garamond"/>
          <w:b/>
          <w:sz w:val="24"/>
          <w:szCs w:val="24"/>
        </w:rPr>
        <w:t xml:space="preserve">Group A: </w:t>
      </w:r>
      <w:smartTag w:uri="urn:schemas-microsoft-com:office:smarttags" w:element="country-region">
        <w:smartTag w:uri="urn:schemas-microsoft-com:office:smarttags" w:element="place">
          <w:r>
            <w:rPr>
              <w:rFonts w:ascii="Garamond" w:hAnsi="Garamond"/>
              <w:b/>
              <w:sz w:val="24"/>
              <w:szCs w:val="24"/>
            </w:rPr>
            <w:t>Bangladesh</w:t>
          </w:r>
        </w:smartTag>
      </w:smartTag>
    </w:p>
    <w:p w14:paraId="5DF02779" w14:textId="77777777" w:rsidR="00BE49FD" w:rsidRDefault="00BE49FD" w:rsidP="00BE49FD">
      <w:pPr>
        <w:spacing w:line="360" w:lineRule="auto"/>
        <w:jc w:val="both"/>
        <w:rPr>
          <w:rFonts w:ascii="Garamond" w:hAnsi="Garamond"/>
          <w:sz w:val="24"/>
          <w:szCs w:val="24"/>
        </w:rPr>
      </w:pPr>
      <w:r>
        <w:rPr>
          <w:rFonts w:ascii="Garamond" w:hAnsi="Garamond"/>
          <w:noProof/>
          <w:sz w:val="24"/>
          <w:szCs w:val="24"/>
        </w:rPr>
        <w:drawing>
          <wp:inline distT="0" distB="0" distL="0" distR="0" wp14:anchorId="78FDDC68" wp14:editId="3DFD7B17">
            <wp:extent cx="2705100" cy="1876425"/>
            <wp:effectExtent l="0" t="0" r="0" b="9525"/>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876425"/>
                    </a:xfrm>
                    <a:prstGeom prst="rect">
                      <a:avLst/>
                    </a:prstGeom>
                    <a:noFill/>
                    <a:ln>
                      <a:noFill/>
                    </a:ln>
                  </pic:spPr>
                </pic:pic>
              </a:graphicData>
            </a:graphic>
          </wp:inline>
        </w:drawing>
      </w:r>
      <w:r>
        <w:rPr>
          <w:rFonts w:ascii="Garamond" w:hAnsi="Garamond"/>
          <w:sz w:val="24"/>
          <w:szCs w:val="24"/>
        </w:rPr>
        <w:tab/>
      </w:r>
      <w:r w:rsidRPr="00DA1954">
        <w:rPr>
          <w:rFonts w:ascii="Garamond" w:hAnsi="Garamond"/>
          <w:sz w:val="24"/>
          <w:szCs w:val="24"/>
        </w:rPr>
        <w:t xml:space="preserve"> </w:t>
      </w:r>
      <w:r>
        <w:rPr>
          <w:rFonts w:ascii="Garamond" w:hAnsi="Garamond"/>
          <w:noProof/>
          <w:sz w:val="24"/>
          <w:szCs w:val="24"/>
        </w:rPr>
        <w:drawing>
          <wp:inline distT="0" distB="0" distL="0" distR="0" wp14:anchorId="4067FE31" wp14:editId="708F79A9">
            <wp:extent cx="2705100" cy="1876425"/>
            <wp:effectExtent l="0" t="0" r="0" b="9525"/>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876425"/>
                    </a:xfrm>
                    <a:prstGeom prst="rect">
                      <a:avLst/>
                    </a:prstGeom>
                    <a:noFill/>
                    <a:ln>
                      <a:noFill/>
                    </a:ln>
                  </pic:spPr>
                </pic:pic>
              </a:graphicData>
            </a:graphic>
          </wp:inline>
        </w:drawing>
      </w:r>
    </w:p>
    <w:p w14:paraId="61272A18" w14:textId="77777777" w:rsidR="00BE49FD" w:rsidRDefault="00BE49FD" w:rsidP="00BE49FD">
      <w:pPr>
        <w:spacing w:line="360" w:lineRule="auto"/>
        <w:jc w:val="both"/>
        <w:rPr>
          <w:rFonts w:ascii="Garamond" w:hAnsi="Garamond"/>
          <w:sz w:val="24"/>
          <w:szCs w:val="24"/>
        </w:rPr>
      </w:pPr>
      <w:r>
        <w:rPr>
          <w:rFonts w:ascii="Garamond" w:hAnsi="Garamond"/>
          <w:noProof/>
          <w:sz w:val="24"/>
          <w:szCs w:val="24"/>
        </w:rPr>
        <w:drawing>
          <wp:inline distT="0" distB="0" distL="0" distR="0" wp14:anchorId="4B3B3CC2" wp14:editId="3A96BBC3">
            <wp:extent cx="2705100" cy="1809750"/>
            <wp:effectExtent l="0" t="0" r="0" b="0"/>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809750"/>
                    </a:xfrm>
                    <a:prstGeom prst="rect">
                      <a:avLst/>
                    </a:prstGeom>
                    <a:noFill/>
                    <a:ln>
                      <a:noFill/>
                    </a:ln>
                  </pic:spPr>
                </pic:pic>
              </a:graphicData>
            </a:graphic>
          </wp:inline>
        </w:drawing>
      </w:r>
      <w:r w:rsidRPr="00DA1954">
        <w:rPr>
          <w:rFonts w:ascii="Garamond" w:hAnsi="Garamond"/>
          <w:sz w:val="24"/>
          <w:szCs w:val="24"/>
        </w:rPr>
        <w:t xml:space="preserve"> </w:t>
      </w:r>
      <w:r>
        <w:rPr>
          <w:rFonts w:ascii="Garamond" w:hAnsi="Garamond"/>
          <w:noProof/>
          <w:sz w:val="24"/>
          <w:szCs w:val="24"/>
        </w:rPr>
        <w:drawing>
          <wp:inline distT="0" distB="0" distL="0" distR="0" wp14:anchorId="43AE0726" wp14:editId="06551872">
            <wp:extent cx="2705100" cy="1809750"/>
            <wp:effectExtent l="0" t="0" r="0" b="0"/>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809750"/>
                    </a:xfrm>
                    <a:prstGeom prst="rect">
                      <a:avLst/>
                    </a:prstGeom>
                    <a:noFill/>
                    <a:ln>
                      <a:noFill/>
                    </a:ln>
                  </pic:spPr>
                </pic:pic>
              </a:graphicData>
            </a:graphic>
          </wp:inline>
        </w:drawing>
      </w:r>
    </w:p>
    <w:p w14:paraId="3686C318" w14:textId="77777777" w:rsidR="00BE49FD" w:rsidRDefault="00BE49FD" w:rsidP="00BE49FD">
      <w:pPr>
        <w:spacing w:line="360" w:lineRule="auto"/>
        <w:jc w:val="center"/>
        <w:rPr>
          <w:rFonts w:ascii="Garamond" w:hAnsi="Garamond"/>
          <w:b/>
          <w:sz w:val="24"/>
          <w:szCs w:val="24"/>
        </w:rPr>
      </w:pPr>
    </w:p>
    <w:p w14:paraId="6AF74A88" w14:textId="77777777" w:rsidR="00BE49FD" w:rsidRDefault="00BE49FD" w:rsidP="00BE49FD">
      <w:pPr>
        <w:spacing w:line="360" w:lineRule="auto"/>
        <w:rPr>
          <w:rFonts w:ascii="Garamond" w:hAnsi="Garamond"/>
          <w:b/>
          <w:sz w:val="24"/>
          <w:szCs w:val="24"/>
        </w:rPr>
      </w:pPr>
    </w:p>
    <w:p w14:paraId="2BF322F1" w14:textId="77777777" w:rsidR="00BE49FD" w:rsidRDefault="00BE49FD" w:rsidP="00BE49FD">
      <w:pPr>
        <w:spacing w:line="360" w:lineRule="auto"/>
        <w:jc w:val="center"/>
        <w:rPr>
          <w:rFonts w:ascii="Garamond" w:hAnsi="Garamond"/>
          <w:b/>
          <w:sz w:val="24"/>
          <w:szCs w:val="24"/>
        </w:rPr>
      </w:pPr>
    </w:p>
    <w:p w14:paraId="299041CE" w14:textId="77777777" w:rsidR="00BE49FD" w:rsidRDefault="00BE49FD" w:rsidP="00BE49FD">
      <w:pPr>
        <w:rPr>
          <w:rFonts w:ascii="Garamond" w:hAnsi="Garamond"/>
          <w:b/>
          <w:sz w:val="24"/>
          <w:szCs w:val="24"/>
        </w:rPr>
      </w:pPr>
      <w:r>
        <w:rPr>
          <w:rFonts w:ascii="Garamond" w:hAnsi="Garamond"/>
          <w:b/>
          <w:sz w:val="24"/>
          <w:szCs w:val="24"/>
        </w:rPr>
        <w:br w:type="page"/>
      </w:r>
    </w:p>
    <w:p w14:paraId="1E3955E7" w14:textId="77777777" w:rsidR="00BE49FD" w:rsidRDefault="00BE49FD" w:rsidP="00BE49FD">
      <w:pPr>
        <w:spacing w:line="360" w:lineRule="auto"/>
        <w:jc w:val="center"/>
        <w:rPr>
          <w:rFonts w:ascii="Garamond" w:hAnsi="Garamond"/>
          <w:sz w:val="24"/>
          <w:szCs w:val="24"/>
        </w:rPr>
      </w:pPr>
      <w:r>
        <w:rPr>
          <w:rFonts w:ascii="Garamond" w:hAnsi="Garamond"/>
          <w:b/>
          <w:sz w:val="24"/>
          <w:szCs w:val="24"/>
        </w:rPr>
        <w:lastRenderedPageBreak/>
        <w:t xml:space="preserve">Group B: </w:t>
      </w:r>
      <w:smartTag w:uri="urn:schemas-microsoft-com:office:smarttags" w:element="country-region">
        <w:smartTag w:uri="urn:schemas-microsoft-com:office:smarttags" w:element="place">
          <w:r>
            <w:rPr>
              <w:rFonts w:ascii="Garamond" w:hAnsi="Garamond"/>
              <w:b/>
              <w:sz w:val="24"/>
              <w:szCs w:val="24"/>
            </w:rPr>
            <w:t>India</w:t>
          </w:r>
        </w:smartTag>
      </w:smartTag>
    </w:p>
    <w:p w14:paraId="18A13F22" w14:textId="77777777" w:rsidR="00BE49FD" w:rsidRDefault="00BE49FD" w:rsidP="00BE49FD">
      <w:pPr>
        <w:rPr>
          <w:rFonts w:ascii="Garamond" w:hAnsi="Garamond"/>
          <w:b/>
          <w:noProof/>
          <w:sz w:val="24"/>
          <w:szCs w:val="24"/>
          <w:lang w:bidi="bn-IN"/>
        </w:rPr>
      </w:pPr>
      <w:r>
        <w:rPr>
          <w:rFonts w:ascii="Garamond" w:hAnsi="Garamond"/>
          <w:b/>
          <w:noProof/>
          <w:sz w:val="24"/>
          <w:szCs w:val="24"/>
        </w:rPr>
        <w:drawing>
          <wp:inline distT="0" distB="0" distL="0" distR="0" wp14:anchorId="09978683" wp14:editId="151012CE">
            <wp:extent cx="2790825" cy="1885950"/>
            <wp:effectExtent l="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1885950"/>
                    </a:xfrm>
                    <a:prstGeom prst="rect">
                      <a:avLst/>
                    </a:prstGeom>
                    <a:noFill/>
                    <a:ln>
                      <a:noFill/>
                    </a:ln>
                  </pic:spPr>
                </pic:pic>
              </a:graphicData>
            </a:graphic>
          </wp:inline>
        </w:drawing>
      </w:r>
      <w:r w:rsidRPr="00993526">
        <w:rPr>
          <w:rFonts w:ascii="Garamond" w:hAnsi="Garamond"/>
          <w:b/>
          <w:sz w:val="24"/>
          <w:szCs w:val="24"/>
        </w:rPr>
        <w:t xml:space="preserve"> </w:t>
      </w:r>
      <w:r>
        <w:rPr>
          <w:rFonts w:ascii="Garamond" w:hAnsi="Garamond"/>
          <w:b/>
          <w:noProof/>
          <w:sz w:val="24"/>
          <w:szCs w:val="24"/>
          <w:lang w:bidi="bn-IN"/>
        </w:rPr>
        <w:t xml:space="preserve">  </w:t>
      </w:r>
      <w:r>
        <w:rPr>
          <w:rFonts w:ascii="Garamond" w:hAnsi="Garamond"/>
          <w:b/>
          <w:noProof/>
          <w:sz w:val="24"/>
          <w:szCs w:val="24"/>
        </w:rPr>
        <w:drawing>
          <wp:inline distT="0" distB="0" distL="0" distR="0" wp14:anchorId="24AE19B1" wp14:editId="461C5F43">
            <wp:extent cx="2790825" cy="1895475"/>
            <wp:effectExtent l="0" t="0" r="9525" b="952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1895475"/>
                    </a:xfrm>
                    <a:prstGeom prst="rect">
                      <a:avLst/>
                    </a:prstGeom>
                    <a:noFill/>
                    <a:ln>
                      <a:noFill/>
                    </a:ln>
                  </pic:spPr>
                </pic:pic>
              </a:graphicData>
            </a:graphic>
          </wp:inline>
        </w:drawing>
      </w:r>
    </w:p>
    <w:p w14:paraId="7CFFC860" w14:textId="77777777" w:rsidR="00BE49FD" w:rsidRDefault="00BE49FD" w:rsidP="00BE49FD">
      <w:pPr>
        <w:rPr>
          <w:rFonts w:ascii="Garamond" w:hAnsi="Garamond"/>
          <w:b/>
          <w:sz w:val="24"/>
          <w:szCs w:val="24"/>
        </w:rPr>
      </w:pPr>
      <w:r>
        <w:rPr>
          <w:rFonts w:ascii="Garamond" w:hAnsi="Garamond"/>
          <w:b/>
          <w:noProof/>
          <w:sz w:val="24"/>
          <w:szCs w:val="24"/>
        </w:rPr>
        <w:drawing>
          <wp:inline distT="0" distB="0" distL="0" distR="0" wp14:anchorId="497F5D83" wp14:editId="36335211">
            <wp:extent cx="2743200" cy="1838325"/>
            <wp:effectExtent l="0" t="0" r="0" b="952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838325"/>
                    </a:xfrm>
                    <a:prstGeom prst="rect">
                      <a:avLst/>
                    </a:prstGeom>
                    <a:noFill/>
                    <a:ln>
                      <a:noFill/>
                    </a:ln>
                  </pic:spPr>
                </pic:pic>
              </a:graphicData>
            </a:graphic>
          </wp:inline>
        </w:drawing>
      </w:r>
      <w:r w:rsidRPr="00993526">
        <w:rPr>
          <w:rFonts w:ascii="Garamond" w:hAnsi="Garamond"/>
          <w:b/>
          <w:sz w:val="24"/>
          <w:szCs w:val="24"/>
        </w:rPr>
        <w:t xml:space="preserve"> </w:t>
      </w:r>
      <w:r>
        <w:rPr>
          <w:rFonts w:ascii="Garamond" w:hAnsi="Garamond"/>
          <w:b/>
          <w:noProof/>
          <w:sz w:val="24"/>
          <w:szCs w:val="24"/>
        </w:rPr>
        <w:drawing>
          <wp:inline distT="0" distB="0" distL="0" distR="0" wp14:anchorId="69E02A18" wp14:editId="57BBC557">
            <wp:extent cx="2905125" cy="1847850"/>
            <wp:effectExtent l="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5125" cy="1847850"/>
                    </a:xfrm>
                    <a:prstGeom prst="rect">
                      <a:avLst/>
                    </a:prstGeom>
                    <a:noFill/>
                    <a:ln>
                      <a:noFill/>
                    </a:ln>
                  </pic:spPr>
                </pic:pic>
              </a:graphicData>
            </a:graphic>
          </wp:inline>
        </w:drawing>
      </w:r>
    </w:p>
    <w:p w14:paraId="7BB70096" w14:textId="77777777" w:rsidR="00BE49FD" w:rsidRDefault="00BE49FD" w:rsidP="00BE49FD">
      <w:pPr>
        <w:jc w:val="center"/>
        <w:rPr>
          <w:rFonts w:ascii="Garamond" w:hAnsi="Garamond"/>
          <w:b/>
          <w:sz w:val="24"/>
          <w:szCs w:val="24"/>
        </w:rPr>
      </w:pPr>
      <w:r>
        <w:rPr>
          <w:rFonts w:ascii="Garamond" w:hAnsi="Garamond"/>
          <w:b/>
          <w:sz w:val="24"/>
          <w:szCs w:val="24"/>
        </w:rPr>
        <w:t xml:space="preserve">Group C: </w:t>
      </w:r>
      <w:smartTag w:uri="urn:schemas-microsoft-com:office:smarttags" w:element="country-region">
        <w:smartTag w:uri="urn:schemas-microsoft-com:office:smarttags" w:element="place">
          <w:r>
            <w:rPr>
              <w:rFonts w:ascii="Garamond" w:hAnsi="Garamond"/>
              <w:b/>
              <w:sz w:val="24"/>
              <w:szCs w:val="24"/>
            </w:rPr>
            <w:t>Indonesia</w:t>
          </w:r>
        </w:smartTag>
      </w:smartTag>
    </w:p>
    <w:p w14:paraId="369E621E" w14:textId="77777777" w:rsidR="00BE49FD" w:rsidRDefault="00BE49FD" w:rsidP="00BE49FD">
      <w:pPr>
        <w:rPr>
          <w:rFonts w:ascii="Garamond" w:hAnsi="Garamond"/>
          <w:b/>
          <w:noProof/>
          <w:sz w:val="24"/>
          <w:szCs w:val="24"/>
          <w:lang w:bidi="bn-IN"/>
        </w:rPr>
      </w:pPr>
      <w:r>
        <w:rPr>
          <w:rFonts w:ascii="Garamond" w:hAnsi="Garamond"/>
          <w:b/>
          <w:noProof/>
          <w:sz w:val="24"/>
          <w:szCs w:val="24"/>
        </w:rPr>
        <w:drawing>
          <wp:inline distT="0" distB="0" distL="0" distR="0" wp14:anchorId="598E86A7" wp14:editId="4819C254">
            <wp:extent cx="2830664" cy="1927064"/>
            <wp:effectExtent l="0" t="0" r="8255"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5671" cy="1937281"/>
                    </a:xfrm>
                    <a:prstGeom prst="rect">
                      <a:avLst/>
                    </a:prstGeom>
                    <a:noFill/>
                    <a:ln>
                      <a:noFill/>
                    </a:ln>
                  </pic:spPr>
                </pic:pic>
              </a:graphicData>
            </a:graphic>
          </wp:inline>
        </w:drawing>
      </w:r>
      <w:r>
        <w:rPr>
          <w:rFonts w:ascii="Garamond" w:hAnsi="Garamond"/>
          <w:b/>
          <w:noProof/>
          <w:sz w:val="24"/>
          <w:szCs w:val="24"/>
          <w:lang w:bidi="bn-IN"/>
        </w:rPr>
        <w:t xml:space="preserve"> </w:t>
      </w:r>
      <w:r>
        <w:rPr>
          <w:rFonts w:ascii="Garamond" w:hAnsi="Garamond"/>
          <w:b/>
          <w:noProof/>
          <w:sz w:val="24"/>
          <w:szCs w:val="24"/>
        </w:rPr>
        <w:drawing>
          <wp:inline distT="0" distB="0" distL="0" distR="0" wp14:anchorId="1A8AA7D1" wp14:editId="3E74AAD7">
            <wp:extent cx="2809710" cy="2022214"/>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6701" cy="2027246"/>
                    </a:xfrm>
                    <a:prstGeom prst="rect">
                      <a:avLst/>
                    </a:prstGeom>
                    <a:noFill/>
                    <a:ln>
                      <a:noFill/>
                    </a:ln>
                  </pic:spPr>
                </pic:pic>
              </a:graphicData>
            </a:graphic>
          </wp:inline>
        </w:drawing>
      </w:r>
    </w:p>
    <w:p w14:paraId="7526FAD4" w14:textId="77777777" w:rsidR="00BE49FD" w:rsidRDefault="00BE49FD" w:rsidP="00BE49FD">
      <w:pPr>
        <w:rPr>
          <w:rFonts w:ascii="Garamond" w:hAnsi="Garamond"/>
          <w:b/>
          <w:sz w:val="24"/>
          <w:szCs w:val="24"/>
        </w:rPr>
      </w:pPr>
      <w:r>
        <w:rPr>
          <w:rFonts w:ascii="Garamond" w:hAnsi="Garamond"/>
          <w:b/>
          <w:noProof/>
          <w:sz w:val="24"/>
          <w:szCs w:val="24"/>
        </w:rPr>
        <w:drawing>
          <wp:inline distT="0" distB="0" distL="0" distR="0" wp14:anchorId="5067AC6F" wp14:editId="344EFCCF">
            <wp:extent cx="2876550" cy="1895475"/>
            <wp:effectExtent l="0" t="0" r="0" b="9525"/>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6550" cy="1895475"/>
                    </a:xfrm>
                    <a:prstGeom prst="rect">
                      <a:avLst/>
                    </a:prstGeom>
                    <a:noFill/>
                    <a:ln>
                      <a:noFill/>
                    </a:ln>
                  </pic:spPr>
                </pic:pic>
              </a:graphicData>
            </a:graphic>
          </wp:inline>
        </w:drawing>
      </w:r>
      <w:r>
        <w:rPr>
          <w:rFonts w:ascii="Garamond" w:hAnsi="Garamond"/>
          <w:b/>
          <w:sz w:val="24"/>
          <w:szCs w:val="24"/>
        </w:rPr>
        <w:t xml:space="preserve"> </w:t>
      </w:r>
      <w:r w:rsidRPr="000A4884">
        <w:rPr>
          <w:rFonts w:ascii="Garamond" w:hAnsi="Garamond"/>
          <w:b/>
          <w:sz w:val="24"/>
          <w:szCs w:val="24"/>
        </w:rPr>
        <w:t xml:space="preserve"> </w:t>
      </w:r>
      <w:r>
        <w:rPr>
          <w:rFonts w:ascii="Garamond" w:hAnsi="Garamond"/>
          <w:b/>
          <w:noProof/>
          <w:sz w:val="24"/>
          <w:szCs w:val="24"/>
        </w:rPr>
        <w:drawing>
          <wp:inline distT="0" distB="0" distL="0" distR="0" wp14:anchorId="55456CE9" wp14:editId="63700D12">
            <wp:extent cx="2762250" cy="1895475"/>
            <wp:effectExtent l="0" t="0" r="0" b="952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1895475"/>
                    </a:xfrm>
                    <a:prstGeom prst="rect">
                      <a:avLst/>
                    </a:prstGeom>
                    <a:noFill/>
                    <a:ln>
                      <a:noFill/>
                    </a:ln>
                  </pic:spPr>
                </pic:pic>
              </a:graphicData>
            </a:graphic>
          </wp:inline>
        </w:drawing>
      </w:r>
      <w:r w:rsidRPr="000A4884">
        <w:rPr>
          <w:rFonts w:ascii="Garamond" w:hAnsi="Garamond"/>
          <w:b/>
          <w:sz w:val="24"/>
          <w:szCs w:val="24"/>
        </w:rPr>
        <w:t xml:space="preserve"> </w:t>
      </w:r>
    </w:p>
    <w:p w14:paraId="7371805D" w14:textId="77777777" w:rsidR="00BE49FD" w:rsidRDefault="00BE49FD" w:rsidP="00BE49FD">
      <w:pPr>
        <w:jc w:val="center"/>
        <w:rPr>
          <w:rFonts w:ascii="Garamond" w:hAnsi="Garamond"/>
          <w:b/>
          <w:sz w:val="24"/>
          <w:szCs w:val="24"/>
        </w:rPr>
      </w:pPr>
      <w:r>
        <w:rPr>
          <w:rFonts w:ascii="Garamond" w:hAnsi="Garamond"/>
          <w:b/>
          <w:sz w:val="24"/>
          <w:szCs w:val="24"/>
        </w:rPr>
        <w:lastRenderedPageBreak/>
        <w:t xml:space="preserve">Group D: </w:t>
      </w:r>
      <w:smartTag w:uri="urn:schemas-microsoft-com:office:smarttags" w:element="country-region">
        <w:smartTag w:uri="urn:schemas-microsoft-com:office:smarttags" w:element="place">
          <w:r>
            <w:rPr>
              <w:rFonts w:ascii="Garamond" w:hAnsi="Garamond"/>
              <w:b/>
              <w:sz w:val="24"/>
              <w:szCs w:val="24"/>
            </w:rPr>
            <w:t>Malaysia</w:t>
          </w:r>
        </w:smartTag>
      </w:smartTag>
    </w:p>
    <w:p w14:paraId="6456589C" w14:textId="77777777" w:rsidR="00BE49FD" w:rsidRDefault="00BE49FD" w:rsidP="00BE49FD">
      <w:pPr>
        <w:rPr>
          <w:rFonts w:ascii="Garamond" w:hAnsi="Garamond"/>
          <w:b/>
          <w:sz w:val="24"/>
          <w:szCs w:val="24"/>
        </w:rPr>
      </w:pPr>
      <w:r>
        <w:rPr>
          <w:rFonts w:ascii="Garamond" w:hAnsi="Garamond"/>
          <w:b/>
          <w:noProof/>
          <w:sz w:val="24"/>
          <w:szCs w:val="24"/>
        </w:rPr>
        <w:drawing>
          <wp:inline distT="0" distB="0" distL="0" distR="0" wp14:anchorId="5CB250FE" wp14:editId="3FD9F7DD">
            <wp:extent cx="2790825" cy="1895475"/>
            <wp:effectExtent l="0" t="0" r="9525" b="9525"/>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0825" cy="1895475"/>
                    </a:xfrm>
                    <a:prstGeom prst="rect">
                      <a:avLst/>
                    </a:prstGeom>
                    <a:noFill/>
                    <a:ln>
                      <a:noFill/>
                    </a:ln>
                  </pic:spPr>
                </pic:pic>
              </a:graphicData>
            </a:graphic>
          </wp:inline>
        </w:drawing>
      </w:r>
      <w:r w:rsidRPr="000A4884">
        <w:rPr>
          <w:rFonts w:ascii="Garamond" w:hAnsi="Garamond"/>
          <w:b/>
          <w:sz w:val="24"/>
          <w:szCs w:val="24"/>
        </w:rPr>
        <w:t xml:space="preserve"> </w:t>
      </w:r>
      <w:r>
        <w:rPr>
          <w:rFonts w:ascii="Garamond" w:hAnsi="Garamond"/>
          <w:b/>
          <w:sz w:val="24"/>
          <w:szCs w:val="24"/>
        </w:rPr>
        <w:t xml:space="preserve"> </w:t>
      </w:r>
      <w:r>
        <w:rPr>
          <w:rFonts w:ascii="Garamond" w:hAnsi="Garamond"/>
          <w:b/>
          <w:noProof/>
          <w:sz w:val="24"/>
          <w:szCs w:val="24"/>
        </w:rPr>
        <w:drawing>
          <wp:inline distT="0" distB="0" distL="0" distR="0" wp14:anchorId="2806C017" wp14:editId="2603EDED">
            <wp:extent cx="2743200" cy="1885950"/>
            <wp:effectExtent l="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1885950"/>
                    </a:xfrm>
                    <a:prstGeom prst="rect">
                      <a:avLst/>
                    </a:prstGeom>
                    <a:noFill/>
                    <a:ln>
                      <a:noFill/>
                    </a:ln>
                  </pic:spPr>
                </pic:pic>
              </a:graphicData>
            </a:graphic>
          </wp:inline>
        </w:drawing>
      </w:r>
      <w:r w:rsidRPr="000A4884">
        <w:rPr>
          <w:rFonts w:ascii="Garamond" w:hAnsi="Garamond"/>
          <w:b/>
          <w:sz w:val="24"/>
          <w:szCs w:val="24"/>
        </w:rPr>
        <w:t xml:space="preserve"> </w:t>
      </w:r>
    </w:p>
    <w:p w14:paraId="5F923701" w14:textId="77777777" w:rsidR="00BE49FD" w:rsidRDefault="00BE49FD" w:rsidP="00BE49FD">
      <w:pPr>
        <w:rPr>
          <w:rFonts w:ascii="Garamond" w:hAnsi="Garamond"/>
          <w:b/>
          <w:sz w:val="24"/>
          <w:szCs w:val="24"/>
        </w:rPr>
      </w:pPr>
      <w:r>
        <w:rPr>
          <w:rFonts w:ascii="Garamond" w:hAnsi="Garamond"/>
          <w:b/>
          <w:noProof/>
          <w:sz w:val="24"/>
          <w:szCs w:val="24"/>
        </w:rPr>
        <w:drawing>
          <wp:inline distT="0" distB="0" distL="0" distR="0" wp14:anchorId="7FCB6014" wp14:editId="3831EE4E">
            <wp:extent cx="2828925" cy="1866900"/>
            <wp:effectExtent l="0" t="0" r="9525"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8925" cy="1866900"/>
                    </a:xfrm>
                    <a:prstGeom prst="rect">
                      <a:avLst/>
                    </a:prstGeom>
                    <a:noFill/>
                    <a:ln>
                      <a:noFill/>
                    </a:ln>
                  </pic:spPr>
                </pic:pic>
              </a:graphicData>
            </a:graphic>
          </wp:inline>
        </w:drawing>
      </w:r>
      <w:r w:rsidRPr="000A4884">
        <w:rPr>
          <w:rFonts w:ascii="Garamond" w:hAnsi="Garamond"/>
          <w:b/>
          <w:sz w:val="24"/>
          <w:szCs w:val="24"/>
        </w:rPr>
        <w:t xml:space="preserve"> </w:t>
      </w:r>
      <w:r>
        <w:rPr>
          <w:rFonts w:ascii="Garamond" w:hAnsi="Garamond"/>
          <w:b/>
          <w:sz w:val="24"/>
          <w:szCs w:val="24"/>
        </w:rPr>
        <w:t xml:space="preserve"> </w:t>
      </w:r>
      <w:r>
        <w:rPr>
          <w:rFonts w:ascii="Garamond" w:hAnsi="Garamond"/>
          <w:b/>
          <w:noProof/>
          <w:sz w:val="24"/>
          <w:szCs w:val="24"/>
        </w:rPr>
        <w:drawing>
          <wp:inline distT="0" distB="0" distL="0" distR="0" wp14:anchorId="6E8FF6BB" wp14:editId="23F96051">
            <wp:extent cx="2752725" cy="1914525"/>
            <wp:effectExtent l="0" t="0" r="9525" b="9525"/>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2725" cy="1914525"/>
                    </a:xfrm>
                    <a:prstGeom prst="rect">
                      <a:avLst/>
                    </a:prstGeom>
                    <a:noFill/>
                    <a:ln>
                      <a:noFill/>
                    </a:ln>
                  </pic:spPr>
                </pic:pic>
              </a:graphicData>
            </a:graphic>
          </wp:inline>
        </w:drawing>
      </w:r>
      <w:r w:rsidRPr="000A4884">
        <w:rPr>
          <w:rFonts w:ascii="Garamond" w:hAnsi="Garamond"/>
          <w:b/>
          <w:sz w:val="24"/>
          <w:szCs w:val="24"/>
        </w:rPr>
        <w:t xml:space="preserve"> </w:t>
      </w:r>
    </w:p>
    <w:p w14:paraId="07551582" w14:textId="77777777" w:rsidR="00BE49FD" w:rsidRDefault="00BE49FD" w:rsidP="00BE49FD">
      <w:pPr>
        <w:jc w:val="center"/>
        <w:rPr>
          <w:rFonts w:ascii="Garamond" w:hAnsi="Garamond"/>
          <w:b/>
          <w:sz w:val="24"/>
          <w:szCs w:val="24"/>
        </w:rPr>
      </w:pPr>
      <w:r>
        <w:rPr>
          <w:rFonts w:ascii="Garamond" w:hAnsi="Garamond"/>
          <w:b/>
          <w:sz w:val="24"/>
          <w:szCs w:val="24"/>
        </w:rPr>
        <w:t xml:space="preserve">Group E: </w:t>
      </w:r>
      <w:smartTag w:uri="urn:schemas-microsoft-com:office:smarttags" w:element="country-region">
        <w:smartTag w:uri="urn:schemas-microsoft-com:office:smarttags" w:element="place">
          <w:r>
            <w:rPr>
              <w:rFonts w:ascii="Garamond" w:hAnsi="Garamond"/>
              <w:b/>
              <w:sz w:val="24"/>
              <w:szCs w:val="24"/>
            </w:rPr>
            <w:t>Pakistan</w:t>
          </w:r>
        </w:smartTag>
      </w:smartTag>
    </w:p>
    <w:p w14:paraId="6626BE2B" w14:textId="77777777" w:rsidR="00BE49FD" w:rsidRDefault="00BE49FD" w:rsidP="00BE49FD">
      <w:pPr>
        <w:rPr>
          <w:rFonts w:ascii="Garamond" w:hAnsi="Garamond"/>
          <w:b/>
          <w:sz w:val="24"/>
          <w:szCs w:val="24"/>
        </w:rPr>
      </w:pPr>
      <w:r>
        <w:rPr>
          <w:rFonts w:ascii="Garamond" w:hAnsi="Garamond"/>
          <w:b/>
          <w:noProof/>
          <w:sz w:val="24"/>
          <w:szCs w:val="24"/>
        </w:rPr>
        <w:drawing>
          <wp:inline distT="0" distB="0" distL="0" distR="0" wp14:anchorId="30F0CAFC" wp14:editId="20A7EAEF">
            <wp:extent cx="2809875" cy="1885950"/>
            <wp:effectExtent l="0" t="0" r="9525" b="0"/>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9875" cy="1885950"/>
                    </a:xfrm>
                    <a:prstGeom prst="rect">
                      <a:avLst/>
                    </a:prstGeom>
                    <a:noFill/>
                    <a:ln>
                      <a:noFill/>
                    </a:ln>
                  </pic:spPr>
                </pic:pic>
              </a:graphicData>
            </a:graphic>
          </wp:inline>
        </w:drawing>
      </w:r>
      <w:r w:rsidRPr="000A4884">
        <w:rPr>
          <w:rFonts w:ascii="Garamond" w:hAnsi="Garamond"/>
          <w:b/>
          <w:sz w:val="24"/>
          <w:szCs w:val="24"/>
        </w:rPr>
        <w:t xml:space="preserve"> </w:t>
      </w:r>
      <w:r>
        <w:rPr>
          <w:rFonts w:ascii="Garamond" w:hAnsi="Garamond"/>
          <w:b/>
          <w:sz w:val="24"/>
          <w:szCs w:val="24"/>
        </w:rPr>
        <w:t xml:space="preserve"> </w:t>
      </w:r>
      <w:r>
        <w:rPr>
          <w:rFonts w:ascii="Garamond" w:hAnsi="Garamond"/>
          <w:b/>
          <w:noProof/>
          <w:sz w:val="24"/>
          <w:szCs w:val="24"/>
        </w:rPr>
        <w:drawing>
          <wp:inline distT="0" distB="0" distL="0" distR="0" wp14:anchorId="64EC8DF1" wp14:editId="620E3C74">
            <wp:extent cx="2771775" cy="1885950"/>
            <wp:effectExtent l="0" t="0" r="9525"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1775" cy="1885950"/>
                    </a:xfrm>
                    <a:prstGeom prst="rect">
                      <a:avLst/>
                    </a:prstGeom>
                    <a:noFill/>
                    <a:ln>
                      <a:noFill/>
                    </a:ln>
                  </pic:spPr>
                </pic:pic>
              </a:graphicData>
            </a:graphic>
          </wp:inline>
        </w:drawing>
      </w:r>
      <w:r>
        <w:rPr>
          <w:rFonts w:ascii="Garamond" w:hAnsi="Garamond"/>
          <w:b/>
          <w:noProof/>
          <w:sz w:val="24"/>
          <w:szCs w:val="24"/>
        </w:rPr>
        <w:drawing>
          <wp:inline distT="0" distB="0" distL="0" distR="0" wp14:anchorId="5732092D" wp14:editId="3596F7CA">
            <wp:extent cx="2847975" cy="1905000"/>
            <wp:effectExtent l="0" t="0" r="9525" b="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7975" cy="1905000"/>
                    </a:xfrm>
                    <a:prstGeom prst="rect">
                      <a:avLst/>
                    </a:prstGeom>
                    <a:noFill/>
                    <a:ln>
                      <a:noFill/>
                    </a:ln>
                  </pic:spPr>
                </pic:pic>
              </a:graphicData>
            </a:graphic>
          </wp:inline>
        </w:drawing>
      </w:r>
      <w:r>
        <w:rPr>
          <w:rFonts w:ascii="Garamond" w:hAnsi="Garamond"/>
          <w:b/>
          <w:sz w:val="24"/>
          <w:szCs w:val="24"/>
        </w:rPr>
        <w:t xml:space="preserve"> </w:t>
      </w:r>
      <w:r>
        <w:rPr>
          <w:rFonts w:ascii="Garamond" w:hAnsi="Garamond"/>
          <w:b/>
          <w:noProof/>
          <w:sz w:val="24"/>
          <w:szCs w:val="24"/>
        </w:rPr>
        <w:drawing>
          <wp:inline distT="0" distB="0" distL="0" distR="0" wp14:anchorId="7BACBE32" wp14:editId="2D097EC0">
            <wp:extent cx="2771775" cy="1866900"/>
            <wp:effectExtent l="0" t="0" r="9525"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71775" cy="1866900"/>
                    </a:xfrm>
                    <a:prstGeom prst="rect">
                      <a:avLst/>
                    </a:prstGeom>
                    <a:noFill/>
                    <a:ln>
                      <a:noFill/>
                    </a:ln>
                  </pic:spPr>
                </pic:pic>
              </a:graphicData>
            </a:graphic>
          </wp:inline>
        </w:drawing>
      </w:r>
    </w:p>
    <w:p w14:paraId="775A5C52" w14:textId="77777777" w:rsidR="00BE49FD" w:rsidRDefault="00BE49FD" w:rsidP="00BE49FD">
      <w:pPr>
        <w:jc w:val="center"/>
        <w:rPr>
          <w:rFonts w:ascii="Garamond" w:hAnsi="Garamond"/>
          <w:b/>
          <w:sz w:val="24"/>
          <w:szCs w:val="24"/>
        </w:rPr>
      </w:pPr>
      <w:r>
        <w:rPr>
          <w:rFonts w:ascii="Garamond" w:hAnsi="Garamond"/>
          <w:b/>
          <w:sz w:val="24"/>
          <w:szCs w:val="24"/>
        </w:rPr>
        <w:lastRenderedPageBreak/>
        <w:t xml:space="preserve">Group F: </w:t>
      </w:r>
      <w:smartTag w:uri="urn:schemas-microsoft-com:office:smarttags" w:element="country-region">
        <w:smartTag w:uri="urn:schemas-microsoft-com:office:smarttags" w:element="place">
          <w:r>
            <w:rPr>
              <w:rFonts w:ascii="Garamond" w:hAnsi="Garamond"/>
              <w:b/>
              <w:sz w:val="24"/>
              <w:szCs w:val="24"/>
            </w:rPr>
            <w:t>South Korea</w:t>
          </w:r>
        </w:smartTag>
      </w:smartTag>
    </w:p>
    <w:p w14:paraId="6094BAC9" w14:textId="77777777" w:rsidR="00BE49FD" w:rsidRDefault="00BE49FD" w:rsidP="00BE49FD">
      <w:pPr>
        <w:rPr>
          <w:rFonts w:ascii="Garamond" w:hAnsi="Garamond"/>
          <w:b/>
          <w:sz w:val="24"/>
          <w:szCs w:val="24"/>
        </w:rPr>
      </w:pPr>
      <w:r>
        <w:rPr>
          <w:rFonts w:ascii="Garamond" w:hAnsi="Garamond"/>
          <w:b/>
          <w:noProof/>
          <w:sz w:val="24"/>
          <w:szCs w:val="24"/>
        </w:rPr>
        <w:drawing>
          <wp:inline distT="0" distB="0" distL="0" distR="0" wp14:anchorId="60504585" wp14:editId="0287DAE2">
            <wp:extent cx="2771775" cy="19240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71775" cy="1924050"/>
                    </a:xfrm>
                    <a:prstGeom prst="rect">
                      <a:avLst/>
                    </a:prstGeom>
                    <a:noFill/>
                    <a:ln>
                      <a:noFill/>
                    </a:ln>
                  </pic:spPr>
                </pic:pic>
              </a:graphicData>
            </a:graphic>
          </wp:inline>
        </w:drawing>
      </w:r>
      <w:r>
        <w:rPr>
          <w:rFonts w:ascii="Garamond" w:hAnsi="Garamond"/>
          <w:b/>
          <w:sz w:val="24"/>
          <w:szCs w:val="24"/>
        </w:rPr>
        <w:t xml:space="preserve"> </w:t>
      </w:r>
      <w:r>
        <w:rPr>
          <w:rFonts w:ascii="Garamond" w:hAnsi="Garamond"/>
          <w:b/>
          <w:noProof/>
          <w:sz w:val="24"/>
          <w:szCs w:val="24"/>
        </w:rPr>
        <w:drawing>
          <wp:inline distT="0" distB="0" distL="0" distR="0" wp14:anchorId="30E4C23B" wp14:editId="52FC18C4">
            <wp:extent cx="2828925" cy="1924050"/>
            <wp:effectExtent l="0" t="0" r="9525" b="0"/>
            <wp:docPr id="2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28925" cy="1924050"/>
                    </a:xfrm>
                    <a:prstGeom prst="rect">
                      <a:avLst/>
                    </a:prstGeom>
                    <a:noFill/>
                    <a:ln>
                      <a:noFill/>
                    </a:ln>
                  </pic:spPr>
                </pic:pic>
              </a:graphicData>
            </a:graphic>
          </wp:inline>
        </w:drawing>
      </w:r>
    </w:p>
    <w:p w14:paraId="44CE9ABE" w14:textId="77777777" w:rsidR="00BE49FD" w:rsidRDefault="00BE49FD" w:rsidP="00BE49FD">
      <w:pPr>
        <w:rPr>
          <w:rFonts w:ascii="Garamond" w:hAnsi="Garamond"/>
          <w:b/>
          <w:sz w:val="24"/>
          <w:szCs w:val="24"/>
        </w:rPr>
      </w:pPr>
      <w:r>
        <w:rPr>
          <w:rFonts w:ascii="Garamond" w:hAnsi="Garamond"/>
          <w:b/>
          <w:noProof/>
          <w:sz w:val="24"/>
          <w:szCs w:val="24"/>
        </w:rPr>
        <w:drawing>
          <wp:inline distT="0" distB="0" distL="0" distR="0" wp14:anchorId="2C4F050D" wp14:editId="6E818223">
            <wp:extent cx="2847975" cy="1876425"/>
            <wp:effectExtent l="0" t="0" r="9525" b="9525"/>
            <wp:docPr id="2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47975" cy="1876425"/>
                    </a:xfrm>
                    <a:prstGeom prst="rect">
                      <a:avLst/>
                    </a:prstGeom>
                    <a:noFill/>
                    <a:ln>
                      <a:noFill/>
                    </a:ln>
                  </pic:spPr>
                </pic:pic>
              </a:graphicData>
            </a:graphic>
          </wp:inline>
        </w:drawing>
      </w:r>
      <w:r>
        <w:rPr>
          <w:rFonts w:ascii="Garamond" w:hAnsi="Garamond"/>
          <w:b/>
          <w:sz w:val="24"/>
          <w:szCs w:val="24"/>
        </w:rPr>
        <w:t xml:space="preserve"> </w:t>
      </w:r>
      <w:r>
        <w:rPr>
          <w:rFonts w:ascii="Garamond" w:hAnsi="Garamond"/>
          <w:b/>
          <w:noProof/>
          <w:sz w:val="24"/>
          <w:szCs w:val="24"/>
        </w:rPr>
        <w:drawing>
          <wp:inline distT="0" distB="0" distL="0" distR="0" wp14:anchorId="796A5E50" wp14:editId="00B12EF5">
            <wp:extent cx="2733675" cy="1857375"/>
            <wp:effectExtent l="0" t="0" r="9525" b="9525"/>
            <wp:docPr id="2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33675" cy="1857375"/>
                    </a:xfrm>
                    <a:prstGeom prst="rect">
                      <a:avLst/>
                    </a:prstGeom>
                    <a:noFill/>
                    <a:ln>
                      <a:noFill/>
                    </a:ln>
                  </pic:spPr>
                </pic:pic>
              </a:graphicData>
            </a:graphic>
          </wp:inline>
        </w:drawing>
      </w:r>
    </w:p>
    <w:p w14:paraId="4513502D" w14:textId="77777777" w:rsidR="00BE49FD" w:rsidRDefault="00BE49FD" w:rsidP="00BE49FD">
      <w:pPr>
        <w:jc w:val="center"/>
        <w:rPr>
          <w:rFonts w:ascii="Garamond" w:hAnsi="Garamond"/>
          <w:b/>
          <w:sz w:val="24"/>
          <w:szCs w:val="24"/>
        </w:rPr>
      </w:pPr>
      <w:r>
        <w:rPr>
          <w:rFonts w:ascii="Garamond" w:hAnsi="Garamond"/>
          <w:b/>
          <w:sz w:val="24"/>
          <w:szCs w:val="24"/>
        </w:rPr>
        <w:t xml:space="preserve">Group G: </w:t>
      </w:r>
      <w:smartTag w:uri="urn:schemas-microsoft-com:office:smarttags" w:element="country-region">
        <w:smartTag w:uri="urn:schemas-microsoft-com:office:smarttags" w:element="place">
          <w:r>
            <w:rPr>
              <w:rFonts w:ascii="Garamond" w:hAnsi="Garamond"/>
              <w:b/>
              <w:sz w:val="24"/>
              <w:szCs w:val="24"/>
            </w:rPr>
            <w:t>Taiwan</w:t>
          </w:r>
        </w:smartTag>
      </w:smartTag>
    </w:p>
    <w:p w14:paraId="10F7B06F" w14:textId="77777777" w:rsidR="00BE49FD" w:rsidRDefault="00BE49FD" w:rsidP="00BE49FD">
      <w:pPr>
        <w:rPr>
          <w:rFonts w:ascii="Garamond" w:hAnsi="Garamond"/>
          <w:b/>
          <w:sz w:val="24"/>
          <w:szCs w:val="24"/>
        </w:rPr>
      </w:pPr>
      <w:r>
        <w:rPr>
          <w:rFonts w:ascii="Garamond" w:hAnsi="Garamond"/>
          <w:b/>
          <w:noProof/>
          <w:sz w:val="24"/>
          <w:szCs w:val="24"/>
        </w:rPr>
        <w:drawing>
          <wp:inline distT="0" distB="0" distL="0" distR="0" wp14:anchorId="28632547" wp14:editId="7E99D814">
            <wp:extent cx="2809875" cy="1952625"/>
            <wp:effectExtent l="0" t="0" r="9525" b="9525"/>
            <wp:docPr id="2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9875" cy="1952625"/>
                    </a:xfrm>
                    <a:prstGeom prst="rect">
                      <a:avLst/>
                    </a:prstGeom>
                    <a:noFill/>
                    <a:ln>
                      <a:noFill/>
                    </a:ln>
                  </pic:spPr>
                </pic:pic>
              </a:graphicData>
            </a:graphic>
          </wp:inline>
        </w:drawing>
      </w:r>
      <w:r>
        <w:rPr>
          <w:rFonts w:ascii="Garamond" w:hAnsi="Garamond"/>
          <w:b/>
          <w:sz w:val="24"/>
          <w:szCs w:val="24"/>
        </w:rPr>
        <w:t xml:space="preserve"> </w:t>
      </w:r>
      <w:r>
        <w:rPr>
          <w:rFonts w:ascii="Garamond" w:hAnsi="Garamond"/>
          <w:b/>
          <w:noProof/>
          <w:sz w:val="24"/>
          <w:szCs w:val="24"/>
        </w:rPr>
        <w:drawing>
          <wp:inline distT="0" distB="0" distL="0" distR="0" wp14:anchorId="6F0360F3" wp14:editId="6FAB3F3D">
            <wp:extent cx="2771775" cy="1905000"/>
            <wp:effectExtent l="0" t="0" r="9525"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71775" cy="1905000"/>
                    </a:xfrm>
                    <a:prstGeom prst="rect">
                      <a:avLst/>
                    </a:prstGeom>
                    <a:noFill/>
                    <a:ln>
                      <a:noFill/>
                    </a:ln>
                  </pic:spPr>
                </pic:pic>
              </a:graphicData>
            </a:graphic>
          </wp:inline>
        </w:drawing>
      </w:r>
    </w:p>
    <w:p w14:paraId="09383CE3" w14:textId="77777777" w:rsidR="00BE49FD" w:rsidRDefault="00BE49FD" w:rsidP="00BE49FD">
      <w:pPr>
        <w:rPr>
          <w:rFonts w:ascii="Garamond" w:hAnsi="Garamond"/>
          <w:b/>
          <w:sz w:val="24"/>
          <w:szCs w:val="24"/>
        </w:rPr>
      </w:pPr>
      <w:r>
        <w:rPr>
          <w:rFonts w:ascii="Garamond" w:hAnsi="Garamond"/>
          <w:b/>
          <w:noProof/>
          <w:sz w:val="24"/>
          <w:szCs w:val="24"/>
        </w:rPr>
        <w:drawing>
          <wp:inline distT="0" distB="0" distL="0" distR="0" wp14:anchorId="17A5F5D5" wp14:editId="54D4AACB">
            <wp:extent cx="2809875" cy="1876425"/>
            <wp:effectExtent l="0" t="0" r="9525" b="9525"/>
            <wp:docPr id="3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09875" cy="1876425"/>
                    </a:xfrm>
                    <a:prstGeom prst="rect">
                      <a:avLst/>
                    </a:prstGeom>
                    <a:noFill/>
                    <a:ln>
                      <a:noFill/>
                    </a:ln>
                  </pic:spPr>
                </pic:pic>
              </a:graphicData>
            </a:graphic>
          </wp:inline>
        </w:drawing>
      </w:r>
      <w:r>
        <w:rPr>
          <w:rFonts w:ascii="Garamond" w:hAnsi="Garamond"/>
          <w:b/>
          <w:sz w:val="24"/>
          <w:szCs w:val="24"/>
        </w:rPr>
        <w:t xml:space="preserve"> </w:t>
      </w:r>
      <w:r>
        <w:rPr>
          <w:rFonts w:ascii="Garamond" w:hAnsi="Garamond"/>
          <w:b/>
          <w:noProof/>
          <w:sz w:val="24"/>
          <w:szCs w:val="24"/>
        </w:rPr>
        <w:drawing>
          <wp:inline distT="0" distB="0" distL="0" distR="0" wp14:anchorId="7DA91358" wp14:editId="5A5822DC">
            <wp:extent cx="2809875" cy="1895475"/>
            <wp:effectExtent l="0" t="0" r="9525" b="9525"/>
            <wp:docPr id="3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09875" cy="1895475"/>
                    </a:xfrm>
                    <a:prstGeom prst="rect">
                      <a:avLst/>
                    </a:prstGeom>
                    <a:noFill/>
                    <a:ln>
                      <a:noFill/>
                    </a:ln>
                  </pic:spPr>
                </pic:pic>
              </a:graphicData>
            </a:graphic>
          </wp:inline>
        </w:drawing>
      </w:r>
    </w:p>
    <w:p w14:paraId="4D848A89" w14:textId="77777777" w:rsidR="00BE49FD" w:rsidRDefault="00BE49FD" w:rsidP="00BE49FD">
      <w:pPr>
        <w:jc w:val="center"/>
        <w:rPr>
          <w:rFonts w:ascii="Garamond" w:hAnsi="Garamond"/>
          <w:b/>
          <w:sz w:val="24"/>
          <w:szCs w:val="24"/>
        </w:rPr>
      </w:pPr>
      <w:r>
        <w:rPr>
          <w:rFonts w:ascii="Garamond" w:hAnsi="Garamond"/>
          <w:b/>
          <w:sz w:val="24"/>
          <w:szCs w:val="24"/>
        </w:rPr>
        <w:lastRenderedPageBreak/>
        <w:t xml:space="preserve">Group H: </w:t>
      </w:r>
      <w:smartTag w:uri="urn:schemas-microsoft-com:office:smarttags" w:element="country-region">
        <w:smartTag w:uri="urn:schemas-microsoft-com:office:smarttags" w:element="place">
          <w:r>
            <w:rPr>
              <w:rFonts w:ascii="Garamond" w:hAnsi="Garamond"/>
              <w:b/>
              <w:sz w:val="24"/>
              <w:szCs w:val="24"/>
            </w:rPr>
            <w:t>Thailand</w:t>
          </w:r>
        </w:smartTag>
      </w:smartTag>
    </w:p>
    <w:p w14:paraId="70C37AD7" w14:textId="77777777" w:rsidR="00BE49FD" w:rsidRDefault="00BE49FD" w:rsidP="00BE49FD">
      <w:pPr>
        <w:rPr>
          <w:rFonts w:ascii="Garamond" w:hAnsi="Garamond"/>
          <w:b/>
          <w:sz w:val="24"/>
          <w:szCs w:val="24"/>
        </w:rPr>
      </w:pPr>
      <w:r>
        <w:rPr>
          <w:rFonts w:ascii="Garamond" w:hAnsi="Garamond"/>
          <w:b/>
          <w:noProof/>
          <w:sz w:val="24"/>
          <w:szCs w:val="24"/>
        </w:rPr>
        <w:drawing>
          <wp:inline distT="0" distB="0" distL="0" distR="0" wp14:anchorId="023E308F" wp14:editId="26D9A13D">
            <wp:extent cx="2638425" cy="1790700"/>
            <wp:effectExtent l="0" t="0" r="9525" b="0"/>
            <wp:docPr id="3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38425" cy="1790700"/>
                    </a:xfrm>
                    <a:prstGeom prst="rect">
                      <a:avLst/>
                    </a:prstGeom>
                    <a:noFill/>
                    <a:ln>
                      <a:noFill/>
                    </a:ln>
                  </pic:spPr>
                </pic:pic>
              </a:graphicData>
            </a:graphic>
          </wp:inline>
        </w:drawing>
      </w:r>
      <w:r>
        <w:rPr>
          <w:rFonts w:ascii="Garamond" w:hAnsi="Garamond"/>
          <w:b/>
          <w:sz w:val="24"/>
          <w:szCs w:val="24"/>
        </w:rPr>
        <w:t xml:space="preserve"> </w:t>
      </w:r>
      <w:r>
        <w:rPr>
          <w:rFonts w:ascii="Garamond" w:hAnsi="Garamond"/>
          <w:b/>
          <w:noProof/>
          <w:sz w:val="24"/>
          <w:szCs w:val="24"/>
        </w:rPr>
        <w:drawing>
          <wp:inline distT="0" distB="0" distL="0" distR="0" wp14:anchorId="060B58FD" wp14:editId="7C619263">
            <wp:extent cx="2657475" cy="1828800"/>
            <wp:effectExtent l="0" t="0" r="9525" b="0"/>
            <wp:docPr id="3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57475" cy="1828800"/>
                    </a:xfrm>
                    <a:prstGeom prst="rect">
                      <a:avLst/>
                    </a:prstGeom>
                    <a:noFill/>
                    <a:ln>
                      <a:noFill/>
                    </a:ln>
                  </pic:spPr>
                </pic:pic>
              </a:graphicData>
            </a:graphic>
          </wp:inline>
        </w:drawing>
      </w:r>
    </w:p>
    <w:p w14:paraId="164C787A" w14:textId="77777777" w:rsidR="00BE49FD" w:rsidRDefault="00BE49FD" w:rsidP="00BE49FD">
      <w:pPr>
        <w:rPr>
          <w:rFonts w:ascii="Garamond" w:hAnsi="Garamond"/>
          <w:b/>
          <w:sz w:val="24"/>
          <w:szCs w:val="24"/>
        </w:rPr>
      </w:pPr>
      <w:r>
        <w:rPr>
          <w:rFonts w:ascii="Garamond" w:hAnsi="Garamond"/>
          <w:b/>
          <w:noProof/>
          <w:sz w:val="24"/>
          <w:szCs w:val="24"/>
        </w:rPr>
        <w:drawing>
          <wp:inline distT="0" distB="0" distL="0" distR="0" wp14:anchorId="4639CDCF" wp14:editId="32996321">
            <wp:extent cx="2676525" cy="1762125"/>
            <wp:effectExtent l="0" t="0" r="9525" b="9525"/>
            <wp:docPr id="3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76525" cy="1762125"/>
                    </a:xfrm>
                    <a:prstGeom prst="rect">
                      <a:avLst/>
                    </a:prstGeom>
                    <a:noFill/>
                    <a:ln>
                      <a:noFill/>
                    </a:ln>
                  </pic:spPr>
                </pic:pic>
              </a:graphicData>
            </a:graphic>
          </wp:inline>
        </w:drawing>
      </w:r>
      <w:r>
        <w:rPr>
          <w:rFonts w:ascii="Garamond" w:hAnsi="Garamond"/>
          <w:b/>
          <w:sz w:val="24"/>
          <w:szCs w:val="24"/>
        </w:rPr>
        <w:t xml:space="preserve"> </w:t>
      </w:r>
      <w:r>
        <w:rPr>
          <w:rFonts w:ascii="Garamond" w:hAnsi="Garamond"/>
          <w:b/>
          <w:noProof/>
          <w:sz w:val="24"/>
          <w:szCs w:val="24"/>
        </w:rPr>
        <w:drawing>
          <wp:inline distT="0" distB="0" distL="0" distR="0" wp14:anchorId="417CB62A" wp14:editId="6865468B">
            <wp:extent cx="2676525" cy="1819275"/>
            <wp:effectExtent l="0" t="0" r="9525" b="9525"/>
            <wp:docPr id="3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76525" cy="1819275"/>
                    </a:xfrm>
                    <a:prstGeom prst="rect">
                      <a:avLst/>
                    </a:prstGeom>
                    <a:noFill/>
                    <a:ln>
                      <a:noFill/>
                    </a:ln>
                  </pic:spPr>
                </pic:pic>
              </a:graphicData>
            </a:graphic>
          </wp:inline>
        </w:drawing>
      </w:r>
    </w:p>
    <w:p w14:paraId="0EB6A93B" w14:textId="77F850F3" w:rsidR="00BE49FD" w:rsidRDefault="00BE49FD" w:rsidP="00BE49FD">
      <w:pPr>
        <w:spacing w:line="360" w:lineRule="auto"/>
        <w:jc w:val="both"/>
        <w:rPr>
          <w:rFonts w:ascii="Garamond" w:hAnsi="Garamond"/>
          <w:sz w:val="24"/>
          <w:szCs w:val="24"/>
        </w:rPr>
      </w:pPr>
      <w:r>
        <w:rPr>
          <w:rFonts w:ascii="Garamond" w:hAnsi="Garamond"/>
          <w:sz w:val="24"/>
          <w:szCs w:val="24"/>
        </w:rPr>
        <w:t>To get a clear and compara</w:t>
      </w:r>
      <w:r w:rsidR="003C202A">
        <w:rPr>
          <w:rFonts w:ascii="Garamond" w:hAnsi="Garamond"/>
          <w:sz w:val="24"/>
          <w:szCs w:val="24"/>
        </w:rPr>
        <w:t>ble</w:t>
      </w:r>
      <w:r>
        <w:rPr>
          <w:rFonts w:ascii="Garamond" w:hAnsi="Garamond"/>
          <w:sz w:val="24"/>
          <w:szCs w:val="24"/>
        </w:rPr>
        <w:t xml:space="preserve"> picture of the influence of the crisis of 2007-08, we ran the variance decomposition for the crisis periods and checked the impulse response function for non-crisis periods. The result of </w:t>
      </w:r>
      <w:r w:rsidR="003C202A">
        <w:rPr>
          <w:rFonts w:ascii="Garamond" w:hAnsi="Garamond"/>
          <w:sz w:val="24"/>
          <w:szCs w:val="24"/>
        </w:rPr>
        <w:t xml:space="preserve">the </w:t>
      </w:r>
      <w:r>
        <w:rPr>
          <w:rFonts w:ascii="Garamond" w:hAnsi="Garamond"/>
          <w:sz w:val="24"/>
          <w:szCs w:val="24"/>
        </w:rPr>
        <w:t xml:space="preserve">variance decomposition shows that the financial crisis can explain around 27, 25, 15 and 5 percent of the error variance of Amihud’s illiquidity ratio, turnover rate, turnover price impact and trading volume respectively. On the other hand, results of a VAR impulse response function (signs of non-crisis shocks are reported in Table 6) indicate that most of the Asian markets in our sample generally follow the conventional phenomenon related to (il)liquidity ratios during non-crisis periods. </w:t>
      </w:r>
      <w:r w:rsidR="003C202A">
        <w:rPr>
          <w:rFonts w:ascii="Garamond" w:hAnsi="Garamond"/>
          <w:sz w:val="24"/>
          <w:szCs w:val="24"/>
        </w:rPr>
        <w:t>That is</w:t>
      </w:r>
      <w:r>
        <w:rPr>
          <w:rFonts w:ascii="Garamond" w:hAnsi="Garamond"/>
          <w:sz w:val="24"/>
          <w:szCs w:val="24"/>
        </w:rPr>
        <w:t>, Amihud’s illiquidity ratio and turnover price impact receive significant negative shocks and liquidity ratios receive positive shocks. Hence, these results support our argument that the crisis of 2007-08 ha</w:t>
      </w:r>
      <w:r w:rsidR="003C202A">
        <w:rPr>
          <w:rFonts w:ascii="Garamond" w:hAnsi="Garamond"/>
          <w:sz w:val="24"/>
          <w:szCs w:val="24"/>
        </w:rPr>
        <w:t>d</w:t>
      </w:r>
      <w:r>
        <w:rPr>
          <w:rFonts w:ascii="Garamond" w:hAnsi="Garamond"/>
          <w:sz w:val="24"/>
          <w:szCs w:val="24"/>
        </w:rPr>
        <w:t xml:space="preserve"> different depth and breadth compared to other crises and now equity markets are more integrated than in the 1980s or 1990s. However, surprisingly, Bangladesh has negative and positive shocks respectively on liquidity and illiquidity during this non-crisis period. There could be two explanations for th</w:t>
      </w:r>
      <w:r w:rsidR="003C202A">
        <w:rPr>
          <w:rFonts w:ascii="Garamond" w:hAnsi="Garamond"/>
          <w:sz w:val="24"/>
          <w:szCs w:val="24"/>
        </w:rPr>
        <w:t>is:</w:t>
      </w:r>
      <w:r>
        <w:rPr>
          <w:rFonts w:ascii="Garamond" w:hAnsi="Garamond"/>
          <w:sz w:val="24"/>
          <w:szCs w:val="24"/>
        </w:rPr>
        <w:t xml:space="preserve"> (i) this market is not influenced by international factors, rather local macroeconomic factors are more important (ii) due to this l</w:t>
      </w:r>
      <w:r w:rsidR="003C202A">
        <w:rPr>
          <w:rFonts w:ascii="Garamond" w:hAnsi="Garamond"/>
          <w:sz w:val="24"/>
          <w:szCs w:val="24"/>
        </w:rPr>
        <w:t xml:space="preserve">ower </w:t>
      </w:r>
      <w:r>
        <w:rPr>
          <w:rFonts w:ascii="Garamond" w:hAnsi="Garamond"/>
          <w:sz w:val="24"/>
          <w:szCs w:val="24"/>
        </w:rPr>
        <w:t xml:space="preserve">integration with the world market, Bangladesh received $1.09 billion of foreign direct investment (FDI) during 2007-08. Moreover, due to local political stability the equity market has increased by 66% in 2007-08. As reported in The Economist </w:t>
      </w:r>
      <w:r>
        <w:rPr>
          <w:rFonts w:ascii="Garamond" w:hAnsi="Garamond"/>
          <w:sz w:val="24"/>
          <w:szCs w:val="24"/>
        </w:rPr>
        <w:lastRenderedPageBreak/>
        <w:t>(2011), since 2007, the Bangladesh stock market outperform</w:t>
      </w:r>
      <w:r w:rsidR="003C202A">
        <w:rPr>
          <w:rFonts w:ascii="Garamond" w:hAnsi="Garamond"/>
          <w:sz w:val="24"/>
          <w:szCs w:val="24"/>
        </w:rPr>
        <w:t>ed</w:t>
      </w:r>
      <w:r>
        <w:rPr>
          <w:rFonts w:ascii="Garamond" w:hAnsi="Garamond"/>
          <w:sz w:val="24"/>
          <w:szCs w:val="24"/>
        </w:rPr>
        <w:t xml:space="preserve"> almost all the world’s markets</w:t>
      </w:r>
      <w:r w:rsidR="003C202A">
        <w:rPr>
          <w:rFonts w:ascii="Garamond" w:hAnsi="Garamond"/>
          <w:sz w:val="24"/>
          <w:szCs w:val="24"/>
        </w:rPr>
        <w:t>,</w:t>
      </w:r>
      <w:r>
        <w:rPr>
          <w:rFonts w:ascii="Garamond" w:hAnsi="Garamond"/>
          <w:sz w:val="24"/>
          <w:szCs w:val="24"/>
        </w:rPr>
        <w:t xml:space="preserve"> gaining as much as 410% in value over the period t</w:t>
      </w:r>
      <w:r w:rsidR="003C202A">
        <w:rPr>
          <w:rFonts w:ascii="Garamond" w:hAnsi="Garamond"/>
          <w:sz w:val="24"/>
          <w:szCs w:val="24"/>
        </w:rPr>
        <w:t>o</w:t>
      </w:r>
      <w:r>
        <w:rPr>
          <w:rFonts w:ascii="Garamond" w:hAnsi="Garamond"/>
          <w:sz w:val="24"/>
          <w:szCs w:val="24"/>
        </w:rPr>
        <w:t xml:space="preserve"> 2010.</w:t>
      </w:r>
    </w:p>
    <w:p w14:paraId="1086E5CC" w14:textId="77777777" w:rsidR="00BE49FD" w:rsidRPr="00A619FB" w:rsidRDefault="00BE49FD" w:rsidP="00BE49FD">
      <w:pPr>
        <w:spacing w:line="360" w:lineRule="auto"/>
        <w:jc w:val="center"/>
        <w:rPr>
          <w:rFonts w:ascii="Garamond" w:hAnsi="Garamond"/>
          <w:b/>
          <w:bCs/>
          <w:sz w:val="24"/>
          <w:szCs w:val="24"/>
        </w:rPr>
      </w:pPr>
      <w:r>
        <w:rPr>
          <w:rFonts w:ascii="Garamond" w:hAnsi="Garamond"/>
          <w:b/>
          <w:bCs/>
          <w:sz w:val="24"/>
          <w:szCs w:val="24"/>
        </w:rPr>
        <w:t>Table 6</w:t>
      </w:r>
      <w:r w:rsidRPr="00A619FB">
        <w:rPr>
          <w:rFonts w:ascii="Garamond" w:hAnsi="Garamond"/>
          <w:b/>
          <w:bCs/>
          <w:sz w:val="24"/>
          <w:szCs w:val="24"/>
        </w:rPr>
        <w:t>: Summary of impulse response function</w:t>
      </w:r>
      <w:r>
        <w:rPr>
          <w:rFonts w:ascii="Garamond" w:hAnsi="Garamond"/>
          <w:b/>
          <w:bCs/>
          <w:sz w:val="24"/>
          <w:szCs w:val="24"/>
        </w:rPr>
        <w:t xml:space="preserve"> sign</w:t>
      </w:r>
      <w:r w:rsidRPr="00A619FB">
        <w:rPr>
          <w:rFonts w:ascii="Garamond" w:hAnsi="Garamond"/>
          <w:b/>
          <w:bCs/>
          <w:sz w:val="24"/>
          <w:szCs w:val="24"/>
        </w:rPr>
        <w:t xml:space="preserve">s to </w:t>
      </w:r>
      <w:r>
        <w:rPr>
          <w:rFonts w:ascii="Garamond" w:hAnsi="Garamond"/>
          <w:b/>
          <w:bCs/>
          <w:sz w:val="24"/>
          <w:szCs w:val="24"/>
        </w:rPr>
        <w:t>non-crisis shocks</w:t>
      </w:r>
    </w:p>
    <w:tbl>
      <w:tblPr>
        <w:tblW w:w="93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74"/>
        <w:gridCol w:w="696"/>
        <w:gridCol w:w="1129"/>
        <w:gridCol w:w="1006"/>
        <w:gridCol w:w="994"/>
        <w:gridCol w:w="1564"/>
        <w:gridCol w:w="896"/>
        <w:gridCol w:w="1034"/>
      </w:tblGrid>
      <w:tr w:rsidR="00BE49FD" w:rsidRPr="008A703F" w14:paraId="455309BB" w14:textId="77777777" w:rsidTr="00B90008">
        <w:trPr>
          <w:trHeight w:val="300"/>
        </w:trPr>
        <w:tc>
          <w:tcPr>
            <w:tcW w:w="0" w:type="auto"/>
            <w:shd w:val="clear" w:color="auto" w:fill="auto"/>
            <w:noWrap/>
            <w:vAlign w:val="bottom"/>
          </w:tcPr>
          <w:p w14:paraId="222A80C7" w14:textId="77777777" w:rsidR="00BE49FD" w:rsidRPr="00151295" w:rsidRDefault="00BE49FD" w:rsidP="00B90008">
            <w:pPr>
              <w:spacing w:after="0" w:line="240" w:lineRule="auto"/>
              <w:rPr>
                <w:rFonts w:ascii="Garamond" w:hAnsi="Garamond"/>
                <w:color w:val="000000"/>
                <w:sz w:val="24"/>
                <w:szCs w:val="24"/>
                <w:lang w:bidi="bn-IN"/>
              </w:rPr>
            </w:pPr>
            <w:r w:rsidRPr="00151295">
              <w:rPr>
                <w:rFonts w:ascii="Garamond" w:hAnsi="Garamond"/>
                <w:color w:val="000000"/>
                <w:sz w:val="24"/>
                <w:szCs w:val="24"/>
                <w:lang w:bidi="bn-IN"/>
              </w:rPr>
              <w:t> </w:t>
            </w:r>
          </w:p>
        </w:tc>
        <w:tc>
          <w:tcPr>
            <w:tcW w:w="0" w:type="auto"/>
            <w:shd w:val="clear" w:color="auto" w:fill="auto"/>
            <w:noWrap/>
            <w:vAlign w:val="bottom"/>
          </w:tcPr>
          <w:p w14:paraId="539B1893"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Pr>
                    <w:rFonts w:ascii="Garamond" w:hAnsi="Garamond"/>
                    <w:color w:val="000000"/>
                    <w:sz w:val="24"/>
                    <w:szCs w:val="24"/>
                    <w:lang w:bidi="bn-IN"/>
                  </w:rPr>
                  <w:t>Bangladesh</w:t>
                </w:r>
              </w:smartTag>
            </w:smartTag>
          </w:p>
        </w:tc>
        <w:tc>
          <w:tcPr>
            <w:tcW w:w="0" w:type="auto"/>
            <w:shd w:val="clear" w:color="auto" w:fill="auto"/>
            <w:noWrap/>
            <w:vAlign w:val="bottom"/>
          </w:tcPr>
          <w:p w14:paraId="000AA7C8"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Pr>
                    <w:rFonts w:ascii="Garamond" w:hAnsi="Garamond"/>
                    <w:color w:val="000000"/>
                    <w:sz w:val="24"/>
                    <w:szCs w:val="24"/>
                    <w:lang w:bidi="bn-IN"/>
                  </w:rPr>
                  <w:t>India</w:t>
                </w:r>
              </w:smartTag>
            </w:smartTag>
          </w:p>
        </w:tc>
        <w:tc>
          <w:tcPr>
            <w:tcW w:w="0" w:type="auto"/>
            <w:shd w:val="clear" w:color="auto" w:fill="auto"/>
            <w:noWrap/>
            <w:vAlign w:val="bottom"/>
          </w:tcPr>
          <w:p w14:paraId="33D3581B"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Pr>
                    <w:rFonts w:ascii="Garamond" w:hAnsi="Garamond"/>
                    <w:color w:val="000000"/>
                    <w:sz w:val="24"/>
                    <w:szCs w:val="24"/>
                    <w:lang w:bidi="bn-IN"/>
                  </w:rPr>
                  <w:t>Indonesia</w:t>
                </w:r>
              </w:smartTag>
            </w:smartTag>
          </w:p>
        </w:tc>
        <w:tc>
          <w:tcPr>
            <w:tcW w:w="0" w:type="auto"/>
            <w:shd w:val="clear" w:color="auto" w:fill="auto"/>
            <w:noWrap/>
            <w:vAlign w:val="bottom"/>
          </w:tcPr>
          <w:p w14:paraId="4DE7E358"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Pr>
                    <w:rFonts w:ascii="Garamond" w:hAnsi="Garamond"/>
                    <w:color w:val="000000"/>
                    <w:sz w:val="24"/>
                    <w:szCs w:val="24"/>
                    <w:lang w:bidi="bn-IN"/>
                  </w:rPr>
                  <w:t>Malaysia</w:t>
                </w:r>
              </w:smartTag>
            </w:smartTag>
          </w:p>
        </w:tc>
        <w:tc>
          <w:tcPr>
            <w:tcW w:w="0" w:type="auto"/>
            <w:shd w:val="clear" w:color="auto" w:fill="auto"/>
            <w:noWrap/>
            <w:vAlign w:val="bottom"/>
          </w:tcPr>
          <w:p w14:paraId="54097EC9"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Pr>
                    <w:rFonts w:ascii="Garamond" w:hAnsi="Garamond"/>
                    <w:color w:val="000000"/>
                    <w:sz w:val="24"/>
                    <w:szCs w:val="24"/>
                    <w:lang w:bidi="bn-IN"/>
                  </w:rPr>
                  <w:t>Pakistan</w:t>
                </w:r>
              </w:smartTag>
            </w:smartTag>
          </w:p>
        </w:tc>
        <w:tc>
          <w:tcPr>
            <w:tcW w:w="1564" w:type="dxa"/>
            <w:shd w:val="clear" w:color="auto" w:fill="auto"/>
            <w:noWrap/>
            <w:vAlign w:val="bottom"/>
          </w:tcPr>
          <w:p w14:paraId="0B51BA5E"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Pr>
                    <w:rFonts w:ascii="Garamond" w:hAnsi="Garamond"/>
                    <w:color w:val="000000"/>
                    <w:sz w:val="24"/>
                    <w:szCs w:val="24"/>
                    <w:lang w:bidi="bn-IN"/>
                  </w:rPr>
                  <w:t>South Korea</w:t>
                </w:r>
              </w:smartTag>
            </w:smartTag>
          </w:p>
        </w:tc>
        <w:tc>
          <w:tcPr>
            <w:tcW w:w="0" w:type="auto"/>
            <w:shd w:val="clear" w:color="auto" w:fill="auto"/>
            <w:noWrap/>
            <w:vAlign w:val="bottom"/>
          </w:tcPr>
          <w:p w14:paraId="5967575A"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Pr>
                    <w:rFonts w:ascii="Garamond" w:hAnsi="Garamond"/>
                    <w:color w:val="000000"/>
                    <w:sz w:val="24"/>
                    <w:szCs w:val="24"/>
                    <w:lang w:bidi="bn-IN"/>
                  </w:rPr>
                  <w:t>Taiwan</w:t>
                </w:r>
              </w:smartTag>
            </w:smartTag>
          </w:p>
        </w:tc>
        <w:tc>
          <w:tcPr>
            <w:tcW w:w="0" w:type="auto"/>
            <w:shd w:val="clear" w:color="auto" w:fill="auto"/>
            <w:noWrap/>
            <w:vAlign w:val="bottom"/>
          </w:tcPr>
          <w:p w14:paraId="6C8F022B" w14:textId="77777777" w:rsidR="00BE49FD" w:rsidRPr="00151295" w:rsidRDefault="00BE49FD" w:rsidP="00B90008">
            <w:pPr>
              <w:spacing w:after="0" w:line="240" w:lineRule="auto"/>
              <w:rPr>
                <w:rFonts w:ascii="Garamond" w:hAnsi="Garamond"/>
                <w:color w:val="000000"/>
                <w:sz w:val="24"/>
                <w:szCs w:val="24"/>
                <w:lang w:bidi="bn-IN"/>
              </w:rPr>
            </w:pPr>
            <w:smartTag w:uri="urn:schemas-microsoft-com:office:smarttags" w:element="country-region">
              <w:smartTag w:uri="urn:schemas-microsoft-com:office:smarttags" w:element="place">
                <w:r>
                  <w:rPr>
                    <w:rFonts w:ascii="Garamond" w:hAnsi="Garamond"/>
                    <w:color w:val="000000"/>
                    <w:sz w:val="24"/>
                    <w:szCs w:val="24"/>
                    <w:lang w:bidi="bn-IN"/>
                  </w:rPr>
                  <w:t>Thailand</w:t>
                </w:r>
              </w:smartTag>
            </w:smartTag>
          </w:p>
        </w:tc>
      </w:tr>
      <w:tr w:rsidR="00BE49FD" w:rsidRPr="008A703F" w14:paraId="677332BE" w14:textId="77777777" w:rsidTr="00B90008">
        <w:trPr>
          <w:trHeight w:val="300"/>
        </w:trPr>
        <w:tc>
          <w:tcPr>
            <w:tcW w:w="0" w:type="auto"/>
            <w:shd w:val="clear" w:color="auto" w:fill="auto"/>
            <w:noWrap/>
            <w:vAlign w:val="bottom"/>
          </w:tcPr>
          <w:p w14:paraId="1DA92A2B" w14:textId="77777777" w:rsidR="00BE49FD" w:rsidRPr="00151295" w:rsidRDefault="00BE49FD" w:rsidP="00B90008">
            <w:pPr>
              <w:spacing w:after="0" w:line="240" w:lineRule="auto"/>
              <w:rPr>
                <w:rFonts w:ascii="Garamond" w:hAnsi="Garamond"/>
                <w:color w:val="000000"/>
                <w:sz w:val="24"/>
                <w:szCs w:val="24"/>
                <w:lang w:bidi="bn-IN"/>
              </w:rPr>
            </w:pPr>
            <w:r>
              <w:rPr>
                <w:rFonts w:ascii="Garamond" w:hAnsi="Garamond"/>
                <w:color w:val="000000"/>
                <w:sz w:val="24"/>
                <w:szCs w:val="24"/>
                <w:lang w:bidi="bn-IN"/>
              </w:rPr>
              <w:t>TR</w:t>
            </w:r>
          </w:p>
        </w:tc>
        <w:tc>
          <w:tcPr>
            <w:tcW w:w="0" w:type="auto"/>
            <w:shd w:val="clear" w:color="auto" w:fill="auto"/>
            <w:noWrap/>
            <w:vAlign w:val="center"/>
          </w:tcPr>
          <w:p w14:paraId="7DC38849"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51506276"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13DE3225"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4E3670C9"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0" w:type="auto"/>
            <w:shd w:val="clear" w:color="auto" w:fill="auto"/>
            <w:noWrap/>
            <w:vAlign w:val="center"/>
          </w:tcPr>
          <w:p w14:paraId="1991A377"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1564" w:type="dxa"/>
            <w:shd w:val="clear" w:color="auto" w:fill="auto"/>
            <w:noWrap/>
            <w:vAlign w:val="center"/>
          </w:tcPr>
          <w:p w14:paraId="0338DAE9"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3732C57B"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31CED94D"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r>
      <w:tr w:rsidR="00BE49FD" w:rsidRPr="008A703F" w14:paraId="2E13DEBA" w14:textId="77777777" w:rsidTr="00B90008">
        <w:trPr>
          <w:trHeight w:val="300"/>
        </w:trPr>
        <w:tc>
          <w:tcPr>
            <w:tcW w:w="0" w:type="auto"/>
            <w:shd w:val="clear" w:color="auto" w:fill="auto"/>
            <w:noWrap/>
            <w:vAlign w:val="bottom"/>
          </w:tcPr>
          <w:p w14:paraId="496E7FB6" w14:textId="77777777" w:rsidR="00BE49FD" w:rsidRPr="00151295" w:rsidRDefault="00BE49FD" w:rsidP="00B90008">
            <w:pPr>
              <w:spacing w:after="0" w:line="240" w:lineRule="auto"/>
              <w:rPr>
                <w:rFonts w:ascii="Garamond" w:hAnsi="Garamond"/>
                <w:color w:val="000000"/>
                <w:sz w:val="24"/>
                <w:szCs w:val="24"/>
                <w:lang w:bidi="bn-IN"/>
              </w:rPr>
            </w:pPr>
            <w:r>
              <w:rPr>
                <w:rFonts w:ascii="Garamond" w:hAnsi="Garamond"/>
                <w:color w:val="000000"/>
                <w:sz w:val="24"/>
                <w:szCs w:val="24"/>
                <w:lang w:bidi="bn-IN"/>
              </w:rPr>
              <w:t>TV</w:t>
            </w:r>
          </w:p>
        </w:tc>
        <w:tc>
          <w:tcPr>
            <w:tcW w:w="0" w:type="auto"/>
            <w:shd w:val="clear" w:color="auto" w:fill="auto"/>
            <w:noWrap/>
            <w:vAlign w:val="center"/>
          </w:tcPr>
          <w:p w14:paraId="2F26370B"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681A773D"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0" w:type="auto"/>
            <w:shd w:val="clear" w:color="auto" w:fill="auto"/>
            <w:noWrap/>
            <w:vAlign w:val="center"/>
          </w:tcPr>
          <w:p w14:paraId="5A5D3B9F"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0" w:type="auto"/>
            <w:shd w:val="clear" w:color="auto" w:fill="auto"/>
            <w:noWrap/>
            <w:vAlign w:val="center"/>
          </w:tcPr>
          <w:p w14:paraId="45C52225"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0" w:type="auto"/>
            <w:shd w:val="clear" w:color="auto" w:fill="auto"/>
            <w:noWrap/>
            <w:vAlign w:val="center"/>
          </w:tcPr>
          <w:p w14:paraId="36BBC80C"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1564" w:type="dxa"/>
            <w:shd w:val="clear" w:color="auto" w:fill="auto"/>
            <w:noWrap/>
            <w:vAlign w:val="center"/>
          </w:tcPr>
          <w:p w14:paraId="5CF64FB2"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705C499C"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1F80DFBB"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r>
      <w:tr w:rsidR="00BE49FD" w:rsidRPr="008A703F" w14:paraId="03F1FA07" w14:textId="77777777" w:rsidTr="00B90008">
        <w:trPr>
          <w:trHeight w:val="300"/>
        </w:trPr>
        <w:tc>
          <w:tcPr>
            <w:tcW w:w="0" w:type="auto"/>
            <w:shd w:val="clear" w:color="auto" w:fill="auto"/>
            <w:noWrap/>
            <w:vAlign w:val="bottom"/>
          </w:tcPr>
          <w:p w14:paraId="4B545E96" w14:textId="77777777" w:rsidR="00BE49FD" w:rsidRPr="00151295" w:rsidRDefault="00BE49FD" w:rsidP="00B90008">
            <w:pPr>
              <w:spacing w:after="0" w:line="240" w:lineRule="auto"/>
              <w:rPr>
                <w:rFonts w:ascii="Garamond" w:hAnsi="Garamond"/>
                <w:color w:val="000000"/>
                <w:sz w:val="24"/>
                <w:szCs w:val="24"/>
                <w:lang w:bidi="bn-IN"/>
              </w:rPr>
            </w:pPr>
            <w:r>
              <w:rPr>
                <w:rFonts w:ascii="Garamond" w:hAnsi="Garamond"/>
                <w:color w:val="000000"/>
                <w:sz w:val="24"/>
                <w:szCs w:val="24"/>
                <w:lang w:bidi="bn-IN"/>
              </w:rPr>
              <w:t>ILLIQ</w:t>
            </w:r>
          </w:p>
        </w:tc>
        <w:tc>
          <w:tcPr>
            <w:tcW w:w="0" w:type="auto"/>
            <w:shd w:val="clear" w:color="auto" w:fill="auto"/>
            <w:noWrap/>
            <w:vAlign w:val="center"/>
          </w:tcPr>
          <w:p w14:paraId="7EBD723C"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44D46E85"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24A0AE93"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4355F11A"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530F5905"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1564" w:type="dxa"/>
            <w:shd w:val="clear" w:color="auto" w:fill="auto"/>
            <w:noWrap/>
            <w:vAlign w:val="center"/>
          </w:tcPr>
          <w:p w14:paraId="0ED70836"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c>
          <w:tcPr>
            <w:tcW w:w="0" w:type="auto"/>
            <w:shd w:val="clear" w:color="auto" w:fill="auto"/>
            <w:noWrap/>
            <w:vAlign w:val="center"/>
          </w:tcPr>
          <w:p w14:paraId="6A62A89A"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65EB037F"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ns</w:t>
            </w:r>
          </w:p>
        </w:tc>
      </w:tr>
      <w:tr w:rsidR="00BE49FD" w:rsidRPr="008A703F" w14:paraId="12CCB7C6" w14:textId="77777777" w:rsidTr="00B90008">
        <w:trPr>
          <w:trHeight w:val="300"/>
        </w:trPr>
        <w:tc>
          <w:tcPr>
            <w:tcW w:w="0" w:type="auto"/>
            <w:shd w:val="clear" w:color="auto" w:fill="auto"/>
            <w:noWrap/>
            <w:vAlign w:val="bottom"/>
          </w:tcPr>
          <w:p w14:paraId="75119EAE" w14:textId="77777777" w:rsidR="00BE49FD" w:rsidRPr="00151295" w:rsidRDefault="00BE49FD" w:rsidP="00B90008">
            <w:pPr>
              <w:spacing w:after="0" w:line="240" w:lineRule="auto"/>
              <w:rPr>
                <w:rFonts w:ascii="Garamond" w:hAnsi="Garamond"/>
                <w:color w:val="000000"/>
                <w:sz w:val="24"/>
                <w:szCs w:val="24"/>
                <w:lang w:bidi="bn-IN"/>
              </w:rPr>
            </w:pPr>
            <w:r>
              <w:rPr>
                <w:rFonts w:ascii="Garamond" w:hAnsi="Garamond"/>
                <w:color w:val="000000"/>
                <w:sz w:val="24"/>
                <w:szCs w:val="24"/>
                <w:lang w:bidi="bn-IN"/>
              </w:rPr>
              <w:t>TPI</w:t>
            </w:r>
          </w:p>
        </w:tc>
        <w:tc>
          <w:tcPr>
            <w:tcW w:w="0" w:type="auto"/>
            <w:shd w:val="clear" w:color="auto" w:fill="auto"/>
            <w:noWrap/>
            <w:vAlign w:val="center"/>
          </w:tcPr>
          <w:p w14:paraId="400165A2"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10A4CB66"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1D1BCFD7"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4F011F08"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79104B06"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1564" w:type="dxa"/>
            <w:shd w:val="clear" w:color="auto" w:fill="auto"/>
            <w:noWrap/>
            <w:vAlign w:val="center"/>
          </w:tcPr>
          <w:p w14:paraId="011B0C36"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05B01DCE"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c>
          <w:tcPr>
            <w:tcW w:w="0" w:type="auto"/>
            <w:shd w:val="clear" w:color="auto" w:fill="auto"/>
            <w:noWrap/>
            <w:vAlign w:val="center"/>
          </w:tcPr>
          <w:p w14:paraId="5074256D" w14:textId="77777777" w:rsidR="00BE49FD" w:rsidRPr="00151295" w:rsidRDefault="00BE49FD" w:rsidP="00B90008">
            <w:pPr>
              <w:spacing w:after="0" w:line="240" w:lineRule="auto"/>
              <w:jc w:val="center"/>
              <w:rPr>
                <w:rFonts w:ascii="Garamond" w:hAnsi="Garamond"/>
                <w:color w:val="000000"/>
                <w:sz w:val="24"/>
                <w:szCs w:val="24"/>
                <w:lang w:bidi="bn-IN"/>
              </w:rPr>
            </w:pPr>
            <w:r>
              <w:rPr>
                <w:rFonts w:ascii="Garamond" w:hAnsi="Garamond"/>
                <w:color w:val="000000"/>
                <w:sz w:val="24"/>
                <w:szCs w:val="24"/>
                <w:lang w:bidi="bn-IN"/>
              </w:rPr>
              <w:t>+</w:t>
            </w:r>
          </w:p>
        </w:tc>
      </w:tr>
    </w:tbl>
    <w:p w14:paraId="52B2F41B" w14:textId="3B09A20F" w:rsidR="00BE49FD" w:rsidRDefault="00BE49FD" w:rsidP="00BE49FD">
      <w:pPr>
        <w:tabs>
          <w:tab w:val="left" w:pos="3360"/>
        </w:tabs>
        <w:spacing w:line="240" w:lineRule="auto"/>
        <w:jc w:val="both"/>
        <w:rPr>
          <w:rFonts w:ascii="Garamond" w:hAnsi="Garamond"/>
          <w:bCs/>
        </w:rPr>
      </w:pPr>
      <w:bookmarkStart w:id="15" w:name="_Toc399683683"/>
      <w:r>
        <w:rPr>
          <w:rFonts w:ascii="Garamond" w:hAnsi="Garamond"/>
          <w:bCs/>
        </w:rPr>
        <w:t xml:space="preserve">Note: + and – are positive and negative responses </w:t>
      </w:r>
      <w:r w:rsidRPr="007B3DF2">
        <w:rPr>
          <w:rFonts w:ascii="Garamond" w:hAnsi="Garamond"/>
          <w:bCs/>
        </w:rPr>
        <w:t xml:space="preserve">of four (il)liquidity measures to a unit standard deviation innovation in the monetary policy variables. </w:t>
      </w:r>
      <w:r>
        <w:rPr>
          <w:rFonts w:ascii="Garamond" w:hAnsi="Garamond"/>
          <w:bCs/>
        </w:rPr>
        <w:t xml:space="preserve">‘ns’ </w:t>
      </w:r>
      <w:r w:rsidRPr="007B3DF2">
        <w:rPr>
          <w:rFonts w:ascii="Garamond" w:hAnsi="Garamond"/>
          <w:bCs/>
        </w:rPr>
        <w:t xml:space="preserve">indicates </w:t>
      </w:r>
      <w:r>
        <w:rPr>
          <w:rFonts w:ascii="Garamond" w:hAnsi="Garamond"/>
          <w:bCs/>
        </w:rPr>
        <w:t xml:space="preserve">no significant </w:t>
      </w:r>
      <w:r w:rsidRPr="007B3DF2">
        <w:rPr>
          <w:rFonts w:ascii="Garamond" w:hAnsi="Garamond"/>
          <w:bCs/>
        </w:rPr>
        <w:t xml:space="preserve">positive </w:t>
      </w:r>
      <w:r>
        <w:rPr>
          <w:rFonts w:ascii="Garamond" w:hAnsi="Garamond"/>
          <w:bCs/>
        </w:rPr>
        <w:t>or</w:t>
      </w:r>
      <w:r w:rsidRPr="007B3DF2">
        <w:rPr>
          <w:rFonts w:ascii="Garamond" w:hAnsi="Garamond"/>
          <w:bCs/>
        </w:rPr>
        <w:t xml:space="preserve"> negative response</w:t>
      </w:r>
      <w:r>
        <w:rPr>
          <w:rFonts w:ascii="Garamond" w:hAnsi="Garamond"/>
          <w:bCs/>
        </w:rPr>
        <w:t xml:space="preserve">. To understand the relationship from a deeper perspective, we further analyse the macroeconomic influence on market liquidity by selecting a calm episode, 2001:Q3 – 2004:Q4. Results of our calm episode are found to be mostly similar to the aggregate non-crisis reported in this Table 6. Interestingly many of the ‘ns’ become significant but signs are found as expected, such as positive (+) sign of TR for Malaysia and positive (+) of TV for India, Indonesia and Pakistan. The only sign that has changed in a calm episode </w:t>
      </w:r>
      <w:r w:rsidR="00461A2C">
        <w:rPr>
          <w:rFonts w:ascii="Garamond" w:hAnsi="Garamond"/>
          <w:bCs/>
        </w:rPr>
        <w:t xml:space="preserve">compared to our </w:t>
      </w:r>
      <w:r>
        <w:rPr>
          <w:rFonts w:ascii="Garamond" w:hAnsi="Garamond"/>
          <w:bCs/>
        </w:rPr>
        <w:t xml:space="preserve">non-crisis </w:t>
      </w:r>
      <w:r w:rsidR="00461A2C">
        <w:rPr>
          <w:rFonts w:ascii="Garamond" w:hAnsi="Garamond"/>
          <w:bCs/>
        </w:rPr>
        <w:t xml:space="preserve">period </w:t>
      </w:r>
      <w:r>
        <w:rPr>
          <w:rFonts w:ascii="Garamond" w:hAnsi="Garamond"/>
          <w:bCs/>
        </w:rPr>
        <w:t xml:space="preserve">is the sign of TR for Taiwan. However, that sign has changed to expected (i.e. +) from unexpected (i.e. -).        </w:t>
      </w:r>
    </w:p>
    <w:p w14:paraId="364B8D18" w14:textId="77777777" w:rsidR="00BE49FD" w:rsidRPr="005C5E85" w:rsidRDefault="00BE49FD" w:rsidP="00BE49FD">
      <w:pPr>
        <w:pStyle w:val="Heading2"/>
        <w:spacing w:after="200" w:line="360" w:lineRule="auto"/>
        <w:ind w:firstLine="720"/>
        <w:rPr>
          <w:rFonts w:ascii="Garamond" w:hAnsi="Garamond"/>
          <w:color w:val="auto"/>
          <w:sz w:val="24"/>
          <w:szCs w:val="24"/>
        </w:rPr>
      </w:pPr>
      <w:r>
        <w:rPr>
          <w:rFonts w:ascii="Garamond" w:hAnsi="Garamond"/>
          <w:color w:val="auto"/>
          <w:sz w:val="24"/>
          <w:szCs w:val="24"/>
        </w:rPr>
        <w:t>3</w:t>
      </w:r>
      <w:r w:rsidRPr="005C5E85">
        <w:rPr>
          <w:rFonts w:ascii="Garamond" w:hAnsi="Garamond"/>
          <w:color w:val="auto"/>
          <w:sz w:val="24"/>
          <w:szCs w:val="24"/>
        </w:rPr>
        <w:t>.3 Firm and industry level evidence</w:t>
      </w:r>
      <w:bookmarkEnd w:id="15"/>
    </w:p>
    <w:p w14:paraId="0B70B108" w14:textId="4FBD1CE3" w:rsidR="00BE49FD" w:rsidRPr="00387874" w:rsidRDefault="00BE49FD" w:rsidP="00BE49FD">
      <w:pPr>
        <w:spacing w:line="360" w:lineRule="auto"/>
        <w:jc w:val="both"/>
        <w:rPr>
          <w:rFonts w:ascii="Garamond" w:hAnsi="Garamond"/>
          <w:sz w:val="24"/>
          <w:szCs w:val="24"/>
        </w:rPr>
      </w:pPr>
      <w:r>
        <w:rPr>
          <w:rFonts w:ascii="Garamond" w:hAnsi="Garamond"/>
          <w:sz w:val="24"/>
          <w:szCs w:val="24"/>
        </w:rPr>
        <w:t>In line with our second objective this section provides evidence related to the influence of monetary and fiscal policy variables on the liquidity of individual firms traded in our eight Asian stock markets. Using equation</w:t>
      </w:r>
      <w:r w:rsidR="003C202A">
        <w:rPr>
          <w:rFonts w:ascii="Garamond" w:hAnsi="Garamond"/>
          <w:sz w:val="24"/>
          <w:szCs w:val="24"/>
        </w:rPr>
        <w:t>s</w:t>
      </w:r>
      <w:r>
        <w:rPr>
          <w:rFonts w:ascii="Garamond" w:hAnsi="Garamond"/>
          <w:sz w:val="24"/>
          <w:szCs w:val="24"/>
        </w:rPr>
        <w:t xml:space="preserve"> (vi) and (vii), in the first step, we run panel regressions on </w:t>
      </w:r>
      <w:r w:rsidR="003C202A">
        <w:rPr>
          <w:rFonts w:ascii="Garamond" w:hAnsi="Garamond"/>
          <w:sz w:val="24"/>
          <w:szCs w:val="24"/>
        </w:rPr>
        <w:t xml:space="preserve">individual </w:t>
      </w:r>
      <w:r>
        <w:rPr>
          <w:rFonts w:ascii="Garamond" w:hAnsi="Garamond"/>
          <w:sz w:val="24"/>
          <w:szCs w:val="24"/>
        </w:rPr>
        <w:t>firms and then in the second step, panel regressions on major industries to see the impact of macroeconomic management policy. The outcomes are reported in Table</w:t>
      </w:r>
      <w:r w:rsidR="003C202A">
        <w:rPr>
          <w:rFonts w:ascii="Garamond" w:hAnsi="Garamond"/>
          <w:sz w:val="24"/>
          <w:szCs w:val="24"/>
        </w:rPr>
        <w:t>s</w:t>
      </w:r>
      <w:r>
        <w:rPr>
          <w:rFonts w:ascii="Garamond" w:hAnsi="Garamond"/>
          <w:sz w:val="24"/>
          <w:szCs w:val="24"/>
        </w:rPr>
        <w:t xml:space="preserve"> </w:t>
      </w:r>
      <w:r w:rsidR="003C202A">
        <w:rPr>
          <w:rFonts w:ascii="Garamond" w:hAnsi="Garamond"/>
          <w:sz w:val="24"/>
          <w:szCs w:val="24"/>
        </w:rPr>
        <w:t>7</w:t>
      </w:r>
      <w:r>
        <w:rPr>
          <w:rFonts w:ascii="Garamond" w:hAnsi="Garamond"/>
          <w:sz w:val="24"/>
          <w:szCs w:val="24"/>
        </w:rPr>
        <w:t xml:space="preserve"> t</w:t>
      </w:r>
      <w:r w:rsidR="003C202A">
        <w:rPr>
          <w:rFonts w:ascii="Garamond" w:hAnsi="Garamond"/>
          <w:sz w:val="24"/>
          <w:szCs w:val="24"/>
        </w:rPr>
        <w:t>o</w:t>
      </w:r>
      <w:r>
        <w:rPr>
          <w:rFonts w:ascii="Garamond" w:hAnsi="Garamond"/>
          <w:sz w:val="24"/>
          <w:szCs w:val="24"/>
        </w:rPr>
        <w:t xml:space="preserve"> </w:t>
      </w:r>
      <w:r w:rsidR="003C202A">
        <w:rPr>
          <w:rFonts w:ascii="Garamond" w:hAnsi="Garamond"/>
          <w:sz w:val="24"/>
          <w:szCs w:val="24"/>
        </w:rPr>
        <w:t>10</w:t>
      </w:r>
      <w:r>
        <w:rPr>
          <w:rFonts w:ascii="Garamond" w:hAnsi="Garamond"/>
          <w:sz w:val="24"/>
          <w:szCs w:val="24"/>
        </w:rPr>
        <w:t xml:space="preserve">. The interaction term </w:t>
      </w: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Int</m:t>
            </m:r>
          </m:e>
          <m:sub>
            <m:r>
              <w:rPr>
                <w:rFonts w:ascii="Cambria Math" w:hAnsi="Cambria Math"/>
                <w:sz w:val="24"/>
                <w:szCs w:val="24"/>
              </w:rPr>
              <m:t>i,t-1</m:t>
            </m:r>
          </m:sub>
        </m:sSub>
        <m:r>
          <w:rPr>
            <w:rFonts w:ascii="Cambria Math" w:hAnsi="Cambria Math"/>
            <w:sz w:val="24"/>
            <w:szCs w:val="24"/>
          </w:rPr>
          <m:t>)</m:t>
        </m:r>
      </m:oMath>
      <w:r>
        <w:rPr>
          <w:rFonts w:ascii="Garamond" w:hAnsi="Garamond"/>
          <w:sz w:val="24"/>
          <w:szCs w:val="24"/>
        </w:rPr>
        <w:t xml:space="preserve"> in our models for individual firms indicates whether the influence of monetary (MP) or fiscal policy (FP) depends on firm size as measured by logged market capitalization. However, there is no such term in our second </w:t>
      </w:r>
      <w:r w:rsidR="003C202A">
        <w:rPr>
          <w:rFonts w:ascii="Garamond" w:hAnsi="Garamond"/>
          <w:sz w:val="24"/>
          <w:szCs w:val="24"/>
        </w:rPr>
        <w:t xml:space="preserve">set of </w:t>
      </w:r>
      <w:r>
        <w:rPr>
          <w:rFonts w:ascii="Garamond" w:hAnsi="Garamond"/>
          <w:sz w:val="24"/>
          <w:szCs w:val="24"/>
        </w:rPr>
        <w:t xml:space="preserve">models, i.e. panel estimation for industries (Table </w:t>
      </w:r>
      <w:r w:rsidR="003C202A">
        <w:rPr>
          <w:rFonts w:ascii="Garamond" w:hAnsi="Garamond"/>
          <w:sz w:val="24"/>
          <w:szCs w:val="24"/>
        </w:rPr>
        <w:t>10</w:t>
      </w:r>
      <w:r>
        <w:rPr>
          <w:rFonts w:ascii="Garamond" w:hAnsi="Garamond"/>
          <w:sz w:val="24"/>
          <w:szCs w:val="24"/>
        </w:rPr>
        <w:t>), since firms are not sorted by size</w:t>
      </w:r>
      <w:r w:rsidR="003C202A">
        <w:rPr>
          <w:rFonts w:ascii="Garamond" w:hAnsi="Garamond"/>
          <w:sz w:val="24"/>
          <w:szCs w:val="24"/>
        </w:rPr>
        <w:t>, but</w:t>
      </w:r>
      <w:r>
        <w:rPr>
          <w:rFonts w:ascii="Garamond" w:hAnsi="Garamond"/>
          <w:sz w:val="24"/>
          <w:szCs w:val="24"/>
        </w:rPr>
        <w:t xml:space="preserve"> by sector. We test for stationarity applying the panel unit root test developed by Levin et al. (2002) and Pesaran (2007) and use first difference where we failed to reject the null of a unit root, which further minimizes the multicollinearity problem. In order to account for heteroskedasticity, all </w:t>
      </w:r>
      <w:r w:rsidRPr="003C202A">
        <w:rPr>
          <w:rFonts w:ascii="Garamond" w:hAnsi="Garamond"/>
          <w:sz w:val="24"/>
          <w:szCs w:val="24"/>
        </w:rPr>
        <w:t>p-values</w:t>
      </w:r>
      <w:r>
        <w:rPr>
          <w:rFonts w:ascii="Garamond" w:hAnsi="Garamond"/>
          <w:sz w:val="24"/>
          <w:szCs w:val="24"/>
        </w:rPr>
        <w:t xml:space="preserve"> are based on robust standard errors. The lag order for each variable is selected based on whether any autocorrelation exists in the residuals.</w:t>
      </w:r>
    </w:p>
    <w:p w14:paraId="7D44352D" w14:textId="77777777" w:rsidR="00BE49FD" w:rsidRPr="005C5E85" w:rsidRDefault="00BE49FD" w:rsidP="00BE49FD">
      <w:pPr>
        <w:pStyle w:val="Heading3"/>
        <w:spacing w:after="200" w:line="360" w:lineRule="auto"/>
        <w:ind w:firstLine="720"/>
        <w:rPr>
          <w:rFonts w:ascii="Garamond" w:hAnsi="Garamond"/>
          <w:color w:val="auto"/>
          <w:sz w:val="24"/>
          <w:szCs w:val="24"/>
        </w:rPr>
      </w:pPr>
      <w:bookmarkStart w:id="16" w:name="_Toc399683684"/>
      <w:r>
        <w:rPr>
          <w:rFonts w:ascii="Garamond" w:hAnsi="Garamond"/>
          <w:color w:val="auto"/>
          <w:sz w:val="24"/>
          <w:szCs w:val="24"/>
        </w:rPr>
        <w:t>3</w:t>
      </w:r>
      <w:r w:rsidRPr="005C5E85">
        <w:rPr>
          <w:rFonts w:ascii="Garamond" w:hAnsi="Garamond"/>
          <w:color w:val="auto"/>
          <w:sz w:val="24"/>
          <w:szCs w:val="24"/>
        </w:rPr>
        <w:t>.3.1 Macroeconomic management and individual firms</w:t>
      </w:r>
      <w:bookmarkEnd w:id="16"/>
    </w:p>
    <w:p w14:paraId="3CB9052C" w14:textId="6B7ACD47" w:rsidR="00BE49FD" w:rsidRDefault="00BE49FD" w:rsidP="00BE49FD">
      <w:pPr>
        <w:spacing w:line="360" w:lineRule="auto"/>
        <w:jc w:val="both"/>
        <w:rPr>
          <w:rFonts w:ascii="Garamond" w:hAnsi="Garamond"/>
          <w:sz w:val="24"/>
          <w:szCs w:val="24"/>
        </w:rPr>
      </w:pPr>
      <w:r>
        <w:rPr>
          <w:rFonts w:ascii="Garamond" w:hAnsi="Garamond"/>
          <w:sz w:val="24"/>
          <w:szCs w:val="24"/>
        </w:rPr>
        <w:t xml:space="preserve">We estimate panel regressions for each of the four (il)liquidity measures and the four monetary and three fiscal policy variables for each market. Table 7 presents the influence of monetary policy and other macroeconomic variables on (il)liquidity measures. The impact of fiscal policy </w:t>
      </w:r>
      <w:r>
        <w:rPr>
          <w:rFonts w:ascii="Garamond" w:hAnsi="Garamond"/>
          <w:sz w:val="24"/>
          <w:szCs w:val="24"/>
        </w:rPr>
        <w:lastRenderedPageBreak/>
        <w:t xml:space="preserve">as well as other control variables on (il)liquidity </w:t>
      </w:r>
      <w:r w:rsidR="003C202A">
        <w:rPr>
          <w:rFonts w:ascii="Garamond" w:hAnsi="Garamond"/>
          <w:sz w:val="24"/>
          <w:szCs w:val="24"/>
        </w:rPr>
        <w:t>is</w:t>
      </w:r>
      <w:r>
        <w:rPr>
          <w:rFonts w:ascii="Garamond" w:hAnsi="Garamond"/>
          <w:sz w:val="24"/>
          <w:szCs w:val="24"/>
        </w:rPr>
        <w:t xml:space="preserve"> reported in Table 8. Due to the use of an interaction term, it is convenient to evaluate the effects of the monetary and fiscal policy at different percentiles of the sample distributions for the interaction variable (market capitalization) (see </w:t>
      </w:r>
      <w:r w:rsidRPr="005C4A9C">
        <w:rPr>
          <w:rFonts w:ascii="Garamond" w:hAnsi="Garamond"/>
          <w:sz w:val="24"/>
          <w:szCs w:val="24"/>
        </w:rPr>
        <w:t>Fernández-Amador</w:t>
      </w:r>
      <w:r>
        <w:rPr>
          <w:rFonts w:ascii="Garamond" w:hAnsi="Garamond"/>
          <w:sz w:val="24"/>
          <w:szCs w:val="24"/>
        </w:rPr>
        <w:t xml:space="preserve"> et al., 2013). The impact of monetary and fiscal policy is evaluated at the minimum 20%, 40%, 60%, 80% and maximum. Here, we report the sign, magnitude and significance of the interaction term for each of these size-based portfolios in Table 9. Each table represents the marginal effects at the average values of the distribution and the p-value is estimated based on average t-statistics.</w:t>
      </w:r>
    </w:p>
    <w:p w14:paraId="21082C59" w14:textId="73A74668" w:rsidR="00BE49FD" w:rsidRPr="00A055F8" w:rsidRDefault="00BE49FD" w:rsidP="00BE49FD">
      <w:pPr>
        <w:spacing w:line="360" w:lineRule="auto"/>
        <w:jc w:val="both"/>
        <w:rPr>
          <w:rFonts w:ascii="Garamond" w:hAnsi="Garamond"/>
          <w:color w:val="FF0000"/>
          <w:sz w:val="24"/>
          <w:szCs w:val="24"/>
        </w:rPr>
      </w:pPr>
      <w:r>
        <w:rPr>
          <w:rFonts w:ascii="Garamond" w:hAnsi="Garamond"/>
          <w:sz w:val="24"/>
          <w:szCs w:val="24"/>
        </w:rPr>
        <w:t xml:space="preserve">The second to fifth columns of Table 7 </w:t>
      </w:r>
      <w:r w:rsidR="003C202A">
        <w:rPr>
          <w:rFonts w:ascii="Garamond" w:hAnsi="Garamond"/>
          <w:sz w:val="24"/>
          <w:szCs w:val="24"/>
        </w:rPr>
        <w:t>show</w:t>
      </w:r>
      <w:r>
        <w:rPr>
          <w:rFonts w:ascii="Garamond" w:hAnsi="Garamond"/>
          <w:sz w:val="24"/>
          <w:szCs w:val="24"/>
        </w:rPr>
        <w:t xml:space="preserve"> the estimation results when measuring monetary policy by the rolling twelve-month growth rate of base money. Results are significantly positive for turnover rate and trading volume. Thus, on average an increase in growth rate</w:t>
      </w:r>
      <w:r w:rsidRPr="00A057BD">
        <w:rPr>
          <w:rFonts w:ascii="Garamond" w:hAnsi="Garamond"/>
          <w:sz w:val="24"/>
          <w:szCs w:val="24"/>
        </w:rPr>
        <w:t xml:space="preserve"> </w:t>
      </w:r>
      <w:r>
        <w:rPr>
          <w:rFonts w:ascii="Garamond" w:hAnsi="Garamond"/>
          <w:sz w:val="24"/>
          <w:szCs w:val="24"/>
        </w:rPr>
        <w:t>of base money leads to a rise in trading activity, while illiquidity declines in Asian emerging markets. This further implies that an expansionary (contractionary) monetary policy increase</w:t>
      </w:r>
      <w:r w:rsidR="007508C4">
        <w:rPr>
          <w:rFonts w:ascii="Garamond" w:hAnsi="Garamond"/>
          <w:sz w:val="24"/>
          <w:szCs w:val="24"/>
        </w:rPr>
        <w:t>s</w:t>
      </w:r>
      <w:r>
        <w:rPr>
          <w:rFonts w:ascii="Garamond" w:hAnsi="Garamond"/>
          <w:sz w:val="24"/>
          <w:szCs w:val="24"/>
        </w:rPr>
        <w:t xml:space="preserve"> (decrease</w:t>
      </w:r>
      <w:r w:rsidR="007508C4">
        <w:rPr>
          <w:rFonts w:ascii="Garamond" w:hAnsi="Garamond"/>
          <w:sz w:val="24"/>
          <w:szCs w:val="24"/>
        </w:rPr>
        <w:t>s</w:t>
      </w:r>
      <w:r>
        <w:rPr>
          <w:rFonts w:ascii="Garamond" w:hAnsi="Garamond"/>
          <w:sz w:val="24"/>
          <w:szCs w:val="24"/>
        </w:rPr>
        <w:t xml:space="preserve">) individual stocks’ liquidity. However, our particular interest is to see the results of interaction terms, i.e. whether the impact of money supply growth depends on size of firms. The estimations show (Table 9) that the liquidity measures (i.e. TR and TV) of smaller firms (i.e. bottom 20%) and illiquidity ratios (i.e. ILLIQ and TPI) of larger firms (i.e. top 20%) are significantly influenced by the money supply growth rate. </w:t>
      </w:r>
      <w:r w:rsidRPr="008A703F">
        <w:rPr>
          <w:rFonts w:ascii="Garamond" w:hAnsi="Garamond"/>
          <w:color w:val="000000"/>
          <w:sz w:val="24"/>
          <w:szCs w:val="24"/>
        </w:rPr>
        <w:t xml:space="preserve">However, the average coefficient of Amihud’s (2002) illiquidity ratio for </w:t>
      </w:r>
      <w:r>
        <w:rPr>
          <w:rFonts w:ascii="Garamond" w:hAnsi="Garamond"/>
          <w:color w:val="000000"/>
          <w:sz w:val="24"/>
          <w:szCs w:val="24"/>
        </w:rPr>
        <w:t xml:space="preserve">the </w:t>
      </w:r>
      <w:r w:rsidRPr="008A703F">
        <w:rPr>
          <w:rFonts w:ascii="Garamond" w:hAnsi="Garamond"/>
          <w:color w:val="000000"/>
          <w:sz w:val="24"/>
          <w:szCs w:val="24"/>
        </w:rPr>
        <w:t xml:space="preserve">smallest 20 percent of firms (-0.594) is </w:t>
      </w:r>
      <w:r w:rsidR="007508C4">
        <w:rPr>
          <w:rFonts w:ascii="Garamond" w:hAnsi="Garamond"/>
          <w:color w:val="000000"/>
          <w:sz w:val="24"/>
          <w:szCs w:val="24"/>
        </w:rPr>
        <w:t>larger in absolute size</w:t>
      </w:r>
      <w:r w:rsidRPr="008A703F">
        <w:rPr>
          <w:rFonts w:ascii="Garamond" w:hAnsi="Garamond"/>
          <w:color w:val="000000"/>
          <w:sz w:val="24"/>
          <w:szCs w:val="24"/>
        </w:rPr>
        <w:t xml:space="preserve"> than the same average coefficient of </w:t>
      </w:r>
      <w:r>
        <w:rPr>
          <w:rFonts w:ascii="Garamond" w:hAnsi="Garamond"/>
          <w:color w:val="000000"/>
          <w:sz w:val="24"/>
          <w:szCs w:val="24"/>
        </w:rPr>
        <w:t xml:space="preserve">the </w:t>
      </w:r>
      <w:r w:rsidRPr="008A703F">
        <w:rPr>
          <w:rFonts w:ascii="Garamond" w:hAnsi="Garamond"/>
          <w:color w:val="000000"/>
          <w:sz w:val="24"/>
          <w:szCs w:val="24"/>
        </w:rPr>
        <w:t xml:space="preserve">largest 20 percent </w:t>
      </w:r>
      <w:r>
        <w:rPr>
          <w:rFonts w:ascii="Garamond" w:hAnsi="Garamond"/>
          <w:color w:val="000000"/>
          <w:sz w:val="24"/>
          <w:szCs w:val="24"/>
        </w:rPr>
        <w:t xml:space="preserve">of </w:t>
      </w:r>
      <w:r w:rsidRPr="008A703F">
        <w:rPr>
          <w:rFonts w:ascii="Garamond" w:hAnsi="Garamond"/>
          <w:color w:val="000000"/>
          <w:sz w:val="24"/>
          <w:szCs w:val="24"/>
        </w:rPr>
        <w:t>firms (-0</w:t>
      </w:r>
      <w:r w:rsidR="00A055F8">
        <w:rPr>
          <w:rFonts w:ascii="Garamond" w:hAnsi="Garamond"/>
          <w:color w:val="000000"/>
          <w:sz w:val="24"/>
          <w:szCs w:val="24"/>
        </w:rPr>
        <w:t>.0297) in Asian equity markets.</w:t>
      </w:r>
    </w:p>
    <w:p w14:paraId="519A111F" w14:textId="7192FEAD" w:rsidR="00BE49FD" w:rsidRPr="008A703F" w:rsidRDefault="00BE49FD" w:rsidP="00BE49FD">
      <w:pPr>
        <w:spacing w:line="360" w:lineRule="auto"/>
        <w:jc w:val="both"/>
        <w:rPr>
          <w:rFonts w:ascii="Garamond" w:hAnsi="Garamond"/>
          <w:color w:val="000000"/>
          <w:sz w:val="24"/>
          <w:szCs w:val="24"/>
        </w:rPr>
      </w:pPr>
      <w:r w:rsidRPr="008A703F">
        <w:rPr>
          <w:rFonts w:ascii="Garamond" w:hAnsi="Garamond"/>
          <w:color w:val="000000"/>
          <w:sz w:val="24"/>
          <w:szCs w:val="24"/>
        </w:rPr>
        <w:t xml:space="preserve">The rest of the results in Table 7 are related to panel estimations where central bank policy is approximated by the bank rate and short-term interest rate. We see in each model </w:t>
      </w:r>
      <w:r>
        <w:rPr>
          <w:rFonts w:ascii="Garamond" w:hAnsi="Garamond"/>
          <w:color w:val="000000"/>
          <w:sz w:val="24"/>
          <w:szCs w:val="24"/>
        </w:rPr>
        <w:t xml:space="preserve">the </w:t>
      </w:r>
      <w:r w:rsidRPr="008A703F">
        <w:rPr>
          <w:rFonts w:ascii="Garamond" w:hAnsi="Garamond"/>
          <w:color w:val="000000"/>
          <w:sz w:val="24"/>
          <w:szCs w:val="24"/>
        </w:rPr>
        <w:t>coefficients of monetary policy are negative for liquidity measures and positive for illiquidity measures</w:t>
      </w:r>
      <w:r w:rsidR="007508C4">
        <w:rPr>
          <w:rFonts w:ascii="Garamond" w:hAnsi="Garamond"/>
          <w:color w:val="000000"/>
          <w:sz w:val="24"/>
          <w:szCs w:val="24"/>
        </w:rPr>
        <w:t>,</w:t>
      </w:r>
      <w:r w:rsidRPr="008A703F">
        <w:rPr>
          <w:rFonts w:ascii="Garamond" w:hAnsi="Garamond"/>
          <w:color w:val="000000"/>
          <w:sz w:val="24"/>
          <w:szCs w:val="24"/>
        </w:rPr>
        <w:t xml:space="preserve"> except the average sign of </w:t>
      </w:r>
      <w:r>
        <w:rPr>
          <w:rFonts w:ascii="Garamond" w:hAnsi="Garamond"/>
          <w:color w:val="000000"/>
          <w:sz w:val="24"/>
          <w:szCs w:val="24"/>
        </w:rPr>
        <w:t xml:space="preserve">the </w:t>
      </w:r>
      <w:r w:rsidRPr="008A703F">
        <w:rPr>
          <w:rFonts w:ascii="Garamond" w:hAnsi="Garamond"/>
          <w:color w:val="000000"/>
          <w:sz w:val="24"/>
          <w:szCs w:val="24"/>
        </w:rPr>
        <w:t xml:space="preserve">turnover price impact coefficient to short-term interest rate shocks. In particular, the impact of bank rate is positive and statistically significant </w:t>
      </w:r>
      <w:r>
        <w:rPr>
          <w:rFonts w:ascii="Garamond" w:hAnsi="Garamond"/>
          <w:sz w:val="24"/>
          <w:szCs w:val="24"/>
        </w:rPr>
        <w:t xml:space="preserve">on Amihud’s (2002) illiquidity ratio and turnover price impact in Bangladesh. However, </w:t>
      </w:r>
      <w:r w:rsidR="007508C4">
        <w:rPr>
          <w:rFonts w:ascii="Garamond" w:hAnsi="Garamond"/>
          <w:sz w:val="24"/>
          <w:szCs w:val="24"/>
        </w:rPr>
        <w:t xml:space="preserve">a </w:t>
      </w:r>
      <w:r>
        <w:rPr>
          <w:rFonts w:ascii="Garamond" w:hAnsi="Garamond"/>
          <w:sz w:val="24"/>
          <w:szCs w:val="24"/>
        </w:rPr>
        <w:t xml:space="preserve">positive influence of bank rate on trading volume is identified in India, Malaysia, Taiwan and Thailand. Similarly, the short-term interest rate has </w:t>
      </w:r>
      <w:r w:rsidR="007508C4">
        <w:rPr>
          <w:rFonts w:ascii="Garamond" w:hAnsi="Garamond"/>
          <w:sz w:val="24"/>
          <w:szCs w:val="24"/>
        </w:rPr>
        <w:t xml:space="preserve">a </w:t>
      </w:r>
      <w:r>
        <w:rPr>
          <w:rFonts w:ascii="Garamond" w:hAnsi="Garamond"/>
          <w:sz w:val="24"/>
          <w:szCs w:val="24"/>
        </w:rPr>
        <w:t xml:space="preserve">significant negative influence on turnover rate in India, Bangladesh, Indonesia, Taiwan and Thailand. These results are well in line with our hypothesis that any such restrictive monetary policy decreases the liquidity and increases illiquidity for the overall equity market. </w:t>
      </w:r>
      <w:r w:rsidRPr="008A703F">
        <w:rPr>
          <w:rFonts w:ascii="Garamond" w:hAnsi="Garamond"/>
          <w:color w:val="000000"/>
          <w:sz w:val="24"/>
          <w:szCs w:val="24"/>
        </w:rPr>
        <w:t xml:space="preserve">The interaction term (Group A of Table 9) generally confirms the empirical pattern observed in base money growth with slight differences. On average </w:t>
      </w:r>
      <w:r>
        <w:rPr>
          <w:rFonts w:ascii="Garamond" w:hAnsi="Garamond"/>
          <w:color w:val="000000"/>
          <w:sz w:val="24"/>
          <w:szCs w:val="24"/>
        </w:rPr>
        <w:t xml:space="preserve">the </w:t>
      </w:r>
      <w:r w:rsidRPr="008A703F">
        <w:rPr>
          <w:rFonts w:ascii="Garamond" w:hAnsi="Garamond"/>
          <w:color w:val="000000"/>
          <w:sz w:val="24"/>
          <w:szCs w:val="24"/>
        </w:rPr>
        <w:t xml:space="preserve">top and bottom 20 percent portfolios are more sensitive to monetary policy and </w:t>
      </w:r>
      <w:r w:rsidR="007508C4">
        <w:rPr>
          <w:rFonts w:ascii="Garamond" w:hAnsi="Garamond"/>
          <w:color w:val="000000"/>
          <w:sz w:val="24"/>
          <w:szCs w:val="24"/>
        </w:rPr>
        <w:t>t</w:t>
      </w:r>
      <w:r>
        <w:rPr>
          <w:rFonts w:ascii="Garamond" w:hAnsi="Garamond"/>
          <w:color w:val="000000"/>
          <w:sz w:val="24"/>
          <w:szCs w:val="24"/>
        </w:rPr>
        <w:t xml:space="preserve">he </w:t>
      </w:r>
      <w:r w:rsidRPr="008A703F">
        <w:rPr>
          <w:rFonts w:ascii="Garamond" w:hAnsi="Garamond"/>
          <w:color w:val="000000"/>
          <w:sz w:val="24"/>
          <w:szCs w:val="24"/>
        </w:rPr>
        <w:lastRenderedPageBreak/>
        <w:t xml:space="preserve">illiquidity and liquidity ratios </w:t>
      </w:r>
      <w:r w:rsidR="007508C4">
        <w:rPr>
          <w:rFonts w:ascii="Garamond" w:hAnsi="Garamond"/>
          <w:color w:val="000000"/>
          <w:sz w:val="24"/>
          <w:szCs w:val="24"/>
        </w:rPr>
        <w:t xml:space="preserve">respectively </w:t>
      </w:r>
      <w:r w:rsidRPr="008A703F">
        <w:rPr>
          <w:rFonts w:ascii="Garamond" w:hAnsi="Garamond"/>
          <w:color w:val="000000"/>
          <w:sz w:val="24"/>
          <w:szCs w:val="24"/>
        </w:rPr>
        <w:t xml:space="preserve">are highly influenced by those policy variables. We find that </w:t>
      </w:r>
      <w:r>
        <w:rPr>
          <w:rFonts w:ascii="Garamond" w:hAnsi="Garamond"/>
          <w:color w:val="000000"/>
          <w:sz w:val="24"/>
          <w:szCs w:val="24"/>
        </w:rPr>
        <w:t xml:space="preserve">an </w:t>
      </w:r>
      <w:r w:rsidRPr="008A703F">
        <w:rPr>
          <w:rFonts w:ascii="Garamond" w:hAnsi="Garamond"/>
          <w:color w:val="000000"/>
          <w:sz w:val="24"/>
          <w:szCs w:val="24"/>
        </w:rPr>
        <w:t>increase in bank rate and short-term interest rate increase</w:t>
      </w:r>
      <w:r w:rsidR="007508C4">
        <w:rPr>
          <w:rFonts w:ascii="Garamond" w:hAnsi="Garamond"/>
          <w:color w:val="000000"/>
          <w:sz w:val="24"/>
          <w:szCs w:val="24"/>
        </w:rPr>
        <w:t>s</w:t>
      </w:r>
      <w:r w:rsidRPr="008A703F">
        <w:rPr>
          <w:rFonts w:ascii="Garamond" w:hAnsi="Garamond"/>
          <w:color w:val="000000"/>
          <w:sz w:val="24"/>
          <w:szCs w:val="24"/>
        </w:rPr>
        <w:t xml:space="preserve"> (decrease</w:t>
      </w:r>
      <w:r w:rsidR="007508C4">
        <w:rPr>
          <w:rFonts w:ascii="Garamond" w:hAnsi="Garamond"/>
          <w:color w:val="000000"/>
          <w:sz w:val="24"/>
          <w:szCs w:val="24"/>
        </w:rPr>
        <w:t>s</w:t>
      </w:r>
      <w:r w:rsidRPr="008A703F">
        <w:rPr>
          <w:rFonts w:ascii="Garamond" w:hAnsi="Garamond"/>
          <w:color w:val="000000"/>
          <w:sz w:val="24"/>
          <w:szCs w:val="24"/>
        </w:rPr>
        <w:t>) the liquidity of larger firms (smaller firm</w:t>
      </w:r>
      <w:r w:rsidR="007508C4">
        <w:rPr>
          <w:rFonts w:ascii="Garamond" w:hAnsi="Garamond"/>
          <w:color w:val="000000"/>
          <w:sz w:val="24"/>
          <w:szCs w:val="24"/>
        </w:rPr>
        <w:t>s</w:t>
      </w:r>
      <w:r w:rsidRPr="008A703F">
        <w:rPr>
          <w:rFonts w:ascii="Garamond" w:hAnsi="Garamond"/>
          <w:color w:val="000000"/>
          <w:sz w:val="24"/>
          <w:szCs w:val="24"/>
        </w:rPr>
        <w:t xml:space="preserve">). That means </w:t>
      </w:r>
      <w:r w:rsidR="007508C4">
        <w:rPr>
          <w:rFonts w:ascii="Garamond" w:hAnsi="Garamond"/>
          <w:color w:val="000000"/>
          <w:sz w:val="24"/>
          <w:szCs w:val="24"/>
        </w:rPr>
        <w:t xml:space="preserve">that </w:t>
      </w:r>
      <w:r w:rsidRPr="008A703F">
        <w:rPr>
          <w:rFonts w:ascii="Garamond" w:hAnsi="Garamond"/>
          <w:color w:val="000000"/>
          <w:sz w:val="24"/>
          <w:szCs w:val="24"/>
        </w:rPr>
        <w:t>during restrictive monetary policy investors prefer larger firms t</w:t>
      </w:r>
      <w:r w:rsidR="007508C4">
        <w:rPr>
          <w:rFonts w:ascii="Garamond" w:hAnsi="Garamond"/>
          <w:color w:val="000000"/>
          <w:sz w:val="24"/>
          <w:szCs w:val="24"/>
        </w:rPr>
        <w:t>o</w:t>
      </w:r>
      <w:r w:rsidRPr="008A703F">
        <w:rPr>
          <w:rFonts w:ascii="Garamond" w:hAnsi="Garamond"/>
          <w:color w:val="000000"/>
          <w:sz w:val="24"/>
          <w:szCs w:val="24"/>
        </w:rPr>
        <w:t xml:space="preserve"> smaller. However, individually, for Indonesia, Pakistan and Thailand we see </w:t>
      </w:r>
      <w:r w:rsidR="007508C4">
        <w:rPr>
          <w:rFonts w:ascii="Garamond" w:hAnsi="Garamond"/>
          <w:color w:val="000000"/>
          <w:sz w:val="24"/>
          <w:szCs w:val="24"/>
        </w:rPr>
        <w:t xml:space="preserve">a </w:t>
      </w:r>
      <w:r w:rsidRPr="008A703F">
        <w:rPr>
          <w:rFonts w:ascii="Garamond" w:hAnsi="Garamond"/>
          <w:color w:val="000000"/>
          <w:sz w:val="24"/>
          <w:szCs w:val="24"/>
        </w:rPr>
        <w:t xml:space="preserve">greater impact of money supply and bank rate changes at firm level, whereas in India and South Korea firms are largely affected by any changes in </w:t>
      </w:r>
      <w:r>
        <w:rPr>
          <w:rFonts w:ascii="Garamond" w:hAnsi="Garamond"/>
          <w:color w:val="000000"/>
          <w:sz w:val="24"/>
          <w:szCs w:val="24"/>
        </w:rPr>
        <w:t xml:space="preserve">the </w:t>
      </w:r>
      <w:r w:rsidRPr="008A703F">
        <w:rPr>
          <w:rFonts w:ascii="Garamond" w:hAnsi="Garamond"/>
          <w:color w:val="000000"/>
          <w:sz w:val="24"/>
          <w:szCs w:val="24"/>
        </w:rPr>
        <w:t>short-term interest rate. Finally, it is interesting that regardless of the size of firms, the trading volume ratio is influenced by all four central bank policies and their coefficients are also statistically significant.</w:t>
      </w:r>
    </w:p>
    <w:p w14:paraId="1E8FB458" w14:textId="7789AB50" w:rsidR="00BE49FD" w:rsidRDefault="00BE49FD" w:rsidP="00BE49FD">
      <w:pPr>
        <w:spacing w:line="360" w:lineRule="auto"/>
        <w:jc w:val="both"/>
        <w:rPr>
          <w:rFonts w:ascii="Garamond" w:hAnsi="Garamond"/>
          <w:sz w:val="24"/>
          <w:szCs w:val="24"/>
        </w:rPr>
      </w:pPr>
      <w:r w:rsidRPr="008A703F">
        <w:rPr>
          <w:rFonts w:ascii="Garamond" w:hAnsi="Garamond"/>
          <w:color w:val="000000"/>
          <w:sz w:val="24"/>
          <w:szCs w:val="24"/>
        </w:rPr>
        <w:t>Remarkably, Table 9 (Group A) provides results from emerging Asian markets in line with many developed equity market</w:t>
      </w:r>
      <w:r>
        <w:rPr>
          <w:rFonts w:ascii="Garamond" w:hAnsi="Garamond"/>
          <w:color w:val="000000"/>
          <w:sz w:val="24"/>
          <w:szCs w:val="24"/>
        </w:rPr>
        <w:t>s</w:t>
      </w:r>
      <w:r w:rsidRPr="008A703F">
        <w:rPr>
          <w:rFonts w:ascii="Garamond" w:hAnsi="Garamond"/>
          <w:color w:val="000000"/>
          <w:sz w:val="24"/>
          <w:szCs w:val="24"/>
        </w:rPr>
        <w:t xml:space="preserve">. </w:t>
      </w:r>
      <w:r w:rsidR="007508C4">
        <w:rPr>
          <w:rFonts w:ascii="Garamond" w:hAnsi="Garamond"/>
          <w:color w:val="000000"/>
          <w:sz w:val="24"/>
          <w:szCs w:val="24"/>
        </w:rPr>
        <w:t xml:space="preserve">For example, </w:t>
      </w:r>
      <w:r>
        <w:rPr>
          <w:rFonts w:ascii="Garamond" w:hAnsi="Garamond"/>
          <w:sz w:val="24"/>
          <w:szCs w:val="24"/>
        </w:rPr>
        <w:t xml:space="preserve">for </w:t>
      </w:r>
      <w:r w:rsidR="007508C4">
        <w:rPr>
          <w:rFonts w:ascii="Garamond" w:hAnsi="Garamond"/>
          <w:sz w:val="24"/>
          <w:szCs w:val="24"/>
        </w:rPr>
        <w:t xml:space="preserve">the </w:t>
      </w:r>
      <w:r>
        <w:rPr>
          <w:rFonts w:ascii="Garamond" w:hAnsi="Garamond"/>
          <w:sz w:val="24"/>
          <w:szCs w:val="24"/>
        </w:rPr>
        <w:t xml:space="preserve">NYSE, Amihud (2002) reports that small stocks are more responsive to illiquidity shocks, while large stocks become more attractive when aggregate liquidity declines. That means </w:t>
      </w:r>
      <w:r w:rsidR="007508C4">
        <w:rPr>
          <w:rFonts w:ascii="Garamond" w:hAnsi="Garamond"/>
          <w:sz w:val="24"/>
          <w:szCs w:val="24"/>
        </w:rPr>
        <w:t xml:space="preserve">that </w:t>
      </w:r>
      <w:r>
        <w:rPr>
          <w:rFonts w:ascii="Garamond" w:hAnsi="Garamond"/>
          <w:sz w:val="24"/>
          <w:szCs w:val="24"/>
        </w:rPr>
        <w:t xml:space="preserve">expansionary policy reduces the illiquidity for smaller firms significantly more than larger firms and thus during </w:t>
      </w:r>
      <w:r w:rsidR="007508C4">
        <w:rPr>
          <w:rFonts w:ascii="Garamond" w:hAnsi="Garamond"/>
          <w:sz w:val="24"/>
          <w:szCs w:val="24"/>
        </w:rPr>
        <w:t xml:space="preserve">a </w:t>
      </w:r>
      <w:r>
        <w:rPr>
          <w:rFonts w:ascii="Garamond" w:hAnsi="Garamond"/>
          <w:sz w:val="24"/>
          <w:szCs w:val="24"/>
        </w:rPr>
        <w:t>restrictive period larger firms become preferable. On average a similar t</w:t>
      </w:r>
      <w:r w:rsidR="007508C4">
        <w:rPr>
          <w:rFonts w:ascii="Garamond" w:hAnsi="Garamond"/>
          <w:sz w:val="24"/>
          <w:szCs w:val="24"/>
        </w:rPr>
        <w:t>rend is reported in our results.</w:t>
      </w:r>
      <w:r>
        <w:rPr>
          <w:rFonts w:ascii="Garamond" w:hAnsi="Garamond"/>
          <w:sz w:val="24"/>
          <w:szCs w:val="24"/>
        </w:rPr>
        <w:t xml:space="preserve"> </w:t>
      </w:r>
      <w:r w:rsidR="007508C4">
        <w:rPr>
          <w:rFonts w:ascii="Garamond" w:hAnsi="Garamond"/>
          <w:sz w:val="24"/>
          <w:szCs w:val="24"/>
        </w:rPr>
        <w:t>W</w:t>
      </w:r>
      <w:r>
        <w:rPr>
          <w:rFonts w:ascii="Garamond" w:hAnsi="Garamond"/>
          <w:sz w:val="24"/>
          <w:szCs w:val="24"/>
        </w:rPr>
        <w:t>e find that the coefficient of monetary base for the bottom 20 percent of firms are +0.91 (TR), +2.979 (TV) and -0.594 (Amihud</w:t>
      </w:r>
      <w:r w:rsidR="007508C4">
        <w:rPr>
          <w:rFonts w:ascii="Garamond" w:hAnsi="Garamond"/>
          <w:sz w:val="24"/>
          <w:szCs w:val="24"/>
        </w:rPr>
        <w:t>’s</w:t>
      </w:r>
      <w:r>
        <w:rPr>
          <w:rFonts w:ascii="Garamond" w:hAnsi="Garamond"/>
          <w:sz w:val="24"/>
          <w:szCs w:val="24"/>
        </w:rPr>
        <w:t xml:space="preserve"> illiquidity ratio). That means </w:t>
      </w:r>
      <w:r w:rsidR="007508C4">
        <w:rPr>
          <w:rFonts w:ascii="Garamond" w:hAnsi="Garamond"/>
          <w:sz w:val="24"/>
          <w:szCs w:val="24"/>
        </w:rPr>
        <w:t xml:space="preserve">that </w:t>
      </w:r>
      <w:r>
        <w:rPr>
          <w:rFonts w:ascii="Garamond" w:hAnsi="Garamond"/>
          <w:sz w:val="24"/>
          <w:szCs w:val="24"/>
        </w:rPr>
        <w:t>the liquidity (illiquidity) of smaller firms increase</w:t>
      </w:r>
      <w:r w:rsidR="007508C4">
        <w:rPr>
          <w:rFonts w:ascii="Garamond" w:hAnsi="Garamond"/>
          <w:sz w:val="24"/>
          <w:szCs w:val="24"/>
        </w:rPr>
        <w:t>s</w:t>
      </w:r>
      <w:r>
        <w:rPr>
          <w:rFonts w:ascii="Garamond" w:hAnsi="Garamond"/>
          <w:sz w:val="24"/>
          <w:szCs w:val="24"/>
        </w:rPr>
        <w:t xml:space="preserve"> (decrease</w:t>
      </w:r>
      <w:r w:rsidR="007508C4">
        <w:rPr>
          <w:rFonts w:ascii="Garamond" w:hAnsi="Garamond"/>
          <w:sz w:val="24"/>
          <w:szCs w:val="24"/>
        </w:rPr>
        <w:t>s</w:t>
      </w:r>
      <w:r>
        <w:rPr>
          <w:rFonts w:ascii="Garamond" w:hAnsi="Garamond"/>
          <w:sz w:val="24"/>
          <w:szCs w:val="24"/>
        </w:rPr>
        <w:t xml:space="preserve">) with a greater supply of money in the economy. On the other hand, </w:t>
      </w:r>
      <w:r w:rsidRPr="00B90008">
        <w:rPr>
          <w:rStyle w:val="HTMLCite"/>
          <w:rFonts w:ascii="Garamond" w:hAnsi="Garamond"/>
          <w:i w:val="0"/>
          <w:sz w:val="24"/>
          <w:szCs w:val="24"/>
        </w:rPr>
        <w:t>Næs</w:t>
      </w:r>
      <w:r>
        <w:rPr>
          <w:rFonts w:ascii="Garamond" w:hAnsi="Garamond"/>
          <w:sz w:val="24"/>
          <w:szCs w:val="24"/>
        </w:rPr>
        <w:t xml:space="preserve"> et al. (2011) and Fernández-Amador et al. (2013) also assert that smaller firms are more responsive to liquidity shocks, which implies contractionary policy has a greater impact on smaller firms. Besides, we would expect the liquidity variation of small firms to be higher than the liquidity variation of large firms (</w:t>
      </w:r>
      <w:r w:rsidRPr="00B90008">
        <w:rPr>
          <w:rStyle w:val="HTMLCite"/>
          <w:rFonts w:ascii="Garamond" w:hAnsi="Garamond"/>
          <w:i w:val="0"/>
          <w:sz w:val="24"/>
          <w:szCs w:val="24"/>
        </w:rPr>
        <w:t>Næs</w:t>
      </w:r>
      <w:r>
        <w:rPr>
          <w:rFonts w:ascii="Garamond" w:hAnsi="Garamond"/>
          <w:sz w:val="24"/>
          <w:szCs w:val="24"/>
        </w:rPr>
        <w:t xml:space="preserve"> et al., 2011). In particular, from the German, French and Italian stock markets, Fernández-Amador et al. (2013) report that the liquidity-providing effect of a loose monetary policy (i.e. higher money supply) is stronger for larger firms, but the impact of restrictive monetary policy (i.e. higher EONIA) tends to decrease with increasing firm size both for liquidity and illiquidity measures. </w:t>
      </w:r>
      <w:r w:rsidRPr="00254B6D">
        <w:rPr>
          <w:rFonts w:ascii="Garamond" w:hAnsi="Garamond"/>
          <w:sz w:val="24"/>
          <w:szCs w:val="24"/>
        </w:rPr>
        <w:t xml:space="preserve">In </w:t>
      </w:r>
      <w:r>
        <w:rPr>
          <w:rFonts w:ascii="Garamond" w:hAnsi="Garamond"/>
          <w:sz w:val="24"/>
          <w:szCs w:val="24"/>
        </w:rPr>
        <w:t xml:space="preserve">this </w:t>
      </w:r>
      <w:r w:rsidRPr="00254B6D">
        <w:rPr>
          <w:rFonts w:ascii="Garamond" w:hAnsi="Garamond"/>
          <w:sz w:val="24"/>
          <w:szCs w:val="24"/>
        </w:rPr>
        <w:t xml:space="preserve">line of thought, </w:t>
      </w:r>
      <w:r w:rsidRPr="00B90008">
        <w:rPr>
          <w:rStyle w:val="HTMLCite"/>
          <w:rFonts w:ascii="Garamond" w:hAnsi="Garamond"/>
          <w:i w:val="0"/>
          <w:sz w:val="24"/>
          <w:szCs w:val="24"/>
        </w:rPr>
        <w:t>Næs</w:t>
      </w:r>
      <w:r w:rsidRPr="00254B6D">
        <w:rPr>
          <w:rFonts w:ascii="Garamond" w:hAnsi="Garamond"/>
          <w:sz w:val="24"/>
          <w:szCs w:val="24"/>
        </w:rPr>
        <w:t xml:space="preserve"> et al. (2011) comment that variation in market liquidity is caused by portfolio shifts, from illiquid and more risky assets to safer and more liquid assets, due to changing expectation</w:t>
      </w:r>
      <w:r>
        <w:rPr>
          <w:rFonts w:ascii="Garamond" w:hAnsi="Garamond"/>
          <w:sz w:val="24"/>
          <w:szCs w:val="24"/>
        </w:rPr>
        <w:t>s</w:t>
      </w:r>
      <w:r w:rsidRPr="00254B6D">
        <w:rPr>
          <w:rFonts w:ascii="Garamond" w:hAnsi="Garamond"/>
          <w:sz w:val="24"/>
          <w:szCs w:val="24"/>
        </w:rPr>
        <w:t xml:space="preserve"> about economic fundamentals or binding funding constraints.</w:t>
      </w:r>
      <w:r>
        <w:rPr>
          <w:rFonts w:ascii="Garamond" w:hAnsi="Garamond"/>
          <w:sz w:val="24"/>
          <w:szCs w:val="24"/>
        </w:rPr>
        <w:t xml:space="preserve"> </w:t>
      </w:r>
    </w:p>
    <w:p w14:paraId="0A0664E5" w14:textId="77777777" w:rsidR="00BE49FD" w:rsidRPr="00A47A18" w:rsidRDefault="00BE49FD" w:rsidP="00BE49FD">
      <w:pPr>
        <w:spacing w:line="360" w:lineRule="auto"/>
        <w:jc w:val="both"/>
        <w:rPr>
          <w:rFonts w:ascii="Garamond" w:hAnsi="Garamond"/>
          <w:sz w:val="24"/>
          <w:szCs w:val="24"/>
        </w:rPr>
        <w:sectPr w:rsidR="00BE49FD" w:rsidRPr="00A47A18" w:rsidSect="00B90008">
          <w:footerReference w:type="default" r:id="rId41"/>
          <w:pgSz w:w="11906" w:h="16838"/>
          <w:pgMar w:top="1440" w:right="1440" w:bottom="1440" w:left="1440" w:header="709" w:footer="709" w:gutter="0"/>
          <w:cols w:space="708"/>
          <w:docGrid w:linePitch="360"/>
        </w:sectPr>
      </w:pPr>
    </w:p>
    <w:p w14:paraId="32595F43" w14:textId="77777777" w:rsidR="00BE49FD" w:rsidRPr="002768EE" w:rsidRDefault="00BE49FD" w:rsidP="00BE49FD">
      <w:pPr>
        <w:spacing w:line="360" w:lineRule="auto"/>
        <w:jc w:val="center"/>
        <w:rPr>
          <w:rFonts w:ascii="Garamond" w:hAnsi="Garamond"/>
          <w:b/>
          <w:sz w:val="24"/>
          <w:szCs w:val="24"/>
        </w:rPr>
      </w:pPr>
      <w:r w:rsidRPr="00FC5279">
        <w:rPr>
          <w:rFonts w:ascii="Garamond" w:hAnsi="Garamond"/>
          <w:b/>
          <w:sz w:val="24"/>
          <w:szCs w:val="24"/>
        </w:rPr>
        <w:lastRenderedPageBreak/>
        <w:t xml:space="preserve">Table </w:t>
      </w:r>
      <w:r>
        <w:rPr>
          <w:rFonts w:ascii="Garamond" w:hAnsi="Garamond"/>
          <w:b/>
          <w:sz w:val="24"/>
          <w:szCs w:val="24"/>
        </w:rPr>
        <w:t>7</w:t>
      </w:r>
      <w:r w:rsidRPr="00FC5279">
        <w:rPr>
          <w:rFonts w:ascii="Garamond" w:hAnsi="Garamond"/>
          <w:b/>
          <w:sz w:val="24"/>
          <w:szCs w:val="24"/>
        </w:rPr>
        <w:t>: Panel estimation for monetary policy impact</w:t>
      </w:r>
      <w:r>
        <w:rPr>
          <w:rFonts w:ascii="Garamond" w:hAnsi="Garamond"/>
          <w:b/>
          <w:sz w:val="24"/>
          <w:szCs w:val="24"/>
        </w:rPr>
        <w:t xml:space="preserve"> on individual firms </w:t>
      </w:r>
    </w:p>
    <w:tbl>
      <w:tblPr>
        <w:tblW w:w="156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84"/>
        <w:gridCol w:w="1162"/>
        <w:gridCol w:w="1131"/>
        <w:gridCol w:w="1062"/>
        <w:gridCol w:w="1062"/>
        <w:gridCol w:w="1062"/>
        <w:gridCol w:w="1062"/>
        <w:gridCol w:w="1062"/>
        <w:gridCol w:w="1131"/>
        <w:gridCol w:w="1280"/>
        <w:gridCol w:w="1062"/>
        <w:gridCol w:w="1142"/>
        <w:gridCol w:w="1280"/>
      </w:tblGrid>
      <w:tr w:rsidR="00BE49FD" w:rsidRPr="008A703F" w14:paraId="29919F15" w14:textId="77777777" w:rsidTr="00B90008">
        <w:trPr>
          <w:trHeight w:val="300"/>
          <w:jc w:val="center"/>
        </w:trPr>
        <w:tc>
          <w:tcPr>
            <w:tcW w:w="0" w:type="auto"/>
            <w:shd w:val="clear" w:color="auto" w:fill="auto"/>
            <w:noWrap/>
            <w:vAlign w:val="bottom"/>
          </w:tcPr>
          <w:p w14:paraId="29A85E6A" w14:textId="77777777" w:rsidR="00BE49FD" w:rsidRPr="002768EE" w:rsidRDefault="00BE49FD" w:rsidP="00B90008">
            <w:pPr>
              <w:spacing w:line="240" w:lineRule="auto"/>
              <w:contextualSpacing/>
              <w:rPr>
                <w:rFonts w:ascii="Garamond" w:hAnsi="Garamond"/>
                <w:color w:val="000000"/>
              </w:rPr>
            </w:pPr>
          </w:p>
        </w:tc>
        <w:tc>
          <w:tcPr>
            <w:tcW w:w="4417" w:type="dxa"/>
            <w:gridSpan w:val="4"/>
            <w:shd w:val="clear" w:color="auto" w:fill="auto"/>
            <w:vAlign w:val="bottom"/>
          </w:tcPr>
          <w:p w14:paraId="3B3AD084" w14:textId="77777777" w:rsidR="00BE49FD" w:rsidRPr="002768EE" w:rsidRDefault="00BE49FD" w:rsidP="00B90008">
            <w:pPr>
              <w:spacing w:line="240" w:lineRule="auto"/>
              <w:contextualSpacing/>
              <w:jc w:val="center"/>
              <w:rPr>
                <w:rFonts w:ascii="Garamond" w:hAnsi="Garamond"/>
                <w:b/>
                <w:color w:val="000000"/>
              </w:rPr>
            </w:pPr>
            <w:r w:rsidRPr="002768EE">
              <w:rPr>
                <w:rFonts w:ascii="Garamond" w:hAnsi="Garamond"/>
                <w:b/>
                <w:color w:val="000000"/>
              </w:rPr>
              <w:t>Monetary Base</w:t>
            </w:r>
          </w:p>
        </w:tc>
        <w:tc>
          <w:tcPr>
            <w:tcW w:w="0" w:type="auto"/>
            <w:gridSpan w:val="4"/>
            <w:shd w:val="clear" w:color="auto" w:fill="auto"/>
            <w:noWrap/>
            <w:vAlign w:val="bottom"/>
          </w:tcPr>
          <w:p w14:paraId="5A5E20C8" w14:textId="77777777" w:rsidR="00BE49FD" w:rsidRPr="002768EE" w:rsidRDefault="00BE49FD" w:rsidP="00B90008">
            <w:pPr>
              <w:spacing w:line="240" w:lineRule="auto"/>
              <w:contextualSpacing/>
              <w:jc w:val="center"/>
              <w:rPr>
                <w:rFonts w:ascii="Garamond" w:hAnsi="Garamond"/>
                <w:b/>
                <w:color w:val="000000"/>
              </w:rPr>
            </w:pPr>
            <w:r w:rsidRPr="002768EE">
              <w:rPr>
                <w:rFonts w:ascii="Garamond" w:hAnsi="Garamond"/>
                <w:b/>
                <w:color w:val="000000"/>
              </w:rPr>
              <w:t>Bank Rate</w:t>
            </w:r>
          </w:p>
        </w:tc>
        <w:tc>
          <w:tcPr>
            <w:tcW w:w="4764" w:type="dxa"/>
            <w:gridSpan w:val="4"/>
          </w:tcPr>
          <w:p w14:paraId="681C87C6" w14:textId="77777777" w:rsidR="00BE49FD" w:rsidRPr="002768EE" w:rsidRDefault="00BE49FD" w:rsidP="00B90008">
            <w:pPr>
              <w:tabs>
                <w:tab w:val="left" w:pos="1485"/>
              </w:tabs>
              <w:spacing w:line="240" w:lineRule="auto"/>
              <w:contextualSpacing/>
              <w:rPr>
                <w:rFonts w:ascii="Garamond" w:hAnsi="Garamond"/>
                <w:b/>
                <w:color w:val="000000"/>
              </w:rPr>
            </w:pPr>
            <w:r w:rsidRPr="002768EE">
              <w:rPr>
                <w:rFonts w:ascii="Garamond" w:hAnsi="Garamond"/>
                <w:b/>
                <w:color w:val="000000"/>
              </w:rPr>
              <w:tab/>
              <w:t>Short-term interest Rate</w:t>
            </w:r>
          </w:p>
        </w:tc>
      </w:tr>
      <w:tr w:rsidR="00BE49FD" w:rsidRPr="008A703F" w14:paraId="2EA19284" w14:textId="77777777" w:rsidTr="00B90008">
        <w:trPr>
          <w:trHeight w:val="300"/>
          <w:jc w:val="center"/>
        </w:trPr>
        <w:tc>
          <w:tcPr>
            <w:tcW w:w="0" w:type="auto"/>
            <w:shd w:val="clear" w:color="auto" w:fill="auto"/>
            <w:noWrap/>
            <w:vAlign w:val="bottom"/>
          </w:tcPr>
          <w:p w14:paraId="5290AE89" w14:textId="77777777" w:rsidR="00BE49FD" w:rsidRPr="002768EE" w:rsidRDefault="00BE49FD" w:rsidP="00B90008">
            <w:pPr>
              <w:spacing w:line="240" w:lineRule="auto"/>
              <w:contextualSpacing/>
              <w:rPr>
                <w:rFonts w:ascii="Garamond" w:hAnsi="Garamond"/>
                <w:color w:val="000000"/>
              </w:rPr>
            </w:pPr>
          </w:p>
        </w:tc>
        <w:tc>
          <w:tcPr>
            <w:tcW w:w="4417" w:type="dxa"/>
            <w:gridSpan w:val="4"/>
            <w:shd w:val="clear" w:color="auto" w:fill="auto"/>
            <w:vAlign w:val="bottom"/>
          </w:tcPr>
          <w:p w14:paraId="1384A9AB" w14:textId="77777777" w:rsidR="00BE49FD" w:rsidRPr="002768EE" w:rsidRDefault="00BE49FD" w:rsidP="00B90008">
            <w:pPr>
              <w:spacing w:line="240" w:lineRule="auto"/>
              <w:contextualSpacing/>
              <w:jc w:val="center"/>
              <w:rPr>
                <w:rFonts w:ascii="Garamond" w:hAnsi="Garamond"/>
                <w:color w:val="000000"/>
              </w:rPr>
            </w:pPr>
          </w:p>
        </w:tc>
        <w:tc>
          <w:tcPr>
            <w:tcW w:w="0" w:type="auto"/>
            <w:gridSpan w:val="4"/>
            <w:shd w:val="clear" w:color="auto" w:fill="auto"/>
            <w:noWrap/>
            <w:vAlign w:val="bottom"/>
          </w:tcPr>
          <w:p w14:paraId="636DCE2D" w14:textId="77777777" w:rsidR="00BE49FD" w:rsidRPr="002768EE" w:rsidRDefault="00BE49FD" w:rsidP="00B90008">
            <w:pPr>
              <w:spacing w:line="240" w:lineRule="auto"/>
              <w:contextualSpacing/>
              <w:jc w:val="center"/>
              <w:rPr>
                <w:rFonts w:ascii="Garamond" w:hAnsi="Garamond"/>
                <w:color w:val="000000"/>
              </w:rPr>
            </w:pPr>
          </w:p>
        </w:tc>
        <w:tc>
          <w:tcPr>
            <w:tcW w:w="4764" w:type="dxa"/>
            <w:gridSpan w:val="4"/>
          </w:tcPr>
          <w:p w14:paraId="068B7203" w14:textId="77777777" w:rsidR="00BE49FD" w:rsidRPr="002768EE" w:rsidRDefault="00BE49FD" w:rsidP="00B90008">
            <w:pPr>
              <w:spacing w:line="240" w:lineRule="auto"/>
              <w:contextualSpacing/>
              <w:jc w:val="center"/>
              <w:rPr>
                <w:rFonts w:ascii="Garamond" w:hAnsi="Garamond"/>
                <w:color w:val="000000"/>
              </w:rPr>
            </w:pPr>
          </w:p>
        </w:tc>
      </w:tr>
      <w:tr w:rsidR="00BE49FD" w:rsidRPr="008A703F" w14:paraId="4F63D503" w14:textId="77777777" w:rsidTr="00B90008">
        <w:trPr>
          <w:trHeight w:val="300"/>
          <w:jc w:val="center"/>
        </w:trPr>
        <w:tc>
          <w:tcPr>
            <w:tcW w:w="0" w:type="auto"/>
            <w:shd w:val="clear" w:color="auto" w:fill="auto"/>
            <w:noWrap/>
            <w:vAlign w:val="bottom"/>
          </w:tcPr>
          <w:p w14:paraId="077E98FD" w14:textId="77777777" w:rsidR="00BE49FD" w:rsidRPr="002768EE" w:rsidRDefault="00BE49FD" w:rsidP="00B90008">
            <w:pPr>
              <w:spacing w:line="240" w:lineRule="auto"/>
              <w:contextualSpacing/>
              <w:rPr>
                <w:rFonts w:ascii="Garamond" w:hAnsi="Garamond"/>
                <w:color w:val="000000"/>
              </w:rPr>
            </w:pPr>
          </w:p>
        </w:tc>
        <w:tc>
          <w:tcPr>
            <w:tcW w:w="1162" w:type="dxa"/>
            <w:shd w:val="clear" w:color="auto" w:fill="auto"/>
            <w:noWrap/>
            <w:vAlign w:val="bottom"/>
          </w:tcPr>
          <w:p w14:paraId="1EBFDCE2"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TR</w:t>
            </w:r>
          </w:p>
        </w:tc>
        <w:tc>
          <w:tcPr>
            <w:tcW w:w="0" w:type="auto"/>
            <w:shd w:val="clear" w:color="auto" w:fill="auto"/>
            <w:noWrap/>
            <w:vAlign w:val="bottom"/>
          </w:tcPr>
          <w:p w14:paraId="41897BB4"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TV</w:t>
            </w:r>
          </w:p>
        </w:tc>
        <w:tc>
          <w:tcPr>
            <w:tcW w:w="0" w:type="auto"/>
            <w:shd w:val="clear" w:color="auto" w:fill="auto"/>
            <w:noWrap/>
            <w:vAlign w:val="bottom"/>
          </w:tcPr>
          <w:p w14:paraId="525B8BAB"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ILLIQ</w:t>
            </w:r>
          </w:p>
        </w:tc>
        <w:tc>
          <w:tcPr>
            <w:tcW w:w="0" w:type="auto"/>
            <w:shd w:val="clear" w:color="auto" w:fill="auto"/>
            <w:noWrap/>
            <w:vAlign w:val="bottom"/>
          </w:tcPr>
          <w:p w14:paraId="1D0A12D0"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TPI</w:t>
            </w:r>
          </w:p>
        </w:tc>
        <w:tc>
          <w:tcPr>
            <w:tcW w:w="0" w:type="auto"/>
            <w:shd w:val="clear" w:color="auto" w:fill="auto"/>
            <w:noWrap/>
            <w:vAlign w:val="bottom"/>
          </w:tcPr>
          <w:p w14:paraId="26807A6C"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TR</w:t>
            </w:r>
          </w:p>
        </w:tc>
        <w:tc>
          <w:tcPr>
            <w:tcW w:w="0" w:type="auto"/>
            <w:shd w:val="clear" w:color="auto" w:fill="auto"/>
            <w:noWrap/>
            <w:vAlign w:val="bottom"/>
          </w:tcPr>
          <w:p w14:paraId="29E5584D"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TV</w:t>
            </w:r>
          </w:p>
        </w:tc>
        <w:tc>
          <w:tcPr>
            <w:tcW w:w="0" w:type="auto"/>
            <w:shd w:val="clear" w:color="auto" w:fill="auto"/>
            <w:noWrap/>
            <w:vAlign w:val="bottom"/>
          </w:tcPr>
          <w:p w14:paraId="5E795E5C"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ILLIQ</w:t>
            </w:r>
          </w:p>
        </w:tc>
        <w:tc>
          <w:tcPr>
            <w:tcW w:w="0" w:type="auto"/>
            <w:shd w:val="clear" w:color="auto" w:fill="auto"/>
            <w:noWrap/>
            <w:vAlign w:val="bottom"/>
          </w:tcPr>
          <w:p w14:paraId="7125C7D6"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TPI</w:t>
            </w:r>
          </w:p>
        </w:tc>
        <w:tc>
          <w:tcPr>
            <w:tcW w:w="1280" w:type="dxa"/>
          </w:tcPr>
          <w:p w14:paraId="51704378"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TR</w:t>
            </w:r>
          </w:p>
        </w:tc>
        <w:tc>
          <w:tcPr>
            <w:tcW w:w="0" w:type="auto"/>
          </w:tcPr>
          <w:p w14:paraId="5AD92DA1"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TV</w:t>
            </w:r>
          </w:p>
        </w:tc>
        <w:tc>
          <w:tcPr>
            <w:tcW w:w="1142" w:type="dxa"/>
          </w:tcPr>
          <w:p w14:paraId="58B86DED"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ILLIQ</w:t>
            </w:r>
          </w:p>
        </w:tc>
        <w:tc>
          <w:tcPr>
            <w:tcW w:w="1280" w:type="dxa"/>
          </w:tcPr>
          <w:p w14:paraId="365E0147"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TPI</w:t>
            </w:r>
          </w:p>
        </w:tc>
      </w:tr>
      <w:tr w:rsidR="00BE49FD" w:rsidRPr="008A703F" w14:paraId="0BD43179" w14:textId="77777777" w:rsidTr="00B90008">
        <w:trPr>
          <w:trHeight w:val="300"/>
          <w:jc w:val="center"/>
        </w:trPr>
        <w:tc>
          <w:tcPr>
            <w:tcW w:w="0" w:type="auto"/>
            <w:shd w:val="clear" w:color="auto" w:fill="auto"/>
            <w:noWrap/>
            <w:vAlign w:val="bottom"/>
          </w:tcPr>
          <w:p w14:paraId="43EFB439" w14:textId="77777777" w:rsidR="00BE49FD" w:rsidRPr="002768EE" w:rsidRDefault="00BE49FD" w:rsidP="00B90008">
            <w:pPr>
              <w:spacing w:line="240" w:lineRule="auto"/>
              <w:contextualSpacing/>
              <w:rPr>
                <w:rFonts w:ascii="Garamond" w:hAnsi="Garamond"/>
                <w:color w:val="000000"/>
              </w:rPr>
            </w:pPr>
          </w:p>
        </w:tc>
        <w:tc>
          <w:tcPr>
            <w:tcW w:w="1162" w:type="dxa"/>
            <w:shd w:val="clear" w:color="auto" w:fill="auto"/>
            <w:noWrap/>
            <w:vAlign w:val="bottom"/>
          </w:tcPr>
          <w:p w14:paraId="5DE1CA45" w14:textId="77777777" w:rsidR="00BE49FD" w:rsidRPr="002768EE" w:rsidRDefault="00BE49FD" w:rsidP="00B90008">
            <w:pPr>
              <w:spacing w:line="240" w:lineRule="auto"/>
              <w:contextualSpacing/>
              <w:jc w:val="center"/>
              <w:rPr>
                <w:rFonts w:ascii="Garamond" w:hAnsi="Garamond"/>
                <w:color w:val="000000"/>
              </w:rPr>
            </w:pPr>
          </w:p>
        </w:tc>
        <w:tc>
          <w:tcPr>
            <w:tcW w:w="0" w:type="auto"/>
            <w:shd w:val="clear" w:color="auto" w:fill="auto"/>
            <w:noWrap/>
            <w:vAlign w:val="bottom"/>
          </w:tcPr>
          <w:p w14:paraId="3A19918F" w14:textId="77777777" w:rsidR="00BE49FD" w:rsidRPr="002768EE" w:rsidRDefault="00BE49FD" w:rsidP="00B90008">
            <w:pPr>
              <w:spacing w:line="240" w:lineRule="auto"/>
              <w:contextualSpacing/>
              <w:jc w:val="center"/>
              <w:rPr>
                <w:rFonts w:ascii="Garamond" w:hAnsi="Garamond"/>
                <w:color w:val="000000"/>
              </w:rPr>
            </w:pPr>
          </w:p>
        </w:tc>
        <w:tc>
          <w:tcPr>
            <w:tcW w:w="0" w:type="auto"/>
            <w:shd w:val="clear" w:color="auto" w:fill="auto"/>
            <w:noWrap/>
            <w:vAlign w:val="bottom"/>
          </w:tcPr>
          <w:p w14:paraId="01F1E249" w14:textId="77777777" w:rsidR="00BE49FD" w:rsidRPr="002768EE" w:rsidRDefault="00BE49FD" w:rsidP="00B90008">
            <w:pPr>
              <w:spacing w:line="240" w:lineRule="auto"/>
              <w:contextualSpacing/>
              <w:jc w:val="center"/>
              <w:rPr>
                <w:rFonts w:ascii="Garamond" w:hAnsi="Garamond"/>
                <w:color w:val="000000"/>
              </w:rPr>
            </w:pPr>
          </w:p>
        </w:tc>
        <w:tc>
          <w:tcPr>
            <w:tcW w:w="0" w:type="auto"/>
            <w:shd w:val="clear" w:color="auto" w:fill="auto"/>
            <w:noWrap/>
            <w:vAlign w:val="bottom"/>
          </w:tcPr>
          <w:p w14:paraId="3782BB00" w14:textId="77777777" w:rsidR="00BE49FD" w:rsidRPr="002768EE" w:rsidRDefault="00BE49FD" w:rsidP="00B90008">
            <w:pPr>
              <w:spacing w:line="240" w:lineRule="auto"/>
              <w:contextualSpacing/>
              <w:jc w:val="center"/>
              <w:rPr>
                <w:rFonts w:ascii="Garamond" w:hAnsi="Garamond"/>
                <w:color w:val="000000"/>
              </w:rPr>
            </w:pPr>
          </w:p>
        </w:tc>
        <w:tc>
          <w:tcPr>
            <w:tcW w:w="0" w:type="auto"/>
            <w:shd w:val="clear" w:color="auto" w:fill="auto"/>
            <w:noWrap/>
            <w:vAlign w:val="bottom"/>
          </w:tcPr>
          <w:p w14:paraId="2D4CB67C" w14:textId="77777777" w:rsidR="00BE49FD" w:rsidRPr="002768EE" w:rsidRDefault="00BE49FD" w:rsidP="00B90008">
            <w:pPr>
              <w:spacing w:line="240" w:lineRule="auto"/>
              <w:contextualSpacing/>
              <w:jc w:val="center"/>
              <w:rPr>
                <w:rFonts w:ascii="Garamond" w:hAnsi="Garamond"/>
                <w:color w:val="000000"/>
              </w:rPr>
            </w:pPr>
          </w:p>
        </w:tc>
        <w:tc>
          <w:tcPr>
            <w:tcW w:w="0" w:type="auto"/>
            <w:shd w:val="clear" w:color="auto" w:fill="auto"/>
            <w:noWrap/>
            <w:vAlign w:val="bottom"/>
          </w:tcPr>
          <w:p w14:paraId="73018876" w14:textId="77777777" w:rsidR="00BE49FD" w:rsidRPr="002768EE" w:rsidRDefault="00BE49FD" w:rsidP="00B90008">
            <w:pPr>
              <w:spacing w:line="240" w:lineRule="auto"/>
              <w:contextualSpacing/>
              <w:jc w:val="center"/>
              <w:rPr>
                <w:rFonts w:ascii="Garamond" w:hAnsi="Garamond"/>
                <w:color w:val="000000"/>
              </w:rPr>
            </w:pPr>
          </w:p>
        </w:tc>
        <w:tc>
          <w:tcPr>
            <w:tcW w:w="0" w:type="auto"/>
            <w:shd w:val="clear" w:color="auto" w:fill="auto"/>
            <w:noWrap/>
            <w:vAlign w:val="bottom"/>
          </w:tcPr>
          <w:p w14:paraId="1CDD19C5" w14:textId="77777777" w:rsidR="00BE49FD" w:rsidRPr="002768EE" w:rsidRDefault="00BE49FD" w:rsidP="00B90008">
            <w:pPr>
              <w:spacing w:line="240" w:lineRule="auto"/>
              <w:contextualSpacing/>
              <w:jc w:val="center"/>
              <w:rPr>
                <w:rFonts w:ascii="Garamond" w:hAnsi="Garamond"/>
                <w:color w:val="000000"/>
              </w:rPr>
            </w:pPr>
          </w:p>
        </w:tc>
        <w:tc>
          <w:tcPr>
            <w:tcW w:w="0" w:type="auto"/>
            <w:shd w:val="clear" w:color="auto" w:fill="auto"/>
            <w:noWrap/>
            <w:vAlign w:val="bottom"/>
          </w:tcPr>
          <w:p w14:paraId="69325AA1" w14:textId="77777777" w:rsidR="00BE49FD" w:rsidRPr="002768EE" w:rsidRDefault="00BE49FD" w:rsidP="00B90008">
            <w:pPr>
              <w:spacing w:line="240" w:lineRule="auto"/>
              <w:contextualSpacing/>
              <w:jc w:val="center"/>
              <w:rPr>
                <w:rFonts w:ascii="Garamond" w:hAnsi="Garamond"/>
                <w:color w:val="000000"/>
              </w:rPr>
            </w:pPr>
          </w:p>
        </w:tc>
        <w:tc>
          <w:tcPr>
            <w:tcW w:w="1280" w:type="dxa"/>
          </w:tcPr>
          <w:p w14:paraId="4BCBB7F1" w14:textId="77777777" w:rsidR="00BE49FD" w:rsidRPr="002768EE" w:rsidRDefault="00BE49FD" w:rsidP="00B90008">
            <w:pPr>
              <w:spacing w:line="240" w:lineRule="auto"/>
              <w:contextualSpacing/>
              <w:jc w:val="center"/>
              <w:rPr>
                <w:rFonts w:ascii="Garamond" w:hAnsi="Garamond"/>
                <w:color w:val="000000"/>
              </w:rPr>
            </w:pPr>
          </w:p>
        </w:tc>
        <w:tc>
          <w:tcPr>
            <w:tcW w:w="0" w:type="auto"/>
          </w:tcPr>
          <w:p w14:paraId="615C7024" w14:textId="77777777" w:rsidR="00BE49FD" w:rsidRPr="002768EE" w:rsidRDefault="00BE49FD" w:rsidP="00B90008">
            <w:pPr>
              <w:spacing w:line="240" w:lineRule="auto"/>
              <w:contextualSpacing/>
              <w:jc w:val="center"/>
              <w:rPr>
                <w:rFonts w:ascii="Garamond" w:hAnsi="Garamond"/>
                <w:color w:val="000000"/>
              </w:rPr>
            </w:pPr>
          </w:p>
        </w:tc>
        <w:tc>
          <w:tcPr>
            <w:tcW w:w="1142" w:type="dxa"/>
          </w:tcPr>
          <w:p w14:paraId="3246FBE2" w14:textId="77777777" w:rsidR="00BE49FD" w:rsidRPr="002768EE" w:rsidRDefault="00BE49FD" w:rsidP="00B90008">
            <w:pPr>
              <w:spacing w:line="240" w:lineRule="auto"/>
              <w:contextualSpacing/>
              <w:jc w:val="center"/>
              <w:rPr>
                <w:rFonts w:ascii="Garamond" w:hAnsi="Garamond"/>
                <w:color w:val="000000"/>
              </w:rPr>
            </w:pPr>
          </w:p>
        </w:tc>
        <w:tc>
          <w:tcPr>
            <w:tcW w:w="1280" w:type="dxa"/>
          </w:tcPr>
          <w:p w14:paraId="6839C8AB" w14:textId="77777777" w:rsidR="00BE49FD" w:rsidRPr="002768EE" w:rsidRDefault="00BE49FD" w:rsidP="00B90008">
            <w:pPr>
              <w:spacing w:line="240" w:lineRule="auto"/>
              <w:contextualSpacing/>
              <w:jc w:val="center"/>
              <w:rPr>
                <w:rFonts w:ascii="Garamond" w:hAnsi="Garamond"/>
                <w:color w:val="000000"/>
              </w:rPr>
            </w:pPr>
          </w:p>
        </w:tc>
      </w:tr>
      <w:tr w:rsidR="00BE49FD" w:rsidRPr="008A703F" w14:paraId="091957D5" w14:textId="77777777" w:rsidTr="00B90008">
        <w:trPr>
          <w:trHeight w:val="300"/>
          <w:jc w:val="center"/>
        </w:trPr>
        <w:tc>
          <w:tcPr>
            <w:tcW w:w="0" w:type="auto"/>
            <w:shd w:val="clear" w:color="auto" w:fill="auto"/>
            <w:noWrap/>
            <w:vAlign w:val="center"/>
          </w:tcPr>
          <w:p w14:paraId="667AB144"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Dependent variable</w:t>
            </w:r>
            <w:r w:rsidRPr="002768EE">
              <w:rPr>
                <w:rFonts w:ascii="Garamond" w:hAnsi="Garamond"/>
                <w:color w:val="000000"/>
                <w:vertAlign w:val="subscript"/>
              </w:rPr>
              <w:t>t-1</w:t>
            </w:r>
          </w:p>
        </w:tc>
        <w:tc>
          <w:tcPr>
            <w:tcW w:w="1162" w:type="dxa"/>
            <w:shd w:val="clear" w:color="auto" w:fill="auto"/>
            <w:noWrap/>
            <w:vAlign w:val="bottom"/>
          </w:tcPr>
          <w:p w14:paraId="0BEF7465" w14:textId="77777777" w:rsidR="00BE49FD" w:rsidRPr="008A703F" w:rsidRDefault="00BE49FD" w:rsidP="00B90008">
            <w:pPr>
              <w:jc w:val="right"/>
              <w:rPr>
                <w:rFonts w:ascii="Garamond" w:hAnsi="Garamond"/>
                <w:color w:val="000000"/>
              </w:rPr>
            </w:pPr>
            <w:r w:rsidRPr="008A703F">
              <w:rPr>
                <w:rFonts w:ascii="Garamond" w:hAnsi="Garamond"/>
                <w:color w:val="000000"/>
              </w:rPr>
              <w:t>0.6426***</w:t>
            </w:r>
          </w:p>
        </w:tc>
        <w:tc>
          <w:tcPr>
            <w:tcW w:w="1131" w:type="dxa"/>
            <w:shd w:val="clear" w:color="auto" w:fill="auto"/>
            <w:noWrap/>
            <w:vAlign w:val="bottom"/>
          </w:tcPr>
          <w:p w14:paraId="7C50EF60" w14:textId="77777777" w:rsidR="00BE49FD" w:rsidRPr="008A703F" w:rsidRDefault="00BE49FD" w:rsidP="00B90008">
            <w:pPr>
              <w:jc w:val="right"/>
              <w:rPr>
                <w:rFonts w:ascii="Garamond" w:hAnsi="Garamond"/>
                <w:color w:val="000000"/>
              </w:rPr>
            </w:pPr>
            <w:r w:rsidRPr="008A703F">
              <w:rPr>
                <w:rFonts w:ascii="Garamond" w:hAnsi="Garamond"/>
                <w:color w:val="000000"/>
              </w:rPr>
              <w:t>0.7749***</w:t>
            </w:r>
          </w:p>
        </w:tc>
        <w:tc>
          <w:tcPr>
            <w:tcW w:w="0" w:type="auto"/>
            <w:shd w:val="clear" w:color="auto" w:fill="auto"/>
            <w:noWrap/>
            <w:vAlign w:val="bottom"/>
          </w:tcPr>
          <w:p w14:paraId="47FC27EA" w14:textId="77777777" w:rsidR="00BE49FD" w:rsidRPr="008A703F" w:rsidRDefault="00BE49FD" w:rsidP="00B90008">
            <w:pPr>
              <w:jc w:val="right"/>
              <w:rPr>
                <w:rFonts w:ascii="Garamond" w:hAnsi="Garamond"/>
                <w:color w:val="000000"/>
              </w:rPr>
            </w:pPr>
            <w:r w:rsidRPr="008A703F">
              <w:rPr>
                <w:rFonts w:ascii="Garamond" w:hAnsi="Garamond"/>
                <w:color w:val="000000"/>
              </w:rPr>
              <w:t>0.3221***</w:t>
            </w:r>
          </w:p>
        </w:tc>
        <w:tc>
          <w:tcPr>
            <w:tcW w:w="0" w:type="auto"/>
            <w:shd w:val="clear" w:color="auto" w:fill="auto"/>
            <w:noWrap/>
            <w:vAlign w:val="bottom"/>
          </w:tcPr>
          <w:p w14:paraId="2F942788" w14:textId="77777777" w:rsidR="00BE49FD" w:rsidRPr="008A703F" w:rsidRDefault="00BE49FD" w:rsidP="00B90008">
            <w:pPr>
              <w:jc w:val="right"/>
              <w:rPr>
                <w:rFonts w:ascii="Garamond" w:hAnsi="Garamond"/>
                <w:color w:val="000000"/>
              </w:rPr>
            </w:pPr>
            <w:r w:rsidRPr="008A703F">
              <w:rPr>
                <w:rFonts w:ascii="Garamond" w:hAnsi="Garamond"/>
                <w:color w:val="000000"/>
              </w:rPr>
              <w:t>0.3243***</w:t>
            </w:r>
          </w:p>
        </w:tc>
        <w:tc>
          <w:tcPr>
            <w:tcW w:w="0" w:type="auto"/>
            <w:shd w:val="clear" w:color="auto" w:fill="auto"/>
            <w:noWrap/>
            <w:vAlign w:val="bottom"/>
          </w:tcPr>
          <w:p w14:paraId="61BD58FB" w14:textId="77777777" w:rsidR="00BE49FD" w:rsidRPr="008A703F" w:rsidRDefault="00BE49FD" w:rsidP="00B90008">
            <w:pPr>
              <w:jc w:val="right"/>
              <w:rPr>
                <w:rFonts w:ascii="Garamond" w:hAnsi="Garamond"/>
                <w:color w:val="000000"/>
              </w:rPr>
            </w:pPr>
            <w:r w:rsidRPr="008A703F">
              <w:rPr>
                <w:rFonts w:ascii="Garamond" w:hAnsi="Garamond"/>
                <w:color w:val="000000"/>
              </w:rPr>
              <w:t>0.6623***</w:t>
            </w:r>
          </w:p>
        </w:tc>
        <w:tc>
          <w:tcPr>
            <w:tcW w:w="0" w:type="auto"/>
            <w:shd w:val="clear" w:color="auto" w:fill="auto"/>
            <w:noWrap/>
            <w:vAlign w:val="bottom"/>
          </w:tcPr>
          <w:p w14:paraId="380B8773" w14:textId="77777777" w:rsidR="00BE49FD" w:rsidRPr="008A703F" w:rsidRDefault="00BE49FD" w:rsidP="00B90008">
            <w:pPr>
              <w:jc w:val="right"/>
              <w:rPr>
                <w:rFonts w:ascii="Garamond" w:hAnsi="Garamond"/>
                <w:color w:val="000000"/>
              </w:rPr>
            </w:pPr>
            <w:r w:rsidRPr="008A703F">
              <w:rPr>
                <w:rFonts w:ascii="Garamond" w:hAnsi="Garamond"/>
                <w:color w:val="000000"/>
              </w:rPr>
              <w:t>0.7723***</w:t>
            </w:r>
          </w:p>
        </w:tc>
        <w:tc>
          <w:tcPr>
            <w:tcW w:w="0" w:type="auto"/>
            <w:shd w:val="clear" w:color="auto" w:fill="auto"/>
            <w:noWrap/>
            <w:vAlign w:val="bottom"/>
          </w:tcPr>
          <w:p w14:paraId="2D5820B1" w14:textId="77777777" w:rsidR="00BE49FD" w:rsidRPr="008A703F" w:rsidRDefault="00BE49FD" w:rsidP="00B90008">
            <w:pPr>
              <w:jc w:val="right"/>
              <w:rPr>
                <w:rFonts w:ascii="Garamond" w:hAnsi="Garamond"/>
                <w:color w:val="000000"/>
              </w:rPr>
            </w:pPr>
            <w:r w:rsidRPr="008A703F">
              <w:rPr>
                <w:rFonts w:ascii="Garamond" w:hAnsi="Garamond"/>
                <w:color w:val="000000"/>
              </w:rPr>
              <w:t>0.3172***</w:t>
            </w:r>
          </w:p>
        </w:tc>
        <w:tc>
          <w:tcPr>
            <w:tcW w:w="0" w:type="auto"/>
            <w:shd w:val="clear" w:color="auto" w:fill="auto"/>
            <w:noWrap/>
            <w:vAlign w:val="bottom"/>
          </w:tcPr>
          <w:p w14:paraId="28EAFEF1" w14:textId="77777777" w:rsidR="00BE49FD" w:rsidRPr="008A703F" w:rsidRDefault="00BE49FD" w:rsidP="00B90008">
            <w:pPr>
              <w:jc w:val="right"/>
              <w:rPr>
                <w:rFonts w:ascii="Garamond" w:hAnsi="Garamond"/>
                <w:color w:val="000000"/>
              </w:rPr>
            </w:pPr>
            <w:r w:rsidRPr="008A703F">
              <w:rPr>
                <w:rFonts w:ascii="Garamond" w:hAnsi="Garamond"/>
                <w:color w:val="000000"/>
              </w:rPr>
              <w:t>0.3209***</w:t>
            </w:r>
          </w:p>
        </w:tc>
        <w:tc>
          <w:tcPr>
            <w:tcW w:w="1280" w:type="dxa"/>
            <w:vAlign w:val="bottom"/>
          </w:tcPr>
          <w:p w14:paraId="5A4338D1" w14:textId="77777777" w:rsidR="00BE49FD" w:rsidRPr="008A703F" w:rsidRDefault="00BE49FD" w:rsidP="00B90008">
            <w:pPr>
              <w:jc w:val="right"/>
              <w:rPr>
                <w:rFonts w:ascii="Garamond" w:hAnsi="Garamond"/>
                <w:color w:val="000000"/>
              </w:rPr>
            </w:pPr>
            <w:r w:rsidRPr="008A703F">
              <w:rPr>
                <w:rFonts w:ascii="Garamond" w:hAnsi="Garamond"/>
                <w:color w:val="000000"/>
              </w:rPr>
              <w:t>0.6007</w:t>
            </w:r>
          </w:p>
        </w:tc>
        <w:tc>
          <w:tcPr>
            <w:tcW w:w="0" w:type="auto"/>
            <w:vAlign w:val="bottom"/>
          </w:tcPr>
          <w:p w14:paraId="5FE79EE3" w14:textId="77777777" w:rsidR="00BE49FD" w:rsidRPr="008A703F" w:rsidRDefault="00BE49FD" w:rsidP="00B90008">
            <w:pPr>
              <w:jc w:val="right"/>
              <w:rPr>
                <w:rFonts w:ascii="Garamond" w:hAnsi="Garamond"/>
                <w:color w:val="000000"/>
              </w:rPr>
            </w:pPr>
            <w:r w:rsidRPr="008A703F">
              <w:rPr>
                <w:rFonts w:ascii="Garamond" w:hAnsi="Garamond"/>
                <w:color w:val="000000"/>
              </w:rPr>
              <w:t>0.7632***</w:t>
            </w:r>
          </w:p>
        </w:tc>
        <w:tc>
          <w:tcPr>
            <w:tcW w:w="1142" w:type="dxa"/>
            <w:vAlign w:val="bottom"/>
          </w:tcPr>
          <w:p w14:paraId="53C7590F" w14:textId="77777777" w:rsidR="00BE49FD" w:rsidRPr="008A703F" w:rsidRDefault="00BE49FD" w:rsidP="00B90008">
            <w:pPr>
              <w:jc w:val="right"/>
              <w:rPr>
                <w:rFonts w:ascii="Garamond" w:hAnsi="Garamond"/>
                <w:color w:val="000000"/>
              </w:rPr>
            </w:pPr>
            <w:r w:rsidRPr="008A703F">
              <w:rPr>
                <w:rFonts w:ascii="Garamond" w:hAnsi="Garamond"/>
                <w:color w:val="000000"/>
              </w:rPr>
              <w:t>0.2218</w:t>
            </w:r>
          </w:p>
        </w:tc>
        <w:tc>
          <w:tcPr>
            <w:tcW w:w="1280" w:type="dxa"/>
            <w:vAlign w:val="bottom"/>
          </w:tcPr>
          <w:p w14:paraId="21B07230" w14:textId="77777777" w:rsidR="00BE49FD" w:rsidRPr="008A703F" w:rsidRDefault="00BE49FD" w:rsidP="00B90008">
            <w:pPr>
              <w:jc w:val="right"/>
              <w:rPr>
                <w:rFonts w:ascii="Garamond" w:hAnsi="Garamond"/>
                <w:color w:val="000000"/>
              </w:rPr>
            </w:pPr>
            <w:r w:rsidRPr="008A703F">
              <w:rPr>
                <w:rFonts w:ascii="Garamond" w:hAnsi="Garamond"/>
                <w:color w:val="000000"/>
              </w:rPr>
              <w:t>0.2762***</w:t>
            </w:r>
          </w:p>
        </w:tc>
      </w:tr>
      <w:tr w:rsidR="00BE49FD" w:rsidRPr="008A703F" w14:paraId="476D5D46" w14:textId="77777777" w:rsidTr="00B90008">
        <w:trPr>
          <w:trHeight w:val="300"/>
          <w:jc w:val="center"/>
        </w:trPr>
        <w:tc>
          <w:tcPr>
            <w:tcW w:w="0" w:type="auto"/>
            <w:shd w:val="clear" w:color="auto" w:fill="auto"/>
            <w:noWrap/>
            <w:vAlign w:val="center"/>
          </w:tcPr>
          <w:p w14:paraId="2C4B494B"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Monetary policy</w:t>
            </w:r>
            <w:r w:rsidRPr="002768EE">
              <w:rPr>
                <w:rFonts w:ascii="Garamond" w:hAnsi="Garamond"/>
                <w:color w:val="000000"/>
                <w:vertAlign w:val="subscript"/>
              </w:rPr>
              <w:t>t-1</w:t>
            </w:r>
          </w:p>
        </w:tc>
        <w:tc>
          <w:tcPr>
            <w:tcW w:w="1162" w:type="dxa"/>
            <w:shd w:val="clear" w:color="auto" w:fill="auto"/>
            <w:noWrap/>
            <w:vAlign w:val="bottom"/>
          </w:tcPr>
          <w:p w14:paraId="5F477D96" w14:textId="77777777" w:rsidR="00BE49FD" w:rsidRPr="008A703F" w:rsidRDefault="00BE49FD" w:rsidP="00B90008">
            <w:pPr>
              <w:jc w:val="right"/>
              <w:rPr>
                <w:rFonts w:ascii="Garamond" w:hAnsi="Garamond"/>
                <w:color w:val="000000"/>
              </w:rPr>
            </w:pPr>
            <w:r w:rsidRPr="008A703F">
              <w:rPr>
                <w:rFonts w:ascii="Garamond" w:hAnsi="Garamond"/>
                <w:color w:val="000000"/>
              </w:rPr>
              <w:t>0.0048***</w:t>
            </w:r>
          </w:p>
        </w:tc>
        <w:tc>
          <w:tcPr>
            <w:tcW w:w="0" w:type="auto"/>
            <w:shd w:val="clear" w:color="auto" w:fill="auto"/>
            <w:noWrap/>
            <w:vAlign w:val="bottom"/>
          </w:tcPr>
          <w:p w14:paraId="54A9DE4C" w14:textId="77777777" w:rsidR="00BE49FD" w:rsidRPr="008A703F" w:rsidRDefault="00BE49FD" w:rsidP="00B90008">
            <w:pPr>
              <w:jc w:val="right"/>
              <w:rPr>
                <w:rFonts w:ascii="Garamond" w:hAnsi="Garamond"/>
                <w:color w:val="000000"/>
              </w:rPr>
            </w:pPr>
            <w:r w:rsidRPr="008A703F">
              <w:rPr>
                <w:rFonts w:ascii="Garamond" w:hAnsi="Garamond"/>
                <w:color w:val="000000"/>
              </w:rPr>
              <w:t>0.0555***</w:t>
            </w:r>
          </w:p>
        </w:tc>
        <w:tc>
          <w:tcPr>
            <w:tcW w:w="0" w:type="auto"/>
            <w:shd w:val="clear" w:color="auto" w:fill="auto"/>
            <w:noWrap/>
            <w:vAlign w:val="bottom"/>
          </w:tcPr>
          <w:p w14:paraId="13C1FEA6" w14:textId="77777777" w:rsidR="00BE49FD" w:rsidRPr="008A703F" w:rsidRDefault="00BE49FD" w:rsidP="00B90008">
            <w:pPr>
              <w:jc w:val="right"/>
              <w:rPr>
                <w:rFonts w:ascii="Garamond" w:hAnsi="Garamond"/>
                <w:color w:val="000000"/>
              </w:rPr>
            </w:pPr>
            <w:r w:rsidRPr="008A703F">
              <w:rPr>
                <w:rFonts w:ascii="Garamond" w:hAnsi="Garamond"/>
                <w:color w:val="000000"/>
              </w:rPr>
              <w:t>-1.1E-05</w:t>
            </w:r>
          </w:p>
        </w:tc>
        <w:tc>
          <w:tcPr>
            <w:tcW w:w="0" w:type="auto"/>
            <w:shd w:val="clear" w:color="auto" w:fill="auto"/>
            <w:noWrap/>
            <w:vAlign w:val="bottom"/>
          </w:tcPr>
          <w:p w14:paraId="1452F582" w14:textId="77777777" w:rsidR="00BE49FD" w:rsidRPr="008A703F" w:rsidRDefault="00BE49FD" w:rsidP="00B90008">
            <w:pPr>
              <w:jc w:val="right"/>
              <w:rPr>
                <w:rFonts w:ascii="Garamond" w:hAnsi="Garamond"/>
                <w:color w:val="000000"/>
              </w:rPr>
            </w:pPr>
            <w:r w:rsidRPr="008A703F">
              <w:rPr>
                <w:rFonts w:ascii="Garamond" w:hAnsi="Garamond"/>
                <w:color w:val="000000"/>
              </w:rPr>
              <w:t>-0.1418</w:t>
            </w:r>
          </w:p>
        </w:tc>
        <w:tc>
          <w:tcPr>
            <w:tcW w:w="0" w:type="auto"/>
            <w:shd w:val="clear" w:color="auto" w:fill="auto"/>
            <w:noWrap/>
            <w:vAlign w:val="bottom"/>
          </w:tcPr>
          <w:p w14:paraId="4DA12F7A" w14:textId="77777777" w:rsidR="00BE49FD" w:rsidRPr="008A703F" w:rsidRDefault="00BE49FD" w:rsidP="00B90008">
            <w:pPr>
              <w:jc w:val="right"/>
              <w:rPr>
                <w:rFonts w:ascii="Garamond" w:hAnsi="Garamond"/>
                <w:color w:val="000000"/>
              </w:rPr>
            </w:pPr>
            <w:r w:rsidRPr="008A703F">
              <w:rPr>
                <w:rFonts w:ascii="Garamond" w:hAnsi="Garamond"/>
                <w:color w:val="000000"/>
              </w:rPr>
              <w:t>-0.0831</w:t>
            </w:r>
          </w:p>
        </w:tc>
        <w:tc>
          <w:tcPr>
            <w:tcW w:w="0" w:type="auto"/>
            <w:shd w:val="clear" w:color="auto" w:fill="auto"/>
            <w:noWrap/>
            <w:vAlign w:val="bottom"/>
          </w:tcPr>
          <w:p w14:paraId="3BA73E73" w14:textId="77777777" w:rsidR="00BE49FD" w:rsidRPr="008A703F" w:rsidRDefault="00BE49FD" w:rsidP="00B90008">
            <w:pPr>
              <w:jc w:val="right"/>
              <w:rPr>
                <w:rFonts w:ascii="Garamond" w:hAnsi="Garamond"/>
                <w:color w:val="000000"/>
              </w:rPr>
            </w:pPr>
            <w:r w:rsidRPr="008A703F">
              <w:rPr>
                <w:rFonts w:ascii="Garamond" w:hAnsi="Garamond"/>
                <w:color w:val="000000"/>
              </w:rPr>
              <w:t>-0.1639**</w:t>
            </w:r>
          </w:p>
        </w:tc>
        <w:tc>
          <w:tcPr>
            <w:tcW w:w="0" w:type="auto"/>
            <w:shd w:val="clear" w:color="auto" w:fill="auto"/>
            <w:noWrap/>
            <w:vAlign w:val="bottom"/>
          </w:tcPr>
          <w:p w14:paraId="1A13A788" w14:textId="77777777" w:rsidR="00BE49FD" w:rsidRPr="008A703F" w:rsidRDefault="00BE49FD" w:rsidP="00B90008">
            <w:pPr>
              <w:jc w:val="right"/>
              <w:rPr>
                <w:rFonts w:ascii="Garamond" w:hAnsi="Garamond"/>
                <w:color w:val="000000"/>
              </w:rPr>
            </w:pPr>
            <w:r w:rsidRPr="008A703F">
              <w:rPr>
                <w:rFonts w:ascii="Garamond" w:hAnsi="Garamond"/>
                <w:color w:val="000000"/>
              </w:rPr>
              <w:t>0.00012</w:t>
            </w:r>
          </w:p>
        </w:tc>
        <w:tc>
          <w:tcPr>
            <w:tcW w:w="0" w:type="auto"/>
            <w:shd w:val="clear" w:color="auto" w:fill="auto"/>
            <w:noWrap/>
            <w:vAlign w:val="bottom"/>
          </w:tcPr>
          <w:p w14:paraId="7F0ED981" w14:textId="77777777" w:rsidR="00BE49FD" w:rsidRPr="008A703F" w:rsidRDefault="00BE49FD" w:rsidP="00B90008">
            <w:pPr>
              <w:jc w:val="right"/>
              <w:rPr>
                <w:rFonts w:ascii="Garamond" w:hAnsi="Garamond"/>
                <w:color w:val="000000"/>
              </w:rPr>
            </w:pPr>
            <w:r w:rsidRPr="008A703F">
              <w:rPr>
                <w:rFonts w:ascii="Garamond" w:hAnsi="Garamond"/>
                <w:color w:val="000000"/>
              </w:rPr>
              <w:t>1.3697</w:t>
            </w:r>
          </w:p>
        </w:tc>
        <w:tc>
          <w:tcPr>
            <w:tcW w:w="1280" w:type="dxa"/>
            <w:vAlign w:val="bottom"/>
          </w:tcPr>
          <w:p w14:paraId="77BB268A" w14:textId="77777777" w:rsidR="00BE49FD" w:rsidRPr="008A703F" w:rsidRDefault="00BE49FD" w:rsidP="00B90008">
            <w:pPr>
              <w:jc w:val="right"/>
              <w:rPr>
                <w:rFonts w:ascii="Garamond" w:hAnsi="Garamond"/>
                <w:color w:val="000000"/>
              </w:rPr>
            </w:pPr>
            <w:r w:rsidRPr="008A703F">
              <w:rPr>
                <w:rFonts w:ascii="Garamond" w:hAnsi="Garamond"/>
                <w:color w:val="000000"/>
              </w:rPr>
              <w:t>-0.0551***</w:t>
            </w:r>
          </w:p>
        </w:tc>
        <w:tc>
          <w:tcPr>
            <w:tcW w:w="0" w:type="auto"/>
            <w:vAlign w:val="bottom"/>
          </w:tcPr>
          <w:p w14:paraId="61C285ED" w14:textId="77777777" w:rsidR="00BE49FD" w:rsidRPr="008A703F" w:rsidRDefault="00BE49FD" w:rsidP="00B90008">
            <w:pPr>
              <w:jc w:val="right"/>
              <w:rPr>
                <w:rFonts w:ascii="Garamond" w:hAnsi="Garamond"/>
                <w:color w:val="000000"/>
              </w:rPr>
            </w:pPr>
            <w:r w:rsidRPr="008A703F">
              <w:rPr>
                <w:rFonts w:ascii="Garamond" w:hAnsi="Garamond"/>
                <w:color w:val="000000"/>
              </w:rPr>
              <w:t>-0.0300</w:t>
            </w:r>
          </w:p>
        </w:tc>
        <w:tc>
          <w:tcPr>
            <w:tcW w:w="1142" w:type="dxa"/>
            <w:vAlign w:val="bottom"/>
          </w:tcPr>
          <w:p w14:paraId="7E98B06F" w14:textId="77777777" w:rsidR="00BE49FD" w:rsidRPr="008A703F" w:rsidRDefault="00BE49FD" w:rsidP="00B90008">
            <w:pPr>
              <w:jc w:val="right"/>
              <w:rPr>
                <w:rFonts w:ascii="Garamond" w:hAnsi="Garamond"/>
                <w:color w:val="000000"/>
              </w:rPr>
            </w:pPr>
            <w:r w:rsidRPr="008A703F">
              <w:rPr>
                <w:rFonts w:ascii="Garamond" w:hAnsi="Garamond"/>
                <w:color w:val="000000"/>
              </w:rPr>
              <w:t>7.2E-05</w:t>
            </w:r>
          </w:p>
        </w:tc>
        <w:tc>
          <w:tcPr>
            <w:tcW w:w="1280" w:type="dxa"/>
            <w:vAlign w:val="bottom"/>
          </w:tcPr>
          <w:p w14:paraId="42B57C46" w14:textId="77777777" w:rsidR="00BE49FD" w:rsidRPr="008A703F" w:rsidRDefault="00BE49FD" w:rsidP="00B90008">
            <w:pPr>
              <w:jc w:val="right"/>
              <w:rPr>
                <w:rFonts w:ascii="Garamond" w:hAnsi="Garamond"/>
                <w:color w:val="000000"/>
              </w:rPr>
            </w:pPr>
            <w:r w:rsidRPr="008A703F">
              <w:rPr>
                <w:rFonts w:ascii="Garamond" w:hAnsi="Garamond"/>
                <w:color w:val="000000"/>
              </w:rPr>
              <w:t>-0.4312***</w:t>
            </w:r>
          </w:p>
        </w:tc>
      </w:tr>
      <w:tr w:rsidR="00BE49FD" w:rsidRPr="008A703F" w14:paraId="29FC8104" w14:textId="77777777" w:rsidTr="00B90008">
        <w:trPr>
          <w:trHeight w:val="300"/>
          <w:jc w:val="center"/>
        </w:trPr>
        <w:tc>
          <w:tcPr>
            <w:tcW w:w="0" w:type="auto"/>
            <w:shd w:val="clear" w:color="auto" w:fill="auto"/>
            <w:noWrap/>
            <w:vAlign w:val="center"/>
          </w:tcPr>
          <w:p w14:paraId="49A02A16"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Interaction term</w:t>
            </w:r>
            <w:r w:rsidRPr="002768EE">
              <w:rPr>
                <w:rFonts w:ascii="Garamond" w:hAnsi="Garamond"/>
                <w:color w:val="000000"/>
                <w:vertAlign w:val="subscript"/>
              </w:rPr>
              <w:t>t-1</w:t>
            </w:r>
          </w:p>
        </w:tc>
        <w:tc>
          <w:tcPr>
            <w:tcW w:w="1162" w:type="dxa"/>
            <w:shd w:val="clear" w:color="auto" w:fill="auto"/>
            <w:noWrap/>
            <w:vAlign w:val="bottom"/>
          </w:tcPr>
          <w:p w14:paraId="207B57CC" w14:textId="77777777" w:rsidR="00BE49FD" w:rsidRPr="008A703F" w:rsidRDefault="00BE49FD" w:rsidP="00B90008">
            <w:pPr>
              <w:jc w:val="right"/>
              <w:rPr>
                <w:rFonts w:ascii="Garamond" w:hAnsi="Garamond"/>
                <w:color w:val="000000"/>
              </w:rPr>
            </w:pPr>
            <w:r w:rsidRPr="008A703F">
              <w:rPr>
                <w:rFonts w:ascii="Garamond" w:hAnsi="Garamond"/>
                <w:color w:val="000000"/>
              </w:rPr>
              <w:t>0.0111*</w:t>
            </w:r>
          </w:p>
        </w:tc>
        <w:tc>
          <w:tcPr>
            <w:tcW w:w="0" w:type="auto"/>
            <w:shd w:val="clear" w:color="auto" w:fill="auto"/>
            <w:noWrap/>
            <w:vAlign w:val="bottom"/>
          </w:tcPr>
          <w:p w14:paraId="36E403BA" w14:textId="77777777" w:rsidR="00BE49FD" w:rsidRPr="008A703F" w:rsidRDefault="00BE49FD" w:rsidP="00B90008">
            <w:pPr>
              <w:jc w:val="right"/>
              <w:rPr>
                <w:rFonts w:ascii="Garamond" w:hAnsi="Garamond"/>
                <w:color w:val="000000"/>
              </w:rPr>
            </w:pPr>
            <w:r w:rsidRPr="008A703F">
              <w:rPr>
                <w:rFonts w:ascii="Garamond" w:hAnsi="Garamond"/>
                <w:color w:val="000000"/>
              </w:rPr>
              <w:t>0.3446***</w:t>
            </w:r>
          </w:p>
        </w:tc>
        <w:tc>
          <w:tcPr>
            <w:tcW w:w="0" w:type="auto"/>
            <w:shd w:val="clear" w:color="auto" w:fill="auto"/>
            <w:noWrap/>
            <w:vAlign w:val="bottom"/>
          </w:tcPr>
          <w:p w14:paraId="646FCF82" w14:textId="77777777" w:rsidR="00BE49FD" w:rsidRPr="008A703F" w:rsidRDefault="00BE49FD" w:rsidP="00B90008">
            <w:pPr>
              <w:jc w:val="right"/>
              <w:rPr>
                <w:rFonts w:ascii="Garamond" w:hAnsi="Garamond"/>
                <w:color w:val="000000"/>
              </w:rPr>
            </w:pPr>
            <w:r w:rsidRPr="008A703F">
              <w:rPr>
                <w:rFonts w:ascii="Garamond" w:hAnsi="Garamond"/>
                <w:color w:val="000000"/>
              </w:rPr>
              <w:t>-9.7E-08</w:t>
            </w:r>
          </w:p>
        </w:tc>
        <w:tc>
          <w:tcPr>
            <w:tcW w:w="0" w:type="auto"/>
            <w:shd w:val="clear" w:color="auto" w:fill="auto"/>
            <w:noWrap/>
            <w:vAlign w:val="bottom"/>
          </w:tcPr>
          <w:p w14:paraId="30789F5F" w14:textId="77777777" w:rsidR="00BE49FD" w:rsidRPr="008A703F" w:rsidRDefault="00BE49FD" w:rsidP="00B90008">
            <w:pPr>
              <w:jc w:val="right"/>
              <w:rPr>
                <w:rFonts w:ascii="Garamond" w:hAnsi="Garamond"/>
                <w:color w:val="000000"/>
              </w:rPr>
            </w:pPr>
            <w:r w:rsidRPr="008A703F">
              <w:rPr>
                <w:rFonts w:ascii="Garamond" w:hAnsi="Garamond"/>
                <w:color w:val="000000"/>
              </w:rPr>
              <w:t>0.0175</w:t>
            </w:r>
          </w:p>
        </w:tc>
        <w:tc>
          <w:tcPr>
            <w:tcW w:w="0" w:type="auto"/>
            <w:shd w:val="clear" w:color="auto" w:fill="auto"/>
            <w:noWrap/>
            <w:vAlign w:val="bottom"/>
          </w:tcPr>
          <w:p w14:paraId="1E86BDA1" w14:textId="77777777" w:rsidR="00BE49FD" w:rsidRPr="008A703F" w:rsidRDefault="00BE49FD" w:rsidP="00B90008">
            <w:pPr>
              <w:jc w:val="right"/>
              <w:rPr>
                <w:rFonts w:ascii="Garamond" w:hAnsi="Garamond"/>
                <w:color w:val="000000"/>
              </w:rPr>
            </w:pPr>
            <w:r w:rsidRPr="008A703F">
              <w:rPr>
                <w:rFonts w:ascii="Garamond" w:hAnsi="Garamond"/>
                <w:color w:val="000000"/>
              </w:rPr>
              <w:t>1.98E-05</w:t>
            </w:r>
          </w:p>
        </w:tc>
        <w:tc>
          <w:tcPr>
            <w:tcW w:w="0" w:type="auto"/>
            <w:shd w:val="clear" w:color="auto" w:fill="auto"/>
            <w:noWrap/>
            <w:vAlign w:val="bottom"/>
          </w:tcPr>
          <w:p w14:paraId="32259338" w14:textId="77777777" w:rsidR="00BE49FD" w:rsidRPr="008A703F" w:rsidRDefault="00BE49FD" w:rsidP="00B90008">
            <w:pPr>
              <w:jc w:val="right"/>
              <w:rPr>
                <w:rFonts w:ascii="Garamond" w:hAnsi="Garamond"/>
                <w:color w:val="000000"/>
              </w:rPr>
            </w:pPr>
            <w:r w:rsidRPr="008A703F">
              <w:rPr>
                <w:rFonts w:ascii="Garamond" w:hAnsi="Garamond"/>
                <w:color w:val="000000"/>
              </w:rPr>
              <w:t>0.0225***</w:t>
            </w:r>
          </w:p>
        </w:tc>
        <w:tc>
          <w:tcPr>
            <w:tcW w:w="0" w:type="auto"/>
            <w:shd w:val="clear" w:color="auto" w:fill="auto"/>
            <w:noWrap/>
            <w:vAlign w:val="bottom"/>
          </w:tcPr>
          <w:p w14:paraId="668D9AFE" w14:textId="77777777" w:rsidR="00BE49FD" w:rsidRPr="008A703F" w:rsidRDefault="00BE49FD" w:rsidP="00B90008">
            <w:pPr>
              <w:jc w:val="right"/>
              <w:rPr>
                <w:rFonts w:ascii="Garamond" w:hAnsi="Garamond"/>
                <w:color w:val="000000"/>
              </w:rPr>
            </w:pPr>
            <w:r w:rsidRPr="008A703F">
              <w:rPr>
                <w:rFonts w:ascii="Garamond" w:hAnsi="Garamond"/>
                <w:color w:val="000000"/>
              </w:rPr>
              <w:t>-1.1E-05</w:t>
            </w:r>
          </w:p>
        </w:tc>
        <w:tc>
          <w:tcPr>
            <w:tcW w:w="0" w:type="auto"/>
            <w:shd w:val="clear" w:color="auto" w:fill="auto"/>
            <w:noWrap/>
            <w:vAlign w:val="bottom"/>
          </w:tcPr>
          <w:p w14:paraId="617FDF55" w14:textId="77777777" w:rsidR="00BE49FD" w:rsidRPr="008A703F" w:rsidRDefault="00BE49FD" w:rsidP="00B90008">
            <w:pPr>
              <w:jc w:val="right"/>
              <w:rPr>
                <w:rFonts w:ascii="Garamond" w:hAnsi="Garamond"/>
                <w:color w:val="000000"/>
              </w:rPr>
            </w:pPr>
            <w:r w:rsidRPr="008A703F">
              <w:rPr>
                <w:rFonts w:ascii="Garamond" w:hAnsi="Garamond"/>
                <w:color w:val="000000"/>
              </w:rPr>
              <w:t>-0.0460***</w:t>
            </w:r>
          </w:p>
        </w:tc>
        <w:tc>
          <w:tcPr>
            <w:tcW w:w="1280" w:type="dxa"/>
            <w:vAlign w:val="bottom"/>
          </w:tcPr>
          <w:p w14:paraId="01A7B0A6" w14:textId="77777777" w:rsidR="00BE49FD" w:rsidRPr="008A703F" w:rsidRDefault="00BE49FD" w:rsidP="00B90008">
            <w:pPr>
              <w:jc w:val="right"/>
              <w:rPr>
                <w:rFonts w:ascii="Garamond" w:hAnsi="Garamond"/>
                <w:color w:val="000000"/>
              </w:rPr>
            </w:pPr>
            <w:r w:rsidRPr="008A703F">
              <w:rPr>
                <w:rFonts w:ascii="Garamond" w:hAnsi="Garamond"/>
                <w:color w:val="000000"/>
              </w:rPr>
              <w:t>0.0005</w:t>
            </w:r>
          </w:p>
        </w:tc>
        <w:tc>
          <w:tcPr>
            <w:tcW w:w="0" w:type="auto"/>
            <w:vAlign w:val="bottom"/>
          </w:tcPr>
          <w:p w14:paraId="193091F2" w14:textId="77777777" w:rsidR="00BE49FD" w:rsidRPr="008A703F" w:rsidRDefault="00BE49FD" w:rsidP="00B90008">
            <w:pPr>
              <w:jc w:val="right"/>
              <w:rPr>
                <w:rFonts w:ascii="Garamond" w:hAnsi="Garamond"/>
                <w:color w:val="000000"/>
              </w:rPr>
            </w:pPr>
            <w:r w:rsidRPr="008A703F">
              <w:rPr>
                <w:rFonts w:ascii="Garamond" w:hAnsi="Garamond"/>
                <w:color w:val="000000"/>
              </w:rPr>
              <w:t>0.0149</w:t>
            </w:r>
          </w:p>
        </w:tc>
        <w:tc>
          <w:tcPr>
            <w:tcW w:w="1142" w:type="dxa"/>
            <w:vAlign w:val="bottom"/>
          </w:tcPr>
          <w:p w14:paraId="775BA8E2" w14:textId="77777777" w:rsidR="00BE49FD" w:rsidRPr="008A703F" w:rsidRDefault="00BE49FD" w:rsidP="00B90008">
            <w:pPr>
              <w:jc w:val="right"/>
              <w:rPr>
                <w:rFonts w:ascii="Garamond" w:hAnsi="Garamond"/>
                <w:color w:val="000000"/>
              </w:rPr>
            </w:pPr>
            <w:r w:rsidRPr="008A703F">
              <w:rPr>
                <w:rFonts w:ascii="Garamond" w:hAnsi="Garamond"/>
                <w:color w:val="000000"/>
              </w:rPr>
              <w:t>-2.5E-06</w:t>
            </w:r>
          </w:p>
        </w:tc>
        <w:tc>
          <w:tcPr>
            <w:tcW w:w="1280" w:type="dxa"/>
            <w:vAlign w:val="bottom"/>
          </w:tcPr>
          <w:p w14:paraId="126AE5BF" w14:textId="77777777" w:rsidR="00BE49FD" w:rsidRPr="008A703F" w:rsidRDefault="00BE49FD" w:rsidP="00B90008">
            <w:pPr>
              <w:jc w:val="right"/>
              <w:rPr>
                <w:rFonts w:ascii="Garamond" w:hAnsi="Garamond"/>
                <w:color w:val="000000"/>
              </w:rPr>
            </w:pPr>
            <w:r w:rsidRPr="008A703F">
              <w:rPr>
                <w:rFonts w:ascii="Garamond" w:hAnsi="Garamond"/>
                <w:color w:val="000000"/>
              </w:rPr>
              <w:t>0.0019</w:t>
            </w:r>
          </w:p>
        </w:tc>
      </w:tr>
      <w:tr w:rsidR="00BE49FD" w:rsidRPr="008A703F" w14:paraId="5416287F" w14:textId="77777777" w:rsidTr="00B90008">
        <w:trPr>
          <w:trHeight w:val="300"/>
          <w:jc w:val="center"/>
        </w:trPr>
        <w:tc>
          <w:tcPr>
            <w:tcW w:w="0" w:type="auto"/>
            <w:shd w:val="clear" w:color="auto" w:fill="auto"/>
            <w:noWrap/>
            <w:vAlign w:val="center"/>
          </w:tcPr>
          <w:p w14:paraId="56EE4BDF"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Return</w:t>
            </w:r>
            <w:r w:rsidRPr="002768EE">
              <w:rPr>
                <w:rFonts w:ascii="Garamond" w:hAnsi="Garamond"/>
                <w:color w:val="000000"/>
                <w:vertAlign w:val="subscript"/>
              </w:rPr>
              <w:t>t-1</w:t>
            </w:r>
          </w:p>
        </w:tc>
        <w:tc>
          <w:tcPr>
            <w:tcW w:w="1162" w:type="dxa"/>
            <w:shd w:val="clear" w:color="auto" w:fill="auto"/>
            <w:noWrap/>
            <w:vAlign w:val="bottom"/>
          </w:tcPr>
          <w:p w14:paraId="0EE1868D" w14:textId="77777777" w:rsidR="00BE49FD" w:rsidRPr="008A703F" w:rsidRDefault="00BE49FD" w:rsidP="00B90008">
            <w:pPr>
              <w:jc w:val="right"/>
              <w:rPr>
                <w:rFonts w:ascii="Garamond" w:hAnsi="Garamond"/>
                <w:color w:val="000000"/>
              </w:rPr>
            </w:pPr>
            <w:r w:rsidRPr="008A703F">
              <w:rPr>
                <w:rFonts w:ascii="Garamond" w:hAnsi="Garamond"/>
                <w:color w:val="000000"/>
              </w:rPr>
              <w:t>3.9430</w:t>
            </w:r>
          </w:p>
        </w:tc>
        <w:tc>
          <w:tcPr>
            <w:tcW w:w="0" w:type="auto"/>
            <w:shd w:val="clear" w:color="auto" w:fill="auto"/>
            <w:noWrap/>
            <w:vAlign w:val="bottom"/>
          </w:tcPr>
          <w:p w14:paraId="7CF38F35" w14:textId="77777777" w:rsidR="00BE49FD" w:rsidRPr="008A703F" w:rsidRDefault="00BE49FD" w:rsidP="00B90008">
            <w:pPr>
              <w:jc w:val="right"/>
              <w:rPr>
                <w:rFonts w:ascii="Garamond" w:hAnsi="Garamond"/>
                <w:color w:val="000000"/>
              </w:rPr>
            </w:pPr>
            <w:r w:rsidRPr="008A703F">
              <w:rPr>
                <w:rFonts w:ascii="Garamond" w:hAnsi="Garamond"/>
                <w:color w:val="000000"/>
              </w:rPr>
              <w:t>1.8617</w:t>
            </w:r>
          </w:p>
        </w:tc>
        <w:tc>
          <w:tcPr>
            <w:tcW w:w="0" w:type="auto"/>
            <w:shd w:val="clear" w:color="auto" w:fill="auto"/>
            <w:noWrap/>
            <w:vAlign w:val="bottom"/>
          </w:tcPr>
          <w:p w14:paraId="26C9E91B" w14:textId="77777777" w:rsidR="00BE49FD" w:rsidRPr="008A703F" w:rsidRDefault="00BE49FD" w:rsidP="00B90008">
            <w:pPr>
              <w:jc w:val="right"/>
              <w:rPr>
                <w:rFonts w:ascii="Garamond" w:hAnsi="Garamond"/>
                <w:color w:val="000000"/>
              </w:rPr>
            </w:pPr>
            <w:r w:rsidRPr="008A703F">
              <w:rPr>
                <w:rFonts w:ascii="Garamond" w:hAnsi="Garamond"/>
                <w:color w:val="000000"/>
              </w:rPr>
              <w:t>-0.0003</w:t>
            </w:r>
          </w:p>
        </w:tc>
        <w:tc>
          <w:tcPr>
            <w:tcW w:w="0" w:type="auto"/>
            <w:shd w:val="clear" w:color="auto" w:fill="auto"/>
            <w:noWrap/>
            <w:vAlign w:val="bottom"/>
          </w:tcPr>
          <w:p w14:paraId="2B00663C" w14:textId="77777777" w:rsidR="00BE49FD" w:rsidRPr="008A703F" w:rsidRDefault="00BE49FD" w:rsidP="00B90008">
            <w:pPr>
              <w:jc w:val="right"/>
              <w:rPr>
                <w:rFonts w:ascii="Garamond" w:hAnsi="Garamond"/>
                <w:color w:val="000000"/>
              </w:rPr>
            </w:pPr>
            <w:r w:rsidRPr="008A703F">
              <w:rPr>
                <w:rFonts w:ascii="Garamond" w:hAnsi="Garamond"/>
                <w:color w:val="000000"/>
              </w:rPr>
              <w:t>8.2318</w:t>
            </w:r>
          </w:p>
        </w:tc>
        <w:tc>
          <w:tcPr>
            <w:tcW w:w="0" w:type="auto"/>
            <w:shd w:val="clear" w:color="auto" w:fill="auto"/>
            <w:noWrap/>
            <w:vAlign w:val="bottom"/>
          </w:tcPr>
          <w:p w14:paraId="495ED2D4" w14:textId="77777777" w:rsidR="00BE49FD" w:rsidRPr="008A703F" w:rsidRDefault="00BE49FD" w:rsidP="00B90008">
            <w:pPr>
              <w:jc w:val="right"/>
              <w:rPr>
                <w:rFonts w:ascii="Garamond" w:hAnsi="Garamond"/>
                <w:color w:val="000000"/>
              </w:rPr>
            </w:pPr>
            <w:r w:rsidRPr="008A703F">
              <w:rPr>
                <w:rFonts w:ascii="Garamond" w:hAnsi="Garamond"/>
                <w:color w:val="000000"/>
              </w:rPr>
              <w:t>3.6623</w:t>
            </w:r>
          </w:p>
        </w:tc>
        <w:tc>
          <w:tcPr>
            <w:tcW w:w="0" w:type="auto"/>
            <w:shd w:val="clear" w:color="auto" w:fill="auto"/>
            <w:noWrap/>
            <w:vAlign w:val="bottom"/>
          </w:tcPr>
          <w:p w14:paraId="55CAF059" w14:textId="77777777" w:rsidR="00BE49FD" w:rsidRPr="008A703F" w:rsidRDefault="00BE49FD" w:rsidP="00B90008">
            <w:pPr>
              <w:jc w:val="right"/>
              <w:rPr>
                <w:rFonts w:ascii="Garamond" w:hAnsi="Garamond"/>
                <w:color w:val="000000"/>
              </w:rPr>
            </w:pPr>
            <w:r w:rsidRPr="008A703F">
              <w:rPr>
                <w:rFonts w:ascii="Garamond" w:hAnsi="Garamond"/>
                <w:color w:val="000000"/>
              </w:rPr>
              <w:t>1.8039</w:t>
            </w:r>
          </w:p>
        </w:tc>
        <w:tc>
          <w:tcPr>
            <w:tcW w:w="0" w:type="auto"/>
            <w:shd w:val="clear" w:color="auto" w:fill="auto"/>
            <w:noWrap/>
            <w:vAlign w:val="bottom"/>
          </w:tcPr>
          <w:p w14:paraId="65735E4C" w14:textId="77777777" w:rsidR="00BE49FD" w:rsidRPr="008A703F" w:rsidRDefault="00BE49FD" w:rsidP="00B90008">
            <w:pPr>
              <w:jc w:val="right"/>
              <w:rPr>
                <w:rFonts w:ascii="Garamond" w:hAnsi="Garamond"/>
                <w:color w:val="000000"/>
              </w:rPr>
            </w:pPr>
            <w:r w:rsidRPr="008A703F">
              <w:rPr>
                <w:rFonts w:ascii="Garamond" w:hAnsi="Garamond"/>
                <w:color w:val="000000"/>
              </w:rPr>
              <w:t>-0.00023</w:t>
            </w:r>
          </w:p>
        </w:tc>
        <w:tc>
          <w:tcPr>
            <w:tcW w:w="0" w:type="auto"/>
            <w:shd w:val="clear" w:color="auto" w:fill="auto"/>
            <w:noWrap/>
            <w:vAlign w:val="bottom"/>
          </w:tcPr>
          <w:p w14:paraId="15F56CE4" w14:textId="77777777" w:rsidR="00BE49FD" w:rsidRPr="008A703F" w:rsidRDefault="00BE49FD" w:rsidP="00B90008">
            <w:pPr>
              <w:jc w:val="right"/>
              <w:rPr>
                <w:rFonts w:ascii="Garamond" w:hAnsi="Garamond"/>
                <w:color w:val="000000"/>
              </w:rPr>
            </w:pPr>
            <w:r w:rsidRPr="008A703F">
              <w:rPr>
                <w:rFonts w:ascii="Garamond" w:hAnsi="Garamond"/>
                <w:color w:val="000000"/>
              </w:rPr>
              <w:t>15.1862</w:t>
            </w:r>
          </w:p>
        </w:tc>
        <w:tc>
          <w:tcPr>
            <w:tcW w:w="1280" w:type="dxa"/>
            <w:vAlign w:val="bottom"/>
          </w:tcPr>
          <w:p w14:paraId="035F3428" w14:textId="77777777" w:rsidR="00BE49FD" w:rsidRPr="008A703F" w:rsidRDefault="00BE49FD" w:rsidP="00B90008">
            <w:pPr>
              <w:jc w:val="right"/>
              <w:rPr>
                <w:rFonts w:ascii="Garamond" w:hAnsi="Garamond"/>
                <w:color w:val="000000"/>
              </w:rPr>
            </w:pPr>
            <w:r w:rsidRPr="008A703F">
              <w:rPr>
                <w:rFonts w:ascii="Garamond" w:hAnsi="Garamond"/>
                <w:color w:val="000000"/>
              </w:rPr>
              <w:t>3.2929</w:t>
            </w:r>
          </w:p>
        </w:tc>
        <w:tc>
          <w:tcPr>
            <w:tcW w:w="0" w:type="auto"/>
            <w:vAlign w:val="bottom"/>
          </w:tcPr>
          <w:p w14:paraId="7660A763" w14:textId="77777777" w:rsidR="00BE49FD" w:rsidRPr="008A703F" w:rsidRDefault="00BE49FD" w:rsidP="00B90008">
            <w:pPr>
              <w:jc w:val="right"/>
              <w:rPr>
                <w:rFonts w:ascii="Garamond" w:hAnsi="Garamond"/>
                <w:color w:val="000000"/>
              </w:rPr>
            </w:pPr>
            <w:r w:rsidRPr="008A703F">
              <w:rPr>
                <w:rFonts w:ascii="Garamond" w:hAnsi="Garamond"/>
                <w:color w:val="000000"/>
              </w:rPr>
              <w:t>1.7687</w:t>
            </w:r>
          </w:p>
        </w:tc>
        <w:tc>
          <w:tcPr>
            <w:tcW w:w="1142" w:type="dxa"/>
            <w:vAlign w:val="bottom"/>
          </w:tcPr>
          <w:p w14:paraId="75027E64" w14:textId="77777777" w:rsidR="00BE49FD" w:rsidRPr="008A703F" w:rsidRDefault="00BE49FD" w:rsidP="00B90008">
            <w:pPr>
              <w:jc w:val="right"/>
              <w:rPr>
                <w:rFonts w:ascii="Garamond" w:hAnsi="Garamond"/>
                <w:color w:val="000000"/>
              </w:rPr>
            </w:pPr>
            <w:r w:rsidRPr="008A703F">
              <w:rPr>
                <w:rFonts w:ascii="Garamond" w:hAnsi="Garamond"/>
                <w:color w:val="000000"/>
              </w:rPr>
              <w:t>0.0001</w:t>
            </w:r>
          </w:p>
        </w:tc>
        <w:tc>
          <w:tcPr>
            <w:tcW w:w="1280" w:type="dxa"/>
            <w:vAlign w:val="bottom"/>
          </w:tcPr>
          <w:p w14:paraId="7BB7C539" w14:textId="77777777" w:rsidR="00BE49FD" w:rsidRPr="008A703F" w:rsidRDefault="00BE49FD" w:rsidP="00B90008">
            <w:pPr>
              <w:jc w:val="right"/>
              <w:rPr>
                <w:rFonts w:ascii="Garamond" w:hAnsi="Garamond"/>
                <w:color w:val="000000"/>
              </w:rPr>
            </w:pPr>
            <w:r w:rsidRPr="008A703F">
              <w:rPr>
                <w:rFonts w:ascii="Garamond" w:hAnsi="Garamond"/>
                <w:color w:val="000000"/>
              </w:rPr>
              <w:t>8.0419</w:t>
            </w:r>
          </w:p>
        </w:tc>
      </w:tr>
      <w:tr w:rsidR="00BE49FD" w:rsidRPr="008A703F" w14:paraId="4B62272E" w14:textId="77777777" w:rsidTr="00B90008">
        <w:trPr>
          <w:trHeight w:val="300"/>
          <w:jc w:val="center"/>
        </w:trPr>
        <w:tc>
          <w:tcPr>
            <w:tcW w:w="0" w:type="auto"/>
            <w:shd w:val="clear" w:color="auto" w:fill="auto"/>
            <w:noWrap/>
            <w:vAlign w:val="center"/>
          </w:tcPr>
          <w:p w14:paraId="711C75A9"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Standard deviation</w:t>
            </w:r>
            <w:r w:rsidRPr="002768EE">
              <w:rPr>
                <w:rFonts w:ascii="Garamond" w:hAnsi="Garamond"/>
                <w:color w:val="000000"/>
                <w:vertAlign w:val="subscript"/>
              </w:rPr>
              <w:t>t-1</w:t>
            </w:r>
          </w:p>
        </w:tc>
        <w:tc>
          <w:tcPr>
            <w:tcW w:w="1162" w:type="dxa"/>
            <w:shd w:val="clear" w:color="auto" w:fill="auto"/>
            <w:noWrap/>
            <w:vAlign w:val="bottom"/>
          </w:tcPr>
          <w:p w14:paraId="6BDAD951" w14:textId="77777777" w:rsidR="00BE49FD" w:rsidRPr="008A703F" w:rsidRDefault="00BE49FD" w:rsidP="00B90008">
            <w:pPr>
              <w:jc w:val="right"/>
              <w:rPr>
                <w:rFonts w:ascii="Garamond" w:hAnsi="Garamond"/>
                <w:color w:val="000000"/>
              </w:rPr>
            </w:pPr>
            <w:r w:rsidRPr="008A703F">
              <w:rPr>
                <w:rFonts w:ascii="Garamond" w:hAnsi="Garamond"/>
                <w:color w:val="000000"/>
              </w:rPr>
              <w:t>-3.6139*</w:t>
            </w:r>
          </w:p>
        </w:tc>
        <w:tc>
          <w:tcPr>
            <w:tcW w:w="0" w:type="auto"/>
            <w:shd w:val="clear" w:color="auto" w:fill="auto"/>
            <w:noWrap/>
            <w:vAlign w:val="bottom"/>
          </w:tcPr>
          <w:p w14:paraId="45CFDB42" w14:textId="77777777" w:rsidR="00BE49FD" w:rsidRPr="008A703F" w:rsidRDefault="00BE49FD" w:rsidP="00B90008">
            <w:pPr>
              <w:jc w:val="right"/>
              <w:rPr>
                <w:rFonts w:ascii="Garamond" w:hAnsi="Garamond"/>
                <w:color w:val="000000"/>
              </w:rPr>
            </w:pPr>
            <w:r w:rsidRPr="008A703F">
              <w:rPr>
                <w:rFonts w:ascii="Garamond" w:hAnsi="Garamond"/>
                <w:color w:val="000000"/>
              </w:rPr>
              <w:t>-4.4822*</w:t>
            </w:r>
          </w:p>
        </w:tc>
        <w:tc>
          <w:tcPr>
            <w:tcW w:w="0" w:type="auto"/>
            <w:shd w:val="clear" w:color="auto" w:fill="auto"/>
            <w:noWrap/>
            <w:vAlign w:val="bottom"/>
          </w:tcPr>
          <w:p w14:paraId="521B3CEE" w14:textId="77777777" w:rsidR="00BE49FD" w:rsidRPr="008A703F" w:rsidRDefault="00BE49FD" w:rsidP="00B90008">
            <w:pPr>
              <w:jc w:val="right"/>
              <w:rPr>
                <w:rFonts w:ascii="Garamond" w:hAnsi="Garamond"/>
                <w:color w:val="000000"/>
              </w:rPr>
            </w:pPr>
            <w:r w:rsidRPr="008A703F">
              <w:rPr>
                <w:rFonts w:ascii="Garamond" w:hAnsi="Garamond"/>
                <w:color w:val="000000"/>
              </w:rPr>
              <w:t>0.0004</w:t>
            </w:r>
          </w:p>
        </w:tc>
        <w:tc>
          <w:tcPr>
            <w:tcW w:w="0" w:type="auto"/>
            <w:shd w:val="clear" w:color="auto" w:fill="auto"/>
            <w:noWrap/>
            <w:vAlign w:val="bottom"/>
          </w:tcPr>
          <w:p w14:paraId="79FD5B03" w14:textId="77777777" w:rsidR="00BE49FD" w:rsidRPr="008A703F" w:rsidRDefault="00BE49FD" w:rsidP="00B90008">
            <w:pPr>
              <w:jc w:val="right"/>
              <w:rPr>
                <w:rFonts w:ascii="Garamond" w:hAnsi="Garamond"/>
                <w:color w:val="000000"/>
              </w:rPr>
            </w:pPr>
            <w:r w:rsidRPr="008A703F">
              <w:rPr>
                <w:rFonts w:ascii="Garamond" w:hAnsi="Garamond"/>
                <w:color w:val="000000"/>
              </w:rPr>
              <w:t>-8.9091</w:t>
            </w:r>
          </w:p>
        </w:tc>
        <w:tc>
          <w:tcPr>
            <w:tcW w:w="0" w:type="auto"/>
            <w:shd w:val="clear" w:color="auto" w:fill="auto"/>
            <w:noWrap/>
            <w:vAlign w:val="bottom"/>
          </w:tcPr>
          <w:p w14:paraId="07997928" w14:textId="77777777" w:rsidR="00BE49FD" w:rsidRPr="008A703F" w:rsidRDefault="00BE49FD" w:rsidP="00B90008">
            <w:pPr>
              <w:jc w:val="right"/>
              <w:rPr>
                <w:rFonts w:ascii="Garamond" w:hAnsi="Garamond"/>
                <w:color w:val="000000"/>
              </w:rPr>
            </w:pPr>
            <w:r w:rsidRPr="008A703F">
              <w:rPr>
                <w:rFonts w:ascii="Garamond" w:hAnsi="Garamond"/>
                <w:color w:val="000000"/>
              </w:rPr>
              <w:t>-3.4418*</w:t>
            </w:r>
          </w:p>
        </w:tc>
        <w:tc>
          <w:tcPr>
            <w:tcW w:w="0" w:type="auto"/>
            <w:shd w:val="clear" w:color="auto" w:fill="auto"/>
            <w:noWrap/>
            <w:vAlign w:val="bottom"/>
          </w:tcPr>
          <w:p w14:paraId="25C998C6" w14:textId="77777777" w:rsidR="00BE49FD" w:rsidRPr="008A703F" w:rsidRDefault="00BE49FD" w:rsidP="00B90008">
            <w:pPr>
              <w:jc w:val="right"/>
              <w:rPr>
                <w:rFonts w:ascii="Garamond" w:hAnsi="Garamond"/>
                <w:color w:val="000000"/>
              </w:rPr>
            </w:pPr>
            <w:r w:rsidRPr="008A703F">
              <w:rPr>
                <w:rFonts w:ascii="Garamond" w:hAnsi="Garamond"/>
                <w:color w:val="000000"/>
              </w:rPr>
              <w:t>-4.3091*</w:t>
            </w:r>
          </w:p>
        </w:tc>
        <w:tc>
          <w:tcPr>
            <w:tcW w:w="0" w:type="auto"/>
            <w:shd w:val="clear" w:color="auto" w:fill="auto"/>
            <w:noWrap/>
            <w:vAlign w:val="bottom"/>
          </w:tcPr>
          <w:p w14:paraId="41F6A1F8" w14:textId="77777777" w:rsidR="00BE49FD" w:rsidRPr="008A703F" w:rsidRDefault="00BE49FD" w:rsidP="00B90008">
            <w:pPr>
              <w:jc w:val="right"/>
              <w:rPr>
                <w:rFonts w:ascii="Garamond" w:hAnsi="Garamond"/>
                <w:color w:val="000000"/>
              </w:rPr>
            </w:pPr>
            <w:r w:rsidRPr="008A703F">
              <w:rPr>
                <w:rFonts w:ascii="Garamond" w:hAnsi="Garamond"/>
                <w:color w:val="000000"/>
              </w:rPr>
              <w:t>0.0007</w:t>
            </w:r>
          </w:p>
        </w:tc>
        <w:tc>
          <w:tcPr>
            <w:tcW w:w="0" w:type="auto"/>
            <w:shd w:val="clear" w:color="auto" w:fill="auto"/>
            <w:noWrap/>
            <w:vAlign w:val="bottom"/>
          </w:tcPr>
          <w:p w14:paraId="2DB09038" w14:textId="77777777" w:rsidR="00BE49FD" w:rsidRPr="008A703F" w:rsidRDefault="00BE49FD" w:rsidP="00B90008">
            <w:pPr>
              <w:jc w:val="right"/>
              <w:rPr>
                <w:rFonts w:ascii="Garamond" w:hAnsi="Garamond"/>
                <w:color w:val="000000"/>
              </w:rPr>
            </w:pPr>
            <w:r w:rsidRPr="008A703F">
              <w:rPr>
                <w:rFonts w:ascii="Garamond" w:hAnsi="Garamond"/>
                <w:color w:val="000000"/>
              </w:rPr>
              <w:t>-18.9653*</w:t>
            </w:r>
          </w:p>
        </w:tc>
        <w:tc>
          <w:tcPr>
            <w:tcW w:w="1280" w:type="dxa"/>
            <w:vAlign w:val="bottom"/>
          </w:tcPr>
          <w:p w14:paraId="6999881D" w14:textId="77777777" w:rsidR="00BE49FD" w:rsidRPr="008A703F" w:rsidRDefault="00BE49FD" w:rsidP="00B90008">
            <w:pPr>
              <w:jc w:val="right"/>
              <w:rPr>
                <w:rFonts w:ascii="Garamond" w:hAnsi="Garamond"/>
                <w:color w:val="000000"/>
              </w:rPr>
            </w:pPr>
            <w:r w:rsidRPr="008A703F">
              <w:rPr>
                <w:rFonts w:ascii="Garamond" w:hAnsi="Garamond"/>
                <w:color w:val="000000"/>
              </w:rPr>
              <w:t>-3.5044</w:t>
            </w:r>
          </w:p>
        </w:tc>
        <w:tc>
          <w:tcPr>
            <w:tcW w:w="0" w:type="auto"/>
            <w:vAlign w:val="bottom"/>
          </w:tcPr>
          <w:p w14:paraId="42079D39" w14:textId="77777777" w:rsidR="00BE49FD" w:rsidRPr="008A703F" w:rsidRDefault="00BE49FD" w:rsidP="00B90008">
            <w:pPr>
              <w:jc w:val="right"/>
              <w:rPr>
                <w:rFonts w:ascii="Garamond" w:hAnsi="Garamond"/>
                <w:color w:val="000000"/>
              </w:rPr>
            </w:pPr>
            <w:r w:rsidRPr="008A703F">
              <w:rPr>
                <w:rFonts w:ascii="Garamond" w:hAnsi="Garamond"/>
                <w:color w:val="000000"/>
              </w:rPr>
              <w:t>-4.7034*</w:t>
            </w:r>
          </w:p>
        </w:tc>
        <w:tc>
          <w:tcPr>
            <w:tcW w:w="1142" w:type="dxa"/>
            <w:vAlign w:val="bottom"/>
          </w:tcPr>
          <w:p w14:paraId="392761A2" w14:textId="77777777" w:rsidR="00BE49FD" w:rsidRPr="008A703F" w:rsidRDefault="00BE49FD" w:rsidP="00B90008">
            <w:pPr>
              <w:jc w:val="right"/>
              <w:rPr>
                <w:rFonts w:ascii="Garamond" w:hAnsi="Garamond"/>
                <w:color w:val="000000"/>
              </w:rPr>
            </w:pPr>
            <w:r w:rsidRPr="008A703F">
              <w:rPr>
                <w:rFonts w:ascii="Garamond" w:hAnsi="Garamond"/>
                <w:color w:val="000000"/>
              </w:rPr>
              <w:t>-0.0003</w:t>
            </w:r>
          </w:p>
        </w:tc>
        <w:tc>
          <w:tcPr>
            <w:tcW w:w="1280" w:type="dxa"/>
            <w:vAlign w:val="bottom"/>
          </w:tcPr>
          <w:p w14:paraId="36D95A18" w14:textId="77777777" w:rsidR="00BE49FD" w:rsidRPr="008A703F" w:rsidRDefault="00BE49FD" w:rsidP="00B90008">
            <w:pPr>
              <w:jc w:val="right"/>
              <w:rPr>
                <w:rFonts w:ascii="Garamond" w:hAnsi="Garamond"/>
                <w:color w:val="000000"/>
              </w:rPr>
            </w:pPr>
            <w:r w:rsidRPr="008A703F">
              <w:rPr>
                <w:rFonts w:ascii="Garamond" w:hAnsi="Garamond"/>
                <w:color w:val="000000"/>
              </w:rPr>
              <w:t>-9.7362</w:t>
            </w:r>
          </w:p>
        </w:tc>
      </w:tr>
      <w:tr w:rsidR="00BE49FD" w:rsidRPr="008A703F" w14:paraId="016486A3" w14:textId="77777777" w:rsidTr="00B90008">
        <w:trPr>
          <w:trHeight w:val="300"/>
          <w:jc w:val="center"/>
        </w:trPr>
        <w:tc>
          <w:tcPr>
            <w:tcW w:w="0" w:type="auto"/>
            <w:shd w:val="clear" w:color="auto" w:fill="auto"/>
            <w:noWrap/>
            <w:vAlign w:val="center"/>
          </w:tcPr>
          <w:p w14:paraId="0F85EF19"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Ln(Market value)</w:t>
            </w:r>
            <w:r w:rsidRPr="002768EE">
              <w:rPr>
                <w:rFonts w:ascii="Garamond" w:hAnsi="Garamond"/>
                <w:color w:val="000000"/>
                <w:vertAlign w:val="subscript"/>
              </w:rPr>
              <w:t>i,t-1</w:t>
            </w:r>
          </w:p>
        </w:tc>
        <w:tc>
          <w:tcPr>
            <w:tcW w:w="1162" w:type="dxa"/>
            <w:shd w:val="clear" w:color="auto" w:fill="auto"/>
            <w:noWrap/>
            <w:vAlign w:val="bottom"/>
          </w:tcPr>
          <w:p w14:paraId="20324E54" w14:textId="77777777" w:rsidR="00BE49FD" w:rsidRPr="008A703F" w:rsidRDefault="00BE49FD" w:rsidP="00B90008">
            <w:pPr>
              <w:jc w:val="right"/>
              <w:rPr>
                <w:rFonts w:ascii="Garamond" w:hAnsi="Garamond"/>
                <w:color w:val="000000"/>
              </w:rPr>
            </w:pPr>
            <w:r w:rsidRPr="008A703F">
              <w:rPr>
                <w:rFonts w:ascii="Garamond" w:hAnsi="Garamond"/>
                <w:color w:val="000000"/>
              </w:rPr>
              <w:t>-0.0362</w:t>
            </w:r>
          </w:p>
        </w:tc>
        <w:tc>
          <w:tcPr>
            <w:tcW w:w="0" w:type="auto"/>
            <w:shd w:val="clear" w:color="auto" w:fill="auto"/>
            <w:noWrap/>
            <w:vAlign w:val="bottom"/>
          </w:tcPr>
          <w:p w14:paraId="44F3A17D" w14:textId="77777777" w:rsidR="00BE49FD" w:rsidRPr="008A703F" w:rsidRDefault="00BE49FD" w:rsidP="00B90008">
            <w:pPr>
              <w:jc w:val="right"/>
              <w:rPr>
                <w:rFonts w:ascii="Garamond" w:hAnsi="Garamond"/>
                <w:color w:val="000000"/>
              </w:rPr>
            </w:pPr>
            <w:r w:rsidRPr="008A703F">
              <w:rPr>
                <w:rFonts w:ascii="Garamond" w:hAnsi="Garamond"/>
                <w:color w:val="000000"/>
              </w:rPr>
              <w:t>-0.0439***</w:t>
            </w:r>
          </w:p>
        </w:tc>
        <w:tc>
          <w:tcPr>
            <w:tcW w:w="0" w:type="auto"/>
            <w:shd w:val="clear" w:color="auto" w:fill="auto"/>
            <w:noWrap/>
            <w:vAlign w:val="bottom"/>
          </w:tcPr>
          <w:p w14:paraId="5187225C" w14:textId="77777777" w:rsidR="00BE49FD" w:rsidRPr="008A703F" w:rsidRDefault="00BE49FD" w:rsidP="00B90008">
            <w:pPr>
              <w:jc w:val="right"/>
              <w:rPr>
                <w:rFonts w:ascii="Garamond" w:hAnsi="Garamond"/>
                <w:color w:val="000000"/>
              </w:rPr>
            </w:pPr>
            <w:r w:rsidRPr="008A703F">
              <w:rPr>
                <w:rFonts w:ascii="Garamond" w:hAnsi="Garamond"/>
                <w:color w:val="000000"/>
              </w:rPr>
              <w:t>1.85E-05</w:t>
            </w:r>
          </w:p>
        </w:tc>
        <w:tc>
          <w:tcPr>
            <w:tcW w:w="0" w:type="auto"/>
            <w:shd w:val="clear" w:color="auto" w:fill="auto"/>
            <w:noWrap/>
            <w:vAlign w:val="bottom"/>
          </w:tcPr>
          <w:p w14:paraId="483DF71E" w14:textId="77777777" w:rsidR="00BE49FD" w:rsidRPr="008A703F" w:rsidRDefault="00BE49FD" w:rsidP="00B90008">
            <w:pPr>
              <w:jc w:val="right"/>
              <w:rPr>
                <w:rFonts w:ascii="Garamond" w:hAnsi="Garamond"/>
                <w:color w:val="000000"/>
              </w:rPr>
            </w:pPr>
            <w:r w:rsidRPr="008A703F">
              <w:rPr>
                <w:rFonts w:ascii="Garamond" w:hAnsi="Garamond"/>
                <w:color w:val="000000"/>
              </w:rPr>
              <w:t>-0.0490</w:t>
            </w:r>
          </w:p>
        </w:tc>
        <w:tc>
          <w:tcPr>
            <w:tcW w:w="0" w:type="auto"/>
            <w:shd w:val="clear" w:color="auto" w:fill="auto"/>
            <w:noWrap/>
            <w:vAlign w:val="bottom"/>
          </w:tcPr>
          <w:p w14:paraId="0C3E0F9F" w14:textId="77777777" w:rsidR="00BE49FD" w:rsidRPr="008A703F" w:rsidRDefault="00BE49FD" w:rsidP="00B90008">
            <w:pPr>
              <w:jc w:val="right"/>
              <w:rPr>
                <w:rFonts w:ascii="Garamond" w:hAnsi="Garamond"/>
                <w:color w:val="000000"/>
              </w:rPr>
            </w:pPr>
            <w:r w:rsidRPr="008A703F">
              <w:rPr>
                <w:rFonts w:ascii="Garamond" w:hAnsi="Garamond"/>
                <w:color w:val="000000"/>
              </w:rPr>
              <w:t>-0.0353</w:t>
            </w:r>
          </w:p>
        </w:tc>
        <w:tc>
          <w:tcPr>
            <w:tcW w:w="0" w:type="auto"/>
            <w:shd w:val="clear" w:color="auto" w:fill="auto"/>
            <w:noWrap/>
            <w:vAlign w:val="bottom"/>
          </w:tcPr>
          <w:p w14:paraId="43E9F272" w14:textId="77777777" w:rsidR="00BE49FD" w:rsidRPr="008A703F" w:rsidRDefault="00BE49FD" w:rsidP="00B90008">
            <w:pPr>
              <w:jc w:val="right"/>
              <w:rPr>
                <w:rFonts w:ascii="Garamond" w:hAnsi="Garamond"/>
                <w:color w:val="000000"/>
              </w:rPr>
            </w:pPr>
            <w:r w:rsidRPr="008A703F">
              <w:rPr>
                <w:rFonts w:ascii="Garamond" w:hAnsi="Garamond"/>
                <w:color w:val="000000"/>
              </w:rPr>
              <w:t>0.0164**</w:t>
            </w:r>
          </w:p>
        </w:tc>
        <w:tc>
          <w:tcPr>
            <w:tcW w:w="0" w:type="auto"/>
            <w:shd w:val="clear" w:color="auto" w:fill="auto"/>
            <w:noWrap/>
            <w:vAlign w:val="bottom"/>
          </w:tcPr>
          <w:p w14:paraId="0106D549" w14:textId="77777777" w:rsidR="00BE49FD" w:rsidRPr="008A703F" w:rsidRDefault="00BE49FD" w:rsidP="00B90008">
            <w:pPr>
              <w:jc w:val="right"/>
              <w:rPr>
                <w:rFonts w:ascii="Garamond" w:hAnsi="Garamond"/>
                <w:color w:val="000000"/>
              </w:rPr>
            </w:pPr>
            <w:r w:rsidRPr="008A703F">
              <w:rPr>
                <w:rFonts w:ascii="Garamond" w:hAnsi="Garamond"/>
                <w:color w:val="000000"/>
              </w:rPr>
              <w:t>-3.1E-05</w:t>
            </w:r>
          </w:p>
        </w:tc>
        <w:tc>
          <w:tcPr>
            <w:tcW w:w="0" w:type="auto"/>
            <w:shd w:val="clear" w:color="auto" w:fill="auto"/>
            <w:noWrap/>
            <w:vAlign w:val="bottom"/>
          </w:tcPr>
          <w:p w14:paraId="7E310B23" w14:textId="77777777" w:rsidR="00BE49FD" w:rsidRPr="008A703F" w:rsidRDefault="00BE49FD" w:rsidP="00B90008">
            <w:pPr>
              <w:jc w:val="right"/>
              <w:rPr>
                <w:rFonts w:ascii="Garamond" w:hAnsi="Garamond"/>
                <w:color w:val="000000"/>
              </w:rPr>
            </w:pPr>
            <w:r w:rsidRPr="008A703F">
              <w:rPr>
                <w:rFonts w:ascii="Garamond" w:hAnsi="Garamond"/>
                <w:color w:val="000000"/>
              </w:rPr>
              <w:t>0.3046</w:t>
            </w:r>
          </w:p>
        </w:tc>
        <w:tc>
          <w:tcPr>
            <w:tcW w:w="1280" w:type="dxa"/>
            <w:vAlign w:val="bottom"/>
          </w:tcPr>
          <w:p w14:paraId="3A8531B5" w14:textId="77777777" w:rsidR="00BE49FD" w:rsidRPr="008A703F" w:rsidRDefault="00BE49FD" w:rsidP="00B90008">
            <w:pPr>
              <w:jc w:val="right"/>
              <w:rPr>
                <w:rFonts w:ascii="Garamond" w:hAnsi="Garamond"/>
                <w:color w:val="000000"/>
              </w:rPr>
            </w:pPr>
            <w:r w:rsidRPr="008A703F">
              <w:rPr>
                <w:rFonts w:ascii="Garamond" w:hAnsi="Garamond"/>
                <w:color w:val="000000"/>
              </w:rPr>
              <w:t>-0.0341</w:t>
            </w:r>
          </w:p>
        </w:tc>
        <w:tc>
          <w:tcPr>
            <w:tcW w:w="0" w:type="auto"/>
            <w:vAlign w:val="bottom"/>
          </w:tcPr>
          <w:p w14:paraId="22D0B2AA" w14:textId="77777777" w:rsidR="00BE49FD" w:rsidRPr="008A703F" w:rsidRDefault="00BE49FD" w:rsidP="00B90008">
            <w:pPr>
              <w:jc w:val="right"/>
              <w:rPr>
                <w:rFonts w:ascii="Garamond" w:hAnsi="Garamond"/>
                <w:color w:val="000000"/>
              </w:rPr>
            </w:pPr>
            <w:r w:rsidRPr="008A703F">
              <w:rPr>
                <w:rFonts w:ascii="Garamond" w:hAnsi="Garamond"/>
                <w:color w:val="000000"/>
              </w:rPr>
              <w:t>0.0146***</w:t>
            </w:r>
          </w:p>
        </w:tc>
        <w:tc>
          <w:tcPr>
            <w:tcW w:w="1142" w:type="dxa"/>
            <w:vAlign w:val="bottom"/>
          </w:tcPr>
          <w:p w14:paraId="3B62E94B" w14:textId="77777777" w:rsidR="00BE49FD" w:rsidRPr="008A703F" w:rsidRDefault="00BE49FD" w:rsidP="00B90008">
            <w:pPr>
              <w:jc w:val="right"/>
              <w:rPr>
                <w:rFonts w:ascii="Garamond" w:hAnsi="Garamond"/>
                <w:color w:val="000000"/>
              </w:rPr>
            </w:pPr>
            <w:r w:rsidRPr="008A703F">
              <w:rPr>
                <w:rFonts w:ascii="Garamond" w:hAnsi="Garamond"/>
                <w:color w:val="000000"/>
              </w:rPr>
              <w:t>0.0004**</w:t>
            </w:r>
          </w:p>
        </w:tc>
        <w:tc>
          <w:tcPr>
            <w:tcW w:w="1280" w:type="dxa"/>
            <w:vAlign w:val="bottom"/>
          </w:tcPr>
          <w:p w14:paraId="5C9CAB4D" w14:textId="77777777" w:rsidR="00BE49FD" w:rsidRPr="008A703F" w:rsidRDefault="00BE49FD" w:rsidP="00B90008">
            <w:pPr>
              <w:jc w:val="right"/>
              <w:rPr>
                <w:rFonts w:ascii="Garamond" w:hAnsi="Garamond"/>
                <w:color w:val="000000"/>
              </w:rPr>
            </w:pPr>
            <w:r w:rsidRPr="008A703F">
              <w:rPr>
                <w:rFonts w:ascii="Garamond" w:hAnsi="Garamond"/>
                <w:color w:val="000000"/>
              </w:rPr>
              <w:t>-0.0109</w:t>
            </w:r>
          </w:p>
        </w:tc>
      </w:tr>
      <w:tr w:rsidR="00BE49FD" w:rsidRPr="008A703F" w14:paraId="2E29F9EE" w14:textId="77777777" w:rsidTr="00B90008">
        <w:trPr>
          <w:trHeight w:val="300"/>
          <w:jc w:val="center"/>
        </w:trPr>
        <w:tc>
          <w:tcPr>
            <w:tcW w:w="0" w:type="auto"/>
            <w:shd w:val="clear" w:color="auto" w:fill="auto"/>
            <w:noWrap/>
            <w:vAlign w:val="center"/>
          </w:tcPr>
          <w:p w14:paraId="088DD0A4"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Industrial production</w:t>
            </w:r>
            <w:r w:rsidRPr="002768EE">
              <w:rPr>
                <w:rFonts w:ascii="Garamond" w:hAnsi="Garamond"/>
                <w:color w:val="000000"/>
                <w:vertAlign w:val="subscript"/>
              </w:rPr>
              <w:t>t-1</w:t>
            </w:r>
          </w:p>
        </w:tc>
        <w:tc>
          <w:tcPr>
            <w:tcW w:w="1162" w:type="dxa"/>
            <w:shd w:val="clear" w:color="auto" w:fill="auto"/>
            <w:noWrap/>
            <w:vAlign w:val="bottom"/>
          </w:tcPr>
          <w:p w14:paraId="4389EA9D" w14:textId="77777777" w:rsidR="00BE49FD" w:rsidRPr="008A703F" w:rsidRDefault="00BE49FD" w:rsidP="00B90008">
            <w:pPr>
              <w:jc w:val="right"/>
              <w:rPr>
                <w:rFonts w:ascii="Garamond" w:hAnsi="Garamond"/>
                <w:color w:val="000000"/>
              </w:rPr>
            </w:pPr>
            <w:r w:rsidRPr="008A703F">
              <w:rPr>
                <w:rFonts w:ascii="Garamond" w:hAnsi="Garamond"/>
                <w:color w:val="000000"/>
              </w:rPr>
              <w:t>0.0020***</w:t>
            </w:r>
          </w:p>
        </w:tc>
        <w:tc>
          <w:tcPr>
            <w:tcW w:w="0" w:type="auto"/>
            <w:shd w:val="clear" w:color="auto" w:fill="auto"/>
            <w:noWrap/>
            <w:vAlign w:val="bottom"/>
          </w:tcPr>
          <w:p w14:paraId="1CFA4F82" w14:textId="77777777" w:rsidR="00BE49FD" w:rsidRPr="008A703F" w:rsidRDefault="00BE49FD" w:rsidP="00B90008">
            <w:pPr>
              <w:jc w:val="right"/>
              <w:rPr>
                <w:rFonts w:ascii="Garamond" w:hAnsi="Garamond"/>
                <w:color w:val="000000"/>
              </w:rPr>
            </w:pPr>
            <w:r w:rsidRPr="008A703F">
              <w:rPr>
                <w:rFonts w:ascii="Garamond" w:hAnsi="Garamond"/>
                <w:color w:val="000000"/>
              </w:rPr>
              <w:t>0.0047*</w:t>
            </w:r>
          </w:p>
        </w:tc>
        <w:tc>
          <w:tcPr>
            <w:tcW w:w="0" w:type="auto"/>
            <w:shd w:val="clear" w:color="auto" w:fill="auto"/>
            <w:noWrap/>
            <w:vAlign w:val="bottom"/>
          </w:tcPr>
          <w:p w14:paraId="49C8EE84" w14:textId="77777777" w:rsidR="00BE49FD" w:rsidRPr="008A703F" w:rsidRDefault="00BE49FD" w:rsidP="00B90008">
            <w:pPr>
              <w:jc w:val="right"/>
              <w:rPr>
                <w:rFonts w:ascii="Garamond" w:hAnsi="Garamond"/>
                <w:color w:val="000000"/>
              </w:rPr>
            </w:pPr>
            <w:r w:rsidRPr="008A703F">
              <w:rPr>
                <w:rFonts w:ascii="Garamond" w:hAnsi="Garamond"/>
                <w:color w:val="000000"/>
              </w:rPr>
              <w:t>2.67E-08</w:t>
            </w:r>
          </w:p>
        </w:tc>
        <w:tc>
          <w:tcPr>
            <w:tcW w:w="0" w:type="auto"/>
            <w:shd w:val="clear" w:color="auto" w:fill="auto"/>
            <w:noWrap/>
            <w:vAlign w:val="bottom"/>
          </w:tcPr>
          <w:p w14:paraId="3C7311F3" w14:textId="77777777" w:rsidR="00BE49FD" w:rsidRPr="008A703F" w:rsidRDefault="00BE49FD" w:rsidP="00B90008">
            <w:pPr>
              <w:jc w:val="right"/>
              <w:rPr>
                <w:rFonts w:ascii="Garamond" w:hAnsi="Garamond"/>
                <w:color w:val="000000"/>
              </w:rPr>
            </w:pPr>
            <w:r w:rsidRPr="008A703F">
              <w:rPr>
                <w:rFonts w:ascii="Garamond" w:hAnsi="Garamond"/>
                <w:color w:val="000000"/>
              </w:rPr>
              <w:t>-0.1896</w:t>
            </w:r>
          </w:p>
        </w:tc>
        <w:tc>
          <w:tcPr>
            <w:tcW w:w="0" w:type="auto"/>
            <w:shd w:val="clear" w:color="auto" w:fill="auto"/>
            <w:noWrap/>
            <w:vAlign w:val="bottom"/>
          </w:tcPr>
          <w:p w14:paraId="25846282" w14:textId="77777777" w:rsidR="00BE49FD" w:rsidRPr="008A703F" w:rsidRDefault="00BE49FD" w:rsidP="00B90008">
            <w:pPr>
              <w:jc w:val="right"/>
              <w:rPr>
                <w:rFonts w:ascii="Garamond" w:hAnsi="Garamond"/>
                <w:color w:val="000000"/>
              </w:rPr>
            </w:pPr>
            <w:r w:rsidRPr="008A703F">
              <w:rPr>
                <w:rFonts w:ascii="Garamond" w:hAnsi="Garamond"/>
                <w:color w:val="000000"/>
              </w:rPr>
              <w:t>0.0019***</w:t>
            </w:r>
          </w:p>
        </w:tc>
        <w:tc>
          <w:tcPr>
            <w:tcW w:w="0" w:type="auto"/>
            <w:shd w:val="clear" w:color="auto" w:fill="auto"/>
            <w:noWrap/>
            <w:vAlign w:val="bottom"/>
          </w:tcPr>
          <w:p w14:paraId="62C3D6C9" w14:textId="77777777" w:rsidR="00BE49FD" w:rsidRPr="008A703F" w:rsidRDefault="00BE49FD" w:rsidP="00B90008">
            <w:pPr>
              <w:jc w:val="right"/>
              <w:rPr>
                <w:rFonts w:ascii="Garamond" w:hAnsi="Garamond"/>
                <w:color w:val="000000"/>
              </w:rPr>
            </w:pPr>
            <w:r w:rsidRPr="008A703F">
              <w:rPr>
                <w:rFonts w:ascii="Garamond" w:hAnsi="Garamond"/>
                <w:color w:val="000000"/>
              </w:rPr>
              <w:t>0.0088***</w:t>
            </w:r>
          </w:p>
        </w:tc>
        <w:tc>
          <w:tcPr>
            <w:tcW w:w="0" w:type="auto"/>
            <w:shd w:val="clear" w:color="auto" w:fill="auto"/>
            <w:noWrap/>
            <w:vAlign w:val="bottom"/>
          </w:tcPr>
          <w:p w14:paraId="0E13DAC1" w14:textId="77777777" w:rsidR="00BE49FD" w:rsidRPr="008A703F" w:rsidRDefault="00BE49FD" w:rsidP="00B90008">
            <w:pPr>
              <w:jc w:val="right"/>
              <w:rPr>
                <w:rFonts w:ascii="Garamond" w:hAnsi="Garamond"/>
                <w:color w:val="000000"/>
              </w:rPr>
            </w:pPr>
            <w:r w:rsidRPr="008A703F">
              <w:rPr>
                <w:rFonts w:ascii="Garamond" w:hAnsi="Garamond"/>
                <w:color w:val="000000"/>
              </w:rPr>
              <w:t>6.25E-07</w:t>
            </w:r>
          </w:p>
        </w:tc>
        <w:tc>
          <w:tcPr>
            <w:tcW w:w="0" w:type="auto"/>
            <w:shd w:val="clear" w:color="auto" w:fill="auto"/>
            <w:noWrap/>
            <w:vAlign w:val="bottom"/>
          </w:tcPr>
          <w:p w14:paraId="2ABBC9A6" w14:textId="77777777" w:rsidR="00BE49FD" w:rsidRPr="008A703F" w:rsidRDefault="00BE49FD" w:rsidP="00B90008">
            <w:pPr>
              <w:jc w:val="right"/>
              <w:rPr>
                <w:rFonts w:ascii="Garamond" w:hAnsi="Garamond"/>
                <w:color w:val="000000"/>
              </w:rPr>
            </w:pPr>
            <w:r w:rsidRPr="008A703F">
              <w:rPr>
                <w:rFonts w:ascii="Garamond" w:hAnsi="Garamond"/>
                <w:color w:val="000000"/>
              </w:rPr>
              <w:t>-0.5476*</w:t>
            </w:r>
          </w:p>
        </w:tc>
        <w:tc>
          <w:tcPr>
            <w:tcW w:w="1280" w:type="dxa"/>
            <w:vAlign w:val="bottom"/>
          </w:tcPr>
          <w:p w14:paraId="0133AD3D" w14:textId="77777777" w:rsidR="00BE49FD" w:rsidRPr="008A703F" w:rsidRDefault="00BE49FD" w:rsidP="00B90008">
            <w:pPr>
              <w:jc w:val="right"/>
              <w:rPr>
                <w:rFonts w:ascii="Garamond" w:hAnsi="Garamond"/>
                <w:color w:val="000000"/>
              </w:rPr>
            </w:pPr>
            <w:r w:rsidRPr="008A703F">
              <w:rPr>
                <w:rFonts w:ascii="Garamond" w:hAnsi="Garamond"/>
                <w:color w:val="000000"/>
              </w:rPr>
              <w:t>0.0018***</w:t>
            </w:r>
          </w:p>
        </w:tc>
        <w:tc>
          <w:tcPr>
            <w:tcW w:w="0" w:type="auto"/>
            <w:vAlign w:val="bottom"/>
          </w:tcPr>
          <w:p w14:paraId="3689BF06" w14:textId="77777777" w:rsidR="00BE49FD" w:rsidRPr="008A703F" w:rsidRDefault="00BE49FD" w:rsidP="00B90008">
            <w:pPr>
              <w:jc w:val="right"/>
              <w:rPr>
                <w:rFonts w:ascii="Garamond" w:hAnsi="Garamond"/>
                <w:color w:val="000000"/>
              </w:rPr>
            </w:pPr>
            <w:r w:rsidRPr="008A703F">
              <w:rPr>
                <w:rFonts w:ascii="Garamond" w:hAnsi="Garamond"/>
                <w:color w:val="000000"/>
              </w:rPr>
              <w:t>0.0034</w:t>
            </w:r>
          </w:p>
        </w:tc>
        <w:tc>
          <w:tcPr>
            <w:tcW w:w="1142" w:type="dxa"/>
            <w:vAlign w:val="bottom"/>
          </w:tcPr>
          <w:p w14:paraId="5D72160E" w14:textId="77777777" w:rsidR="00BE49FD" w:rsidRPr="008A703F" w:rsidRDefault="00BE49FD" w:rsidP="00B90008">
            <w:pPr>
              <w:jc w:val="right"/>
              <w:rPr>
                <w:rFonts w:ascii="Garamond" w:hAnsi="Garamond"/>
                <w:color w:val="000000"/>
              </w:rPr>
            </w:pPr>
            <w:r w:rsidRPr="008A703F">
              <w:rPr>
                <w:rFonts w:ascii="Garamond" w:hAnsi="Garamond"/>
                <w:color w:val="000000"/>
              </w:rPr>
              <w:t>2.69E-06</w:t>
            </w:r>
          </w:p>
        </w:tc>
        <w:tc>
          <w:tcPr>
            <w:tcW w:w="1280" w:type="dxa"/>
            <w:vAlign w:val="bottom"/>
          </w:tcPr>
          <w:p w14:paraId="7CC50A52" w14:textId="77777777" w:rsidR="00BE49FD" w:rsidRPr="008A703F" w:rsidRDefault="00BE49FD" w:rsidP="00B90008">
            <w:pPr>
              <w:jc w:val="right"/>
              <w:rPr>
                <w:rFonts w:ascii="Garamond" w:hAnsi="Garamond"/>
                <w:color w:val="000000"/>
              </w:rPr>
            </w:pPr>
            <w:r w:rsidRPr="008A703F">
              <w:rPr>
                <w:rFonts w:ascii="Garamond" w:hAnsi="Garamond"/>
                <w:color w:val="000000"/>
              </w:rPr>
              <w:t>-0.1894</w:t>
            </w:r>
          </w:p>
        </w:tc>
      </w:tr>
      <w:tr w:rsidR="00BE49FD" w:rsidRPr="008A703F" w14:paraId="3C5F2D3C" w14:textId="77777777" w:rsidTr="00B90008">
        <w:trPr>
          <w:trHeight w:val="300"/>
          <w:jc w:val="center"/>
        </w:trPr>
        <w:tc>
          <w:tcPr>
            <w:tcW w:w="0" w:type="auto"/>
            <w:shd w:val="clear" w:color="auto" w:fill="auto"/>
            <w:noWrap/>
            <w:vAlign w:val="center"/>
          </w:tcPr>
          <w:p w14:paraId="1B65E8F8"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Inflation</w:t>
            </w:r>
            <w:r w:rsidRPr="002768EE">
              <w:rPr>
                <w:rFonts w:ascii="Garamond" w:hAnsi="Garamond"/>
                <w:color w:val="000000"/>
                <w:vertAlign w:val="subscript"/>
              </w:rPr>
              <w:t>t-1</w:t>
            </w:r>
          </w:p>
        </w:tc>
        <w:tc>
          <w:tcPr>
            <w:tcW w:w="1162" w:type="dxa"/>
            <w:shd w:val="clear" w:color="auto" w:fill="auto"/>
            <w:noWrap/>
            <w:vAlign w:val="bottom"/>
          </w:tcPr>
          <w:p w14:paraId="2FA72CD7" w14:textId="77777777" w:rsidR="00BE49FD" w:rsidRPr="008A703F" w:rsidRDefault="00BE49FD" w:rsidP="00B90008">
            <w:pPr>
              <w:jc w:val="right"/>
              <w:rPr>
                <w:rFonts w:ascii="Garamond" w:hAnsi="Garamond"/>
                <w:color w:val="000000"/>
              </w:rPr>
            </w:pPr>
            <w:r w:rsidRPr="008A703F">
              <w:rPr>
                <w:rFonts w:ascii="Garamond" w:hAnsi="Garamond"/>
                <w:color w:val="000000"/>
              </w:rPr>
              <w:t>-0.0190</w:t>
            </w:r>
          </w:p>
        </w:tc>
        <w:tc>
          <w:tcPr>
            <w:tcW w:w="0" w:type="auto"/>
            <w:shd w:val="clear" w:color="auto" w:fill="auto"/>
            <w:noWrap/>
            <w:vAlign w:val="bottom"/>
          </w:tcPr>
          <w:p w14:paraId="3B6FF72B" w14:textId="77777777" w:rsidR="00BE49FD" w:rsidRPr="008A703F" w:rsidRDefault="00BE49FD" w:rsidP="00B90008">
            <w:pPr>
              <w:jc w:val="right"/>
              <w:rPr>
                <w:rFonts w:ascii="Garamond" w:hAnsi="Garamond"/>
                <w:color w:val="000000"/>
              </w:rPr>
            </w:pPr>
            <w:r w:rsidRPr="008A703F">
              <w:rPr>
                <w:rFonts w:ascii="Garamond" w:hAnsi="Garamond"/>
                <w:color w:val="000000"/>
              </w:rPr>
              <w:t>0.0221</w:t>
            </w:r>
          </w:p>
        </w:tc>
        <w:tc>
          <w:tcPr>
            <w:tcW w:w="0" w:type="auto"/>
            <w:shd w:val="clear" w:color="auto" w:fill="auto"/>
            <w:noWrap/>
            <w:vAlign w:val="bottom"/>
          </w:tcPr>
          <w:p w14:paraId="5169F5E6" w14:textId="77777777" w:rsidR="00BE49FD" w:rsidRPr="008A703F" w:rsidRDefault="00BE49FD" w:rsidP="00B90008">
            <w:pPr>
              <w:jc w:val="right"/>
              <w:rPr>
                <w:rFonts w:ascii="Garamond" w:hAnsi="Garamond"/>
                <w:color w:val="000000"/>
              </w:rPr>
            </w:pPr>
            <w:r w:rsidRPr="008A703F">
              <w:rPr>
                <w:rFonts w:ascii="Garamond" w:hAnsi="Garamond"/>
                <w:color w:val="000000"/>
              </w:rPr>
              <w:t>8.69E-05</w:t>
            </w:r>
          </w:p>
        </w:tc>
        <w:tc>
          <w:tcPr>
            <w:tcW w:w="0" w:type="auto"/>
            <w:shd w:val="clear" w:color="auto" w:fill="auto"/>
            <w:noWrap/>
            <w:vAlign w:val="bottom"/>
          </w:tcPr>
          <w:p w14:paraId="690B6B1E" w14:textId="77777777" w:rsidR="00BE49FD" w:rsidRPr="008A703F" w:rsidRDefault="00BE49FD" w:rsidP="00B90008">
            <w:pPr>
              <w:jc w:val="right"/>
              <w:rPr>
                <w:rFonts w:ascii="Garamond" w:hAnsi="Garamond"/>
                <w:color w:val="000000"/>
              </w:rPr>
            </w:pPr>
            <w:r w:rsidRPr="008A703F">
              <w:rPr>
                <w:rFonts w:ascii="Garamond" w:hAnsi="Garamond"/>
                <w:color w:val="000000"/>
              </w:rPr>
              <w:t>0.2089</w:t>
            </w:r>
          </w:p>
        </w:tc>
        <w:tc>
          <w:tcPr>
            <w:tcW w:w="0" w:type="auto"/>
            <w:shd w:val="clear" w:color="auto" w:fill="auto"/>
            <w:noWrap/>
            <w:vAlign w:val="bottom"/>
          </w:tcPr>
          <w:p w14:paraId="761953AF" w14:textId="77777777" w:rsidR="00BE49FD" w:rsidRPr="008A703F" w:rsidRDefault="00BE49FD" w:rsidP="00B90008">
            <w:pPr>
              <w:jc w:val="right"/>
              <w:rPr>
                <w:rFonts w:ascii="Garamond" w:hAnsi="Garamond"/>
                <w:color w:val="000000"/>
              </w:rPr>
            </w:pPr>
            <w:r w:rsidRPr="008A703F">
              <w:rPr>
                <w:rFonts w:ascii="Garamond" w:hAnsi="Garamond"/>
                <w:color w:val="000000"/>
              </w:rPr>
              <w:t>-0.0313</w:t>
            </w:r>
          </w:p>
        </w:tc>
        <w:tc>
          <w:tcPr>
            <w:tcW w:w="0" w:type="auto"/>
            <w:shd w:val="clear" w:color="auto" w:fill="auto"/>
            <w:noWrap/>
            <w:vAlign w:val="bottom"/>
          </w:tcPr>
          <w:p w14:paraId="44AC4F18" w14:textId="77777777" w:rsidR="00BE49FD" w:rsidRPr="008A703F" w:rsidRDefault="00BE49FD" w:rsidP="00B90008">
            <w:pPr>
              <w:jc w:val="right"/>
              <w:rPr>
                <w:rFonts w:ascii="Garamond" w:hAnsi="Garamond"/>
                <w:color w:val="000000"/>
              </w:rPr>
            </w:pPr>
            <w:r w:rsidRPr="008A703F">
              <w:rPr>
                <w:rFonts w:ascii="Garamond" w:hAnsi="Garamond"/>
                <w:color w:val="000000"/>
              </w:rPr>
              <w:t>-0.00807</w:t>
            </w:r>
          </w:p>
        </w:tc>
        <w:tc>
          <w:tcPr>
            <w:tcW w:w="0" w:type="auto"/>
            <w:shd w:val="clear" w:color="auto" w:fill="auto"/>
            <w:noWrap/>
            <w:vAlign w:val="bottom"/>
          </w:tcPr>
          <w:p w14:paraId="21632290" w14:textId="77777777" w:rsidR="00BE49FD" w:rsidRPr="008A703F" w:rsidRDefault="00BE49FD" w:rsidP="00B90008">
            <w:pPr>
              <w:jc w:val="right"/>
              <w:rPr>
                <w:rFonts w:ascii="Garamond" w:hAnsi="Garamond"/>
                <w:color w:val="000000"/>
              </w:rPr>
            </w:pPr>
            <w:r w:rsidRPr="008A703F">
              <w:rPr>
                <w:rFonts w:ascii="Garamond" w:hAnsi="Garamond"/>
                <w:color w:val="000000"/>
              </w:rPr>
              <w:t>8.21E-05</w:t>
            </w:r>
          </w:p>
        </w:tc>
        <w:tc>
          <w:tcPr>
            <w:tcW w:w="0" w:type="auto"/>
            <w:shd w:val="clear" w:color="auto" w:fill="auto"/>
            <w:noWrap/>
            <w:vAlign w:val="bottom"/>
          </w:tcPr>
          <w:p w14:paraId="7331B5CB" w14:textId="77777777" w:rsidR="00BE49FD" w:rsidRPr="008A703F" w:rsidRDefault="00BE49FD" w:rsidP="00B90008">
            <w:pPr>
              <w:jc w:val="right"/>
              <w:rPr>
                <w:rFonts w:ascii="Garamond" w:hAnsi="Garamond"/>
                <w:color w:val="000000"/>
              </w:rPr>
            </w:pPr>
            <w:r w:rsidRPr="008A703F">
              <w:rPr>
                <w:rFonts w:ascii="Garamond" w:hAnsi="Garamond"/>
                <w:color w:val="000000"/>
              </w:rPr>
              <w:t>-0.0128</w:t>
            </w:r>
          </w:p>
        </w:tc>
        <w:tc>
          <w:tcPr>
            <w:tcW w:w="1280" w:type="dxa"/>
            <w:vAlign w:val="bottom"/>
          </w:tcPr>
          <w:p w14:paraId="55181186" w14:textId="77777777" w:rsidR="00BE49FD" w:rsidRPr="008A703F" w:rsidRDefault="00BE49FD" w:rsidP="00B90008">
            <w:pPr>
              <w:jc w:val="right"/>
              <w:rPr>
                <w:rFonts w:ascii="Garamond" w:hAnsi="Garamond"/>
                <w:color w:val="000000"/>
              </w:rPr>
            </w:pPr>
            <w:r w:rsidRPr="008A703F">
              <w:rPr>
                <w:rFonts w:ascii="Garamond" w:hAnsi="Garamond"/>
                <w:color w:val="000000"/>
              </w:rPr>
              <w:t>0.0299</w:t>
            </w:r>
          </w:p>
        </w:tc>
        <w:tc>
          <w:tcPr>
            <w:tcW w:w="0" w:type="auto"/>
            <w:vAlign w:val="bottom"/>
          </w:tcPr>
          <w:p w14:paraId="1765275C" w14:textId="77777777" w:rsidR="00BE49FD" w:rsidRPr="008A703F" w:rsidRDefault="00BE49FD" w:rsidP="00B90008">
            <w:pPr>
              <w:jc w:val="right"/>
              <w:rPr>
                <w:rFonts w:ascii="Garamond" w:hAnsi="Garamond"/>
                <w:color w:val="000000"/>
              </w:rPr>
            </w:pPr>
            <w:r w:rsidRPr="008A703F">
              <w:rPr>
                <w:rFonts w:ascii="Garamond" w:hAnsi="Garamond"/>
                <w:color w:val="000000"/>
              </w:rPr>
              <w:t>0.0655</w:t>
            </w:r>
          </w:p>
        </w:tc>
        <w:tc>
          <w:tcPr>
            <w:tcW w:w="1142" w:type="dxa"/>
            <w:vAlign w:val="bottom"/>
          </w:tcPr>
          <w:p w14:paraId="1EA3BA8F" w14:textId="77777777" w:rsidR="00BE49FD" w:rsidRPr="008A703F" w:rsidRDefault="00BE49FD" w:rsidP="00B90008">
            <w:pPr>
              <w:jc w:val="right"/>
              <w:rPr>
                <w:rFonts w:ascii="Garamond" w:hAnsi="Garamond"/>
                <w:color w:val="000000"/>
              </w:rPr>
            </w:pPr>
            <w:r w:rsidRPr="008A703F">
              <w:rPr>
                <w:rFonts w:ascii="Garamond" w:hAnsi="Garamond"/>
                <w:color w:val="000000"/>
              </w:rPr>
              <w:t>4.31E-05</w:t>
            </w:r>
          </w:p>
        </w:tc>
        <w:tc>
          <w:tcPr>
            <w:tcW w:w="1280" w:type="dxa"/>
            <w:vAlign w:val="bottom"/>
          </w:tcPr>
          <w:p w14:paraId="0A38B407" w14:textId="77777777" w:rsidR="00BE49FD" w:rsidRPr="008A703F" w:rsidRDefault="00BE49FD" w:rsidP="00B90008">
            <w:pPr>
              <w:jc w:val="right"/>
              <w:rPr>
                <w:rFonts w:ascii="Garamond" w:hAnsi="Garamond"/>
                <w:color w:val="000000"/>
              </w:rPr>
            </w:pPr>
            <w:r w:rsidRPr="008A703F">
              <w:rPr>
                <w:rFonts w:ascii="Garamond" w:hAnsi="Garamond"/>
                <w:color w:val="000000"/>
              </w:rPr>
              <w:t>0.3960</w:t>
            </w:r>
          </w:p>
        </w:tc>
      </w:tr>
      <w:tr w:rsidR="00BE49FD" w:rsidRPr="008A703F" w14:paraId="2AB8CAD0" w14:textId="77777777" w:rsidTr="00B90008">
        <w:trPr>
          <w:trHeight w:val="300"/>
          <w:jc w:val="center"/>
        </w:trPr>
        <w:tc>
          <w:tcPr>
            <w:tcW w:w="0" w:type="auto"/>
            <w:shd w:val="clear" w:color="auto" w:fill="auto"/>
            <w:noWrap/>
            <w:vAlign w:val="center"/>
          </w:tcPr>
          <w:p w14:paraId="2A573595"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Stock index</w:t>
            </w:r>
            <w:r w:rsidRPr="002768EE">
              <w:rPr>
                <w:rFonts w:ascii="Garamond" w:hAnsi="Garamond"/>
                <w:color w:val="000000"/>
                <w:vertAlign w:val="subscript"/>
              </w:rPr>
              <w:t>t-1</w:t>
            </w:r>
          </w:p>
        </w:tc>
        <w:tc>
          <w:tcPr>
            <w:tcW w:w="1162" w:type="dxa"/>
            <w:shd w:val="clear" w:color="auto" w:fill="auto"/>
            <w:noWrap/>
            <w:vAlign w:val="bottom"/>
          </w:tcPr>
          <w:p w14:paraId="6EAF6659" w14:textId="77777777" w:rsidR="00BE49FD" w:rsidRPr="008A703F" w:rsidRDefault="00BE49FD" w:rsidP="00B90008">
            <w:pPr>
              <w:jc w:val="right"/>
              <w:rPr>
                <w:rFonts w:ascii="Garamond" w:hAnsi="Garamond"/>
                <w:color w:val="000000"/>
              </w:rPr>
            </w:pPr>
            <w:r w:rsidRPr="008A703F">
              <w:rPr>
                <w:rFonts w:ascii="Garamond" w:hAnsi="Garamond"/>
                <w:color w:val="000000"/>
              </w:rPr>
              <w:t>0.1138</w:t>
            </w:r>
          </w:p>
        </w:tc>
        <w:tc>
          <w:tcPr>
            <w:tcW w:w="0" w:type="auto"/>
            <w:shd w:val="clear" w:color="auto" w:fill="auto"/>
            <w:noWrap/>
            <w:vAlign w:val="bottom"/>
          </w:tcPr>
          <w:p w14:paraId="59F660A3" w14:textId="77777777" w:rsidR="00BE49FD" w:rsidRPr="008A703F" w:rsidRDefault="00BE49FD" w:rsidP="00B90008">
            <w:pPr>
              <w:jc w:val="right"/>
              <w:rPr>
                <w:rFonts w:ascii="Garamond" w:hAnsi="Garamond"/>
                <w:color w:val="000000"/>
              </w:rPr>
            </w:pPr>
            <w:r w:rsidRPr="008A703F">
              <w:rPr>
                <w:rFonts w:ascii="Garamond" w:hAnsi="Garamond"/>
                <w:color w:val="000000"/>
              </w:rPr>
              <w:t>0.1223</w:t>
            </w:r>
          </w:p>
        </w:tc>
        <w:tc>
          <w:tcPr>
            <w:tcW w:w="0" w:type="auto"/>
            <w:shd w:val="clear" w:color="auto" w:fill="auto"/>
            <w:noWrap/>
            <w:vAlign w:val="bottom"/>
          </w:tcPr>
          <w:p w14:paraId="5BE6343D" w14:textId="77777777" w:rsidR="00BE49FD" w:rsidRPr="008A703F" w:rsidRDefault="00BE49FD" w:rsidP="00B90008">
            <w:pPr>
              <w:jc w:val="right"/>
              <w:rPr>
                <w:rFonts w:ascii="Garamond" w:hAnsi="Garamond"/>
                <w:color w:val="000000"/>
              </w:rPr>
            </w:pPr>
            <w:r w:rsidRPr="008A703F">
              <w:rPr>
                <w:rFonts w:ascii="Garamond" w:hAnsi="Garamond"/>
                <w:color w:val="000000"/>
              </w:rPr>
              <w:t>3.63E-05</w:t>
            </w:r>
          </w:p>
        </w:tc>
        <w:tc>
          <w:tcPr>
            <w:tcW w:w="0" w:type="auto"/>
            <w:shd w:val="clear" w:color="auto" w:fill="auto"/>
            <w:noWrap/>
            <w:vAlign w:val="bottom"/>
          </w:tcPr>
          <w:p w14:paraId="296EFF00" w14:textId="77777777" w:rsidR="00BE49FD" w:rsidRPr="008A703F" w:rsidRDefault="00BE49FD" w:rsidP="00B90008">
            <w:pPr>
              <w:jc w:val="right"/>
              <w:rPr>
                <w:rFonts w:ascii="Garamond" w:hAnsi="Garamond"/>
                <w:color w:val="000000"/>
              </w:rPr>
            </w:pPr>
            <w:r w:rsidRPr="008A703F">
              <w:rPr>
                <w:rFonts w:ascii="Garamond" w:hAnsi="Garamond"/>
                <w:color w:val="000000"/>
              </w:rPr>
              <w:t>-0.2385</w:t>
            </w:r>
          </w:p>
        </w:tc>
        <w:tc>
          <w:tcPr>
            <w:tcW w:w="0" w:type="auto"/>
            <w:shd w:val="clear" w:color="auto" w:fill="auto"/>
            <w:noWrap/>
            <w:vAlign w:val="bottom"/>
          </w:tcPr>
          <w:p w14:paraId="223959A0" w14:textId="77777777" w:rsidR="00BE49FD" w:rsidRPr="008A703F" w:rsidRDefault="00BE49FD" w:rsidP="00B90008">
            <w:pPr>
              <w:jc w:val="right"/>
              <w:rPr>
                <w:rFonts w:ascii="Garamond" w:hAnsi="Garamond"/>
                <w:color w:val="000000"/>
              </w:rPr>
            </w:pPr>
            <w:r w:rsidRPr="008A703F">
              <w:rPr>
                <w:rFonts w:ascii="Garamond" w:hAnsi="Garamond"/>
                <w:color w:val="000000"/>
              </w:rPr>
              <w:t>0.0893</w:t>
            </w:r>
          </w:p>
        </w:tc>
        <w:tc>
          <w:tcPr>
            <w:tcW w:w="0" w:type="auto"/>
            <w:shd w:val="clear" w:color="auto" w:fill="auto"/>
            <w:noWrap/>
            <w:vAlign w:val="bottom"/>
          </w:tcPr>
          <w:p w14:paraId="0D301290" w14:textId="77777777" w:rsidR="00BE49FD" w:rsidRPr="008A703F" w:rsidRDefault="00BE49FD" w:rsidP="00B90008">
            <w:pPr>
              <w:jc w:val="right"/>
              <w:rPr>
                <w:rFonts w:ascii="Garamond" w:hAnsi="Garamond"/>
                <w:color w:val="000000"/>
              </w:rPr>
            </w:pPr>
            <w:r w:rsidRPr="008A703F">
              <w:rPr>
                <w:rFonts w:ascii="Garamond" w:hAnsi="Garamond"/>
                <w:color w:val="000000"/>
              </w:rPr>
              <w:t>0.0739</w:t>
            </w:r>
          </w:p>
        </w:tc>
        <w:tc>
          <w:tcPr>
            <w:tcW w:w="0" w:type="auto"/>
            <w:shd w:val="clear" w:color="auto" w:fill="auto"/>
            <w:noWrap/>
            <w:vAlign w:val="bottom"/>
          </w:tcPr>
          <w:p w14:paraId="0844E413" w14:textId="77777777" w:rsidR="00BE49FD" w:rsidRPr="008A703F" w:rsidRDefault="00BE49FD" w:rsidP="00B90008">
            <w:pPr>
              <w:jc w:val="right"/>
              <w:rPr>
                <w:rFonts w:ascii="Garamond" w:hAnsi="Garamond"/>
                <w:color w:val="000000"/>
              </w:rPr>
            </w:pPr>
            <w:r w:rsidRPr="008A703F">
              <w:rPr>
                <w:rFonts w:ascii="Garamond" w:hAnsi="Garamond"/>
                <w:color w:val="000000"/>
              </w:rPr>
              <w:t>5.41E-05</w:t>
            </w:r>
          </w:p>
        </w:tc>
        <w:tc>
          <w:tcPr>
            <w:tcW w:w="0" w:type="auto"/>
            <w:shd w:val="clear" w:color="auto" w:fill="auto"/>
            <w:noWrap/>
            <w:vAlign w:val="bottom"/>
          </w:tcPr>
          <w:p w14:paraId="55EE6480" w14:textId="77777777" w:rsidR="00BE49FD" w:rsidRPr="008A703F" w:rsidRDefault="00BE49FD" w:rsidP="00B90008">
            <w:pPr>
              <w:jc w:val="right"/>
              <w:rPr>
                <w:rFonts w:ascii="Garamond" w:hAnsi="Garamond"/>
                <w:color w:val="000000"/>
              </w:rPr>
            </w:pPr>
            <w:r w:rsidRPr="008A703F">
              <w:rPr>
                <w:rFonts w:ascii="Garamond" w:hAnsi="Garamond"/>
                <w:color w:val="000000"/>
              </w:rPr>
              <w:t>-0.3654</w:t>
            </w:r>
          </w:p>
        </w:tc>
        <w:tc>
          <w:tcPr>
            <w:tcW w:w="1280" w:type="dxa"/>
            <w:vAlign w:val="bottom"/>
          </w:tcPr>
          <w:p w14:paraId="359253CC" w14:textId="77777777" w:rsidR="00BE49FD" w:rsidRPr="008A703F" w:rsidRDefault="00BE49FD" w:rsidP="00B90008">
            <w:pPr>
              <w:jc w:val="right"/>
              <w:rPr>
                <w:rFonts w:ascii="Garamond" w:hAnsi="Garamond"/>
                <w:color w:val="000000"/>
              </w:rPr>
            </w:pPr>
            <w:r w:rsidRPr="008A703F">
              <w:rPr>
                <w:rFonts w:ascii="Garamond" w:hAnsi="Garamond"/>
                <w:color w:val="000000"/>
              </w:rPr>
              <w:t>-0.0139</w:t>
            </w:r>
          </w:p>
        </w:tc>
        <w:tc>
          <w:tcPr>
            <w:tcW w:w="0" w:type="auto"/>
            <w:vAlign w:val="bottom"/>
          </w:tcPr>
          <w:p w14:paraId="49A59605" w14:textId="77777777" w:rsidR="00BE49FD" w:rsidRPr="008A703F" w:rsidRDefault="00BE49FD" w:rsidP="00B90008">
            <w:pPr>
              <w:jc w:val="right"/>
              <w:rPr>
                <w:rFonts w:ascii="Garamond" w:hAnsi="Garamond"/>
                <w:color w:val="000000"/>
              </w:rPr>
            </w:pPr>
            <w:r w:rsidRPr="008A703F">
              <w:rPr>
                <w:rFonts w:ascii="Garamond" w:hAnsi="Garamond"/>
                <w:color w:val="000000"/>
              </w:rPr>
              <w:t>0.2868</w:t>
            </w:r>
          </w:p>
        </w:tc>
        <w:tc>
          <w:tcPr>
            <w:tcW w:w="1142" w:type="dxa"/>
            <w:vAlign w:val="bottom"/>
          </w:tcPr>
          <w:p w14:paraId="707920A5" w14:textId="77777777" w:rsidR="00BE49FD" w:rsidRPr="008A703F" w:rsidRDefault="00BE49FD" w:rsidP="00B90008">
            <w:pPr>
              <w:jc w:val="right"/>
              <w:rPr>
                <w:rFonts w:ascii="Garamond" w:hAnsi="Garamond"/>
                <w:color w:val="000000"/>
              </w:rPr>
            </w:pPr>
            <w:r w:rsidRPr="008A703F">
              <w:rPr>
                <w:rFonts w:ascii="Garamond" w:hAnsi="Garamond"/>
                <w:color w:val="000000"/>
              </w:rPr>
              <w:t>-0.0011</w:t>
            </w:r>
          </w:p>
        </w:tc>
        <w:tc>
          <w:tcPr>
            <w:tcW w:w="1280" w:type="dxa"/>
            <w:vAlign w:val="bottom"/>
          </w:tcPr>
          <w:p w14:paraId="71E64A2E" w14:textId="77777777" w:rsidR="00BE49FD" w:rsidRPr="008A703F" w:rsidRDefault="00BE49FD" w:rsidP="00B90008">
            <w:pPr>
              <w:jc w:val="right"/>
              <w:rPr>
                <w:rFonts w:ascii="Garamond" w:hAnsi="Garamond"/>
                <w:color w:val="000000"/>
              </w:rPr>
            </w:pPr>
            <w:r w:rsidRPr="008A703F">
              <w:rPr>
                <w:rFonts w:ascii="Garamond" w:hAnsi="Garamond"/>
                <w:color w:val="000000"/>
              </w:rPr>
              <w:t>-0.8441***</w:t>
            </w:r>
          </w:p>
        </w:tc>
      </w:tr>
      <w:tr w:rsidR="00BE49FD" w:rsidRPr="008A703F" w14:paraId="56BD51CE" w14:textId="77777777" w:rsidTr="00B90008">
        <w:trPr>
          <w:trHeight w:val="300"/>
          <w:jc w:val="center"/>
        </w:trPr>
        <w:tc>
          <w:tcPr>
            <w:tcW w:w="0" w:type="auto"/>
            <w:shd w:val="clear" w:color="auto" w:fill="auto"/>
            <w:noWrap/>
            <w:vAlign w:val="center"/>
          </w:tcPr>
          <w:p w14:paraId="0E494A08" w14:textId="77777777" w:rsidR="00BE49FD" w:rsidRPr="002768EE" w:rsidRDefault="00BE49FD" w:rsidP="00B90008">
            <w:pPr>
              <w:spacing w:line="240" w:lineRule="auto"/>
              <w:contextualSpacing/>
              <w:rPr>
                <w:rFonts w:ascii="Garamond" w:hAnsi="Garamond"/>
                <w:color w:val="000000"/>
              </w:rPr>
            </w:pPr>
          </w:p>
        </w:tc>
        <w:tc>
          <w:tcPr>
            <w:tcW w:w="1162" w:type="dxa"/>
            <w:shd w:val="clear" w:color="auto" w:fill="auto"/>
            <w:noWrap/>
            <w:vAlign w:val="bottom"/>
          </w:tcPr>
          <w:p w14:paraId="2CA9DEC9"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0" w:type="auto"/>
            <w:shd w:val="clear" w:color="auto" w:fill="auto"/>
            <w:noWrap/>
            <w:vAlign w:val="bottom"/>
          </w:tcPr>
          <w:p w14:paraId="0BD4A29C"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0" w:type="auto"/>
            <w:shd w:val="clear" w:color="auto" w:fill="auto"/>
            <w:noWrap/>
            <w:vAlign w:val="bottom"/>
          </w:tcPr>
          <w:p w14:paraId="776EE920"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0" w:type="auto"/>
            <w:shd w:val="clear" w:color="auto" w:fill="auto"/>
            <w:noWrap/>
            <w:vAlign w:val="bottom"/>
          </w:tcPr>
          <w:p w14:paraId="74F26223"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0" w:type="auto"/>
            <w:shd w:val="clear" w:color="auto" w:fill="auto"/>
            <w:noWrap/>
            <w:vAlign w:val="bottom"/>
          </w:tcPr>
          <w:p w14:paraId="11ABE01D"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0" w:type="auto"/>
            <w:shd w:val="clear" w:color="auto" w:fill="auto"/>
            <w:noWrap/>
            <w:vAlign w:val="bottom"/>
          </w:tcPr>
          <w:p w14:paraId="09C174B5"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0" w:type="auto"/>
            <w:shd w:val="clear" w:color="auto" w:fill="auto"/>
            <w:noWrap/>
            <w:vAlign w:val="bottom"/>
          </w:tcPr>
          <w:p w14:paraId="5DA6F1C2"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0" w:type="auto"/>
            <w:shd w:val="clear" w:color="auto" w:fill="auto"/>
            <w:noWrap/>
            <w:vAlign w:val="bottom"/>
          </w:tcPr>
          <w:p w14:paraId="68958D8B"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1280" w:type="dxa"/>
            <w:vAlign w:val="bottom"/>
          </w:tcPr>
          <w:p w14:paraId="4C64072E"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0" w:type="auto"/>
            <w:vAlign w:val="bottom"/>
          </w:tcPr>
          <w:p w14:paraId="347448F4"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1142" w:type="dxa"/>
            <w:vAlign w:val="bottom"/>
          </w:tcPr>
          <w:p w14:paraId="6C1F78ED"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1280" w:type="dxa"/>
            <w:vAlign w:val="bottom"/>
          </w:tcPr>
          <w:p w14:paraId="0E6F1675" w14:textId="77777777" w:rsidR="00BE49FD" w:rsidRPr="008A703F" w:rsidRDefault="00BE49FD" w:rsidP="00B90008">
            <w:pPr>
              <w:rPr>
                <w:rFonts w:ascii="Garamond" w:hAnsi="Garamond"/>
                <w:color w:val="000000"/>
              </w:rPr>
            </w:pPr>
            <w:r w:rsidRPr="008A703F">
              <w:rPr>
                <w:rFonts w:ascii="Garamond" w:hAnsi="Garamond"/>
                <w:color w:val="000000"/>
              </w:rPr>
              <w:t> </w:t>
            </w:r>
          </w:p>
        </w:tc>
      </w:tr>
      <w:tr w:rsidR="00BE49FD" w:rsidRPr="008A703F" w14:paraId="2CB24A8F" w14:textId="77777777" w:rsidTr="00B90008">
        <w:trPr>
          <w:trHeight w:val="300"/>
          <w:jc w:val="center"/>
        </w:trPr>
        <w:tc>
          <w:tcPr>
            <w:tcW w:w="0" w:type="auto"/>
            <w:shd w:val="clear" w:color="auto" w:fill="auto"/>
            <w:noWrap/>
            <w:vAlign w:val="center"/>
          </w:tcPr>
          <w:p w14:paraId="37F83ABB" w14:textId="77777777" w:rsidR="00BE49FD" w:rsidRPr="002768EE" w:rsidRDefault="00BE49FD" w:rsidP="00B90008">
            <w:pPr>
              <w:spacing w:line="240" w:lineRule="auto"/>
              <w:contextualSpacing/>
              <w:rPr>
                <w:rFonts w:ascii="Garamond" w:hAnsi="Garamond"/>
                <w:color w:val="000000"/>
              </w:rPr>
            </w:pPr>
            <w:r w:rsidRPr="002768EE">
              <w:rPr>
                <w:rFonts w:ascii="Garamond" w:hAnsi="Garamond"/>
                <w:color w:val="000000"/>
              </w:rPr>
              <w:t>R</w:t>
            </w:r>
          </w:p>
        </w:tc>
        <w:tc>
          <w:tcPr>
            <w:tcW w:w="1162" w:type="dxa"/>
            <w:shd w:val="clear" w:color="auto" w:fill="auto"/>
            <w:noWrap/>
            <w:vAlign w:val="bottom"/>
          </w:tcPr>
          <w:p w14:paraId="48F1EB2E" w14:textId="77777777" w:rsidR="00BE49FD" w:rsidRPr="008A703F" w:rsidRDefault="00BE49FD" w:rsidP="00B90008">
            <w:pPr>
              <w:jc w:val="right"/>
              <w:rPr>
                <w:rFonts w:ascii="Garamond" w:hAnsi="Garamond"/>
                <w:color w:val="000000"/>
              </w:rPr>
            </w:pPr>
            <w:r w:rsidRPr="008A703F">
              <w:rPr>
                <w:rFonts w:ascii="Garamond" w:hAnsi="Garamond"/>
                <w:color w:val="000000"/>
              </w:rPr>
              <w:t>0.6126</w:t>
            </w:r>
          </w:p>
        </w:tc>
        <w:tc>
          <w:tcPr>
            <w:tcW w:w="0" w:type="auto"/>
            <w:shd w:val="clear" w:color="auto" w:fill="auto"/>
            <w:noWrap/>
            <w:vAlign w:val="bottom"/>
          </w:tcPr>
          <w:p w14:paraId="03D815FC" w14:textId="77777777" w:rsidR="00BE49FD" w:rsidRPr="008A703F" w:rsidRDefault="00BE49FD" w:rsidP="00B90008">
            <w:pPr>
              <w:jc w:val="right"/>
              <w:rPr>
                <w:rFonts w:ascii="Garamond" w:hAnsi="Garamond"/>
                <w:color w:val="000000"/>
              </w:rPr>
            </w:pPr>
            <w:r w:rsidRPr="008A703F">
              <w:rPr>
                <w:rFonts w:ascii="Garamond" w:hAnsi="Garamond"/>
                <w:color w:val="000000"/>
              </w:rPr>
              <w:t>0.8466</w:t>
            </w:r>
          </w:p>
        </w:tc>
        <w:tc>
          <w:tcPr>
            <w:tcW w:w="0" w:type="auto"/>
            <w:shd w:val="clear" w:color="auto" w:fill="auto"/>
            <w:noWrap/>
            <w:vAlign w:val="bottom"/>
          </w:tcPr>
          <w:p w14:paraId="13D028F6" w14:textId="77777777" w:rsidR="00BE49FD" w:rsidRPr="008A703F" w:rsidRDefault="00BE49FD" w:rsidP="00B90008">
            <w:pPr>
              <w:jc w:val="right"/>
              <w:rPr>
                <w:rFonts w:ascii="Garamond" w:hAnsi="Garamond"/>
                <w:color w:val="000000"/>
              </w:rPr>
            </w:pPr>
            <w:r w:rsidRPr="008A703F">
              <w:rPr>
                <w:rFonts w:ascii="Garamond" w:hAnsi="Garamond"/>
                <w:color w:val="000000"/>
              </w:rPr>
              <w:t>0.2911</w:t>
            </w:r>
          </w:p>
        </w:tc>
        <w:tc>
          <w:tcPr>
            <w:tcW w:w="0" w:type="auto"/>
            <w:shd w:val="clear" w:color="auto" w:fill="auto"/>
            <w:noWrap/>
            <w:vAlign w:val="bottom"/>
          </w:tcPr>
          <w:p w14:paraId="33C012A0" w14:textId="77777777" w:rsidR="00BE49FD" w:rsidRPr="008A703F" w:rsidRDefault="00BE49FD" w:rsidP="00B90008">
            <w:pPr>
              <w:jc w:val="right"/>
              <w:rPr>
                <w:rFonts w:ascii="Garamond" w:hAnsi="Garamond"/>
                <w:color w:val="000000"/>
              </w:rPr>
            </w:pPr>
            <w:r w:rsidRPr="008A703F">
              <w:rPr>
                <w:rFonts w:ascii="Garamond" w:hAnsi="Garamond"/>
                <w:color w:val="000000"/>
              </w:rPr>
              <w:t>0.2646</w:t>
            </w:r>
          </w:p>
        </w:tc>
        <w:tc>
          <w:tcPr>
            <w:tcW w:w="0" w:type="auto"/>
            <w:shd w:val="clear" w:color="auto" w:fill="auto"/>
            <w:noWrap/>
            <w:vAlign w:val="bottom"/>
          </w:tcPr>
          <w:p w14:paraId="6A9752DF" w14:textId="77777777" w:rsidR="00BE49FD" w:rsidRPr="008A703F" w:rsidRDefault="00BE49FD" w:rsidP="00B90008">
            <w:pPr>
              <w:jc w:val="right"/>
              <w:rPr>
                <w:rFonts w:ascii="Garamond" w:hAnsi="Garamond"/>
                <w:color w:val="000000"/>
              </w:rPr>
            </w:pPr>
            <w:r w:rsidRPr="008A703F">
              <w:rPr>
                <w:rFonts w:ascii="Garamond" w:hAnsi="Garamond"/>
                <w:color w:val="000000"/>
              </w:rPr>
              <w:t>0.6276</w:t>
            </w:r>
          </w:p>
        </w:tc>
        <w:tc>
          <w:tcPr>
            <w:tcW w:w="0" w:type="auto"/>
            <w:shd w:val="clear" w:color="auto" w:fill="auto"/>
            <w:noWrap/>
            <w:vAlign w:val="bottom"/>
          </w:tcPr>
          <w:p w14:paraId="4A53318B" w14:textId="77777777" w:rsidR="00BE49FD" w:rsidRPr="008A703F" w:rsidRDefault="00BE49FD" w:rsidP="00B90008">
            <w:pPr>
              <w:jc w:val="right"/>
              <w:rPr>
                <w:rFonts w:ascii="Garamond" w:hAnsi="Garamond"/>
                <w:color w:val="000000"/>
              </w:rPr>
            </w:pPr>
            <w:r w:rsidRPr="008A703F">
              <w:rPr>
                <w:rFonts w:ascii="Garamond" w:hAnsi="Garamond"/>
                <w:color w:val="000000"/>
              </w:rPr>
              <w:t>0.8496</w:t>
            </w:r>
          </w:p>
        </w:tc>
        <w:tc>
          <w:tcPr>
            <w:tcW w:w="0" w:type="auto"/>
            <w:shd w:val="clear" w:color="auto" w:fill="auto"/>
            <w:noWrap/>
            <w:vAlign w:val="bottom"/>
          </w:tcPr>
          <w:p w14:paraId="74A076FD" w14:textId="77777777" w:rsidR="00BE49FD" w:rsidRPr="008A703F" w:rsidRDefault="00BE49FD" w:rsidP="00B90008">
            <w:pPr>
              <w:jc w:val="right"/>
              <w:rPr>
                <w:rFonts w:ascii="Garamond" w:hAnsi="Garamond"/>
                <w:color w:val="000000"/>
              </w:rPr>
            </w:pPr>
            <w:r w:rsidRPr="008A703F">
              <w:rPr>
                <w:rFonts w:ascii="Garamond" w:hAnsi="Garamond"/>
                <w:color w:val="000000"/>
              </w:rPr>
              <w:t>0.2970</w:t>
            </w:r>
          </w:p>
        </w:tc>
        <w:tc>
          <w:tcPr>
            <w:tcW w:w="0" w:type="auto"/>
            <w:shd w:val="clear" w:color="auto" w:fill="auto"/>
            <w:noWrap/>
            <w:vAlign w:val="bottom"/>
          </w:tcPr>
          <w:p w14:paraId="4B01AB6A" w14:textId="77777777" w:rsidR="00BE49FD" w:rsidRPr="008A703F" w:rsidRDefault="00BE49FD" w:rsidP="00B90008">
            <w:pPr>
              <w:jc w:val="right"/>
              <w:rPr>
                <w:rFonts w:ascii="Garamond" w:hAnsi="Garamond"/>
                <w:color w:val="000000"/>
              </w:rPr>
            </w:pPr>
            <w:r w:rsidRPr="008A703F">
              <w:rPr>
                <w:rFonts w:ascii="Garamond" w:hAnsi="Garamond"/>
                <w:color w:val="000000"/>
              </w:rPr>
              <w:t>0.2805</w:t>
            </w:r>
          </w:p>
        </w:tc>
        <w:tc>
          <w:tcPr>
            <w:tcW w:w="1280" w:type="dxa"/>
            <w:vAlign w:val="bottom"/>
          </w:tcPr>
          <w:p w14:paraId="1A19E3BE" w14:textId="77777777" w:rsidR="00BE49FD" w:rsidRPr="008A703F" w:rsidRDefault="00BE49FD" w:rsidP="00B90008">
            <w:pPr>
              <w:jc w:val="right"/>
              <w:rPr>
                <w:rFonts w:ascii="Garamond" w:hAnsi="Garamond"/>
                <w:color w:val="000000"/>
              </w:rPr>
            </w:pPr>
            <w:r w:rsidRPr="008A703F">
              <w:rPr>
                <w:rFonts w:ascii="Garamond" w:hAnsi="Garamond"/>
                <w:color w:val="000000"/>
              </w:rPr>
              <w:t>0.6249</w:t>
            </w:r>
          </w:p>
        </w:tc>
        <w:tc>
          <w:tcPr>
            <w:tcW w:w="0" w:type="auto"/>
            <w:vAlign w:val="bottom"/>
          </w:tcPr>
          <w:p w14:paraId="6E42A884" w14:textId="77777777" w:rsidR="00BE49FD" w:rsidRPr="008A703F" w:rsidRDefault="00BE49FD" w:rsidP="00B90008">
            <w:pPr>
              <w:jc w:val="right"/>
              <w:rPr>
                <w:rFonts w:ascii="Garamond" w:hAnsi="Garamond"/>
                <w:color w:val="000000"/>
              </w:rPr>
            </w:pPr>
            <w:r w:rsidRPr="008A703F">
              <w:rPr>
                <w:rFonts w:ascii="Garamond" w:hAnsi="Garamond"/>
                <w:color w:val="000000"/>
              </w:rPr>
              <w:t>0.8798</w:t>
            </w:r>
          </w:p>
        </w:tc>
        <w:tc>
          <w:tcPr>
            <w:tcW w:w="1142" w:type="dxa"/>
            <w:vAlign w:val="bottom"/>
          </w:tcPr>
          <w:p w14:paraId="0E47CE83" w14:textId="77777777" w:rsidR="00BE49FD" w:rsidRPr="008A703F" w:rsidRDefault="00BE49FD" w:rsidP="00B90008">
            <w:pPr>
              <w:jc w:val="right"/>
              <w:rPr>
                <w:rFonts w:ascii="Garamond" w:hAnsi="Garamond"/>
                <w:color w:val="000000"/>
              </w:rPr>
            </w:pPr>
            <w:r w:rsidRPr="008A703F">
              <w:rPr>
                <w:rFonts w:ascii="Garamond" w:hAnsi="Garamond"/>
                <w:color w:val="000000"/>
              </w:rPr>
              <w:t>0.3167</w:t>
            </w:r>
          </w:p>
        </w:tc>
        <w:tc>
          <w:tcPr>
            <w:tcW w:w="1280" w:type="dxa"/>
            <w:vAlign w:val="bottom"/>
          </w:tcPr>
          <w:p w14:paraId="73CA231F" w14:textId="77777777" w:rsidR="00BE49FD" w:rsidRPr="008A703F" w:rsidRDefault="00BE49FD" w:rsidP="00B90008">
            <w:pPr>
              <w:jc w:val="right"/>
              <w:rPr>
                <w:rFonts w:ascii="Garamond" w:hAnsi="Garamond"/>
                <w:color w:val="000000"/>
              </w:rPr>
            </w:pPr>
            <w:r w:rsidRPr="008A703F">
              <w:rPr>
                <w:rFonts w:ascii="Garamond" w:hAnsi="Garamond"/>
                <w:color w:val="000000"/>
              </w:rPr>
              <w:t>0.2953</w:t>
            </w:r>
          </w:p>
        </w:tc>
      </w:tr>
    </w:tbl>
    <w:p w14:paraId="4EE311D0" w14:textId="77777777" w:rsidR="00BE49FD" w:rsidRPr="004B71B1" w:rsidRDefault="00BE49FD" w:rsidP="00BE49FD">
      <w:pPr>
        <w:spacing w:line="360" w:lineRule="auto"/>
        <w:rPr>
          <w:rFonts w:ascii="Garamond" w:hAnsi="Garamond"/>
          <w:iCs/>
          <w:sz w:val="24"/>
          <w:szCs w:val="24"/>
        </w:rPr>
      </w:pPr>
      <w:r w:rsidRPr="004B71B1">
        <w:rPr>
          <w:rFonts w:ascii="Garamond" w:hAnsi="Garamond"/>
          <w:iCs/>
          <w:sz w:val="24"/>
          <w:szCs w:val="24"/>
        </w:rPr>
        <w:t xml:space="preserve">***, ** and * significant at </w:t>
      </w:r>
      <w:r>
        <w:rPr>
          <w:rFonts w:ascii="Garamond" w:hAnsi="Garamond"/>
          <w:iCs/>
          <w:sz w:val="24"/>
          <w:szCs w:val="24"/>
        </w:rPr>
        <w:t xml:space="preserve">the </w:t>
      </w:r>
      <w:r w:rsidRPr="004B71B1">
        <w:rPr>
          <w:rFonts w:ascii="Garamond" w:hAnsi="Garamond"/>
          <w:iCs/>
          <w:sz w:val="24"/>
          <w:szCs w:val="24"/>
        </w:rPr>
        <w:t>1%, 5% and 10% level</w:t>
      </w:r>
      <w:r>
        <w:rPr>
          <w:rFonts w:ascii="Garamond" w:hAnsi="Garamond"/>
          <w:iCs/>
          <w:sz w:val="24"/>
          <w:szCs w:val="24"/>
        </w:rPr>
        <w:t>s</w:t>
      </w:r>
      <w:r w:rsidRPr="004B71B1">
        <w:rPr>
          <w:rFonts w:ascii="Garamond" w:hAnsi="Garamond"/>
          <w:iCs/>
          <w:sz w:val="24"/>
          <w:szCs w:val="24"/>
        </w:rPr>
        <w:t xml:space="preserve"> based on average t-statistics </w:t>
      </w:r>
    </w:p>
    <w:p w14:paraId="782F2570" w14:textId="77777777" w:rsidR="00BE49FD" w:rsidRPr="00C37118" w:rsidRDefault="00BE49FD" w:rsidP="00BE49FD">
      <w:pPr>
        <w:spacing w:line="360" w:lineRule="auto"/>
        <w:jc w:val="both"/>
        <w:rPr>
          <w:rFonts w:ascii="Garamond" w:hAnsi="Garamond"/>
          <w:sz w:val="24"/>
          <w:szCs w:val="24"/>
        </w:rPr>
      </w:pPr>
    </w:p>
    <w:p w14:paraId="43BC2177" w14:textId="77777777" w:rsidR="00BE49FD" w:rsidRPr="0056379F" w:rsidRDefault="00BE49FD" w:rsidP="00BE49FD">
      <w:pPr>
        <w:spacing w:line="360" w:lineRule="auto"/>
        <w:jc w:val="both"/>
        <w:rPr>
          <w:rFonts w:ascii="Garamond" w:hAnsi="Garamond"/>
          <w:i/>
          <w:sz w:val="24"/>
          <w:szCs w:val="24"/>
        </w:rPr>
        <w:sectPr w:rsidR="00BE49FD" w:rsidRPr="0056379F" w:rsidSect="00B90008">
          <w:pgSz w:w="16838" w:h="11906" w:orient="landscape"/>
          <w:pgMar w:top="1440" w:right="1440" w:bottom="1440" w:left="1440" w:header="709" w:footer="709" w:gutter="0"/>
          <w:cols w:space="708"/>
          <w:docGrid w:linePitch="360"/>
        </w:sectPr>
      </w:pPr>
    </w:p>
    <w:p w14:paraId="235C9BBD" w14:textId="4A4E0290" w:rsidR="00BE49FD" w:rsidRDefault="00BE49FD" w:rsidP="00BE49FD">
      <w:pPr>
        <w:spacing w:line="360" w:lineRule="auto"/>
        <w:jc w:val="both"/>
        <w:rPr>
          <w:rFonts w:ascii="Garamond" w:hAnsi="Garamond"/>
          <w:sz w:val="24"/>
          <w:szCs w:val="24"/>
        </w:rPr>
      </w:pPr>
      <w:r>
        <w:rPr>
          <w:rFonts w:ascii="Garamond" w:hAnsi="Garamond"/>
          <w:sz w:val="24"/>
          <w:szCs w:val="24"/>
        </w:rPr>
        <w:lastRenderedPageBreak/>
        <w:t xml:space="preserve">Overall, we see a similar shift in portfolio holdings in our sample Asian markets as suggested in Amihud (2002) and </w:t>
      </w:r>
      <w:r w:rsidRPr="00B90008">
        <w:rPr>
          <w:rStyle w:val="HTMLCite"/>
          <w:rFonts w:ascii="Garamond" w:hAnsi="Garamond"/>
          <w:i w:val="0"/>
          <w:sz w:val="24"/>
          <w:szCs w:val="24"/>
        </w:rPr>
        <w:t>Næs</w:t>
      </w:r>
      <w:r>
        <w:rPr>
          <w:rFonts w:ascii="Garamond" w:hAnsi="Garamond"/>
          <w:sz w:val="24"/>
          <w:szCs w:val="24"/>
        </w:rPr>
        <w:t xml:space="preserve"> et al. (2011). Investors prefer more liquid stocks during restrictive monetary policy (i.e. with higher bank and short-term interest rates) and broad money supply has </w:t>
      </w:r>
      <w:r w:rsidR="00D83947">
        <w:rPr>
          <w:rFonts w:ascii="Garamond" w:hAnsi="Garamond"/>
          <w:sz w:val="24"/>
          <w:szCs w:val="24"/>
        </w:rPr>
        <w:t xml:space="preserve">a </w:t>
      </w:r>
      <w:r>
        <w:rPr>
          <w:rFonts w:ascii="Garamond" w:hAnsi="Garamond"/>
          <w:sz w:val="24"/>
          <w:szCs w:val="24"/>
        </w:rPr>
        <w:t>significant influence on firms’ (il)liquidity. In particular, the top 40 and mid 20 percent of firms on average and firms listed in India, Indonesia, Pakistan, Taiwan and Thailand receive a higher influence of monthly changes in money supply. Moreover, since smaller firms are more dependent on bank lending than larger firms thus a restrictive monetary policy (i.e. higher short-term interest rate) may increase the cost of funds for them to a greater degree (see Fernández-Amador et al., 2013). However, the influence of central bank policy on the (il)liquidity of these emerging markets largely depends on the instruments used</w:t>
      </w:r>
      <w:r w:rsidR="00D83947">
        <w:rPr>
          <w:rFonts w:ascii="Garamond" w:hAnsi="Garamond"/>
          <w:sz w:val="24"/>
          <w:szCs w:val="24"/>
        </w:rPr>
        <w:t>,</w:t>
      </w:r>
      <w:r>
        <w:rPr>
          <w:rFonts w:ascii="Garamond" w:hAnsi="Garamond"/>
          <w:sz w:val="24"/>
          <w:szCs w:val="24"/>
        </w:rPr>
        <w:t xml:space="preserve"> and therefore investors and policy makers must be careful in measuring their impact on the overall market. </w:t>
      </w:r>
    </w:p>
    <w:p w14:paraId="32CF5C68" w14:textId="67DC3FA0" w:rsidR="00BE49FD" w:rsidRDefault="00BE49FD" w:rsidP="00BE49FD">
      <w:pPr>
        <w:spacing w:line="360" w:lineRule="auto"/>
        <w:jc w:val="both"/>
        <w:rPr>
          <w:rFonts w:ascii="Garamond" w:hAnsi="Garamond"/>
          <w:sz w:val="24"/>
          <w:szCs w:val="24"/>
        </w:rPr>
      </w:pPr>
      <w:r>
        <w:rPr>
          <w:rFonts w:ascii="Garamond" w:hAnsi="Garamond"/>
          <w:sz w:val="24"/>
          <w:szCs w:val="24"/>
        </w:rPr>
        <w:t xml:space="preserve">Table 8 depicts the results of panel estimations of (il)liquidity measures where fiscal policy is approximated by government expenditure, government borrowing and private borrowing. Results indicate the liquidity of individual firms is significantly and positively influenced by government expenditure and private borrowing, but negatively by government borrowing. These results are consistent with our hypothesis; expansionary (contractionary) fiscal policy by the government increases (decreases) market liquidity at the firm level. For interaction terms (Group B of Table 9), we find a similar response to that of monetary policy – both liquidity and illiquidity of large and smaller stocks are more sensitive to fiscal information. In addition, each policy variable creates a differential impact on (il)liquidity measures, however, trading volume is affected significantly by all three fiscal policies across all firm sizes, particularly in </w:t>
      </w:r>
      <w:smartTag w:uri="urn:schemas-microsoft-com:office:smarttags" w:element="country-region">
        <w:r>
          <w:rPr>
            <w:rFonts w:ascii="Garamond" w:hAnsi="Garamond"/>
            <w:sz w:val="24"/>
            <w:szCs w:val="24"/>
          </w:rPr>
          <w:t>Bangladesh</w:t>
        </w:r>
      </w:smartTag>
      <w:r>
        <w:rPr>
          <w:rFonts w:ascii="Garamond" w:hAnsi="Garamond"/>
          <w:sz w:val="24"/>
          <w:szCs w:val="24"/>
        </w:rPr>
        <w:t xml:space="preserve">, </w:t>
      </w:r>
      <w:smartTag w:uri="urn:schemas-microsoft-com:office:smarttags" w:element="country-region">
        <w:r>
          <w:rPr>
            <w:rFonts w:ascii="Garamond" w:hAnsi="Garamond"/>
            <w:sz w:val="24"/>
            <w:szCs w:val="24"/>
          </w:rPr>
          <w:t>India</w:t>
        </w:r>
      </w:smartTag>
      <w:r>
        <w:rPr>
          <w:rFonts w:ascii="Garamond" w:hAnsi="Garamond"/>
          <w:sz w:val="24"/>
          <w:szCs w:val="24"/>
        </w:rPr>
        <w:t xml:space="preserve">, </w:t>
      </w:r>
      <w:smartTag w:uri="urn:schemas-microsoft-com:office:smarttags" w:element="country-region">
        <w:r>
          <w:rPr>
            <w:rFonts w:ascii="Garamond" w:hAnsi="Garamond"/>
            <w:sz w:val="24"/>
            <w:szCs w:val="24"/>
          </w:rPr>
          <w:t>Indonesia</w:t>
        </w:r>
      </w:smartTag>
      <w:r>
        <w:rPr>
          <w:rFonts w:ascii="Garamond" w:hAnsi="Garamond"/>
          <w:sz w:val="24"/>
          <w:szCs w:val="24"/>
        </w:rPr>
        <w:t xml:space="preserve">, </w:t>
      </w:r>
      <w:smartTag w:uri="urn:schemas-microsoft-com:office:smarttags" w:element="country-region">
        <w:r>
          <w:rPr>
            <w:rFonts w:ascii="Garamond" w:hAnsi="Garamond"/>
            <w:sz w:val="24"/>
            <w:szCs w:val="24"/>
          </w:rPr>
          <w:t>Pakistan</w:t>
        </w:r>
      </w:smartTag>
      <w:r>
        <w:rPr>
          <w:rFonts w:ascii="Garamond" w:hAnsi="Garamond"/>
          <w:sz w:val="24"/>
          <w:szCs w:val="24"/>
        </w:rPr>
        <w:t xml:space="preserve"> and </w:t>
      </w:r>
      <w:smartTag w:uri="urn:schemas-microsoft-com:office:smarttags" w:element="place">
        <w:smartTag w:uri="urn:schemas-microsoft-com:office:smarttags" w:element="country-region">
          <w:r>
            <w:rPr>
              <w:rFonts w:ascii="Garamond" w:hAnsi="Garamond"/>
              <w:sz w:val="24"/>
              <w:szCs w:val="24"/>
            </w:rPr>
            <w:t>South Korea</w:t>
          </w:r>
        </w:smartTag>
      </w:smartTag>
      <w:r>
        <w:rPr>
          <w:rFonts w:ascii="Garamond" w:hAnsi="Garamond"/>
          <w:sz w:val="24"/>
          <w:szCs w:val="24"/>
        </w:rPr>
        <w:t>.</w:t>
      </w:r>
    </w:p>
    <w:p w14:paraId="5818C4D7" w14:textId="2869DF76" w:rsidR="00BE49FD" w:rsidRDefault="00BE49FD" w:rsidP="00BE49FD">
      <w:pPr>
        <w:spacing w:line="360" w:lineRule="auto"/>
        <w:jc w:val="both"/>
        <w:rPr>
          <w:rFonts w:ascii="Garamond" w:hAnsi="Garamond"/>
          <w:sz w:val="24"/>
          <w:szCs w:val="24"/>
        </w:rPr>
      </w:pPr>
      <w:r w:rsidRPr="007853CF">
        <w:rPr>
          <w:rFonts w:ascii="Garamond" w:hAnsi="Garamond"/>
          <w:sz w:val="24"/>
          <w:szCs w:val="24"/>
        </w:rPr>
        <w:t xml:space="preserve">From Table </w:t>
      </w:r>
      <w:r>
        <w:rPr>
          <w:rFonts w:ascii="Garamond" w:hAnsi="Garamond"/>
          <w:sz w:val="24"/>
          <w:szCs w:val="24"/>
        </w:rPr>
        <w:t>9</w:t>
      </w:r>
      <w:r w:rsidRPr="007853CF">
        <w:rPr>
          <w:rFonts w:ascii="Garamond" w:hAnsi="Garamond"/>
          <w:sz w:val="24"/>
          <w:szCs w:val="24"/>
        </w:rPr>
        <w:t xml:space="preserve">, we see that </w:t>
      </w:r>
      <w:r>
        <w:rPr>
          <w:rFonts w:ascii="Garamond" w:hAnsi="Garamond"/>
          <w:sz w:val="24"/>
          <w:szCs w:val="24"/>
        </w:rPr>
        <w:t>on average government expenditure increases trading activity (both turnover rate and trading volume ratio) for all size</w:t>
      </w:r>
      <w:r w:rsidR="00D83947">
        <w:rPr>
          <w:rFonts w:ascii="Garamond" w:hAnsi="Garamond"/>
          <w:sz w:val="24"/>
          <w:szCs w:val="24"/>
        </w:rPr>
        <w:t xml:space="preserve"> </w:t>
      </w:r>
      <w:r w:rsidRPr="007853CF">
        <w:rPr>
          <w:rFonts w:ascii="Garamond" w:hAnsi="Garamond"/>
          <w:sz w:val="24"/>
          <w:szCs w:val="24"/>
        </w:rPr>
        <w:t>portfolios</w:t>
      </w:r>
      <w:r w:rsidR="00D83947">
        <w:rPr>
          <w:rFonts w:ascii="Garamond" w:hAnsi="Garamond"/>
          <w:sz w:val="24"/>
          <w:szCs w:val="24"/>
        </w:rPr>
        <w:t>,</w:t>
      </w:r>
      <w:r w:rsidRPr="007853CF">
        <w:rPr>
          <w:rFonts w:ascii="Garamond" w:hAnsi="Garamond"/>
          <w:sz w:val="24"/>
          <w:szCs w:val="24"/>
        </w:rPr>
        <w:t xml:space="preserve"> </w:t>
      </w:r>
      <w:r>
        <w:rPr>
          <w:rFonts w:ascii="Garamond" w:hAnsi="Garamond"/>
          <w:sz w:val="24"/>
          <w:szCs w:val="24"/>
        </w:rPr>
        <w:t>except that s</w:t>
      </w:r>
      <w:r w:rsidRPr="007853CF">
        <w:rPr>
          <w:rFonts w:ascii="Garamond" w:hAnsi="Garamond"/>
          <w:sz w:val="24"/>
          <w:szCs w:val="24"/>
        </w:rPr>
        <w:t>mal</w:t>
      </w:r>
      <w:r>
        <w:rPr>
          <w:rFonts w:ascii="Garamond" w:hAnsi="Garamond"/>
          <w:sz w:val="24"/>
          <w:szCs w:val="24"/>
        </w:rPr>
        <w:t xml:space="preserve">ler firms are more sensitive to </w:t>
      </w:r>
      <w:r w:rsidRPr="007853CF">
        <w:rPr>
          <w:rFonts w:ascii="Garamond" w:hAnsi="Garamond"/>
          <w:sz w:val="24"/>
          <w:szCs w:val="24"/>
        </w:rPr>
        <w:t>fiscal policy shocks</w:t>
      </w:r>
      <w:r w:rsidR="00D83947">
        <w:rPr>
          <w:rFonts w:ascii="Garamond" w:hAnsi="Garamond"/>
          <w:sz w:val="24"/>
          <w:szCs w:val="24"/>
        </w:rPr>
        <w:t>.</w:t>
      </w:r>
      <w:r>
        <w:rPr>
          <w:rFonts w:ascii="Garamond" w:hAnsi="Garamond"/>
          <w:sz w:val="24"/>
          <w:szCs w:val="24"/>
        </w:rPr>
        <w:t xml:space="preserve"> </w:t>
      </w:r>
      <w:r w:rsidR="00D83947">
        <w:rPr>
          <w:rFonts w:ascii="Garamond" w:hAnsi="Garamond"/>
          <w:sz w:val="24"/>
          <w:szCs w:val="24"/>
        </w:rPr>
        <w:t>T</w:t>
      </w:r>
      <w:r>
        <w:rPr>
          <w:rFonts w:ascii="Garamond" w:hAnsi="Garamond"/>
          <w:sz w:val="24"/>
          <w:szCs w:val="24"/>
        </w:rPr>
        <w:t xml:space="preserve">heir liquidity rises and illiquidity (e.g. Amihud’s illiquidity ratio) declines significantly. We find consistent results of government borrowing with our hypothesis as well. Liquidity (illiquidity) of both smaller and larger firms reduces (increases) due to borrowing by the government from the banking sector except in </w:t>
      </w:r>
      <w:smartTag w:uri="urn:schemas-microsoft-com:office:smarttags" w:element="country-region">
        <w:r>
          <w:rPr>
            <w:rFonts w:ascii="Garamond" w:hAnsi="Garamond"/>
            <w:sz w:val="24"/>
            <w:szCs w:val="24"/>
          </w:rPr>
          <w:t>Pakistan</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Malaysia</w:t>
          </w:r>
        </w:smartTag>
      </w:smartTag>
      <w:r>
        <w:rPr>
          <w:rFonts w:ascii="Garamond" w:hAnsi="Garamond"/>
          <w:sz w:val="24"/>
          <w:szCs w:val="24"/>
        </w:rPr>
        <w:t xml:space="preserve">. However, the </w:t>
      </w:r>
      <w:r w:rsidRPr="007853CF">
        <w:rPr>
          <w:rFonts w:ascii="Garamond" w:hAnsi="Garamond"/>
          <w:sz w:val="24"/>
          <w:szCs w:val="24"/>
        </w:rPr>
        <w:t xml:space="preserve">magnitude </w:t>
      </w:r>
      <w:r>
        <w:rPr>
          <w:rFonts w:ascii="Garamond" w:hAnsi="Garamond"/>
          <w:sz w:val="24"/>
          <w:szCs w:val="24"/>
        </w:rPr>
        <w:t xml:space="preserve">of the impact is slightly higher for </w:t>
      </w:r>
      <w:r w:rsidR="00D83947">
        <w:rPr>
          <w:rFonts w:ascii="Garamond" w:hAnsi="Garamond"/>
          <w:sz w:val="24"/>
          <w:szCs w:val="24"/>
        </w:rPr>
        <w:t xml:space="preserve">the </w:t>
      </w:r>
      <w:r>
        <w:rPr>
          <w:rFonts w:ascii="Garamond" w:hAnsi="Garamond"/>
          <w:sz w:val="24"/>
          <w:szCs w:val="24"/>
        </w:rPr>
        <w:t xml:space="preserve">smallest portfolios (i.e. the bottom 20 percent). This result supports the argument of Fisher (1988) and Fernández-Amador et al. (2013). When government borrows from the banking sector, business firms suffer and since smaller firms depend more on bank credit, they suffer more than others do.    </w:t>
      </w:r>
    </w:p>
    <w:p w14:paraId="49445BC0" w14:textId="77777777" w:rsidR="00BE49FD" w:rsidRPr="000E117F" w:rsidRDefault="00BE49FD" w:rsidP="00BE49FD">
      <w:pPr>
        <w:spacing w:line="360" w:lineRule="auto"/>
        <w:jc w:val="both"/>
        <w:rPr>
          <w:rFonts w:ascii="Garamond" w:hAnsi="Garamond"/>
          <w:sz w:val="24"/>
          <w:szCs w:val="24"/>
        </w:rPr>
        <w:sectPr w:rsidR="00BE49FD" w:rsidRPr="000E117F" w:rsidSect="00B90008">
          <w:pgSz w:w="11906" w:h="16838"/>
          <w:pgMar w:top="1440" w:right="1440" w:bottom="1440" w:left="1440" w:header="709" w:footer="709" w:gutter="0"/>
          <w:cols w:space="708"/>
          <w:docGrid w:linePitch="360"/>
        </w:sectPr>
      </w:pPr>
    </w:p>
    <w:p w14:paraId="5E80A0F3" w14:textId="77777777" w:rsidR="00BE49FD" w:rsidRPr="00191CF5" w:rsidRDefault="00BE49FD" w:rsidP="00BE49FD">
      <w:pPr>
        <w:spacing w:line="360" w:lineRule="auto"/>
        <w:jc w:val="center"/>
        <w:rPr>
          <w:rFonts w:ascii="Garamond" w:hAnsi="Garamond"/>
          <w:b/>
          <w:sz w:val="24"/>
          <w:szCs w:val="24"/>
        </w:rPr>
      </w:pPr>
      <w:r w:rsidRPr="00191CF5">
        <w:rPr>
          <w:rFonts w:ascii="Garamond" w:hAnsi="Garamond"/>
          <w:b/>
          <w:sz w:val="24"/>
          <w:szCs w:val="24"/>
        </w:rPr>
        <w:lastRenderedPageBreak/>
        <w:t xml:space="preserve">Table </w:t>
      </w:r>
      <w:r>
        <w:rPr>
          <w:rFonts w:ascii="Garamond" w:hAnsi="Garamond"/>
          <w:b/>
          <w:sz w:val="24"/>
          <w:szCs w:val="24"/>
        </w:rPr>
        <w:t>8</w:t>
      </w:r>
      <w:r w:rsidRPr="00191CF5">
        <w:rPr>
          <w:rFonts w:ascii="Garamond" w:hAnsi="Garamond"/>
          <w:b/>
          <w:sz w:val="24"/>
          <w:szCs w:val="24"/>
        </w:rPr>
        <w:t>: Panel estimation for Fiscal policy impact</w:t>
      </w:r>
      <w:r>
        <w:rPr>
          <w:rFonts w:ascii="Garamond" w:hAnsi="Garamond"/>
          <w:b/>
          <w:sz w:val="24"/>
          <w:szCs w:val="24"/>
        </w:rPr>
        <w:t xml:space="preserve"> on individual firms</w:t>
      </w:r>
    </w:p>
    <w:tbl>
      <w:tblPr>
        <w:tblW w:w="557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5"/>
        <w:gridCol w:w="1126"/>
        <w:gridCol w:w="1231"/>
        <w:gridCol w:w="1062"/>
        <w:gridCol w:w="1062"/>
        <w:gridCol w:w="1126"/>
        <w:gridCol w:w="1231"/>
        <w:gridCol w:w="1062"/>
        <w:gridCol w:w="1062"/>
        <w:gridCol w:w="1127"/>
        <w:gridCol w:w="1232"/>
        <w:gridCol w:w="1062"/>
        <w:gridCol w:w="1062"/>
      </w:tblGrid>
      <w:tr w:rsidR="00BE49FD" w:rsidRPr="008A703F" w14:paraId="63A2E9D3" w14:textId="77777777" w:rsidTr="00B90008">
        <w:trPr>
          <w:trHeight w:val="300"/>
          <w:jc w:val="center"/>
        </w:trPr>
        <w:tc>
          <w:tcPr>
            <w:tcW w:w="743" w:type="pct"/>
            <w:shd w:val="clear" w:color="auto" w:fill="auto"/>
            <w:noWrap/>
            <w:vAlign w:val="bottom"/>
          </w:tcPr>
          <w:p w14:paraId="07AB8012" w14:textId="77777777" w:rsidR="00BE49FD" w:rsidRPr="002768EE" w:rsidRDefault="00BE49FD" w:rsidP="00B90008">
            <w:pPr>
              <w:spacing w:line="240" w:lineRule="auto"/>
              <w:contextualSpacing/>
              <w:rPr>
                <w:rFonts w:ascii="Garamond" w:hAnsi="Garamond"/>
                <w:color w:val="000000"/>
              </w:rPr>
            </w:pPr>
          </w:p>
        </w:tc>
        <w:tc>
          <w:tcPr>
            <w:tcW w:w="1419" w:type="pct"/>
            <w:gridSpan w:val="4"/>
            <w:shd w:val="clear" w:color="auto" w:fill="auto"/>
            <w:noWrap/>
            <w:vAlign w:val="bottom"/>
          </w:tcPr>
          <w:p w14:paraId="595CD455" w14:textId="77777777" w:rsidR="00BE49FD" w:rsidRPr="002768EE" w:rsidRDefault="00BE49FD" w:rsidP="00B90008">
            <w:pPr>
              <w:spacing w:line="240" w:lineRule="auto"/>
              <w:contextualSpacing/>
              <w:jc w:val="center"/>
              <w:rPr>
                <w:rFonts w:ascii="Garamond" w:hAnsi="Garamond"/>
                <w:b/>
                <w:color w:val="000000"/>
              </w:rPr>
            </w:pPr>
            <w:r w:rsidRPr="002768EE">
              <w:rPr>
                <w:rFonts w:ascii="Garamond" w:hAnsi="Garamond"/>
                <w:b/>
                <w:color w:val="000000"/>
              </w:rPr>
              <w:t>Government Expenditure</w:t>
            </w:r>
          </w:p>
        </w:tc>
        <w:tc>
          <w:tcPr>
            <w:tcW w:w="1419" w:type="pct"/>
            <w:gridSpan w:val="4"/>
            <w:shd w:val="clear" w:color="auto" w:fill="auto"/>
            <w:noWrap/>
            <w:vAlign w:val="bottom"/>
          </w:tcPr>
          <w:p w14:paraId="594A97A5" w14:textId="77777777" w:rsidR="00BE49FD" w:rsidRPr="002768EE" w:rsidRDefault="00BE49FD" w:rsidP="00B90008">
            <w:pPr>
              <w:spacing w:line="240" w:lineRule="auto"/>
              <w:contextualSpacing/>
              <w:jc w:val="center"/>
              <w:rPr>
                <w:rFonts w:ascii="Garamond" w:hAnsi="Garamond"/>
                <w:b/>
                <w:color w:val="000000"/>
              </w:rPr>
            </w:pPr>
            <w:r w:rsidRPr="002768EE">
              <w:rPr>
                <w:rFonts w:ascii="Garamond" w:hAnsi="Garamond"/>
                <w:b/>
                <w:color w:val="000000"/>
              </w:rPr>
              <w:t>Government Borrowing</w:t>
            </w:r>
          </w:p>
        </w:tc>
        <w:tc>
          <w:tcPr>
            <w:tcW w:w="1419" w:type="pct"/>
            <w:gridSpan w:val="4"/>
            <w:shd w:val="clear" w:color="auto" w:fill="auto"/>
            <w:noWrap/>
            <w:vAlign w:val="bottom"/>
          </w:tcPr>
          <w:p w14:paraId="1DA87BD2" w14:textId="77777777" w:rsidR="00BE49FD" w:rsidRPr="002768EE" w:rsidRDefault="00BE49FD" w:rsidP="00B90008">
            <w:pPr>
              <w:spacing w:line="240" w:lineRule="auto"/>
              <w:contextualSpacing/>
              <w:jc w:val="center"/>
              <w:rPr>
                <w:rFonts w:ascii="Garamond" w:hAnsi="Garamond"/>
                <w:b/>
                <w:color w:val="000000"/>
              </w:rPr>
            </w:pPr>
            <w:r w:rsidRPr="002768EE">
              <w:rPr>
                <w:rFonts w:ascii="Garamond" w:hAnsi="Garamond"/>
                <w:b/>
                <w:color w:val="000000"/>
              </w:rPr>
              <w:t>Private Borrowing</w:t>
            </w:r>
          </w:p>
        </w:tc>
      </w:tr>
      <w:tr w:rsidR="00BE49FD" w:rsidRPr="008A703F" w14:paraId="5DDAA84E" w14:textId="77777777" w:rsidTr="00B90008">
        <w:trPr>
          <w:trHeight w:val="300"/>
          <w:jc w:val="center"/>
        </w:trPr>
        <w:tc>
          <w:tcPr>
            <w:tcW w:w="743" w:type="pct"/>
            <w:shd w:val="clear" w:color="auto" w:fill="auto"/>
            <w:noWrap/>
            <w:vAlign w:val="bottom"/>
          </w:tcPr>
          <w:p w14:paraId="7BF128E1" w14:textId="77777777" w:rsidR="00BE49FD" w:rsidRPr="002768EE" w:rsidRDefault="00BE49FD" w:rsidP="00B90008">
            <w:pPr>
              <w:spacing w:line="240" w:lineRule="auto"/>
              <w:contextualSpacing/>
              <w:rPr>
                <w:rFonts w:ascii="Garamond" w:hAnsi="Garamond"/>
                <w:color w:val="000000"/>
              </w:rPr>
            </w:pPr>
          </w:p>
        </w:tc>
        <w:tc>
          <w:tcPr>
            <w:tcW w:w="1419" w:type="pct"/>
            <w:gridSpan w:val="4"/>
            <w:shd w:val="clear" w:color="auto" w:fill="auto"/>
            <w:noWrap/>
            <w:vAlign w:val="bottom"/>
          </w:tcPr>
          <w:p w14:paraId="6DBA28C9" w14:textId="77777777" w:rsidR="00BE49FD" w:rsidRPr="002768EE" w:rsidRDefault="00BE49FD" w:rsidP="00B90008">
            <w:pPr>
              <w:spacing w:line="240" w:lineRule="auto"/>
              <w:contextualSpacing/>
              <w:jc w:val="center"/>
              <w:rPr>
                <w:rFonts w:ascii="Garamond" w:hAnsi="Garamond"/>
                <w:color w:val="000000"/>
              </w:rPr>
            </w:pPr>
          </w:p>
        </w:tc>
        <w:tc>
          <w:tcPr>
            <w:tcW w:w="1419" w:type="pct"/>
            <w:gridSpan w:val="4"/>
            <w:shd w:val="clear" w:color="auto" w:fill="auto"/>
            <w:noWrap/>
            <w:vAlign w:val="bottom"/>
          </w:tcPr>
          <w:p w14:paraId="19BB9A56" w14:textId="77777777" w:rsidR="00BE49FD" w:rsidRPr="002768EE" w:rsidRDefault="00BE49FD" w:rsidP="00B90008">
            <w:pPr>
              <w:spacing w:line="240" w:lineRule="auto"/>
              <w:contextualSpacing/>
              <w:jc w:val="center"/>
              <w:rPr>
                <w:rFonts w:ascii="Garamond" w:hAnsi="Garamond"/>
                <w:color w:val="000000"/>
              </w:rPr>
            </w:pPr>
          </w:p>
        </w:tc>
        <w:tc>
          <w:tcPr>
            <w:tcW w:w="1419" w:type="pct"/>
            <w:gridSpan w:val="4"/>
            <w:shd w:val="clear" w:color="auto" w:fill="auto"/>
            <w:noWrap/>
            <w:vAlign w:val="bottom"/>
          </w:tcPr>
          <w:p w14:paraId="4D1C9DB3" w14:textId="77777777" w:rsidR="00BE49FD" w:rsidRPr="002768EE" w:rsidRDefault="00BE49FD" w:rsidP="00B90008">
            <w:pPr>
              <w:spacing w:line="240" w:lineRule="auto"/>
              <w:contextualSpacing/>
              <w:jc w:val="center"/>
              <w:rPr>
                <w:rFonts w:ascii="Garamond" w:hAnsi="Garamond"/>
                <w:color w:val="000000"/>
              </w:rPr>
            </w:pPr>
          </w:p>
        </w:tc>
      </w:tr>
      <w:tr w:rsidR="00BE49FD" w:rsidRPr="008A703F" w14:paraId="4ED1FE5F" w14:textId="77777777" w:rsidTr="00B90008">
        <w:trPr>
          <w:trHeight w:val="300"/>
          <w:jc w:val="center"/>
        </w:trPr>
        <w:tc>
          <w:tcPr>
            <w:tcW w:w="743" w:type="pct"/>
            <w:shd w:val="clear" w:color="auto" w:fill="auto"/>
            <w:noWrap/>
            <w:vAlign w:val="bottom"/>
          </w:tcPr>
          <w:p w14:paraId="28778EBB" w14:textId="77777777" w:rsidR="00BE49FD" w:rsidRPr="002768EE" w:rsidRDefault="00BE49FD" w:rsidP="00B90008">
            <w:pPr>
              <w:spacing w:line="240" w:lineRule="auto"/>
              <w:contextualSpacing/>
              <w:jc w:val="center"/>
              <w:rPr>
                <w:rFonts w:ascii="Garamond" w:hAnsi="Garamond"/>
                <w:color w:val="000000"/>
              </w:rPr>
            </w:pPr>
          </w:p>
        </w:tc>
        <w:tc>
          <w:tcPr>
            <w:tcW w:w="357" w:type="pct"/>
            <w:shd w:val="clear" w:color="auto" w:fill="auto"/>
            <w:noWrap/>
            <w:vAlign w:val="bottom"/>
          </w:tcPr>
          <w:p w14:paraId="0DAB5FF9"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TR</w:t>
            </w:r>
          </w:p>
        </w:tc>
        <w:tc>
          <w:tcPr>
            <w:tcW w:w="390" w:type="pct"/>
            <w:shd w:val="clear" w:color="auto" w:fill="auto"/>
            <w:noWrap/>
            <w:vAlign w:val="bottom"/>
          </w:tcPr>
          <w:p w14:paraId="028D843D"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TV</w:t>
            </w:r>
          </w:p>
        </w:tc>
        <w:tc>
          <w:tcPr>
            <w:tcW w:w="336" w:type="pct"/>
            <w:shd w:val="clear" w:color="auto" w:fill="auto"/>
            <w:noWrap/>
            <w:vAlign w:val="bottom"/>
          </w:tcPr>
          <w:p w14:paraId="0A16D528"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ILLIQ</w:t>
            </w:r>
          </w:p>
        </w:tc>
        <w:tc>
          <w:tcPr>
            <w:tcW w:w="336" w:type="pct"/>
            <w:shd w:val="clear" w:color="auto" w:fill="auto"/>
            <w:noWrap/>
            <w:vAlign w:val="bottom"/>
          </w:tcPr>
          <w:p w14:paraId="28FC0D77"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TPI</w:t>
            </w:r>
          </w:p>
        </w:tc>
        <w:tc>
          <w:tcPr>
            <w:tcW w:w="357" w:type="pct"/>
            <w:shd w:val="clear" w:color="auto" w:fill="auto"/>
            <w:noWrap/>
            <w:vAlign w:val="bottom"/>
          </w:tcPr>
          <w:p w14:paraId="689D65F6"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TR</w:t>
            </w:r>
          </w:p>
        </w:tc>
        <w:tc>
          <w:tcPr>
            <w:tcW w:w="390" w:type="pct"/>
            <w:shd w:val="clear" w:color="auto" w:fill="auto"/>
            <w:noWrap/>
            <w:vAlign w:val="bottom"/>
          </w:tcPr>
          <w:p w14:paraId="795D73DB"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TV</w:t>
            </w:r>
          </w:p>
        </w:tc>
        <w:tc>
          <w:tcPr>
            <w:tcW w:w="336" w:type="pct"/>
            <w:shd w:val="clear" w:color="auto" w:fill="auto"/>
            <w:noWrap/>
            <w:vAlign w:val="bottom"/>
          </w:tcPr>
          <w:p w14:paraId="113286DB"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ILLIQ</w:t>
            </w:r>
          </w:p>
        </w:tc>
        <w:tc>
          <w:tcPr>
            <w:tcW w:w="336" w:type="pct"/>
            <w:shd w:val="clear" w:color="auto" w:fill="auto"/>
            <w:noWrap/>
            <w:vAlign w:val="bottom"/>
          </w:tcPr>
          <w:p w14:paraId="5A6C416B"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TPI</w:t>
            </w:r>
          </w:p>
        </w:tc>
        <w:tc>
          <w:tcPr>
            <w:tcW w:w="357" w:type="pct"/>
            <w:shd w:val="clear" w:color="auto" w:fill="auto"/>
            <w:noWrap/>
            <w:vAlign w:val="bottom"/>
          </w:tcPr>
          <w:p w14:paraId="0616991D"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TR</w:t>
            </w:r>
          </w:p>
        </w:tc>
        <w:tc>
          <w:tcPr>
            <w:tcW w:w="390" w:type="pct"/>
            <w:shd w:val="clear" w:color="auto" w:fill="auto"/>
            <w:noWrap/>
            <w:vAlign w:val="bottom"/>
          </w:tcPr>
          <w:p w14:paraId="2BFCAEF3"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TV</w:t>
            </w:r>
          </w:p>
        </w:tc>
        <w:tc>
          <w:tcPr>
            <w:tcW w:w="336" w:type="pct"/>
            <w:shd w:val="clear" w:color="auto" w:fill="auto"/>
            <w:noWrap/>
            <w:vAlign w:val="bottom"/>
          </w:tcPr>
          <w:p w14:paraId="17D069B6"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ILLIQ</w:t>
            </w:r>
          </w:p>
        </w:tc>
        <w:tc>
          <w:tcPr>
            <w:tcW w:w="336" w:type="pct"/>
            <w:shd w:val="clear" w:color="auto" w:fill="auto"/>
            <w:noWrap/>
            <w:vAlign w:val="bottom"/>
          </w:tcPr>
          <w:p w14:paraId="31741EE5" w14:textId="77777777" w:rsidR="00BE49FD" w:rsidRPr="002768EE" w:rsidRDefault="00BE49FD" w:rsidP="00B90008">
            <w:pPr>
              <w:spacing w:line="240" w:lineRule="auto"/>
              <w:contextualSpacing/>
              <w:jc w:val="center"/>
              <w:rPr>
                <w:rFonts w:ascii="Garamond" w:hAnsi="Garamond"/>
                <w:color w:val="000000"/>
              </w:rPr>
            </w:pPr>
            <w:r w:rsidRPr="002768EE">
              <w:rPr>
                <w:rFonts w:ascii="Garamond" w:hAnsi="Garamond"/>
                <w:color w:val="000000"/>
              </w:rPr>
              <w:t>TPI</w:t>
            </w:r>
          </w:p>
        </w:tc>
      </w:tr>
      <w:tr w:rsidR="00BE49FD" w:rsidRPr="008A703F" w14:paraId="1762C219" w14:textId="77777777" w:rsidTr="00B90008">
        <w:trPr>
          <w:trHeight w:val="300"/>
          <w:jc w:val="center"/>
        </w:trPr>
        <w:tc>
          <w:tcPr>
            <w:tcW w:w="743" w:type="pct"/>
            <w:shd w:val="clear" w:color="auto" w:fill="auto"/>
            <w:noWrap/>
            <w:vAlign w:val="bottom"/>
          </w:tcPr>
          <w:p w14:paraId="691871C7" w14:textId="77777777" w:rsidR="00BE49FD" w:rsidRPr="002768EE" w:rsidRDefault="00BE49FD" w:rsidP="00B90008">
            <w:pPr>
              <w:spacing w:line="240" w:lineRule="auto"/>
              <w:contextualSpacing/>
              <w:jc w:val="center"/>
              <w:rPr>
                <w:rFonts w:ascii="Garamond" w:hAnsi="Garamond"/>
                <w:color w:val="000000"/>
              </w:rPr>
            </w:pPr>
          </w:p>
        </w:tc>
        <w:tc>
          <w:tcPr>
            <w:tcW w:w="357" w:type="pct"/>
            <w:shd w:val="clear" w:color="auto" w:fill="auto"/>
            <w:noWrap/>
            <w:vAlign w:val="bottom"/>
          </w:tcPr>
          <w:p w14:paraId="69D1D561" w14:textId="77777777" w:rsidR="00BE49FD" w:rsidRPr="002768EE" w:rsidRDefault="00BE49FD" w:rsidP="00B90008">
            <w:pPr>
              <w:spacing w:line="240" w:lineRule="auto"/>
              <w:contextualSpacing/>
              <w:jc w:val="center"/>
              <w:rPr>
                <w:rFonts w:ascii="Garamond" w:hAnsi="Garamond"/>
                <w:color w:val="000000"/>
              </w:rPr>
            </w:pPr>
          </w:p>
        </w:tc>
        <w:tc>
          <w:tcPr>
            <w:tcW w:w="390" w:type="pct"/>
            <w:shd w:val="clear" w:color="auto" w:fill="auto"/>
            <w:noWrap/>
            <w:vAlign w:val="bottom"/>
          </w:tcPr>
          <w:p w14:paraId="31F3CE45"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713CF359"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4A5085B5" w14:textId="77777777" w:rsidR="00BE49FD" w:rsidRPr="002768EE" w:rsidRDefault="00BE49FD" w:rsidP="00B90008">
            <w:pPr>
              <w:spacing w:line="240" w:lineRule="auto"/>
              <w:contextualSpacing/>
              <w:jc w:val="center"/>
              <w:rPr>
                <w:rFonts w:ascii="Garamond" w:hAnsi="Garamond"/>
                <w:color w:val="000000"/>
              </w:rPr>
            </w:pPr>
          </w:p>
        </w:tc>
        <w:tc>
          <w:tcPr>
            <w:tcW w:w="357" w:type="pct"/>
            <w:shd w:val="clear" w:color="auto" w:fill="auto"/>
            <w:noWrap/>
            <w:vAlign w:val="bottom"/>
          </w:tcPr>
          <w:p w14:paraId="0E264BA5" w14:textId="77777777" w:rsidR="00BE49FD" w:rsidRPr="002768EE" w:rsidRDefault="00BE49FD" w:rsidP="00B90008">
            <w:pPr>
              <w:spacing w:line="240" w:lineRule="auto"/>
              <w:contextualSpacing/>
              <w:jc w:val="center"/>
              <w:rPr>
                <w:rFonts w:ascii="Garamond" w:hAnsi="Garamond"/>
                <w:color w:val="000000"/>
              </w:rPr>
            </w:pPr>
          </w:p>
        </w:tc>
        <w:tc>
          <w:tcPr>
            <w:tcW w:w="390" w:type="pct"/>
            <w:shd w:val="clear" w:color="auto" w:fill="auto"/>
            <w:noWrap/>
            <w:vAlign w:val="bottom"/>
          </w:tcPr>
          <w:p w14:paraId="6E30B914"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5E3920AF"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50A7D37B" w14:textId="77777777" w:rsidR="00BE49FD" w:rsidRPr="002768EE" w:rsidRDefault="00BE49FD" w:rsidP="00B90008">
            <w:pPr>
              <w:spacing w:line="240" w:lineRule="auto"/>
              <w:contextualSpacing/>
              <w:jc w:val="center"/>
              <w:rPr>
                <w:rFonts w:ascii="Garamond" w:hAnsi="Garamond"/>
                <w:color w:val="000000"/>
              </w:rPr>
            </w:pPr>
          </w:p>
        </w:tc>
        <w:tc>
          <w:tcPr>
            <w:tcW w:w="357" w:type="pct"/>
            <w:shd w:val="clear" w:color="auto" w:fill="auto"/>
            <w:noWrap/>
            <w:vAlign w:val="bottom"/>
          </w:tcPr>
          <w:p w14:paraId="516903D4" w14:textId="77777777" w:rsidR="00BE49FD" w:rsidRPr="002768EE" w:rsidRDefault="00BE49FD" w:rsidP="00B90008">
            <w:pPr>
              <w:spacing w:line="240" w:lineRule="auto"/>
              <w:contextualSpacing/>
              <w:jc w:val="center"/>
              <w:rPr>
                <w:rFonts w:ascii="Garamond" w:hAnsi="Garamond"/>
                <w:color w:val="000000"/>
              </w:rPr>
            </w:pPr>
          </w:p>
        </w:tc>
        <w:tc>
          <w:tcPr>
            <w:tcW w:w="390" w:type="pct"/>
            <w:shd w:val="clear" w:color="auto" w:fill="auto"/>
            <w:noWrap/>
            <w:vAlign w:val="bottom"/>
          </w:tcPr>
          <w:p w14:paraId="44C4B64E"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4992A374"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1995802B" w14:textId="77777777" w:rsidR="00BE49FD" w:rsidRPr="002768EE" w:rsidRDefault="00BE49FD" w:rsidP="00B90008">
            <w:pPr>
              <w:spacing w:line="240" w:lineRule="auto"/>
              <w:contextualSpacing/>
              <w:jc w:val="center"/>
              <w:rPr>
                <w:rFonts w:ascii="Garamond" w:hAnsi="Garamond"/>
                <w:color w:val="000000"/>
              </w:rPr>
            </w:pPr>
          </w:p>
        </w:tc>
      </w:tr>
      <w:tr w:rsidR="00BE49FD" w:rsidRPr="008A703F" w14:paraId="07FBB3C0" w14:textId="77777777" w:rsidTr="00B90008">
        <w:trPr>
          <w:trHeight w:val="300"/>
          <w:jc w:val="center"/>
        </w:trPr>
        <w:tc>
          <w:tcPr>
            <w:tcW w:w="743" w:type="pct"/>
            <w:shd w:val="clear" w:color="auto" w:fill="auto"/>
            <w:noWrap/>
            <w:vAlign w:val="center"/>
          </w:tcPr>
          <w:p w14:paraId="42BCEFB4"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Dependent variable</w:t>
            </w:r>
            <w:r w:rsidRPr="002768EE">
              <w:rPr>
                <w:rFonts w:ascii="Garamond" w:hAnsi="Garamond"/>
                <w:color w:val="000000"/>
                <w:vertAlign w:val="subscript"/>
              </w:rPr>
              <w:t>t-1</w:t>
            </w:r>
          </w:p>
        </w:tc>
        <w:tc>
          <w:tcPr>
            <w:tcW w:w="357" w:type="pct"/>
            <w:shd w:val="clear" w:color="auto" w:fill="auto"/>
            <w:noWrap/>
            <w:vAlign w:val="bottom"/>
          </w:tcPr>
          <w:p w14:paraId="6544B630" w14:textId="77777777" w:rsidR="00BE49FD" w:rsidRPr="008A703F" w:rsidRDefault="00BE49FD" w:rsidP="00B90008">
            <w:pPr>
              <w:jc w:val="right"/>
              <w:rPr>
                <w:rFonts w:ascii="Garamond" w:hAnsi="Garamond"/>
                <w:color w:val="000000"/>
              </w:rPr>
            </w:pPr>
            <w:r w:rsidRPr="008A703F">
              <w:rPr>
                <w:rFonts w:ascii="Garamond" w:hAnsi="Garamond"/>
                <w:color w:val="000000"/>
              </w:rPr>
              <w:t>0.6299***</w:t>
            </w:r>
          </w:p>
        </w:tc>
        <w:tc>
          <w:tcPr>
            <w:tcW w:w="390" w:type="pct"/>
            <w:shd w:val="clear" w:color="auto" w:fill="auto"/>
            <w:noWrap/>
            <w:vAlign w:val="bottom"/>
          </w:tcPr>
          <w:p w14:paraId="180E3B90" w14:textId="77777777" w:rsidR="00BE49FD" w:rsidRPr="008A703F" w:rsidRDefault="00BE49FD" w:rsidP="00B90008">
            <w:pPr>
              <w:jc w:val="right"/>
              <w:rPr>
                <w:rFonts w:ascii="Garamond" w:hAnsi="Garamond"/>
                <w:color w:val="000000"/>
              </w:rPr>
            </w:pPr>
            <w:r w:rsidRPr="008A703F">
              <w:rPr>
                <w:rFonts w:ascii="Garamond" w:hAnsi="Garamond"/>
                <w:color w:val="000000"/>
              </w:rPr>
              <w:t>0.7437***</w:t>
            </w:r>
          </w:p>
        </w:tc>
        <w:tc>
          <w:tcPr>
            <w:tcW w:w="336" w:type="pct"/>
            <w:shd w:val="clear" w:color="auto" w:fill="auto"/>
            <w:noWrap/>
            <w:vAlign w:val="bottom"/>
          </w:tcPr>
          <w:p w14:paraId="750FBAE8" w14:textId="77777777" w:rsidR="00BE49FD" w:rsidRPr="008A703F" w:rsidRDefault="00BE49FD" w:rsidP="00B90008">
            <w:pPr>
              <w:jc w:val="right"/>
              <w:rPr>
                <w:rFonts w:ascii="Garamond" w:hAnsi="Garamond"/>
                <w:color w:val="000000"/>
              </w:rPr>
            </w:pPr>
            <w:r w:rsidRPr="008A703F">
              <w:rPr>
                <w:rFonts w:ascii="Garamond" w:hAnsi="Garamond"/>
                <w:color w:val="000000"/>
              </w:rPr>
              <w:t>0.2841***</w:t>
            </w:r>
          </w:p>
        </w:tc>
        <w:tc>
          <w:tcPr>
            <w:tcW w:w="336" w:type="pct"/>
            <w:shd w:val="clear" w:color="auto" w:fill="auto"/>
            <w:noWrap/>
            <w:vAlign w:val="bottom"/>
          </w:tcPr>
          <w:p w14:paraId="77824DF0" w14:textId="77777777" w:rsidR="00BE49FD" w:rsidRPr="008A703F" w:rsidRDefault="00BE49FD" w:rsidP="00B90008">
            <w:pPr>
              <w:jc w:val="right"/>
              <w:rPr>
                <w:rFonts w:ascii="Garamond" w:hAnsi="Garamond"/>
                <w:color w:val="000000"/>
              </w:rPr>
            </w:pPr>
            <w:r w:rsidRPr="008A703F">
              <w:rPr>
                <w:rFonts w:ascii="Garamond" w:hAnsi="Garamond"/>
                <w:color w:val="000000"/>
              </w:rPr>
              <w:t>0.3495***</w:t>
            </w:r>
          </w:p>
        </w:tc>
        <w:tc>
          <w:tcPr>
            <w:tcW w:w="357" w:type="pct"/>
            <w:shd w:val="clear" w:color="auto" w:fill="auto"/>
            <w:noWrap/>
            <w:vAlign w:val="bottom"/>
          </w:tcPr>
          <w:p w14:paraId="5CF4F389" w14:textId="77777777" w:rsidR="00BE49FD" w:rsidRPr="008A703F" w:rsidRDefault="00BE49FD" w:rsidP="00B90008">
            <w:pPr>
              <w:jc w:val="right"/>
              <w:rPr>
                <w:rFonts w:ascii="Garamond" w:hAnsi="Garamond"/>
                <w:color w:val="000000"/>
              </w:rPr>
            </w:pPr>
            <w:r w:rsidRPr="008A703F">
              <w:rPr>
                <w:rFonts w:ascii="Garamond" w:hAnsi="Garamond"/>
                <w:color w:val="000000"/>
              </w:rPr>
              <w:t>0.6406***</w:t>
            </w:r>
          </w:p>
        </w:tc>
        <w:tc>
          <w:tcPr>
            <w:tcW w:w="390" w:type="pct"/>
            <w:shd w:val="clear" w:color="auto" w:fill="auto"/>
            <w:noWrap/>
            <w:vAlign w:val="bottom"/>
          </w:tcPr>
          <w:p w14:paraId="3C2FB8A5" w14:textId="77777777" w:rsidR="00BE49FD" w:rsidRPr="008A703F" w:rsidRDefault="00BE49FD" w:rsidP="00B90008">
            <w:pPr>
              <w:jc w:val="right"/>
              <w:rPr>
                <w:rFonts w:ascii="Garamond" w:hAnsi="Garamond"/>
                <w:color w:val="000000"/>
              </w:rPr>
            </w:pPr>
            <w:r w:rsidRPr="008A703F">
              <w:rPr>
                <w:rFonts w:ascii="Garamond" w:hAnsi="Garamond"/>
                <w:color w:val="000000"/>
              </w:rPr>
              <w:t>0.7451***</w:t>
            </w:r>
          </w:p>
        </w:tc>
        <w:tc>
          <w:tcPr>
            <w:tcW w:w="336" w:type="pct"/>
            <w:shd w:val="clear" w:color="auto" w:fill="auto"/>
            <w:noWrap/>
            <w:vAlign w:val="bottom"/>
          </w:tcPr>
          <w:p w14:paraId="0DCB5EAC" w14:textId="77777777" w:rsidR="00BE49FD" w:rsidRPr="008A703F" w:rsidRDefault="00BE49FD" w:rsidP="00B90008">
            <w:pPr>
              <w:jc w:val="right"/>
              <w:rPr>
                <w:rFonts w:ascii="Garamond" w:hAnsi="Garamond"/>
                <w:color w:val="000000"/>
              </w:rPr>
            </w:pPr>
            <w:r w:rsidRPr="008A703F">
              <w:rPr>
                <w:rFonts w:ascii="Garamond" w:hAnsi="Garamond"/>
                <w:color w:val="000000"/>
              </w:rPr>
              <w:t>0.5774***</w:t>
            </w:r>
          </w:p>
        </w:tc>
        <w:tc>
          <w:tcPr>
            <w:tcW w:w="336" w:type="pct"/>
            <w:shd w:val="clear" w:color="auto" w:fill="auto"/>
            <w:noWrap/>
            <w:vAlign w:val="bottom"/>
          </w:tcPr>
          <w:p w14:paraId="4DFB9FF6" w14:textId="77777777" w:rsidR="00BE49FD" w:rsidRPr="008A703F" w:rsidRDefault="00BE49FD" w:rsidP="00B90008">
            <w:pPr>
              <w:jc w:val="right"/>
              <w:rPr>
                <w:rFonts w:ascii="Garamond" w:hAnsi="Garamond"/>
                <w:color w:val="000000"/>
              </w:rPr>
            </w:pPr>
            <w:r w:rsidRPr="008A703F">
              <w:rPr>
                <w:rFonts w:ascii="Garamond" w:hAnsi="Garamond"/>
                <w:color w:val="000000"/>
              </w:rPr>
              <w:t>0.3479***</w:t>
            </w:r>
          </w:p>
        </w:tc>
        <w:tc>
          <w:tcPr>
            <w:tcW w:w="357" w:type="pct"/>
            <w:shd w:val="clear" w:color="auto" w:fill="auto"/>
            <w:noWrap/>
            <w:vAlign w:val="bottom"/>
          </w:tcPr>
          <w:p w14:paraId="4934720A" w14:textId="77777777" w:rsidR="00BE49FD" w:rsidRPr="008A703F" w:rsidRDefault="00BE49FD" w:rsidP="00B90008">
            <w:pPr>
              <w:jc w:val="right"/>
              <w:rPr>
                <w:rFonts w:ascii="Garamond" w:hAnsi="Garamond"/>
                <w:color w:val="000000"/>
              </w:rPr>
            </w:pPr>
            <w:r w:rsidRPr="008A703F">
              <w:rPr>
                <w:rFonts w:ascii="Garamond" w:hAnsi="Garamond"/>
                <w:color w:val="000000"/>
              </w:rPr>
              <w:t>0.6296***</w:t>
            </w:r>
          </w:p>
        </w:tc>
        <w:tc>
          <w:tcPr>
            <w:tcW w:w="390" w:type="pct"/>
            <w:shd w:val="clear" w:color="auto" w:fill="auto"/>
            <w:noWrap/>
            <w:vAlign w:val="bottom"/>
          </w:tcPr>
          <w:p w14:paraId="7C07C305" w14:textId="77777777" w:rsidR="00BE49FD" w:rsidRPr="008A703F" w:rsidRDefault="00BE49FD" w:rsidP="00B90008">
            <w:pPr>
              <w:jc w:val="right"/>
              <w:rPr>
                <w:rFonts w:ascii="Garamond" w:hAnsi="Garamond"/>
                <w:color w:val="000000"/>
              </w:rPr>
            </w:pPr>
            <w:r w:rsidRPr="008A703F">
              <w:rPr>
                <w:rFonts w:ascii="Garamond" w:hAnsi="Garamond"/>
                <w:color w:val="000000"/>
              </w:rPr>
              <w:t>0.7444***</w:t>
            </w:r>
          </w:p>
        </w:tc>
        <w:tc>
          <w:tcPr>
            <w:tcW w:w="336" w:type="pct"/>
            <w:shd w:val="clear" w:color="auto" w:fill="auto"/>
            <w:noWrap/>
            <w:vAlign w:val="bottom"/>
          </w:tcPr>
          <w:p w14:paraId="50D18B67" w14:textId="77777777" w:rsidR="00BE49FD" w:rsidRPr="008A703F" w:rsidRDefault="00BE49FD" w:rsidP="00B90008">
            <w:pPr>
              <w:jc w:val="right"/>
              <w:rPr>
                <w:rFonts w:ascii="Garamond" w:hAnsi="Garamond"/>
                <w:color w:val="000000"/>
              </w:rPr>
            </w:pPr>
            <w:r w:rsidRPr="008A703F">
              <w:rPr>
                <w:rFonts w:ascii="Garamond" w:hAnsi="Garamond"/>
                <w:color w:val="000000"/>
              </w:rPr>
              <w:t>0.2836***</w:t>
            </w:r>
          </w:p>
        </w:tc>
        <w:tc>
          <w:tcPr>
            <w:tcW w:w="336" w:type="pct"/>
            <w:shd w:val="clear" w:color="auto" w:fill="auto"/>
            <w:noWrap/>
            <w:vAlign w:val="bottom"/>
          </w:tcPr>
          <w:p w14:paraId="11DDE089" w14:textId="77777777" w:rsidR="00BE49FD" w:rsidRPr="008A703F" w:rsidRDefault="00BE49FD" w:rsidP="00B90008">
            <w:pPr>
              <w:jc w:val="right"/>
              <w:rPr>
                <w:rFonts w:ascii="Garamond" w:hAnsi="Garamond"/>
                <w:color w:val="000000"/>
              </w:rPr>
            </w:pPr>
            <w:r w:rsidRPr="008A703F">
              <w:rPr>
                <w:rFonts w:ascii="Garamond" w:hAnsi="Garamond"/>
                <w:color w:val="000000"/>
              </w:rPr>
              <w:t>0.3492***</w:t>
            </w:r>
          </w:p>
        </w:tc>
      </w:tr>
      <w:tr w:rsidR="00BE49FD" w:rsidRPr="008A703F" w14:paraId="2F307DC3" w14:textId="77777777" w:rsidTr="00B90008">
        <w:trPr>
          <w:trHeight w:val="300"/>
          <w:jc w:val="center"/>
        </w:trPr>
        <w:tc>
          <w:tcPr>
            <w:tcW w:w="743" w:type="pct"/>
            <w:shd w:val="clear" w:color="auto" w:fill="auto"/>
            <w:noWrap/>
            <w:vAlign w:val="center"/>
          </w:tcPr>
          <w:p w14:paraId="5E2B8744"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Fiscal policy</w:t>
            </w:r>
            <w:r w:rsidRPr="002768EE">
              <w:rPr>
                <w:rFonts w:ascii="Garamond" w:hAnsi="Garamond"/>
                <w:color w:val="000000"/>
                <w:vertAlign w:val="subscript"/>
              </w:rPr>
              <w:t>t-1</w:t>
            </w:r>
          </w:p>
        </w:tc>
        <w:tc>
          <w:tcPr>
            <w:tcW w:w="357" w:type="pct"/>
            <w:shd w:val="clear" w:color="auto" w:fill="auto"/>
            <w:noWrap/>
            <w:vAlign w:val="bottom"/>
          </w:tcPr>
          <w:p w14:paraId="46F13696" w14:textId="77777777" w:rsidR="00BE49FD" w:rsidRPr="008A703F" w:rsidRDefault="00BE49FD" w:rsidP="00B90008">
            <w:pPr>
              <w:jc w:val="right"/>
              <w:rPr>
                <w:rFonts w:ascii="Garamond" w:hAnsi="Garamond"/>
                <w:color w:val="000000"/>
              </w:rPr>
            </w:pPr>
            <w:r w:rsidRPr="008A703F">
              <w:rPr>
                <w:rFonts w:ascii="Garamond" w:hAnsi="Garamond"/>
                <w:color w:val="000000"/>
              </w:rPr>
              <w:t>-0.0036</w:t>
            </w:r>
          </w:p>
        </w:tc>
        <w:tc>
          <w:tcPr>
            <w:tcW w:w="390" w:type="pct"/>
            <w:shd w:val="clear" w:color="auto" w:fill="auto"/>
            <w:noWrap/>
            <w:vAlign w:val="bottom"/>
          </w:tcPr>
          <w:p w14:paraId="2EC7EE23" w14:textId="77777777" w:rsidR="00BE49FD" w:rsidRPr="008A703F" w:rsidRDefault="00BE49FD" w:rsidP="00B90008">
            <w:pPr>
              <w:jc w:val="right"/>
              <w:rPr>
                <w:rFonts w:ascii="Garamond" w:hAnsi="Garamond"/>
                <w:color w:val="000000"/>
              </w:rPr>
            </w:pPr>
            <w:r w:rsidRPr="008A703F">
              <w:rPr>
                <w:rFonts w:ascii="Garamond" w:hAnsi="Garamond"/>
                <w:color w:val="000000"/>
              </w:rPr>
              <w:t>0.0203**</w:t>
            </w:r>
          </w:p>
        </w:tc>
        <w:tc>
          <w:tcPr>
            <w:tcW w:w="336" w:type="pct"/>
            <w:shd w:val="clear" w:color="auto" w:fill="auto"/>
            <w:noWrap/>
            <w:vAlign w:val="bottom"/>
          </w:tcPr>
          <w:p w14:paraId="47077FCB" w14:textId="77777777" w:rsidR="00BE49FD" w:rsidRPr="008A703F" w:rsidRDefault="00BE49FD" w:rsidP="00B90008">
            <w:pPr>
              <w:jc w:val="right"/>
              <w:rPr>
                <w:rFonts w:ascii="Garamond" w:hAnsi="Garamond"/>
                <w:color w:val="000000"/>
              </w:rPr>
            </w:pPr>
            <w:r w:rsidRPr="008A703F">
              <w:rPr>
                <w:rFonts w:ascii="Garamond" w:hAnsi="Garamond"/>
                <w:color w:val="000000"/>
              </w:rPr>
              <w:t>-0.0002</w:t>
            </w:r>
          </w:p>
        </w:tc>
        <w:tc>
          <w:tcPr>
            <w:tcW w:w="336" w:type="pct"/>
            <w:shd w:val="clear" w:color="auto" w:fill="auto"/>
            <w:noWrap/>
            <w:vAlign w:val="bottom"/>
          </w:tcPr>
          <w:p w14:paraId="05BE68BD" w14:textId="77777777" w:rsidR="00BE49FD" w:rsidRPr="008A703F" w:rsidRDefault="00BE49FD" w:rsidP="00B90008">
            <w:pPr>
              <w:jc w:val="right"/>
              <w:rPr>
                <w:rFonts w:ascii="Garamond" w:hAnsi="Garamond"/>
                <w:color w:val="000000"/>
              </w:rPr>
            </w:pPr>
            <w:r w:rsidRPr="008A703F">
              <w:rPr>
                <w:rFonts w:ascii="Garamond" w:hAnsi="Garamond"/>
                <w:color w:val="000000"/>
              </w:rPr>
              <w:t>-0.0026</w:t>
            </w:r>
          </w:p>
        </w:tc>
        <w:tc>
          <w:tcPr>
            <w:tcW w:w="357" w:type="pct"/>
            <w:shd w:val="clear" w:color="auto" w:fill="auto"/>
            <w:noWrap/>
            <w:vAlign w:val="bottom"/>
          </w:tcPr>
          <w:p w14:paraId="74C4D3E7" w14:textId="77777777" w:rsidR="00BE49FD" w:rsidRPr="008A703F" w:rsidRDefault="00BE49FD" w:rsidP="00B90008">
            <w:pPr>
              <w:jc w:val="right"/>
              <w:rPr>
                <w:rFonts w:ascii="Garamond" w:hAnsi="Garamond"/>
                <w:color w:val="000000"/>
              </w:rPr>
            </w:pPr>
            <w:r w:rsidRPr="008A703F">
              <w:rPr>
                <w:rFonts w:ascii="Garamond" w:hAnsi="Garamond"/>
                <w:color w:val="000000"/>
              </w:rPr>
              <w:t>-0.0034</w:t>
            </w:r>
          </w:p>
        </w:tc>
        <w:tc>
          <w:tcPr>
            <w:tcW w:w="390" w:type="pct"/>
            <w:shd w:val="clear" w:color="auto" w:fill="auto"/>
            <w:noWrap/>
            <w:vAlign w:val="bottom"/>
          </w:tcPr>
          <w:p w14:paraId="3E023C6E" w14:textId="77777777" w:rsidR="00BE49FD" w:rsidRPr="008A703F" w:rsidRDefault="00BE49FD" w:rsidP="00B90008">
            <w:pPr>
              <w:jc w:val="right"/>
              <w:rPr>
                <w:rFonts w:ascii="Garamond" w:hAnsi="Garamond"/>
                <w:color w:val="000000"/>
              </w:rPr>
            </w:pPr>
            <w:r w:rsidRPr="008A703F">
              <w:rPr>
                <w:rFonts w:ascii="Garamond" w:hAnsi="Garamond"/>
                <w:color w:val="000000"/>
              </w:rPr>
              <w:t>0.0065**</w:t>
            </w:r>
          </w:p>
        </w:tc>
        <w:tc>
          <w:tcPr>
            <w:tcW w:w="336" w:type="pct"/>
            <w:shd w:val="clear" w:color="auto" w:fill="auto"/>
            <w:noWrap/>
            <w:vAlign w:val="bottom"/>
          </w:tcPr>
          <w:p w14:paraId="76D51702" w14:textId="77777777" w:rsidR="00BE49FD" w:rsidRPr="008A703F" w:rsidRDefault="00BE49FD" w:rsidP="00B90008">
            <w:pPr>
              <w:jc w:val="right"/>
              <w:rPr>
                <w:rFonts w:ascii="Garamond" w:hAnsi="Garamond"/>
                <w:color w:val="000000"/>
              </w:rPr>
            </w:pPr>
            <w:r w:rsidRPr="008A703F">
              <w:rPr>
                <w:rFonts w:ascii="Garamond" w:hAnsi="Garamond"/>
                <w:color w:val="000000"/>
              </w:rPr>
              <w:t>0.0116</w:t>
            </w:r>
          </w:p>
        </w:tc>
        <w:tc>
          <w:tcPr>
            <w:tcW w:w="336" w:type="pct"/>
            <w:shd w:val="clear" w:color="auto" w:fill="auto"/>
            <w:noWrap/>
            <w:vAlign w:val="bottom"/>
          </w:tcPr>
          <w:p w14:paraId="67E099C4" w14:textId="77777777" w:rsidR="00BE49FD" w:rsidRPr="008A703F" w:rsidRDefault="00BE49FD" w:rsidP="00B90008">
            <w:pPr>
              <w:jc w:val="right"/>
              <w:rPr>
                <w:rFonts w:ascii="Garamond" w:hAnsi="Garamond"/>
                <w:color w:val="000000"/>
              </w:rPr>
            </w:pPr>
            <w:r w:rsidRPr="008A703F">
              <w:rPr>
                <w:rFonts w:ascii="Garamond" w:hAnsi="Garamond"/>
                <w:color w:val="000000"/>
              </w:rPr>
              <w:t>0.2832</w:t>
            </w:r>
          </w:p>
        </w:tc>
        <w:tc>
          <w:tcPr>
            <w:tcW w:w="357" w:type="pct"/>
            <w:shd w:val="clear" w:color="auto" w:fill="auto"/>
            <w:noWrap/>
            <w:vAlign w:val="bottom"/>
          </w:tcPr>
          <w:p w14:paraId="2E77DFBA" w14:textId="77777777" w:rsidR="00BE49FD" w:rsidRPr="008A703F" w:rsidRDefault="00BE49FD" w:rsidP="00B90008">
            <w:pPr>
              <w:jc w:val="right"/>
              <w:rPr>
                <w:rFonts w:ascii="Garamond" w:hAnsi="Garamond"/>
                <w:color w:val="000000"/>
              </w:rPr>
            </w:pPr>
            <w:r w:rsidRPr="008A703F">
              <w:rPr>
                <w:rFonts w:ascii="Garamond" w:hAnsi="Garamond"/>
                <w:color w:val="000000"/>
              </w:rPr>
              <w:t>0.0005</w:t>
            </w:r>
          </w:p>
        </w:tc>
        <w:tc>
          <w:tcPr>
            <w:tcW w:w="390" w:type="pct"/>
            <w:shd w:val="clear" w:color="auto" w:fill="auto"/>
            <w:noWrap/>
            <w:vAlign w:val="bottom"/>
          </w:tcPr>
          <w:p w14:paraId="47CEAF26" w14:textId="77777777" w:rsidR="00BE49FD" w:rsidRPr="008A703F" w:rsidRDefault="00BE49FD" w:rsidP="00B90008">
            <w:pPr>
              <w:jc w:val="right"/>
              <w:rPr>
                <w:rFonts w:ascii="Garamond" w:hAnsi="Garamond"/>
                <w:color w:val="000000"/>
              </w:rPr>
            </w:pPr>
            <w:r w:rsidRPr="008A703F">
              <w:rPr>
                <w:rFonts w:ascii="Garamond" w:hAnsi="Garamond"/>
                <w:color w:val="000000"/>
              </w:rPr>
              <w:t>0.0098**</w:t>
            </w:r>
          </w:p>
        </w:tc>
        <w:tc>
          <w:tcPr>
            <w:tcW w:w="336" w:type="pct"/>
            <w:shd w:val="clear" w:color="auto" w:fill="auto"/>
            <w:noWrap/>
            <w:vAlign w:val="bottom"/>
          </w:tcPr>
          <w:p w14:paraId="5F2210B5" w14:textId="77777777" w:rsidR="00BE49FD" w:rsidRPr="008A703F" w:rsidRDefault="00BE49FD" w:rsidP="00B90008">
            <w:pPr>
              <w:jc w:val="right"/>
              <w:rPr>
                <w:rFonts w:ascii="Garamond" w:hAnsi="Garamond"/>
                <w:color w:val="000000"/>
              </w:rPr>
            </w:pPr>
            <w:r w:rsidRPr="008A703F">
              <w:rPr>
                <w:rFonts w:ascii="Garamond" w:hAnsi="Garamond"/>
                <w:color w:val="000000"/>
              </w:rPr>
              <w:t>-0.0009</w:t>
            </w:r>
          </w:p>
        </w:tc>
        <w:tc>
          <w:tcPr>
            <w:tcW w:w="336" w:type="pct"/>
            <w:shd w:val="clear" w:color="auto" w:fill="auto"/>
            <w:noWrap/>
            <w:vAlign w:val="bottom"/>
          </w:tcPr>
          <w:p w14:paraId="38E7C9AB" w14:textId="77777777" w:rsidR="00BE49FD" w:rsidRPr="008A703F" w:rsidRDefault="00BE49FD" w:rsidP="00B90008">
            <w:pPr>
              <w:jc w:val="right"/>
              <w:rPr>
                <w:rFonts w:ascii="Garamond" w:hAnsi="Garamond"/>
                <w:color w:val="000000"/>
              </w:rPr>
            </w:pPr>
            <w:r w:rsidRPr="008A703F">
              <w:rPr>
                <w:rFonts w:ascii="Garamond" w:hAnsi="Garamond"/>
                <w:color w:val="000000"/>
              </w:rPr>
              <w:t>0.1216</w:t>
            </w:r>
          </w:p>
        </w:tc>
      </w:tr>
      <w:tr w:rsidR="00BE49FD" w:rsidRPr="008A703F" w14:paraId="6A034E9B" w14:textId="77777777" w:rsidTr="00B90008">
        <w:trPr>
          <w:trHeight w:val="300"/>
          <w:jc w:val="center"/>
        </w:trPr>
        <w:tc>
          <w:tcPr>
            <w:tcW w:w="743" w:type="pct"/>
            <w:shd w:val="clear" w:color="auto" w:fill="auto"/>
            <w:noWrap/>
            <w:vAlign w:val="center"/>
          </w:tcPr>
          <w:p w14:paraId="7255771B"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Interaction term</w:t>
            </w:r>
            <w:r w:rsidRPr="002768EE">
              <w:rPr>
                <w:rFonts w:ascii="Garamond" w:hAnsi="Garamond"/>
                <w:color w:val="000000"/>
                <w:vertAlign w:val="subscript"/>
              </w:rPr>
              <w:t>t-1</w:t>
            </w:r>
          </w:p>
        </w:tc>
        <w:tc>
          <w:tcPr>
            <w:tcW w:w="357" w:type="pct"/>
            <w:shd w:val="clear" w:color="auto" w:fill="auto"/>
            <w:noWrap/>
            <w:vAlign w:val="bottom"/>
          </w:tcPr>
          <w:p w14:paraId="53C73BC5" w14:textId="77777777" w:rsidR="00BE49FD" w:rsidRPr="008A703F" w:rsidRDefault="00BE49FD" w:rsidP="00B90008">
            <w:pPr>
              <w:jc w:val="right"/>
              <w:rPr>
                <w:rFonts w:ascii="Garamond" w:hAnsi="Garamond"/>
                <w:color w:val="000000"/>
              </w:rPr>
            </w:pPr>
            <w:r w:rsidRPr="008A703F">
              <w:rPr>
                <w:rFonts w:ascii="Garamond" w:hAnsi="Garamond"/>
                <w:color w:val="000000"/>
              </w:rPr>
              <w:t>-0.0010*</w:t>
            </w:r>
          </w:p>
        </w:tc>
        <w:tc>
          <w:tcPr>
            <w:tcW w:w="390" w:type="pct"/>
            <w:shd w:val="clear" w:color="auto" w:fill="auto"/>
            <w:noWrap/>
            <w:vAlign w:val="bottom"/>
          </w:tcPr>
          <w:p w14:paraId="1D4CE33D" w14:textId="77777777" w:rsidR="00BE49FD" w:rsidRPr="008A703F" w:rsidRDefault="00BE49FD" w:rsidP="00B90008">
            <w:pPr>
              <w:jc w:val="right"/>
              <w:rPr>
                <w:rFonts w:ascii="Garamond" w:hAnsi="Garamond"/>
                <w:color w:val="000000"/>
              </w:rPr>
            </w:pPr>
            <w:r w:rsidRPr="008A703F">
              <w:rPr>
                <w:rFonts w:ascii="Garamond" w:hAnsi="Garamond"/>
                <w:color w:val="000000"/>
              </w:rPr>
              <w:t>0.0129</w:t>
            </w:r>
          </w:p>
        </w:tc>
        <w:tc>
          <w:tcPr>
            <w:tcW w:w="336" w:type="pct"/>
            <w:shd w:val="clear" w:color="auto" w:fill="auto"/>
            <w:noWrap/>
            <w:vAlign w:val="bottom"/>
          </w:tcPr>
          <w:p w14:paraId="29B65981" w14:textId="77777777" w:rsidR="00BE49FD" w:rsidRPr="008A703F" w:rsidRDefault="00BE49FD" w:rsidP="00B90008">
            <w:pPr>
              <w:jc w:val="right"/>
              <w:rPr>
                <w:rFonts w:ascii="Garamond" w:hAnsi="Garamond"/>
                <w:color w:val="000000"/>
              </w:rPr>
            </w:pPr>
            <w:r w:rsidRPr="008A703F">
              <w:rPr>
                <w:rFonts w:ascii="Garamond" w:hAnsi="Garamond"/>
                <w:color w:val="000000"/>
              </w:rPr>
              <w:t>-0.0003</w:t>
            </w:r>
          </w:p>
        </w:tc>
        <w:tc>
          <w:tcPr>
            <w:tcW w:w="336" w:type="pct"/>
            <w:shd w:val="clear" w:color="auto" w:fill="auto"/>
            <w:noWrap/>
            <w:vAlign w:val="bottom"/>
          </w:tcPr>
          <w:p w14:paraId="53946222" w14:textId="77777777" w:rsidR="00BE49FD" w:rsidRPr="008A703F" w:rsidRDefault="00BE49FD" w:rsidP="00B90008">
            <w:pPr>
              <w:jc w:val="right"/>
              <w:rPr>
                <w:rFonts w:ascii="Garamond" w:hAnsi="Garamond"/>
                <w:color w:val="000000"/>
              </w:rPr>
            </w:pPr>
            <w:r w:rsidRPr="008A703F">
              <w:rPr>
                <w:rFonts w:ascii="Garamond" w:hAnsi="Garamond"/>
                <w:color w:val="000000"/>
              </w:rPr>
              <w:t>0.0005</w:t>
            </w:r>
          </w:p>
        </w:tc>
        <w:tc>
          <w:tcPr>
            <w:tcW w:w="357" w:type="pct"/>
            <w:shd w:val="clear" w:color="auto" w:fill="auto"/>
            <w:noWrap/>
            <w:vAlign w:val="bottom"/>
          </w:tcPr>
          <w:p w14:paraId="7E859BFF" w14:textId="77777777" w:rsidR="00BE49FD" w:rsidRPr="008A703F" w:rsidRDefault="00BE49FD" w:rsidP="00B90008">
            <w:pPr>
              <w:jc w:val="right"/>
              <w:rPr>
                <w:rFonts w:ascii="Garamond" w:hAnsi="Garamond"/>
                <w:color w:val="000000"/>
              </w:rPr>
            </w:pPr>
            <w:r w:rsidRPr="008A703F">
              <w:rPr>
                <w:rFonts w:ascii="Garamond" w:hAnsi="Garamond"/>
                <w:color w:val="000000"/>
              </w:rPr>
              <w:t>-0.0003</w:t>
            </w:r>
          </w:p>
        </w:tc>
        <w:tc>
          <w:tcPr>
            <w:tcW w:w="390" w:type="pct"/>
            <w:shd w:val="clear" w:color="auto" w:fill="auto"/>
            <w:noWrap/>
            <w:vAlign w:val="bottom"/>
          </w:tcPr>
          <w:p w14:paraId="66BE8A2F" w14:textId="77777777" w:rsidR="00BE49FD" w:rsidRPr="008A703F" w:rsidRDefault="00BE49FD" w:rsidP="00B90008">
            <w:pPr>
              <w:jc w:val="right"/>
              <w:rPr>
                <w:rFonts w:ascii="Garamond" w:hAnsi="Garamond"/>
                <w:color w:val="000000"/>
              </w:rPr>
            </w:pPr>
            <w:r w:rsidRPr="008A703F">
              <w:rPr>
                <w:rFonts w:ascii="Garamond" w:hAnsi="Garamond"/>
                <w:color w:val="000000"/>
              </w:rPr>
              <w:t>0.0091**</w:t>
            </w:r>
          </w:p>
        </w:tc>
        <w:tc>
          <w:tcPr>
            <w:tcW w:w="336" w:type="pct"/>
            <w:shd w:val="clear" w:color="auto" w:fill="auto"/>
            <w:noWrap/>
            <w:vAlign w:val="bottom"/>
          </w:tcPr>
          <w:p w14:paraId="36C8135A" w14:textId="77777777" w:rsidR="00BE49FD" w:rsidRPr="008A703F" w:rsidRDefault="00BE49FD" w:rsidP="00B90008">
            <w:pPr>
              <w:jc w:val="right"/>
              <w:rPr>
                <w:rFonts w:ascii="Garamond" w:hAnsi="Garamond"/>
                <w:color w:val="000000"/>
              </w:rPr>
            </w:pPr>
            <w:r w:rsidRPr="008A703F">
              <w:rPr>
                <w:rFonts w:ascii="Garamond" w:hAnsi="Garamond"/>
                <w:color w:val="000000"/>
              </w:rPr>
              <w:t>0.0009</w:t>
            </w:r>
          </w:p>
        </w:tc>
        <w:tc>
          <w:tcPr>
            <w:tcW w:w="336" w:type="pct"/>
            <w:shd w:val="clear" w:color="auto" w:fill="auto"/>
            <w:noWrap/>
            <w:vAlign w:val="bottom"/>
          </w:tcPr>
          <w:p w14:paraId="349B3B36" w14:textId="77777777" w:rsidR="00BE49FD" w:rsidRPr="008A703F" w:rsidRDefault="00BE49FD" w:rsidP="00B90008">
            <w:pPr>
              <w:jc w:val="right"/>
              <w:rPr>
                <w:rFonts w:ascii="Garamond" w:hAnsi="Garamond"/>
                <w:color w:val="000000"/>
              </w:rPr>
            </w:pPr>
            <w:r w:rsidRPr="008A703F">
              <w:rPr>
                <w:rFonts w:ascii="Garamond" w:hAnsi="Garamond"/>
                <w:color w:val="000000"/>
              </w:rPr>
              <w:t>0.0134</w:t>
            </w:r>
          </w:p>
        </w:tc>
        <w:tc>
          <w:tcPr>
            <w:tcW w:w="357" w:type="pct"/>
            <w:shd w:val="clear" w:color="auto" w:fill="auto"/>
            <w:noWrap/>
            <w:vAlign w:val="bottom"/>
          </w:tcPr>
          <w:p w14:paraId="423B6673" w14:textId="77777777" w:rsidR="00BE49FD" w:rsidRPr="008A703F" w:rsidRDefault="00BE49FD" w:rsidP="00B90008">
            <w:pPr>
              <w:jc w:val="right"/>
              <w:rPr>
                <w:rFonts w:ascii="Garamond" w:hAnsi="Garamond"/>
                <w:color w:val="000000"/>
              </w:rPr>
            </w:pPr>
            <w:r w:rsidRPr="008A703F">
              <w:rPr>
                <w:rFonts w:ascii="Garamond" w:hAnsi="Garamond"/>
                <w:color w:val="000000"/>
              </w:rPr>
              <w:t>-0.0004</w:t>
            </w:r>
          </w:p>
        </w:tc>
        <w:tc>
          <w:tcPr>
            <w:tcW w:w="390" w:type="pct"/>
            <w:shd w:val="clear" w:color="auto" w:fill="auto"/>
            <w:noWrap/>
            <w:vAlign w:val="bottom"/>
          </w:tcPr>
          <w:p w14:paraId="7BD62FD4" w14:textId="77777777" w:rsidR="00BE49FD" w:rsidRPr="008A703F" w:rsidRDefault="00BE49FD" w:rsidP="00B90008">
            <w:pPr>
              <w:jc w:val="right"/>
              <w:rPr>
                <w:rFonts w:ascii="Garamond" w:hAnsi="Garamond"/>
                <w:color w:val="000000"/>
              </w:rPr>
            </w:pPr>
            <w:r w:rsidRPr="008A703F">
              <w:rPr>
                <w:rFonts w:ascii="Garamond" w:hAnsi="Garamond"/>
                <w:color w:val="000000"/>
              </w:rPr>
              <w:t>0.1971</w:t>
            </w:r>
          </w:p>
        </w:tc>
        <w:tc>
          <w:tcPr>
            <w:tcW w:w="336" w:type="pct"/>
            <w:shd w:val="clear" w:color="auto" w:fill="auto"/>
            <w:noWrap/>
            <w:vAlign w:val="bottom"/>
          </w:tcPr>
          <w:p w14:paraId="62F5C0FD" w14:textId="77777777" w:rsidR="00BE49FD" w:rsidRPr="008A703F" w:rsidRDefault="00BE49FD" w:rsidP="00B90008">
            <w:pPr>
              <w:jc w:val="right"/>
              <w:rPr>
                <w:rFonts w:ascii="Garamond" w:hAnsi="Garamond"/>
                <w:color w:val="000000"/>
              </w:rPr>
            </w:pPr>
            <w:r w:rsidRPr="008A703F">
              <w:rPr>
                <w:rFonts w:ascii="Garamond" w:hAnsi="Garamond"/>
                <w:color w:val="000000"/>
              </w:rPr>
              <w:t>-0.0005</w:t>
            </w:r>
          </w:p>
        </w:tc>
        <w:tc>
          <w:tcPr>
            <w:tcW w:w="336" w:type="pct"/>
            <w:shd w:val="clear" w:color="auto" w:fill="auto"/>
            <w:noWrap/>
            <w:vAlign w:val="bottom"/>
          </w:tcPr>
          <w:p w14:paraId="08F9962F" w14:textId="77777777" w:rsidR="00BE49FD" w:rsidRPr="008A703F" w:rsidRDefault="00BE49FD" w:rsidP="00B90008">
            <w:pPr>
              <w:jc w:val="right"/>
              <w:rPr>
                <w:rFonts w:ascii="Garamond" w:hAnsi="Garamond"/>
                <w:color w:val="000000"/>
              </w:rPr>
            </w:pPr>
            <w:r w:rsidRPr="008A703F">
              <w:rPr>
                <w:rFonts w:ascii="Garamond" w:hAnsi="Garamond"/>
                <w:color w:val="000000"/>
              </w:rPr>
              <w:t>0.0097***</w:t>
            </w:r>
          </w:p>
        </w:tc>
      </w:tr>
      <w:tr w:rsidR="00BE49FD" w:rsidRPr="008A703F" w14:paraId="553F4090" w14:textId="77777777" w:rsidTr="00B90008">
        <w:trPr>
          <w:trHeight w:val="300"/>
          <w:jc w:val="center"/>
        </w:trPr>
        <w:tc>
          <w:tcPr>
            <w:tcW w:w="743" w:type="pct"/>
            <w:shd w:val="clear" w:color="auto" w:fill="auto"/>
            <w:noWrap/>
            <w:vAlign w:val="center"/>
          </w:tcPr>
          <w:p w14:paraId="1BEB7FBB"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Return</w:t>
            </w:r>
            <w:r w:rsidRPr="002768EE">
              <w:rPr>
                <w:rFonts w:ascii="Garamond" w:hAnsi="Garamond"/>
                <w:color w:val="000000"/>
                <w:vertAlign w:val="subscript"/>
              </w:rPr>
              <w:t>t-1</w:t>
            </w:r>
          </w:p>
        </w:tc>
        <w:tc>
          <w:tcPr>
            <w:tcW w:w="357" w:type="pct"/>
            <w:shd w:val="clear" w:color="auto" w:fill="auto"/>
            <w:noWrap/>
            <w:vAlign w:val="bottom"/>
          </w:tcPr>
          <w:p w14:paraId="348FE03B" w14:textId="77777777" w:rsidR="00BE49FD" w:rsidRPr="008A703F" w:rsidRDefault="00BE49FD" w:rsidP="00B90008">
            <w:pPr>
              <w:jc w:val="right"/>
              <w:rPr>
                <w:rFonts w:ascii="Garamond" w:hAnsi="Garamond"/>
                <w:color w:val="000000"/>
              </w:rPr>
            </w:pPr>
            <w:r w:rsidRPr="008A703F">
              <w:rPr>
                <w:rFonts w:ascii="Garamond" w:hAnsi="Garamond"/>
                <w:color w:val="000000"/>
              </w:rPr>
              <w:t>6.5339</w:t>
            </w:r>
          </w:p>
        </w:tc>
        <w:tc>
          <w:tcPr>
            <w:tcW w:w="390" w:type="pct"/>
            <w:shd w:val="clear" w:color="auto" w:fill="auto"/>
            <w:noWrap/>
            <w:vAlign w:val="bottom"/>
          </w:tcPr>
          <w:p w14:paraId="0E9A1339" w14:textId="77777777" w:rsidR="00BE49FD" w:rsidRPr="008A703F" w:rsidRDefault="00BE49FD" w:rsidP="00B90008">
            <w:pPr>
              <w:jc w:val="right"/>
              <w:rPr>
                <w:rFonts w:ascii="Garamond" w:hAnsi="Garamond"/>
                <w:color w:val="000000"/>
              </w:rPr>
            </w:pPr>
            <w:r w:rsidRPr="008A703F">
              <w:rPr>
                <w:rFonts w:ascii="Garamond" w:hAnsi="Garamond"/>
                <w:color w:val="000000"/>
              </w:rPr>
              <w:t>1.6404</w:t>
            </w:r>
          </w:p>
        </w:tc>
        <w:tc>
          <w:tcPr>
            <w:tcW w:w="336" w:type="pct"/>
            <w:shd w:val="clear" w:color="auto" w:fill="auto"/>
            <w:noWrap/>
            <w:vAlign w:val="bottom"/>
          </w:tcPr>
          <w:p w14:paraId="47E038BD" w14:textId="77777777" w:rsidR="00BE49FD" w:rsidRPr="008A703F" w:rsidRDefault="00BE49FD" w:rsidP="00B90008">
            <w:pPr>
              <w:jc w:val="right"/>
              <w:rPr>
                <w:rFonts w:ascii="Garamond" w:hAnsi="Garamond"/>
                <w:color w:val="000000"/>
              </w:rPr>
            </w:pPr>
            <w:r w:rsidRPr="008A703F">
              <w:rPr>
                <w:rFonts w:ascii="Garamond" w:hAnsi="Garamond"/>
                <w:color w:val="000000"/>
              </w:rPr>
              <w:t>-0.1057</w:t>
            </w:r>
          </w:p>
        </w:tc>
        <w:tc>
          <w:tcPr>
            <w:tcW w:w="336" w:type="pct"/>
            <w:shd w:val="clear" w:color="auto" w:fill="auto"/>
            <w:noWrap/>
            <w:vAlign w:val="bottom"/>
          </w:tcPr>
          <w:p w14:paraId="7FED8BFD" w14:textId="77777777" w:rsidR="00BE49FD" w:rsidRPr="008A703F" w:rsidRDefault="00BE49FD" w:rsidP="00B90008">
            <w:pPr>
              <w:jc w:val="right"/>
              <w:rPr>
                <w:rFonts w:ascii="Garamond" w:hAnsi="Garamond"/>
                <w:color w:val="000000"/>
              </w:rPr>
            </w:pPr>
            <w:r w:rsidRPr="008A703F">
              <w:rPr>
                <w:rFonts w:ascii="Garamond" w:hAnsi="Garamond"/>
                <w:color w:val="000000"/>
              </w:rPr>
              <w:t>8.1050</w:t>
            </w:r>
          </w:p>
        </w:tc>
        <w:tc>
          <w:tcPr>
            <w:tcW w:w="357" w:type="pct"/>
            <w:shd w:val="clear" w:color="auto" w:fill="auto"/>
            <w:noWrap/>
            <w:vAlign w:val="bottom"/>
          </w:tcPr>
          <w:p w14:paraId="5720673D" w14:textId="77777777" w:rsidR="00BE49FD" w:rsidRPr="008A703F" w:rsidRDefault="00BE49FD" w:rsidP="00B90008">
            <w:pPr>
              <w:jc w:val="right"/>
              <w:rPr>
                <w:rFonts w:ascii="Garamond" w:hAnsi="Garamond"/>
                <w:color w:val="000000"/>
              </w:rPr>
            </w:pPr>
            <w:r w:rsidRPr="008A703F">
              <w:rPr>
                <w:rFonts w:ascii="Garamond" w:hAnsi="Garamond"/>
                <w:color w:val="000000"/>
              </w:rPr>
              <w:t>6.4863</w:t>
            </w:r>
          </w:p>
        </w:tc>
        <w:tc>
          <w:tcPr>
            <w:tcW w:w="390" w:type="pct"/>
            <w:shd w:val="clear" w:color="auto" w:fill="auto"/>
            <w:noWrap/>
            <w:vAlign w:val="bottom"/>
          </w:tcPr>
          <w:p w14:paraId="11257298" w14:textId="77777777" w:rsidR="00BE49FD" w:rsidRPr="008A703F" w:rsidRDefault="00BE49FD" w:rsidP="00B90008">
            <w:pPr>
              <w:jc w:val="right"/>
              <w:rPr>
                <w:rFonts w:ascii="Garamond" w:hAnsi="Garamond"/>
                <w:color w:val="000000"/>
              </w:rPr>
            </w:pPr>
            <w:r w:rsidRPr="008A703F">
              <w:rPr>
                <w:rFonts w:ascii="Garamond" w:hAnsi="Garamond"/>
                <w:color w:val="000000"/>
              </w:rPr>
              <w:t>1.5560</w:t>
            </w:r>
          </w:p>
        </w:tc>
        <w:tc>
          <w:tcPr>
            <w:tcW w:w="336" w:type="pct"/>
            <w:shd w:val="clear" w:color="auto" w:fill="auto"/>
            <w:noWrap/>
            <w:vAlign w:val="bottom"/>
          </w:tcPr>
          <w:p w14:paraId="64A9E61E" w14:textId="77777777" w:rsidR="00BE49FD" w:rsidRPr="008A703F" w:rsidRDefault="00BE49FD" w:rsidP="00B90008">
            <w:pPr>
              <w:jc w:val="right"/>
              <w:rPr>
                <w:rFonts w:ascii="Garamond" w:hAnsi="Garamond"/>
                <w:color w:val="000000"/>
              </w:rPr>
            </w:pPr>
            <w:r w:rsidRPr="008A703F">
              <w:rPr>
                <w:rFonts w:ascii="Garamond" w:hAnsi="Garamond"/>
                <w:color w:val="000000"/>
              </w:rPr>
              <w:t>-0.1203</w:t>
            </w:r>
          </w:p>
        </w:tc>
        <w:tc>
          <w:tcPr>
            <w:tcW w:w="336" w:type="pct"/>
            <w:shd w:val="clear" w:color="auto" w:fill="auto"/>
            <w:noWrap/>
            <w:vAlign w:val="bottom"/>
          </w:tcPr>
          <w:p w14:paraId="64EDEFE0" w14:textId="77777777" w:rsidR="00BE49FD" w:rsidRPr="008A703F" w:rsidRDefault="00BE49FD" w:rsidP="00B90008">
            <w:pPr>
              <w:jc w:val="right"/>
              <w:rPr>
                <w:rFonts w:ascii="Garamond" w:hAnsi="Garamond"/>
                <w:color w:val="000000"/>
              </w:rPr>
            </w:pPr>
            <w:r w:rsidRPr="008A703F">
              <w:rPr>
                <w:rFonts w:ascii="Garamond" w:hAnsi="Garamond"/>
                <w:color w:val="000000"/>
              </w:rPr>
              <w:t>10.9899</w:t>
            </w:r>
          </w:p>
        </w:tc>
        <w:tc>
          <w:tcPr>
            <w:tcW w:w="357" w:type="pct"/>
            <w:shd w:val="clear" w:color="auto" w:fill="auto"/>
            <w:noWrap/>
            <w:vAlign w:val="bottom"/>
          </w:tcPr>
          <w:p w14:paraId="1718628F" w14:textId="77777777" w:rsidR="00BE49FD" w:rsidRPr="008A703F" w:rsidRDefault="00BE49FD" w:rsidP="00B90008">
            <w:pPr>
              <w:jc w:val="right"/>
              <w:rPr>
                <w:rFonts w:ascii="Garamond" w:hAnsi="Garamond"/>
                <w:color w:val="000000"/>
              </w:rPr>
            </w:pPr>
            <w:r w:rsidRPr="008A703F">
              <w:rPr>
                <w:rFonts w:ascii="Garamond" w:hAnsi="Garamond"/>
                <w:color w:val="000000"/>
              </w:rPr>
              <w:t>6.6914</w:t>
            </w:r>
          </w:p>
        </w:tc>
        <w:tc>
          <w:tcPr>
            <w:tcW w:w="390" w:type="pct"/>
            <w:shd w:val="clear" w:color="auto" w:fill="auto"/>
            <w:noWrap/>
            <w:vAlign w:val="bottom"/>
          </w:tcPr>
          <w:p w14:paraId="1D89B6EF" w14:textId="77777777" w:rsidR="00BE49FD" w:rsidRPr="008A703F" w:rsidRDefault="00BE49FD" w:rsidP="00B90008">
            <w:pPr>
              <w:jc w:val="right"/>
              <w:rPr>
                <w:rFonts w:ascii="Garamond" w:hAnsi="Garamond"/>
                <w:color w:val="000000"/>
              </w:rPr>
            </w:pPr>
            <w:r w:rsidRPr="008A703F">
              <w:rPr>
                <w:rFonts w:ascii="Garamond" w:hAnsi="Garamond"/>
                <w:color w:val="000000"/>
              </w:rPr>
              <w:t>2.1499</w:t>
            </w:r>
          </w:p>
        </w:tc>
        <w:tc>
          <w:tcPr>
            <w:tcW w:w="336" w:type="pct"/>
            <w:shd w:val="clear" w:color="auto" w:fill="auto"/>
            <w:noWrap/>
            <w:vAlign w:val="bottom"/>
          </w:tcPr>
          <w:p w14:paraId="473B9E07" w14:textId="77777777" w:rsidR="00BE49FD" w:rsidRPr="008A703F" w:rsidRDefault="00BE49FD" w:rsidP="00B90008">
            <w:pPr>
              <w:jc w:val="right"/>
              <w:rPr>
                <w:rFonts w:ascii="Garamond" w:hAnsi="Garamond"/>
                <w:color w:val="000000"/>
              </w:rPr>
            </w:pPr>
            <w:r w:rsidRPr="008A703F">
              <w:rPr>
                <w:rFonts w:ascii="Garamond" w:hAnsi="Garamond"/>
                <w:color w:val="000000"/>
              </w:rPr>
              <w:t>-0.0922</w:t>
            </w:r>
          </w:p>
        </w:tc>
        <w:tc>
          <w:tcPr>
            <w:tcW w:w="336" w:type="pct"/>
            <w:shd w:val="clear" w:color="auto" w:fill="auto"/>
            <w:noWrap/>
            <w:vAlign w:val="bottom"/>
          </w:tcPr>
          <w:p w14:paraId="552A5D04" w14:textId="77777777" w:rsidR="00BE49FD" w:rsidRPr="008A703F" w:rsidRDefault="00BE49FD" w:rsidP="00B90008">
            <w:pPr>
              <w:jc w:val="right"/>
              <w:rPr>
                <w:rFonts w:ascii="Garamond" w:hAnsi="Garamond"/>
                <w:color w:val="000000"/>
              </w:rPr>
            </w:pPr>
            <w:r w:rsidRPr="008A703F">
              <w:rPr>
                <w:rFonts w:ascii="Garamond" w:hAnsi="Garamond"/>
                <w:color w:val="000000"/>
              </w:rPr>
              <w:t>8.3217</w:t>
            </w:r>
          </w:p>
        </w:tc>
      </w:tr>
      <w:tr w:rsidR="00BE49FD" w:rsidRPr="008A703F" w14:paraId="24C3E9A4" w14:textId="77777777" w:rsidTr="00B90008">
        <w:trPr>
          <w:trHeight w:val="300"/>
          <w:jc w:val="center"/>
        </w:trPr>
        <w:tc>
          <w:tcPr>
            <w:tcW w:w="743" w:type="pct"/>
            <w:shd w:val="clear" w:color="auto" w:fill="auto"/>
            <w:noWrap/>
            <w:vAlign w:val="center"/>
          </w:tcPr>
          <w:p w14:paraId="769CB38B"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Standard deviation</w:t>
            </w:r>
            <w:r w:rsidRPr="002768EE">
              <w:rPr>
                <w:rFonts w:ascii="Garamond" w:hAnsi="Garamond"/>
                <w:color w:val="000000"/>
                <w:vertAlign w:val="subscript"/>
              </w:rPr>
              <w:t>t-1</w:t>
            </w:r>
          </w:p>
        </w:tc>
        <w:tc>
          <w:tcPr>
            <w:tcW w:w="357" w:type="pct"/>
            <w:shd w:val="clear" w:color="auto" w:fill="auto"/>
            <w:noWrap/>
            <w:vAlign w:val="bottom"/>
          </w:tcPr>
          <w:p w14:paraId="74A0D687" w14:textId="77777777" w:rsidR="00BE49FD" w:rsidRPr="008A703F" w:rsidRDefault="00BE49FD" w:rsidP="00B90008">
            <w:pPr>
              <w:jc w:val="right"/>
              <w:rPr>
                <w:rFonts w:ascii="Garamond" w:hAnsi="Garamond"/>
                <w:color w:val="000000"/>
              </w:rPr>
            </w:pPr>
            <w:r w:rsidRPr="008A703F">
              <w:rPr>
                <w:rFonts w:ascii="Garamond" w:hAnsi="Garamond"/>
                <w:color w:val="000000"/>
              </w:rPr>
              <w:t>-3.5484*</w:t>
            </w:r>
          </w:p>
        </w:tc>
        <w:tc>
          <w:tcPr>
            <w:tcW w:w="390" w:type="pct"/>
            <w:shd w:val="clear" w:color="auto" w:fill="auto"/>
            <w:noWrap/>
            <w:vAlign w:val="bottom"/>
          </w:tcPr>
          <w:p w14:paraId="5952DCC5" w14:textId="77777777" w:rsidR="00BE49FD" w:rsidRPr="008A703F" w:rsidRDefault="00BE49FD" w:rsidP="00B90008">
            <w:pPr>
              <w:jc w:val="right"/>
              <w:rPr>
                <w:rFonts w:ascii="Garamond" w:hAnsi="Garamond"/>
                <w:color w:val="000000"/>
              </w:rPr>
            </w:pPr>
            <w:r w:rsidRPr="008A703F">
              <w:rPr>
                <w:rFonts w:ascii="Garamond" w:hAnsi="Garamond"/>
                <w:color w:val="000000"/>
              </w:rPr>
              <w:t>-6.1179*</w:t>
            </w:r>
          </w:p>
        </w:tc>
        <w:tc>
          <w:tcPr>
            <w:tcW w:w="336" w:type="pct"/>
            <w:shd w:val="clear" w:color="auto" w:fill="auto"/>
            <w:noWrap/>
            <w:vAlign w:val="bottom"/>
          </w:tcPr>
          <w:p w14:paraId="5AEC68C7" w14:textId="77777777" w:rsidR="00BE49FD" w:rsidRPr="008A703F" w:rsidRDefault="00BE49FD" w:rsidP="00B90008">
            <w:pPr>
              <w:jc w:val="right"/>
              <w:rPr>
                <w:rFonts w:ascii="Garamond" w:hAnsi="Garamond"/>
                <w:color w:val="000000"/>
              </w:rPr>
            </w:pPr>
            <w:r w:rsidRPr="008A703F">
              <w:rPr>
                <w:rFonts w:ascii="Garamond" w:hAnsi="Garamond"/>
                <w:color w:val="000000"/>
              </w:rPr>
              <w:t>-0.1491*</w:t>
            </w:r>
          </w:p>
        </w:tc>
        <w:tc>
          <w:tcPr>
            <w:tcW w:w="336" w:type="pct"/>
            <w:shd w:val="clear" w:color="auto" w:fill="auto"/>
            <w:noWrap/>
            <w:vAlign w:val="bottom"/>
          </w:tcPr>
          <w:p w14:paraId="3A7C73C2" w14:textId="77777777" w:rsidR="00BE49FD" w:rsidRPr="008A703F" w:rsidRDefault="00BE49FD" w:rsidP="00B90008">
            <w:pPr>
              <w:jc w:val="right"/>
              <w:rPr>
                <w:rFonts w:ascii="Garamond" w:hAnsi="Garamond"/>
                <w:color w:val="000000"/>
              </w:rPr>
            </w:pPr>
            <w:r w:rsidRPr="008A703F">
              <w:rPr>
                <w:rFonts w:ascii="Garamond" w:hAnsi="Garamond"/>
                <w:color w:val="000000"/>
              </w:rPr>
              <w:t>-8.7595</w:t>
            </w:r>
          </w:p>
        </w:tc>
        <w:tc>
          <w:tcPr>
            <w:tcW w:w="357" w:type="pct"/>
            <w:shd w:val="clear" w:color="auto" w:fill="auto"/>
            <w:noWrap/>
            <w:vAlign w:val="bottom"/>
          </w:tcPr>
          <w:p w14:paraId="5371AEAB" w14:textId="77777777" w:rsidR="00BE49FD" w:rsidRPr="008A703F" w:rsidRDefault="00BE49FD" w:rsidP="00B90008">
            <w:pPr>
              <w:jc w:val="right"/>
              <w:rPr>
                <w:rFonts w:ascii="Garamond" w:hAnsi="Garamond"/>
                <w:color w:val="000000"/>
              </w:rPr>
            </w:pPr>
            <w:r w:rsidRPr="008A703F">
              <w:rPr>
                <w:rFonts w:ascii="Garamond" w:hAnsi="Garamond"/>
                <w:color w:val="000000"/>
              </w:rPr>
              <w:t>-3.5518*</w:t>
            </w:r>
          </w:p>
        </w:tc>
        <w:tc>
          <w:tcPr>
            <w:tcW w:w="390" w:type="pct"/>
            <w:shd w:val="clear" w:color="auto" w:fill="auto"/>
            <w:noWrap/>
            <w:vAlign w:val="bottom"/>
          </w:tcPr>
          <w:p w14:paraId="4B46C41E" w14:textId="77777777" w:rsidR="00BE49FD" w:rsidRPr="008A703F" w:rsidRDefault="00BE49FD" w:rsidP="00B90008">
            <w:pPr>
              <w:jc w:val="right"/>
              <w:rPr>
                <w:rFonts w:ascii="Garamond" w:hAnsi="Garamond"/>
                <w:color w:val="000000"/>
              </w:rPr>
            </w:pPr>
            <w:r w:rsidRPr="008A703F">
              <w:rPr>
                <w:rFonts w:ascii="Garamond" w:hAnsi="Garamond"/>
                <w:color w:val="000000"/>
              </w:rPr>
              <w:t>-6.1279**</w:t>
            </w:r>
          </w:p>
        </w:tc>
        <w:tc>
          <w:tcPr>
            <w:tcW w:w="336" w:type="pct"/>
            <w:shd w:val="clear" w:color="auto" w:fill="auto"/>
            <w:noWrap/>
            <w:vAlign w:val="bottom"/>
          </w:tcPr>
          <w:p w14:paraId="74DE7F3F" w14:textId="77777777" w:rsidR="00BE49FD" w:rsidRPr="008A703F" w:rsidRDefault="00BE49FD" w:rsidP="00B90008">
            <w:pPr>
              <w:jc w:val="right"/>
              <w:rPr>
                <w:rFonts w:ascii="Garamond" w:hAnsi="Garamond"/>
                <w:color w:val="000000"/>
              </w:rPr>
            </w:pPr>
            <w:r w:rsidRPr="008A703F">
              <w:rPr>
                <w:rFonts w:ascii="Garamond" w:hAnsi="Garamond"/>
                <w:color w:val="000000"/>
              </w:rPr>
              <w:t>0.1994</w:t>
            </w:r>
          </w:p>
        </w:tc>
        <w:tc>
          <w:tcPr>
            <w:tcW w:w="336" w:type="pct"/>
            <w:shd w:val="clear" w:color="auto" w:fill="auto"/>
            <w:noWrap/>
            <w:vAlign w:val="bottom"/>
          </w:tcPr>
          <w:p w14:paraId="16C4979D" w14:textId="77777777" w:rsidR="00BE49FD" w:rsidRPr="008A703F" w:rsidRDefault="00BE49FD" w:rsidP="00B90008">
            <w:pPr>
              <w:jc w:val="right"/>
              <w:rPr>
                <w:rFonts w:ascii="Garamond" w:hAnsi="Garamond"/>
                <w:color w:val="000000"/>
              </w:rPr>
            </w:pPr>
            <w:r w:rsidRPr="008A703F">
              <w:rPr>
                <w:rFonts w:ascii="Garamond" w:hAnsi="Garamond"/>
                <w:color w:val="000000"/>
              </w:rPr>
              <w:t>-9.7341</w:t>
            </w:r>
          </w:p>
        </w:tc>
        <w:tc>
          <w:tcPr>
            <w:tcW w:w="357" w:type="pct"/>
            <w:shd w:val="clear" w:color="auto" w:fill="auto"/>
            <w:noWrap/>
            <w:vAlign w:val="bottom"/>
          </w:tcPr>
          <w:p w14:paraId="0EF9221A" w14:textId="77777777" w:rsidR="00BE49FD" w:rsidRPr="008A703F" w:rsidRDefault="00BE49FD" w:rsidP="00B90008">
            <w:pPr>
              <w:jc w:val="right"/>
              <w:rPr>
                <w:rFonts w:ascii="Garamond" w:hAnsi="Garamond"/>
                <w:color w:val="000000"/>
              </w:rPr>
            </w:pPr>
            <w:r w:rsidRPr="008A703F">
              <w:rPr>
                <w:rFonts w:ascii="Garamond" w:hAnsi="Garamond"/>
                <w:color w:val="000000"/>
              </w:rPr>
              <w:t>-3.5511**</w:t>
            </w:r>
          </w:p>
        </w:tc>
        <w:tc>
          <w:tcPr>
            <w:tcW w:w="390" w:type="pct"/>
            <w:shd w:val="clear" w:color="auto" w:fill="auto"/>
            <w:noWrap/>
            <w:vAlign w:val="bottom"/>
          </w:tcPr>
          <w:p w14:paraId="069DFE8A" w14:textId="77777777" w:rsidR="00BE49FD" w:rsidRPr="008A703F" w:rsidRDefault="00BE49FD" w:rsidP="00B90008">
            <w:pPr>
              <w:jc w:val="right"/>
              <w:rPr>
                <w:rFonts w:ascii="Garamond" w:hAnsi="Garamond"/>
                <w:color w:val="000000"/>
              </w:rPr>
            </w:pPr>
            <w:r w:rsidRPr="008A703F">
              <w:rPr>
                <w:rFonts w:ascii="Garamond" w:hAnsi="Garamond"/>
                <w:color w:val="000000"/>
              </w:rPr>
              <w:t>-6.1924*</w:t>
            </w:r>
          </w:p>
        </w:tc>
        <w:tc>
          <w:tcPr>
            <w:tcW w:w="336" w:type="pct"/>
            <w:shd w:val="clear" w:color="auto" w:fill="auto"/>
            <w:noWrap/>
            <w:vAlign w:val="bottom"/>
          </w:tcPr>
          <w:p w14:paraId="763AA55C" w14:textId="77777777" w:rsidR="00BE49FD" w:rsidRPr="008A703F" w:rsidRDefault="00BE49FD" w:rsidP="00B90008">
            <w:pPr>
              <w:jc w:val="right"/>
              <w:rPr>
                <w:rFonts w:ascii="Garamond" w:hAnsi="Garamond"/>
                <w:color w:val="000000"/>
              </w:rPr>
            </w:pPr>
            <w:r w:rsidRPr="008A703F">
              <w:rPr>
                <w:rFonts w:ascii="Garamond" w:hAnsi="Garamond"/>
                <w:color w:val="000000"/>
              </w:rPr>
              <w:t>-0.1521</w:t>
            </w:r>
          </w:p>
        </w:tc>
        <w:tc>
          <w:tcPr>
            <w:tcW w:w="336" w:type="pct"/>
            <w:shd w:val="clear" w:color="auto" w:fill="auto"/>
            <w:noWrap/>
            <w:vAlign w:val="bottom"/>
          </w:tcPr>
          <w:p w14:paraId="42E6A139" w14:textId="77777777" w:rsidR="00BE49FD" w:rsidRPr="008A703F" w:rsidRDefault="00BE49FD" w:rsidP="00B90008">
            <w:pPr>
              <w:jc w:val="right"/>
              <w:rPr>
                <w:rFonts w:ascii="Garamond" w:hAnsi="Garamond"/>
                <w:color w:val="000000"/>
              </w:rPr>
            </w:pPr>
            <w:r w:rsidRPr="008A703F">
              <w:rPr>
                <w:rFonts w:ascii="Garamond" w:hAnsi="Garamond"/>
                <w:color w:val="000000"/>
              </w:rPr>
              <w:t>-9.3124</w:t>
            </w:r>
          </w:p>
        </w:tc>
      </w:tr>
      <w:tr w:rsidR="00BE49FD" w:rsidRPr="008A703F" w14:paraId="72AC65A6" w14:textId="77777777" w:rsidTr="00B90008">
        <w:trPr>
          <w:trHeight w:val="300"/>
          <w:jc w:val="center"/>
        </w:trPr>
        <w:tc>
          <w:tcPr>
            <w:tcW w:w="743" w:type="pct"/>
            <w:shd w:val="clear" w:color="auto" w:fill="auto"/>
            <w:noWrap/>
            <w:vAlign w:val="center"/>
          </w:tcPr>
          <w:p w14:paraId="0AE6FB91"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ln(Market value)</w:t>
            </w:r>
            <w:r w:rsidRPr="002768EE">
              <w:rPr>
                <w:rFonts w:ascii="Garamond" w:hAnsi="Garamond"/>
                <w:color w:val="000000"/>
                <w:vertAlign w:val="subscript"/>
              </w:rPr>
              <w:t>i,t-1</w:t>
            </w:r>
          </w:p>
        </w:tc>
        <w:tc>
          <w:tcPr>
            <w:tcW w:w="357" w:type="pct"/>
            <w:shd w:val="clear" w:color="auto" w:fill="auto"/>
            <w:noWrap/>
            <w:vAlign w:val="bottom"/>
          </w:tcPr>
          <w:p w14:paraId="5A4DABFC" w14:textId="77777777" w:rsidR="00BE49FD" w:rsidRPr="008A703F" w:rsidRDefault="00BE49FD" w:rsidP="00B90008">
            <w:pPr>
              <w:jc w:val="right"/>
              <w:rPr>
                <w:rFonts w:ascii="Garamond" w:hAnsi="Garamond"/>
                <w:color w:val="000000"/>
              </w:rPr>
            </w:pPr>
            <w:r w:rsidRPr="008A703F">
              <w:rPr>
                <w:rFonts w:ascii="Garamond" w:hAnsi="Garamond"/>
                <w:color w:val="000000"/>
              </w:rPr>
              <w:t>-0.0329</w:t>
            </w:r>
          </w:p>
        </w:tc>
        <w:tc>
          <w:tcPr>
            <w:tcW w:w="390" w:type="pct"/>
            <w:shd w:val="clear" w:color="auto" w:fill="auto"/>
            <w:noWrap/>
            <w:vAlign w:val="bottom"/>
          </w:tcPr>
          <w:p w14:paraId="70CBD93B" w14:textId="77777777" w:rsidR="00BE49FD" w:rsidRPr="008A703F" w:rsidRDefault="00BE49FD" w:rsidP="00B90008">
            <w:pPr>
              <w:jc w:val="right"/>
              <w:rPr>
                <w:rFonts w:ascii="Garamond" w:hAnsi="Garamond"/>
                <w:color w:val="000000"/>
              </w:rPr>
            </w:pPr>
            <w:r w:rsidRPr="008A703F">
              <w:rPr>
                <w:rFonts w:ascii="Garamond" w:hAnsi="Garamond"/>
                <w:color w:val="000000"/>
              </w:rPr>
              <w:t>-0.0375***</w:t>
            </w:r>
          </w:p>
        </w:tc>
        <w:tc>
          <w:tcPr>
            <w:tcW w:w="336" w:type="pct"/>
            <w:shd w:val="clear" w:color="auto" w:fill="auto"/>
            <w:noWrap/>
            <w:vAlign w:val="bottom"/>
          </w:tcPr>
          <w:p w14:paraId="5759A1D8" w14:textId="77777777" w:rsidR="00BE49FD" w:rsidRPr="008A703F" w:rsidRDefault="00BE49FD" w:rsidP="00B90008">
            <w:pPr>
              <w:jc w:val="right"/>
              <w:rPr>
                <w:rFonts w:ascii="Garamond" w:hAnsi="Garamond"/>
                <w:color w:val="000000"/>
              </w:rPr>
            </w:pPr>
            <w:r w:rsidRPr="008A703F">
              <w:rPr>
                <w:rFonts w:ascii="Garamond" w:hAnsi="Garamond"/>
                <w:color w:val="000000"/>
              </w:rPr>
              <w:t>-0.0005</w:t>
            </w:r>
          </w:p>
        </w:tc>
        <w:tc>
          <w:tcPr>
            <w:tcW w:w="336" w:type="pct"/>
            <w:shd w:val="clear" w:color="auto" w:fill="auto"/>
            <w:noWrap/>
            <w:vAlign w:val="bottom"/>
          </w:tcPr>
          <w:p w14:paraId="24A2CD96" w14:textId="77777777" w:rsidR="00BE49FD" w:rsidRPr="008A703F" w:rsidRDefault="00BE49FD" w:rsidP="00B90008">
            <w:pPr>
              <w:jc w:val="right"/>
              <w:rPr>
                <w:rFonts w:ascii="Garamond" w:hAnsi="Garamond"/>
                <w:color w:val="000000"/>
              </w:rPr>
            </w:pPr>
            <w:r w:rsidRPr="008A703F">
              <w:rPr>
                <w:rFonts w:ascii="Garamond" w:hAnsi="Garamond"/>
                <w:color w:val="000000"/>
              </w:rPr>
              <w:t>-0.0446</w:t>
            </w:r>
          </w:p>
        </w:tc>
        <w:tc>
          <w:tcPr>
            <w:tcW w:w="357" w:type="pct"/>
            <w:shd w:val="clear" w:color="auto" w:fill="auto"/>
            <w:noWrap/>
            <w:vAlign w:val="bottom"/>
          </w:tcPr>
          <w:p w14:paraId="14B5BF79" w14:textId="77777777" w:rsidR="00BE49FD" w:rsidRPr="008A703F" w:rsidRDefault="00BE49FD" w:rsidP="00B90008">
            <w:pPr>
              <w:jc w:val="right"/>
              <w:rPr>
                <w:rFonts w:ascii="Garamond" w:hAnsi="Garamond"/>
                <w:color w:val="000000"/>
              </w:rPr>
            </w:pPr>
            <w:r w:rsidRPr="008A703F">
              <w:rPr>
                <w:rFonts w:ascii="Garamond" w:hAnsi="Garamond"/>
                <w:color w:val="000000"/>
              </w:rPr>
              <w:t>-0.0333</w:t>
            </w:r>
          </w:p>
        </w:tc>
        <w:tc>
          <w:tcPr>
            <w:tcW w:w="390" w:type="pct"/>
            <w:shd w:val="clear" w:color="auto" w:fill="auto"/>
            <w:noWrap/>
            <w:vAlign w:val="bottom"/>
          </w:tcPr>
          <w:p w14:paraId="1B7F3F7B" w14:textId="77777777" w:rsidR="00BE49FD" w:rsidRPr="008A703F" w:rsidRDefault="00BE49FD" w:rsidP="00B90008">
            <w:pPr>
              <w:jc w:val="right"/>
              <w:rPr>
                <w:rFonts w:ascii="Garamond" w:hAnsi="Garamond"/>
                <w:color w:val="000000"/>
              </w:rPr>
            </w:pPr>
            <w:r w:rsidRPr="008A703F">
              <w:rPr>
                <w:rFonts w:ascii="Garamond" w:hAnsi="Garamond"/>
                <w:color w:val="000000"/>
              </w:rPr>
              <w:t>-0.0518</w:t>
            </w:r>
          </w:p>
        </w:tc>
        <w:tc>
          <w:tcPr>
            <w:tcW w:w="336" w:type="pct"/>
            <w:shd w:val="clear" w:color="auto" w:fill="auto"/>
            <w:noWrap/>
            <w:vAlign w:val="bottom"/>
          </w:tcPr>
          <w:p w14:paraId="7BB2FFD6" w14:textId="77777777" w:rsidR="00BE49FD" w:rsidRPr="008A703F" w:rsidRDefault="00BE49FD" w:rsidP="00B90008">
            <w:pPr>
              <w:jc w:val="right"/>
              <w:rPr>
                <w:rFonts w:ascii="Garamond" w:hAnsi="Garamond"/>
                <w:color w:val="000000"/>
              </w:rPr>
            </w:pPr>
            <w:r w:rsidRPr="008A703F">
              <w:rPr>
                <w:rFonts w:ascii="Garamond" w:hAnsi="Garamond"/>
                <w:color w:val="000000"/>
              </w:rPr>
              <w:t>-0.0391</w:t>
            </w:r>
          </w:p>
        </w:tc>
        <w:tc>
          <w:tcPr>
            <w:tcW w:w="336" w:type="pct"/>
            <w:shd w:val="clear" w:color="auto" w:fill="auto"/>
            <w:noWrap/>
            <w:vAlign w:val="bottom"/>
          </w:tcPr>
          <w:p w14:paraId="1D0DB0C0" w14:textId="77777777" w:rsidR="00BE49FD" w:rsidRPr="008A703F" w:rsidRDefault="00BE49FD" w:rsidP="00B90008">
            <w:pPr>
              <w:jc w:val="right"/>
              <w:rPr>
                <w:rFonts w:ascii="Garamond" w:hAnsi="Garamond"/>
                <w:color w:val="000000"/>
              </w:rPr>
            </w:pPr>
            <w:r w:rsidRPr="008A703F">
              <w:rPr>
                <w:rFonts w:ascii="Garamond" w:hAnsi="Garamond"/>
                <w:color w:val="000000"/>
              </w:rPr>
              <w:t>-0.2025</w:t>
            </w:r>
          </w:p>
        </w:tc>
        <w:tc>
          <w:tcPr>
            <w:tcW w:w="357" w:type="pct"/>
            <w:shd w:val="clear" w:color="auto" w:fill="auto"/>
            <w:noWrap/>
            <w:vAlign w:val="bottom"/>
          </w:tcPr>
          <w:p w14:paraId="314280E8" w14:textId="77777777" w:rsidR="00BE49FD" w:rsidRPr="008A703F" w:rsidRDefault="00BE49FD" w:rsidP="00B90008">
            <w:pPr>
              <w:jc w:val="right"/>
              <w:rPr>
                <w:rFonts w:ascii="Garamond" w:hAnsi="Garamond"/>
                <w:color w:val="000000"/>
              </w:rPr>
            </w:pPr>
            <w:r w:rsidRPr="008A703F">
              <w:rPr>
                <w:rFonts w:ascii="Garamond" w:hAnsi="Garamond"/>
                <w:color w:val="000000"/>
              </w:rPr>
              <w:t>-0.0323*</w:t>
            </w:r>
          </w:p>
        </w:tc>
        <w:tc>
          <w:tcPr>
            <w:tcW w:w="390" w:type="pct"/>
            <w:shd w:val="clear" w:color="auto" w:fill="auto"/>
            <w:noWrap/>
            <w:vAlign w:val="bottom"/>
          </w:tcPr>
          <w:p w14:paraId="5F57FEE0" w14:textId="77777777" w:rsidR="00BE49FD" w:rsidRPr="008A703F" w:rsidRDefault="00BE49FD" w:rsidP="00B90008">
            <w:pPr>
              <w:jc w:val="right"/>
              <w:rPr>
                <w:rFonts w:ascii="Garamond" w:hAnsi="Garamond"/>
                <w:color w:val="000000"/>
              </w:rPr>
            </w:pPr>
            <w:r w:rsidRPr="008A703F">
              <w:rPr>
                <w:rFonts w:ascii="Garamond" w:hAnsi="Garamond"/>
                <w:color w:val="000000"/>
              </w:rPr>
              <w:t>-0.0255***</w:t>
            </w:r>
          </w:p>
        </w:tc>
        <w:tc>
          <w:tcPr>
            <w:tcW w:w="336" w:type="pct"/>
            <w:shd w:val="clear" w:color="auto" w:fill="auto"/>
            <w:noWrap/>
            <w:vAlign w:val="bottom"/>
          </w:tcPr>
          <w:p w14:paraId="4DD9B2DD" w14:textId="77777777" w:rsidR="00BE49FD" w:rsidRPr="008A703F" w:rsidRDefault="00BE49FD" w:rsidP="00B90008">
            <w:pPr>
              <w:jc w:val="right"/>
              <w:rPr>
                <w:rFonts w:ascii="Garamond" w:hAnsi="Garamond"/>
                <w:color w:val="000000"/>
              </w:rPr>
            </w:pPr>
            <w:r w:rsidRPr="008A703F">
              <w:rPr>
                <w:rFonts w:ascii="Garamond" w:hAnsi="Garamond"/>
                <w:color w:val="000000"/>
              </w:rPr>
              <w:t>-0.0004</w:t>
            </w:r>
          </w:p>
        </w:tc>
        <w:tc>
          <w:tcPr>
            <w:tcW w:w="336" w:type="pct"/>
            <w:shd w:val="clear" w:color="auto" w:fill="auto"/>
            <w:noWrap/>
            <w:vAlign w:val="bottom"/>
          </w:tcPr>
          <w:p w14:paraId="33AF99CF" w14:textId="77777777" w:rsidR="00BE49FD" w:rsidRPr="008A703F" w:rsidRDefault="00BE49FD" w:rsidP="00B90008">
            <w:pPr>
              <w:jc w:val="right"/>
              <w:rPr>
                <w:rFonts w:ascii="Garamond" w:hAnsi="Garamond"/>
                <w:color w:val="000000"/>
              </w:rPr>
            </w:pPr>
            <w:r w:rsidRPr="008A703F">
              <w:rPr>
                <w:rFonts w:ascii="Garamond" w:hAnsi="Garamond"/>
                <w:color w:val="000000"/>
              </w:rPr>
              <w:t>-0.2951</w:t>
            </w:r>
          </w:p>
        </w:tc>
      </w:tr>
      <w:tr w:rsidR="00BE49FD" w:rsidRPr="008A703F" w14:paraId="56FD80D4" w14:textId="77777777" w:rsidTr="00B90008">
        <w:trPr>
          <w:trHeight w:val="300"/>
          <w:jc w:val="center"/>
        </w:trPr>
        <w:tc>
          <w:tcPr>
            <w:tcW w:w="743" w:type="pct"/>
            <w:shd w:val="clear" w:color="auto" w:fill="auto"/>
            <w:noWrap/>
            <w:vAlign w:val="center"/>
          </w:tcPr>
          <w:p w14:paraId="5AC48E22"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Industrial production</w:t>
            </w:r>
            <w:r w:rsidRPr="002768EE">
              <w:rPr>
                <w:rFonts w:ascii="Garamond" w:hAnsi="Garamond"/>
                <w:color w:val="000000"/>
                <w:vertAlign w:val="subscript"/>
              </w:rPr>
              <w:t>t-1</w:t>
            </w:r>
          </w:p>
        </w:tc>
        <w:tc>
          <w:tcPr>
            <w:tcW w:w="357" w:type="pct"/>
            <w:shd w:val="clear" w:color="auto" w:fill="auto"/>
            <w:noWrap/>
            <w:vAlign w:val="bottom"/>
          </w:tcPr>
          <w:p w14:paraId="418D9FDE" w14:textId="77777777" w:rsidR="00BE49FD" w:rsidRPr="008A703F" w:rsidRDefault="00BE49FD" w:rsidP="00B90008">
            <w:pPr>
              <w:jc w:val="right"/>
              <w:rPr>
                <w:rFonts w:ascii="Garamond" w:hAnsi="Garamond"/>
                <w:color w:val="000000"/>
              </w:rPr>
            </w:pPr>
            <w:r w:rsidRPr="008A703F">
              <w:rPr>
                <w:rFonts w:ascii="Garamond" w:hAnsi="Garamond"/>
                <w:color w:val="000000"/>
              </w:rPr>
              <w:t>0.0013***</w:t>
            </w:r>
          </w:p>
        </w:tc>
        <w:tc>
          <w:tcPr>
            <w:tcW w:w="390" w:type="pct"/>
            <w:shd w:val="clear" w:color="auto" w:fill="auto"/>
            <w:noWrap/>
            <w:vAlign w:val="bottom"/>
          </w:tcPr>
          <w:p w14:paraId="713AE89A" w14:textId="77777777" w:rsidR="00BE49FD" w:rsidRPr="008A703F" w:rsidRDefault="00BE49FD" w:rsidP="00B90008">
            <w:pPr>
              <w:jc w:val="right"/>
              <w:rPr>
                <w:rFonts w:ascii="Garamond" w:hAnsi="Garamond"/>
                <w:color w:val="000000"/>
              </w:rPr>
            </w:pPr>
            <w:r w:rsidRPr="008A703F">
              <w:rPr>
                <w:rFonts w:ascii="Garamond" w:hAnsi="Garamond"/>
                <w:color w:val="000000"/>
              </w:rPr>
              <w:t>0.0066</w:t>
            </w:r>
          </w:p>
        </w:tc>
        <w:tc>
          <w:tcPr>
            <w:tcW w:w="336" w:type="pct"/>
            <w:shd w:val="clear" w:color="auto" w:fill="auto"/>
            <w:noWrap/>
            <w:vAlign w:val="bottom"/>
          </w:tcPr>
          <w:p w14:paraId="7BFA5DCB" w14:textId="77777777" w:rsidR="00BE49FD" w:rsidRPr="008A703F" w:rsidRDefault="00BE49FD" w:rsidP="00B90008">
            <w:pPr>
              <w:jc w:val="right"/>
              <w:rPr>
                <w:rFonts w:ascii="Garamond" w:hAnsi="Garamond"/>
                <w:color w:val="000000"/>
              </w:rPr>
            </w:pPr>
            <w:r w:rsidRPr="008A703F">
              <w:rPr>
                <w:rFonts w:ascii="Garamond" w:hAnsi="Garamond"/>
                <w:color w:val="000000"/>
              </w:rPr>
              <w:t>-0.0003</w:t>
            </w:r>
          </w:p>
        </w:tc>
        <w:tc>
          <w:tcPr>
            <w:tcW w:w="336" w:type="pct"/>
            <w:shd w:val="clear" w:color="auto" w:fill="auto"/>
            <w:noWrap/>
            <w:vAlign w:val="bottom"/>
          </w:tcPr>
          <w:p w14:paraId="4EED2CB5" w14:textId="77777777" w:rsidR="00BE49FD" w:rsidRPr="008A703F" w:rsidRDefault="00BE49FD" w:rsidP="00B90008">
            <w:pPr>
              <w:jc w:val="right"/>
              <w:rPr>
                <w:rFonts w:ascii="Garamond" w:hAnsi="Garamond"/>
                <w:color w:val="000000"/>
              </w:rPr>
            </w:pPr>
            <w:r w:rsidRPr="008A703F">
              <w:rPr>
                <w:rFonts w:ascii="Garamond" w:hAnsi="Garamond"/>
                <w:color w:val="000000"/>
              </w:rPr>
              <w:t>-0.1922</w:t>
            </w:r>
          </w:p>
        </w:tc>
        <w:tc>
          <w:tcPr>
            <w:tcW w:w="357" w:type="pct"/>
            <w:shd w:val="clear" w:color="auto" w:fill="auto"/>
            <w:noWrap/>
            <w:vAlign w:val="bottom"/>
          </w:tcPr>
          <w:p w14:paraId="7BD8EE3F" w14:textId="77777777" w:rsidR="00BE49FD" w:rsidRPr="008A703F" w:rsidRDefault="00BE49FD" w:rsidP="00B90008">
            <w:pPr>
              <w:jc w:val="right"/>
              <w:rPr>
                <w:rFonts w:ascii="Garamond" w:hAnsi="Garamond"/>
                <w:color w:val="000000"/>
              </w:rPr>
            </w:pPr>
            <w:r w:rsidRPr="008A703F">
              <w:rPr>
                <w:rFonts w:ascii="Garamond" w:hAnsi="Garamond"/>
                <w:color w:val="000000"/>
              </w:rPr>
              <w:t>0.0010</w:t>
            </w:r>
          </w:p>
        </w:tc>
        <w:tc>
          <w:tcPr>
            <w:tcW w:w="390" w:type="pct"/>
            <w:shd w:val="clear" w:color="auto" w:fill="auto"/>
            <w:noWrap/>
            <w:vAlign w:val="bottom"/>
          </w:tcPr>
          <w:p w14:paraId="4C38E690" w14:textId="77777777" w:rsidR="00BE49FD" w:rsidRPr="008A703F" w:rsidRDefault="00BE49FD" w:rsidP="00B90008">
            <w:pPr>
              <w:jc w:val="right"/>
              <w:rPr>
                <w:rFonts w:ascii="Garamond" w:hAnsi="Garamond"/>
                <w:color w:val="000000"/>
              </w:rPr>
            </w:pPr>
            <w:r w:rsidRPr="008A703F">
              <w:rPr>
                <w:rFonts w:ascii="Garamond" w:hAnsi="Garamond"/>
                <w:color w:val="000000"/>
              </w:rPr>
              <w:t>0.0051</w:t>
            </w:r>
          </w:p>
        </w:tc>
        <w:tc>
          <w:tcPr>
            <w:tcW w:w="336" w:type="pct"/>
            <w:shd w:val="clear" w:color="auto" w:fill="auto"/>
            <w:noWrap/>
            <w:vAlign w:val="bottom"/>
          </w:tcPr>
          <w:p w14:paraId="3DF20FEF" w14:textId="77777777" w:rsidR="00BE49FD" w:rsidRPr="008A703F" w:rsidRDefault="00BE49FD" w:rsidP="00B90008">
            <w:pPr>
              <w:jc w:val="right"/>
              <w:rPr>
                <w:rFonts w:ascii="Garamond" w:hAnsi="Garamond"/>
                <w:color w:val="000000"/>
              </w:rPr>
            </w:pPr>
            <w:r w:rsidRPr="008A703F">
              <w:rPr>
                <w:rFonts w:ascii="Garamond" w:hAnsi="Garamond"/>
                <w:color w:val="000000"/>
              </w:rPr>
              <w:t>0.0031</w:t>
            </w:r>
          </w:p>
        </w:tc>
        <w:tc>
          <w:tcPr>
            <w:tcW w:w="336" w:type="pct"/>
            <w:shd w:val="clear" w:color="auto" w:fill="auto"/>
            <w:noWrap/>
            <w:vAlign w:val="bottom"/>
          </w:tcPr>
          <w:p w14:paraId="0A5A13B4" w14:textId="77777777" w:rsidR="00BE49FD" w:rsidRPr="008A703F" w:rsidRDefault="00BE49FD" w:rsidP="00B90008">
            <w:pPr>
              <w:jc w:val="right"/>
              <w:rPr>
                <w:rFonts w:ascii="Garamond" w:hAnsi="Garamond"/>
                <w:color w:val="000000"/>
              </w:rPr>
            </w:pPr>
            <w:r w:rsidRPr="008A703F">
              <w:rPr>
                <w:rFonts w:ascii="Garamond" w:hAnsi="Garamond"/>
                <w:color w:val="000000"/>
              </w:rPr>
              <w:t>-0.2846</w:t>
            </w:r>
          </w:p>
        </w:tc>
        <w:tc>
          <w:tcPr>
            <w:tcW w:w="357" w:type="pct"/>
            <w:shd w:val="clear" w:color="auto" w:fill="auto"/>
            <w:noWrap/>
            <w:vAlign w:val="bottom"/>
          </w:tcPr>
          <w:p w14:paraId="3CB285A1" w14:textId="77777777" w:rsidR="00BE49FD" w:rsidRPr="008A703F" w:rsidRDefault="00BE49FD" w:rsidP="00B90008">
            <w:pPr>
              <w:jc w:val="right"/>
              <w:rPr>
                <w:rFonts w:ascii="Garamond" w:hAnsi="Garamond"/>
                <w:color w:val="000000"/>
              </w:rPr>
            </w:pPr>
            <w:r w:rsidRPr="008A703F">
              <w:rPr>
                <w:rFonts w:ascii="Garamond" w:hAnsi="Garamond"/>
                <w:color w:val="000000"/>
              </w:rPr>
              <w:t>0.0012***</w:t>
            </w:r>
          </w:p>
        </w:tc>
        <w:tc>
          <w:tcPr>
            <w:tcW w:w="390" w:type="pct"/>
            <w:shd w:val="clear" w:color="auto" w:fill="auto"/>
            <w:noWrap/>
            <w:vAlign w:val="bottom"/>
          </w:tcPr>
          <w:p w14:paraId="27BD55E5" w14:textId="77777777" w:rsidR="00BE49FD" w:rsidRPr="008A703F" w:rsidRDefault="00BE49FD" w:rsidP="00B90008">
            <w:pPr>
              <w:jc w:val="right"/>
              <w:rPr>
                <w:rFonts w:ascii="Garamond" w:hAnsi="Garamond"/>
                <w:color w:val="000000"/>
              </w:rPr>
            </w:pPr>
            <w:r w:rsidRPr="008A703F">
              <w:rPr>
                <w:rFonts w:ascii="Garamond" w:hAnsi="Garamond"/>
                <w:color w:val="000000"/>
              </w:rPr>
              <w:t>0.0043</w:t>
            </w:r>
          </w:p>
        </w:tc>
        <w:tc>
          <w:tcPr>
            <w:tcW w:w="336" w:type="pct"/>
            <w:shd w:val="clear" w:color="auto" w:fill="auto"/>
            <w:noWrap/>
            <w:vAlign w:val="bottom"/>
          </w:tcPr>
          <w:p w14:paraId="2594F4F4" w14:textId="77777777" w:rsidR="00BE49FD" w:rsidRPr="008A703F" w:rsidRDefault="00BE49FD" w:rsidP="00B90008">
            <w:pPr>
              <w:jc w:val="right"/>
              <w:rPr>
                <w:rFonts w:ascii="Garamond" w:hAnsi="Garamond"/>
                <w:color w:val="000000"/>
              </w:rPr>
            </w:pPr>
            <w:r w:rsidRPr="008A703F">
              <w:rPr>
                <w:rFonts w:ascii="Garamond" w:hAnsi="Garamond"/>
                <w:color w:val="000000"/>
              </w:rPr>
              <w:t>-0.0002</w:t>
            </w:r>
          </w:p>
        </w:tc>
        <w:tc>
          <w:tcPr>
            <w:tcW w:w="336" w:type="pct"/>
            <w:shd w:val="clear" w:color="auto" w:fill="auto"/>
            <w:noWrap/>
            <w:vAlign w:val="bottom"/>
          </w:tcPr>
          <w:p w14:paraId="5E860869" w14:textId="77777777" w:rsidR="00BE49FD" w:rsidRPr="008A703F" w:rsidRDefault="00BE49FD" w:rsidP="00B90008">
            <w:pPr>
              <w:jc w:val="right"/>
              <w:rPr>
                <w:rFonts w:ascii="Garamond" w:hAnsi="Garamond"/>
                <w:color w:val="000000"/>
              </w:rPr>
            </w:pPr>
            <w:r w:rsidRPr="008A703F">
              <w:rPr>
                <w:rFonts w:ascii="Garamond" w:hAnsi="Garamond"/>
                <w:color w:val="000000"/>
              </w:rPr>
              <w:t>-0.1971*</w:t>
            </w:r>
          </w:p>
        </w:tc>
      </w:tr>
      <w:tr w:rsidR="00BE49FD" w:rsidRPr="008A703F" w14:paraId="77CCE53D" w14:textId="77777777" w:rsidTr="00B90008">
        <w:trPr>
          <w:trHeight w:val="300"/>
          <w:jc w:val="center"/>
        </w:trPr>
        <w:tc>
          <w:tcPr>
            <w:tcW w:w="743" w:type="pct"/>
            <w:shd w:val="clear" w:color="auto" w:fill="auto"/>
            <w:noWrap/>
            <w:vAlign w:val="center"/>
          </w:tcPr>
          <w:p w14:paraId="5644394E"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Inflation</w:t>
            </w:r>
            <w:r w:rsidRPr="002768EE">
              <w:rPr>
                <w:rFonts w:ascii="Garamond" w:hAnsi="Garamond"/>
                <w:color w:val="000000"/>
                <w:vertAlign w:val="subscript"/>
              </w:rPr>
              <w:t>t-1</w:t>
            </w:r>
          </w:p>
        </w:tc>
        <w:tc>
          <w:tcPr>
            <w:tcW w:w="357" w:type="pct"/>
            <w:shd w:val="clear" w:color="auto" w:fill="auto"/>
            <w:noWrap/>
            <w:vAlign w:val="bottom"/>
          </w:tcPr>
          <w:p w14:paraId="12573B95" w14:textId="77777777" w:rsidR="00BE49FD" w:rsidRPr="008A703F" w:rsidRDefault="00BE49FD" w:rsidP="00B90008">
            <w:pPr>
              <w:jc w:val="right"/>
              <w:rPr>
                <w:rFonts w:ascii="Garamond" w:hAnsi="Garamond"/>
                <w:color w:val="000000"/>
              </w:rPr>
            </w:pPr>
            <w:r w:rsidRPr="008A703F">
              <w:rPr>
                <w:rFonts w:ascii="Garamond" w:hAnsi="Garamond"/>
                <w:color w:val="000000"/>
              </w:rPr>
              <w:t>-0.0205</w:t>
            </w:r>
          </w:p>
        </w:tc>
        <w:tc>
          <w:tcPr>
            <w:tcW w:w="390" w:type="pct"/>
            <w:shd w:val="clear" w:color="auto" w:fill="auto"/>
            <w:noWrap/>
            <w:vAlign w:val="bottom"/>
          </w:tcPr>
          <w:p w14:paraId="3795793A" w14:textId="77777777" w:rsidR="00BE49FD" w:rsidRPr="008A703F" w:rsidRDefault="00BE49FD" w:rsidP="00B90008">
            <w:pPr>
              <w:jc w:val="right"/>
              <w:rPr>
                <w:rFonts w:ascii="Garamond" w:hAnsi="Garamond"/>
                <w:color w:val="000000"/>
              </w:rPr>
            </w:pPr>
            <w:r w:rsidRPr="008A703F">
              <w:rPr>
                <w:rFonts w:ascii="Garamond" w:hAnsi="Garamond"/>
                <w:color w:val="000000"/>
              </w:rPr>
              <w:t>-0.0091</w:t>
            </w:r>
          </w:p>
        </w:tc>
        <w:tc>
          <w:tcPr>
            <w:tcW w:w="336" w:type="pct"/>
            <w:shd w:val="clear" w:color="auto" w:fill="auto"/>
            <w:noWrap/>
            <w:vAlign w:val="bottom"/>
          </w:tcPr>
          <w:p w14:paraId="7C588573" w14:textId="77777777" w:rsidR="00BE49FD" w:rsidRPr="008A703F" w:rsidRDefault="00BE49FD" w:rsidP="00B90008">
            <w:pPr>
              <w:jc w:val="right"/>
              <w:rPr>
                <w:rFonts w:ascii="Garamond" w:hAnsi="Garamond"/>
                <w:color w:val="000000"/>
              </w:rPr>
            </w:pPr>
            <w:r w:rsidRPr="008A703F">
              <w:rPr>
                <w:rFonts w:ascii="Garamond" w:hAnsi="Garamond"/>
                <w:color w:val="000000"/>
              </w:rPr>
              <w:t>-0.0009</w:t>
            </w:r>
          </w:p>
        </w:tc>
        <w:tc>
          <w:tcPr>
            <w:tcW w:w="336" w:type="pct"/>
            <w:shd w:val="clear" w:color="auto" w:fill="auto"/>
            <w:noWrap/>
            <w:vAlign w:val="bottom"/>
          </w:tcPr>
          <w:p w14:paraId="6B0495BE" w14:textId="77777777" w:rsidR="00BE49FD" w:rsidRPr="008A703F" w:rsidRDefault="00BE49FD" w:rsidP="00B90008">
            <w:pPr>
              <w:jc w:val="right"/>
              <w:rPr>
                <w:rFonts w:ascii="Garamond" w:hAnsi="Garamond"/>
                <w:color w:val="000000"/>
              </w:rPr>
            </w:pPr>
            <w:r w:rsidRPr="008A703F">
              <w:rPr>
                <w:rFonts w:ascii="Garamond" w:hAnsi="Garamond"/>
                <w:color w:val="000000"/>
              </w:rPr>
              <w:t>0.1982</w:t>
            </w:r>
          </w:p>
        </w:tc>
        <w:tc>
          <w:tcPr>
            <w:tcW w:w="357" w:type="pct"/>
            <w:shd w:val="clear" w:color="auto" w:fill="auto"/>
            <w:noWrap/>
            <w:vAlign w:val="bottom"/>
          </w:tcPr>
          <w:p w14:paraId="29F19BBA" w14:textId="77777777" w:rsidR="00BE49FD" w:rsidRPr="008A703F" w:rsidRDefault="00BE49FD" w:rsidP="00B90008">
            <w:pPr>
              <w:jc w:val="right"/>
              <w:rPr>
                <w:rFonts w:ascii="Garamond" w:hAnsi="Garamond"/>
                <w:color w:val="000000"/>
              </w:rPr>
            </w:pPr>
            <w:r w:rsidRPr="008A703F">
              <w:rPr>
                <w:rFonts w:ascii="Garamond" w:hAnsi="Garamond"/>
                <w:color w:val="000000"/>
              </w:rPr>
              <w:t>-0.02167</w:t>
            </w:r>
          </w:p>
        </w:tc>
        <w:tc>
          <w:tcPr>
            <w:tcW w:w="390" w:type="pct"/>
            <w:shd w:val="clear" w:color="auto" w:fill="auto"/>
            <w:noWrap/>
            <w:vAlign w:val="bottom"/>
          </w:tcPr>
          <w:p w14:paraId="34EFF23B" w14:textId="77777777" w:rsidR="00BE49FD" w:rsidRPr="008A703F" w:rsidRDefault="00BE49FD" w:rsidP="00B90008">
            <w:pPr>
              <w:jc w:val="right"/>
              <w:rPr>
                <w:rFonts w:ascii="Garamond" w:hAnsi="Garamond"/>
                <w:color w:val="000000"/>
              </w:rPr>
            </w:pPr>
            <w:r w:rsidRPr="008A703F">
              <w:rPr>
                <w:rFonts w:ascii="Garamond" w:hAnsi="Garamond"/>
                <w:color w:val="000000"/>
              </w:rPr>
              <w:t>-0.0208**</w:t>
            </w:r>
          </w:p>
        </w:tc>
        <w:tc>
          <w:tcPr>
            <w:tcW w:w="336" w:type="pct"/>
            <w:shd w:val="clear" w:color="auto" w:fill="auto"/>
            <w:noWrap/>
            <w:vAlign w:val="bottom"/>
          </w:tcPr>
          <w:p w14:paraId="742C9C18" w14:textId="77777777" w:rsidR="00BE49FD" w:rsidRPr="008A703F" w:rsidRDefault="00BE49FD" w:rsidP="00B90008">
            <w:pPr>
              <w:jc w:val="right"/>
              <w:rPr>
                <w:rFonts w:ascii="Garamond" w:hAnsi="Garamond"/>
                <w:color w:val="000000"/>
              </w:rPr>
            </w:pPr>
            <w:r w:rsidRPr="008A703F">
              <w:rPr>
                <w:rFonts w:ascii="Garamond" w:hAnsi="Garamond"/>
                <w:color w:val="000000"/>
              </w:rPr>
              <w:t>-0.0377</w:t>
            </w:r>
          </w:p>
        </w:tc>
        <w:tc>
          <w:tcPr>
            <w:tcW w:w="336" w:type="pct"/>
            <w:shd w:val="clear" w:color="auto" w:fill="auto"/>
            <w:noWrap/>
            <w:vAlign w:val="bottom"/>
          </w:tcPr>
          <w:p w14:paraId="6E6D3CAD" w14:textId="77777777" w:rsidR="00BE49FD" w:rsidRPr="008A703F" w:rsidRDefault="00BE49FD" w:rsidP="00B90008">
            <w:pPr>
              <w:jc w:val="right"/>
              <w:rPr>
                <w:rFonts w:ascii="Garamond" w:hAnsi="Garamond"/>
                <w:color w:val="000000"/>
              </w:rPr>
            </w:pPr>
            <w:r w:rsidRPr="008A703F">
              <w:rPr>
                <w:rFonts w:ascii="Garamond" w:hAnsi="Garamond"/>
                <w:color w:val="000000"/>
              </w:rPr>
              <w:t>0.3653**</w:t>
            </w:r>
          </w:p>
        </w:tc>
        <w:tc>
          <w:tcPr>
            <w:tcW w:w="357" w:type="pct"/>
            <w:shd w:val="clear" w:color="auto" w:fill="auto"/>
            <w:noWrap/>
            <w:vAlign w:val="bottom"/>
          </w:tcPr>
          <w:p w14:paraId="6FBDB1B4" w14:textId="77777777" w:rsidR="00BE49FD" w:rsidRPr="008A703F" w:rsidRDefault="00BE49FD" w:rsidP="00B90008">
            <w:pPr>
              <w:jc w:val="right"/>
              <w:rPr>
                <w:rFonts w:ascii="Garamond" w:hAnsi="Garamond"/>
                <w:color w:val="000000"/>
              </w:rPr>
            </w:pPr>
            <w:r w:rsidRPr="008A703F">
              <w:rPr>
                <w:rFonts w:ascii="Garamond" w:hAnsi="Garamond"/>
                <w:color w:val="000000"/>
              </w:rPr>
              <w:t>-0.0232</w:t>
            </w:r>
          </w:p>
        </w:tc>
        <w:tc>
          <w:tcPr>
            <w:tcW w:w="390" w:type="pct"/>
            <w:shd w:val="clear" w:color="auto" w:fill="auto"/>
            <w:noWrap/>
            <w:vAlign w:val="bottom"/>
          </w:tcPr>
          <w:p w14:paraId="5B574624" w14:textId="77777777" w:rsidR="00BE49FD" w:rsidRPr="008A703F" w:rsidRDefault="00BE49FD" w:rsidP="00B90008">
            <w:pPr>
              <w:jc w:val="right"/>
              <w:rPr>
                <w:rFonts w:ascii="Garamond" w:hAnsi="Garamond"/>
                <w:color w:val="000000"/>
              </w:rPr>
            </w:pPr>
            <w:r w:rsidRPr="008A703F">
              <w:rPr>
                <w:rFonts w:ascii="Garamond" w:hAnsi="Garamond"/>
                <w:color w:val="000000"/>
              </w:rPr>
              <w:t>-0.0234***</w:t>
            </w:r>
          </w:p>
        </w:tc>
        <w:tc>
          <w:tcPr>
            <w:tcW w:w="336" w:type="pct"/>
            <w:shd w:val="clear" w:color="auto" w:fill="auto"/>
            <w:noWrap/>
            <w:vAlign w:val="bottom"/>
          </w:tcPr>
          <w:p w14:paraId="3E2AC7BE" w14:textId="77777777" w:rsidR="00BE49FD" w:rsidRPr="008A703F" w:rsidRDefault="00BE49FD" w:rsidP="00B90008">
            <w:pPr>
              <w:jc w:val="right"/>
              <w:rPr>
                <w:rFonts w:ascii="Garamond" w:hAnsi="Garamond"/>
                <w:color w:val="000000"/>
              </w:rPr>
            </w:pPr>
            <w:r w:rsidRPr="008A703F">
              <w:rPr>
                <w:rFonts w:ascii="Garamond" w:hAnsi="Garamond"/>
                <w:color w:val="000000"/>
              </w:rPr>
              <w:t>-0.0010</w:t>
            </w:r>
          </w:p>
        </w:tc>
        <w:tc>
          <w:tcPr>
            <w:tcW w:w="336" w:type="pct"/>
            <w:shd w:val="clear" w:color="auto" w:fill="auto"/>
            <w:noWrap/>
            <w:vAlign w:val="bottom"/>
          </w:tcPr>
          <w:p w14:paraId="0A3D96BF" w14:textId="77777777" w:rsidR="00BE49FD" w:rsidRPr="008A703F" w:rsidRDefault="00BE49FD" w:rsidP="00B90008">
            <w:pPr>
              <w:jc w:val="right"/>
              <w:rPr>
                <w:rFonts w:ascii="Garamond" w:hAnsi="Garamond"/>
                <w:color w:val="000000"/>
              </w:rPr>
            </w:pPr>
            <w:r w:rsidRPr="008A703F">
              <w:rPr>
                <w:rFonts w:ascii="Garamond" w:hAnsi="Garamond"/>
                <w:color w:val="000000"/>
              </w:rPr>
              <w:t>0.2953*</w:t>
            </w:r>
          </w:p>
        </w:tc>
      </w:tr>
      <w:tr w:rsidR="00BE49FD" w:rsidRPr="008A703F" w14:paraId="51E6123C" w14:textId="77777777" w:rsidTr="00B90008">
        <w:trPr>
          <w:trHeight w:val="300"/>
          <w:jc w:val="center"/>
        </w:trPr>
        <w:tc>
          <w:tcPr>
            <w:tcW w:w="743" w:type="pct"/>
            <w:shd w:val="clear" w:color="auto" w:fill="auto"/>
            <w:noWrap/>
            <w:vAlign w:val="center"/>
          </w:tcPr>
          <w:p w14:paraId="0A835CC9" w14:textId="77777777" w:rsidR="00BE49FD" w:rsidRPr="002768EE" w:rsidRDefault="00BE49FD" w:rsidP="00B90008">
            <w:pPr>
              <w:spacing w:line="240" w:lineRule="auto"/>
              <w:contextualSpacing/>
              <w:rPr>
                <w:rFonts w:ascii="Garamond" w:hAnsi="Garamond"/>
                <w:color w:val="000000"/>
                <w:vertAlign w:val="subscript"/>
              </w:rPr>
            </w:pPr>
            <w:r w:rsidRPr="002768EE">
              <w:rPr>
                <w:rFonts w:ascii="Garamond" w:hAnsi="Garamond"/>
                <w:color w:val="000000"/>
              </w:rPr>
              <w:t>Stock Index</w:t>
            </w:r>
            <w:r w:rsidRPr="002768EE">
              <w:rPr>
                <w:rFonts w:ascii="Garamond" w:hAnsi="Garamond"/>
                <w:color w:val="000000"/>
                <w:vertAlign w:val="subscript"/>
              </w:rPr>
              <w:t>t-1</w:t>
            </w:r>
          </w:p>
        </w:tc>
        <w:tc>
          <w:tcPr>
            <w:tcW w:w="357" w:type="pct"/>
            <w:shd w:val="clear" w:color="auto" w:fill="auto"/>
            <w:noWrap/>
            <w:vAlign w:val="bottom"/>
          </w:tcPr>
          <w:p w14:paraId="6C8B35CD" w14:textId="77777777" w:rsidR="00BE49FD" w:rsidRPr="008A703F" w:rsidRDefault="00BE49FD" w:rsidP="00B90008">
            <w:pPr>
              <w:jc w:val="right"/>
              <w:rPr>
                <w:rFonts w:ascii="Garamond" w:hAnsi="Garamond"/>
                <w:color w:val="000000"/>
              </w:rPr>
            </w:pPr>
            <w:r w:rsidRPr="008A703F">
              <w:rPr>
                <w:rFonts w:ascii="Garamond" w:hAnsi="Garamond"/>
                <w:color w:val="000000"/>
              </w:rPr>
              <w:t>0.1409</w:t>
            </w:r>
          </w:p>
        </w:tc>
        <w:tc>
          <w:tcPr>
            <w:tcW w:w="390" w:type="pct"/>
            <w:shd w:val="clear" w:color="auto" w:fill="auto"/>
            <w:noWrap/>
            <w:vAlign w:val="bottom"/>
          </w:tcPr>
          <w:p w14:paraId="339BEED0" w14:textId="77777777" w:rsidR="00BE49FD" w:rsidRPr="008A703F" w:rsidRDefault="00BE49FD" w:rsidP="00B90008">
            <w:pPr>
              <w:jc w:val="right"/>
              <w:rPr>
                <w:rFonts w:ascii="Garamond" w:hAnsi="Garamond"/>
                <w:color w:val="000000"/>
              </w:rPr>
            </w:pPr>
            <w:r w:rsidRPr="008A703F">
              <w:rPr>
                <w:rFonts w:ascii="Garamond" w:hAnsi="Garamond"/>
                <w:color w:val="000000"/>
              </w:rPr>
              <w:t>0.2061</w:t>
            </w:r>
          </w:p>
        </w:tc>
        <w:tc>
          <w:tcPr>
            <w:tcW w:w="336" w:type="pct"/>
            <w:shd w:val="clear" w:color="auto" w:fill="auto"/>
            <w:noWrap/>
            <w:vAlign w:val="bottom"/>
          </w:tcPr>
          <w:p w14:paraId="0025666D" w14:textId="77777777" w:rsidR="00BE49FD" w:rsidRPr="008A703F" w:rsidRDefault="00BE49FD" w:rsidP="00B90008">
            <w:pPr>
              <w:jc w:val="right"/>
              <w:rPr>
                <w:rFonts w:ascii="Garamond" w:hAnsi="Garamond"/>
                <w:color w:val="000000"/>
              </w:rPr>
            </w:pPr>
            <w:r w:rsidRPr="008A703F">
              <w:rPr>
                <w:rFonts w:ascii="Garamond" w:hAnsi="Garamond"/>
                <w:color w:val="000000"/>
              </w:rPr>
              <w:t>-0.0081</w:t>
            </w:r>
          </w:p>
        </w:tc>
        <w:tc>
          <w:tcPr>
            <w:tcW w:w="336" w:type="pct"/>
            <w:shd w:val="clear" w:color="auto" w:fill="auto"/>
            <w:noWrap/>
            <w:vAlign w:val="bottom"/>
          </w:tcPr>
          <w:p w14:paraId="35D7144D" w14:textId="77777777" w:rsidR="00BE49FD" w:rsidRPr="008A703F" w:rsidRDefault="00BE49FD" w:rsidP="00B90008">
            <w:pPr>
              <w:jc w:val="right"/>
              <w:rPr>
                <w:rFonts w:ascii="Garamond" w:hAnsi="Garamond"/>
                <w:color w:val="000000"/>
              </w:rPr>
            </w:pPr>
            <w:r w:rsidRPr="008A703F">
              <w:rPr>
                <w:rFonts w:ascii="Garamond" w:hAnsi="Garamond"/>
                <w:color w:val="000000"/>
              </w:rPr>
              <w:t>-0.2339</w:t>
            </w:r>
          </w:p>
        </w:tc>
        <w:tc>
          <w:tcPr>
            <w:tcW w:w="357" w:type="pct"/>
            <w:shd w:val="clear" w:color="auto" w:fill="auto"/>
            <w:noWrap/>
            <w:vAlign w:val="bottom"/>
          </w:tcPr>
          <w:p w14:paraId="1732AA5D" w14:textId="77777777" w:rsidR="00BE49FD" w:rsidRPr="008A703F" w:rsidRDefault="00BE49FD" w:rsidP="00B90008">
            <w:pPr>
              <w:jc w:val="right"/>
              <w:rPr>
                <w:rFonts w:ascii="Garamond" w:hAnsi="Garamond"/>
                <w:color w:val="000000"/>
              </w:rPr>
            </w:pPr>
            <w:r w:rsidRPr="008A703F">
              <w:rPr>
                <w:rFonts w:ascii="Garamond" w:hAnsi="Garamond"/>
                <w:color w:val="000000"/>
              </w:rPr>
              <w:t>0.1406</w:t>
            </w:r>
          </w:p>
        </w:tc>
        <w:tc>
          <w:tcPr>
            <w:tcW w:w="390" w:type="pct"/>
            <w:shd w:val="clear" w:color="auto" w:fill="auto"/>
            <w:noWrap/>
            <w:vAlign w:val="bottom"/>
          </w:tcPr>
          <w:p w14:paraId="0DBE723A" w14:textId="77777777" w:rsidR="00BE49FD" w:rsidRPr="008A703F" w:rsidRDefault="00BE49FD" w:rsidP="00B90008">
            <w:pPr>
              <w:jc w:val="right"/>
              <w:rPr>
                <w:rFonts w:ascii="Garamond" w:hAnsi="Garamond"/>
                <w:color w:val="000000"/>
              </w:rPr>
            </w:pPr>
            <w:r w:rsidRPr="008A703F">
              <w:rPr>
                <w:rFonts w:ascii="Garamond" w:hAnsi="Garamond"/>
                <w:color w:val="000000"/>
              </w:rPr>
              <w:t>0.2329</w:t>
            </w:r>
          </w:p>
        </w:tc>
        <w:tc>
          <w:tcPr>
            <w:tcW w:w="336" w:type="pct"/>
            <w:shd w:val="clear" w:color="auto" w:fill="auto"/>
            <w:noWrap/>
            <w:vAlign w:val="bottom"/>
          </w:tcPr>
          <w:p w14:paraId="5E30D6A3" w14:textId="77777777" w:rsidR="00BE49FD" w:rsidRPr="008A703F" w:rsidRDefault="00BE49FD" w:rsidP="00B90008">
            <w:pPr>
              <w:jc w:val="right"/>
              <w:rPr>
                <w:rFonts w:ascii="Garamond" w:hAnsi="Garamond"/>
                <w:color w:val="000000"/>
              </w:rPr>
            </w:pPr>
            <w:r w:rsidRPr="008A703F">
              <w:rPr>
                <w:rFonts w:ascii="Garamond" w:hAnsi="Garamond"/>
                <w:color w:val="000000"/>
              </w:rPr>
              <w:t>-0.0801</w:t>
            </w:r>
          </w:p>
        </w:tc>
        <w:tc>
          <w:tcPr>
            <w:tcW w:w="336" w:type="pct"/>
            <w:shd w:val="clear" w:color="auto" w:fill="auto"/>
            <w:noWrap/>
            <w:vAlign w:val="bottom"/>
          </w:tcPr>
          <w:p w14:paraId="12A71491" w14:textId="77777777" w:rsidR="00BE49FD" w:rsidRPr="008A703F" w:rsidRDefault="00BE49FD" w:rsidP="00B90008">
            <w:pPr>
              <w:jc w:val="right"/>
              <w:rPr>
                <w:rFonts w:ascii="Garamond" w:hAnsi="Garamond"/>
                <w:color w:val="000000"/>
              </w:rPr>
            </w:pPr>
            <w:r w:rsidRPr="008A703F">
              <w:rPr>
                <w:rFonts w:ascii="Garamond" w:hAnsi="Garamond"/>
                <w:color w:val="000000"/>
              </w:rPr>
              <w:t>-0.3773**</w:t>
            </w:r>
          </w:p>
        </w:tc>
        <w:tc>
          <w:tcPr>
            <w:tcW w:w="357" w:type="pct"/>
            <w:shd w:val="clear" w:color="auto" w:fill="auto"/>
            <w:noWrap/>
            <w:vAlign w:val="bottom"/>
          </w:tcPr>
          <w:p w14:paraId="2ECCC0FD" w14:textId="77777777" w:rsidR="00BE49FD" w:rsidRPr="008A703F" w:rsidRDefault="00BE49FD" w:rsidP="00B90008">
            <w:pPr>
              <w:jc w:val="right"/>
              <w:rPr>
                <w:rFonts w:ascii="Garamond" w:hAnsi="Garamond"/>
                <w:color w:val="000000"/>
              </w:rPr>
            </w:pPr>
            <w:r w:rsidRPr="008A703F">
              <w:rPr>
                <w:rFonts w:ascii="Garamond" w:hAnsi="Garamond"/>
                <w:color w:val="000000"/>
              </w:rPr>
              <w:t>0.1471</w:t>
            </w:r>
          </w:p>
        </w:tc>
        <w:tc>
          <w:tcPr>
            <w:tcW w:w="390" w:type="pct"/>
            <w:shd w:val="clear" w:color="auto" w:fill="auto"/>
            <w:noWrap/>
            <w:vAlign w:val="bottom"/>
          </w:tcPr>
          <w:p w14:paraId="00147A3D" w14:textId="77777777" w:rsidR="00BE49FD" w:rsidRPr="008A703F" w:rsidRDefault="00BE49FD" w:rsidP="00B90008">
            <w:pPr>
              <w:jc w:val="right"/>
              <w:rPr>
                <w:rFonts w:ascii="Garamond" w:hAnsi="Garamond"/>
                <w:color w:val="000000"/>
              </w:rPr>
            </w:pPr>
            <w:r w:rsidRPr="008A703F">
              <w:rPr>
                <w:rFonts w:ascii="Garamond" w:hAnsi="Garamond"/>
                <w:color w:val="000000"/>
              </w:rPr>
              <w:t>0.2219</w:t>
            </w:r>
          </w:p>
        </w:tc>
        <w:tc>
          <w:tcPr>
            <w:tcW w:w="336" w:type="pct"/>
            <w:shd w:val="clear" w:color="auto" w:fill="auto"/>
            <w:noWrap/>
            <w:vAlign w:val="bottom"/>
          </w:tcPr>
          <w:p w14:paraId="2CA21ED9" w14:textId="77777777" w:rsidR="00BE49FD" w:rsidRPr="008A703F" w:rsidRDefault="00BE49FD" w:rsidP="00B90008">
            <w:pPr>
              <w:jc w:val="right"/>
              <w:rPr>
                <w:rFonts w:ascii="Garamond" w:hAnsi="Garamond"/>
                <w:color w:val="000000"/>
              </w:rPr>
            </w:pPr>
            <w:r w:rsidRPr="008A703F">
              <w:rPr>
                <w:rFonts w:ascii="Garamond" w:hAnsi="Garamond"/>
                <w:color w:val="000000"/>
              </w:rPr>
              <w:t>-0.0072</w:t>
            </w:r>
          </w:p>
        </w:tc>
        <w:tc>
          <w:tcPr>
            <w:tcW w:w="336" w:type="pct"/>
            <w:shd w:val="clear" w:color="auto" w:fill="auto"/>
            <w:noWrap/>
            <w:vAlign w:val="bottom"/>
          </w:tcPr>
          <w:p w14:paraId="62863682" w14:textId="77777777" w:rsidR="00BE49FD" w:rsidRPr="008A703F" w:rsidRDefault="00BE49FD" w:rsidP="00B90008">
            <w:pPr>
              <w:jc w:val="right"/>
              <w:rPr>
                <w:rFonts w:ascii="Garamond" w:hAnsi="Garamond"/>
                <w:color w:val="000000"/>
              </w:rPr>
            </w:pPr>
            <w:r w:rsidRPr="008A703F">
              <w:rPr>
                <w:rFonts w:ascii="Garamond" w:hAnsi="Garamond"/>
                <w:color w:val="000000"/>
              </w:rPr>
              <w:t>-0.2242</w:t>
            </w:r>
          </w:p>
        </w:tc>
      </w:tr>
      <w:tr w:rsidR="00BE49FD" w:rsidRPr="008A703F" w14:paraId="3926992D" w14:textId="77777777" w:rsidTr="00B90008">
        <w:trPr>
          <w:trHeight w:val="300"/>
          <w:jc w:val="center"/>
        </w:trPr>
        <w:tc>
          <w:tcPr>
            <w:tcW w:w="743" w:type="pct"/>
            <w:shd w:val="clear" w:color="auto" w:fill="auto"/>
            <w:noWrap/>
            <w:vAlign w:val="center"/>
          </w:tcPr>
          <w:p w14:paraId="02566F0D" w14:textId="77777777" w:rsidR="00BE49FD" w:rsidRPr="002768EE" w:rsidRDefault="00BE49FD" w:rsidP="00B90008">
            <w:pPr>
              <w:spacing w:line="240" w:lineRule="auto"/>
              <w:contextualSpacing/>
              <w:rPr>
                <w:rFonts w:ascii="Garamond" w:hAnsi="Garamond"/>
                <w:color w:val="000000"/>
              </w:rPr>
            </w:pPr>
          </w:p>
        </w:tc>
        <w:tc>
          <w:tcPr>
            <w:tcW w:w="357" w:type="pct"/>
            <w:shd w:val="clear" w:color="auto" w:fill="auto"/>
            <w:noWrap/>
            <w:vAlign w:val="bottom"/>
          </w:tcPr>
          <w:p w14:paraId="48EF04BD"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390" w:type="pct"/>
            <w:shd w:val="clear" w:color="auto" w:fill="auto"/>
            <w:noWrap/>
            <w:vAlign w:val="bottom"/>
          </w:tcPr>
          <w:p w14:paraId="1495974A"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336" w:type="pct"/>
            <w:shd w:val="clear" w:color="auto" w:fill="auto"/>
            <w:noWrap/>
            <w:vAlign w:val="bottom"/>
          </w:tcPr>
          <w:p w14:paraId="49D9A715"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336" w:type="pct"/>
            <w:shd w:val="clear" w:color="auto" w:fill="auto"/>
            <w:noWrap/>
            <w:vAlign w:val="bottom"/>
          </w:tcPr>
          <w:p w14:paraId="3DEBA91F"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357" w:type="pct"/>
            <w:shd w:val="clear" w:color="auto" w:fill="auto"/>
            <w:noWrap/>
            <w:vAlign w:val="bottom"/>
          </w:tcPr>
          <w:p w14:paraId="14C3D199"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390" w:type="pct"/>
            <w:shd w:val="clear" w:color="auto" w:fill="auto"/>
            <w:noWrap/>
            <w:vAlign w:val="bottom"/>
          </w:tcPr>
          <w:p w14:paraId="374C8B10"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336" w:type="pct"/>
            <w:shd w:val="clear" w:color="auto" w:fill="auto"/>
            <w:noWrap/>
            <w:vAlign w:val="bottom"/>
          </w:tcPr>
          <w:p w14:paraId="0E7FAC4C"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336" w:type="pct"/>
            <w:shd w:val="clear" w:color="auto" w:fill="auto"/>
            <w:noWrap/>
            <w:vAlign w:val="bottom"/>
          </w:tcPr>
          <w:p w14:paraId="53019E06"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357" w:type="pct"/>
            <w:shd w:val="clear" w:color="auto" w:fill="auto"/>
            <w:noWrap/>
            <w:vAlign w:val="bottom"/>
          </w:tcPr>
          <w:p w14:paraId="001831C9"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390" w:type="pct"/>
            <w:shd w:val="clear" w:color="auto" w:fill="auto"/>
            <w:noWrap/>
            <w:vAlign w:val="bottom"/>
          </w:tcPr>
          <w:p w14:paraId="3B3AAB2F"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336" w:type="pct"/>
            <w:shd w:val="clear" w:color="auto" w:fill="auto"/>
            <w:noWrap/>
            <w:vAlign w:val="bottom"/>
          </w:tcPr>
          <w:p w14:paraId="54C608A2" w14:textId="77777777" w:rsidR="00BE49FD" w:rsidRPr="008A703F" w:rsidRDefault="00BE49FD" w:rsidP="00B90008">
            <w:pPr>
              <w:rPr>
                <w:rFonts w:ascii="Garamond" w:hAnsi="Garamond"/>
                <w:color w:val="000000"/>
              </w:rPr>
            </w:pPr>
            <w:r w:rsidRPr="008A703F">
              <w:rPr>
                <w:rFonts w:ascii="Garamond" w:hAnsi="Garamond"/>
                <w:color w:val="000000"/>
              </w:rPr>
              <w:t> </w:t>
            </w:r>
          </w:p>
        </w:tc>
        <w:tc>
          <w:tcPr>
            <w:tcW w:w="336" w:type="pct"/>
            <w:shd w:val="clear" w:color="auto" w:fill="auto"/>
            <w:noWrap/>
            <w:vAlign w:val="bottom"/>
          </w:tcPr>
          <w:p w14:paraId="4C461F2B" w14:textId="77777777" w:rsidR="00BE49FD" w:rsidRPr="008A703F" w:rsidRDefault="00BE49FD" w:rsidP="00B90008">
            <w:pPr>
              <w:rPr>
                <w:rFonts w:ascii="Garamond" w:hAnsi="Garamond"/>
                <w:color w:val="000000"/>
              </w:rPr>
            </w:pPr>
            <w:r w:rsidRPr="008A703F">
              <w:rPr>
                <w:rFonts w:ascii="Garamond" w:hAnsi="Garamond"/>
                <w:color w:val="000000"/>
              </w:rPr>
              <w:t> </w:t>
            </w:r>
          </w:p>
        </w:tc>
      </w:tr>
      <w:tr w:rsidR="00BE49FD" w:rsidRPr="008A703F" w14:paraId="1F371EAB" w14:textId="77777777" w:rsidTr="00B90008">
        <w:trPr>
          <w:trHeight w:val="300"/>
          <w:jc w:val="center"/>
        </w:trPr>
        <w:tc>
          <w:tcPr>
            <w:tcW w:w="743" w:type="pct"/>
            <w:shd w:val="clear" w:color="auto" w:fill="auto"/>
            <w:noWrap/>
            <w:vAlign w:val="center"/>
          </w:tcPr>
          <w:p w14:paraId="18CF240C" w14:textId="77777777" w:rsidR="00BE49FD" w:rsidRPr="002768EE" w:rsidRDefault="00BE49FD" w:rsidP="00B90008">
            <w:pPr>
              <w:spacing w:line="240" w:lineRule="auto"/>
              <w:contextualSpacing/>
              <w:rPr>
                <w:rFonts w:ascii="Garamond" w:hAnsi="Garamond"/>
                <w:color w:val="000000"/>
              </w:rPr>
            </w:pPr>
            <w:r w:rsidRPr="002768EE">
              <w:rPr>
                <w:rFonts w:ascii="Garamond" w:hAnsi="Garamond"/>
                <w:color w:val="000000"/>
              </w:rPr>
              <w:t>R</w:t>
            </w:r>
          </w:p>
        </w:tc>
        <w:tc>
          <w:tcPr>
            <w:tcW w:w="357" w:type="pct"/>
            <w:shd w:val="clear" w:color="auto" w:fill="auto"/>
            <w:noWrap/>
            <w:vAlign w:val="bottom"/>
          </w:tcPr>
          <w:p w14:paraId="5DA6ABE3" w14:textId="77777777" w:rsidR="00BE49FD" w:rsidRPr="008A703F" w:rsidRDefault="00BE49FD" w:rsidP="00B90008">
            <w:pPr>
              <w:jc w:val="right"/>
              <w:rPr>
                <w:rFonts w:ascii="Garamond" w:hAnsi="Garamond"/>
                <w:color w:val="000000"/>
              </w:rPr>
            </w:pPr>
            <w:r w:rsidRPr="008A703F">
              <w:rPr>
                <w:rFonts w:ascii="Garamond" w:hAnsi="Garamond"/>
                <w:color w:val="000000"/>
              </w:rPr>
              <w:t>0.6121</w:t>
            </w:r>
          </w:p>
        </w:tc>
        <w:tc>
          <w:tcPr>
            <w:tcW w:w="390" w:type="pct"/>
            <w:shd w:val="clear" w:color="auto" w:fill="auto"/>
            <w:noWrap/>
            <w:vAlign w:val="bottom"/>
          </w:tcPr>
          <w:p w14:paraId="5E1D00E6" w14:textId="77777777" w:rsidR="00BE49FD" w:rsidRPr="008A703F" w:rsidRDefault="00BE49FD" w:rsidP="00B90008">
            <w:pPr>
              <w:jc w:val="right"/>
              <w:rPr>
                <w:rFonts w:ascii="Garamond" w:hAnsi="Garamond"/>
                <w:color w:val="000000"/>
              </w:rPr>
            </w:pPr>
            <w:r w:rsidRPr="008A703F">
              <w:rPr>
                <w:rFonts w:ascii="Garamond" w:hAnsi="Garamond"/>
                <w:color w:val="000000"/>
              </w:rPr>
              <w:t>0.8457</w:t>
            </w:r>
          </w:p>
        </w:tc>
        <w:tc>
          <w:tcPr>
            <w:tcW w:w="336" w:type="pct"/>
            <w:shd w:val="clear" w:color="auto" w:fill="auto"/>
            <w:noWrap/>
            <w:vAlign w:val="bottom"/>
          </w:tcPr>
          <w:p w14:paraId="19B864CE" w14:textId="77777777" w:rsidR="00BE49FD" w:rsidRPr="008A703F" w:rsidRDefault="00BE49FD" w:rsidP="00B90008">
            <w:pPr>
              <w:jc w:val="right"/>
              <w:rPr>
                <w:rFonts w:ascii="Garamond" w:hAnsi="Garamond"/>
                <w:color w:val="000000"/>
              </w:rPr>
            </w:pPr>
            <w:r w:rsidRPr="008A703F">
              <w:rPr>
                <w:rFonts w:ascii="Garamond" w:hAnsi="Garamond"/>
                <w:color w:val="000000"/>
              </w:rPr>
              <w:t>0.2910</w:t>
            </w:r>
          </w:p>
        </w:tc>
        <w:tc>
          <w:tcPr>
            <w:tcW w:w="336" w:type="pct"/>
            <w:shd w:val="clear" w:color="auto" w:fill="auto"/>
            <w:noWrap/>
            <w:vAlign w:val="bottom"/>
          </w:tcPr>
          <w:p w14:paraId="51FFDFDE" w14:textId="77777777" w:rsidR="00BE49FD" w:rsidRPr="008A703F" w:rsidRDefault="00BE49FD" w:rsidP="00B90008">
            <w:pPr>
              <w:jc w:val="right"/>
              <w:rPr>
                <w:rFonts w:ascii="Garamond" w:hAnsi="Garamond"/>
                <w:color w:val="000000"/>
              </w:rPr>
            </w:pPr>
            <w:r w:rsidRPr="008A703F">
              <w:rPr>
                <w:rFonts w:ascii="Garamond" w:hAnsi="Garamond"/>
                <w:color w:val="000000"/>
              </w:rPr>
              <w:t>0.2645</w:t>
            </w:r>
          </w:p>
        </w:tc>
        <w:tc>
          <w:tcPr>
            <w:tcW w:w="357" w:type="pct"/>
            <w:shd w:val="clear" w:color="auto" w:fill="auto"/>
            <w:noWrap/>
            <w:vAlign w:val="bottom"/>
          </w:tcPr>
          <w:p w14:paraId="603C27DB" w14:textId="77777777" w:rsidR="00BE49FD" w:rsidRPr="008A703F" w:rsidRDefault="00BE49FD" w:rsidP="00B90008">
            <w:pPr>
              <w:jc w:val="right"/>
              <w:rPr>
                <w:rFonts w:ascii="Garamond" w:hAnsi="Garamond"/>
                <w:color w:val="000000"/>
              </w:rPr>
            </w:pPr>
            <w:r w:rsidRPr="008A703F">
              <w:rPr>
                <w:rFonts w:ascii="Garamond" w:hAnsi="Garamond"/>
                <w:color w:val="000000"/>
              </w:rPr>
              <w:t>0.6218</w:t>
            </w:r>
          </w:p>
        </w:tc>
        <w:tc>
          <w:tcPr>
            <w:tcW w:w="390" w:type="pct"/>
            <w:shd w:val="clear" w:color="auto" w:fill="auto"/>
            <w:noWrap/>
            <w:vAlign w:val="bottom"/>
          </w:tcPr>
          <w:p w14:paraId="7ED1DF16" w14:textId="77777777" w:rsidR="00BE49FD" w:rsidRPr="008A703F" w:rsidRDefault="00BE49FD" w:rsidP="00B90008">
            <w:pPr>
              <w:jc w:val="right"/>
              <w:rPr>
                <w:rFonts w:ascii="Garamond" w:hAnsi="Garamond"/>
                <w:color w:val="000000"/>
              </w:rPr>
            </w:pPr>
            <w:r w:rsidRPr="008A703F">
              <w:rPr>
                <w:rFonts w:ascii="Garamond" w:hAnsi="Garamond"/>
                <w:color w:val="000000"/>
              </w:rPr>
              <w:t>0.8408</w:t>
            </w:r>
          </w:p>
        </w:tc>
        <w:tc>
          <w:tcPr>
            <w:tcW w:w="336" w:type="pct"/>
            <w:shd w:val="clear" w:color="auto" w:fill="auto"/>
            <w:noWrap/>
            <w:vAlign w:val="bottom"/>
          </w:tcPr>
          <w:p w14:paraId="546849B9" w14:textId="77777777" w:rsidR="00BE49FD" w:rsidRPr="008A703F" w:rsidRDefault="00BE49FD" w:rsidP="00B90008">
            <w:pPr>
              <w:jc w:val="right"/>
              <w:rPr>
                <w:rFonts w:ascii="Garamond" w:hAnsi="Garamond"/>
                <w:color w:val="000000"/>
              </w:rPr>
            </w:pPr>
            <w:r w:rsidRPr="008A703F">
              <w:rPr>
                <w:rFonts w:ascii="Garamond" w:hAnsi="Garamond"/>
                <w:color w:val="000000"/>
              </w:rPr>
              <w:t>0.6213</w:t>
            </w:r>
          </w:p>
        </w:tc>
        <w:tc>
          <w:tcPr>
            <w:tcW w:w="336" w:type="pct"/>
            <w:shd w:val="clear" w:color="auto" w:fill="auto"/>
            <w:noWrap/>
            <w:vAlign w:val="bottom"/>
          </w:tcPr>
          <w:p w14:paraId="3FE12C6D" w14:textId="77777777" w:rsidR="00BE49FD" w:rsidRPr="008A703F" w:rsidRDefault="00BE49FD" w:rsidP="00B90008">
            <w:pPr>
              <w:jc w:val="right"/>
              <w:rPr>
                <w:rFonts w:ascii="Garamond" w:hAnsi="Garamond"/>
                <w:color w:val="000000"/>
              </w:rPr>
            </w:pPr>
            <w:r w:rsidRPr="008A703F">
              <w:rPr>
                <w:rFonts w:ascii="Garamond" w:hAnsi="Garamond"/>
                <w:color w:val="000000"/>
              </w:rPr>
              <w:t>0.2689</w:t>
            </w:r>
          </w:p>
        </w:tc>
        <w:tc>
          <w:tcPr>
            <w:tcW w:w="357" w:type="pct"/>
            <w:shd w:val="clear" w:color="auto" w:fill="auto"/>
            <w:noWrap/>
            <w:vAlign w:val="bottom"/>
          </w:tcPr>
          <w:p w14:paraId="3C7232DB" w14:textId="77777777" w:rsidR="00BE49FD" w:rsidRPr="008A703F" w:rsidRDefault="00BE49FD" w:rsidP="00B90008">
            <w:pPr>
              <w:jc w:val="right"/>
              <w:rPr>
                <w:rFonts w:ascii="Garamond" w:hAnsi="Garamond"/>
                <w:color w:val="000000"/>
              </w:rPr>
            </w:pPr>
            <w:r w:rsidRPr="008A703F">
              <w:rPr>
                <w:rFonts w:ascii="Garamond" w:hAnsi="Garamond"/>
                <w:color w:val="000000"/>
              </w:rPr>
              <w:t>0.6143</w:t>
            </w:r>
          </w:p>
        </w:tc>
        <w:tc>
          <w:tcPr>
            <w:tcW w:w="390" w:type="pct"/>
            <w:shd w:val="clear" w:color="auto" w:fill="auto"/>
            <w:noWrap/>
            <w:vAlign w:val="bottom"/>
          </w:tcPr>
          <w:p w14:paraId="0415CC8F" w14:textId="77777777" w:rsidR="00BE49FD" w:rsidRPr="008A703F" w:rsidRDefault="00BE49FD" w:rsidP="00B90008">
            <w:pPr>
              <w:jc w:val="right"/>
              <w:rPr>
                <w:rFonts w:ascii="Garamond" w:hAnsi="Garamond"/>
                <w:color w:val="000000"/>
              </w:rPr>
            </w:pPr>
            <w:r w:rsidRPr="008A703F">
              <w:rPr>
                <w:rFonts w:ascii="Garamond" w:hAnsi="Garamond"/>
                <w:color w:val="000000"/>
              </w:rPr>
              <w:t>0.8489</w:t>
            </w:r>
          </w:p>
        </w:tc>
        <w:tc>
          <w:tcPr>
            <w:tcW w:w="336" w:type="pct"/>
            <w:shd w:val="clear" w:color="auto" w:fill="auto"/>
            <w:noWrap/>
            <w:vAlign w:val="bottom"/>
          </w:tcPr>
          <w:p w14:paraId="53554AFC" w14:textId="77777777" w:rsidR="00BE49FD" w:rsidRPr="008A703F" w:rsidRDefault="00BE49FD" w:rsidP="00B90008">
            <w:pPr>
              <w:jc w:val="right"/>
              <w:rPr>
                <w:rFonts w:ascii="Garamond" w:hAnsi="Garamond"/>
                <w:color w:val="000000"/>
              </w:rPr>
            </w:pPr>
            <w:r w:rsidRPr="008A703F">
              <w:rPr>
                <w:rFonts w:ascii="Garamond" w:hAnsi="Garamond"/>
                <w:color w:val="000000"/>
              </w:rPr>
              <w:t>0.2913</w:t>
            </w:r>
          </w:p>
        </w:tc>
        <w:tc>
          <w:tcPr>
            <w:tcW w:w="336" w:type="pct"/>
            <w:shd w:val="clear" w:color="auto" w:fill="auto"/>
            <w:noWrap/>
            <w:vAlign w:val="bottom"/>
          </w:tcPr>
          <w:p w14:paraId="0A2A98DD" w14:textId="77777777" w:rsidR="00BE49FD" w:rsidRPr="008A703F" w:rsidRDefault="00BE49FD" w:rsidP="00B90008">
            <w:pPr>
              <w:jc w:val="right"/>
              <w:rPr>
                <w:rFonts w:ascii="Garamond" w:hAnsi="Garamond"/>
                <w:color w:val="000000"/>
              </w:rPr>
            </w:pPr>
            <w:r w:rsidRPr="008A703F">
              <w:rPr>
                <w:rFonts w:ascii="Garamond" w:hAnsi="Garamond"/>
                <w:color w:val="000000"/>
              </w:rPr>
              <w:t>0.2652</w:t>
            </w:r>
          </w:p>
        </w:tc>
      </w:tr>
      <w:tr w:rsidR="00BE49FD" w:rsidRPr="008A703F" w14:paraId="5118FD70" w14:textId="77777777" w:rsidTr="00B90008">
        <w:trPr>
          <w:trHeight w:val="300"/>
          <w:jc w:val="center"/>
        </w:trPr>
        <w:tc>
          <w:tcPr>
            <w:tcW w:w="743" w:type="pct"/>
            <w:shd w:val="clear" w:color="auto" w:fill="auto"/>
            <w:noWrap/>
            <w:vAlign w:val="center"/>
          </w:tcPr>
          <w:p w14:paraId="20A04B6F" w14:textId="77777777" w:rsidR="00BE49FD" w:rsidRPr="002768EE" w:rsidRDefault="00BE49FD" w:rsidP="00B90008">
            <w:pPr>
              <w:spacing w:line="240" w:lineRule="auto"/>
              <w:contextualSpacing/>
              <w:rPr>
                <w:rFonts w:ascii="Garamond" w:hAnsi="Garamond"/>
                <w:color w:val="000000"/>
              </w:rPr>
            </w:pPr>
          </w:p>
        </w:tc>
        <w:tc>
          <w:tcPr>
            <w:tcW w:w="357" w:type="pct"/>
            <w:shd w:val="clear" w:color="auto" w:fill="auto"/>
            <w:noWrap/>
            <w:vAlign w:val="bottom"/>
          </w:tcPr>
          <w:p w14:paraId="407A957A" w14:textId="77777777" w:rsidR="00BE49FD" w:rsidRPr="002768EE" w:rsidRDefault="00BE49FD" w:rsidP="00B90008">
            <w:pPr>
              <w:spacing w:line="240" w:lineRule="auto"/>
              <w:contextualSpacing/>
              <w:jc w:val="center"/>
              <w:rPr>
                <w:rFonts w:ascii="Garamond" w:hAnsi="Garamond"/>
                <w:color w:val="000000"/>
              </w:rPr>
            </w:pPr>
          </w:p>
        </w:tc>
        <w:tc>
          <w:tcPr>
            <w:tcW w:w="390" w:type="pct"/>
            <w:shd w:val="clear" w:color="auto" w:fill="auto"/>
            <w:noWrap/>
            <w:vAlign w:val="bottom"/>
          </w:tcPr>
          <w:p w14:paraId="39C52CFB"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5C5B73D8"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3B781D6E" w14:textId="77777777" w:rsidR="00BE49FD" w:rsidRPr="002768EE" w:rsidRDefault="00BE49FD" w:rsidP="00B90008">
            <w:pPr>
              <w:spacing w:line="240" w:lineRule="auto"/>
              <w:contextualSpacing/>
              <w:jc w:val="center"/>
              <w:rPr>
                <w:rFonts w:ascii="Garamond" w:hAnsi="Garamond"/>
                <w:color w:val="000000"/>
              </w:rPr>
            </w:pPr>
          </w:p>
        </w:tc>
        <w:tc>
          <w:tcPr>
            <w:tcW w:w="357" w:type="pct"/>
            <w:shd w:val="clear" w:color="auto" w:fill="auto"/>
            <w:noWrap/>
            <w:vAlign w:val="bottom"/>
          </w:tcPr>
          <w:p w14:paraId="0A0DD763" w14:textId="77777777" w:rsidR="00BE49FD" w:rsidRPr="002768EE" w:rsidRDefault="00BE49FD" w:rsidP="00B90008">
            <w:pPr>
              <w:spacing w:line="240" w:lineRule="auto"/>
              <w:contextualSpacing/>
              <w:jc w:val="center"/>
              <w:rPr>
                <w:rFonts w:ascii="Garamond" w:hAnsi="Garamond"/>
                <w:color w:val="000000"/>
              </w:rPr>
            </w:pPr>
          </w:p>
        </w:tc>
        <w:tc>
          <w:tcPr>
            <w:tcW w:w="390" w:type="pct"/>
            <w:shd w:val="clear" w:color="auto" w:fill="auto"/>
            <w:noWrap/>
            <w:vAlign w:val="bottom"/>
          </w:tcPr>
          <w:p w14:paraId="500C9CF2"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0EEDE1A9"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56F6B987" w14:textId="77777777" w:rsidR="00BE49FD" w:rsidRPr="002768EE" w:rsidRDefault="00BE49FD" w:rsidP="00B90008">
            <w:pPr>
              <w:spacing w:line="240" w:lineRule="auto"/>
              <w:contextualSpacing/>
              <w:jc w:val="center"/>
              <w:rPr>
                <w:rFonts w:ascii="Garamond" w:hAnsi="Garamond"/>
                <w:color w:val="000000"/>
              </w:rPr>
            </w:pPr>
          </w:p>
        </w:tc>
        <w:tc>
          <w:tcPr>
            <w:tcW w:w="357" w:type="pct"/>
            <w:shd w:val="clear" w:color="auto" w:fill="auto"/>
            <w:noWrap/>
            <w:vAlign w:val="bottom"/>
          </w:tcPr>
          <w:p w14:paraId="52386588" w14:textId="77777777" w:rsidR="00BE49FD" w:rsidRPr="002768EE" w:rsidRDefault="00BE49FD" w:rsidP="00B90008">
            <w:pPr>
              <w:spacing w:line="240" w:lineRule="auto"/>
              <w:contextualSpacing/>
              <w:jc w:val="center"/>
              <w:rPr>
                <w:rFonts w:ascii="Garamond" w:hAnsi="Garamond"/>
                <w:color w:val="000000"/>
              </w:rPr>
            </w:pPr>
          </w:p>
        </w:tc>
        <w:tc>
          <w:tcPr>
            <w:tcW w:w="390" w:type="pct"/>
            <w:shd w:val="clear" w:color="auto" w:fill="auto"/>
            <w:noWrap/>
            <w:vAlign w:val="bottom"/>
          </w:tcPr>
          <w:p w14:paraId="589BE50D"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6FAF0AF9" w14:textId="77777777" w:rsidR="00BE49FD" w:rsidRPr="002768EE" w:rsidRDefault="00BE49FD" w:rsidP="00B90008">
            <w:pPr>
              <w:spacing w:line="240" w:lineRule="auto"/>
              <w:contextualSpacing/>
              <w:jc w:val="center"/>
              <w:rPr>
                <w:rFonts w:ascii="Garamond" w:hAnsi="Garamond"/>
                <w:color w:val="000000"/>
              </w:rPr>
            </w:pPr>
          </w:p>
        </w:tc>
        <w:tc>
          <w:tcPr>
            <w:tcW w:w="336" w:type="pct"/>
            <w:shd w:val="clear" w:color="auto" w:fill="auto"/>
            <w:noWrap/>
            <w:vAlign w:val="bottom"/>
          </w:tcPr>
          <w:p w14:paraId="2944D7D6" w14:textId="77777777" w:rsidR="00BE49FD" w:rsidRPr="002768EE" w:rsidRDefault="00BE49FD" w:rsidP="00B90008">
            <w:pPr>
              <w:spacing w:line="240" w:lineRule="auto"/>
              <w:contextualSpacing/>
              <w:jc w:val="center"/>
              <w:rPr>
                <w:rFonts w:ascii="Garamond" w:hAnsi="Garamond"/>
                <w:color w:val="000000"/>
              </w:rPr>
            </w:pPr>
          </w:p>
        </w:tc>
      </w:tr>
    </w:tbl>
    <w:p w14:paraId="46BFA394" w14:textId="77777777" w:rsidR="00BE49FD" w:rsidRPr="004B71B1" w:rsidRDefault="00BE49FD" w:rsidP="00BE49FD">
      <w:pPr>
        <w:spacing w:line="360" w:lineRule="auto"/>
        <w:rPr>
          <w:rFonts w:ascii="Garamond" w:hAnsi="Garamond"/>
          <w:iCs/>
          <w:sz w:val="24"/>
          <w:szCs w:val="24"/>
        </w:rPr>
      </w:pPr>
      <w:r w:rsidRPr="004B71B1">
        <w:rPr>
          <w:rFonts w:ascii="Garamond" w:hAnsi="Garamond"/>
          <w:iCs/>
          <w:sz w:val="24"/>
          <w:szCs w:val="24"/>
        </w:rPr>
        <w:t xml:space="preserve"> ***, ** and * significant at </w:t>
      </w:r>
      <w:r>
        <w:rPr>
          <w:rFonts w:ascii="Garamond" w:hAnsi="Garamond"/>
          <w:iCs/>
          <w:sz w:val="24"/>
          <w:szCs w:val="24"/>
        </w:rPr>
        <w:t xml:space="preserve">the </w:t>
      </w:r>
      <w:r w:rsidRPr="004B71B1">
        <w:rPr>
          <w:rFonts w:ascii="Garamond" w:hAnsi="Garamond"/>
          <w:iCs/>
          <w:sz w:val="24"/>
          <w:szCs w:val="24"/>
        </w:rPr>
        <w:t>1%, 5% and 10% level</w:t>
      </w:r>
      <w:r>
        <w:rPr>
          <w:rFonts w:ascii="Garamond" w:hAnsi="Garamond"/>
          <w:iCs/>
          <w:sz w:val="24"/>
          <w:szCs w:val="24"/>
        </w:rPr>
        <w:t>s</w:t>
      </w:r>
      <w:r w:rsidRPr="004B71B1">
        <w:rPr>
          <w:rFonts w:ascii="Garamond" w:hAnsi="Garamond"/>
          <w:iCs/>
          <w:sz w:val="24"/>
          <w:szCs w:val="24"/>
        </w:rPr>
        <w:t xml:space="preserve"> based on average t-statistics </w:t>
      </w:r>
    </w:p>
    <w:p w14:paraId="40F34234" w14:textId="77777777" w:rsidR="00BE49FD" w:rsidRDefault="00BE49FD" w:rsidP="00BE49FD">
      <w:pPr>
        <w:spacing w:line="360" w:lineRule="auto"/>
        <w:rPr>
          <w:rFonts w:ascii="Garamond" w:hAnsi="Garamond"/>
          <w:i/>
          <w:sz w:val="24"/>
          <w:szCs w:val="24"/>
        </w:rPr>
        <w:sectPr w:rsidR="00BE49FD" w:rsidSect="00B90008">
          <w:pgSz w:w="16838" w:h="11906" w:orient="landscape"/>
          <w:pgMar w:top="1440" w:right="1440" w:bottom="1440" w:left="1440" w:header="709" w:footer="709" w:gutter="0"/>
          <w:cols w:space="708"/>
          <w:docGrid w:linePitch="360"/>
        </w:sectPr>
      </w:pPr>
    </w:p>
    <w:p w14:paraId="4F3F8BC6" w14:textId="77777777" w:rsidR="00BE49FD" w:rsidRPr="00CA2295" w:rsidRDefault="00BE49FD" w:rsidP="00BE49FD">
      <w:pPr>
        <w:spacing w:line="360" w:lineRule="auto"/>
        <w:jc w:val="center"/>
        <w:rPr>
          <w:rFonts w:ascii="Garamond" w:hAnsi="Garamond"/>
          <w:b/>
          <w:sz w:val="24"/>
          <w:szCs w:val="24"/>
        </w:rPr>
      </w:pPr>
      <w:r w:rsidRPr="00CA2295">
        <w:rPr>
          <w:rFonts w:ascii="Garamond" w:hAnsi="Garamond"/>
          <w:b/>
          <w:sz w:val="24"/>
          <w:szCs w:val="24"/>
        </w:rPr>
        <w:lastRenderedPageBreak/>
        <w:t>Table</w:t>
      </w:r>
      <w:r>
        <w:rPr>
          <w:rFonts w:ascii="Garamond" w:hAnsi="Garamond"/>
          <w:b/>
          <w:sz w:val="24"/>
          <w:szCs w:val="24"/>
        </w:rPr>
        <w:t xml:space="preserve"> 9</w:t>
      </w:r>
      <w:r w:rsidRPr="00CA2295">
        <w:rPr>
          <w:rFonts w:ascii="Garamond" w:hAnsi="Garamond"/>
          <w:b/>
          <w:sz w:val="24"/>
          <w:szCs w:val="24"/>
        </w:rPr>
        <w:t>: Results of Interaction Term (lnMV*MP) or (lnMV*FP)</w:t>
      </w:r>
      <w:r>
        <w:rPr>
          <w:rFonts w:ascii="Garamond" w:hAnsi="Garamond"/>
          <w:b/>
          <w:sz w:val="24"/>
          <w:szCs w:val="24"/>
        </w:rPr>
        <w:t xml:space="preserve"> based on Firm Size</w:t>
      </w:r>
    </w:p>
    <w:tbl>
      <w:tblPr>
        <w:tblW w:w="1240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6"/>
        <w:gridCol w:w="1249"/>
        <w:gridCol w:w="960"/>
        <w:gridCol w:w="1249"/>
        <w:gridCol w:w="960"/>
        <w:gridCol w:w="1249"/>
        <w:gridCol w:w="960"/>
        <w:gridCol w:w="1249"/>
        <w:gridCol w:w="960"/>
        <w:gridCol w:w="1249"/>
        <w:gridCol w:w="960"/>
      </w:tblGrid>
      <w:tr w:rsidR="00BE49FD" w:rsidRPr="008A703F" w14:paraId="7AB2D5FB" w14:textId="77777777" w:rsidTr="00B90008">
        <w:trPr>
          <w:trHeight w:val="300"/>
          <w:jc w:val="center"/>
        </w:trPr>
        <w:tc>
          <w:tcPr>
            <w:tcW w:w="1356" w:type="dxa"/>
            <w:shd w:val="clear" w:color="auto" w:fill="auto"/>
            <w:noWrap/>
            <w:vAlign w:val="bottom"/>
          </w:tcPr>
          <w:p w14:paraId="53E1FE53" w14:textId="77777777" w:rsidR="00BE49FD" w:rsidRPr="002170FA" w:rsidRDefault="00BE49FD" w:rsidP="00B90008">
            <w:pPr>
              <w:spacing w:line="240" w:lineRule="auto"/>
              <w:contextualSpacing/>
              <w:jc w:val="center"/>
              <w:rPr>
                <w:rFonts w:ascii="Garamond" w:hAnsi="Garamond"/>
                <w:b/>
                <w:color w:val="000000"/>
              </w:rPr>
            </w:pPr>
            <w:r w:rsidRPr="002170FA">
              <w:rPr>
                <w:rFonts w:ascii="Garamond" w:hAnsi="Garamond"/>
                <w:b/>
                <w:color w:val="000000"/>
              </w:rPr>
              <w:t>Firm Size</w:t>
            </w:r>
          </w:p>
        </w:tc>
        <w:tc>
          <w:tcPr>
            <w:tcW w:w="2209" w:type="dxa"/>
            <w:gridSpan w:val="2"/>
            <w:shd w:val="clear" w:color="auto" w:fill="auto"/>
            <w:noWrap/>
            <w:vAlign w:val="bottom"/>
          </w:tcPr>
          <w:p w14:paraId="1FE6965D" w14:textId="77777777" w:rsidR="00BE49FD" w:rsidRPr="002170FA" w:rsidRDefault="00BE49FD" w:rsidP="00B90008">
            <w:pPr>
              <w:spacing w:line="240" w:lineRule="auto"/>
              <w:contextualSpacing/>
              <w:jc w:val="center"/>
              <w:rPr>
                <w:rFonts w:ascii="Garamond" w:hAnsi="Garamond"/>
                <w:b/>
                <w:color w:val="000000"/>
              </w:rPr>
            </w:pPr>
            <w:r w:rsidRPr="002170FA">
              <w:rPr>
                <w:rFonts w:ascii="Garamond" w:hAnsi="Garamond"/>
                <w:b/>
                <w:color w:val="000000"/>
              </w:rPr>
              <w:t>Top 20%</w:t>
            </w:r>
          </w:p>
        </w:tc>
        <w:tc>
          <w:tcPr>
            <w:tcW w:w="2209" w:type="dxa"/>
            <w:gridSpan w:val="2"/>
            <w:shd w:val="clear" w:color="auto" w:fill="auto"/>
            <w:noWrap/>
            <w:vAlign w:val="bottom"/>
          </w:tcPr>
          <w:p w14:paraId="6C2329F3" w14:textId="77777777" w:rsidR="00BE49FD" w:rsidRPr="002170FA" w:rsidRDefault="00BE49FD" w:rsidP="00B90008">
            <w:pPr>
              <w:spacing w:line="240" w:lineRule="auto"/>
              <w:contextualSpacing/>
              <w:jc w:val="center"/>
              <w:rPr>
                <w:rFonts w:ascii="Garamond" w:hAnsi="Garamond"/>
                <w:b/>
                <w:color w:val="000000"/>
              </w:rPr>
            </w:pPr>
            <w:r w:rsidRPr="002170FA">
              <w:rPr>
                <w:rFonts w:ascii="Garamond" w:hAnsi="Garamond"/>
                <w:b/>
                <w:color w:val="000000"/>
              </w:rPr>
              <w:t>20%</w:t>
            </w:r>
          </w:p>
        </w:tc>
        <w:tc>
          <w:tcPr>
            <w:tcW w:w="2209" w:type="dxa"/>
            <w:gridSpan w:val="2"/>
            <w:shd w:val="clear" w:color="auto" w:fill="auto"/>
            <w:noWrap/>
            <w:vAlign w:val="bottom"/>
          </w:tcPr>
          <w:p w14:paraId="1C0D4A03" w14:textId="77777777" w:rsidR="00BE49FD" w:rsidRPr="002170FA" w:rsidRDefault="00BE49FD" w:rsidP="00B90008">
            <w:pPr>
              <w:spacing w:line="240" w:lineRule="auto"/>
              <w:contextualSpacing/>
              <w:jc w:val="center"/>
              <w:rPr>
                <w:rFonts w:ascii="Garamond" w:hAnsi="Garamond"/>
                <w:b/>
                <w:color w:val="000000"/>
              </w:rPr>
            </w:pPr>
            <w:r w:rsidRPr="002170FA">
              <w:rPr>
                <w:rFonts w:ascii="Garamond" w:hAnsi="Garamond"/>
                <w:b/>
                <w:color w:val="000000"/>
              </w:rPr>
              <w:t>20%</w:t>
            </w:r>
          </w:p>
        </w:tc>
        <w:tc>
          <w:tcPr>
            <w:tcW w:w="2209" w:type="dxa"/>
            <w:gridSpan w:val="2"/>
            <w:shd w:val="clear" w:color="auto" w:fill="auto"/>
            <w:noWrap/>
            <w:vAlign w:val="bottom"/>
          </w:tcPr>
          <w:p w14:paraId="44DD1CF2" w14:textId="77777777" w:rsidR="00BE49FD" w:rsidRPr="002170FA" w:rsidRDefault="00BE49FD" w:rsidP="00B90008">
            <w:pPr>
              <w:spacing w:line="240" w:lineRule="auto"/>
              <w:contextualSpacing/>
              <w:jc w:val="center"/>
              <w:rPr>
                <w:rFonts w:ascii="Garamond" w:hAnsi="Garamond"/>
                <w:b/>
                <w:color w:val="000000"/>
              </w:rPr>
            </w:pPr>
            <w:r w:rsidRPr="002170FA">
              <w:rPr>
                <w:rFonts w:ascii="Garamond" w:hAnsi="Garamond"/>
                <w:b/>
                <w:color w:val="000000"/>
              </w:rPr>
              <w:t>20%</w:t>
            </w:r>
          </w:p>
        </w:tc>
        <w:tc>
          <w:tcPr>
            <w:tcW w:w="2209" w:type="dxa"/>
            <w:gridSpan w:val="2"/>
            <w:shd w:val="clear" w:color="auto" w:fill="auto"/>
            <w:noWrap/>
            <w:vAlign w:val="bottom"/>
          </w:tcPr>
          <w:p w14:paraId="71AC512B" w14:textId="77777777" w:rsidR="00BE49FD" w:rsidRPr="002170FA" w:rsidRDefault="00BE49FD" w:rsidP="00B90008">
            <w:pPr>
              <w:spacing w:line="240" w:lineRule="auto"/>
              <w:contextualSpacing/>
              <w:jc w:val="center"/>
              <w:rPr>
                <w:rFonts w:ascii="Garamond" w:hAnsi="Garamond"/>
                <w:b/>
                <w:color w:val="000000"/>
              </w:rPr>
            </w:pPr>
            <w:r w:rsidRPr="002170FA">
              <w:rPr>
                <w:rFonts w:ascii="Garamond" w:hAnsi="Garamond"/>
                <w:b/>
                <w:color w:val="000000"/>
              </w:rPr>
              <w:t>Bottom 20%</w:t>
            </w:r>
          </w:p>
        </w:tc>
      </w:tr>
      <w:tr w:rsidR="00BE49FD" w:rsidRPr="008A703F" w14:paraId="33BBBA2C" w14:textId="77777777" w:rsidTr="00B90008">
        <w:trPr>
          <w:trHeight w:val="300"/>
          <w:jc w:val="center"/>
        </w:trPr>
        <w:tc>
          <w:tcPr>
            <w:tcW w:w="1356" w:type="dxa"/>
            <w:shd w:val="clear" w:color="auto" w:fill="auto"/>
            <w:noWrap/>
            <w:vAlign w:val="bottom"/>
          </w:tcPr>
          <w:p w14:paraId="39C7E5A9" w14:textId="77777777" w:rsidR="00BE49FD" w:rsidRPr="002170FA" w:rsidRDefault="00BE49FD" w:rsidP="00B90008">
            <w:pPr>
              <w:spacing w:line="240" w:lineRule="auto"/>
              <w:contextualSpacing/>
              <w:jc w:val="center"/>
              <w:rPr>
                <w:rFonts w:ascii="Garamond" w:hAnsi="Garamond"/>
                <w:color w:val="000000"/>
              </w:rPr>
            </w:pPr>
          </w:p>
        </w:tc>
        <w:tc>
          <w:tcPr>
            <w:tcW w:w="1249" w:type="dxa"/>
            <w:shd w:val="clear" w:color="auto" w:fill="auto"/>
            <w:noWrap/>
            <w:vAlign w:val="bottom"/>
          </w:tcPr>
          <w:p w14:paraId="44C25864"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Coefficient</w:t>
            </w:r>
          </w:p>
        </w:tc>
        <w:tc>
          <w:tcPr>
            <w:tcW w:w="960" w:type="dxa"/>
            <w:shd w:val="clear" w:color="auto" w:fill="auto"/>
            <w:noWrap/>
            <w:vAlign w:val="bottom"/>
          </w:tcPr>
          <w:p w14:paraId="6EC5BF8E" w14:textId="77777777" w:rsidR="00BE49FD" w:rsidRPr="002170FA" w:rsidRDefault="00BE49FD" w:rsidP="00B90008">
            <w:pPr>
              <w:spacing w:line="240" w:lineRule="auto"/>
              <w:contextualSpacing/>
              <w:jc w:val="center"/>
              <w:rPr>
                <w:rFonts w:ascii="Garamond" w:hAnsi="Garamond"/>
                <w:i/>
                <w:color w:val="000000"/>
              </w:rPr>
            </w:pPr>
            <w:r w:rsidRPr="002170FA">
              <w:rPr>
                <w:rFonts w:ascii="Garamond" w:hAnsi="Garamond"/>
                <w:i/>
                <w:color w:val="000000"/>
              </w:rPr>
              <w:t>P-value</w:t>
            </w:r>
          </w:p>
        </w:tc>
        <w:tc>
          <w:tcPr>
            <w:tcW w:w="1249" w:type="dxa"/>
            <w:shd w:val="clear" w:color="auto" w:fill="auto"/>
            <w:noWrap/>
            <w:vAlign w:val="bottom"/>
          </w:tcPr>
          <w:p w14:paraId="33529283"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Coefficient</w:t>
            </w:r>
          </w:p>
        </w:tc>
        <w:tc>
          <w:tcPr>
            <w:tcW w:w="960" w:type="dxa"/>
            <w:shd w:val="clear" w:color="auto" w:fill="auto"/>
            <w:noWrap/>
            <w:vAlign w:val="bottom"/>
          </w:tcPr>
          <w:p w14:paraId="01CB8309" w14:textId="77777777" w:rsidR="00BE49FD" w:rsidRPr="002170FA" w:rsidRDefault="00BE49FD" w:rsidP="00B90008">
            <w:pPr>
              <w:spacing w:line="240" w:lineRule="auto"/>
              <w:contextualSpacing/>
              <w:jc w:val="center"/>
              <w:rPr>
                <w:rFonts w:ascii="Garamond" w:hAnsi="Garamond"/>
                <w:i/>
                <w:color w:val="000000"/>
              </w:rPr>
            </w:pPr>
            <w:r w:rsidRPr="002170FA">
              <w:rPr>
                <w:rFonts w:ascii="Garamond" w:hAnsi="Garamond"/>
                <w:i/>
                <w:color w:val="000000"/>
              </w:rPr>
              <w:t>P-value</w:t>
            </w:r>
          </w:p>
        </w:tc>
        <w:tc>
          <w:tcPr>
            <w:tcW w:w="1249" w:type="dxa"/>
            <w:shd w:val="clear" w:color="auto" w:fill="auto"/>
            <w:noWrap/>
            <w:vAlign w:val="bottom"/>
          </w:tcPr>
          <w:p w14:paraId="776EA2C5"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Coefficient</w:t>
            </w:r>
          </w:p>
        </w:tc>
        <w:tc>
          <w:tcPr>
            <w:tcW w:w="960" w:type="dxa"/>
            <w:shd w:val="clear" w:color="auto" w:fill="auto"/>
            <w:noWrap/>
            <w:vAlign w:val="bottom"/>
          </w:tcPr>
          <w:p w14:paraId="6A6749BD" w14:textId="77777777" w:rsidR="00BE49FD" w:rsidRPr="002170FA" w:rsidRDefault="00BE49FD" w:rsidP="00B90008">
            <w:pPr>
              <w:spacing w:line="240" w:lineRule="auto"/>
              <w:contextualSpacing/>
              <w:jc w:val="center"/>
              <w:rPr>
                <w:rFonts w:ascii="Garamond" w:hAnsi="Garamond"/>
                <w:i/>
                <w:color w:val="000000"/>
              </w:rPr>
            </w:pPr>
            <w:r w:rsidRPr="002170FA">
              <w:rPr>
                <w:rFonts w:ascii="Garamond" w:hAnsi="Garamond"/>
                <w:i/>
                <w:color w:val="000000"/>
              </w:rPr>
              <w:t>P-value</w:t>
            </w:r>
          </w:p>
        </w:tc>
        <w:tc>
          <w:tcPr>
            <w:tcW w:w="1249" w:type="dxa"/>
            <w:shd w:val="clear" w:color="auto" w:fill="auto"/>
            <w:noWrap/>
            <w:vAlign w:val="bottom"/>
          </w:tcPr>
          <w:p w14:paraId="1784D744"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Coefficient</w:t>
            </w:r>
          </w:p>
        </w:tc>
        <w:tc>
          <w:tcPr>
            <w:tcW w:w="960" w:type="dxa"/>
            <w:shd w:val="clear" w:color="auto" w:fill="auto"/>
            <w:noWrap/>
            <w:vAlign w:val="bottom"/>
          </w:tcPr>
          <w:p w14:paraId="5E430BFD" w14:textId="77777777" w:rsidR="00BE49FD" w:rsidRPr="002170FA" w:rsidRDefault="00BE49FD" w:rsidP="00B90008">
            <w:pPr>
              <w:spacing w:line="240" w:lineRule="auto"/>
              <w:contextualSpacing/>
              <w:jc w:val="center"/>
              <w:rPr>
                <w:rFonts w:ascii="Garamond" w:hAnsi="Garamond"/>
                <w:i/>
                <w:color w:val="000000"/>
              </w:rPr>
            </w:pPr>
            <w:r w:rsidRPr="002170FA">
              <w:rPr>
                <w:rFonts w:ascii="Garamond" w:hAnsi="Garamond"/>
                <w:i/>
                <w:color w:val="000000"/>
              </w:rPr>
              <w:t>P-value</w:t>
            </w:r>
          </w:p>
        </w:tc>
        <w:tc>
          <w:tcPr>
            <w:tcW w:w="1249" w:type="dxa"/>
            <w:shd w:val="clear" w:color="auto" w:fill="auto"/>
            <w:noWrap/>
            <w:vAlign w:val="bottom"/>
          </w:tcPr>
          <w:p w14:paraId="4D2FE344"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Coefficient</w:t>
            </w:r>
          </w:p>
        </w:tc>
        <w:tc>
          <w:tcPr>
            <w:tcW w:w="960" w:type="dxa"/>
            <w:shd w:val="clear" w:color="auto" w:fill="auto"/>
            <w:noWrap/>
            <w:vAlign w:val="bottom"/>
          </w:tcPr>
          <w:p w14:paraId="412E994B" w14:textId="77777777" w:rsidR="00BE49FD" w:rsidRPr="002170FA" w:rsidRDefault="00BE49FD" w:rsidP="00B90008">
            <w:pPr>
              <w:spacing w:line="240" w:lineRule="auto"/>
              <w:contextualSpacing/>
              <w:jc w:val="center"/>
              <w:rPr>
                <w:rFonts w:ascii="Garamond" w:hAnsi="Garamond"/>
                <w:i/>
                <w:color w:val="000000"/>
              </w:rPr>
            </w:pPr>
            <w:r w:rsidRPr="002170FA">
              <w:rPr>
                <w:rFonts w:ascii="Garamond" w:hAnsi="Garamond"/>
                <w:i/>
                <w:color w:val="000000"/>
              </w:rPr>
              <w:t>P-value</w:t>
            </w:r>
          </w:p>
        </w:tc>
      </w:tr>
      <w:tr w:rsidR="00BE49FD" w:rsidRPr="008A703F" w14:paraId="4175AE26" w14:textId="77777777" w:rsidTr="00B90008">
        <w:trPr>
          <w:trHeight w:val="300"/>
          <w:jc w:val="center"/>
        </w:trPr>
        <w:tc>
          <w:tcPr>
            <w:tcW w:w="12401" w:type="dxa"/>
            <w:gridSpan w:val="11"/>
            <w:shd w:val="clear" w:color="auto" w:fill="auto"/>
            <w:noWrap/>
            <w:vAlign w:val="bottom"/>
          </w:tcPr>
          <w:p w14:paraId="43E2015A" w14:textId="77777777" w:rsidR="00BE49FD" w:rsidRPr="002170FA" w:rsidRDefault="00BE49FD" w:rsidP="00B90008">
            <w:pPr>
              <w:spacing w:line="240" w:lineRule="auto"/>
              <w:contextualSpacing/>
              <w:jc w:val="center"/>
              <w:rPr>
                <w:rFonts w:ascii="Garamond" w:hAnsi="Garamond"/>
                <w:color w:val="000000"/>
              </w:rPr>
            </w:pPr>
          </w:p>
          <w:p w14:paraId="505AAB97" w14:textId="77777777" w:rsidR="00BE49FD" w:rsidRPr="002170FA" w:rsidRDefault="00BE49FD" w:rsidP="00B90008">
            <w:pPr>
              <w:spacing w:line="240" w:lineRule="auto"/>
              <w:contextualSpacing/>
              <w:rPr>
                <w:rFonts w:ascii="Garamond" w:hAnsi="Garamond"/>
                <w:i/>
                <w:color w:val="000000"/>
              </w:rPr>
            </w:pPr>
            <w:r w:rsidRPr="002170FA">
              <w:rPr>
                <w:rFonts w:ascii="Garamond" w:hAnsi="Garamond"/>
                <w:color w:val="000000"/>
              </w:rPr>
              <w:t>Group A: Monetary Policy Variables</w:t>
            </w:r>
          </w:p>
        </w:tc>
      </w:tr>
      <w:tr w:rsidR="00BE49FD" w:rsidRPr="008A703F" w14:paraId="32F312C1" w14:textId="77777777" w:rsidTr="00B90008">
        <w:trPr>
          <w:trHeight w:val="300"/>
          <w:jc w:val="center"/>
        </w:trPr>
        <w:tc>
          <w:tcPr>
            <w:tcW w:w="12401" w:type="dxa"/>
            <w:gridSpan w:val="11"/>
            <w:shd w:val="clear" w:color="auto" w:fill="auto"/>
            <w:noWrap/>
            <w:vAlign w:val="bottom"/>
          </w:tcPr>
          <w:p w14:paraId="5AA6D007" w14:textId="77777777" w:rsidR="00BE49FD" w:rsidRPr="002170FA" w:rsidRDefault="00BE49FD" w:rsidP="00B90008">
            <w:pPr>
              <w:spacing w:line="240" w:lineRule="auto"/>
              <w:contextualSpacing/>
              <w:jc w:val="center"/>
              <w:rPr>
                <w:rFonts w:ascii="Garamond" w:hAnsi="Garamond"/>
                <w:color w:val="000000"/>
              </w:rPr>
            </w:pPr>
          </w:p>
          <w:p w14:paraId="4C878FC8"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Monetary Base (lnMV*MB)</w:t>
            </w:r>
          </w:p>
          <w:p w14:paraId="07A3D370" w14:textId="77777777" w:rsidR="00BE49FD" w:rsidRPr="002170FA" w:rsidRDefault="00BE49FD" w:rsidP="00B90008">
            <w:pPr>
              <w:spacing w:line="240" w:lineRule="auto"/>
              <w:contextualSpacing/>
              <w:jc w:val="center"/>
              <w:rPr>
                <w:rFonts w:ascii="Garamond" w:hAnsi="Garamond"/>
                <w:color w:val="000000"/>
              </w:rPr>
            </w:pPr>
          </w:p>
        </w:tc>
      </w:tr>
      <w:tr w:rsidR="00BE49FD" w:rsidRPr="008A703F" w14:paraId="6BA942A0" w14:textId="77777777" w:rsidTr="00B90008">
        <w:trPr>
          <w:trHeight w:val="300"/>
          <w:jc w:val="center"/>
        </w:trPr>
        <w:tc>
          <w:tcPr>
            <w:tcW w:w="1356" w:type="dxa"/>
            <w:shd w:val="clear" w:color="auto" w:fill="auto"/>
            <w:noWrap/>
            <w:vAlign w:val="center"/>
          </w:tcPr>
          <w:p w14:paraId="32235041"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TR</w:t>
            </w:r>
          </w:p>
        </w:tc>
        <w:tc>
          <w:tcPr>
            <w:tcW w:w="1249" w:type="dxa"/>
            <w:shd w:val="clear" w:color="auto" w:fill="auto"/>
            <w:noWrap/>
            <w:vAlign w:val="center"/>
          </w:tcPr>
          <w:p w14:paraId="0FCA94CC" w14:textId="505A4E78" w:rsidR="00BE49FD" w:rsidRPr="008A703F" w:rsidRDefault="00E500C6" w:rsidP="00E500C6">
            <w:pPr>
              <w:spacing w:line="240" w:lineRule="auto"/>
              <w:contextualSpacing/>
              <w:jc w:val="center"/>
              <w:rPr>
                <w:rFonts w:ascii="Garamond" w:hAnsi="Garamond"/>
                <w:color w:val="000000"/>
              </w:rPr>
            </w:pPr>
            <w:r>
              <w:rPr>
                <w:rFonts w:ascii="Garamond" w:hAnsi="Garamond"/>
                <w:color w:val="000000"/>
              </w:rPr>
              <w:t>0.2131</w:t>
            </w:r>
            <w:r w:rsidR="00BE49FD" w:rsidRPr="008A703F">
              <w:rPr>
                <w:rFonts w:ascii="Garamond" w:hAnsi="Garamond"/>
                <w:color w:val="000000"/>
              </w:rPr>
              <w:t>*</w:t>
            </w:r>
          </w:p>
        </w:tc>
        <w:tc>
          <w:tcPr>
            <w:tcW w:w="960" w:type="dxa"/>
            <w:shd w:val="clear" w:color="auto" w:fill="auto"/>
            <w:noWrap/>
            <w:vAlign w:val="center"/>
          </w:tcPr>
          <w:p w14:paraId="69BB1F0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0.0844</w:t>
            </w:r>
          </w:p>
        </w:tc>
        <w:tc>
          <w:tcPr>
            <w:tcW w:w="1249" w:type="dxa"/>
            <w:shd w:val="clear" w:color="auto" w:fill="auto"/>
            <w:noWrap/>
            <w:vAlign w:val="center"/>
          </w:tcPr>
          <w:p w14:paraId="4AA1AC2D" w14:textId="15157F58" w:rsidR="00BE49FD" w:rsidRPr="008A703F" w:rsidRDefault="00BE49FD" w:rsidP="00E500C6">
            <w:pPr>
              <w:spacing w:line="240" w:lineRule="auto"/>
              <w:contextualSpacing/>
              <w:jc w:val="center"/>
              <w:rPr>
                <w:rFonts w:ascii="Garamond" w:hAnsi="Garamond"/>
                <w:color w:val="000000"/>
              </w:rPr>
            </w:pPr>
            <w:r w:rsidRPr="008A703F">
              <w:rPr>
                <w:rFonts w:ascii="Garamond" w:hAnsi="Garamond"/>
                <w:color w:val="000000"/>
              </w:rPr>
              <w:t>-0.009</w:t>
            </w:r>
            <w:r w:rsidR="00E500C6">
              <w:rPr>
                <w:rFonts w:ascii="Garamond" w:hAnsi="Garamond"/>
                <w:color w:val="000000"/>
              </w:rPr>
              <w:t>1</w:t>
            </w:r>
            <w:r w:rsidRPr="008A703F">
              <w:rPr>
                <w:rFonts w:ascii="Garamond" w:hAnsi="Garamond"/>
                <w:color w:val="000000"/>
              </w:rPr>
              <w:t>*</w:t>
            </w:r>
          </w:p>
        </w:tc>
        <w:tc>
          <w:tcPr>
            <w:tcW w:w="960" w:type="dxa"/>
            <w:shd w:val="clear" w:color="auto" w:fill="auto"/>
            <w:noWrap/>
            <w:vAlign w:val="center"/>
          </w:tcPr>
          <w:p w14:paraId="37571E6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0.0848</w:t>
            </w:r>
          </w:p>
        </w:tc>
        <w:tc>
          <w:tcPr>
            <w:tcW w:w="1249" w:type="dxa"/>
            <w:shd w:val="clear" w:color="auto" w:fill="auto"/>
            <w:noWrap/>
            <w:vAlign w:val="center"/>
          </w:tcPr>
          <w:p w14:paraId="24353586" w14:textId="4A9C159B"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0.0182</w:t>
            </w:r>
          </w:p>
        </w:tc>
        <w:tc>
          <w:tcPr>
            <w:tcW w:w="960" w:type="dxa"/>
            <w:shd w:val="clear" w:color="auto" w:fill="auto"/>
            <w:noWrap/>
            <w:vAlign w:val="center"/>
          </w:tcPr>
          <w:p w14:paraId="285317B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0.9891</w:t>
            </w:r>
          </w:p>
        </w:tc>
        <w:tc>
          <w:tcPr>
            <w:tcW w:w="1249" w:type="dxa"/>
            <w:shd w:val="clear" w:color="auto" w:fill="auto"/>
            <w:noWrap/>
            <w:vAlign w:val="center"/>
          </w:tcPr>
          <w:p w14:paraId="16C0BC1E" w14:textId="21FA4F65"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0.0568**</w:t>
            </w:r>
          </w:p>
        </w:tc>
        <w:tc>
          <w:tcPr>
            <w:tcW w:w="960" w:type="dxa"/>
            <w:shd w:val="clear" w:color="auto" w:fill="auto"/>
            <w:noWrap/>
            <w:vAlign w:val="center"/>
          </w:tcPr>
          <w:p w14:paraId="7AFD841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0.0406</w:t>
            </w:r>
          </w:p>
        </w:tc>
        <w:tc>
          <w:tcPr>
            <w:tcW w:w="1249" w:type="dxa"/>
            <w:shd w:val="clear" w:color="auto" w:fill="auto"/>
            <w:noWrap/>
            <w:vAlign w:val="center"/>
          </w:tcPr>
          <w:p w14:paraId="6AC070B7" w14:textId="1D878528"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0.9101*</w:t>
            </w:r>
          </w:p>
        </w:tc>
        <w:tc>
          <w:tcPr>
            <w:tcW w:w="960" w:type="dxa"/>
            <w:shd w:val="clear" w:color="auto" w:fill="auto"/>
            <w:noWrap/>
            <w:vAlign w:val="center"/>
          </w:tcPr>
          <w:p w14:paraId="73B11616"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0.0925</w:t>
            </w:r>
          </w:p>
        </w:tc>
      </w:tr>
      <w:tr w:rsidR="00BE49FD" w:rsidRPr="008A703F" w14:paraId="30708560" w14:textId="77777777" w:rsidTr="00B90008">
        <w:trPr>
          <w:trHeight w:val="300"/>
          <w:jc w:val="center"/>
        </w:trPr>
        <w:tc>
          <w:tcPr>
            <w:tcW w:w="1356" w:type="dxa"/>
            <w:shd w:val="clear" w:color="auto" w:fill="auto"/>
            <w:noWrap/>
            <w:vAlign w:val="center"/>
          </w:tcPr>
          <w:p w14:paraId="576DDF0C"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TV</w:t>
            </w:r>
          </w:p>
        </w:tc>
        <w:tc>
          <w:tcPr>
            <w:tcW w:w="1249" w:type="dxa"/>
            <w:shd w:val="clear" w:color="auto" w:fill="auto"/>
            <w:noWrap/>
            <w:vAlign w:val="center"/>
          </w:tcPr>
          <w:p w14:paraId="2D12B0FE"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0.3997*</w:t>
            </w:r>
          </w:p>
        </w:tc>
        <w:tc>
          <w:tcPr>
            <w:tcW w:w="960" w:type="dxa"/>
            <w:shd w:val="clear" w:color="auto" w:fill="auto"/>
            <w:noWrap/>
            <w:vAlign w:val="center"/>
          </w:tcPr>
          <w:p w14:paraId="411CCDC0"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0.0984</w:t>
            </w:r>
          </w:p>
        </w:tc>
        <w:tc>
          <w:tcPr>
            <w:tcW w:w="1249" w:type="dxa"/>
            <w:shd w:val="clear" w:color="auto" w:fill="auto"/>
            <w:noWrap/>
            <w:vAlign w:val="center"/>
          </w:tcPr>
          <w:p w14:paraId="090E118D" w14:textId="78B5B6C4" w:rsidR="00BE49FD" w:rsidRPr="008A703F" w:rsidRDefault="00E500C6" w:rsidP="00B90008">
            <w:pPr>
              <w:spacing w:line="240" w:lineRule="auto"/>
              <w:contextualSpacing/>
              <w:jc w:val="center"/>
              <w:rPr>
                <w:rFonts w:ascii="Garamond" w:hAnsi="Garamond"/>
                <w:color w:val="000000"/>
              </w:rPr>
            </w:pPr>
            <w:r>
              <w:rPr>
                <w:rFonts w:ascii="Garamond" w:hAnsi="Garamond"/>
                <w:color w:val="000000"/>
              </w:rPr>
              <w:t>0.4753</w:t>
            </w:r>
            <w:r w:rsidR="00BE49FD" w:rsidRPr="008A703F">
              <w:rPr>
                <w:rFonts w:ascii="Garamond" w:hAnsi="Garamond"/>
                <w:color w:val="000000"/>
              </w:rPr>
              <w:t>***</w:t>
            </w:r>
          </w:p>
        </w:tc>
        <w:tc>
          <w:tcPr>
            <w:tcW w:w="960" w:type="dxa"/>
            <w:shd w:val="clear" w:color="auto" w:fill="auto"/>
            <w:noWrap/>
            <w:vAlign w:val="center"/>
          </w:tcPr>
          <w:p w14:paraId="7BC3F6AE"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0.0123</w:t>
            </w:r>
          </w:p>
        </w:tc>
        <w:tc>
          <w:tcPr>
            <w:tcW w:w="1249" w:type="dxa"/>
            <w:shd w:val="clear" w:color="auto" w:fill="auto"/>
            <w:noWrap/>
            <w:vAlign w:val="center"/>
          </w:tcPr>
          <w:p w14:paraId="27DB74B6" w14:textId="4E21D9BE"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1.1667</w:t>
            </w:r>
          </w:p>
        </w:tc>
        <w:tc>
          <w:tcPr>
            <w:tcW w:w="960" w:type="dxa"/>
            <w:shd w:val="clear" w:color="auto" w:fill="auto"/>
            <w:noWrap/>
            <w:vAlign w:val="center"/>
          </w:tcPr>
          <w:p w14:paraId="29193B9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0.1102</w:t>
            </w:r>
          </w:p>
        </w:tc>
        <w:tc>
          <w:tcPr>
            <w:tcW w:w="1249" w:type="dxa"/>
            <w:shd w:val="clear" w:color="auto" w:fill="auto"/>
            <w:noWrap/>
            <w:vAlign w:val="center"/>
          </w:tcPr>
          <w:p w14:paraId="480EEE29" w14:textId="05DF6DF9"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1.0689</w:t>
            </w:r>
            <w:r w:rsidR="00BE49FD" w:rsidRPr="008A703F">
              <w:rPr>
                <w:rFonts w:ascii="Garamond" w:hAnsi="Garamond"/>
                <w:color w:val="000000"/>
              </w:rPr>
              <w:t>***</w:t>
            </w:r>
          </w:p>
        </w:tc>
        <w:tc>
          <w:tcPr>
            <w:tcW w:w="960" w:type="dxa"/>
            <w:shd w:val="clear" w:color="auto" w:fill="auto"/>
            <w:noWrap/>
            <w:vAlign w:val="center"/>
          </w:tcPr>
          <w:p w14:paraId="7FD3757B"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c>
          <w:tcPr>
            <w:tcW w:w="1249" w:type="dxa"/>
            <w:shd w:val="clear" w:color="auto" w:fill="auto"/>
            <w:noWrap/>
            <w:vAlign w:val="center"/>
          </w:tcPr>
          <w:p w14:paraId="6E4EE0AC" w14:textId="3099C15B"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2.9798</w:t>
            </w:r>
            <w:r w:rsidR="00BE49FD" w:rsidRPr="008A703F">
              <w:rPr>
                <w:rFonts w:ascii="Garamond" w:hAnsi="Garamond"/>
                <w:color w:val="000000"/>
              </w:rPr>
              <w:t>***</w:t>
            </w:r>
          </w:p>
        </w:tc>
        <w:tc>
          <w:tcPr>
            <w:tcW w:w="960" w:type="dxa"/>
            <w:shd w:val="clear" w:color="auto" w:fill="auto"/>
            <w:noWrap/>
            <w:vAlign w:val="center"/>
          </w:tcPr>
          <w:p w14:paraId="630E236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r>
      <w:tr w:rsidR="00BE49FD" w:rsidRPr="008A703F" w14:paraId="63545DFC" w14:textId="77777777" w:rsidTr="00B90008">
        <w:trPr>
          <w:trHeight w:val="300"/>
          <w:jc w:val="center"/>
        </w:trPr>
        <w:tc>
          <w:tcPr>
            <w:tcW w:w="1356" w:type="dxa"/>
            <w:shd w:val="clear" w:color="auto" w:fill="auto"/>
            <w:noWrap/>
            <w:vAlign w:val="center"/>
          </w:tcPr>
          <w:p w14:paraId="67B989BE"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ILLIQ</w:t>
            </w:r>
          </w:p>
        </w:tc>
        <w:tc>
          <w:tcPr>
            <w:tcW w:w="1249" w:type="dxa"/>
            <w:shd w:val="clear" w:color="auto" w:fill="auto"/>
            <w:noWrap/>
            <w:vAlign w:val="center"/>
          </w:tcPr>
          <w:p w14:paraId="53E61E0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-0.0297***</w:t>
            </w:r>
          </w:p>
        </w:tc>
        <w:tc>
          <w:tcPr>
            <w:tcW w:w="960" w:type="dxa"/>
            <w:shd w:val="clear" w:color="auto" w:fill="auto"/>
            <w:noWrap/>
            <w:vAlign w:val="center"/>
          </w:tcPr>
          <w:p w14:paraId="3E1A005A"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0.0119</w:t>
            </w:r>
          </w:p>
        </w:tc>
        <w:tc>
          <w:tcPr>
            <w:tcW w:w="1249" w:type="dxa"/>
            <w:shd w:val="clear" w:color="auto" w:fill="auto"/>
            <w:noWrap/>
            <w:vAlign w:val="center"/>
          </w:tcPr>
          <w:p w14:paraId="068C5D6E"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0.0173</w:t>
            </w:r>
          </w:p>
        </w:tc>
        <w:tc>
          <w:tcPr>
            <w:tcW w:w="960" w:type="dxa"/>
            <w:shd w:val="clear" w:color="auto" w:fill="auto"/>
            <w:noWrap/>
            <w:vAlign w:val="center"/>
          </w:tcPr>
          <w:p w14:paraId="51E90B8B"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0.6886</w:t>
            </w:r>
          </w:p>
        </w:tc>
        <w:tc>
          <w:tcPr>
            <w:tcW w:w="1249" w:type="dxa"/>
            <w:shd w:val="clear" w:color="auto" w:fill="auto"/>
            <w:noWrap/>
            <w:vAlign w:val="center"/>
          </w:tcPr>
          <w:p w14:paraId="746CB161" w14:textId="588F762C"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0.0227</w:t>
            </w:r>
          </w:p>
        </w:tc>
        <w:tc>
          <w:tcPr>
            <w:tcW w:w="960" w:type="dxa"/>
            <w:shd w:val="clear" w:color="auto" w:fill="auto"/>
            <w:noWrap/>
            <w:vAlign w:val="center"/>
          </w:tcPr>
          <w:p w14:paraId="08DDC6EF"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0.4962</w:t>
            </w:r>
          </w:p>
        </w:tc>
        <w:tc>
          <w:tcPr>
            <w:tcW w:w="1249" w:type="dxa"/>
            <w:shd w:val="clear" w:color="auto" w:fill="auto"/>
            <w:noWrap/>
            <w:vAlign w:val="center"/>
          </w:tcPr>
          <w:p w14:paraId="3F25797E" w14:textId="7E340338"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0.0279</w:t>
            </w:r>
          </w:p>
        </w:tc>
        <w:tc>
          <w:tcPr>
            <w:tcW w:w="960" w:type="dxa"/>
            <w:shd w:val="clear" w:color="auto" w:fill="auto"/>
            <w:noWrap/>
            <w:vAlign w:val="center"/>
          </w:tcPr>
          <w:p w14:paraId="1BB2B93B"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0.1359</w:t>
            </w:r>
          </w:p>
        </w:tc>
        <w:tc>
          <w:tcPr>
            <w:tcW w:w="1249" w:type="dxa"/>
            <w:shd w:val="clear" w:color="auto" w:fill="auto"/>
            <w:noWrap/>
            <w:vAlign w:val="center"/>
          </w:tcPr>
          <w:p w14:paraId="3278D9D6" w14:textId="159B8093"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-0.594</w:t>
            </w:r>
            <w:r w:rsidR="00657969">
              <w:rPr>
                <w:rFonts w:ascii="Garamond" w:hAnsi="Garamond"/>
                <w:color w:val="000000"/>
              </w:rPr>
              <w:t>0</w:t>
            </w:r>
            <w:r w:rsidRPr="008A703F">
              <w:rPr>
                <w:rFonts w:ascii="Garamond" w:hAnsi="Garamond"/>
                <w:color w:val="000000"/>
              </w:rPr>
              <w:t>***</w:t>
            </w:r>
          </w:p>
        </w:tc>
        <w:tc>
          <w:tcPr>
            <w:tcW w:w="960" w:type="dxa"/>
            <w:shd w:val="clear" w:color="auto" w:fill="auto"/>
            <w:noWrap/>
            <w:vAlign w:val="center"/>
          </w:tcPr>
          <w:p w14:paraId="6149B29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r>
      <w:tr w:rsidR="00BE49FD" w:rsidRPr="008A703F" w14:paraId="5FE1AF52" w14:textId="77777777" w:rsidTr="00B90008">
        <w:trPr>
          <w:trHeight w:val="300"/>
          <w:jc w:val="center"/>
        </w:trPr>
        <w:tc>
          <w:tcPr>
            <w:tcW w:w="1356" w:type="dxa"/>
            <w:shd w:val="clear" w:color="auto" w:fill="auto"/>
            <w:noWrap/>
            <w:vAlign w:val="center"/>
          </w:tcPr>
          <w:p w14:paraId="36A6694F"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TPI</w:t>
            </w:r>
          </w:p>
        </w:tc>
        <w:tc>
          <w:tcPr>
            <w:tcW w:w="1249" w:type="dxa"/>
            <w:shd w:val="clear" w:color="auto" w:fill="auto"/>
            <w:noWrap/>
            <w:vAlign w:val="center"/>
          </w:tcPr>
          <w:p w14:paraId="2922D098" w14:textId="7DA2B089" w:rsidR="00BE49FD" w:rsidRPr="008A703F" w:rsidRDefault="00E500C6" w:rsidP="00B90008">
            <w:pPr>
              <w:spacing w:line="240" w:lineRule="auto"/>
              <w:contextualSpacing/>
              <w:jc w:val="center"/>
              <w:rPr>
                <w:rFonts w:ascii="Garamond" w:hAnsi="Garamond"/>
                <w:color w:val="000000"/>
              </w:rPr>
            </w:pPr>
            <w:r>
              <w:rPr>
                <w:rFonts w:ascii="Garamond" w:hAnsi="Garamond"/>
                <w:color w:val="000000"/>
              </w:rPr>
              <w:t>0.0397</w:t>
            </w:r>
            <w:r w:rsidR="00BE49FD" w:rsidRPr="008A703F">
              <w:rPr>
                <w:rFonts w:ascii="Garamond" w:hAnsi="Garamond"/>
                <w:color w:val="000000"/>
              </w:rPr>
              <w:t>***</w:t>
            </w:r>
          </w:p>
        </w:tc>
        <w:tc>
          <w:tcPr>
            <w:tcW w:w="960" w:type="dxa"/>
            <w:shd w:val="clear" w:color="auto" w:fill="auto"/>
            <w:noWrap/>
            <w:vAlign w:val="center"/>
          </w:tcPr>
          <w:p w14:paraId="37A92957"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0.0107</w:t>
            </w:r>
          </w:p>
        </w:tc>
        <w:tc>
          <w:tcPr>
            <w:tcW w:w="1249" w:type="dxa"/>
            <w:shd w:val="clear" w:color="auto" w:fill="auto"/>
            <w:noWrap/>
            <w:vAlign w:val="center"/>
          </w:tcPr>
          <w:p w14:paraId="6FA3CB70" w14:textId="781E3922" w:rsidR="00BE49FD" w:rsidRPr="008A703F" w:rsidRDefault="00BE49FD" w:rsidP="00E500C6">
            <w:pPr>
              <w:spacing w:line="240" w:lineRule="auto"/>
              <w:contextualSpacing/>
              <w:jc w:val="center"/>
              <w:rPr>
                <w:rFonts w:ascii="Garamond" w:hAnsi="Garamond"/>
                <w:color w:val="000000"/>
              </w:rPr>
            </w:pPr>
            <w:r w:rsidRPr="008A703F">
              <w:rPr>
                <w:rFonts w:ascii="Garamond" w:hAnsi="Garamond"/>
                <w:color w:val="000000"/>
              </w:rPr>
              <w:t>0.0252</w:t>
            </w:r>
          </w:p>
        </w:tc>
        <w:tc>
          <w:tcPr>
            <w:tcW w:w="960" w:type="dxa"/>
            <w:shd w:val="clear" w:color="auto" w:fill="auto"/>
            <w:noWrap/>
            <w:vAlign w:val="center"/>
          </w:tcPr>
          <w:p w14:paraId="79C089E9" w14:textId="20EC36E8"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0.181</w:t>
            </w:r>
            <w:r w:rsidR="00657969">
              <w:rPr>
                <w:rFonts w:ascii="Garamond" w:hAnsi="Garamond"/>
                <w:color w:val="000000"/>
              </w:rPr>
              <w:t>0</w:t>
            </w:r>
          </w:p>
        </w:tc>
        <w:tc>
          <w:tcPr>
            <w:tcW w:w="1249" w:type="dxa"/>
            <w:shd w:val="clear" w:color="auto" w:fill="auto"/>
            <w:noWrap/>
            <w:vAlign w:val="center"/>
          </w:tcPr>
          <w:p w14:paraId="6A77A428" w14:textId="50D8426B"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0.0197</w:t>
            </w:r>
          </w:p>
        </w:tc>
        <w:tc>
          <w:tcPr>
            <w:tcW w:w="960" w:type="dxa"/>
            <w:shd w:val="clear" w:color="auto" w:fill="auto"/>
            <w:noWrap/>
            <w:vAlign w:val="center"/>
          </w:tcPr>
          <w:p w14:paraId="0AE17DC2"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0.8987</w:t>
            </w:r>
          </w:p>
        </w:tc>
        <w:tc>
          <w:tcPr>
            <w:tcW w:w="1249" w:type="dxa"/>
            <w:shd w:val="clear" w:color="auto" w:fill="auto"/>
            <w:noWrap/>
            <w:vAlign w:val="center"/>
          </w:tcPr>
          <w:p w14:paraId="07A22C2F" w14:textId="555CE32E"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0.0202</w:t>
            </w:r>
          </w:p>
        </w:tc>
        <w:tc>
          <w:tcPr>
            <w:tcW w:w="960" w:type="dxa"/>
            <w:shd w:val="clear" w:color="auto" w:fill="auto"/>
            <w:noWrap/>
            <w:vAlign w:val="center"/>
          </w:tcPr>
          <w:p w14:paraId="7385BD18"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0.3036</w:t>
            </w:r>
          </w:p>
        </w:tc>
        <w:tc>
          <w:tcPr>
            <w:tcW w:w="1249" w:type="dxa"/>
            <w:shd w:val="clear" w:color="auto" w:fill="auto"/>
            <w:noWrap/>
            <w:vAlign w:val="center"/>
          </w:tcPr>
          <w:p w14:paraId="6CB4407F" w14:textId="6541616A"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0.0131</w:t>
            </w:r>
          </w:p>
        </w:tc>
        <w:tc>
          <w:tcPr>
            <w:tcW w:w="960" w:type="dxa"/>
            <w:shd w:val="clear" w:color="auto" w:fill="auto"/>
            <w:noWrap/>
            <w:vAlign w:val="center"/>
          </w:tcPr>
          <w:p w14:paraId="5A1B2EDD"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0.6608</w:t>
            </w:r>
          </w:p>
        </w:tc>
      </w:tr>
      <w:tr w:rsidR="00BE49FD" w:rsidRPr="008A703F" w14:paraId="72B2AC98" w14:textId="77777777" w:rsidTr="00B90008">
        <w:trPr>
          <w:trHeight w:val="300"/>
          <w:jc w:val="center"/>
        </w:trPr>
        <w:tc>
          <w:tcPr>
            <w:tcW w:w="12401" w:type="dxa"/>
            <w:gridSpan w:val="11"/>
            <w:shd w:val="clear" w:color="auto" w:fill="auto"/>
            <w:noWrap/>
            <w:vAlign w:val="bottom"/>
          </w:tcPr>
          <w:p w14:paraId="700FD13A" w14:textId="77777777" w:rsidR="00BE49FD" w:rsidRPr="002170FA" w:rsidRDefault="00BE49FD" w:rsidP="00B90008">
            <w:pPr>
              <w:spacing w:line="240" w:lineRule="auto"/>
              <w:contextualSpacing/>
              <w:jc w:val="center"/>
              <w:rPr>
                <w:rFonts w:ascii="Garamond" w:hAnsi="Garamond"/>
                <w:color w:val="000000"/>
              </w:rPr>
            </w:pPr>
          </w:p>
          <w:p w14:paraId="29DA8240"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Bank Rate (lnMV*BR)</w:t>
            </w:r>
          </w:p>
          <w:p w14:paraId="3EC3A58B" w14:textId="77777777" w:rsidR="00BE49FD" w:rsidRPr="002170FA" w:rsidRDefault="00BE49FD" w:rsidP="00B90008">
            <w:pPr>
              <w:spacing w:line="240" w:lineRule="auto"/>
              <w:contextualSpacing/>
              <w:jc w:val="center"/>
              <w:rPr>
                <w:rFonts w:ascii="Garamond" w:hAnsi="Garamond"/>
                <w:color w:val="000000"/>
              </w:rPr>
            </w:pPr>
          </w:p>
        </w:tc>
      </w:tr>
      <w:tr w:rsidR="00BE49FD" w:rsidRPr="008A703F" w14:paraId="5468685C" w14:textId="77777777" w:rsidTr="00B90008">
        <w:trPr>
          <w:trHeight w:val="300"/>
          <w:jc w:val="center"/>
        </w:trPr>
        <w:tc>
          <w:tcPr>
            <w:tcW w:w="1356" w:type="dxa"/>
            <w:shd w:val="clear" w:color="auto" w:fill="auto"/>
            <w:noWrap/>
            <w:vAlign w:val="center"/>
          </w:tcPr>
          <w:p w14:paraId="4B944106"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TR</w:t>
            </w:r>
          </w:p>
        </w:tc>
        <w:tc>
          <w:tcPr>
            <w:tcW w:w="1249" w:type="dxa"/>
            <w:shd w:val="clear" w:color="auto" w:fill="auto"/>
            <w:noWrap/>
            <w:vAlign w:val="center"/>
          </w:tcPr>
          <w:p w14:paraId="118F5C1F" w14:textId="7BDFA5FD" w:rsidR="00BE49FD" w:rsidRPr="008A703F" w:rsidRDefault="00E500C6" w:rsidP="00E500C6">
            <w:pPr>
              <w:spacing w:line="240" w:lineRule="auto"/>
              <w:contextualSpacing/>
              <w:jc w:val="center"/>
              <w:rPr>
                <w:rFonts w:ascii="Garamond" w:hAnsi="Garamond"/>
                <w:color w:val="000000"/>
              </w:rPr>
            </w:pPr>
            <w:r>
              <w:rPr>
                <w:rFonts w:ascii="Garamond" w:hAnsi="Garamond"/>
                <w:color w:val="000000"/>
              </w:rPr>
              <w:t>0.0287</w:t>
            </w:r>
          </w:p>
        </w:tc>
        <w:tc>
          <w:tcPr>
            <w:tcW w:w="960" w:type="dxa"/>
            <w:shd w:val="clear" w:color="auto" w:fill="auto"/>
            <w:noWrap/>
            <w:vAlign w:val="center"/>
          </w:tcPr>
          <w:p w14:paraId="43CDDC0A"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0.2932</w:t>
            </w:r>
          </w:p>
        </w:tc>
        <w:tc>
          <w:tcPr>
            <w:tcW w:w="1249" w:type="dxa"/>
            <w:shd w:val="clear" w:color="auto" w:fill="auto"/>
            <w:noWrap/>
            <w:vAlign w:val="center"/>
          </w:tcPr>
          <w:p w14:paraId="4B7F501C" w14:textId="08BAEF21" w:rsidR="00BE49FD" w:rsidRPr="008A703F" w:rsidRDefault="00E500C6" w:rsidP="00E500C6">
            <w:pPr>
              <w:spacing w:line="240" w:lineRule="auto"/>
              <w:contextualSpacing/>
              <w:jc w:val="center"/>
              <w:rPr>
                <w:rFonts w:ascii="Garamond" w:hAnsi="Garamond"/>
                <w:color w:val="000000"/>
              </w:rPr>
            </w:pPr>
            <w:r>
              <w:rPr>
                <w:rFonts w:ascii="Garamond" w:hAnsi="Garamond"/>
                <w:color w:val="000000"/>
              </w:rPr>
              <w:t>0.0223</w:t>
            </w:r>
          </w:p>
        </w:tc>
        <w:tc>
          <w:tcPr>
            <w:tcW w:w="960" w:type="dxa"/>
            <w:shd w:val="clear" w:color="auto" w:fill="auto"/>
            <w:noWrap/>
            <w:vAlign w:val="center"/>
          </w:tcPr>
          <w:p w14:paraId="6E31324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0.6084</w:t>
            </w:r>
          </w:p>
        </w:tc>
        <w:tc>
          <w:tcPr>
            <w:tcW w:w="1249" w:type="dxa"/>
            <w:shd w:val="clear" w:color="auto" w:fill="auto"/>
            <w:noWrap/>
            <w:vAlign w:val="center"/>
          </w:tcPr>
          <w:p w14:paraId="70622A59" w14:textId="2013D425"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0.0197</w:t>
            </w:r>
          </w:p>
        </w:tc>
        <w:tc>
          <w:tcPr>
            <w:tcW w:w="960" w:type="dxa"/>
            <w:shd w:val="clear" w:color="auto" w:fill="auto"/>
            <w:noWrap/>
            <w:vAlign w:val="center"/>
          </w:tcPr>
          <w:p w14:paraId="00FF9BD6"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0.8798</w:t>
            </w:r>
          </w:p>
        </w:tc>
        <w:tc>
          <w:tcPr>
            <w:tcW w:w="1249" w:type="dxa"/>
            <w:shd w:val="clear" w:color="auto" w:fill="auto"/>
            <w:noWrap/>
            <w:vAlign w:val="center"/>
          </w:tcPr>
          <w:p w14:paraId="690A0BD3" w14:textId="5643912D"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-0.0191</w:t>
            </w:r>
          </w:p>
        </w:tc>
        <w:tc>
          <w:tcPr>
            <w:tcW w:w="960" w:type="dxa"/>
            <w:shd w:val="clear" w:color="auto" w:fill="auto"/>
            <w:noWrap/>
            <w:vAlign w:val="center"/>
          </w:tcPr>
          <w:p w14:paraId="41748880"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0.5689</w:t>
            </w:r>
          </w:p>
        </w:tc>
        <w:tc>
          <w:tcPr>
            <w:tcW w:w="1249" w:type="dxa"/>
            <w:shd w:val="clear" w:color="auto" w:fill="auto"/>
            <w:noWrap/>
            <w:vAlign w:val="center"/>
          </w:tcPr>
          <w:p w14:paraId="2EA57C8E" w14:textId="1843088F"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-0.0088</w:t>
            </w:r>
          </w:p>
        </w:tc>
        <w:tc>
          <w:tcPr>
            <w:tcW w:w="960" w:type="dxa"/>
            <w:shd w:val="clear" w:color="auto" w:fill="auto"/>
            <w:noWrap/>
            <w:vAlign w:val="center"/>
          </w:tcPr>
          <w:p w14:paraId="1DA8163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0.0869</w:t>
            </w:r>
          </w:p>
        </w:tc>
      </w:tr>
      <w:tr w:rsidR="00BE49FD" w:rsidRPr="008A703F" w14:paraId="4EBF4790" w14:textId="77777777" w:rsidTr="00B90008">
        <w:trPr>
          <w:trHeight w:val="300"/>
          <w:jc w:val="center"/>
        </w:trPr>
        <w:tc>
          <w:tcPr>
            <w:tcW w:w="1356" w:type="dxa"/>
            <w:shd w:val="clear" w:color="auto" w:fill="auto"/>
            <w:noWrap/>
            <w:vAlign w:val="center"/>
          </w:tcPr>
          <w:p w14:paraId="4478765A"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TV</w:t>
            </w:r>
          </w:p>
        </w:tc>
        <w:tc>
          <w:tcPr>
            <w:tcW w:w="1249" w:type="dxa"/>
            <w:shd w:val="clear" w:color="auto" w:fill="auto"/>
            <w:noWrap/>
            <w:vAlign w:val="center"/>
          </w:tcPr>
          <w:p w14:paraId="5C6127DF" w14:textId="01D37FCD"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0.0335*</w:t>
            </w:r>
          </w:p>
        </w:tc>
        <w:tc>
          <w:tcPr>
            <w:tcW w:w="960" w:type="dxa"/>
            <w:shd w:val="clear" w:color="auto" w:fill="auto"/>
            <w:noWrap/>
            <w:vAlign w:val="center"/>
          </w:tcPr>
          <w:p w14:paraId="1643734D"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0.0845</w:t>
            </w:r>
          </w:p>
        </w:tc>
        <w:tc>
          <w:tcPr>
            <w:tcW w:w="1249" w:type="dxa"/>
            <w:shd w:val="clear" w:color="auto" w:fill="auto"/>
            <w:noWrap/>
            <w:vAlign w:val="center"/>
          </w:tcPr>
          <w:p w14:paraId="34AB09EB" w14:textId="3E972F62" w:rsidR="00BE49FD" w:rsidRPr="008A703F" w:rsidRDefault="00E500C6" w:rsidP="00B90008">
            <w:pPr>
              <w:spacing w:line="240" w:lineRule="auto"/>
              <w:contextualSpacing/>
              <w:jc w:val="center"/>
              <w:rPr>
                <w:rFonts w:ascii="Garamond" w:hAnsi="Garamond"/>
                <w:color w:val="000000"/>
              </w:rPr>
            </w:pPr>
            <w:r>
              <w:rPr>
                <w:rFonts w:ascii="Garamond" w:hAnsi="Garamond"/>
                <w:color w:val="000000"/>
              </w:rPr>
              <w:t>0.0332</w:t>
            </w:r>
            <w:r w:rsidR="00BE49FD" w:rsidRPr="008A703F">
              <w:rPr>
                <w:rFonts w:ascii="Garamond" w:hAnsi="Garamond"/>
                <w:color w:val="000000"/>
              </w:rPr>
              <w:t>***</w:t>
            </w:r>
          </w:p>
        </w:tc>
        <w:tc>
          <w:tcPr>
            <w:tcW w:w="960" w:type="dxa"/>
            <w:shd w:val="clear" w:color="auto" w:fill="auto"/>
            <w:noWrap/>
            <w:vAlign w:val="center"/>
          </w:tcPr>
          <w:p w14:paraId="20A8580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0.0139</w:t>
            </w:r>
          </w:p>
        </w:tc>
        <w:tc>
          <w:tcPr>
            <w:tcW w:w="1249" w:type="dxa"/>
            <w:shd w:val="clear" w:color="auto" w:fill="auto"/>
            <w:noWrap/>
            <w:vAlign w:val="center"/>
          </w:tcPr>
          <w:p w14:paraId="7545242F" w14:textId="250BA3B1"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-0.0153</w:t>
            </w:r>
          </w:p>
        </w:tc>
        <w:tc>
          <w:tcPr>
            <w:tcW w:w="960" w:type="dxa"/>
            <w:shd w:val="clear" w:color="auto" w:fill="auto"/>
            <w:noWrap/>
            <w:vAlign w:val="center"/>
          </w:tcPr>
          <w:p w14:paraId="788A08A5"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c>
          <w:tcPr>
            <w:tcW w:w="1249" w:type="dxa"/>
            <w:shd w:val="clear" w:color="auto" w:fill="auto"/>
            <w:noWrap/>
            <w:vAlign w:val="center"/>
          </w:tcPr>
          <w:p w14:paraId="627A9F98" w14:textId="2A12039D"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-0.0122</w:t>
            </w:r>
            <w:r w:rsidR="00BE49FD" w:rsidRPr="008A703F">
              <w:rPr>
                <w:rFonts w:ascii="Garamond" w:hAnsi="Garamond"/>
                <w:color w:val="000000"/>
              </w:rPr>
              <w:t>***</w:t>
            </w:r>
          </w:p>
        </w:tc>
        <w:tc>
          <w:tcPr>
            <w:tcW w:w="960" w:type="dxa"/>
            <w:shd w:val="clear" w:color="auto" w:fill="auto"/>
            <w:noWrap/>
            <w:vAlign w:val="center"/>
          </w:tcPr>
          <w:p w14:paraId="15497B97"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c>
          <w:tcPr>
            <w:tcW w:w="1249" w:type="dxa"/>
            <w:shd w:val="clear" w:color="auto" w:fill="auto"/>
            <w:noWrap/>
            <w:vAlign w:val="center"/>
          </w:tcPr>
          <w:p w14:paraId="3F16FC83" w14:textId="5EAC22C0"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-0.087</w:t>
            </w:r>
            <w:r w:rsidR="00657969">
              <w:rPr>
                <w:rFonts w:ascii="Garamond" w:hAnsi="Garamond"/>
                <w:color w:val="000000"/>
              </w:rPr>
              <w:t>0</w:t>
            </w:r>
            <w:r w:rsidRPr="008A703F">
              <w:rPr>
                <w:rFonts w:ascii="Garamond" w:hAnsi="Garamond"/>
                <w:color w:val="000000"/>
              </w:rPr>
              <w:t>***</w:t>
            </w:r>
          </w:p>
        </w:tc>
        <w:tc>
          <w:tcPr>
            <w:tcW w:w="960" w:type="dxa"/>
            <w:shd w:val="clear" w:color="auto" w:fill="auto"/>
            <w:noWrap/>
            <w:vAlign w:val="center"/>
          </w:tcPr>
          <w:p w14:paraId="6FE2115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r>
      <w:tr w:rsidR="00BE49FD" w:rsidRPr="008A703F" w14:paraId="4A697692" w14:textId="77777777" w:rsidTr="00B90008">
        <w:trPr>
          <w:trHeight w:val="300"/>
          <w:jc w:val="center"/>
        </w:trPr>
        <w:tc>
          <w:tcPr>
            <w:tcW w:w="1356" w:type="dxa"/>
            <w:shd w:val="clear" w:color="auto" w:fill="auto"/>
            <w:noWrap/>
            <w:vAlign w:val="center"/>
          </w:tcPr>
          <w:p w14:paraId="1B2931F6"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ILLIQ</w:t>
            </w:r>
          </w:p>
        </w:tc>
        <w:tc>
          <w:tcPr>
            <w:tcW w:w="1249" w:type="dxa"/>
            <w:shd w:val="clear" w:color="auto" w:fill="auto"/>
            <w:noWrap/>
            <w:vAlign w:val="center"/>
          </w:tcPr>
          <w:p w14:paraId="166E6B42" w14:textId="3EC7E7AE" w:rsidR="00BE49FD" w:rsidRPr="008A703F" w:rsidRDefault="00E500C6" w:rsidP="00B90008">
            <w:pPr>
              <w:spacing w:line="240" w:lineRule="auto"/>
              <w:contextualSpacing/>
              <w:jc w:val="center"/>
              <w:rPr>
                <w:rFonts w:ascii="Garamond" w:hAnsi="Garamond"/>
                <w:color w:val="000000"/>
              </w:rPr>
            </w:pPr>
            <w:r>
              <w:rPr>
                <w:rFonts w:ascii="Garamond" w:hAnsi="Garamond"/>
                <w:color w:val="000000"/>
              </w:rPr>
              <w:t>0.0187</w:t>
            </w:r>
            <w:r w:rsidR="00BE49FD" w:rsidRPr="008A703F">
              <w:rPr>
                <w:rFonts w:ascii="Garamond" w:hAnsi="Garamond"/>
                <w:color w:val="000000"/>
              </w:rPr>
              <w:t>***</w:t>
            </w:r>
          </w:p>
        </w:tc>
        <w:tc>
          <w:tcPr>
            <w:tcW w:w="960" w:type="dxa"/>
            <w:shd w:val="clear" w:color="auto" w:fill="auto"/>
            <w:noWrap/>
            <w:vAlign w:val="center"/>
          </w:tcPr>
          <w:p w14:paraId="251581FE"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0.0176</w:t>
            </w:r>
          </w:p>
        </w:tc>
        <w:tc>
          <w:tcPr>
            <w:tcW w:w="1249" w:type="dxa"/>
            <w:shd w:val="clear" w:color="auto" w:fill="auto"/>
            <w:noWrap/>
            <w:vAlign w:val="center"/>
          </w:tcPr>
          <w:p w14:paraId="4528BDE5" w14:textId="72FCFBF6"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0.0199</w:t>
            </w:r>
          </w:p>
        </w:tc>
        <w:tc>
          <w:tcPr>
            <w:tcW w:w="960" w:type="dxa"/>
            <w:shd w:val="clear" w:color="auto" w:fill="auto"/>
            <w:noWrap/>
            <w:vAlign w:val="center"/>
          </w:tcPr>
          <w:p w14:paraId="4709E51D"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0.9624</w:t>
            </w:r>
          </w:p>
        </w:tc>
        <w:tc>
          <w:tcPr>
            <w:tcW w:w="1249" w:type="dxa"/>
            <w:shd w:val="clear" w:color="auto" w:fill="auto"/>
            <w:noWrap/>
            <w:vAlign w:val="center"/>
          </w:tcPr>
          <w:p w14:paraId="61A76B17" w14:textId="185F912E"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0.0201</w:t>
            </w:r>
          </w:p>
        </w:tc>
        <w:tc>
          <w:tcPr>
            <w:tcW w:w="960" w:type="dxa"/>
            <w:shd w:val="clear" w:color="auto" w:fill="auto"/>
            <w:noWrap/>
            <w:vAlign w:val="center"/>
          </w:tcPr>
          <w:p w14:paraId="6EC43E39"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0.5106</w:t>
            </w:r>
          </w:p>
        </w:tc>
        <w:tc>
          <w:tcPr>
            <w:tcW w:w="1249" w:type="dxa"/>
            <w:shd w:val="clear" w:color="auto" w:fill="auto"/>
            <w:noWrap/>
            <w:vAlign w:val="center"/>
          </w:tcPr>
          <w:p w14:paraId="79940DFC" w14:textId="6D517171"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0.0202</w:t>
            </w:r>
          </w:p>
        </w:tc>
        <w:tc>
          <w:tcPr>
            <w:tcW w:w="960" w:type="dxa"/>
            <w:shd w:val="clear" w:color="auto" w:fill="auto"/>
            <w:noWrap/>
            <w:vAlign w:val="center"/>
          </w:tcPr>
          <w:p w14:paraId="3FE9715C" w14:textId="513C1ABC"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0.221</w:t>
            </w:r>
            <w:r w:rsidR="00657969">
              <w:rPr>
                <w:rFonts w:ascii="Garamond" w:hAnsi="Garamond"/>
                <w:color w:val="000000"/>
              </w:rPr>
              <w:t>0</w:t>
            </w:r>
          </w:p>
        </w:tc>
        <w:tc>
          <w:tcPr>
            <w:tcW w:w="1249" w:type="dxa"/>
            <w:shd w:val="clear" w:color="auto" w:fill="auto"/>
            <w:noWrap/>
            <w:vAlign w:val="center"/>
          </w:tcPr>
          <w:p w14:paraId="79AEB727"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-0.0008***</w:t>
            </w:r>
          </w:p>
        </w:tc>
        <w:tc>
          <w:tcPr>
            <w:tcW w:w="960" w:type="dxa"/>
            <w:shd w:val="clear" w:color="auto" w:fill="auto"/>
            <w:noWrap/>
            <w:vAlign w:val="center"/>
          </w:tcPr>
          <w:p w14:paraId="3EB5401D"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r>
      <w:tr w:rsidR="00BE49FD" w:rsidRPr="008A703F" w14:paraId="107AF36A" w14:textId="77777777" w:rsidTr="00B90008">
        <w:trPr>
          <w:trHeight w:val="300"/>
          <w:jc w:val="center"/>
        </w:trPr>
        <w:tc>
          <w:tcPr>
            <w:tcW w:w="1356" w:type="dxa"/>
            <w:shd w:val="clear" w:color="auto" w:fill="auto"/>
            <w:noWrap/>
            <w:vAlign w:val="center"/>
          </w:tcPr>
          <w:p w14:paraId="4AF6974E"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TPI</w:t>
            </w:r>
          </w:p>
        </w:tc>
        <w:tc>
          <w:tcPr>
            <w:tcW w:w="1249" w:type="dxa"/>
            <w:shd w:val="clear" w:color="auto" w:fill="auto"/>
            <w:noWrap/>
            <w:vAlign w:val="center"/>
          </w:tcPr>
          <w:p w14:paraId="71176420" w14:textId="76C6B493" w:rsidR="00BE49FD" w:rsidRPr="008A703F" w:rsidRDefault="00E500C6" w:rsidP="00B90008">
            <w:pPr>
              <w:spacing w:line="240" w:lineRule="auto"/>
              <w:contextualSpacing/>
              <w:jc w:val="center"/>
              <w:rPr>
                <w:rFonts w:ascii="Garamond" w:hAnsi="Garamond"/>
                <w:color w:val="000000"/>
              </w:rPr>
            </w:pPr>
            <w:r>
              <w:rPr>
                <w:rFonts w:ascii="Garamond" w:hAnsi="Garamond"/>
                <w:color w:val="000000"/>
              </w:rPr>
              <w:t>0.0193</w:t>
            </w:r>
            <w:r w:rsidR="00BE49FD" w:rsidRPr="008A703F">
              <w:rPr>
                <w:rFonts w:ascii="Garamond" w:hAnsi="Garamond"/>
                <w:color w:val="000000"/>
              </w:rPr>
              <w:t>***</w:t>
            </w:r>
          </w:p>
        </w:tc>
        <w:tc>
          <w:tcPr>
            <w:tcW w:w="960" w:type="dxa"/>
            <w:shd w:val="clear" w:color="auto" w:fill="auto"/>
            <w:noWrap/>
            <w:vAlign w:val="center"/>
          </w:tcPr>
          <w:p w14:paraId="296902D5"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0.0103</w:t>
            </w:r>
          </w:p>
        </w:tc>
        <w:tc>
          <w:tcPr>
            <w:tcW w:w="1249" w:type="dxa"/>
            <w:shd w:val="clear" w:color="auto" w:fill="auto"/>
            <w:noWrap/>
            <w:vAlign w:val="center"/>
          </w:tcPr>
          <w:p w14:paraId="3C9E6BBD" w14:textId="36CA25AE"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0.0198</w:t>
            </w:r>
          </w:p>
        </w:tc>
        <w:tc>
          <w:tcPr>
            <w:tcW w:w="960" w:type="dxa"/>
            <w:shd w:val="clear" w:color="auto" w:fill="auto"/>
            <w:noWrap/>
            <w:vAlign w:val="center"/>
          </w:tcPr>
          <w:p w14:paraId="2497FAA4"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0.1236</w:t>
            </w:r>
          </w:p>
        </w:tc>
        <w:tc>
          <w:tcPr>
            <w:tcW w:w="1249" w:type="dxa"/>
            <w:shd w:val="clear" w:color="auto" w:fill="auto"/>
            <w:noWrap/>
            <w:vAlign w:val="center"/>
          </w:tcPr>
          <w:p w14:paraId="75773C44" w14:textId="3A5F2E08"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0.0200</w:t>
            </w:r>
          </w:p>
        </w:tc>
        <w:tc>
          <w:tcPr>
            <w:tcW w:w="960" w:type="dxa"/>
            <w:shd w:val="clear" w:color="auto" w:fill="auto"/>
            <w:noWrap/>
            <w:vAlign w:val="center"/>
          </w:tcPr>
          <w:p w14:paraId="7A5002F9"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0.8834</w:t>
            </w:r>
          </w:p>
        </w:tc>
        <w:tc>
          <w:tcPr>
            <w:tcW w:w="1249" w:type="dxa"/>
            <w:shd w:val="clear" w:color="auto" w:fill="auto"/>
            <w:noWrap/>
            <w:vAlign w:val="center"/>
          </w:tcPr>
          <w:p w14:paraId="6A8EF77A" w14:textId="2B6494A3"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0.0200</w:t>
            </w:r>
          </w:p>
        </w:tc>
        <w:tc>
          <w:tcPr>
            <w:tcW w:w="960" w:type="dxa"/>
            <w:shd w:val="clear" w:color="auto" w:fill="auto"/>
            <w:noWrap/>
            <w:vAlign w:val="center"/>
          </w:tcPr>
          <w:p w14:paraId="09B8E84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0.1379</w:t>
            </w:r>
          </w:p>
        </w:tc>
        <w:tc>
          <w:tcPr>
            <w:tcW w:w="1249" w:type="dxa"/>
            <w:shd w:val="clear" w:color="auto" w:fill="auto"/>
            <w:noWrap/>
            <w:vAlign w:val="center"/>
          </w:tcPr>
          <w:p w14:paraId="15B2AC6E" w14:textId="7F0F368E"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0.0195</w:t>
            </w:r>
          </w:p>
        </w:tc>
        <w:tc>
          <w:tcPr>
            <w:tcW w:w="960" w:type="dxa"/>
            <w:shd w:val="clear" w:color="auto" w:fill="auto"/>
            <w:noWrap/>
            <w:vAlign w:val="center"/>
          </w:tcPr>
          <w:p w14:paraId="028DAEE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0.2817</w:t>
            </w:r>
          </w:p>
        </w:tc>
      </w:tr>
      <w:tr w:rsidR="00BE49FD" w:rsidRPr="008A703F" w14:paraId="7B5AEDD2" w14:textId="77777777" w:rsidTr="00B90008">
        <w:trPr>
          <w:trHeight w:val="300"/>
          <w:jc w:val="center"/>
        </w:trPr>
        <w:tc>
          <w:tcPr>
            <w:tcW w:w="12401" w:type="dxa"/>
            <w:gridSpan w:val="11"/>
            <w:shd w:val="clear" w:color="auto" w:fill="auto"/>
            <w:noWrap/>
            <w:vAlign w:val="bottom"/>
          </w:tcPr>
          <w:p w14:paraId="57D8DEC8" w14:textId="77777777" w:rsidR="00BE49FD" w:rsidRPr="002170FA" w:rsidRDefault="00BE49FD" w:rsidP="00B90008">
            <w:pPr>
              <w:spacing w:line="240" w:lineRule="auto"/>
              <w:contextualSpacing/>
              <w:jc w:val="center"/>
              <w:rPr>
                <w:rFonts w:ascii="Garamond" w:hAnsi="Garamond"/>
                <w:color w:val="000000"/>
              </w:rPr>
            </w:pPr>
          </w:p>
          <w:p w14:paraId="35E7951E"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Short-term Interest Rate (lnMV*SIR)</w:t>
            </w:r>
          </w:p>
          <w:p w14:paraId="10508069" w14:textId="77777777" w:rsidR="00BE49FD" w:rsidRPr="002170FA" w:rsidRDefault="00BE49FD" w:rsidP="00B90008">
            <w:pPr>
              <w:spacing w:line="240" w:lineRule="auto"/>
              <w:contextualSpacing/>
              <w:jc w:val="center"/>
              <w:rPr>
                <w:rFonts w:ascii="Garamond" w:hAnsi="Garamond"/>
                <w:color w:val="000000"/>
              </w:rPr>
            </w:pPr>
          </w:p>
        </w:tc>
      </w:tr>
      <w:tr w:rsidR="00BE49FD" w:rsidRPr="008A703F" w14:paraId="232FCB6F" w14:textId="77777777" w:rsidTr="00B90008">
        <w:trPr>
          <w:trHeight w:val="300"/>
          <w:jc w:val="center"/>
        </w:trPr>
        <w:tc>
          <w:tcPr>
            <w:tcW w:w="1356" w:type="dxa"/>
            <w:shd w:val="clear" w:color="auto" w:fill="auto"/>
            <w:noWrap/>
            <w:vAlign w:val="center"/>
          </w:tcPr>
          <w:p w14:paraId="6A627B89"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TR</w:t>
            </w:r>
          </w:p>
        </w:tc>
        <w:tc>
          <w:tcPr>
            <w:tcW w:w="1249" w:type="dxa"/>
            <w:shd w:val="clear" w:color="auto" w:fill="auto"/>
            <w:noWrap/>
            <w:vAlign w:val="center"/>
          </w:tcPr>
          <w:p w14:paraId="5F2A267C" w14:textId="6B3F0616" w:rsidR="00BE49FD" w:rsidRPr="008A703F" w:rsidRDefault="00E500C6" w:rsidP="00B90008">
            <w:pPr>
              <w:spacing w:line="240" w:lineRule="auto"/>
              <w:contextualSpacing/>
              <w:jc w:val="center"/>
              <w:rPr>
                <w:rFonts w:ascii="Garamond" w:hAnsi="Garamond"/>
                <w:color w:val="000000"/>
              </w:rPr>
            </w:pPr>
            <w:r>
              <w:rPr>
                <w:rFonts w:ascii="Garamond" w:hAnsi="Garamond"/>
                <w:color w:val="000000"/>
              </w:rPr>
              <w:t>0.0116</w:t>
            </w:r>
            <w:r w:rsidR="00BE49FD" w:rsidRPr="008A703F">
              <w:rPr>
                <w:rFonts w:ascii="Garamond" w:hAnsi="Garamond"/>
                <w:color w:val="000000"/>
              </w:rPr>
              <w:t>**</w:t>
            </w:r>
          </w:p>
        </w:tc>
        <w:tc>
          <w:tcPr>
            <w:tcW w:w="960" w:type="dxa"/>
            <w:shd w:val="clear" w:color="auto" w:fill="auto"/>
            <w:noWrap/>
            <w:vAlign w:val="center"/>
          </w:tcPr>
          <w:p w14:paraId="6F135C94"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0.0463</w:t>
            </w:r>
          </w:p>
        </w:tc>
        <w:tc>
          <w:tcPr>
            <w:tcW w:w="1249" w:type="dxa"/>
            <w:shd w:val="clear" w:color="auto" w:fill="auto"/>
            <w:noWrap/>
            <w:vAlign w:val="center"/>
          </w:tcPr>
          <w:p w14:paraId="54D38B6E"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0.0208***</w:t>
            </w:r>
          </w:p>
        </w:tc>
        <w:tc>
          <w:tcPr>
            <w:tcW w:w="960" w:type="dxa"/>
            <w:shd w:val="clear" w:color="auto" w:fill="auto"/>
            <w:noWrap/>
            <w:vAlign w:val="center"/>
          </w:tcPr>
          <w:p w14:paraId="5298E9EE"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0.0068</w:t>
            </w:r>
          </w:p>
        </w:tc>
        <w:tc>
          <w:tcPr>
            <w:tcW w:w="1249" w:type="dxa"/>
            <w:shd w:val="clear" w:color="auto" w:fill="auto"/>
            <w:noWrap/>
            <w:vAlign w:val="center"/>
          </w:tcPr>
          <w:p w14:paraId="4F5329AD" w14:textId="7063CF11"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0.0197***</w:t>
            </w:r>
          </w:p>
        </w:tc>
        <w:tc>
          <w:tcPr>
            <w:tcW w:w="960" w:type="dxa"/>
            <w:shd w:val="clear" w:color="auto" w:fill="auto"/>
            <w:noWrap/>
            <w:vAlign w:val="center"/>
          </w:tcPr>
          <w:p w14:paraId="44729FFF"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c>
          <w:tcPr>
            <w:tcW w:w="1249" w:type="dxa"/>
            <w:shd w:val="clear" w:color="auto" w:fill="auto"/>
            <w:noWrap/>
            <w:vAlign w:val="center"/>
          </w:tcPr>
          <w:p w14:paraId="7C70E4C8" w14:textId="5C1EA7AF"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0.0209</w:t>
            </w:r>
          </w:p>
        </w:tc>
        <w:tc>
          <w:tcPr>
            <w:tcW w:w="960" w:type="dxa"/>
            <w:shd w:val="clear" w:color="auto" w:fill="auto"/>
            <w:noWrap/>
            <w:vAlign w:val="center"/>
          </w:tcPr>
          <w:p w14:paraId="1205C31F"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0.6716</w:t>
            </w:r>
          </w:p>
        </w:tc>
        <w:tc>
          <w:tcPr>
            <w:tcW w:w="1249" w:type="dxa"/>
            <w:shd w:val="clear" w:color="auto" w:fill="auto"/>
            <w:noWrap/>
            <w:vAlign w:val="center"/>
          </w:tcPr>
          <w:p w14:paraId="021B367C" w14:textId="2E8B9429"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-0.0551</w:t>
            </w:r>
          </w:p>
        </w:tc>
        <w:tc>
          <w:tcPr>
            <w:tcW w:w="960" w:type="dxa"/>
            <w:shd w:val="clear" w:color="auto" w:fill="auto"/>
            <w:noWrap/>
            <w:vAlign w:val="center"/>
          </w:tcPr>
          <w:p w14:paraId="6905EBB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0.1206</w:t>
            </w:r>
          </w:p>
        </w:tc>
      </w:tr>
      <w:tr w:rsidR="00BE49FD" w:rsidRPr="008A703F" w14:paraId="0255B2C2" w14:textId="77777777" w:rsidTr="00B90008">
        <w:trPr>
          <w:trHeight w:val="300"/>
          <w:jc w:val="center"/>
        </w:trPr>
        <w:tc>
          <w:tcPr>
            <w:tcW w:w="1356" w:type="dxa"/>
            <w:shd w:val="clear" w:color="auto" w:fill="auto"/>
            <w:noWrap/>
            <w:vAlign w:val="center"/>
          </w:tcPr>
          <w:p w14:paraId="7B9C1B8A"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TV</w:t>
            </w:r>
          </w:p>
        </w:tc>
        <w:tc>
          <w:tcPr>
            <w:tcW w:w="1249" w:type="dxa"/>
            <w:shd w:val="clear" w:color="auto" w:fill="auto"/>
            <w:noWrap/>
            <w:vAlign w:val="center"/>
          </w:tcPr>
          <w:p w14:paraId="2ED98282" w14:textId="0C607978" w:rsidR="00BE49FD" w:rsidRPr="008A703F" w:rsidRDefault="00BE49FD" w:rsidP="00E500C6">
            <w:pPr>
              <w:spacing w:line="240" w:lineRule="auto"/>
              <w:contextualSpacing/>
              <w:jc w:val="center"/>
              <w:rPr>
                <w:rFonts w:ascii="Garamond" w:hAnsi="Garamond"/>
                <w:color w:val="000000"/>
              </w:rPr>
            </w:pPr>
            <w:r w:rsidRPr="008A703F">
              <w:rPr>
                <w:rFonts w:ascii="Garamond" w:hAnsi="Garamond"/>
                <w:color w:val="000000"/>
              </w:rPr>
              <w:t>0.0024</w:t>
            </w:r>
          </w:p>
        </w:tc>
        <w:tc>
          <w:tcPr>
            <w:tcW w:w="960" w:type="dxa"/>
            <w:shd w:val="clear" w:color="auto" w:fill="auto"/>
            <w:noWrap/>
            <w:vAlign w:val="center"/>
          </w:tcPr>
          <w:p w14:paraId="697074FD"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0.1074</w:t>
            </w:r>
          </w:p>
        </w:tc>
        <w:tc>
          <w:tcPr>
            <w:tcW w:w="1249" w:type="dxa"/>
            <w:shd w:val="clear" w:color="auto" w:fill="auto"/>
            <w:noWrap/>
            <w:vAlign w:val="center"/>
          </w:tcPr>
          <w:p w14:paraId="1A44FDDB"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0.0421</w:t>
            </w:r>
          </w:p>
        </w:tc>
        <w:tc>
          <w:tcPr>
            <w:tcW w:w="960" w:type="dxa"/>
            <w:shd w:val="clear" w:color="auto" w:fill="auto"/>
            <w:noWrap/>
            <w:vAlign w:val="center"/>
          </w:tcPr>
          <w:p w14:paraId="63CB7C45"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0.2107</w:t>
            </w:r>
          </w:p>
        </w:tc>
        <w:tc>
          <w:tcPr>
            <w:tcW w:w="1249" w:type="dxa"/>
            <w:shd w:val="clear" w:color="auto" w:fill="auto"/>
            <w:noWrap/>
            <w:vAlign w:val="center"/>
          </w:tcPr>
          <w:p w14:paraId="106B485F" w14:textId="7F6823D2"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0.0702</w:t>
            </w:r>
          </w:p>
        </w:tc>
        <w:tc>
          <w:tcPr>
            <w:tcW w:w="960" w:type="dxa"/>
            <w:shd w:val="clear" w:color="auto" w:fill="auto"/>
            <w:noWrap/>
            <w:vAlign w:val="center"/>
          </w:tcPr>
          <w:p w14:paraId="7EC42E2A"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0.1542</w:t>
            </w:r>
          </w:p>
        </w:tc>
        <w:tc>
          <w:tcPr>
            <w:tcW w:w="1249" w:type="dxa"/>
            <w:shd w:val="clear" w:color="auto" w:fill="auto"/>
            <w:noWrap/>
            <w:vAlign w:val="center"/>
          </w:tcPr>
          <w:p w14:paraId="472BF04D" w14:textId="548DCDE5"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0.0651</w:t>
            </w:r>
            <w:r w:rsidR="00BE49FD" w:rsidRPr="008A703F">
              <w:rPr>
                <w:rFonts w:ascii="Garamond" w:hAnsi="Garamond"/>
                <w:color w:val="000000"/>
              </w:rPr>
              <w:t>***</w:t>
            </w:r>
          </w:p>
        </w:tc>
        <w:tc>
          <w:tcPr>
            <w:tcW w:w="960" w:type="dxa"/>
            <w:shd w:val="clear" w:color="auto" w:fill="auto"/>
            <w:noWrap/>
            <w:vAlign w:val="center"/>
          </w:tcPr>
          <w:p w14:paraId="7BAE9B4D"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c>
          <w:tcPr>
            <w:tcW w:w="1249" w:type="dxa"/>
            <w:shd w:val="clear" w:color="auto" w:fill="auto"/>
            <w:noWrap/>
            <w:vAlign w:val="center"/>
          </w:tcPr>
          <w:p w14:paraId="7488D74D" w14:textId="471469AB"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-0.1478</w:t>
            </w:r>
            <w:r w:rsidR="00BE49FD" w:rsidRPr="008A703F">
              <w:rPr>
                <w:rFonts w:ascii="Garamond" w:hAnsi="Garamond"/>
                <w:color w:val="000000"/>
              </w:rPr>
              <w:t>***</w:t>
            </w:r>
          </w:p>
        </w:tc>
        <w:tc>
          <w:tcPr>
            <w:tcW w:w="960" w:type="dxa"/>
            <w:shd w:val="clear" w:color="auto" w:fill="auto"/>
            <w:noWrap/>
            <w:vAlign w:val="center"/>
          </w:tcPr>
          <w:p w14:paraId="40B88867"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r>
      <w:tr w:rsidR="00BE49FD" w:rsidRPr="008A703F" w14:paraId="3139BF30" w14:textId="77777777" w:rsidTr="00B90008">
        <w:trPr>
          <w:trHeight w:val="300"/>
          <w:jc w:val="center"/>
        </w:trPr>
        <w:tc>
          <w:tcPr>
            <w:tcW w:w="1356" w:type="dxa"/>
            <w:shd w:val="clear" w:color="auto" w:fill="auto"/>
            <w:noWrap/>
            <w:vAlign w:val="center"/>
          </w:tcPr>
          <w:p w14:paraId="2CB78010"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ILLIQ</w:t>
            </w:r>
          </w:p>
        </w:tc>
        <w:tc>
          <w:tcPr>
            <w:tcW w:w="1249" w:type="dxa"/>
            <w:shd w:val="clear" w:color="auto" w:fill="auto"/>
            <w:noWrap/>
            <w:vAlign w:val="center"/>
          </w:tcPr>
          <w:p w14:paraId="16B8B983" w14:textId="3DC6FB3E" w:rsidR="00BE49FD" w:rsidRPr="008A703F" w:rsidRDefault="00E500C6" w:rsidP="00B90008">
            <w:pPr>
              <w:spacing w:line="240" w:lineRule="auto"/>
              <w:contextualSpacing/>
              <w:jc w:val="center"/>
              <w:rPr>
                <w:rFonts w:ascii="Garamond" w:hAnsi="Garamond"/>
                <w:color w:val="000000"/>
              </w:rPr>
            </w:pPr>
            <w:r>
              <w:rPr>
                <w:rFonts w:ascii="Garamond" w:hAnsi="Garamond"/>
                <w:color w:val="000000"/>
              </w:rPr>
              <w:t>0.0179</w:t>
            </w:r>
            <w:r w:rsidR="00BE49FD" w:rsidRPr="008A703F">
              <w:rPr>
                <w:rFonts w:ascii="Garamond" w:hAnsi="Garamond"/>
                <w:color w:val="000000"/>
              </w:rPr>
              <w:t>***</w:t>
            </w:r>
          </w:p>
        </w:tc>
        <w:tc>
          <w:tcPr>
            <w:tcW w:w="960" w:type="dxa"/>
            <w:shd w:val="clear" w:color="auto" w:fill="auto"/>
            <w:noWrap/>
            <w:vAlign w:val="center"/>
          </w:tcPr>
          <w:p w14:paraId="47B19CF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0.0129</w:t>
            </w:r>
          </w:p>
        </w:tc>
        <w:tc>
          <w:tcPr>
            <w:tcW w:w="1249" w:type="dxa"/>
            <w:shd w:val="clear" w:color="auto" w:fill="auto"/>
            <w:noWrap/>
            <w:vAlign w:val="center"/>
          </w:tcPr>
          <w:p w14:paraId="03DEDF43" w14:textId="27085D78"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0.0199</w:t>
            </w:r>
          </w:p>
        </w:tc>
        <w:tc>
          <w:tcPr>
            <w:tcW w:w="960" w:type="dxa"/>
            <w:shd w:val="clear" w:color="auto" w:fill="auto"/>
            <w:noWrap/>
            <w:vAlign w:val="center"/>
          </w:tcPr>
          <w:p w14:paraId="1827BDAC"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0.6687</w:t>
            </w:r>
          </w:p>
        </w:tc>
        <w:tc>
          <w:tcPr>
            <w:tcW w:w="1249" w:type="dxa"/>
            <w:shd w:val="clear" w:color="auto" w:fill="auto"/>
            <w:noWrap/>
            <w:vAlign w:val="center"/>
          </w:tcPr>
          <w:p w14:paraId="47A42907" w14:textId="195341BC"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0.0201</w:t>
            </w:r>
          </w:p>
        </w:tc>
        <w:tc>
          <w:tcPr>
            <w:tcW w:w="960" w:type="dxa"/>
            <w:shd w:val="clear" w:color="auto" w:fill="auto"/>
            <w:noWrap/>
            <w:vAlign w:val="center"/>
          </w:tcPr>
          <w:p w14:paraId="7FC6DE8F"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0.5105</w:t>
            </w:r>
          </w:p>
        </w:tc>
        <w:tc>
          <w:tcPr>
            <w:tcW w:w="1249" w:type="dxa"/>
            <w:shd w:val="clear" w:color="auto" w:fill="auto"/>
            <w:noWrap/>
            <w:vAlign w:val="center"/>
          </w:tcPr>
          <w:p w14:paraId="0B551F2B" w14:textId="010286F0"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0.0203</w:t>
            </w:r>
          </w:p>
        </w:tc>
        <w:tc>
          <w:tcPr>
            <w:tcW w:w="960" w:type="dxa"/>
            <w:shd w:val="clear" w:color="auto" w:fill="auto"/>
            <w:noWrap/>
            <w:vAlign w:val="center"/>
          </w:tcPr>
          <w:p w14:paraId="5B997AFA"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0.1242</w:t>
            </w:r>
          </w:p>
        </w:tc>
        <w:tc>
          <w:tcPr>
            <w:tcW w:w="1249" w:type="dxa"/>
            <w:shd w:val="clear" w:color="auto" w:fill="auto"/>
            <w:noWrap/>
            <w:vAlign w:val="center"/>
          </w:tcPr>
          <w:p w14:paraId="2A0FB82A"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-0.0057***</w:t>
            </w:r>
          </w:p>
        </w:tc>
        <w:tc>
          <w:tcPr>
            <w:tcW w:w="960" w:type="dxa"/>
            <w:shd w:val="clear" w:color="auto" w:fill="auto"/>
            <w:noWrap/>
            <w:vAlign w:val="center"/>
          </w:tcPr>
          <w:p w14:paraId="3818F9F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0.0103</w:t>
            </w:r>
          </w:p>
        </w:tc>
      </w:tr>
      <w:tr w:rsidR="00BE49FD" w:rsidRPr="008A703F" w14:paraId="0CAA4765" w14:textId="77777777" w:rsidTr="00B90008">
        <w:trPr>
          <w:trHeight w:val="300"/>
          <w:jc w:val="center"/>
        </w:trPr>
        <w:tc>
          <w:tcPr>
            <w:tcW w:w="1356" w:type="dxa"/>
            <w:shd w:val="clear" w:color="auto" w:fill="auto"/>
            <w:noWrap/>
            <w:vAlign w:val="center"/>
          </w:tcPr>
          <w:p w14:paraId="0F685B19"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TPI</w:t>
            </w:r>
          </w:p>
        </w:tc>
        <w:tc>
          <w:tcPr>
            <w:tcW w:w="1249" w:type="dxa"/>
            <w:shd w:val="clear" w:color="auto" w:fill="auto"/>
            <w:noWrap/>
            <w:vAlign w:val="center"/>
          </w:tcPr>
          <w:p w14:paraId="317B8C93" w14:textId="68A06D1C" w:rsidR="00BE49FD" w:rsidRPr="008A703F" w:rsidRDefault="00BE49FD" w:rsidP="00E500C6">
            <w:pPr>
              <w:spacing w:line="240" w:lineRule="auto"/>
              <w:contextualSpacing/>
              <w:jc w:val="center"/>
              <w:rPr>
                <w:rFonts w:ascii="Garamond" w:hAnsi="Garamond"/>
                <w:color w:val="000000"/>
              </w:rPr>
            </w:pPr>
            <w:r w:rsidRPr="008A703F">
              <w:rPr>
                <w:rFonts w:ascii="Garamond" w:hAnsi="Garamond"/>
                <w:color w:val="000000"/>
              </w:rPr>
              <w:t>0.0208***</w:t>
            </w:r>
          </w:p>
        </w:tc>
        <w:tc>
          <w:tcPr>
            <w:tcW w:w="960" w:type="dxa"/>
            <w:shd w:val="clear" w:color="auto" w:fill="auto"/>
            <w:noWrap/>
            <w:vAlign w:val="center"/>
          </w:tcPr>
          <w:p w14:paraId="6BCCA99C"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0.011</w:t>
            </w:r>
          </w:p>
        </w:tc>
        <w:tc>
          <w:tcPr>
            <w:tcW w:w="1249" w:type="dxa"/>
            <w:shd w:val="clear" w:color="auto" w:fill="auto"/>
            <w:noWrap/>
            <w:vAlign w:val="center"/>
          </w:tcPr>
          <w:p w14:paraId="2593A715" w14:textId="078F563E"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0.0202</w:t>
            </w:r>
          </w:p>
        </w:tc>
        <w:tc>
          <w:tcPr>
            <w:tcW w:w="960" w:type="dxa"/>
            <w:shd w:val="clear" w:color="auto" w:fill="auto"/>
            <w:noWrap/>
            <w:vAlign w:val="center"/>
          </w:tcPr>
          <w:p w14:paraId="2C7D8934"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0.2389</w:t>
            </w:r>
          </w:p>
        </w:tc>
        <w:tc>
          <w:tcPr>
            <w:tcW w:w="1249" w:type="dxa"/>
            <w:shd w:val="clear" w:color="auto" w:fill="auto"/>
            <w:noWrap/>
            <w:vAlign w:val="center"/>
          </w:tcPr>
          <w:p w14:paraId="670548AF" w14:textId="663B7E46"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0.0199</w:t>
            </w:r>
          </w:p>
        </w:tc>
        <w:tc>
          <w:tcPr>
            <w:tcW w:w="960" w:type="dxa"/>
            <w:shd w:val="clear" w:color="auto" w:fill="auto"/>
            <w:noWrap/>
            <w:vAlign w:val="center"/>
          </w:tcPr>
          <w:p w14:paraId="50C255A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0.9444</w:t>
            </w:r>
          </w:p>
        </w:tc>
        <w:tc>
          <w:tcPr>
            <w:tcW w:w="1249" w:type="dxa"/>
            <w:shd w:val="clear" w:color="auto" w:fill="auto"/>
            <w:noWrap/>
            <w:vAlign w:val="center"/>
          </w:tcPr>
          <w:p w14:paraId="4A5C35EA" w14:textId="5677E940"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0.0200</w:t>
            </w:r>
          </w:p>
        </w:tc>
        <w:tc>
          <w:tcPr>
            <w:tcW w:w="960" w:type="dxa"/>
            <w:shd w:val="clear" w:color="auto" w:fill="auto"/>
            <w:noWrap/>
            <w:vAlign w:val="center"/>
          </w:tcPr>
          <w:p w14:paraId="4E8D3AD5"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0.1825</w:t>
            </w:r>
          </w:p>
        </w:tc>
        <w:tc>
          <w:tcPr>
            <w:tcW w:w="1249" w:type="dxa"/>
            <w:shd w:val="clear" w:color="auto" w:fill="auto"/>
            <w:noWrap/>
            <w:vAlign w:val="center"/>
          </w:tcPr>
          <w:p w14:paraId="1B16DBA4" w14:textId="67ACBE04"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0.0198</w:t>
            </w:r>
          </w:p>
        </w:tc>
        <w:tc>
          <w:tcPr>
            <w:tcW w:w="960" w:type="dxa"/>
            <w:shd w:val="clear" w:color="auto" w:fill="auto"/>
            <w:noWrap/>
            <w:vAlign w:val="center"/>
          </w:tcPr>
          <w:p w14:paraId="56F4E962"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0.8251</w:t>
            </w:r>
          </w:p>
        </w:tc>
      </w:tr>
      <w:tr w:rsidR="00BE49FD" w:rsidRPr="008A703F" w14:paraId="6A6079CE" w14:textId="77777777" w:rsidTr="00B90008">
        <w:trPr>
          <w:trHeight w:val="300"/>
          <w:jc w:val="center"/>
        </w:trPr>
        <w:tc>
          <w:tcPr>
            <w:tcW w:w="12401" w:type="dxa"/>
            <w:gridSpan w:val="11"/>
            <w:shd w:val="clear" w:color="auto" w:fill="auto"/>
            <w:noWrap/>
            <w:vAlign w:val="bottom"/>
          </w:tcPr>
          <w:p w14:paraId="7B81ABA7" w14:textId="77777777" w:rsidR="00BE49FD" w:rsidRPr="002170FA" w:rsidRDefault="00BE49FD" w:rsidP="00B90008">
            <w:pPr>
              <w:spacing w:line="240" w:lineRule="auto"/>
              <w:contextualSpacing/>
              <w:rPr>
                <w:rFonts w:ascii="Garamond" w:hAnsi="Garamond"/>
                <w:color w:val="000000"/>
              </w:rPr>
            </w:pPr>
          </w:p>
          <w:p w14:paraId="38A32E30" w14:textId="77777777" w:rsidR="00BE49FD" w:rsidRDefault="00BE49FD" w:rsidP="00B90008">
            <w:pPr>
              <w:spacing w:line="240" w:lineRule="auto"/>
              <w:contextualSpacing/>
              <w:rPr>
                <w:rFonts w:ascii="Garamond" w:hAnsi="Garamond"/>
                <w:color w:val="000000"/>
              </w:rPr>
            </w:pPr>
          </w:p>
          <w:p w14:paraId="672FBF7A" w14:textId="77777777" w:rsidR="00BE49FD" w:rsidRDefault="00BE49FD" w:rsidP="00B90008">
            <w:pPr>
              <w:spacing w:line="240" w:lineRule="auto"/>
              <w:contextualSpacing/>
              <w:rPr>
                <w:rFonts w:ascii="Garamond" w:hAnsi="Garamond"/>
                <w:color w:val="000000"/>
              </w:rPr>
            </w:pPr>
          </w:p>
          <w:p w14:paraId="2DD19592" w14:textId="77777777" w:rsidR="00BE49FD" w:rsidRDefault="00BE49FD" w:rsidP="00B90008">
            <w:pPr>
              <w:spacing w:line="240" w:lineRule="auto"/>
              <w:contextualSpacing/>
              <w:rPr>
                <w:rFonts w:ascii="Garamond" w:hAnsi="Garamond"/>
                <w:color w:val="000000"/>
              </w:rPr>
            </w:pPr>
          </w:p>
          <w:p w14:paraId="5C63CB3E" w14:textId="77777777" w:rsidR="00BE49FD" w:rsidRDefault="00BE49FD" w:rsidP="00B90008">
            <w:pPr>
              <w:spacing w:line="240" w:lineRule="auto"/>
              <w:contextualSpacing/>
              <w:rPr>
                <w:rFonts w:ascii="Garamond" w:hAnsi="Garamond"/>
                <w:color w:val="000000"/>
              </w:rPr>
            </w:pPr>
          </w:p>
          <w:p w14:paraId="7B78F51E" w14:textId="77777777" w:rsidR="00BE49FD" w:rsidRPr="008A703F" w:rsidRDefault="00BE49FD" w:rsidP="00B90008">
            <w:pPr>
              <w:spacing w:line="240" w:lineRule="auto"/>
              <w:contextualSpacing/>
              <w:rPr>
                <w:rFonts w:ascii="Garamond" w:hAnsi="Garamond"/>
                <w:color w:val="000000"/>
              </w:rPr>
            </w:pPr>
            <w:r w:rsidRPr="002170FA">
              <w:rPr>
                <w:rFonts w:ascii="Garamond" w:hAnsi="Garamond"/>
                <w:color w:val="000000"/>
              </w:rPr>
              <w:lastRenderedPageBreak/>
              <w:t>Group B: Fiscal Policy Variables</w:t>
            </w:r>
          </w:p>
        </w:tc>
      </w:tr>
      <w:tr w:rsidR="00BE49FD" w:rsidRPr="008A703F" w14:paraId="236CFF22" w14:textId="77777777" w:rsidTr="00B90008">
        <w:trPr>
          <w:trHeight w:val="300"/>
          <w:jc w:val="center"/>
        </w:trPr>
        <w:tc>
          <w:tcPr>
            <w:tcW w:w="12401" w:type="dxa"/>
            <w:gridSpan w:val="11"/>
            <w:shd w:val="clear" w:color="auto" w:fill="auto"/>
            <w:noWrap/>
            <w:vAlign w:val="bottom"/>
          </w:tcPr>
          <w:p w14:paraId="122DC20F" w14:textId="77777777" w:rsidR="00BE49FD" w:rsidRPr="002170FA" w:rsidRDefault="00BE49FD" w:rsidP="00B90008">
            <w:pPr>
              <w:spacing w:line="240" w:lineRule="auto"/>
              <w:contextualSpacing/>
              <w:jc w:val="center"/>
              <w:rPr>
                <w:rFonts w:ascii="Garamond" w:hAnsi="Garamond"/>
                <w:color w:val="000000"/>
              </w:rPr>
            </w:pPr>
          </w:p>
          <w:p w14:paraId="007A7459"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Government Expenditures (lnMV*GE)</w:t>
            </w:r>
          </w:p>
          <w:p w14:paraId="74CE24F7" w14:textId="77777777" w:rsidR="00BE49FD" w:rsidRPr="002170FA" w:rsidRDefault="00BE49FD" w:rsidP="00B90008">
            <w:pPr>
              <w:spacing w:line="240" w:lineRule="auto"/>
              <w:contextualSpacing/>
              <w:jc w:val="center"/>
              <w:rPr>
                <w:rFonts w:ascii="Garamond" w:hAnsi="Garamond"/>
                <w:color w:val="000000"/>
              </w:rPr>
            </w:pPr>
          </w:p>
        </w:tc>
      </w:tr>
      <w:tr w:rsidR="00BE49FD" w:rsidRPr="008A703F" w14:paraId="7DE1BEB8" w14:textId="77777777" w:rsidTr="00B90008">
        <w:trPr>
          <w:trHeight w:val="300"/>
          <w:jc w:val="center"/>
        </w:trPr>
        <w:tc>
          <w:tcPr>
            <w:tcW w:w="1356" w:type="dxa"/>
            <w:shd w:val="clear" w:color="auto" w:fill="auto"/>
            <w:noWrap/>
            <w:vAlign w:val="center"/>
          </w:tcPr>
          <w:p w14:paraId="278493D8"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TR</w:t>
            </w:r>
          </w:p>
        </w:tc>
        <w:tc>
          <w:tcPr>
            <w:tcW w:w="1249" w:type="dxa"/>
            <w:shd w:val="clear" w:color="auto" w:fill="auto"/>
            <w:noWrap/>
            <w:vAlign w:val="center"/>
          </w:tcPr>
          <w:p w14:paraId="24288CCD" w14:textId="23F04A80"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0.0146**</w:t>
            </w:r>
          </w:p>
        </w:tc>
        <w:tc>
          <w:tcPr>
            <w:tcW w:w="960" w:type="dxa"/>
            <w:shd w:val="clear" w:color="auto" w:fill="auto"/>
            <w:noWrap/>
            <w:vAlign w:val="center"/>
          </w:tcPr>
          <w:p w14:paraId="42AE6B5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0.0404</w:t>
            </w:r>
          </w:p>
        </w:tc>
        <w:tc>
          <w:tcPr>
            <w:tcW w:w="1249" w:type="dxa"/>
            <w:shd w:val="clear" w:color="auto" w:fill="auto"/>
            <w:noWrap/>
            <w:vAlign w:val="center"/>
          </w:tcPr>
          <w:p w14:paraId="3857C9E8" w14:textId="0E31241F"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0.0193*</w:t>
            </w:r>
          </w:p>
        </w:tc>
        <w:tc>
          <w:tcPr>
            <w:tcW w:w="960" w:type="dxa"/>
            <w:shd w:val="clear" w:color="auto" w:fill="auto"/>
            <w:noWrap/>
            <w:vAlign w:val="center"/>
          </w:tcPr>
          <w:p w14:paraId="1AE9AE10"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0.0854</w:t>
            </w:r>
          </w:p>
        </w:tc>
        <w:tc>
          <w:tcPr>
            <w:tcW w:w="1249" w:type="dxa"/>
            <w:shd w:val="clear" w:color="auto" w:fill="auto"/>
            <w:noWrap/>
            <w:vAlign w:val="center"/>
          </w:tcPr>
          <w:p w14:paraId="11C75B0E" w14:textId="4BB1B986"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0.0199</w:t>
            </w:r>
          </w:p>
        </w:tc>
        <w:tc>
          <w:tcPr>
            <w:tcW w:w="960" w:type="dxa"/>
            <w:shd w:val="clear" w:color="auto" w:fill="auto"/>
            <w:noWrap/>
            <w:vAlign w:val="center"/>
          </w:tcPr>
          <w:p w14:paraId="27FCE74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0.9766</w:t>
            </w:r>
          </w:p>
        </w:tc>
        <w:tc>
          <w:tcPr>
            <w:tcW w:w="1249" w:type="dxa"/>
            <w:shd w:val="clear" w:color="auto" w:fill="auto"/>
            <w:noWrap/>
            <w:vAlign w:val="center"/>
          </w:tcPr>
          <w:p w14:paraId="2C4060D0" w14:textId="1226207F"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0.020</w:t>
            </w:r>
            <w:r w:rsidR="00BE49FD" w:rsidRPr="008A703F">
              <w:rPr>
                <w:rFonts w:ascii="Garamond" w:hAnsi="Garamond"/>
                <w:color w:val="000000"/>
              </w:rPr>
              <w:t>2</w:t>
            </w:r>
          </w:p>
        </w:tc>
        <w:tc>
          <w:tcPr>
            <w:tcW w:w="960" w:type="dxa"/>
            <w:shd w:val="clear" w:color="auto" w:fill="auto"/>
            <w:noWrap/>
            <w:vAlign w:val="center"/>
          </w:tcPr>
          <w:p w14:paraId="3CCEC7E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0.4637</w:t>
            </w:r>
          </w:p>
        </w:tc>
        <w:tc>
          <w:tcPr>
            <w:tcW w:w="1249" w:type="dxa"/>
            <w:shd w:val="clear" w:color="auto" w:fill="auto"/>
            <w:noWrap/>
            <w:vAlign w:val="center"/>
          </w:tcPr>
          <w:p w14:paraId="63D6E50B" w14:textId="7AD3BE5E"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0.0416*</w:t>
            </w:r>
          </w:p>
        </w:tc>
        <w:tc>
          <w:tcPr>
            <w:tcW w:w="960" w:type="dxa"/>
            <w:shd w:val="clear" w:color="auto" w:fill="auto"/>
            <w:noWrap/>
            <w:vAlign w:val="center"/>
          </w:tcPr>
          <w:p w14:paraId="461DBCD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0.0892</w:t>
            </w:r>
          </w:p>
        </w:tc>
      </w:tr>
      <w:tr w:rsidR="00BE49FD" w:rsidRPr="008A703F" w14:paraId="029BDA07" w14:textId="77777777" w:rsidTr="00B90008">
        <w:trPr>
          <w:trHeight w:val="300"/>
          <w:jc w:val="center"/>
        </w:trPr>
        <w:tc>
          <w:tcPr>
            <w:tcW w:w="1356" w:type="dxa"/>
            <w:shd w:val="clear" w:color="auto" w:fill="auto"/>
            <w:noWrap/>
            <w:vAlign w:val="center"/>
          </w:tcPr>
          <w:p w14:paraId="585E9167"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TV</w:t>
            </w:r>
          </w:p>
        </w:tc>
        <w:tc>
          <w:tcPr>
            <w:tcW w:w="1249" w:type="dxa"/>
            <w:shd w:val="clear" w:color="auto" w:fill="auto"/>
            <w:noWrap/>
            <w:vAlign w:val="center"/>
          </w:tcPr>
          <w:p w14:paraId="3EFD004C" w14:textId="07284C19"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0.0100</w:t>
            </w:r>
          </w:p>
        </w:tc>
        <w:tc>
          <w:tcPr>
            <w:tcW w:w="960" w:type="dxa"/>
            <w:shd w:val="clear" w:color="auto" w:fill="auto"/>
            <w:noWrap/>
            <w:vAlign w:val="center"/>
          </w:tcPr>
          <w:p w14:paraId="0B01425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0.1017</w:t>
            </w:r>
          </w:p>
        </w:tc>
        <w:tc>
          <w:tcPr>
            <w:tcW w:w="1249" w:type="dxa"/>
            <w:shd w:val="clear" w:color="auto" w:fill="auto"/>
            <w:noWrap/>
            <w:vAlign w:val="center"/>
          </w:tcPr>
          <w:p w14:paraId="4A5A0E0B" w14:textId="4B564457"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0.0308</w:t>
            </w:r>
          </w:p>
        </w:tc>
        <w:tc>
          <w:tcPr>
            <w:tcW w:w="960" w:type="dxa"/>
            <w:shd w:val="clear" w:color="auto" w:fill="auto"/>
            <w:noWrap/>
            <w:vAlign w:val="center"/>
          </w:tcPr>
          <w:p w14:paraId="7BD9960E"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0.2124</w:t>
            </w:r>
          </w:p>
        </w:tc>
        <w:tc>
          <w:tcPr>
            <w:tcW w:w="1249" w:type="dxa"/>
            <w:shd w:val="clear" w:color="auto" w:fill="auto"/>
            <w:noWrap/>
            <w:vAlign w:val="center"/>
          </w:tcPr>
          <w:p w14:paraId="655EA406" w14:textId="06E05C18"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0.0477</w:t>
            </w:r>
            <w:r w:rsidR="00BE49FD" w:rsidRPr="008A703F">
              <w:rPr>
                <w:rFonts w:ascii="Garamond" w:hAnsi="Garamond"/>
                <w:color w:val="000000"/>
              </w:rPr>
              <w:t>***</w:t>
            </w:r>
          </w:p>
        </w:tc>
        <w:tc>
          <w:tcPr>
            <w:tcW w:w="960" w:type="dxa"/>
            <w:shd w:val="clear" w:color="auto" w:fill="auto"/>
            <w:noWrap/>
            <w:vAlign w:val="center"/>
          </w:tcPr>
          <w:p w14:paraId="7AC76DA4"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c>
          <w:tcPr>
            <w:tcW w:w="1249" w:type="dxa"/>
            <w:shd w:val="clear" w:color="auto" w:fill="auto"/>
            <w:noWrap/>
            <w:vAlign w:val="center"/>
          </w:tcPr>
          <w:p w14:paraId="4FC62942" w14:textId="73BF13E4"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0.0452</w:t>
            </w:r>
            <w:r w:rsidR="00BE49FD" w:rsidRPr="008A703F">
              <w:rPr>
                <w:rFonts w:ascii="Garamond" w:hAnsi="Garamond"/>
                <w:color w:val="000000"/>
              </w:rPr>
              <w:t>***</w:t>
            </w:r>
          </w:p>
        </w:tc>
        <w:tc>
          <w:tcPr>
            <w:tcW w:w="960" w:type="dxa"/>
            <w:shd w:val="clear" w:color="auto" w:fill="auto"/>
            <w:noWrap/>
            <w:vAlign w:val="center"/>
          </w:tcPr>
          <w:p w14:paraId="0029AC69"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c>
          <w:tcPr>
            <w:tcW w:w="1249" w:type="dxa"/>
            <w:shd w:val="clear" w:color="auto" w:fill="auto"/>
            <w:noWrap/>
            <w:vAlign w:val="center"/>
          </w:tcPr>
          <w:p w14:paraId="59C7ED0B" w14:textId="0079067A"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0.0897***</w:t>
            </w:r>
          </w:p>
        </w:tc>
        <w:tc>
          <w:tcPr>
            <w:tcW w:w="960" w:type="dxa"/>
            <w:shd w:val="clear" w:color="auto" w:fill="auto"/>
            <w:noWrap/>
            <w:vAlign w:val="center"/>
          </w:tcPr>
          <w:p w14:paraId="65DDA1FA"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r>
      <w:tr w:rsidR="00BE49FD" w:rsidRPr="008A703F" w14:paraId="5334AFAF" w14:textId="77777777" w:rsidTr="00B90008">
        <w:trPr>
          <w:trHeight w:val="300"/>
          <w:jc w:val="center"/>
        </w:trPr>
        <w:tc>
          <w:tcPr>
            <w:tcW w:w="1356" w:type="dxa"/>
            <w:shd w:val="clear" w:color="auto" w:fill="auto"/>
            <w:noWrap/>
            <w:vAlign w:val="center"/>
          </w:tcPr>
          <w:p w14:paraId="3007E8BB"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ILLIQ</w:t>
            </w:r>
          </w:p>
        </w:tc>
        <w:tc>
          <w:tcPr>
            <w:tcW w:w="1249" w:type="dxa"/>
            <w:shd w:val="clear" w:color="auto" w:fill="auto"/>
            <w:noWrap/>
            <w:vAlign w:val="center"/>
          </w:tcPr>
          <w:p w14:paraId="3A780B87" w14:textId="730F5DE5"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-0.0188</w:t>
            </w:r>
            <w:r w:rsidR="00BE49FD" w:rsidRPr="008A703F">
              <w:rPr>
                <w:rFonts w:ascii="Garamond" w:hAnsi="Garamond"/>
                <w:color w:val="000000"/>
              </w:rPr>
              <w:t>***</w:t>
            </w:r>
          </w:p>
        </w:tc>
        <w:tc>
          <w:tcPr>
            <w:tcW w:w="960" w:type="dxa"/>
            <w:shd w:val="clear" w:color="auto" w:fill="auto"/>
            <w:noWrap/>
            <w:vAlign w:val="center"/>
          </w:tcPr>
          <w:p w14:paraId="2A5F105D"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0.0119</w:t>
            </w:r>
          </w:p>
        </w:tc>
        <w:tc>
          <w:tcPr>
            <w:tcW w:w="1249" w:type="dxa"/>
            <w:shd w:val="clear" w:color="auto" w:fill="auto"/>
            <w:noWrap/>
            <w:vAlign w:val="center"/>
          </w:tcPr>
          <w:p w14:paraId="1C037CDB" w14:textId="5FFB4D01"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-0.0199</w:t>
            </w:r>
          </w:p>
        </w:tc>
        <w:tc>
          <w:tcPr>
            <w:tcW w:w="960" w:type="dxa"/>
            <w:shd w:val="clear" w:color="auto" w:fill="auto"/>
            <w:noWrap/>
            <w:vAlign w:val="center"/>
          </w:tcPr>
          <w:p w14:paraId="4CD99275"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0.6693</w:t>
            </w:r>
          </w:p>
        </w:tc>
        <w:tc>
          <w:tcPr>
            <w:tcW w:w="1249" w:type="dxa"/>
            <w:shd w:val="clear" w:color="auto" w:fill="auto"/>
            <w:noWrap/>
            <w:vAlign w:val="center"/>
          </w:tcPr>
          <w:p w14:paraId="51D4757C" w14:textId="4EC28014"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-0.0201</w:t>
            </w:r>
          </w:p>
        </w:tc>
        <w:tc>
          <w:tcPr>
            <w:tcW w:w="960" w:type="dxa"/>
            <w:shd w:val="clear" w:color="auto" w:fill="auto"/>
            <w:noWrap/>
            <w:vAlign w:val="center"/>
          </w:tcPr>
          <w:p w14:paraId="5EABEDDC"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0.4879</w:t>
            </w:r>
          </w:p>
        </w:tc>
        <w:tc>
          <w:tcPr>
            <w:tcW w:w="1249" w:type="dxa"/>
            <w:shd w:val="clear" w:color="auto" w:fill="auto"/>
            <w:noWrap/>
            <w:vAlign w:val="center"/>
          </w:tcPr>
          <w:p w14:paraId="04D10CA2" w14:textId="05F35CC6"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-0.0202</w:t>
            </w:r>
          </w:p>
        </w:tc>
        <w:tc>
          <w:tcPr>
            <w:tcW w:w="960" w:type="dxa"/>
            <w:shd w:val="clear" w:color="auto" w:fill="auto"/>
            <w:noWrap/>
            <w:vAlign w:val="center"/>
          </w:tcPr>
          <w:p w14:paraId="62DE520E"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0.1404</w:t>
            </w:r>
          </w:p>
        </w:tc>
        <w:tc>
          <w:tcPr>
            <w:tcW w:w="1249" w:type="dxa"/>
            <w:shd w:val="clear" w:color="auto" w:fill="auto"/>
            <w:noWrap/>
            <w:vAlign w:val="center"/>
          </w:tcPr>
          <w:p w14:paraId="05FECD90"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-0.0057***</w:t>
            </w:r>
          </w:p>
        </w:tc>
        <w:tc>
          <w:tcPr>
            <w:tcW w:w="960" w:type="dxa"/>
            <w:shd w:val="clear" w:color="auto" w:fill="auto"/>
            <w:noWrap/>
            <w:vAlign w:val="center"/>
          </w:tcPr>
          <w:p w14:paraId="1B20C510"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0.0103</w:t>
            </w:r>
          </w:p>
        </w:tc>
      </w:tr>
      <w:tr w:rsidR="00BE49FD" w:rsidRPr="008A703F" w14:paraId="22E5B6FF" w14:textId="77777777" w:rsidTr="00B90008">
        <w:trPr>
          <w:trHeight w:val="300"/>
          <w:jc w:val="center"/>
        </w:trPr>
        <w:tc>
          <w:tcPr>
            <w:tcW w:w="1356" w:type="dxa"/>
            <w:shd w:val="clear" w:color="auto" w:fill="auto"/>
            <w:noWrap/>
            <w:vAlign w:val="center"/>
          </w:tcPr>
          <w:p w14:paraId="2744A13F"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TPI</w:t>
            </w:r>
          </w:p>
        </w:tc>
        <w:tc>
          <w:tcPr>
            <w:tcW w:w="1249" w:type="dxa"/>
            <w:shd w:val="clear" w:color="auto" w:fill="auto"/>
            <w:noWrap/>
            <w:vAlign w:val="center"/>
          </w:tcPr>
          <w:p w14:paraId="0EEAAB1B" w14:textId="12422F7E"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-0.0205</w:t>
            </w:r>
            <w:r w:rsidR="00BE49FD" w:rsidRPr="008A703F">
              <w:rPr>
                <w:rFonts w:ascii="Garamond" w:hAnsi="Garamond"/>
                <w:color w:val="000000"/>
              </w:rPr>
              <w:t>***</w:t>
            </w:r>
          </w:p>
        </w:tc>
        <w:tc>
          <w:tcPr>
            <w:tcW w:w="960" w:type="dxa"/>
            <w:shd w:val="clear" w:color="auto" w:fill="auto"/>
            <w:noWrap/>
            <w:vAlign w:val="center"/>
          </w:tcPr>
          <w:p w14:paraId="5BB2EDA5"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0.0107</w:t>
            </w:r>
          </w:p>
        </w:tc>
        <w:tc>
          <w:tcPr>
            <w:tcW w:w="1249" w:type="dxa"/>
            <w:shd w:val="clear" w:color="auto" w:fill="auto"/>
            <w:noWrap/>
            <w:vAlign w:val="center"/>
          </w:tcPr>
          <w:p w14:paraId="7A53ADAD" w14:textId="36B651E1"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0.0201</w:t>
            </w:r>
          </w:p>
        </w:tc>
        <w:tc>
          <w:tcPr>
            <w:tcW w:w="960" w:type="dxa"/>
            <w:shd w:val="clear" w:color="auto" w:fill="auto"/>
            <w:noWrap/>
            <w:vAlign w:val="center"/>
          </w:tcPr>
          <w:p w14:paraId="773AC4C6"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0.1815</w:t>
            </w:r>
          </w:p>
        </w:tc>
        <w:tc>
          <w:tcPr>
            <w:tcW w:w="1249" w:type="dxa"/>
            <w:shd w:val="clear" w:color="auto" w:fill="auto"/>
            <w:noWrap/>
            <w:vAlign w:val="center"/>
          </w:tcPr>
          <w:p w14:paraId="249BD4BF" w14:textId="3A252823"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0.0199</w:t>
            </w:r>
          </w:p>
        </w:tc>
        <w:tc>
          <w:tcPr>
            <w:tcW w:w="960" w:type="dxa"/>
            <w:shd w:val="clear" w:color="auto" w:fill="auto"/>
            <w:noWrap/>
            <w:vAlign w:val="center"/>
          </w:tcPr>
          <w:p w14:paraId="093D5DC2"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0.9065</w:t>
            </w:r>
          </w:p>
        </w:tc>
        <w:tc>
          <w:tcPr>
            <w:tcW w:w="1249" w:type="dxa"/>
            <w:shd w:val="clear" w:color="auto" w:fill="auto"/>
            <w:noWrap/>
            <w:vAlign w:val="center"/>
          </w:tcPr>
          <w:p w14:paraId="1242A210" w14:textId="411569DF"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0.0200</w:t>
            </w:r>
          </w:p>
        </w:tc>
        <w:tc>
          <w:tcPr>
            <w:tcW w:w="960" w:type="dxa"/>
            <w:shd w:val="clear" w:color="auto" w:fill="auto"/>
            <w:noWrap/>
            <w:vAlign w:val="center"/>
          </w:tcPr>
          <w:p w14:paraId="214FF756"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0.2628</w:t>
            </w:r>
          </w:p>
        </w:tc>
        <w:tc>
          <w:tcPr>
            <w:tcW w:w="1249" w:type="dxa"/>
            <w:shd w:val="clear" w:color="auto" w:fill="auto"/>
            <w:noWrap/>
            <w:vAlign w:val="center"/>
          </w:tcPr>
          <w:p w14:paraId="13D06893" w14:textId="08F749C7"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0.0199</w:t>
            </w:r>
          </w:p>
        </w:tc>
        <w:tc>
          <w:tcPr>
            <w:tcW w:w="960" w:type="dxa"/>
            <w:shd w:val="clear" w:color="auto" w:fill="auto"/>
            <w:noWrap/>
            <w:vAlign w:val="center"/>
          </w:tcPr>
          <w:p w14:paraId="3D488A12"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0.6936</w:t>
            </w:r>
          </w:p>
        </w:tc>
      </w:tr>
      <w:tr w:rsidR="00BE49FD" w:rsidRPr="008A703F" w14:paraId="15E17254" w14:textId="77777777" w:rsidTr="00B90008">
        <w:trPr>
          <w:trHeight w:val="300"/>
          <w:jc w:val="center"/>
        </w:trPr>
        <w:tc>
          <w:tcPr>
            <w:tcW w:w="12401" w:type="dxa"/>
            <w:gridSpan w:val="11"/>
            <w:shd w:val="clear" w:color="auto" w:fill="auto"/>
            <w:noWrap/>
            <w:vAlign w:val="bottom"/>
          </w:tcPr>
          <w:p w14:paraId="61AA2209" w14:textId="77777777" w:rsidR="00BE49FD" w:rsidRPr="002170FA" w:rsidRDefault="00BE49FD" w:rsidP="00B90008">
            <w:pPr>
              <w:spacing w:line="240" w:lineRule="auto"/>
              <w:contextualSpacing/>
              <w:jc w:val="center"/>
              <w:rPr>
                <w:rFonts w:ascii="Garamond" w:hAnsi="Garamond"/>
                <w:color w:val="000000"/>
              </w:rPr>
            </w:pPr>
          </w:p>
          <w:p w14:paraId="56E8A576"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Government Borrowing (lnMV*GB)</w:t>
            </w:r>
          </w:p>
          <w:p w14:paraId="362072D0" w14:textId="77777777" w:rsidR="00BE49FD" w:rsidRPr="002170FA" w:rsidRDefault="00BE49FD" w:rsidP="00B90008">
            <w:pPr>
              <w:spacing w:line="240" w:lineRule="auto"/>
              <w:contextualSpacing/>
              <w:jc w:val="center"/>
              <w:rPr>
                <w:rFonts w:ascii="Garamond" w:hAnsi="Garamond"/>
                <w:color w:val="000000"/>
              </w:rPr>
            </w:pPr>
          </w:p>
        </w:tc>
      </w:tr>
      <w:tr w:rsidR="00BE49FD" w:rsidRPr="008A703F" w14:paraId="5D3BFA25" w14:textId="77777777" w:rsidTr="00B90008">
        <w:trPr>
          <w:trHeight w:val="300"/>
          <w:jc w:val="center"/>
        </w:trPr>
        <w:tc>
          <w:tcPr>
            <w:tcW w:w="1356" w:type="dxa"/>
            <w:shd w:val="clear" w:color="auto" w:fill="auto"/>
            <w:noWrap/>
            <w:vAlign w:val="center"/>
          </w:tcPr>
          <w:p w14:paraId="04EBAF0D"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TR</w:t>
            </w:r>
          </w:p>
        </w:tc>
        <w:tc>
          <w:tcPr>
            <w:tcW w:w="1249" w:type="dxa"/>
            <w:shd w:val="clear" w:color="auto" w:fill="auto"/>
            <w:noWrap/>
            <w:vAlign w:val="center"/>
          </w:tcPr>
          <w:p w14:paraId="60A7317B" w14:textId="03511C95"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0.0235</w:t>
            </w:r>
          </w:p>
        </w:tc>
        <w:tc>
          <w:tcPr>
            <w:tcW w:w="960" w:type="dxa"/>
            <w:shd w:val="clear" w:color="auto" w:fill="auto"/>
            <w:noWrap/>
            <w:vAlign w:val="center"/>
          </w:tcPr>
          <w:p w14:paraId="09221886"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0.4055</w:t>
            </w:r>
          </w:p>
        </w:tc>
        <w:tc>
          <w:tcPr>
            <w:tcW w:w="1249" w:type="dxa"/>
            <w:shd w:val="clear" w:color="auto" w:fill="auto"/>
            <w:noWrap/>
            <w:vAlign w:val="center"/>
          </w:tcPr>
          <w:p w14:paraId="7C13822D" w14:textId="60A07B4B"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0.0204</w:t>
            </w:r>
          </w:p>
        </w:tc>
        <w:tc>
          <w:tcPr>
            <w:tcW w:w="960" w:type="dxa"/>
            <w:shd w:val="clear" w:color="auto" w:fill="auto"/>
            <w:noWrap/>
            <w:vAlign w:val="center"/>
          </w:tcPr>
          <w:p w14:paraId="1375ECB7"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0.8569</w:t>
            </w:r>
          </w:p>
        </w:tc>
        <w:tc>
          <w:tcPr>
            <w:tcW w:w="1249" w:type="dxa"/>
            <w:shd w:val="clear" w:color="auto" w:fill="auto"/>
            <w:noWrap/>
            <w:vAlign w:val="center"/>
          </w:tcPr>
          <w:p w14:paraId="2E06DF68" w14:textId="52C52F84"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-0.0201</w:t>
            </w:r>
          </w:p>
        </w:tc>
        <w:tc>
          <w:tcPr>
            <w:tcW w:w="960" w:type="dxa"/>
            <w:shd w:val="clear" w:color="auto" w:fill="auto"/>
            <w:noWrap/>
            <w:vAlign w:val="center"/>
          </w:tcPr>
          <w:p w14:paraId="58B551BA"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0.9709</w:t>
            </w:r>
          </w:p>
        </w:tc>
        <w:tc>
          <w:tcPr>
            <w:tcW w:w="1249" w:type="dxa"/>
            <w:shd w:val="clear" w:color="auto" w:fill="auto"/>
            <w:noWrap/>
            <w:vAlign w:val="center"/>
          </w:tcPr>
          <w:p w14:paraId="3F0D2835" w14:textId="19D5B172"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-0.0194</w:t>
            </w:r>
          </w:p>
        </w:tc>
        <w:tc>
          <w:tcPr>
            <w:tcW w:w="960" w:type="dxa"/>
            <w:shd w:val="clear" w:color="auto" w:fill="auto"/>
            <w:noWrap/>
            <w:vAlign w:val="center"/>
          </w:tcPr>
          <w:p w14:paraId="76CC58B6"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0.4445</w:t>
            </w:r>
          </w:p>
        </w:tc>
        <w:tc>
          <w:tcPr>
            <w:tcW w:w="1249" w:type="dxa"/>
            <w:shd w:val="clear" w:color="auto" w:fill="auto"/>
            <w:noWrap/>
            <w:vAlign w:val="center"/>
          </w:tcPr>
          <w:p w14:paraId="187427B2" w14:textId="5CCC6933"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-0.0059</w:t>
            </w:r>
          </w:p>
        </w:tc>
        <w:tc>
          <w:tcPr>
            <w:tcW w:w="960" w:type="dxa"/>
            <w:shd w:val="clear" w:color="auto" w:fill="auto"/>
            <w:noWrap/>
            <w:vAlign w:val="center"/>
          </w:tcPr>
          <w:p w14:paraId="3B238898"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0.0881</w:t>
            </w:r>
          </w:p>
        </w:tc>
      </w:tr>
      <w:tr w:rsidR="00BE49FD" w:rsidRPr="008A703F" w14:paraId="18BF5EA3" w14:textId="77777777" w:rsidTr="00B90008">
        <w:trPr>
          <w:trHeight w:val="300"/>
          <w:jc w:val="center"/>
        </w:trPr>
        <w:tc>
          <w:tcPr>
            <w:tcW w:w="1356" w:type="dxa"/>
            <w:shd w:val="clear" w:color="auto" w:fill="auto"/>
            <w:noWrap/>
            <w:vAlign w:val="center"/>
          </w:tcPr>
          <w:p w14:paraId="60F84FDB"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TV</w:t>
            </w:r>
          </w:p>
        </w:tc>
        <w:tc>
          <w:tcPr>
            <w:tcW w:w="1249" w:type="dxa"/>
            <w:shd w:val="clear" w:color="auto" w:fill="auto"/>
            <w:noWrap/>
            <w:vAlign w:val="center"/>
          </w:tcPr>
          <w:p w14:paraId="311C6C69" w14:textId="07E9CE04"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-0.0264</w:t>
            </w:r>
            <w:r w:rsidR="00BE49FD" w:rsidRPr="008A703F">
              <w:rPr>
                <w:rFonts w:ascii="Garamond" w:hAnsi="Garamond"/>
                <w:color w:val="000000"/>
              </w:rPr>
              <w:t>***</w:t>
            </w:r>
          </w:p>
        </w:tc>
        <w:tc>
          <w:tcPr>
            <w:tcW w:w="960" w:type="dxa"/>
            <w:shd w:val="clear" w:color="auto" w:fill="auto"/>
            <w:noWrap/>
            <w:vAlign w:val="center"/>
          </w:tcPr>
          <w:p w14:paraId="2A77C88B"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0.1029</w:t>
            </w:r>
          </w:p>
        </w:tc>
        <w:tc>
          <w:tcPr>
            <w:tcW w:w="1249" w:type="dxa"/>
            <w:shd w:val="clear" w:color="auto" w:fill="auto"/>
            <w:noWrap/>
            <w:vAlign w:val="center"/>
          </w:tcPr>
          <w:p w14:paraId="50555283" w14:textId="07A6CB8F"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-0.0270***</w:t>
            </w:r>
          </w:p>
        </w:tc>
        <w:tc>
          <w:tcPr>
            <w:tcW w:w="960" w:type="dxa"/>
            <w:shd w:val="clear" w:color="auto" w:fill="auto"/>
            <w:noWrap/>
            <w:vAlign w:val="center"/>
          </w:tcPr>
          <w:p w14:paraId="744B5982"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0.0123</w:t>
            </w:r>
          </w:p>
        </w:tc>
        <w:tc>
          <w:tcPr>
            <w:tcW w:w="1249" w:type="dxa"/>
            <w:shd w:val="clear" w:color="auto" w:fill="auto"/>
            <w:noWrap/>
            <w:vAlign w:val="center"/>
          </w:tcPr>
          <w:p w14:paraId="09B5BBFA" w14:textId="6FF4DB77"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-0.0379</w:t>
            </w:r>
            <w:r w:rsidR="00BE49FD" w:rsidRPr="008A703F">
              <w:rPr>
                <w:rFonts w:ascii="Garamond" w:hAnsi="Garamond"/>
                <w:color w:val="000000"/>
              </w:rPr>
              <w:t>***</w:t>
            </w:r>
          </w:p>
        </w:tc>
        <w:tc>
          <w:tcPr>
            <w:tcW w:w="960" w:type="dxa"/>
            <w:shd w:val="clear" w:color="auto" w:fill="auto"/>
            <w:noWrap/>
            <w:vAlign w:val="center"/>
          </w:tcPr>
          <w:p w14:paraId="1BF92117"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c>
          <w:tcPr>
            <w:tcW w:w="1249" w:type="dxa"/>
            <w:shd w:val="clear" w:color="auto" w:fill="auto"/>
            <w:noWrap/>
            <w:vAlign w:val="center"/>
          </w:tcPr>
          <w:p w14:paraId="3F773CD5" w14:textId="770DB16D"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-0.0038</w:t>
            </w:r>
            <w:r w:rsidR="00BE49FD" w:rsidRPr="008A703F">
              <w:rPr>
                <w:rFonts w:ascii="Garamond" w:hAnsi="Garamond"/>
                <w:color w:val="000000"/>
              </w:rPr>
              <w:t>***</w:t>
            </w:r>
          </w:p>
        </w:tc>
        <w:tc>
          <w:tcPr>
            <w:tcW w:w="960" w:type="dxa"/>
            <w:shd w:val="clear" w:color="auto" w:fill="auto"/>
            <w:noWrap/>
            <w:vAlign w:val="center"/>
          </w:tcPr>
          <w:p w14:paraId="5C658A2C"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c>
          <w:tcPr>
            <w:tcW w:w="1249" w:type="dxa"/>
            <w:shd w:val="clear" w:color="auto" w:fill="auto"/>
            <w:noWrap/>
            <w:vAlign w:val="center"/>
          </w:tcPr>
          <w:p w14:paraId="3E72AF2C" w14:textId="28ECBCFE"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-0.0249***</w:t>
            </w:r>
          </w:p>
        </w:tc>
        <w:tc>
          <w:tcPr>
            <w:tcW w:w="960" w:type="dxa"/>
            <w:shd w:val="clear" w:color="auto" w:fill="auto"/>
            <w:noWrap/>
            <w:vAlign w:val="center"/>
          </w:tcPr>
          <w:p w14:paraId="50B7081F"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r>
      <w:tr w:rsidR="00BE49FD" w:rsidRPr="008A703F" w14:paraId="7E8FF085" w14:textId="77777777" w:rsidTr="00B90008">
        <w:trPr>
          <w:trHeight w:val="300"/>
          <w:jc w:val="center"/>
        </w:trPr>
        <w:tc>
          <w:tcPr>
            <w:tcW w:w="1356" w:type="dxa"/>
            <w:shd w:val="clear" w:color="auto" w:fill="auto"/>
            <w:noWrap/>
            <w:vAlign w:val="center"/>
          </w:tcPr>
          <w:p w14:paraId="009E50BC"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ILLIQ</w:t>
            </w:r>
          </w:p>
        </w:tc>
        <w:tc>
          <w:tcPr>
            <w:tcW w:w="1249" w:type="dxa"/>
            <w:shd w:val="clear" w:color="auto" w:fill="auto"/>
            <w:noWrap/>
            <w:vAlign w:val="center"/>
          </w:tcPr>
          <w:p w14:paraId="548BF4A4" w14:textId="6E2F538B"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0.0192</w:t>
            </w:r>
            <w:r w:rsidR="00BE49FD" w:rsidRPr="008A703F">
              <w:rPr>
                <w:rFonts w:ascii="Garamond" w:hAnsi="Garamond"/>
                <w:color w:val="000000"/>
              </w:rPr>
              <w:t>***</w:t>
            </w:r>
          </w:p>
        </w:tc>
        <w:tc>
          <w:tcPr>
            <w:tcW w:w="960" w:type="dxa"/>
            <w:shd w:val="clear" w:color="auto" w:fill="auto"/>
            <w:noWrap/>
            <w:vAlign w:val="center"/>
          </w:tcPr>
          <w:p w14:paraId="18352833"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0.0119</w:t>
            </w:r>
          </w:p>
        </w:tc>
        <w:tc>
          <w:tcPr>
            <w:tcW w:w="1249" w:type="dxa"/>
            <w:shd w:val="clear" w:color="auto" w:fill="auto"/>
            <w:noWrap/>
            <w:vAlign w:val="center"/>
          </w:tcPr>
          <w:p w14:paraId="4A53EBB1" w14:textId="2282842B"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0.0199</w:t>
            </w:r>
          </w:p>
        </w:tc>
        <w:tc>
          <w:tcPr>
            <w:tcW w:w="960" w:type="dxa"/>
            <w:shd w:val="clear" w:color="auto" w:fill="auto"/>
            <w:noWrap/>
            <w:vAlign w:val="center"/>
          </w:tcPr>
          <w:p w14:paraId="1085C3DD"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0.6723</w:t>
            </w:r>
          </w:p>
        </w:tc>
        <w:tc>
          <w:tcPr>
            <w:tcW w:w="1249" w:type="dxa"/>
            <w:shd w:val="clear" w:color="auto" w:fill="auto"/>
            <w:noWrap/>
            <w:vAlign w:val="center"/>
          </w:tcPr>
          <w:p w14:paraId="76B7B199" w14:textId="1B22C4F8"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0.0200</w:t>
            </w:r>
          </w:p>
        </w:tc>
        <w:tc>
          <w:tcPr>
            <w:tcW w:w="960" w:type="dxa"/>
            <w:shd w:val="clear" w:color="auto" w:fill="auto"/>
            <w:noWrap/>
            <w:vAlign w:val="center"/>
          </w:tcPr>
          <w:p w14:paraId="00254341"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0.4945</w:t>
            </w:r>
          </w:p>
        </w:tc>
        <w:tc>
          <w:tcPr>
            <w:tcW w:w="1249" w:type="dxa"/>
            <w:shd w:val="clear" w:color="auto" w:fill="auto"/>
            <w:noWrap/>
            <w:vAlign w:val="center"/>
          </w:tcPr>
          <w:p w14:paraId="3091D414" w14:textId="70A28976"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0.0201</w:t>
            </w:r>
          </w:p>
        </w:tc>
        <w:tc>
          <w:tcPr>
            <w:tcW w:w="960" w:type="dxa"/>
            <w:shd w:val="clear" w:color="auto" w:fill="auto"/>
            <w:noWrap/>
            <w:vAlign w:val="center"/>
          </w:tcPr>
          <w:p w14:paraId="6581D756"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0.1386</w:t>
            </w:r>
          </w:p>
        </w:tc>
        <w:tc>
          <w:tcPr>
            <w:tcW w:w="1249" w:type="dxa"/>
            <w:shd w:val="clear" w:color="auto" w:fill="auto"/>
            <w:noWrap/>
            <w:vAlign w:val="center"/>
          </w:tcPr>
          <w:p w14:paraId="412EDED3" w14:textId="78DB01C7"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0.0293</w:t>
            </w:r>
            <w:r w:rsidR="00BE49FD" w:rsidRPr="008A703F">
              <w:rPr>
                <w:rFonts w:ascii="Garamond" w:hAnsi="Garamond"/>
                <w:color w:val="000000"/>
              </w:rPr>
              <w:t>***</w:t>
            </w:r>
          </w:p>
        </w:tc>
        <w:tc>
          <w:tcPr>
            <w:tcW w:w="960" w:type="dxa"/>
            <w:shd w:val="clear" w:color="auto" w:fill="auto"/>
            <w:noWrap/>
            <w:vAlign w:val="center"/>
          </w:tcPr>
          <w:p w14:paraId="3E2723A9"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0.0103</w:t>
            </w:r>
          </w:p>
        </w:tc>
      </w:tr>
      <w:tr w:rsidR="00BE49FD" w:rsidRPr="008A703F" w14:paraId="325E1C37" w14:textId="77777777" w:rsidTr="00B90008">
        <w:trPr>
          <w:trHeight w:val="300"/>
          <w:jc w:val="center"/>
        </w:trPr>
        <w:tc>
          <w:tcPr>
            <w:tcW w:w="1356" w:type="dxa"/>
            <w:shd w:val="clear" w:color="auto" w:fill="auto"/>
            <w:noWrap/>
            <w:vAlign w:val="center"/>
          </w:tcPr>
          <w:p w14:paraId="730B0E42"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TPI</w:t>
            </w:r>
          </w:p>
        </w:tc>
        <w:tc>
          <w:tcPr>
            <w:tcW w:w="1249" w:type="dxa"/>
            <w:shd w:val="clear" w:color="auto" w:fill="auto"/>
            <w:noWrap/>
            <w:vAlign w:val="center"/>
          </w:tcPr>
          <w:p w14:paraId="0A2EE235" w14:textId="3E67B75C"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0.0197</w:t>
            </w:r>
            <w:r w:rsidR="00BE49FD" w:rsidRPr="008A703F">
              <w:rPr>
                <w:rFonts w:ascii="Garamond" w:hAnsi="Garamond"/>
                <w:color w:val="000000"/>
              </w:rPr>
              <w:t>***</w:t>
            </w:r>
          </w:p>
        </w:tc>
        <w:tc>
          <w:tcPr>
            <w:tcW w:w="960" w:type="dxa"/>
            <w:shd w:val="clear" w:color="auto" w:fill="auto"/>
            <w:noWrap/>
            <w:vAlign w:val="center"/>
          </w:tcPr>
          <w:p w14:paraId="43A8B1D8"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0.0107</w:t>
            </w:r>
          </w:p>
        </w:tc>
        <w:tc>
          <w:tcPr>
            <w:tcW w:w="1249" w:type="dxa"/>
            <w:shd w:val="clear" w:color="auto" w:fill="auto"/>
            <w:noWrap/>
            <w:vAlign w:val="center"/>
          </w:tcPr>
          <w:p w14:paraId="39BB73DA" w14:textId="3ACC4A99"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0.0201</w:t>
            </w:r>
          </w:p>
        </w:tc>
        <w:tc>
          <w:tcPr>
            <w:tcW w:w="960" w:type="dxa"/>
            <w:shd w:val="clear" w:color="auto" w:fill="auto"/>
            <w:noWrap/>
            <w:vAlign w:val="center"/>
          </w:tcPr>
          <w:p w14:paraId="67583780"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0.1825</w:t>
            </w:r>
          </w:p>
        </w:tc>
        <w:tc>
          <w:tcPr>
            <w:tcW w:w="1249" w:type="dxa"/>
            <w:shd w:val="clear" w:color="auto" w:fill="auto"/>
            <w:noWrap/>
            <w:vAlign w:val="center"/>
          </w:tcPr>
          <w:p w14:paraId="3E562A61" w14:textId="1B74D887"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0.0199</w:t>
            </w:r>
          </w:p>
        </w:tc>
        <w:tc>
          <w:tcPr>
            <w:tcW w:w="960" w:type="dxa"/>
            <w:shd w:val="clear" w:color="auto" w:fill="auto"/>
            <w:noWrap/>
            <w:vAlign w:val="center"/>
          </w:tcPr>
          <w:p w14:paraId="0AA48EE7"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0.8962</w:t>
            </w:r>
          </w:p>
        </w:tc>
        <w:tc>
          <w:tcPr>
            <w:tcW w:w="1249" w:type="dxa"/>
            <w:shd w:val="clear" w:color="auto" w:fill="auto"/>
            <w:noWrap/>
            <w:vAlign w:val="center"/>
          </w:tcPr>
          <w:p w14:paraId="660AE837" w14:textId="298FC140"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0.0200</w:t>
            </w:r>
          </w:p>
        </w:tc>
        <w:tc>
          <w:tcPr>
            <w:tcW w:w="960" w:type="dxa"/>
            <w:shd w:val="clear" w:color="auto" w:fill="auto"/>
            <w:noWrap/>
            <w:vAlign w:val="center"/>
          </w:tcPr>
          <w:p w14:paraId="4B7B7DF1" w14:textId="64D20CFD"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0.279</w:t>
            </w:r>
            <w:r w:rsidR="00657969">
              <w:rPr>
                <w:rFonts w:ascii="Garamond" w:hAnsi="Garamond"/>
                <w:color w:val="000000"/>
              </w:rPr>
              <w:t>0</w:t>
            </w:r>
          </w:p>
        </w:tc>
        <w:tc>
          <w:tcPr>
            <w:tcW w:w="1249" w:type="dxa"/>
            <w:shd w:val="clear" w:color="auto" w:fill="auto"/>
            <w:noWrap/>
            <w:vAlign w:val="center"/>
          </w:tcPr>
          <w:p w14:paraId="5B9B58F8" w14:textId="2DFB03B6"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0.0201</w:t>
            </w:r>
          </w:p>
        </w:tc>
        <w:tc>
          <w:tcPr>
            <w:tcW w:w="960" w:type="dxa"/>
            <w:shd w:val="clear" w:color="auto" w:fill="auto"/>
            <w:noWrap/>
            <w:vAlign w:val="center"/>
          </w:tcPr>
          <w:p w14:paraId="71B11ACD"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0.7076</w:t>
            </w:r>
          </w:p>
        </w:tc>
      </w:tr>
      <w:tr w:rsidR="00BE49FD" w:rsidRPr="008A703F" w14:paraId="0DD70334" w14:textId="77777777" w:rsidTr="00B90008">
        <w:trPr>
          <w:trHeight w:val="300"/>
          <w:jc w:val="center"/>
        </w:trPr>
        <w:tc>
          <w:tcPr>
            <w:tcW w:w="12401" w:type="dxa"/>
            <w:gridSpan w:val="11"/>
            <w:shd w:val="clear" w:color="auto" w:fill="auto"/>
            <w:noWrap/>
            <w:vAlign w:val="bottom"/>
          </w:tcPr>
          <w:p w14:paraId="5F6D39A1" w14:textId="77777777" w:rsidR="00BE49FD" w:rsidRPr="002170FA" w:rsidRDefault="00BE49FD" w:rsidP="00B90008">
            <w:pPr>
              <w:spacing w:line="240" w:lineRule="auto"/>
              <w:contextualSpacing/>
              <w:jc w:val="center"/>
              <w:rPr>
                <w:rFonts w:ascii="Garamond" w:hAnsi="Garamond"/>
                <w:color w:val="000000"/>
              </w:rPr>
            </w:pPr>
          </w:p>
          <w:p w14:paraId="7C48B28C"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Private Borrowing (lnMV*PB)</w:t>
            </w:r>
          </w:p>
          <w:p w14:paraId="0BF695A1" w14:textId="77777777" w:rsidR="00BE49FD" w:rsidRPr="002170FA" w:rsidRDefault="00BE49FD" w:rsidP="00B90008">
            <w:pPr>
              <w:spacing w:line="240" w:lineRule="auto"/>
              <w:contextualSpacing/>
              <w:jc w:val="center"/>
              <w:rPr>
                <w:rFonts w:ascii="Garamond" w:hAnsi="Garamond"/>
                <w:color w:val="000000"/>
              </w:rPr>
            </w:pPr>
          </w:p>
        </w:tc>
      </w:tr>
      <w:tr w:rsidR="00BE49FD" w:rsidRPr="008A703F" w14:paraId="74CBF8A0" w14:textId="77777777" w:rsidTr="00B90008">
        <w:trPr>
          <w:trHeight w:val="300"/>
          <w:jc w:val="center"/>
        </w:trPr>
        <w:tc>
          <w:tcPr>
            <w:tcW w:w="1356" w:type="dxa"/>
            <w:shd w:val="clear" w:color="auto" w:fill="auto"/>
            <w:noWrap/>
            <w:vAlign w:val="center"/>
          </w:tcPr>
          <w:p w14:paraId="0CA2A0D5"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TR</w:t>
            </w:r>
          </w:p>
        </w:tc>
        <w:tc>
          <w:tcPr>
            <w:tcW w:w="1249" w:type="dxa"/>
            <w:shd w:val="clear" w:color="auto" w:fill="auto"/>
            <w:noWrap/>
            <w:vAlign w:val="center"/>
          </w:tcPr>
          <w:p w14:paraId="5600D508" w14:textId="0379D6C4"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0.0644</w:t>
            </w:r>
            <w:r w:rsidR="00BE49FD" w:rsidRPr="008A703F">
              <w:rPr>
                <w:rFonts w:ascii="Garamond" w:hAnsi="Garamond"/>
                <w:color w:val="000000"/>
              </w:rPr>
              <w:t>**</w:t>
            </w:r>
          </w:p>
        </w:tc>
        <w:tc>
          <w:tcPr>
            <w:tcW w:w="960" w:type="dxa"/>
            <w:shd w:val="clear" w:color="auto" w:fill="auto"/>
            <w:noWrap/>
            <w:vAlign w:val="center"/>
          </w:tcPr>
          <w:p w14:paraId="78F982F2"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0.0404</w:t>
            </w:r>
          </w:p>
        </w:tc>
        <w:tc>
          <w:tcPr>
            <w:tcW w:w="1249" w:type="dxa"/>
            <w:shd w:val="clear" w:color="auto" w:fill="auto"/>
            <w:noWrap/>
            <w:vAlign w:val="center"/>
          </w:tcPr>
          <w:p w14:paraId="17218576" w14:textId="76670BAB"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0.0096*</w:t>
            </w:r>
          </w:p>
        </w:tc>
        <w:tc>
          <w:tcPr>
            <w:tcW w:w="960" w:type="dxa"/>
            <w:shd w:val="clear" w:color="auto" w:fill="auto"/>
            <w:noWrap/>
            <w:vAlign w:val="center"/>
          </w:tcPr>
          <w:p w14:paraId="7C09C9F8"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0.0853</w:t>
            </w:r>
          </w:p>
        </w:tc>
        <w:tc>
          <w:tcPr>
            <w:tcW w:w="1249" w:type="dxa"/>
            <w:shd w:val="clear" w:color="auto" w:fill="auto"/>
            <w:noWrap/>
            <w:vAlign w:val="center"/>
          </w:tcPr>
          <w:p w14:paraId="1E962196" w14:textId="3F2A81B1"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0.0193</w:t>
            </w:r>
          </w:p>
        </w:tc>
        <w:tc>
          <w:tcPr>
            <w:tcW w:w="960" w:type="dxa"/>
            <w:shd w:val="clear" w:color="auto" w:fill="auto"/>
            <w:noWrap/>
            <w:vAlign w:val="center"/>
          </w:tcPr>
          <w:p w14:paraId="00933FF4"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0.9875</w:t>
            </w:r>
          </w:p>
        </w:tc>
        <w:tc>
          <w:tcPr>
            <w:tcW w:w="1249" w:type="dxa"/>
            <w:shd w:val="clear" w:color="auto" w:fill="auto"/>
            <w:noWrap/>
            <w:vAlign w:val="center"/>
          </w:tcPr>
          <w:p w14:paraId="2C09198E" w14:textId="06259EE4"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0.0336</w:t>
            </w:r>
          </w:p>
        </w:tc>
        <w:tc>
          <w:tcPr>
            <w:tcW w:w="960" w:type="dxa"/>
            <w:shd w:val="clear" w:color="auto" w:fill="auto"/>
            <w:noWrap/>
            <w:vAlign w:val="center"/>
          </w:tcPr>
          <w:p w14:paraId="742632FA"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0.4384</w:t>
            </w:r>
          </w:p>
        </w:tc>
        <w:tc>
          <w:tcPr>
            <w:tcW w:w="1249" w:type="dxa"/>
            <w:shd w:val="clear" w:color="auto" w:fill="auto"/>
            <w:noWrap/>
            <w:vAlign w:val="center"/>
          </w:tcPr>
          <w:p w14:paraId="787E96B8" w14:textId="46096C99"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0.3582</w:t>
            </w:r>
            <w:r w:rsidR="00BE49FD" w:rsidRPr="008A703F">
              <w:rPr>
                <w:rFonts w:ascii="Garamond" w:hAnsi="Garamond"/>
                <w:color w:val="000000"/>
              </w:rPr>
              <w:t>*</w:t>
            </w:r>
          </w:p>
        </w:tc>
        <w:tc>
          <w:tcPr>
            <w:tcW w:w="960" w:type="dxa"/>
            <w:shd w:val="clear" w:color="auto" w:fill="auto"/>
            <w:noWrap/>
            <w:vAlign w:val="center"/>
          </w:tcPr>
          <w:p w14:paraId="2B68F6AC"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0.0908</w:t>
            </w:r>
          </w:p>
        </w:tc>
      </w:tr>
      <w:tr w:rsidR="00BE49FD" w:rsidRPr="008A703F" w14:paraId="7CC1EB84" w14:textId="77777777" w:rsidTr="00B90008">
        <w:trPr>
          <w:trHeight w:val="300"/>
          <w:jc w:val="center"/>
        </w:trPr>
        <w:tc>
          <w:tcPr>
            <w:tcW w:w="1356" w:type="dxa"/>
            <w:shd w:val="clear" w:color="auto" w:fill="auto"/>
            <w:noWrap/>
            <w:vAlign w:val="center"/>
          </w:tcPr>
          <w:p w14:paraId="500E11A7"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TV</w:t>
            </w:r>
          </w:p>
        </w:tc>
        <w:tc>
          <w:tcPr>
            <w:tcW w:w="1249" w:type="dxa"/>
            <w:shd w:val="clear" w:color="auto" w:fill="auto"/>
            <w:noWrap/>
            <w:vAlign w:val="center"/>
          </w:tcPr>
          <w:p w14:paraId="46C81380" w14:textId="7430C2F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0.139</w:t>
            </w:r>
            <w:r w:rsidR="00657969">
              <w:rPr>
                <w:rFonts w:ascii="Garamond" w:hAnsi="Garamond"/>
                <w:color w:val="000000"/>
              </w:rPr>
              <w:t>0</w:t>
            </w:r>
            <w:r w:rsidRPr="008A703F">
              <w:rPr>
                <w:rFonts w:ascii="Garamond" w:hAnsi="Garamond"/>
                <w:color w:val="000000"/>
              </w:rPr>
              <w:t>*</w:t>
            </w:r>
          </w:p>
        </w:tc>
        <w:tc>
          <w:tcPr>
            <w:tcW w:w="960" w:type="dxa"/>
            <w:shd w:val="clear" w:color="auto" w:fill="auto"/>
            <w:noWrap/>
            <w:vAlign w:val="center"/>
          </w:tcPr>
          <w:p w14:paraId="04A0FB8E"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0.0961</w:t>
            </w:r>
          </w:p>
        </w:tc>
        <w:tc>
          <w:tcPr>
            <w:tcW w:w="1249" w:type="dxa"/>
            <w:shd w:val="clear" w:color="auto" w:fill="auto"/>
            <w:noWrap/>
            <w:vAlign w:val="center"/>
          </w:tcPr>
          <w:p w14:paraId="2EDF3933" w14:textId="410C3733"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0.1913</w:t>
            </w:r>
            <w:r w:rsidR="00BE49FD" w:rsidRPr="008A703F">
              <w:rPr>
                <w:rFonts w:ascii="Garamond" w:hAnsi="Garamond"/>
                <w:color w:val="000000"/>
              </w:rPr>
              <w:t>***</w:t>
            </w:r>
          </w:p>
        </w:tc>
        <w:tc>
          <w:tcPr>
            <w:tcW w:w="960" w:type="dxa"/>
            <w:shd w:val="clear" w:color="auto" w:fill="auto"/>
            <w:noWrap/>
            <w:vAlign w:val="center"/>
          </w:tcPr>
          <w:p w14:paraId="44A21F5C"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0.0123</w:t>
            </w:r>
          </w:p>
        </w:tc>
        <w:tc>
          <w:tcPr>
            <w:tcW w:w="1249" w:type="dxa"/>
            <w:shd w:val="clear" w:color="auto" w:fill="auto"/>
            <w:noWrap/>
            <w:vAlign w:val="center"/>
          </w:tcPr>
          <w:p w14:paraId="1A99F15A" w14:textId="087EA84A"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0.4548***</w:t>
            </w:r>
          </w:p>
        </w:tc>
        <w:tc>
          <w:tcPr>
            <w:tcW w:w="960" w:type="dxa"/>
            <w:shd w:val="clear" w:color="auto" w:fill="auto"/>
            <w:noWrap/>
            <w:vAlign w:val="center"/>
          </w:tcPr>
          <w:p w14:paraId="1ECCD6E0"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c>
          <w:tcPr>
            <w:tcW w:w="1249" w:type="dxa"/>
            <w:shd w:val="clear" w:color="auto" w:fill="auto"/>
            <w:noWrap/>
            <w:vAlign w:val="center"/>
          </w:tcPr>
          <w:p w14:paraId="335C064C" w14:textId="27D5C7D6"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0.4164</w:t>
            </w:r>
            <w:r w:rsidR="00BE49FD" w:rsidRPr="008A703F">
              <w:rPr>
                <w:rFonts w:ascii="Garamond" w:hAnsi="Garamond"/>
                <w:color w:val="000000"/>
              </w:rPr>
              <w:t>***</w:t>
            </w:r>
          </w:p>
        </w:tc>
        <w:tc>
          <w:tcPr>
            <w:tcW w:w="960" w:type="dxa"/>
            <w:shd w:val="clear" w:color="auto" w:fill="auto"/>
            <w:noWrap/>
            <w:vAlign w:val="center"/>
          </w:tcPr>
          <w:p w14:paraId="6C6A70EA"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c>
          <w:tcPr>
            <w:tcW w:w="1249" w:type="dxa"/>
            <w:shd w:val="clear" w:color="auto" w:fill="auto"/>
            <w:noWrap/>
            <w:vAlign w:val="center"/>
          </w:tcPr>
          <w:p w14:paraId="4A7AC302" w14:textId="5D8BA74A"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1.1365</w:t>
            </w:r>
            <w:r w:rsidR="00BE49FD" w:rsidRPr="008A703F">
              <w:rPr>
                <w:rFonts w:ascii="Garamond" w:hAnsi="Garamond"/>
                <w:color w:val="000000"/>
              </w:rPr>
              <w:t>***</w:t>
            </w:r>
          </w:p>
        </w:tc>
        <w:tc>
          <w:tcPr>
            <w:tcW w:w="960" w:type="dxa"/>
            <w:shd w:val="clear" w:color="auto" w:fill="auto"/>
            <w:noWrap/>
            <w:vAlign w:val="center"/>
          </w:tcPr>
          <w:p w14:paraId="62980342"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0.0102</w:t>
            </w:r>
          </w:p>
        </w:tc>
      </w:tr>
      <w:tr w:rsidR="00BE49FD" w:rsidRPr="008A703F" w14:paraId="68FD3695" w14:textId="77777777" w:rsidTr="00B90008">
        <w:trPr>
          <w:trHeight w:val="300"/>
          <w:jc w:val="center"/>
        </w:trPr>
        <w:tc>
          <w:tcPr>
            <w:tcW w:w="1356" w:type="dxa"/>
            <w:shd w:val="clear" w:color="auto" w:fill="auto"/>
            <w:noWrap/>
            <w:vAlign w:val="center"/>
          </w:tcPr>
          <w:p w14:paraId="3675206A"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ILLIQ</w:t>
            </w:r>
          </w:p>
        </w:tc>
        <w:tc>
          <w:tcPr>
            <w:tcW w:w="1249" w:type="dxa"/>
            <w:shd w:val="clear" w:color="auto" w:fill="auto"/>
            <w:noWrap/>
            <w:vAlign w:val="center"/>
          </w:tcPr>
          <w:p w14:paraId="466946EB"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-0.0012***</w:t>
            </w:r>
          </w:p>
        </w:tc>
        <w:tc>
          <w:tcPr>
            <w:tcW w:w="960" w:type="dxa"/>
            <w:shd w:val="clear" w:color="auto" w:fill="auto"/>
            <w:noWrap/>
            <w:vAlign w:val="center"/>
          </w:tcPr>
          <w:p w14:paraId="4FD278FE"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0.0119</w:t>
            </w:r>
          </w:p>
        </w:tc>
        <w:tc>
          <w:tcPr>
            <w:tcW w:w="1249" w:type="dxa"/>
            <w:shd w:val="clear" w:color="auto" w:fill="auto"/>
            <w:noWrap/>
            <w:vAlign w:val="center"/>
          </w:tcPr>
          <w:p w14:paraId="58787706" w14:textId="0CAE76E6"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-0.0189</w:t>
            </w:r>
          </w:p>
        </w:tc>
        <w:tc>
          <w:tcPr>
            <w:tcW w:w="960" w:type="dxa"/>
            <w:shd w:val="clear" w:color="auto" w:fill="auto"/>
            <w:noWrap/>
            <w:vAlign w:val="center"/>
          </w:tcPr>
          <w:p w14:paraId="207AF759"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0.6737</w:t>
            </w:r>
          </w:p>
        </w:tc>
        <w:tc>
          <w:tcPr>
            <w:tcW w:w="1249" w:type="dxa"/>
            <w:shd w:val="clear" w:color="auto" w:fill="auto"/>
            <w:noWrap/>
            <w:vAlign w:val="center"/>
          </w:tcPr>
          <w:p w14:paraId="286FE6D4" w14:textId="00A7DFED"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w:t>
            </w:r>
            <w:r w:rsidR="00657969">
              <w:rPr>
                <w:rFonts w:ascii="Garamond" w:hAnsi="Garamond"/>
                <w:color w:val="000000"/>
              </w:rPr>
              <w:t>210</w:t>
            </w:r>
          </w:p>
        </w:tc>
        <w:tc>
          <w:tcPr>
            <w:tcW w:w="960" w:type="dxa"/>
            <w:shd w:val="clear" w:color="auto" w:fill="auto"/>
            <w:noWrap/>
            <w:vAlign w:val="center"/>
          </w:tcPr>
          <w:p w14:paraId="67F71028"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0.4958</w:t>
            </w:r>
          </w:p>
        </w:tc>
        <w:tc>
          <w:tcPr>
            <w:tcW w:w="1249" w:type="dxa"/>
            <w:shd w:val="clear" w:color="auto" w:fill="auto"/>
            <w:noWrap/>
            <w:vAlign w:val="center"/>
          </w:tcPr>
          <w:p w14:paraId="0C33B0C4" w14:textId="4F601683" w:rsidR="00BE49FD" w:rsidRPr="008A703F" w:rsidRDefault="00BE49FD" w:rsidP="00657969">
            <w:pPr>
              <w:spacing w:line="240" w:lineRule="auto"/>
              <w:contextualSpacing/>
              <w:jc w:val="center"/>
              <w:rPr>
                <w:rFonts w:ascii="Garamond" w:hAnsi="Garamond"/>
                <w:color w:val="000000"/>
              </w:rPr>
            </w:pPr>
            <w:r w:rsidRPr="008A703F">
              <w:rPr>
                <w:rFonts w:ascii="Garamond" w:hAnsi="Garamond"/>
                <w:color w:val="000000"/>
              </w:rPr>
              <w:t>-0.0229</w:t>
            </w:r>
          </w:p>
        </w:tc>
        <w:tc>
          <w:tcPr>
            <w:tcW w:w="960" w:type="dxa"/>
            <w:shd w:val="clear" w:color="auto" w:fill="auto"/>
            <w:noWrap/>
            <w:vAlign w:val="center"/>
          </w:tcPr>
          <w:p w14:paraId="361107B3" w14:textId="694941B1"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0.138</w:t>
            </w:r>
            <w:r w:rsidR="00657969">
              <w:rPr>
                <w:rFonts w:ascii="Garamond" w:hAnsi="Garamond"/>
                <w:color w:val="000000"/>
              </w:rPr>
              <w:t>0</w:t>
            </w:r>
          </w:p>
        </w:tc>
        <w:tc>
          <w:tcPr>
            <w:tcW w:w="1249" w:type="dxa"/>
            <w:shd w:val="clear" w:color="auto" w:fill="auto"/>
            <w:noWrap/>
            <w:vAlign w:val="center"/>
          </w:tcPr>
          <w:p w14:paraId="46613638" w14:textId="519DA204"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-0.196</w:t>
            </w:r>
            <w:r w:rsidR="00657969">
              <w:rPr>
                <w:rFonts w:ascii="Garamond" w:hAnsi="Garamond"/>
                <w:color w:val="000000"/>
              </w:rPr>
              <w:t>0</w:t>
            </w:r>
            <w:r w:rsidRPr="008A703F">
              <w:rPr>
                <w:rFonts w:ascii="Garamond" w:hAnsi="Garamond"/>
                <w:color w:val="000000"/>
              </w:rPr>
              <w:t>***</w:t>
            </w:r>
          </w:p>
        </w:tc>
        <w:tc>
          <w:tcPr>
            <w:tcW w:w="960" w:type="dxa"/>
            <w:shd w:val="clear" w:color="auto" w:fill="auto"/>
            <w:noWrap/>
            <w:vAlign w:val="center"/>
          </w:tcPr>
          <w:p w14:paraId="1A69D42B"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0.0103</w:t>
            </w:r>
          </w:p>
        </w:tc>
      </w:tr>
      <w:tr w:rsidR="00BE49FD" w:rsidRPr="008A703F" w14:paraId="7C01340E" w14:textId="77777777" w:rsidTr="00B90008">
        <w:trPr>
          <w:trHeight w:val="300"/>
          <w:jc w:val="center"/>
        </w:trPr>
        <w:tc>
          <w:tcPr>
            <w:tcW w:w="1356" w:type="dxa"/>
            <w:shd w:val="clear" w:color="auto" w:fill="auto"/>
            <w:noWrap/>
            <w:vAlign w:val="center"/>
          </w:tcPr>
          <w:p w14:paraId="5523DE79" w14:textId="77777777" w:rsidR="00BE49FD" w:rsidRPr="002170FA" w:rsidRDefault="00BE49FD" w:rsidP="00B90008">
            <w:pPr>
              <w:spacing w:line="240" w:lineRule="auto"/>
              <w:contextualSpacing/>
              <w:jc w:val="center"/>
              <w:rPr>
                <w:rFonts w:ascii="Garamond" w:hAnsi="Garamond"/>
                <w:color w:val="000000"/>
              </w:rPr>
            </w:pPr>
            <w:r w:rsidRPr="002170FA">
              <w:rPr>
                <w:rFonts w:ascii="Garamond" w:hAnsi="Garamond"/>
                <w:color w:val="000000"/>
              </w:rPr>
              <w:t>TPI</w:t>
            </w:r>
          </w:p>
        </w:tc>
        <w:tc>
          <w:tcPr>
            <w:tcW w:w="1249" w:type="dxa"/>
            <w:shd w:val="clear" w:color="auto" w:fill="auto"/>
            <w:noWrap/>
            <w:vAlign w:val="center"/>
          </w:tcPr>
          <w:p w14:paraId="5C1ABAD2" w14:textId="5DB52993"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-0.0275</w:t>
            </w:r>
            <w:r w:rsidR="00BE49FD" w:rsidRPr="008A703F">
              <w:rPr>
                <w:rFonts w:ascii="Garamond" w:hAnsi="Garamond"/>
                <w:color w:val="000000"/>
              </w:rPr>
              <w:t>***</w:t>
            </w:r>
          </w:p>
        </w:tc>
        <w:tc>
          <w:tcPr>
            <w:tcW w:w="960" w:type="dxa"/>
            <w:shd w:val="clear" w:color="auto" w:fill="auto"/>
            <w:noWrap/>
            <w:vAlign w:val="center"/>
          </w:tcPr>
          <w:p w14:paraId="087DF597"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0.0107</w:t>
            </w:r>
          </w:p>
        </w:tc>
        <w:tc>
          <w:tcPr>
            <w:tcW w:w="1249" w:type="dxa"/>
            <w:shd w:val="clear" w:color="auto" w:fill="auto"/>
            <w:noWrap/>
            <w:vAlign w:val="center"/>
          </w:tcPr>
          <w:p w14:paraId="63435986" w14:textId="467A9749" w:rsidR="00BE49FD" w:rsidRPr="008A703F" w:rsidRDefault="00657969" w:rsidP="00B90008">
            <w:pPr>
              <w:spacing w:line="240" w:lineRule="auto"/>
              <w:contextualSpacing/>
              <w:jc w:val="center"/>
              <w:rPr>
                <w:rFonts w:ascii="Garamond" w:hAnsi="Garamond"/>
                <w:color w:val="000000"/>
              </w:rPr>
            </w:pPr>
            <w:r>
              <w:rPr>
                <w:rFonts w:ascii="Garamond" w:hAnsi="Garamond"/>
                <w:color w:val="000000"/>
              </w:rPr>
              <w:t>-0.0219</w:t>
            </w:r>
            <w:r w:rsidR="00BE49FD" w:rsidRPr="008A703F">
              <w:rPr>
                <w:rFonts w:ascii="Garamond" w:hAnsi="Garamond"/>
                <w:color w:val="000000"/>
              </w:rPr>
              <w:t>***</w:t>
            </w:r>
          </w:p>
        </w:tc>
        <w:tc>
          <w:tcPr>
            <w:tcW w:w="960" w:type="dxa"/>
            <w:shd w:val="clear" w:color="auto" w:fill="auto"/>
            <w:noWrap/>
            <w:vAlign w:val="center"/>
          </w:tcPr>
          <w:p w14:paraId="29CE684F" w14:textId="42B8B91E"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0.0183</w:t>
            </w:r>
          </w:p>
        </w:tc>
        <w:tc>
          <w:tcPr>
            <w:tcW w:w="1249" w:type="dxa"/>
            <w:shd w:val="clear" w:color="auto" w:fill="auto"/>
            <w:noWrap/>
            <w:vAlign w:val="center"/>
          </w:tcPr>
          <w:p w14:paraId="6E84777D" w14:textId="2EAF2534"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0.0199</w:t>
            </w:r>
          </w:p>
        </w:tc>
        <w:tc>
          <w:tcPr>
            <w:tcW w:w="960" w:type="dxa"/>
            <w:shd w:val="clear" w:color="auto" w:fill="auto"/>
            <w:noWrap/>
            <w:vAlign w:val="center"/>
          </w:tcPr>
          <w:p w14:paraId="6AE8D99D"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0.9034</w:t>
            </w:r>
          </w:p>
        </w:tc>
        <w:tc>
          <w:tcPr>
            <w:tcW w:w="1249" w:type="dxa"/>
            <w:shd w:val="clear" w:color="auto" w:fill="auto"/>
            <w:noWrap/>
            <w:vAlign w:val="center"/>
          </w:tcPr>
          <w:p w14:paraId="01F148C3" w14:textId="240EBF6A"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0.0201</w:t>
            </w:r>
            <w:r w:rsidR="00BE49FD" w:rsidRPr="008A703F">
              <w:rPr>
                <w:rFonts w:ascii="Garamond" w:hAnsi="Garamond"/>
                <w:color w:val="000000"/>
              </w:rPr>
              <w:t>***</w:t>
            </w:r>
          </w:p>
        </w:tc>
        <w:tc>
          <w:tcPr>
            <w:tcW w:w="960" w:type="dxa"/>
            <w:shd w:val="clear" w:color="auto" w:fill="auto"/>
            <w:noWrap/>
            <w:vAlign w:val="center"/>
          </w:tcPr>
          <w:p w14:paraId="20810389" w14:textId="06B2C635"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0.0281</w:t>
            </w:r>
          </w:p>
        </w:tc>
        <w:tc>
          <w:tcPr>
            <w:tcW w:w="1249" w:type="dxa"/>
            <w:shd w:val="clear" w:color="auto" w:fill="auto"/>
            <w:noWrap/>
            <w:vAlign w:val="center"/>
          </w:tcPr>
          <w:p w14:paraId="10715612" w14:textId="040E8ABC" w:rsidR="00BE49FD" w:rsidRPr="008A703F" w:rsidRDefault="00657969" w:rsidP="00657969">
            <w:pPr>
              <w:spacing w:line="240" w:lineRule="auto"/>
              <w:contextualSpacing/>
              <w:jc w:val="center"/>
              <w:rPr>
                <w:rFonts w:ascii="Garamond" w:hAnsi="Garamond"/>
                <w:color w:val="000000"/>
              </w:rPr>
            </w:pPr>
            <w:r>
              <w:rPr>
                <w:rFonts w:ascii="Garamond" w:hAnsi="Garamond"/>
                <w:color w:val="000000"/>
              </w:rPr>
              <w:t>-0.0182</w:t>
            </w:r>
          </w:p>
        </w:tc>
        <w:tc>
          <w:tcPr>
            <w:tcW w:w="960" w:type="dxa"/>
            <w:shd w:val="clear" w:color="auto" w:fill="auto"/>
            <w:noWrap/>
            <w:vAlign w:val="center"/>
          </w:tcPr>
          <w:p w14:paraId="66FFBCF7" w14:textId="77777777" w:rsidR="00BE49FD" w:rsidRPr="008A703F" w:rsidRDefault="00BE49FD" w:rsidP="00B90008">
            <w:pPr>
              <w:spacing w:line="240" w:lineRule="auto"/>
              <w:contextualSpacing/>
              <w:jc w:val="center"/>
              <w:rPr>
                <w:rFonts w:ascii="Garamond" w:hAnsi="Garamond"/>
                <w:color w:val="000000"/>
              </w:rPr>
            </w:pPr>
            <w:r w:rsidRPr="008A703F">
              <w:rPr>
                <w:rFonts w:ascii="Garamond" w:hAnsi="Garamond"/>
                <w:color w:val="000000"/>
              </w:rPr>
              <w:t>0.7631</w:t>
            </w:r>
          </w:p>
        </w:tc>
      </w:tr>
      <w:tr w:rsidR="00BE49FD" w:rsidRPr="008A703F" w14:paraId="69B8442E" w14:textId="77777777" w:rsidTr="00B90008">
        <w:trPr>
          <w:trHeight w:val="300"/>
          <w:jc w:val="center"/>
        </w:trPr>
        <w:tc>
          <w:tcPr>
            <w:tcW w:w="1356" w:type="dxa"/>
            <w:shd w:val="clear" w:color="auto" w:fill="auto"/>
            <w:noWrap/>
            <w:vAlign w:val="bottom"/>
          </w:tcPr>
          <w:p w14:paraId="5537059B" w14:textId="77777777" w:rsidR="00BE49FD" w:rsidRPr="002170FA" w:rsidRDefault="00BE49FD" w:rsidP="00B90008">
            <w:pPr>
              <w:spacing w:line="240" w:lineRule="auto"/>
              <w:contextualSpacing/>
              <w:rPr>
                <w:rFonts w:ascii="Garamond" w:hAnsi="Garamond"/>
                <w:color w:val="000000"/>
              </w:rPr>
            </w:pPr>
          </w:p>
        </w:tc>
        <w:tc>
          <w:tcPr>
            <w:tcW w:w="1249" w:type="dxa"/>
            <w:shd w:val="clear" w:color="auto" w:fill="auto"/>
            <w:noWrap/>
            <w:vAlign w:val="bottom"/>
          </w:tcPr>
          <w:p w14:paraId="3ADEE35A" w14:textId="77777777" w:rsidR="00BE49FD" w:rsidRPr="008A703F" w:rsidRDefault="00BE49FD" w:rsidP="00B90008">
            <w:pPr>
              <w:spacing w:line="240" w:lineRule="auto"/>
              <w:contextualSpacing/>
              <w:jc w:val="right"/>
              <w:rPr>
                <w:rFonts w:ascii="Garamond" w:hAnsi="Garamond"/>
                <w:color w:val="000000"/>
              </w:rPr>
            </w:pPr>
          </w:p>
        </w:tc>
        <w:tc>
          <w:tcPr>
            <w:tcW w:w="960" w:type="dxa"/>
            <w:shd w:val="clear" w:color="auto" w:fill="auto"/>
            <w:noWrap/>
            <w:vAlign w:val="bottom"/>
          </w:tcPr>
          <w:p w14:paraId="13C4B795" w14:textId="77777777" w:rsidR="00BE49FD" w:rsidRPr="008A703F" w:rsidRDefault="00BE49FD" w:rsidP="00B90008">
            <w:pPr>
              <w:spacing w:line="240" w:lineRule="auto"/>
              <w:contextualSpacing/>
              <w:jc w:val="right"/>
              <w:rPr>
                <w:rFonts w:ascii="Garamond" w:hAnsi="Garamond"/>
                <w:color w:val="000000"/>
              </w:rPr>
            </w:pPr>
          </w:p>
        </w:tc>
        <w:tc>
          <w:tcPr>
            <w:tcW w:w="1249" w:type="dxa"/>
            <w:shd w:val="clear" w:color="auto" w:fill="auto"/>
            <w:noWrap/>
            <w:vAlign w:val="bottom"/>
          </w:tcPr>
          <w:p w14:paraId="7CC39855" w14:textId="77777777" w:rsidR="00BE49FD" w:rsidRPr="008A703F" w:rsidRDefault="00BE49FD" w:rsidP="00B90008">
            <w:pPr>
              <w:spacing w:line="240" w:lineRule="auto"/>
              <w:contextualSpacing/>
              <w:jc w:val="right"/>
              <w:rPr>
                <w:rFonts w:ascii="Garamond" w:hAnsi="Garamond"/>
                <w:color w:val="000000"/>
              </w:rPr>
            </w:pPr>
          </w:p>
        </w:tc>
        <w:tc>
          <w:tcPr>
            <w:tcW w:w="960" w:type="dxa"/>
            <w:shd w:val="clear" w:color="auto" w:fill="auto"/>
            <w:noWrap/>
            <w:vAlign w:val="bottom"/>
          </w:tcPr>
          <w:p w14:paraId="76B7E079" w14:textId="77777777" w:rsidR="00BE49FD" w:rsidRPr="008A703F" w:rsidRDefault="00BE49FD" w:rsidP="00B90008">
            <w:pPr>
              <w:spacing w:line="240" w:lineRule="auto"/>
              <w:contextualSpacing/>
              <w:jc w:val="right"/>
              <w:rPr>
                <w:rFonts w:ascii="Garamond" w:hAnsi="Garamond"/>
                <w:color w:val="000000"/>
              </w:rPr>
            </w:pPr>
          </w:p>
        </w:tc>
        <w:tc>
          <w:tcPr>
            <w:tcW w:w="1249" w:type="dxa"/>
            <w:shd w:val="clear" w:color="auto" w:fill="auto"/>
            <w:noWrap/>
            <w:vAlign w:val="bottom"/>
          </w:tcPr>
          <w:p w14:paraId="072B7BDF" w14:textId="77777777" w:rsidR="00BE49FD" w:rsidRPr="008A703F" w:rsidRDefault="00BE49FD" w:rsidP="00B90008">
            <w:pPr>
              <w:spacing w:line="240" w:lineRule="auto"/>
              <w:contextualSpacing/>
              <w:jc w:val="right"/>
              <w:rPr>
                <w:rFonts w:ascii="Garamond" w:hAnsi="Garamond"/>
                <w:color w:val="000000"/>
              </w:rPr>
            </w:pPr>
          </w:p>
        </w:tc>
        <w:tc>
          <w:tcPr>
            <w:tcW w:w="960" w:type="dxa"/>
            <w:shd w:val="clear" w:color="auto" w:fill="auto"/>
            <w:noWrap/>
            <w:vAlign w:val="bottom"/>
          </w:tcPr>
          <w:p w14:paraId="2A3BBB82" w14:textId="77777777" w:rsidR="00BE49FD" w:rsidRPr="008A703F" w:rsidRDefault="00BE49FD" w:rsidP="00B90008">
            <w:pPr>
              <w:spacing w:line="240" w:lineRule="auto"/>
              <w:contextualSpacing/>
              <w:jc w:val="right"/>
              <w:rPr>
                <w:rFonts w:ascii="Garamond" w:hAnsi="Garamond"/>
                <w:color w:val="000000"/>
              </w:rPr>
            </w:pPr>
          </w:p>
        </w:tc>
        <w:tc>
          <w:tcPr>
            <w:tcW w:w="1249" w:type="dxa"/>
            <w:shd w:val="clear" w:color="auto" w:fill="auto"/>
            <w:noWrap/>
            <w:vAlign w:val="bottom"/>
          </w:tcPr>
          <w:p w14:paraId="5095251F" w14:textId="77777777" w:rsidR="00BE49FD" w:rsidRPr="008A703F" w:rsidRDefault="00BE49FD" w:rsidP="00B90008">
            <w:pPr>
              <w:spacing w:line="240" w:lineRule="auto"/>
              <w:contextualSpacing/>
              <w:jc w:val="right"/>
              <w:rPr>
                <w:rFonts w:ascii="Garamond" w:hAnsi="Garamond"/>
                <w:color w:val="000000"/>
              </w:rPr>
            </w:pPr>
          </w:p>
        </w:tc>
        <w:tc>
          <w:tcPr>
            <w:tcW w:w="960" w:type="dxa"/>
            <w:shd w:val="clear" w:color="auto" w:fill="auto"/>
            <w:noWrap/>
            <w:vAlign w:val="bottom"/>
          </w:tcPr>
          <w:p w14:paraId="04BDE743" w14:textId="77777777" w:rsidR="00BE49FD" w:rsidRPr="008A703F" w:rsidRDefault="00BE49FD" w:rsidP="00B90008">
            <w:pPr>
              <w:spacing w:line="240" w:lineRule="auto"/>
              <w:contextualSpacing/>
              <w:jc w:val="right"/>
              <w:rPr>
                <w:rFonts w:ascii="Garamond" w:hAnsi="Garamond"/>
                <w:color w:val="000000"/>
              </w:rPr>
            </w:pPr>
          </w:p>
        </w:tc>
        <w:tc>
          <w:tcPr>
            <w:tcW w:w="1249" w:type="dxa"/>
            <w:shd w:val="clear" w:color="auto" w:fill="auto"/>
            <w:noWrap/>
            <w:vAlign w:val="bottom"/>
          </w:tcPr>
          <w:p w14:paraId="045DB662" w14:textId="77777777" w:rsidR="00BE49FD" w:rsidRPr="008A703F" w:rsidRDefault="00BE49FD" w:rsidP="00B90008">
            <w:pPr>
              <w:spacing w:line="240" w:lineRule="auto"/>
              <w:contextualSpacing/>
              <w:jc w:val="right"/>
              <w:rPr>
                <w:rFonts w:ascii="Garamond" w:hAnsi="Garamond"/>
                <w:color w:val="000000"/>
              </w:rPr>
            </w:pPr>
          </w:p>
        </w:tc>
        <w:tc>
          <w:tcPr>
            <w:tcW w:w="960" w:type="dxa"/>
            <w:shd w:val="clear" w:color="auto" w:fill="auto"/>
            <w:noWrap/>
            <w:vAlign w:val="bottom"/>
          </w:tcPr>
          <w:p w14:paraId="1A2A7431" w14:textId="77777777" w:rsidR="00BE49FD" w:rsidRPr="008A703F" w:rsidRDefault="00BE49FD" w:rsidP="00B90008">
            <w:pPr>
              <w:spacing w:line="240" w:lineRule="auto"/>
              <w:contextualSpacing/>
              <w:jc w:val="right"/>
              <w:rPr>
                <w:rFonts w:ascii="Garamond" w:hAnsi="Garamond"/>
                <w:color w:val="000000"/>
              </w:rPr>
            </w:pPr>
          </w:p>
        </w:tc>
      </w:tr>
    </w:tbl>
    <w:p w14:paraId="5D1C8462" w14:textId="77777777" w:rsidR="00BE49FD" w:rsidRPr="00631120" w:rsidRDefault="00BE49FD" w:rsidP="00BE49FD">
      <w:pPr>
        <w:spacing w:line="360" w:lineRule="auto"/>
        <w:ind w:firstLine="720"/>
        <w:jc w:val="both"/>
        <w:rPr>
          <w:rFonts w:ascii="Garamond" w:hAnsi="Garamond"/>
        </w:rPr>
      </w:pPr>
      <w:r w:rsidRPr="00631120">
        <w:rPr>
          <w:rFonts w:ascii="Garamond" w:hAnsi="Garamond"/>
          <w:i/>
        </w:rPr>
        <w:t>Note</w:t>
      </w:r>
      <w:r w:rsidRPr="00631120">
        <w:rPr>
          <w:rFonts w:ascii="Garamond" w:hAnsi="Garamond"/>
        </w:rPr>
        <w:t>:</w:t>
      </w:r>
      <w:r>
        <w:rPr>
          <w:rFonts w:ascii="Garamond" w:hAnsi="Garamond"/>
        </w:rPr>
        <w:t xml:space="preserve"> T</w:t>
      </w:r>
      <w:r w:rsidRPr="00631120">
        <w:rPr>
          <w:rFonts w:ascii="Garamond" w:hAnsi="Garamond"/>
        </w:rPr>
        <w:t>his table summarize the</w:t>
      </w:r>
      <w:r>
        <w:rPr>
          <w:rFonts w:ascii="Garamond" w:hAnsi="Garamond"/>
        </w:rPr>
        <w:t xml:space="preserve"> average</w:t>
      </w:r>
      <w:r w:rsidRPr="00631120">
        <w:rPr>
          <w:rFonts w:ascii="Garamond" w:hAnsi="Garamond"/>
        </w:rPr>
        <w:t xml:space="preserve"> interaction term </w:t>
      </w:r>
      <m:oMath>
        <m:r>
          <w:rPr>
            <w:rFonts w:ascii="Cambria Math" w:hAnsi="Cambria Math"/>
          </w:rPr>
          <m:t>(</m:t>
        </m:r>
        <m:sSub>
          <m:sSubPr>
            <m:ctrlPr>
              <w:rPr>
                <w:rFonts w:ascii="Cambria Math" w:hAnsi="Cambria Math"/>
                <w:i/>
              </w:rPr>
            </m:ctrlPr>
          </m:sSubPr>
          <m:e>
            <m:r>
              <w:rPr>
                <w:rFonts w:ascii="Cambria Math" w:hAnsi="Cambria Math"/>
              </w:rPr>
              <m:t>Int</m:t>
            </m:r>
          </m:e>
          <m:sub>
            <m:r>
              <w:rPr>
                <w:rFonts w:ascii="Cambria Math" w:hAnsi="Cambria Math"/>
              </w:rPr>
              <m:t>i,t-1</m:t>
            </m:r>
          </m:sub>
        </m:sSub>
        <m:r>
          <w:rPr>
            <w:rFonts w:ascii="Cambria Math" w:hAnsi="Cambria Math"/>
          </w:rPr>
          <m:t>)</m:t>
        </m:r>
      </m:oMath>
      <w:r w:rsidRPr="00631120">
        <w:rPr>
          <w:rFonts w:ascii="Garamond" w:hAnsi="Garamond"/>
        </w:rPr>
        <w:t xml:space="preserve"> found in each panel estimation for each (il)liquidity model</w:t>
      </w:r>
      <w:r>
        <w:rPr>
          <w:rFonts w:ascii="Garamond" w:hAnsi="Garamond"/>
        </w:rPr>
        <w:t xml:space="preserve"> for each market using equation 6 and 7. ***, ** and * indicates significance at the 1%, 5% and 10% levels based on average t-statistics.</w:t>
      </w:r>
    </w:p>
    <w:p w14:paraId="2A0F7E1E" w14:textId="77777777" w:rsidR="00BE49FD" w:rsidRDefault="00BE49FD" w:rsidP="00BE49FD">
      <w:pPr>
        <w:spacing w:line="360" w:lineRule="auto"/>
        <w:jc w:val="both"/>
        <w:rPr>
          <w:rFonts w:ascii="Garamond" w:hAnsi="Garamond"/>
          <w:sz w:val="24"/>
          <w:szCs w:val="24"/>
        </w:rPr>
      </w:pPr>
    </w:p>
    <w:p w14:paraId="2F66088F" w14:textId="77777777" w:rsidR="00BE49FD" w:rsidRDefault="00BE49FD" w:rsidP="00BE49FD">
      <w:pPr>
        <w:spacing w:line="360" w:lineRule="auto"/>
        <w:jc w:val="both"/>
        <w:rPr>
          <w:rFonts w:ascii="Garamond" w:hAnsi="Garamond"/>
          <w:sz w:val="24"/>
          <w:szCs w:val="24"/>
        </w:rPr>
        <w:sectPr w:rsidR="00BE49FD" w:rsidSect="00B90008">
          <w:pgSz w:w="16838" w:h="11906" w:orient="landscape"/>
          <w:pgMar w:top="1440" w:right="1440" w:bottom="1440" w:left="1440" w:header="709" w:footer="709" w:gutter="0"/>
          <w:cols w:space="708"/>
          <w:docGrid w:linePitch="360"/>
        </w:sectPr>
      </w:pPr>
    </w:p>
    <w:p w14:paraId="7863309C" w14:textId="63E0A4C8" w:rsidR="00BE49FD" w:rsidRDefault="00BE49FD" w:rsidP="00BE49FD">
      <w:pPr>
        <w:spacing w:line="360" w:lineRule="auto"/>
        <w:jc w:val="both"/>
        <w:rPr>
          <w:rFonts w:ascii="Garamond" w:hAnsi="Garamond"/>
          <w:sz w:val="24"/>
          <w:szCs w:val="24"/>
        </w:rPr>
      </w:pPr>
      <w:r>
        <w:rPr>
          <w:rFonts w:ascii="Garamond" w:hAnsi="Garamond"/>
          <w:sz w:val="24"/>
          <w:szCs w:val="24"/>
        </w:rPr>
        <w:lastRenderedPageBreak/>
        <w:t xml:space="preserve">Under an expansionary fiscal policy, government intervenes directly or indirectly to increase market liquidity and further to increase investors’ and firms’ access to credit (see Spilimbergo et al., 2009; Blanchard et al., 2010). Private borrowing, therefore, is a direct measure of the banking sector’s ability and willingness to loosen credit standards following a budgetary shock (Gagnon and Gimet, 2013). On average our results from eight Asian equity markets for private borrowing are much in agreement with these empirical arguments. In our sample markets, liquidity (i.e. trading volume and turnover rate) across all portfolios increases due to </w:t>
      </w:r>
      <w:r w:rsidR="00D83947">
        <w:rPr>
          <w:rFonts w:ascii="Garamond" w:hAnsi="Garamond"/>
          <w:sz w:val="24"/>
          <w:szCs w:val="24"/>
        </w:rPr>
        <w:t xml:space="preserve">a greater opportunity for </w:t>
      </w:r>
      <w:r>
        <w:rPr>
          <w:rFonts w:ascii="Garamond" w:hAnsi="Garamond"/>
          <w:sz w:val="24"/>
          <w:szCs w:val="24"/>
        </w:rPr>
        <w:t>private borrowing</w:t>
      </w:r>
      <w:r w:rsidR="00D83947">
        <w:rPr>
          <w:rFonts w:ascii="Garamond" w:hAnsi="Garamond"/>
          <w:sz w:val="24"/>
          <w:szCs w:val="24"/>
        </w:rPr>
        <w:t>,</w:t>
      </w:r>
      <w:r>
        <w:rPr>
          <w:rFonts w:ascii="Garamond" w:hAnsi="Garamond"/>
          <w:sz w:val="24"/>
          <w:szCs w:val="24"/>
        </w:rPr>
        <w:t xml:space="preserve"> and many of these results are statistically significant. Similarly, Amihud’s (2002) illiquidity significantly decreases for larger (top 40) and smaller (bottom 40) stocks. However, results for the Bangladesh market </w:t>
      </w:r>
      <w:r w:rsidR="00D83947">
        <w:rPr>
          <w:rFonts w:ascii="Garamond" w:hAnsi="Garamond"/>
          <w:sz w:val="24"/>
          <w:szCs w:val="24"/>
        </w:rPr>
        <w:t>are</w:t>
      </w:r>
      <w:r>
        <w:rPr>
          <w:rFonts w:ascii="Garamond" w:hAnsi="Garamond"/>
          <w:sz w:val="24"/>
          <w:szCs w:val="24"/>
        </w:rPr>
        <w:t xml:space="preserve"> not </w:t>
      </w:r>
      <w:r w:rsidR="00D83947">
        <w:rPr>
          <w:rFonts w:ascii="Garamond" w:hAnsi="Garamond"/>
          <w:sz w:val="24"/>
          <w:szCs w:val="24"/>
        </w:rPr>
        <w:t>a</w:t>
      </w:r>
      <w:r>
        <w:rPr>
          <w:rFonts w:ascii="Garamond" w:hAnsi="Garamond"/>
          <w:sz w:val="24"/>
          <w:szCs w:val="24"/>
        </w:rPr>
        <w:t>s expected.</w:t>
      </w:r>
    </w:p>
    <w:p w14:paraId="104CC8A3" w14:textId="0822192C" w:rsidR="00BE49FD" w:rsidRDefault="00BE49FD" w:rsidP="00BE49FD">
      <w:pPr>
        <w:spacing w:line="360" w:lineRule="auto"/>
        <w:jc w:val="both"/>
        <w:rPr>
          <w:rFonts w:ascii="Garamond" w:hAnsi="Garamond"/>
          <w:sz w:val="24"/>
          <w:szCs w:val="24"/>
        </w:rPr>
      </w:pPr>
      <w:r>
        <w:rPr>
          <w:rFonts w:ascii="Garamond" w:hAnsi="Garamond"/>
          <w:sz w:val="24"/>
          <w:szCs w:val="24"/>
        </w:rPr>
        <w:t>Table</w:t>
      </w:r>
      <w:r w:rsidR="00D83947">
        <w:rPr>
          <w:rFonts w:ascii="Garamond" w:hAnsi="Garamond"/>
          <w:sz w:val="24"/>
          <w:szCs w:val="24"/>
        </w:rPr>
        <w:t>s</w:t>
      </w:r>
      <w:r>
        <w:rPr>
          <w:rFonts w:ascii="Garamond" w:hAnsi="Garamond"/>
          <w:sz w:val="24"/>
          <w:szCs w:val="24"/>
        </w:rPr>
        <w:t xml:space="preserve"> 7 and 8 also report the results of other macroeconomic and control variables. Results indicate significance</w:t>
      </w:r>
      <w:r w:rsidR="00D83947">
        <w:rPr>
          <w:rFonts w:ascii="Garamond" w:hAnsi="Garamond"/>
          <w:sz w:val="24"/>
          <w:szCs w:val="24"/>
        </w:rPr>
        <w:t xml:space="preserve"> for factors</w:t>
      </w:r>
      <w:r>
        <w:rPr>
          <w:rFonts w:ascii="Garamond" w:hAnsi="Garamond"/>
          <w:sz w:val="24"/>
          <w:szCs w:val="24"/>
        </w:rPr>
        <w:t xml:space="preserve"> other than monetary and fiscal poli</w:t>
      </w:r>
      <w:r w:rsidR="00D83947">
        <w:rPr>
          <w:rFonts w:ascii="Garamond" w:hAnsi="Garamond"/>
          <w:sz w:val="24"/>
          <w:szCs w:val="24"/>
        </w:rPr>
        <w:t>cy variables on stock liquidity</w:t>
      </w:r>
      <w:r>
        <w:rPr>
          <w:rFonts w:ascii="Garamond" w:hAnsi="Garamond"/>
          <w:sz w:val="24"/>
          <w:szCs w:val="24"/>
        </w:rPr>
        <w:t xml:space="preserve">, for example industrial production has much influence on the (il)liquidity measures of firms. The average impact of stock returns, volatility, market capitalization, inflation and market index are all different on respective (il)liquidity ratios.  However, in many instances, both liquidity and illiquidity measures are found to be strongly affected by own-lagged value, market capitalization, volatility and market index, which </w:t>
      </w:r>
      <w:r w:rsidR="008422FE">
        <w:rPr>
          <w:rFonts w:ascii="Garamond" w:hAnsi="Garamond"/>
          <w:sz w:val="24"/>
          <w:szCs w:val="24"/>
        </w:rPr>
        <w:t>is</w:t>
      </w:r>
      <w:r>
        <w:rPr>
          <w:rFonts w:ascii="Garamond" w:hAnsi="Garamond"/>
          <w:sz w:val="24"/>
          <w:szCs w:val="24"/>
        </w:rPr>
        <w:t xml:space="preserve"> consistent with </w:t>
      </w:r>
      <w:r w:rsidR="008422FE">
        <w:rPr>
          <w:rFonts w:ascii="Garamond" w:hAnsi="Garamond"/>
          <w:sz w:val="24"/>
          <w:szCs w:val="24"/>
        </w:rPr>
        <w:t xml:space="preserve">the results of </w:t>
      </w:r>
      <w:r>
        <w:rPr>
          <w:rFonts w:ascii="Garamond" w:hAnsi="Garamond"/>
          <w:sz w:val="24"/>
          <w:szCs w:val="24"/>
        </w:rPr>
        <w:t xml:space="preserve">many earlier researchers, e.g. Chordia et al. (2005) and Fernández-Amador et al., (2013).     </w:t>
      </w:r>
    </w:p>
    <w:p w14:paraId="6CB9C158" w14:textId="77777777" w:rsidR="00BE49FD" w:rsidRPr="005C5E85" w:rsidRDefault="00BE49FD" w:rsidP="00BE49FD">
      <w:pPr>
        <w:pStyle w:val="Heading3"/>
        <w:spacing w:after="200" w:line="360" w:lineRule="auto"/>
        <w:ind w:firstLine="720"/>
        <w:rPr>
          <w:rFonts w:ascii="Garamond" w:hAnsi="Garamond"/>
          <w:color w:val="auto"/>
          <w:sz w:val="24"/>
          <w:szCs w:val="24"/>
        </w:rPr>
      </w:pPr>
      <w:bookmarkStart w:id="17" w:name="_Toc399683685"/>
      <w:r>
        <w:rPr>
          <w:rFonts w:ascii="Garamond" w:hAnsi="Garamond"/>
          <w:color w:val="auto"/>
          <w:sz w:val="24"/>
          <w:szCs w:val="24"/>
        </w:rPr>
        <w:t>3</w:t>
      </w:r>
      <w:r w:rsidRPr="005C5E85">
        <w:rPr>
          <w:rFonts w:ascii="Garamond" w:hAnsi="Garamond"/>
          <w:color w:val="auto"/>
          <w:sz w:val="24"/>
          <w:szCs w:val="24"/>
        </w:rPr>
        <w:t>.3.2 Influence of monetary and fiscal policy variables on Industries</w:t>
      </w:r>
      <w:bookmarkEnd w:id="17"/>
    </w:p>
    <w:p w14:paraId="2D3B4CA6" w14:textId="419AD357" w:rsidR="00BE49FD" w:rsidRDefault="00BE49FD" w:rsidP="00BE49FD">
      <w:pPr>
        <w:spacing w:line="360" w:lineRule="auto"/>
        <w:jc w:val="both"/>
        <w:rPr>
          <w:rFonts w:ascii="Garamond" w:hAnsi="Garamond"/>
          <w:sz w:val="24"/>
          <w:szCs w:val="24"/>
        </w:rPr>
      </w:pPr>
      <w:r>
        <w:rPr>
          <w:rFonts w:ascii="Garamond" w:hAnsi="Garamond"/>
          <w:sz w:val="24"/>
          <w:szCs w:val="24"/>
        </w:rPr>
        <w:t>In this final section</w:t>
      </w:r>
      <w:r w:rsidR="008422FE">
        <w:rPr>
          <w:rFonts w:ascii="Garamond" w:hAnsi="Garamond"/>
          <w:sz w:val="24"/>
          <w:szCs w:val="24"/>
        </w:rPr>
        <w:t xml:space="preserve"> of results</w:t>
      </w:r>
      <w:r>
        <w:rPr>
          <w:rFonts w:ascii="Garamond" w:hAnsi="Garamond"/>
          <w:sz w:val="24"/>
          <w:szCs w:val="24"/>
        </w:rPr>
        <w:t xml:space="preserve">, we investigate the influence of macroeconomic management policy variables on (il)liquidity at industry level. Surprisingly, a gap in our knowledge exists in this area of </w:t>
      </w:r>
      <w:r w:rsidR="008422FE">
        <w:rPr>
          <w:rFonts w:ascii="Garamond" w:hAnsi="Garamond"/>
          <w:sz w:val="24"/>
          <w:szCs w:val="24"/>
        </w:rPr>
        <w:t xml:space="preserve">the </w:t>
      </w:r>
      <w:r>
        <w:rPr>
          <w:rFonts w:ascii="Garamond" w:hAnsi="Garamond"/>
          <w:sz w:val="24"/>
          <w:szCs w:val="24"/>
        </w:rPr>
        <w:t>relationship; however, earlier studies have highlighted the impact of monetary and fiscal policy on various characteristics of industries. For example, Ehrmann and Fratzscher (2004) show that there are strong industry-specific effects of monetary policy and the effect on market returns is likely to differ across industries. Firms in cyclical industries, capital-intensive industries, and industries that are relatively open to international trade tend to be affected more strongly. They further added that interest rate, exchange rate, and cost of capital affect the expected future earnings in different ways across industries. Dedola and Lippi (2005) find that the impact of monetary policy is stronger in industries that produce durable goods, have greater financing requirements, and lower borrowing capacity. Similarly, many recent studies, such as Belo et al. (2013) and Aghion et al. (2014) explain and document the impact of fiscal policy on different industries.</w:t>
      </w:r>
    </w:p>
    <w:p w14:paraId="56F8438F" w14:textId="0CD3BF63" w:rsidR="00BE49FD" w:rsidRDefault="00BE49FD" w:rsidP="00BE49FD">
      <w:pPr>
        <w:spacing w:line="360" w:lineRule="auto"/>
        <w:jc w:val="both"/>
        <w:rPr>
          <w:rFonts w:ascii="Garamond" w:hAnsi="Garamond"/>
          <w:sz w:val="24"/>
          <w:szCs w:val="24"/>
        </w:rPr>
      </w:pPr>
      <w:r>
        <w:rPr>
          <w:rFonts w:ascii="Garamond" w:hAnsi="Garamond"/>
          <w:sz w:val="24"/>
          <w:szCs w:val="24"/>
        </w:rPr>
        <w:lastRenderedPageBreak/>
        <w:t xml:space="preserve">In Table 10 we present the panel estimation for (il)liquidity measures classified into three major industries traded on the Asian stock markets of our sample, namely the financial, manufacturing and service sectors. To explain the influence of monetary and fiscal policy on each (il)liquidity ratio, we report the average of median values under each category. That means we run panel regressions for four (il)liquidity measures and three monetary policy variables (i.e. base money, bank rate and short-term interest rate), calculate their median values and then </w:t>
      </w:r>
      <w:r w:rsidR="008422FE">
        <w:rPr>
          <w:rFonts w:ascii="Garamond" w:hAnsi="Garamond"/>
          <w:sz w:val="24"/>
          <w:szCs w:val="24"/>
        </w:rPr>
        <w:t>t</w:t>
      </w:r>
      <w:r>
        <w:rPr>
          <w:rFonts w:ascii="Garamond" w:hAnsi="Garamond"/>
          <w:sz w:val="24"/>
          <w:szCs w:val="24"/>
        </w:rPr>
        <w:t>ake the average for all markets. Similarly, we show the average of median values of panel regressions for three fiscal policy variables (i.e. government expenditure, government borrowing and private borrowing) and four (il)liquidity measures.</w:t>
      </w:r>
    </w:p>
    <w:p w14:paraId="0D44BB31" w14:textId="329A0C4F" w:rsidR="00BE49FD" w:rsidRDefault="00BE49FD" w:rsidP="00BE49FD">
      <w:pPr>
        <w:spacing w:line="360" w:lineRule="auto"/>
        <w:jc w:val="both"/>
        <w:rPr>
          <w:rFonts w:ascii="Garamond" w:hAnsi="Garamond"/>
          <w:sz w:val="24"/>
          <w:szCs w:val="24"/>
        </w:rPr>
      </w:pPr>
      <w:r>
        <w:rPr>
          <w:rFonts w:ascii="Garamond" w:hAnsi="Garamond"/>
          <w:sz w:val="24"/>
          <w:szCs w:val="24"/>
        </w:rPr>
        <w:t xml:space="preserve">Group A of Table 10 details the results related to financial industries. We see that all four monetary policy variables on average are statistically significant for three (il)liquidity measures, however, none of the fiscal variables are found to be significant. </w:t>
      </w:r>
      <w:r w:rsidR="008422FE">
        <w:rPr>
          <w:rFonts w:ascii="Garamond" w:hAnsi="Garamond"/>
          <w:sz w:val="24"/>
          <w:szCs w:val="24"/>
        </w:rPr>
        <w:t>T</w:t>
      </w:r>
      <w:r>
        <w:rPr>
          <w:rFonts w:ascii="Garamond" w:hAnsi="Garamond"/>
          <w:sz w:val="24"/>
          <w:szCs w:val="24"/>
        </w:rPr>
        <w:t xml:space="preserve">his fact is true for Bangladesh, India, Indonesia, Pakistan, Taiwan and Thailand. We find only illiquidity ratios are statistically significant for </w:t>
      </w:r>
      <w:smartTag w:uri="urn:schemas-microsoft-com:office:smarttags" w:element="country-region">
        <w:r>
          <w:rPr>
            <w:rFonts w:ascii="Garamond" w:hAnsi="Garamond"/>
            <w:sz w:val="24"/>
            <w:szCs w:val="24"/>
          </w:rPr>
          <w:t>Malaysia</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South Korea</w:t>
          </w:r>
        </w:smartTag>
      </w:smartTag>
      <w:r>
        <w:rPr>
          <w:rFonts w:ascii="Garamond" w:hAnsi="Garamond"/>
          <w:sz w:val="24"/>
          <w:szCs w:val="24"/>
        </w:rPr>
        <w:t xml:space="preserve">. </w:t>
      </w:r>
      <w:r w:rsidRPr="000D27AE">
        <w:rPr>
          <w:rFonts w:ascii="Garamond" w:hAnsi="Garamond"/>
          <w:sz w:val="24"/>
          <w:szCs w:val="24"/>
        </w:rPr>
        <w:t xml:space="preserve">Besides, individually, only </w:t>
      </w:r>
      <w:r>
        <w:rPr>
          <w:rFonts w:ascii="Garamond" w:hAnsi="Garamond"/>
          <w:sz w:val="24"/>
          <w:szCs w:val="24"/>
        </w:rPr>
        <w:t xml:space="preserve">the </w:t>
      </w:r>
      <w:r w:rsidRPr="000D27AE">
        <w:rPr>
          <w:rFonts w:ascii="Garamond" w:hAnsi="Garamond"/>
          <w:sz w:val="24"/>
          <w:szCs w:val="24"/>
        </w:rPr>
        <w:t>(il)liquidity of India</w:t>
      </w:r>
      <w:r>
        <w:rPr>
          <w:rFonts w:ascii="Garamond" w:hAnsi="Garamond"/>
          <w:sz w:val="24"/>
          <w:szCs w:val="24"/>
        </w:rPr>
        <w:t>n</w:t>
      </w:r>
      <w:r w:rsidRPr="000D27AE">
        <w:rPr>
          <w:rFonts w:ascii="Garamond" w:hAnsi="Garamond"/>
          <w:sz w:val="24"/>
          <w:szCs w:val="24"/>
        </w:rPr>
        <w:t>, Pakistan</w:t>
      </w:r>
      <w:r>
        <w:rPr>
          <w:rFonts w:ascii="Garamond" w:hAnsi="Garamond"/>
          <w:sz w:val="24"/>
          <w:szCs w:val="24"/>
        </w:rPr>
        <w:t>i</w:t>
      </w:r>
      <w:r w:rsidRPr="000D27AE">
        <w:rPr>
          <w:rFonts w:ascii="Garamond" w:hAnsi="Garamond"/>
          <w:sz w:val="24"/>
          <w:szCs w:val="24"/>
        </w:rPr>
        <w:t xml:space="preserve"> and Taiwanese markets are affected strongly by government expenditure and private borrowing along with monetary policies. Intuitively, that indicates changes in monetary policy exert </w:t>
      </w:r>
      <w:r>
        <w:rPr>
          <w:rFonts w:ascii="Garamond" w:hAnsi="Garamond"/>
          <w:sz w:val="24"/>
          <w:szCs w:val="24"/>
        </w:rPr>
        <w:t xml:space="preserve">a </w:t>
      </w:r>
      <w:r w:rsidRPr="000D27AE">
        <w:rPr>
          <w:rFonts w:ascii="Garamond" w:hAnsi="Garamond"/>
          <w:sz w:val="24"/>
          <w:szCs w:val="24"/>
        </w:rPr>
        <w:t xml:space="preserve">stronger impact on the liquidity and illiquidity of </w:t>
      </w:r>
      <w:r w:rsidR="008422FE">
        <w:rPr>
          <w:rFonts w:ascii="Garamond" w:hAnsi="Garamond"/>
          <w:sz w:val="24"/>
          <w:szCs w:val="24"/>
        </w:rPr>
        <w:t xml:space="preserve">the </w:t>
      </w:r>
      <w:r w:rsidRPr="000D27AE">
        <w:rPr>
          <w:rFonts w:ascii="Garamond" w:hAnsi="Garamond"/>
          <w:sz w:val="24"/>
          <w:szCs w:val="24"/>
        </w:rPr>
        <w:t xml:space="preserve">financial sector regardless </w:t>
      </w:r>
      <w:r w:rsidR="008422FE">
        <w:rPr>
          <w:rFonts w:ascii="Garamond" w:hAnsi="Garamond"/>
          <w:sz w:val="24"/>
          <w:szCs w:val="24"/>
        </w:rPr>
        <w:t>of</w:t>
      </w:r>
      <w:r w:rsidRPr="000D27AE">
        <w:rPr>
          <w:rFonts w:ascii="Garamond" w:hAnsi="Garamond"/>
          <w:sz w:val="24"/>
          <w:szCs w:val="24"/>
        </w:rPr>
        <w:t xml:space="preserve"> the country</w:t>
      </w:r>
      <w:r w:rsidR="008422FE">
        <w:rPr>
          <w:rFonts w:ascii="Garamond" w:hAnsi="Garamond"/>
          <w:sz w:val="24"/>
          <w:szCs w:val="24"/>
        </w:rPr>
        <w:t>-</w:t>
      </w:r>
      <w:r w:rsidRPr="000D27AE">
        <w:rPr>
          <w:rFonts w:ascii="Garamond" w:hAnsi="Garamond"/>
          <w:sz w:val="24"/>
          <w:szCs w:val="24"/>
        </w:rPr>
        <w:t xml:space="preserve">specific characteristics. This is in line with our hypothesis </w:t>
      </w:r>
      <w:r>
        <w:rPr>
          <w:rFonts w:ascii="Garamond" w:hAnsi="Garamond"/>
          <w:sz w:val="24"/>
          <w:szCs w:val="24"/>
        </w:rPr>
        <w:t>and empirical evidence. As suggested in Blanchard et al. (2010), expansionary policy can influence the liquidity of bank and non-bank institutions. From an investment perspective, this can further increase the borrowing capacity of investors (see Spilimbergo et al., 2009; Gagnon and Gimet, 2013) as credit constraints are minimized and loose monetary policy enhance</w:t>
      </w:r>
      <w:r w:rsidR="008422FE">
        <w:rPr>
          <w:rFonts w:ascii="Garamond" w:hAnsi="Garamond"/>
          <w:sz w:val="24"/>
          <w:szCs w:val="24"/>
        </w:rPr>
        <w:t>s</w:t>
      </w:r>
      <w:r>
        <w:rPr>
          <w:rFonts w:ascii="Garamond" w:hAnsi="Garamond"/>
          <w:sz w:val="24"/>
          <w:szCs w:val="24"/>
        </w:rPr>
        <w:t xml:space="preserve"> the ability of banks to generate more loans to the private sector. In addition, financial institutions are also strong investors in the equity market. Therefore, any news related to central bank policy should influence the market liquidity for financial institutions. The sensitivity of bank liquidity to the central bank’s interest rate policy is also highlighted in Florackis et al. (2011). Altogether, </w:t>
      </w:r>
      <w:r w:rsidR="008422FE">
        <w:rPr>
          <w:rFonts w:ascii="Garamond" w:hAnsi="Garamond"/>
          <w:sz w:val="24"/>
          <w:szCs w:val="24"/>
        </w:rPr>
        <w:t xml:space="preserve">the </w:t>
      </w:r>
      <w:r>
        <w:rPr>
          <w:rFonts w:ascii="Garamond" w:hAnsi="Garamond"/>
          <w:sz w:val="24"/>
          <w:szCs w:val="24"/>
        </w:rPr>
        <w:t xml:space="preserve">results reported in Group A of Table </w:t>
      </w:r>
      <w:r w:rsidR="008422FE">
        <w:rPr>
          <w:rFonts w:ascii="Garamond" w:hAnsi="Garamond"/>
          <w:sz w:val="24"/>
          <w:szCs w:val="24"/>
        </w:rPr>
        <w:t>10</w:t>
      </w:r>
      <w:r>
        <w:rPr>
          <w:rFonts w:ascii="Garamond" w:hAnsi="Garamond"/>
          <w:sz w:val="24"/>
          <w:szCs w:val="24"/>
        </w:rPr>
        <w:t xml:space="preserve"> are further in line with </w:t>
      </w:r>
      <w:r w:rsidR="008422FE">
        <w:rPr>
          <w:rFonts w:ascii="Garamond" w:hAnsi="Garamond"/>
          <w:sz w:val="24"/>
          <w:szCs w:val="24"/>
        </w:rPr>
        <w:t xml:space="preserve">the </w:t>
      </w:r>
      <w:r>
        <w:rPr>
          <w:rFonts w:ascii="Garamond" w:hAnsi="Garamond"/>
          <w:sz w:val="24"/>
          <w:szCs w:val="24"/>
        </w:rPr>
        <w:t xml:space="preserve">results from the previous section. We see monetary policies have a heterogeneous impact on market liquidity and the impact largely depends on which policy is being employed. In addition, financial institutions are mostly larger firms and Table 7 shows that </w:t>
      </w:r>
      <w:r w:rsidR="008422FE">
        <w:rPr>
          <w:rFonts w:ascii="Garamond" w:hAnsi="Garamond"/>
          <w:sz w:val="24"/>
          <w:szCs w:val="24"/>
        </w:rPr>
        <w:t xml:space="preserve">the </w:t>
      </w:r>
      <w:r>
        <w:rPr>
          <w:rFonts w:ascii="Garamond" w:hAnsi="Garamond"/>
          <w:sz w:val="24"/>
          <w:szCs w:val="24"/>
        </w:rPr>
        <w:t xml:space="preserve">liquidity </w:t>
      </w:r>
      <w:r w:rsidR="008422FE">
        <w:rPr>
          <w:rFonts w:ascii="Garamond" w:hAnsi="Garamond"/>
          <w:sz w:val="24"/>
          <w:szCs w:val="24"/>
        </w:rPr>
        <w:t xml:space="preserve">of </w:t>
      </w:r>
      <w:r>
        <w:rPr>
          <w:rFonts w:ascii="Garamond" w:hAnsi="Garamond"/>
          <w:sz w:val="24"/>
          <w:szCs w:val="24"/>
        </w:rPr>
        <w:t xml:space="preserve">larger firms </w:t>
      </w:r>
      <w:r w:rsidR="008422FE">
        <w:rPr>
          <w:rFonts w:ascii="Garamond" w:hAnsi="Garamond"/>
          <w:sz w:val="24"/>
          <w:szCs w:val="24"/>
        </w:rPr>
        <w:t>is</w:t>
      </w:r>
      <w:r>
        <w:rPr>
          <w:rFonts w:ascii="Garamond" w:hAnsi="Garamond"/>
          <w:sz w:val="24"/>
          <w:szCs w:val="24"/>
        </w:rPr>
        <w:t xml:space="preserve"> positively (negatively) associated with expansionary (contractionary) monetary policy. </w:t>
      </w:r>
    </w:p>
    <w:p w14:paraId="20CDEC0B" w14:textId="203C8BF2" w:rsidR="00BE49FD" w:rsidRPr="00A07320" w:rsidRDefault="00BE49FD" w:rsidP="00BE49FD">
      <w:pPr>
        <w:spacing w:line="360" w:lineRule="auto"/>
        <w:jc w:val="both"/>
        <w:rPr>
          <w:rFonts w:ascii="Garamond" w:hAnsi="Garamond"/>
          <w:sz w:val="24"/>
          <w:szCs w:val="24"/>
        </w:rPr>
      </w:pPr>
      <w:r>
        <w:rPr>
          <w:rFonts w:ascii="Garamond" w:hAnsi="Garamond"/>
          <w:sz w:val="24"/>
          <w:szCs w:val="24"/>
        </w:rPr>
        <w:t xml:space="preserve">Groups B and C of Table 10 respectively summarize the average results of panel estimations of (il)liquidity measures related to the manufacturing and service sectors of our sample markets. </w:t>
      </w:r>
      <w:r>
        <w:rPr>
          <w:rFonts w:ascii="Garamond" w:hAnsi="Garamond"/>
          <w:sz w:val="24"/>
          <w:szCs w:val="24"/>
        </w:rPr>
        <w:lastRenderedPageBreak/>
        <w:t xml:space="preserve">Results indicate the manufacturing sector is most sensitive to any policy changes by the government and </w:t>
      </w:r>
      <w:r w:rsidRPr="00A07320">
        <w:rPr>
          <w:rFonts w:ascii="Garamond" w:hAnsi="Garamond"/>
          <w:sz w:val="24"/>
          <w:szCs w:val="24"/>
        </w:rPr>
        <w:t>central bank among all three industr</w:t>
      </w:r>
      <w:r w:rsidR="008422FE">
        <w:rPr>
          <w:rFonts w:ascii="Garamond" w:hAnsi="Garamond"/>
          <w:sz w:val="24"/>
          <w:szCs w:val="24"/>
        </w:rPr>
        <w:t>y</w:t>
      </w:r>
      <w:r w:rsidRPr="00A07320">
        <w:rPr>
          <w:rFonts w:ascii="Garamond" w:hAnsi="Garamond"/>
          <w:sz w:val="24"/>
          <w:szCs w:val="24"/>
        </w:rPr>
        <w:t xml:space="preserve"> categories, yet </w:t>
      </w:r>
      <w:r>
        <w:rPr>
          <w:rFonts w:ascii="Garamond" w:hAnsi="Garamond"/>
          <w:sz w:val="24"/>
          <w:szCs w:val="24"/>
        </w:rPr>
        <w:t xml:space="preserve">the </w:t>
      </w:r>
      <w:r w:rsidRPr="00A07320">
        <w:rPr>
          <w:rFonts w:ascii="Garamond" w:hAnsi="Garamond"/>
          <w:sz w:val="24"/>
          <w:szCs w:val="24"/>
        </w:rPr>
        <w:t>service sector is least sensitive. Group B shows that on average fiscal policy significantly influence</w:t>
      </w:r>
      <w:r>
        <w:rPr>
          <w:rFonts w:ascii="Garamond" w:hAnsi="Garamond"/>
          <w:sz w:val="24"/>
          <w:szCs w:val="24"/>
        </w:rPr>
        <w:t>s</w:t>
      </w:r>
      <w:r w:rsidRPr="00A07320">
        <w:rPr>
          <w:rFonts w:ascii="Garamond" w:hAnsi="Garamond"/>
          <w:sz w:val="24"/>
          <w:szCs w:val="24"/>
        </w:rPr>
        <w:t xml:space="preserve"> three (il)liquidity measures of </w:t>
      </w:r>
      <w:r>
        <w:rPr>
          <w:rFonts w:ascii="Garamond" w:hAnsi="Garamond"/>
          <w:sz w:val="24"/>
          <w:szCs w:val="24"/>
        </w:rPr>
        <w:t xml:space="preserve">the </w:t>
      </w:r>
      <w:r w:rsidRPr="00A07320">
        <w:rPr>
          <w:rFonts w:ascii="Garamond" w:hAnsi="Garamond"/>
          <w:sz w:val="24"/>
          <w:szCs w:val="24"/>
        </w:rPr>
        <w:t xml:space="preserve">manufacturing sector but monetary policy only influences two. Specifically, in Bangladesh, India and Pakistan market liquidity </w:t>
      </w:r>
      <w:r>
        <w:rPr>
          <w:rFonts w:ascii="Garamond" w:hAnsi="Garamond"/>
          <w:sz w:val="24"/>
          <w:szCs w:val="24"/>
        </w:rPr>
        <w:t>is</w:t>
      </w:r>
      <w:r w:rsidRPr="00A07320">
        <w:rPr>
          <w:rFonts w:ascii="Garamond" w:hAnsi="Garamond"/>
          <w:sz w:val="24"/>
          <w:szCs w:val="24"/>
        </w:rPr>
        <w:t xml:space="preserve"> positively influenced by government expenditure and private borrowing; however, </w:t>
      </w:r>
      <w:r w:rsidR="008422FE">
        <w:rPr>
          <w:rFonts w:ascii="Garamond" w:hAnsi="Garamond"/>
          <w:sz w:val="24"/>
          <w:szCs w:val="24"/>
        </w:rPr>
        <w:t xml:space="preserve">it is </w:t>
      </w:r>
      <w:r w:rsidRPr="00A07320">
        <w:rPr>
          <w:rFonts w:ascii="Garamond" w:hAnsi="Garamond"/>
          <w:sz w:val="24"/>
          <w:szCs w:val="24"/>
        </w:rPr>
        <w:t xml:space="preserve">negatively affected by government borrowing. That means, in these three East Asian countries, higher government expenditure and more credit to </w:t>
      </w:r>
      <w:r>
        <w:rPr>
          <w:rFonts w:ascii="Garamond" w:hAnsi="Garamond"/>
          <w:sz w:val="24"/>
          <w:szCs w:val="24"/>
        </w:rPr>
        <w:t xml:space="preserve">the </w:t>
      </w:r>
      <w:r w:rsidRPr="00A07320">
        <w:rPr>
          <w:rFonts w:ascii="Garamond" w:hAnsi="Garamond"/>
          <w:sz w:val="24"/>
          <w:szCs w:val="24"/>
        </w:rPr>
        <w:t xml:space="preserve">private sector channel </w:t>
      </w:r>
      <w:r w:rsidR="008422FE">
        <w:rPr>
          <w:rFonts w:ascii="Garamond" w:hAnsi="Garamond"/>
          <w:sz w:val="24"/>
          <w:szCs w:val="24"/>
        </w:rPr>
        <w:t>in</w:t>
      </w:r>
      <w:r w:rsidRPr="00A07320">
        <w:rPr>
          <w:rFonts w:ascii="Garamond" w:hAnsi="Garamond"/>
          <w:sz w:val="24"/>
          <w:szCs w:val="24"/>
        </w:rPr>
        <w:t xml:space="preserve">to </w:t>
      </w:r>
      <w:r w:rsidR="008422FE">
        <w:rPr>
          <w:rFonts w:ascii="Garamond" w:hAnsi="Garamond"/>
          <w:sz w:val="24"/>
          <w:szCs w:val="24"/>
        </w:rPr>
        <w:t xml:space="preserve">the </w:t>
      </w:r>
      <w:r w:rsidRPr="00A07320">
        <w:rPr>
          <w:rFonts w:ascii="Garamond" w:hAnsi="Garamond"/>
          <w:sz w:val="24"/>
          <w:szCs w:val="24"/>
        </w:rPr>
        <w:t>equity market</w:t>
      </w:r>
      <w:r w:rsidR="008422FE">
        <w:rPr>
          <w:rFonts w:ascii="Garamond" w:hAnsi="Garamond"/>
          <w:sz w:val="24"/>
          <w:szCs w:val="24"/>
        </w:rPr>
        <w:t>,</w:t>
      </w:r>
      <w:r w:rsidRPr="00A07320">
        <w:rPr>
          <w:rFonts w:ascii="Garamond" w:hAnsi="Garamond"/>
          <w:sz w:val="24"/>
          <w:szCs w:val="24"/>
        </w:rPr>
        <w:t xml:space="preserve"> thus increas</w:t>
      </w:r>
      <w:r w:rsidR="008422FE">
        <w:rPr>
          <w:rFonts w:ascii="Garamond" w:hAnsi="Garamond"/>
          <w:sz w:val="24"/>
          <w:szCs w:val="24"/>
        </w:rPr>
        <w:t>ing liquidity. Yet</w:t>
      </w:r>
      <w:r w:rsidRPr="00A07320">
        <w:rPr>
          <w:rFonts w:ascii="Garamond" w:hAnsi="Garamond"/>
          <w:sz w:val="24"/>
          <w:szCs w:val="24"/>
        </w:rPr>
        <w:t xml:space="preserve"> borrowing by the government reduces the supply of credit for private investors and thus market liquidity. As expected, the illiquidity ratios are positively related to government borrowing and negatively to government expenditure and private borrowing</w:t>
      </w:r>
      <w:r w:rsidR="008F0CFB">
        <w:rPr>
          <w:rFonts w:ascii="Garamond" w:hAnsi="Garamond"/>
          <w:sz w:val="24"/>
          <w:szCs w:val="24"/>
        </w:rPr>
        <w:t>.</w:t>
      </w:r>
      <w:r w:rsidRPr="00A07320">
        <w:rPr>
          <w:rFonts w:ascii="Garamond" w:hAnsi="Garamond"/>
          <w:sz w:val="24"/>
          <w:szCs w:val="24"/>
        </w:rPr>
        <w:t xml:space="preserve"> </w:t>
      </w:r>
      <w:r w:rsidR="008F0CFB">
        <w:rPr>
          <w:rFonts w:ascii="Garamond" w:hAnsi="Garamond"/>
          <w:sz w:val="24"/>
          <w:szCs w:val="24"/>
        </w:rPr>
        <w:t>T</w:t>
      </w:r>
      <w:r w:rsidRPr="00A07320">
        <w:rPr>
          <w:rFonts w:ascii="Garamond" w:hAnsi="Garamond"/>
          <w:sz w:val="24"/>
          <w:szCs w:val="24"/>
        </w:rPr>
        <w:t>h</w:t>
      </w:r>
      <w:r w:rsidR="008F0CFB">
        <w:rPr>
          <w:rFonts w:ascii="Garamond" w:hAnsi="Garamond"/>
          <w:sz w:val="24"/>
          <w:szCs w:val="24"/>
        </w:rPr>
        <w:t>i</w:t>
      </w:r>
      <w:r w:rsidRPr="00A07320">
        <w:rPr>
          <w:rFonts w:ascii="Garamond" w:hAnsi="Garamond"/>
          <w:sz w:val="24"/>
          <w:szCs w:val="24"/>
        </w:rPr>
        <w:t xml:space="preserve">s evidence </w:t>
      </w:r>
      <w:r w:rsidR="008F0CFB">
        <w:rPr>
          <w:rFonts w:ascii="Garamond" w:hAnsi="Garamond"/>
          <w:sz w:val="24"/>
          <w:szCs w:val="24"/>
        </w:rPr>
        <w:t>is</w:t>
      </w:r>
      <w:r w:rsidRPr="00A07320">
        <w:rPr>
          <w:rFonts w:ascii="Garamond" w:hAnsi="Garamond"/>
          <w:sz w:val="24"/>
          <w:szCs w:val="24"/>
        </w:rPr>
        <w:t xml:space="preserve"> not only found in all three East Asian countries but also in Taiwan. </w:t>
      </w:r>
    </w:p>
    <w:p w14:paraId="16E5200A" w14:textId="2D9F202E" w:rsidR="00BE49FD" w:rsidRPr="00A07320" w:rsidRDefault="00BE49FD" w:rsidP="00BE49FD">
      <w:pPr>
        <w:spacing w:line="360" w:lineRule="auto"/>
        <w:jc w:val="both"/>
        <w:rPr>
          <w:rFonts w:ascii="Garamond" w:hAnsi="Garamond"/>
          <w:sz w:val="24"/>
          <w:szCs w:val="24"/>
        </w:rPr>
      </w:pPr>
      <w:r w:rsidRPr="00A07320">
        <w:rPr>
          <w:rFonts w:ascii="Garamond" w:hAnsi="Garamond"/>
          <w:sz w:val="24"/>
          <w:szCs w:val="24"/>
        </w:rPr>
        <w:t xml:space="preserve">Among monetary policy variables, </w:t>
      </w:r>
      <w:r w:rsidR="008F0CFB">
        <w:rPr>
          <w:rFonts w:ascii="Garamond" w:hAnsi="Garamond"/>
          <w:sz w:val="24"/>
          <w:szCs w:val="24"/>
        </w:rPr>
        <w:t xml:space="preserve">the </w:t>
      </w:r>
      <w:r w:rsidRPr="00A07320">
        <w:rPr>
          <w:rFonts w:ascii="Garamond" w:hAnsi="Garamond"/>
          <w:sz w:val="24"/>
          <w:szCs w:val="24"/>
        </w:rPr>
        <w:t xml:space="preserve">short-term interest rate influences the turnover rate and turnover price impact of </w:t>
      </w:r>
      <w:r>
        <w:rPr>
          <w:rFonts w:ascii="Garamond" w:hAnsi="Garamond"/>
          <w:sz w:val="24"/>
          <w:szCs w:val="24"/>
        </w:rPr>
        <w:t xml:space="preserve">the </w:t>
      </w:r>
      <w:r w:rsidRPr="00A07320">
        <w:rPr>
          <w:rFonts w:ascii="Garamond" w:hAnsi="Garamond"/>
          <w:sz w:val="24"/>
          <w:szCs w:val="24"/>
        </w:rPr>
        <w:t xml:space="preserve">manufacturing sector. </w:t>
      </w:r>
      <w:r w:rsidR="008F0CFB">
        <w:rPr>
          <w:rFonts w:ascii="Garamond" w:hAnsi="Garamond"/>
          <w:sz w:val="24"/>
          <w:szCs w:val="24"/>
        </w:rPr>
        <w:t>T</w:t>
      </w:r>
      <w:r w:rsidRPr="00A07320">
        <w:rPr>
          <w:rFonts w:ascii="Garamond" w:hAnsi="Garamond"/>
          <w:sz w:val="24"/>
          <w:szCs w:val="24"/>
        </w:rPr>
        <w:t xml:space="preserve">he impact is significant in Bangladesh, India, Indonesia, Malaysia, Pakistan, South Korea and Thailand. In addition, bank rate acts as an important determinant of (il)liquidity for </w:t>
      </w:r>
      <w:r>
        <w:rPr>
          <w:rFonts w:ascii="Garamond" w:hAnsi="Garamond"/>
          <w:sz w:val="24"/>
          <w:szCs w:val="24"/>
        </w:rPr>
        <w:t xml:space="preserve">the </w:t>
      </w:r>
      <w:r w:rsidRPr="00A07320">
        <w:rPr>
          <w:rFonts w:ascii="Garamond" w:hAnsi="Garamond"/>
          <w:sz w:val="24"/>
          <w:szCs w:val="24"/>
        </w:rPr>
        <w:t xml:space="preserve">manufacturing sector of </w:t>
      </w:r>
      <w:smartTag w:uri="urn:schemas-microsoft-com:office:smarttags" w:element="country-region">
        <w:r w:rsidRPr="00A07320">
          <w:rPr>
            <w:rFonts w:ascii="Garamond" w:hAnsi="Garamond"/>
            <w:sz w:val="24"/>
            <w:szCs w:val="24"/>
          </w:rPr>
          <w:t>Indonesia</w:t>
        </w:r>
      </w:smartTag>
      <w:r w:rsidRPr="00A07320">
        <w:rPr>
          <w:rFonts w:ascii="Garamond" w:hAnsi="Garamond"/>
          <w:sz w:val="24"/>
          <w:szCs w:val="24"/>
        </w:rPr>
        <w:t xml:space="preserve">, </w:t>
      </w:r>
      <w:smartTag w:uri="urn:schemas-microsoft-com:office:smarttags" w:element="country-region">
        <w:r w:rsidRPr="00A07320">
          <w:rPr>
            <w:rFonts w:ascii="Garamond" w:hAnsi="Garamond"/>
            <w:sz w:val="24"/>
            <w:szCs w:val="24"/>
          </w:rPr>
          <w:t>Taiwan</w:t>
        </w:r>
      </w:smartTag>
      <w:r w:rsidRPr="00A07320">
        <w:rPr>
          <w:rFonts w:ascii="Garamond" w:hAnsi="Garamond"/>
          <w:sz w:val="24"/>
          <w:szCs w:val="24"/>
        </w:rPr>
        <w:t xml:space="preserve"> and </w:t>
      </w:r>
      <w:smartTag w:uri="urn:schemas-microsoft-com:office:smarttags" w:element="country-region">
        <w:smartTag w:uri="urn:schemas-microsoft-com:office:smarttags" w:element="place">
          <w:r w:rsidRPr="00A07320">
            <w:rPr>
              <w:rFonts w:ascii="Garamond" w:hAnsi="Garamond"/>
              <w:sz w:val="24"/>
              <w:szCs w:val="24"/>
            </w:rPr>
            <w:t>Thailand</w:t>
          </w:r>
        </w:smartTag>
      </w:smartTag>
      <w:r w:rsidRPr="00A07320">
        <w:rPr>
          <w:rFonts w:ascii="Garamond" w:hAnsi="Garamond"/>
          <w:sz w:val="24"/>
          <w:szCs w:val="24"/>
        </w:rPr>
        <w:t xml:space="preserve">. We find that these two monetary policy variables affect stock market liquidity negatively and illiquidity positively except </w:t>
      </w:r>
      <w:r>
        <w:rPr>
          <w:rFonts w:ascii="Garamond" w:hAnsi="Garamond"/>
          <w:sz w:val="24"/>
          <w:szCs w:val="24"/>
        </w:rPr>
        <w:t xml:space="preserve">in </w:t>
      </w:r>
      <w:r w:rsidRPr="00A07320">
        <w:rPr>
          <w:rFonts w:ascii="Garamond" w:hAnsi="Garamond"/>
          <w:sz w:val="24"/>
          <w:szCs w:val="24"/>
        </w:rPr>
        <w:t>Pakistan</w:t>
      </w:r>
      <w:r w:rsidR="008F0CFB">
        <w:rPr>
          <w:rFonts w:ascii="Garamond" w:hAnsi="Garamond"/>
          <w:sz w:val="24"/>
          <w:szCs w:val="24"/>
        </w:rPr>
        <w:t>,</w:t>
      </w:r>
      <w:r w:rsidRPr="00A07320">
        <w:rPr>
          <w:rFonts w:ascii="Garamond" w:hAnsi="Garamond"/>
          <w:sz w:val="24"/>
          <w:szCs w:val="24"/>
        </w:rPr>
        <w:t xml:space="preserve"> where on average </w:t>
      </w:r>
      <w:r>
        <w:rPr>
          <w:rFonts w:ascii="Garamond" w:hAnsi="Garamond"/>
          <w:sz w:val="24"/>
          <w:szCs w:val="24"/>
        </w:rPr>
        <w:t xml:space="preserve">the </w:t>
      </w:r>
      <w:r w:rsidRPr="00A07320">
        <w:rPr>
          <w:rFonts w:ascii="Garamond" w:hAnsi="Garamond"/>
          <w:sz w:val="24"/>
          <w:szCs w:val="24"/>
        </w:rPr>
        <w:t xml:space="preserve">liquidity of firms </w:t>
      </w:r>
      <w:r w:rsidR="008F0CFB">
        <w:rPr>
          <w:rFonts w:ascii="Garamond" w:hAnsi="Garamond"/>
          <w:sz w:val="24"/>
          <w:szCs w:val="24"/>
        </w:rPr>
        <w:t>is</w:t>
      </w:r>
      <w:r w:rsidRPr="00A07320">
        <w:rPr>
          <w:rFonts w:ascii="Garamond" w:hAnsi="Garamond"/>
          <w:sz w:val="24"/>
          <w:szCs w:val="24"/>
        </w:rPr>
        <w:t xml:space="preserve"> not negatively affected by bank rate or positively by money supply growth. Overall, the liquidity behaviour of </w:t>
      </w:r>
      <w:r>
        <w:rPr>
          <w:rFonts w:ascii="Garamond" w:hAnsi="Garamond"/>
          <w:sz w:val="24"/>
          <w:szCs w:val="24"/>
        </w:rPr>
        <w:t xml:space="preserve">the </w:t>
      </w:r>
      <w:r w:rsidRPr="00A07320">
        <w:rPr>
          <w:rFonts w:ascii="Garamond" w:hAnsi="Garamond"/>
          <w:sz w:val="24"/>
          <w:szCs w:val="24"/>
        </w:rPr>
        <w:t>manufacturing sector in most of our sample markets is consistent with our hypothesis</w:t>
      </w:r>
      <w:r w:rsidR="008F0CFB">
        <w:rPr>
          <w:rFonts w:ascii="Garamond" w:hAnsi="Garamond"/>
          <w:sz w:val="24"/>
          <w:szCs w:val="24"/>
        </w:rPr>
        <w:t>:</w:t>
      </w:r>
      <w:r w:rsidRPr="00A07320">
        <w:rPr>
          <w:rFonts w:ascii="Garamond" w:hAnsi="Garamond"/>
          <w:sz w:val="24"/>
          <w:szCs w:val="24"/>
        </w:rPr>
        <w:t xml:space="preserve"> liquidity rises with expansionary shocks and decline</w:t>
      </w:r>
      <w:r w:rsidR="008F0CFB">
        <w:rPr>
          <w:rFonts w:ascii="Garamond" w:hAnsi="Garamond"/>
          <w:sz w:val="24"/>
          <w:szCs w:val="24"/>
        </w:rPr>
        <w:t>s</w:t>
      </w:r>
      <w:r w:rsidRPr="00A07320">
        <w:rPr>
          <w:rFonts w:ascii="Garamond" w:hAnsi="Garamond"/>
          <w:sz w:val="24"/>
          <w:szCs w:val="24"/>
        </w:rPr>
        <w:t xml:space="preserve"> with contractionary shocks.</w:t>
      </w:r>
    </w:p>
    <w:p w14:paraId="6F0AE264" w14:textId="13A09917" w:rsidR="00BE49FD" w:rsidRDefault="00BE49FD" w:rsidP="00BE49FD">
      <w:pPr>
        <w:spacing w:line="360" w:lineRule="auto"/>
        <w:jc w:val="both"/>
        <w:rPr>
          <w:rFonts w:ascii="Garamond" w:hAnsi="Garamond"/>
          <w:sz w:val="24"/>
          <w:szCs w:val="24"/>
        </w:rPr>
      </w:pPr>
      <w:r>
        <w:rPr>
          <w:rFonts w:ascii="Garamond" w:hAnsi="Garamond"/>
          <w:sz w:val="24"/>
          <w:szCs w:val="24"/>
        </w:rPr>
        <w:t>Earlier researchers have explained the possible linkage between monetary policy, fiscal policy and manufacturers, e.g. Ehrmann and Fratzscher (2004), Dedola and Lippi (2005) and Aghion et al. (2014). They all mention various firm specific characteristics where monetary policy has stronger influence, such as capital intensity, producing durable goods, export oriented, greater financing needs (working capital), smaller size, and lower asset tangibility. Supporting their arguments, in our sample Asian markets, the manufacturing sector mostly includes firms – pharmaceutical, garments, engineering, leather, food products</w:t>
      </w:r>
      <w:r w:rsidR="008F0CFB">
        <w:rPr>
          <w:rFonts w:ascii="Garamond" w:hAnsi="Garamond"/>
          <w:sz w:val="24"/>
          <w:szCs w:val="24"/>
        </w:rPr>
        <w:t xml:space="preserve"> - </w:t>
      </w:r>
      <w:r>
        <w:rPr>
          <w:rFonts w:ascii="Garamond" w:hAnsi="Garamond"/>
          <w:sz w:val="24"/>
          <w:szCs w:val="24"/>
        </w:rPr>
        <w:t xml:space="preserve">which are capital intensive, </w:t>
      </w:r>
      <w:r w:rsidR="008F0CFB">
        <w:rPr>
          <w:rFonts w:ascii="Garamond" w:hAnsi="Garamond"/>
          <w:sz w:val="24"/>
          <w:szCs w:val="24"/>
        </w:rPr>
        <w:t xml:space="preserve">the </w:t>
      </w:r>
      <w:r>
        <w:rPr>
          <w:rFonts w:ascii="Garamond" w:hAnsi="Garamond"/>
          <w:sz w:val="24"/>
          <w:szCs w:val="24"/>
        </w:rPr>
        <w:t xml:space="preserve">goods are durable, </w:t>
      </w:r>
      <w:r w:rsidR="008F0CFB">
        <w:rPr>
          <w:rFonts w:ascii="Garamond" w:hAnsi="Garamond"/>
          <w:sz w:val="24"/>
          <w:szCs w:val="24"/>
        </w:rPr>
        <w:t xml:space="preserve">they  are </w:t>
      </w:r>
      <w:r>
        <w:rPr>
          <w:rFonts w:ascii="Garamond" w:hAnsi="Garamond"/>
          <w:sz w:val="24"/>
          <w:szCs w:val="24"/>
        </w:rPr>
        <w:t xml:space="preserve">involved in international trade and </w:t>
      </w:r>
      <w:r w:rsidR="008F0CFB">
        <w:rPr>
          <w:rFonts w:ascii="Garamond" w:hAnsi="Garamond"/>
          <w:sz w:val="24"/>
          <w:szCs w:val="24"/>
        </w:rPr>
        <w:t xml:space="preserve">they are </w:t>
      </w:r>
      <w:r>
        <w:rPr>
          <w:rFonts w:ascii="Garamond" w:hAnsi="Garamond"/>
          <w:sz w:val="24"/>
          <w:szCs w:val="24"/>
        </w:rPr>
        <w:t xml:space="preserve">in need of more funds as working capital. In addition, many of these manufacturing firms are small in size, thus following the previous section they are affected significantly by policy changes. During expansionary periods investors prefer to invest in smaller company portfolios for greater price growth and we have seen the effect is even higher for fiscal policy changes (see Table 9). Finally, expansionary fiscal policy </w:t>
      </w:r>
      <w:r>
        <w:rPr>
          <w:rFonts w:ascii="Garamond" w:hAnsi="Garamond"/>
          <w:sz w:val="24"/>
          <w:szCs w:val="24"/>
        </w:rPr>
        <w:lastRenderedPageBreak/>
        <w:t>reduces the ‘crowding out’ effect, making funds available for private firms (funds also become cheaper) and thus as asserted in Spilimbergo et al. (2009) enhance</w:t>
      </w:r>
      <w:r w:rsidR="008F0CFB">
        <w:rPr>
          <w:rFonts w:ascii="Garamond" w:hAnsi="Garamond"/>
          <w:sz w:val="24"/>
          <w:szCs w:val="24"/>
        </w:rPr>
        <w:t>s</w:t>
      </w:r>
      <w:r>
        <w:rPr>
          <w:rFonts w:ascii="Garamond" w:hAnsi="Garamond"/>
          <w:sz w:val="24"/>
          <w:szCs w:val="24"/>
        </w:rPr>
        <w:t xml:space="preserve"> the financial health of companies.</w:t>
      </w:r>
    </w:p>
    <w:p w14:paraId="0F9C1077" w14:textId="262FACDC" w:rsidR="00BE49FD" w:rsidRDefault="00BE49FD" w:rsidP="00BE49FD">
      <w:pPr>
        <w:spacing w:line="360" w:lineRule="auto"/>
        <w:jc w:val="both"/>
        <w:rPr>
          <w:rFonts w:ascii="Garamond" w:hAnsi="Garamond"/>
          <w:sz w:val="24"/>
          <w:szCs w:val="24"/>
        </w:rPr>
      </w:pPr>
      <w:r>
        <w:rPr>
          <w:rFonts w:ascii="Garamond" w:hAnsi="Garamond"/>
          <w:sz w:val="24"/>
          <w:szCs w:val="24"/>
        </w:rPr>
        <w:t xml:space="preserve">In our sample the service sector </w:t>
      </w:r>
      <w:r w:rsidR="008F0CFB">
        <w:rPr>
          <w:rFonts w:ascii="Garamond" w:hAnsi="Garamond"/>
          <w:sz w:val="24"/>
          <w:szCs w:val="24"/>
        </w:rPr>
        <w:t>consists m</w:t>
      </w:r>
      <w:r>
        <w:rPr>
          <w:rFonts w:ascii="Garamond" w:hAnsi="Garamond"/>
          <w:sz w:val="24"/>
          <w:szCs w:val="24"/>
        </w:rPr>
        <w:t xml:space="preserve">ostly </w:t>
      </w:r>
      <w:r w:rsidR="008F0CFB">
        <w:rPr>
          <w:rFonts w:ascii="Garamond" w:hAnsi="Garamond"/>
          <w:sz w:val="24"/>
          <w:szCs w:val="24"/>
        </w:rPr>
        <w:t>of</w:t>
      </w:r>
      <w:r>
        <w:rPr>
          <w:rFonts w:ascii="Garamond" w:hAnsi="Garamond"/>
          <w:sz w:val="24"/>
          <w:szCs w:val="24"/>
        </w:rPr>
        <w:t xml:space="preserve"> IT systems, telecommunications, real estate, hospitals, and travel and leisure companies. Group C of Table 10 reports that on average Amihud’s illiquidity measures are affected by monetary policy; however, trading volume is influenced by fiscal policy. The coefficients are also statistically significant for them at different levels up to 10 percent. From </w:t>
      </w:r>
      <w:r w:rsidR="008F0CFB">
        <w:rPr>
          <w:rFonts w:ascii="Garamond" w:hAnsi="Garamond"/>
          <w:sz w:val="24"/>
          <w:szCs w:val="24"/>
        </w:rPr>
        <w:t>the</w:t>
      </w:r>
      <w:r>
        <w:rPr>
          <w:rFonts w:ascii="Garamond" w:hAnsi="Garamond"/>
          <w:sz w:val="24"/>
          <w:szCs w:val="24"/>
        </w:rPr>
        <w:t xml:space="preserve"> panel estimations (not reported), we see surprising results. The broad money supply positively and bank rate negatively affect Amihud’s </w:t>
      </w:r>
      <w:r w:rsidR="008F0CFB">
        <w:rPr>
          <w:rFonts w:ascii="Garamond" w:hAnsi="Garamond"/>
          <w:sz w:val="24"/>
          <w:szCs w:val="24"/>
        </w:rPr>
        <w:t xml:space="preserve">(2002) </w:t>
      </w:r>
      <w:r>
        <w:rPr>
          <w:rFonts w:ascii="Garamond" w:hAnsi="Garamond"/>
          <w:sz w:val="24"/>
          <w:szCs w:val="24"/>
        </w:rPr>
        <w:t xml:space="preserve">illiquidity ratio for this sector in Bangladesh, India, Indonesia, Malaysia and Thailand. That implies contractionary (expansionary) monetary policy reduces (increases) the illiquidity for service sector stocks. This may be due to investors’ (both institutional and individual) preference for smaller stocks. As most services companies are upper middle sized firms, during expansionary monetary policy investors switch to portfolios with smaller firms (i.e. risky but profitable). In most of the </w:t>
      </w:r>
      <w:r w:rsidR="008F0CFB">
        <w:rPr>
          <w:rFonts w:ascii="Garamond" w:hAnsi="Garamond"/>
          <w:sz w:val="24"/>
          <w:szCs w:val="24"/>
        </w:rPr>
        <w:t xml:space="preserve">eight </w:t>
      </w:r>
      <w:r>
        <w:rPr>
          <w:rFonts w:ascii="Garamond" w:hAnsi="Garamond"/>
          <w:sz w:val="24"/>
          <w:szCs w:val="24"/>
        </w:rPr>
        <w:t xml:space="preserve">markets we find positive responses from TPI to bank rate and short term interest rate, but when the monetary policy is measured by money supply, illiquidity is positively associated with policy changes. That means when the central bank increases the base rate and short-term interest rate, it reduces overall funds flowing into the market and the service sector become strongly affected. In addition, from the borrowers’ perspective, BR and STR directly affect the cost of capital, thus when these rates increase investors switch back to less risky investments and the liquidity of the service sector increases. This switching behaviour is also documented in </w:t>
      </w:r>
      <w:r w:rsidRPr="00B90008">
        <w:rPr>
          <w:rStyle w:val="HTMLCite"/>
          <w:rFonts w:ascii="Garamond" w:hAnsi="Garamond"/>
          <w:i w:val="0"/>
          <w:sz w:val="24"/>
          <w:szCs w:val="24"/>
        </w:rPr>
        <w:t>Næs</w:t>
      </w:r>
      <w:r>
        <w:rPr>
          <w:rFonts w:ascii="Garamond" w:hAnsi="Garamond"/>
          <w:sz w:val="24"/>
          <w:szCs w:val="24"/>
        </w:rPr>
        <w:t xml:space="preserve"> et al.</w:t>
      </w:r>
      <w:r w:rsidRPr="004A5EFD">
        <w:rPr>
          <w:rFonts w:ascii="Garamond" w:hAnsi="Garamond"/>
          <w:sz w:val="24"/>
          <w:szCs w:val="24"/>
        </w:rPr>
        <w:t xml:space="preserve"> </w:t>
      </w:r>
      <w:r>
        <w:rPr>
          <w:rFonts w:ascii="Garamond" w:hAnsi="Garamond"/>
          <w:sz w:val="24"/>
          <w:szCs w:val="24"/>
        </w:rPr>
        <w:t>(</w:t>
      </w:r>
      <w:r w:rsidRPr="004A5EFD">
        <w:rPr>
          <w:rFonts w:ascii="Garamond" w:hAnsi="Garamond"/>
          <w:sz w:val="24"/>
          <w:szCs w:val="24"/>
        </w:rPr>
        <w:t>2011</w:t>
      </w:r>
      <w:r>
        <w:rPr>
          <w:rFonts w:ascii="Garamond" w:hAnsi="Garamond"/>
          <w:sz w:val="24"/>
          <w:szCs w:val="24"/>
        </w:rPr>
        <w:t xml:space="preserve">). Moreover, costs increase more for smaller firms (as they are risky) than middle sized firms. Finally, the impact of monetary policy largely depends on the liquidity measure we use and the policy we apply (see Fernández-Amador et al., 2013), hence firms and investors need to be very careful before setting up any investment strategies. </w:t>
      </w:r>
    </w:p>
    <w:p w14:paraId="71305BB3" w14:textId="3C551BF5" w:rsidR="00BE49FD" w:rsidRPr="00A07320" w:rsidRDefault="00BE49FD" w:rsidP="00BE49FD">
      <w:pPr>
        <w:spacing w:line="360" w:lineRule="auto"/>
        <w:jc w:val="both"/>
        <w:rPr>
          <w:rFonts w:ascii="Garamond" w:hAnsi="Garamond"/>
          <w:sz w:val="24"/>
          <w:szCs w:val="24"/>
        </w:rPr>
      </w:pPr>
      <w:r w:rsidRPr="00A07320">
        <w:rPr>
          <w:rFonts w:ascii="Garamond" w:hAnsi="Garamond"/>
          <w:sz w:val="24"/>
          <w:szCs w:val="24"/>
        </w:rPr>
        <w:t xml:space="preserve">The last four columns of Group C </w:t>
      </w:r>
      <w:r w:rsidR="008F0CFB">
        <w:rPr>
          <w:rFonts w:ascii="Garamond" w:hAnsi="Garamond"/>
          <w:sz w:val="24"/>
          <w:szCs w:val="24"/>
        </w:rPr>
        <w:t xml:space="preserve">in Table 10 </w:t>
      </w:r>
      <w:r w:rsidRPr="00A07320">
        <w:rPr>
          <w:rFonts w:ascii="Garamond" w:hAnsi="Garamond"/>
          <w:sz w:val="24"/>
          <w:szCs w:val="24"/>
        </w:rPr>
        <w:t xml:space="preserve">illustrate the results of panel estimations of fiscal policy impact on </w:t>
      </w:r>
      <w:r>
        <w:rPr>
          <w:rFonts w:ascii="Garamond" w:hAnsi="Garamond"/>
          <w:sz w:val="24"/>
          <w:szCs w:val="24"/>
        </w:rPr>
        <w:t xml:space="preserve">the </w:t>
      </w:r>
      <w:r w:rsidRPr="00A07320">
        <w:rPr>
          <w:rFonts w:ascii="Garamond" w:hAnsi="Garamond"/>
          <w:sz w:val="24"/>
          <w:szCs w:val="24"/>
        </w:rPr>
        <w:t xml:space="preserve">service sector. The results indicate that </w:t>
      </w:r>
      <w:r>
        <w:rPr>
          <w:rFonts w:ascii="Garamond" w:hAnsi="Garamond"/>
          <w:sz w:val="24"/>
          <w:szCs w:val="24"/>
        </w:rPr>
        <w:t xml:space="preserve">the </w:t>
      </w:r>
      <w:r w:rsidRPr="00A07320">
        <w:rPr>
          <w:rFonts w:ascii="Garamond" w:hAnsi="Garamond"/>
          <w:sz w:val="24"/>
          <w:szCs w:val="24"/>
        </w:rPr>
        <w:t xml:space="preserve">liquidity of this sector is linked to </w:t>
      </w:r>
      <w:r>
        <w:rPr>
          <w:rFonts w:ascii="Garamond" w:hAnsi="Garamond"/>
          <w:sz w:val="24"/>
          <w:szCs w:val="24"/>
        </w:rPr>
        <w:t xml:space="preserve">the </w:t>
      </w:r>
      <w:r w:rsidRPr="00A07320">
        <w:rPr>
          <w:rFonts w:ascii="Garamond" w:hAnsi="Garamond"/>
          <w:sz w:val="24"/>
          <w:szCs w:val="24"/>
        </w:rPr>
        <w:t xml:space="preserve">expansionary policy of the government and when </w:t>
      </w:r>
      <w:r>
        <w:rPr>
          <w:rFonts w:ascii="Garamond" w:hAnsi="Garamond"/>
          <w:sz w:val="24"/>
          <w:szCs w:val="24"/>
        </w:rPr>
        <w:t xml:space="preserve">the </w:t>
      </w:r>
      <w:r w:rsidRPr="00A07320">
        <w:rPr>
          <w:rFonts w:ascii="Garamond" w:hAnsi="Garamond"/>
          <w:sz w:val="24"/>
          <w:szCs w:val="24"/>
        </w:rPr>
        <w:t xml:space="preserve">public has greater access to funds. For example, trading volume is negatively influenced by government borrowing and positively by private borrowing. In addition, Amihud’s </w:t>
      </w:r>
      <w:r w:rsidR="008F0CFB">
        <w:rPr>
          <w:rFonts w:ascii="Garamond" w:hAnsi="Garamond"/>
          <w:sz w:val="24"/>
          <w:szCs w:val="24"/>
        </w:rPr>
        <w:t xml:space="preserve">(2002) </w:t>
      </w:r>
      <w:r w:rsidRPr="00A07320">
        <w:rPr>
          <w:rFonts w:ascii="Garamond" w:hAnsi="Garamond"/>
          <w:sz w:val="24"/>
          <w:szCs w:val="24"/>
        </w:rPr>
        <w:t>illiquidity ratio is significantly affected by both government expenditure and borrowing. In effect, government expenditure reduces illiquidity and borrowing increases it for the service sector. Therefore, regardless of the firm and industry, government borrowing creates a ‘crowding out’ effect in these emerging equity markets.</w:t>
      </w:r>
    </w:p>
    <w:p w14:paraId="673AE440" w14:textId="77777777" w:rsidR="00BE49FD" w:rsidRPr="007853CF" w:rsidRDefault="00BE49FD" w:rsidP="00BE49FD">
      <w:pPr>
        <w:spacing w:line="360" w:lineRule="auto"/>
        <w:jc w:val="both"/>
        <w:rPr>
          <w:rFonts w:ascii="Garamond" w:hAnsi="Garamond"/>
          <w:sz w:val="24"/>
          <w:szCs w:val="24"/>
        </w:rPr>
        <w:sectPr w:rsidR="00BE49FD" w:rsidRPr="007853CF" w:rsidSect="00B90008">
          <w:pgSz w:w="11906" w:h="16838"/>
          <w:pgMar w:top="1440" w:right="1440" w:bottom="1440" w:left="1440" w:header="709" w:footer="709" w:gutter="0"/>
          <w:cols w:space="708"/>
          <w:docGrid w:linePitch="360"/>
        </w:sectPr>
      </w:pPr>
    </w:p>
    <w:p w14:paraId="59535FC3" w14:textId="77777777" w:rsidR="00BE49FD" w:rsidRDefault="00BE49FD" w:rsidP="00BE49FD">
      <w:pPr>
        <w:spacing w:line="360" w:lineRule="auto"/>
        <w:jc w:val="center"/>
        <w:rPr>
          <w:rFonts w:ascii="Garamond" w:hAnsi="Garamond"/>
          <w:b/>
          <w:sz w:val="24"/>
          <w:szCs w:val="24"/>
        </w:rPr>
      </w:pPr>
      <w:r w:rsidRPr="00EE094F">
        <w:rPr>
          <w:rFonts w:ascii="Garamond" w:hAnsi="Garamond"/>
          <w:b/>
          <w:sz w:val="24"/>
          <w:szCs w:val="24"/>
        </w:rPr>
        <w:lastRenderedPageBreak/>
        <w:t>Table</w:t>
      </w:r>
      <w:r>
        <w:rPr>
          <w:rFonts w:ascii="Garamond" w:hAnsi="Garamond"/>
          <w:b/>
          <w:sz w:val="24"/>
          <w:szCs w:val="24"/>
        </w:rPr>
        <w:t xml:space="preserve"> 10</w:t>
      </w:r>
      <w:r w:rsidRPr="00EE094F">
        <w:rPr>
          <w:rFonts w:ascii="Garamond" w:hAnsi="Garamond"/>
          <w:b/>
          <w:sz w:val="24"/>
          <w:szCs w:val="24"/>
        </w:rPr>
        <w:t xml:space="preserve">: Influence </w:t>
      </w:r>
      <w:r>
        <w:rPr>
          <w:rFonts w:ascii="Garamond" w:hAnsi="Garamond"/>
          <w:b/>
          <w:sz w:val="24"/>
          <w:szCs w:val="24"/>
        </w:rPr>
        <w:t>of macroeconomic management variables on industries</w:t>
      </w:r>
    </w:p>
    <w:p w14:paraId="6E8DA6FC" w14:textId="77777777" w:rsidR="00BE49FD" w:rsidRPr="008033F6" w:rsidRDefault="00BE49FD" w:rsidP="00BE49FD">
      <w:pPr>
        <w:spacing w:line="360" w:lineRule="auto"/>
        <w:jc w:val="center"/>
        <w:rPr>
          <w:rFonts w:ascii="Garamond" w:hAnsi="Garamond"/>
          <w:sz w:val="24"/>
          <w:szCs w:val="24"/>
        </w:rPr>
      </w:pPr>
      <w:r w:rsidRPr="008033F6">
        <w:rPr>
          <w:rFonts w:ascii="Garamond" w:hAnsi="Garamond"/>
          <w:sz w:val="24"/>
          <w:szCs w:val="24"/>
        </w:rPr>
        <w:t>Group A: Financial Industries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9"/>
        <w:gridCol w:w="1139"/>
        <w:gridCol w:w="1214"/>
        <w:gridCol w:w="1214"/>
        <w:gridCol w:w="1214"/>
        <w:gridCol w:w="1214"/>
        <w:gridCol w:w="1214"/>
        <w:gridCol w:w="1214"/>
        <w:gridCol w:w="1214"/>
      </w:tblGrid>
      <w:tr w:rsidR="00BE49FD" w:rsidRPr="008A703F" w14:paraId="1F4D43E2" w14:textId="77777777" w:rsidTr="00B90008">
        <w:trPr>
          <w:trHeight w:val="300"/>
          <w:jc w:val="center"/>
        </w:trPr>
        <w:tc>
          <w:tcPr>
            <w:tcW w:w="0" w:type="auto"/>
            <w:shd w:val="clear" w:color="auto" w:fill="auto"/>
            <w:noWrap/>
            <w:vAlign w:val="bottom"/>
          </w:tcPr>
          <w:p w14:paraId="4B4C0802"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gridSpan w:val="4"/>
            <w:shd w:val="clear" w:color="auto" w:fill="auto"/>
            <w:noWrap/>
            <w:vAlign w:val="bottom"/>
          </w:tcPr>
          <w:p w14:paraId="3EDC154F"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Monetary policy variables</w:t>
            </w:r>
          </w:p>
        </w:tc>
        <w:tc>
          <w:tcPr>
            <w:tcW w:w="0" w:type="auto"/>
            <w:gridSpan w:val="4"/>
            <w:shd w:val="clear" w:color="auto" w:fill="auto"/>
            <w:noWrap/>
            <w:vAlign w:val="bottom"/>
          </w:tcPr>
          <w:p w14:paraId="1C2A56B6"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Fiscal policy variables</w:t>
            </w:r>
          </w:p>
        </w:tc>
      </w:tr>
      <w:tr w:rsidR="00BE49FD" w:rsidRPr="008A703F" w14:paraId="7DC9B22D" w14:textId="77777777" w:rsidTr="00B90008">
        <w:trPr>
          <w:trHeight w:val="300"/>
          <w:jc w:val="center"/>
        </w:trPr>
        <w:tc>
          <w:tcPr>
            <w:tcW w:w="0" w:type="auto"/>
            <w:shd w:val="clear" w:color="auto" w:fill="auto"/>
            <w:noWrap/>
            <w:vAlign w:val="bottom"/>
          </w:tcPr>
          <w:p w14:paraId="7231FEAE"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gridSpan w:val="4"/>
            <w:shd w:val="clear" w:color="auto" w:fill="auto"/>
            <w:noWrap/>
            <w:vAlign w:val="bottom"/>
          </w:tcPr>
          <w:p w14:paraId="0304414A"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gridSpan w:val="4"/>
            <w:shd w:val="clear" w:color="auto" w:fill="auto"/>
            <w:noWrap/>
            <w:vAlign w:val="bottom"/>
          </w:tcPr>
          <w:p w14:paraId="554972E6" w14:textId="77777777" w:rsidR="00BE49FD" w:rsidRPr="00786CAA" w:rsidRDefault="00BE49FD" w:rsidP="00B90008">
            <w:pPr>
              <w:spacing w:line="240" w:lineRule="auto"/>
              <w:contextualSpacing/>
              <w:jc w:val="center"/>
              <w:rPr>
                <w:rFonts w:ascii="Garamond" w:hAnsi="Garamond"/>
                <w:color w:val="000000"/>
                <w:sz w:val="24"/>
                <w:szCs w:val="24"/>
              </w:rPr>
            </w:pPr>
          </w:p>
        </w:tc>
      </w:tr>
      <w:tr w:rsidR="00BE49FD" w:rsidRPr="008A703F" w14:paraId="206B17D6" w14:textId="77777777" w:rsidTr="00B90008">
        <w:trPr>
          <w:trHeight w:val="300"/>
          <w:jc w:val="center"/>
        </w:trPr>
        <w:tc>
          <w:tcPr>
            <w:tcW w:w="0" w:type="auto"/>
            <w:shd w:val="clear" w:color="auto" w:fill="auto"/>
            <w:noWrap/>
            <w:vAlign w:val="bottom"/>
          </w:tcPr>
          <w:p w14:paraId="3DC56A46"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598AD812"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TR</w:t>
            </w:r>
          </w:p>
        </w:tc>
        <w:tc>
          <w:tcPr>
            <w:tcW w:w="0" w:type="auto"/>
            <w:shd w:val="clear" w:color="auto" w:fill="auto"/>
            <w:noWrap/>
            <w:vAlign w:val="bottom"/>
          </w:tcPr>
          <w:p w14:paraId="3E8FFFCF"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TV</w:t>
            </w:r>
          </w:p>
        </w:tc>
        <w:tc>
          <w:tcPr>
            <w:tcW w:w="0" w:type="auto"/>
            <w:shd w:val="clear" w:color="auto" w:fill="auto"/>
            <w:noWrap/>
            <w:vAlign w:val="bottom"/>
          </w:tcPr>
          <w:p w14:paraId="355576CD"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ILLIQ</w:t>
            </w:r>
          </w:p>
        </w:tc>
        <w:tc>
          <w:tcPr>
            <w:tcW w:w="0" w:type="auto"/>
            <w:shd w:val="clear" w:color="auto" w:fill="auto"/>
            <w:noWrap/>
            <w:vAlign w:val="bottom"/>
          </w:tcPr>
          <w:p w14:paraId="2ABB5EB5"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TPI</w:t>
            </w:r>
          </w:p>
        </w:tc>
        <w:tc>
          <w:tcPr>
            <w:tcW w:w="0" w:type="auto"/>
            <w:shd w:val="clear" w:color="auto" w:fill="auto"/>
            <w:noWrap/>
            <w:vAlign w:val="bottom"/>
          </w:tcPr>
          <w:p w14:paraId="712CFD20"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TR</w:t>
            </w:r>
          </w:p>
        </w:tc>
        <w:tc>
          <w:tcPr>
            <w:tcW w:w="0" w:type="auto"/>
            <w:shd w:val="clear" w:color="auto" w:fill="auto"/>
            <w:noWrap/>
            <w:vAlign w:val="bottom"/>
          </w:tcPr>
          <w:p w14:paraId="65F79761"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TV</w:t>
            </w:r>
          </w:p>
        </w:tc>
        <w:tc>
          <w:tcPr>
            <w:tcW w:w="0" w:type="auto"/>
            <w:shd w:val="clear" w:color="auto" w:fill="auto"/>
            <w:noWrap/>
            <w:vAlign w:val="bottom"/>
          </w:tcPr>
          <w:p w14:paraId="66774DA9"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ILLIQ</w:t>
            </w:r>
          </w:p>
        </w:tc>
        <w:tc>
          <w:tcPr>
            <w:tcW w:w="0" w:type="auto"/>
            <w:shd w:val="clear" w:color="auto" w:fill="auto"/>
            <w:noWrap/>
            <w:vAlign w:val="bottom"/>
          </w:tcPr>
          <w:p w14:paraId="09EB3C0B"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TPI</w:t>
            </w:r>
          </w:p>
        </w:tc>
      </w:tr>
      <w:tr w:rsidR="00BE49FD" w:rsidRPr="008A703F" w14:paraId="3D7E3D59" w14:textId="77777777" w:rsidTr="00B90008">
        <w:trPr>
          <w:trHeight w:val="300"/>
          <w:jc w:val="center"/>
        </w:trPr>
        <w:tc>
          <w:tcPr>
            <w:tcW w:w="0" w:type="auto"/>
            <w:shd w:val="clear" w:color="auto" w:fill="auto"/>
            <w:noWrap/>
            <w:vAlign w:val="bottom"/>
          </w:tcPr>
          <w:p w14:paraId="477E3C2B"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50D705C7"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64057A0F"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41287853"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489CF10D"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47D864F3"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53A5A753"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15110E52"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4A5F1A3C" w14:textId="77777777" w:rsidR="00BE49FD" w:rsidRPr="00786CAA" w:rsidRDefault="00BE49FD" w:rsidP="00B90008">
            <w:pPr>
              <w:spacing w:line="240" w:lineRule="auto"/>
              <w:contextualSpacing/>
              <w:jc w:val="center"/>
              <w:rPr>
                <w:rFonts w:ascii="Garamond" w:hAnsi="Garamond"/>
                <w:color w:val="000000"/>
                <w:sz w:val="24"/>
                <w:szCs w:val="24"/>
              </w:rPr>
            </w:pPr>
          </w:p>
        </w:tc>
      </w:tr>
      <w:tr w:rsidR="00BE49FD" w:rsidRPr="008A703F" w14:paraId="5E9E7597" w14:textId="77777777" w:rsidTr="00B90008">
        <w:trPr>
          <w:trHeight w:val="300"/>
          <w:jc w:val="center"/>
        </w:trPr>
        <w:tc>
          <w:tcPr>
            <w:tcW w:w="0" w:type="auto"/>
            <w:shd w:val="clear" w:color="auto" w:fill="auto"/>
            <w:noWrap/>
          </w:tcPr>
          <w:p w14:paraId="2F045919"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Dependent variable</w:t>
            </w:r>
          </w:p>
        </w:tc>
        <w:tc>
          <w:tcPr>
            <w:tcW w:w="0" w:type="auto"/>
            <w:shd w:val="clear" w:color="auto" w:fill="auto"/>
            <w:noWrap/>
          </w:tcPr>
          <w:p w14:paraId="54DADEC9" w14:textId="3CECEF6A" w:rsidR="00BE49FD" w:rsidRPr="008A703F" w:rsidRDefault="00BE49FD" w:rsidP="00657969">
            <w:pPr>
              <w:jc w:val="center"/>
              <w:rPr>
                <w:rFonts w:ascii="Garamond" w:hAnsi="Garamond"/>
                <w:color w:val="000000"/>
                <w:sz w:val="24"/>
                <w:szCs w:val="24"/>
              </w:rPr>
            </w:pPr>
            <w:r w:rsidRPr="008A703F">
              <w:rPr>
                <w:rFonts w:ascii="Garamond" w:hAnsi="Garamond"/>
                <w:color w:val="000000"/>
                <w:sz w:val="24"/>
                <w:szCs w:val="24"/>
              </w:rPr>
              <w:t>0.6625***</w:t>
            </w:r>
          </w:p>
        </w:tc>
        <w:tc>
          <w:tcPr>
            <w:tcW w:w="0" w:type="auto"/>
            <w:shd w:val="clear" w:color="auto" w:fill="auto"/>
            <w:noWrap/>
          </w:tcPr>
          <w:p w14:paraId="6BA1A287" w14:textId="01F484E1" w:rsidR="00BE49FD" w:rsidRPr="008A703F" w:rsidRDefault="00BE49FD" w:rsidP="00657969">
            <w:pPr>
              <w:jc w:val="center"/>
              <w:rPr>
                <w:rFonts w:ascii="Garamond" w:hAnsi="Garamond"/>
                <w:color w:val="000000"/>
                <w:sz w:val="24"/>
                <w:szCs w:val="24"/>
              </w:rPr>
            </w:pPr>
            <w:r w:rsidRPr="008A703F">
              <w:rPr>
                <w:rFonts w:ascii="Garamond" w:hAnsi="Garamond"/>
                <w:color w:val="000000"/>
                <w:sz w:val="24"/>
                <w:szCs w:val="24"/>
              </w:rPr>
              <w:t>0.</w:t>
            </w:r>
            <w:r w:rsidR="00657969">
              <w:rPr>
                <w:rFonts w:ascii="Garamond" w:hAnsi="Garamond"/>
                <w:color w:val="000000"/>
                <w:sz w:val="24"/>
                <w:szCs w:val="24"/>
              </w:rPr>
              <w:t>7602</w:t>
            </w:r>
            <w:r w:rsidRPr="008A703F">
              <w:rPr>
                <w:rFonts w:ascii="Garamond" w:hAnsi="Garamond"/>
                <w:color w:val="000000"/>
                <w:sz w:val="24"/>
                <w:szCs w:val="24"/>
              </w:rPr>
              <w:t>***</w:t>
            </w:r>
          </w:p>
        </w:tc>
        <w:tc>
          <w:tcPr>
            <w:tcW w:w="0" w:type="auto"/>
            <w:shd w:val="clear" w:color="auto" w:fill="auto"/>
            <w:noWrap/>
          </w:tcPr>
          <w:p w14:paraId="32E50942" w14:textId="7D5EE99F" w:rsidR="00BE49FD" w:rsidRPr="008A703F" w:rsidRDefault="00BE49FD" w:rsidP="00657969">
            <w:pPr>
              <w:jc w:val="center"/>
              <w:rPr>
                <w:rFonts w:ascii="Garamond" w:hAnsi="Garamond"/>
                <w:color w:val="000000"/>
                <w:sz w:val="24"/>
                <w:szCs w:val="24"/>
              </w:rPr>
            </w:pPr>
            <w:r w:rsidRPr="008A703F">
              <w:rPr>
                <w:rFonts w:ascii="Garamond" w:hAnsi="Garamond"/>
                <w:color w:val="000000"/>
                <w:sz w:val="24"/>
                <w:szCs w:val="24"/>
              </w:rPr>
              <w:t>0.3793***</w:t>
            </w:r>
          </w:p>
        </w:tc>
        <w:tc>
          <w:tcPr>
            <w:tcW w:w="0" w:type="auto"/>
            <w:shd w:val="clear" w:color="auto" w:fill="auto"/>
            <w:noWrap/>
          </w:tcPr>
          <w:p w14:paraId="17A0F854" w14:textId="15E47B27"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0</w:t>
            </w:r>
            <w:r w:rsidR="00D11267">
              <w:rPr>
                <w:rFonts w:ascii="Garamond" w:hAnsi="Garamond"/>
                <w:color w:val="000000"/>
                <w:sz w:val="24"/>
                <w:szCs w:val="24"/>
              </w:rPr>
              <w:t>.4442</w:t>
            </w:r>
            <w:r w:rsidRPr="008A703F">
              <w:rPr>
                <w:rFonts w:ascii="Garamond" w:hAnsi="Garamond"/>
                <w:color w:val="000000"/>
                <w:sz w:val="24"/>
                <w:szCs w:val="24"/>
              </w:rPr>
              <w:t>***</w:t>
            </w:r>
          </w:p>
        </w:tc>
        <w:tc>
          <w:tcPr>
            <w:tcW w:w="0" w:type="auto"/>
            <w:shd w:val="clear" w:color="auto" w:fill="auto"/>
            <w:noWrap/>
          </w:tcPr>
          <w:p w14:paraId="15636FB5" w14:textId="14C76E16"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0.6629</w:t>
            </w:r>
            <w:r w:rsidR="00BE49FD" w:rsidRPr="008A703F">
              <w:rPr>
                <w:rFonts w:ascii="Garamond" w:hAnsi="Garamond"/>
                <w:color w:val="000000"/>
                <w:sz w:val="24"/>
                <w:szCs w:val="24"/>
              </w:rPr>
              <w:t>***</w:t>
            </w:r>
          </w:p>
        </w:tc>
        <w:tc>
          <w:tcPr>
            <w:tcW w:w="0" w:type="auto"/>
            <w:shd w:val="clear" w:color="auto" w:fill="auto"/>
            <w:noWrap/>
          </w:tcPr>
          <w:p w14:paraId="22C12748" w14:textId="1085D7CE"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0.7639***</w:t>
            </w:r>
          </w:p>
        </w:tc>
        <w:tc>
          <w:tcPr>
            <w:tcW w:w="0" w:type="auto"/>
            <w:shd w:val="clear" w:color="auto" w:fill="auto"/>
            <w:noWrap/>
          </w:tcPr>
          <w:p w14:paraId="670CB54B" w14:textId="7CD1514D"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0.5519***</w:t>
            </w:r>
          </w:p>
        </w:tc>
        <w:tc>
          <w:tcPr>
            <w:tcW w:w="0" w:type="auto"/>
            <w:shd w:val="clear" w:color="auto" w:fill="auto"/>
            <w:noWrap/>
          </w:tcPr>
          <w:p w14:paraId="6D93EAAA" w14:textId="658062FD"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0.5047***</w:t>
            </w:r>
          </w:p>
        </w:tc>
      </w:tr>
      <w:tr w:rsidR="00BE49FD" w:rsidRPr="008A703F" w14:paraId="55FC1E28" w14:textId="77777777" w:rsidTr="00B90008">
        <w:trPr>
          <w:trHeight w:val="300"/>
          <w:jc w:val="center"/>
        </w:trPr>
        <w:tc>
          <w:tcPr>
            <w:tcW w:w="0" w:type="auto"/>
            <w:shd w:val="clear" w:color="auto" w:fill="auto"/>
            <w:noWrap/>
          </w:tcPr>
          <w:p w14:paraId="00120930"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Policy variable</w:t>
            </w:r>
          </w:p>
        </w:tc>
        <w:tc>
          <w:tcPr>
            <w:tcW w:w="0" w:type="auto"/>
            <w:shd w:val="clear" w:color="auto" w:fill="auto"/>
            <w:noWrap/>
          </w:tcPr>
          <w:p w14:paraId="4EF7160F" w14:textId="68A99A49" w:rsidR="00BE49FD" w:rsidRPr="008A703F" w:rsidRDefault="00BE49FD" w:rsidP="00657969">
            <w:pPr>
              <w:jc w:val="center"/>
              <w:rPr>
                <w:rFonts w:ascii="Garamond" w:hAnsi="Garamond"/>
                <w:color w:val="000000"/>
                <w:sz w:val="24"/>
                <w:szCs w:val="24"/>
              </w:rPr>
            </w:pPr>
            <w:r w:rsidRPr="008A703F">
              <w:rPr>
                <w:rFonts w:ascii="Garamond" w:hAnsi="Garamond"/>
                <w:color w:val="000000"/>
                <w:sz w:val="24"/>
                <w:szCs w:val="24"/>
              </w:rPr>
              <w:t>0.1299**</w:t>
            </w:r>
          </w:p>
        </w:tc>
        <w:tc>
          <w:tcPr>
            <w:tcW w:w="0" w:type="auto"/>
            <w:shd w:val="clear" w:color="auto" w:fill="auto"/>
            <w:noWrap/>
          </w:tcPr>
          <w:p w14:paraId="781609F3" w14:textId="66D6AE96"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0</w:t>
            </w:r>
            <w:r w:rsidR="00657969">
              <w:rPr>
                <w:rFonts w:ascii="Garamond" w:hAnsi="Garamond"/>
                <w:color w:val="000000"/>
                <w:sz w:val="24"/>
                <w:szCs w:val="24"/>
              </w:rPr>
              <w:t>.0704</w:t>
            </w:r>
            <w:r w:rsidRPr="008A703F">
              <w:rPr>
                <w:rFonts w:ascii="Garamond" w:hAnsi="Garamond"/>
                <w:color w:val="000000"/>
                <w:sz w:val="24"/>
                <w:szCs w:val="24"/>
              </w:rPr>
              <w:t>***</w:t>
            </w:r>
          </w:p>
        </w:tc>
        <w:tc>
          <w:tcPr>
            <w:tcW w:w="0" w:type="auto"/>
            <w:shd w:val="clear" w:color="auto" w:fill="auto"/>
            <w:noWrap/>
          </w:tcPr>
          <w:p w14:paraId="0088A837" w14:textId="4799A28A" w:rsidR="00BE49FD" w:rsidRPr="008A703F" w:rsidRDefault="00BE49FD" w:rsidP="00657969">
            <w:pPr>
              <w:jc w:val="center"/>
              <w:rPr>
                <w:rFonts w:ascii="Garamond" w:hAnsi="Garamond"/>
                <w:color w:val="000000"/>
                <w:sz w:val="24"/>
                <w:szCs w:val="24"/>
              </w:rPr>
            </w:pPr>
            <w:r w:rsidRPr="008A703F">
              <w:rPr>
                <w:rFonts w:ascii="Garamond" w:hAnsi="Garamond"/>
                <w:color w:val="000000"/>
                <w:sz w:val="24"/>
                <w:szCs w:val="24"/>
              </w:rPr>
              <w:t>-0.0033**</w:t>
            </w:r>
          </w:p>
        </w:tc>
        <w:tc>
          <w:tcPr>
            <w:tcW w:w="0" w:type="auto"/>
            <w:shd w:val="clear" w:color="auto" w:fill="auto"/>
            <w:noWrap/>
          </w:tcPr>
          <w:p w14:paraId="15AA000E" w14:textId="56DFB04B"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w:t>
            </w:r>
            <w:r w:rsidR="00D11267">
              <w:rPr>
                <w:rFonts w:ascii="Garamond" w:hAnsi="Garamond"/>
                <w:color w:val="000000"/>
                <w:sz w:val="24"/>
                <w:szCs w:val="24"/>
              </w:rPr>
              <w:t>0.0054</w:t>
            </w:r>
          </w:p>
        </w:tc>
        <w:tc>
          <w:tcPr>
            <w:tcW w:w="0" w:type="auto"/>
            <w:shd w:val="clear" w:color="auto" w:fill="auto"/>
            <w:noWrap/>
          </w:tcPr>
          <w:p w14:paraId="35D0C3CC" w14:textId="41D6F192"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-0.0044</w:t>
            </w:r>
          </w:p>
        </w:tc>
        <w:tc>
          <w:tcPr>
            <w:tcW w:w="0" w:type="auto"/>
            <w:shd w:val="clear" w:color="auto" w:fill="auto"/>
            <w:noWrap/>
          </w:tcPr>
          <w:p w14:paraId="24F43C9E" w14:textId="24AB9940"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0.0097</w:t>
            </w:r>
          </w:p>
        </w:tc>
        <w:tc>
          <w:tcPr>
            <w:tcW w:w="0" w:type="auto"/>
            <w:shd w:val="clear" w:color="auto" w:fill="auto"/>
            <w:noWrap/>
          </w:tcPr>
          <w:p w14:paraId="48C650EA" w14:textId="4A7CF267"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0.0149</w:t>
            </w:r>
          </w:p>
        </w:tc>
        <w:tc>
          <w:tcPr>
            <w:tcW w:w="0" w:type="auto"/>
            <w:shd w:val="clear" w:color="auto" w:fill="auto"/>
            <w:noWrap/>
          </w:tcPr>
          <w:p w14:paraId="7B1B00D6" w14:textId="77777777"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-3.9E-05</w:t>
            </w:r>
          </w:p>
        </w:tc>
      </w:tr>
      <w:tr w:rsidR="00BE49FD" w:rsidRPr="008A703F" w14:paraId="376F0BF0" w14:textId="77777777" w:rsidTr="00B90008">
        <w:trPr>
          <w:trHeight w:val="300"/>
          <w:jc w:val="center"/>
        </w:trPr>
        <w:tc>
          <w:tcPr>
            <w:tcW w:w="0" w:type="auto"/>
            <w:shd w:val="clear" w:color="auto" w:fill="auto"/>
            <w:noWrap/>
          </w:tcPr>
          <w:p w14:paraId="441DCDA8"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Return</w:t>
            </w:r>
          </w:p>
        </w:tc>
        <w:tc>
          <w:tcPr>
            <w:tcW w:w="0" w:type="auto"/>
            <w:shd w:val="clear" w:color="auto" w:fill="auto"/>
            <w:noWrap/>
          </w:tcPr>
          <w:p w14:paraId="466779CD" w14:textId="465A32CA" w:rsidR="00BE49FD" w:rsidRPr="008A703F" w:rsidRDefault="00BE49FD" w:rsidP="00657969">
            <w:pPr>
              <w:jc w:val="center"/>
              <w:rPr>
                <w:rFonts w:ascii="Garamond" w:hAnsi="Garamond"/>
                <w:color w:val="000000"/>
                <w:sz w:val="24"/>
                <w:szCs w:val="24"/>
              </w:rPr>
            </w:pPr>
            <w:r w:rsidRPr="008A703F">
              <w:rPr>
                <w:rFonts w:ascii="Garamond" w:hAnsi="Garamond"/>
                <w:color w:val="000000"/>
                <w:sz w:val="24"/>
                <w:szCs w:val="24"/>
              </w:rPr>
              <w:t>5.7733*</w:t>
            </w:r>
          </w:p>
        </w:tc>
        <w:tc>
          <w:tcPr>
            <w:tcW w:w="0" w:type="auto"/>
            <w:shd w:val="clear" w:color="auto" w:fill="auto"/>
            <w:noWrap/>
          </w:tcPr>
          <w:p w14:paraId="0AB88A2A" w14:textId="54F4A8AD" w:rsidR="00BE49FD" w:rsidRPr="008A703F" w:rsidRDefault="00BE49FD" w:rsidP="00657969">
            <w:pPr>
              <w:jc w:val="center"/>
              <w:rPr>
                <w:rFonts w:ascii="Garamond" w:hAnsi="Garamond"/>
                <w:color w:val="000000"/>
                <w:sz w:val="24"/>
                <w:szCs w:val="24"/>
              </w:rPr>
            </w:pPr>
            <w:r w:rsidRPr="008A703F">
              <w:rPr>
                <w:rFonts w:ascii="Garamond" w:hAnsi="Garamond"/>
                <w:color w:val="000000"/>
                <w:sz w:val="24"/>
                <w:szCs w:val="24"/>
              </w:rPr>
              <w:t>-0.8814</w:t>
            </w:r>
          </w:p>
        </w:tc>
        <w:tc>
          <w:tcPr>
            <w:tcW w:w="0" w:type="auto"/>
            <w:shd w:val="clear" w:color="auto" w:fill="auto"/>
            <w:noWrap/>
          </w:tcPr>
          <w:p w14:paraId="649914D1" w14:textId="6BFD6E55" w:rsidR="00BE49FD" w:rsidRPr="008A703F" w:rsidRDefault="00BE49FD" w:rsidP="00657969">
            <w:pPr>
              <w:jc w:val="center"/>
              <w:rPr>
                <w:rFonts w:ascii="Garamond" w:hAnsi="Garamond"/>
                <w:color w:val="000000"/>
                <w:sz w:val="24"/>
                <w:szCs w:val="24"/>
              </w:rPr>
            </w:pPr>
            <w:r w:rsidRPr="008A703F">
              <w:rPr>
                <w:rFonts w:ascii="Garamond" w:hAnsi="Garamond"/>
                <w:color w:val="000000"/>
                <w:sz w:val="24"/>
                <w:szCs w:val="24"/>
              </w:rPr>
              <w:t>-0.0992</w:t>
            </w:r>
          </w:p>
        </w:tc>
        <w:tc>
          <w:tcPr>
            <w:tcW w:w="0" w:type="auto"/>
            <w:shd w:val="clear" w:color="auto" w:fill="auto"/>
            <w:noWrap/>
          </w:tcPr>
          <w:p w14:paraId="5FC09288" w14:textId="305E6D94"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w:t>
            </w:r>
            <w:r w:rsidR="00D11267">
              <w:rPr>
                <w:rFonts w:ascii="Garamond" w:hAnsi="Garamond"/>
                <w:color w:val="000000"/>
                <w:sz w:val="24"/>
                <w:szCs w:val="24"/>
              </w:rPr>
              <w:t>0.3283</w:t>
            </w:r>
            <w:r w:rsidRPr="008A703F">
              <w:rPr>
                <w:rFonts w:ascii="Garamond" w:hAnsi="Garamond"/>
                <w:color w:val="000000"/>
                <w:sz w:val="24"/>
                <w:szCs w:val="24"/>
              </w:rPr>
              <w:t>*</w:t>
            </w:r>
          </w:p>
        </w:tc>
        <w:tc>
          <w:tcPr>
            <w:tcW w:w="0" w:type="auto"/>
            <w:shd w:val="clear" w:color="auto" w:fill="auto"/>
            <w:noWrap/>
          </w:tcPr>
          <w:p w14:paraId="79C247DD" w14:textId="2FED1E5A"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6.2873</w:t>
            </w:r>
            <w:r w:rsidR="00BE49FD" w:rsidRPr="008A703F">
              <w:rPr>
                <w:rFonts w:ascii="Garamond" w:hAnsi="Garamond"/>
                <w:color w:val="000000"/>
                <w:sz w:val="24"/>
                <w:szCs w:val="24"/>
              </w:rPr>
              <w:t>*</w:t>
            </w:r>
          </w:p>
        </w:tc>
        <w:tc>
          <w:tcPr>
            <w:tcW w:w="0" w:type="auto"/>
            <w:shd w:val="clear" w:color="auto" w:fill="auto"/>
            <w:noWrap/>
          </w:tcPr>
          <w:p w14:paraId="2D4BEF09" w14:textId="437C0A1F"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-0.4973</w:t>
            </w:r>
          </w:p>
        </w:tc>
        <w:tc>
          <w:tcPr>
            <w:tcW w:w="0" w:type="auto"/>
            <w:shd w:val="clear" w:color="auto" w:fill="auto"/>
            <w:noWrap/>
          </w:tcPr>
          <w:p w14:paraId="551DE896" w14:textId="673E0B85"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-0.0917</w:t>
            </w:r>
          </w:p>
        </w:tc>
        <w:tc>
          <w:tcPr>
            <w:tcW w:w="0" w:type="auto"/>
            <w:shd w:val="clear" w:color="auto" w:fill="auto"/>
            <w:noWrap/>
          </w:tcPr>
          <w:p w14:paraId="7770A4CC" w14:textId="186CB429"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-0.064</w:t>
            </w:r>
            <w:r w:rsidR="00D11267">
              <w:rPr>
                <w:rFonts w:ascii="Garamond" w:hAnsi="Garamond"/>
                <w:color w:val="000000"/>
                <w:sz w:val="24"/>
                <w:szCs w:val="24"/>
              </w:rPr>
              <w:t>2</w:t>
            </w:r>
          </w:p>
        </w:tc>
      </w:tr>
      <w:tr w:rsidR="00BE49FD" w:rsidRPr="008A703F" w14:paraId="11753665" w14:textId="77777777" w:rsidTr="00B90008">
        <w:trPr>
          <w:trHeight w:val="300"/>
          <w:jc w:val="center"/>
        </w:trPr>
        <w:tc>
          <w:tcPr>
            <w:tcW w:w="0" w:type="auto"/>
            <w:shd w:val="clear" w:color="auto" w:fill="auto"/>
            <w:noWrap/>
          </w:tcPr>
          <w:p w14:paraId="3A29CA55"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Standard deviation</w:t>
            </w:r>
          </w:p>
        </w:tc>
        <w:tc>
          <w:tcPr>
            <w:tcW w:w="0" w:type="auto"/>
            <w:shd w:val="clear" w:color="auto" w:fill="auto"/>
            <w:noWrap/>
          </w:tcPr>
          <w:p w14:paraId="7043F80A" w14:textId="196B2EBE" w:rsidR="00BE49FD" w:rsidRPr="008A703F" w:rsidRDefault="00657969" w:rsidP="00657969">
            <w:pPr>
              <w:jc w:val="center"/>
              <w:rPr>
                <w:rFonts w:ascii="Garamond" w:hAnsi="Garamond"/>
                <w:color w:val="000000"/>
                <w:sz w:val="24"/>
                <w:szCs w:val="24"/>
              </w:rPr>
            </w:pPr>
            <w:r>
              <w:rPr>
                <w:rFonts w:ascii="Garamond" w:hAnsi="Garamond"/>
                <w:color w:val="000000"/>
                <w:sz w:val="24"/>
                <w:szCs w:val="24"/>
              </w:rPr>
              <w:t>-4.8715</w:t>
            </w:r>
            <w:r w:rsidR="00BE49FD" w:rsidRPr="008A703F">
              <w:rPr>
                <w:rFonts w:ascii="Garamond" w:hAnsi="Garamond"/>
                <w:color w:val="000000"/>
                <w:sz w:val="24"/>
                <w:szCs w:val="24"/>
              </w:rPr>
              <w:t>**</w:t>
            </w:r>
          </w:p>
        </w:tc>
        <w:tc>
          <w:tcPr>
            <w:tcW w:w="0" w:type="auto"/>
            <w:shd w:val="clear" w:color="auto" w:fill="auto"/>
            <w:noWrap/>
          </w:tcPr>
          <w:p w14:paraId="7A8F9DAD" w14:textId="67C67054"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w:t>
            </w:r>
            <w:r w:rsidR="00657969">
              <w:rPr>
                <w:rFonts w:ascii="Garamond" w:hAnsi="Garamond"/>
                <w:color w:val="000000"/>
                <w:sz w:val="24"/>
                <w:szCs w:val="24"/>
              </w:rPr>
              <w:t>4.7554</w:t>
            </w:r>
            <w:r w:rsidRPr="008A703F">
              <w:rPr>
                <w:rFonts w:ascii="Garamond" w:hAnsi="Garamond"/>
                <w:color w:val="000000"/>
                <w:sz w:val="24"/>
                <w:szCs w:val="24"/>
              </w:rPr>
              <w:t>***</w:t>
            </w:r>
          </w:p>
        </w:tc>
        <w:tc>
          <w:tcPr>
            <w:tcW w:w="0" w:type="auto"/>
            <w:shd w:val="clear" w:color="auto" w:fill="auto"/>
            <w:noWrap/>
          </w:tcPr>
          <w:p w14:paraId="72A0F466" w14:textId="30920BA7"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-0.1212</w:t>
            </w:r>
            <w:r w:rsidR="00BE49FD" w:rsidRPr="008A703F">
              <w:rPr>
                <w:rFonts w:ascii="Garamond" w:hAnsi="Garamond"/>
                <w:color w:val="000000"/>
                <w:sz w:val="24"/>
                <w:szCs w:val="24"/>
              </w:rPr>
              <w:t>*</w:t>
            </w:r>
          </w:p>
        </w:tc>
        <w:tc>
          <w:tcPr>
            <w:tcW w:w="0" w:type="auto"/>
            <w:shd w:val="clear" w:color="auto" w:fill="auto"/>
            <w:noWrap/>
          </w:tcPr>
          <w:p w14:paraId="23CCE551" w14:textId="77777777"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-1.0233***</w:t>
            </w:r>
          </w:p>
        </w:tc>
        <w:tc>
          <w:tcPr>
            <w:tcW w:w="0" w:type="auto"/>
            <w:shd w:val="clear" w:color="auto" w:fill="auto"/>
            <w:noWrap/>
          </w:tcPr>
          <w:p w14:paraId="06861C70" w14:textId="36B227DB"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-5.0128***</w:t>
            </w:r>
          </w:p>
        </w:tc>
        <w:tc>
          <w:tcPr>
            <w:tcW w:w="0" w:type="auto"/>
            <w:shd w:val="clear" w:color="auto" w:fill="auto"/>
            <w:noWrap/>
          </w:tcPr>
          <w:p w14:paraId="61FD9727" w14:textId="76E6422A"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-4.7905</w:t>
            </w:r>
            <w:r w:rsidR="00BE49FD" w:rsidRPr="008A703F">
              <w:rPr>
                <w:rFonts w:ascii="Garamond" w:hAnsi="Garamond"/>
                <w:color w:val="000000"/>
                <w:sz w:val="24"/>
                <w:szCs w:val="24"/>
              </w:rPr>
              <w:t>***</w:t>
            </w:r>
          </w:p>
        </w:tc>
        <w:tc>
          <w:tcPr>
            <w:tcW w:w="0" w:type="auto"/>
            <w:shd w:val="clear" w:color="auto" w:fill="auto"/>
            <w:noWrap/>
          </w:tcPr>
          <w:p w14:paraId="589CA249" w14:textId="68920368"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0.8339*</w:t>
            </w:r>
          </w:p>
        </w:tc>
        <w:tc>
          <w:tcPr>
            <w:tcW w:w="0" w:type="auto"/>
            <w:shd w:val="clear" w:color="auto" w:fill="auto"/>
            <w:noWrap/>
          </w:tcPr>
          <w:p w14:paraId="0C0AB2AC" w14:textId="1D483687"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-0.0768***</w:t>
            </w:r>
          </w:p>
        </w:tc>
      </w:tr>
      <w:tr w:rsidR="00BE49FD" w:rsidRPr="008A703F" w14:paraId="163BF432" w14:textId="77777777" w:rsidTr="00B90008">
        <w:trPr>
          <w:trHeight w:val="300"/>
          <w:jc w:val="center"/>
        </w:trPr>
        <w:tc>
          <w:tcPr>
            <w:tcW w:w="0" w:type="auto"/>
            <w:shd w:val="clear" w:color="auto" w:fill="auto"/>
            <w:noWrap/>
          </w:tcPr>
          <w:p w14:paraId="58B48639"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ln(Market value)</w:t>
            </w:r>
          </w:p>
        </w:tc>
        <w:tc>
          <w:tcPr>
            <w:tcW w:w="0" w:type="auto"/>
            <w:shd w:val="clear" w:color="auto" w:fill="auto"/>
            <w:noWrap/>
          </w:tcPr>
          <w:p w14:paraId="208E2821" w14:textId="7F861C7B" w:rsidR="00BE49FD" w:rsidRPr="008A703F" w:rsidRDefault="00657969" w:rsidP="00B90008">
            <w:pPr>
              <w:jc w:val="center"/>
              <w:rPr>
                <w:rFonts w:ascii="Garamond" w:hAnsi="Garamond"/>
                <w:color w:val="000000"/>
                <w:sz w:val="24"/>
                <w:szCs w:val="24"/>
              </w:rPr>
            </w:pPr>
            <w:r>
              <w:rPr>
                <w:rFonts w:ascii="Garamond" w:hAnsi="Garamond"/>
                <w:color w:val="000000"/>
                <w:sz w:val="24"/>
                <w:szCs w:val="24"/>
              </w:rPr>
              <w:t>-0.071</w:t>
            </w:r>
            <w:r w:rsidR="00BE49FD" w:rsidRPr="008A703F">
              <w:rPr>
                <w:rFonts w:ascii="Garamond" w:hAnsi="Garamond"/>
                <w:color w:val="000000"/>
                <w:sz w:val="24"/>
                <w:szCs w:val="24"/>
              </w:rPr>
              <w:t>5*</w:t>
            </w:r>
          </w:p>
        </w:tc>
        <w:tc>
          <w:tcPr>
            <w:tcW w:w="0" w:type="auto"/>
            <w:shd w:val="clear" w:color="auto" w:fill="auto"/>
            <w:noWrap/>
          </w:tcPr>
          <w:p w14:paraId="08A6314A" w14:textId="49362989" w:rsidR="00BE49FD" w:rsidRPr="008A703F" w:rsidRDefault="00657969" w:rsidP="00B90008">
            <w:pPr>
              <w:jc w:val="center"/>
              <w:rPr>
                <w:rFonts w:ascii="Garamond" w:hAnsi="Garamond"/>
                <w:color w:val="000000"/>
                <w:sz w:val="24"/>
                <w:szCs w:val="24"/>
              </w:rPr>
            </w:pPr>
            <w:r>
              <w:rPr>
                <w:rFonts w:ascii="Garamond" w:hAnsi="Garamond"/>
                <w:color w:val="000000"/>
                <w:sz w:val="24"/>
                <w:szCs w:val="24"/>
              </w:rPr>
              <w:t>0.1096</w:t>
            </w:r>
          </w:p>
        </w:tc>
        <w:tc>
          <w:tcPr>
            <w:tcW w:w="0" w:type="auto"/>
            <w:shd w:val="clear" w:color="auto" w:fill="auto"/>
            <w:noWrap/>
          </w:tcPr>
          <w:p w14:paraId="6ABD994E" w14:textId="79EEC658"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-0.0003</w:t>
            </w:r>
          </w:p>
        </w:tc>
        <w:tc>
          <w:tcPr>
            <w:tcW w:w="0" w:type="auto"/>
            <w:shd w:val="clear" w:color="auto" w:fill="auto"/>
            <w:noWrap/>
          </w:tcPr>
          <w:p w14:paraId="06AF32BC" w14:textId="2DEBA753"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w:t>
            </w:r>
            <w:r w:rsidR="00D11267">
              <w:rPr>
                <w:rFonts w:ascii="Garamond" w:hAnsi="Garamond"/>
                <w:color w:val="000000"/>
                <w:sz w:val="24"/>
                <w:szCs w:val="24"/>
              </w:rPr>
              <w:t>0.0808</w:t>
            </w:r>
          </w:p>
        </w:tc>
        <w:tc>
          <w:tcPr>
            <w:tcW w:w="0" w:type="auto"/>
            <w:shd w:val="clear" w:color="auto" w:fill="auto"/>
            <w:noWrap/>
          </w:tcPr>
          <w:p w14:paraId="0A3A1145" w14:textId="6BAFC922"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-0.0709*</w:t>
            </w:r>
          </w:p>
        </w:tc>
        <w:tc>
          <w:tcPr>
            <w:tcW w:w="0" w:type="auto"/>
            <w:shd w:val="clear" w:color="auto" w:fill="auto"/>
            <w:noWrap/>
          </w:tcPr>
          <w:p w14:paraId="70B535AB" w14:textId="66F743E7"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0.0997</w:t>
            </w:r>
          </w:p>
        </w:tc>
        <w:tc>
          <w:tcPr>
            <w:tcW w:w="0" w:type="auto"/>
            <w:shd w:val="clear" w:color="auto" w:fill="auto"/>
            <w:noWrap/>
          </w:tcPr>
          <w:p w14:paraId="72D8C466" w14:textId="521604B1"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0.1116</w:t>
            </w:r>
          </w:p>
        </w:tc>
        <w:tc>
          <w:tcPr>
            <w:tcW w:w="0" w:type="auto"/>
            <w:shd w:val="clear" w:color="auto" w:fill="auto"/>
            <w:noWrap/>
          </w:tcPr>
          <w:p w14:paraId="00F370D3" w14:textId="77777777"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8.87E-05</w:t>
            </w:r>
          </w:p>
        </w:tc>
      </w:tr>
      <w:tr w:rsidR="00BE49FD" w:rsidRPr="008A703F" w14:paraId="313AD43E" w14:textId="77777777" w:rsidTr="00B90008">
        <w:trPr>
          <w:trHeight w:val="300"/>
          <w:jc w:val="center"/>
        </w:trPr>
        <w:tc>
          <w:tcPr>
            <w:tcW w:w="0" w:type="auto"/>
            <w:shd w:val="clear" w:color="auto" w:fill="auto"/>
            <w:noWrap/>
          </w:tcPr>
          <w:p w14:paraId="1513D5B8"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Industrial production</w:t>
            </w:r>
          </w:p>
        </w:tc>
        <w:tc>
          <w:tcPr>
            <w:tcW w:w="0" w:type="auto"/>
            <w:shd w:val="clear" w:color="auto" w:fill="auto"/>
            <w:noWrap/>
          </w:tcPr>
          <w:p w14:paraId="34FAB1A0" w14:textId="27CBBCD2" w:rsidR="00BE49FD" w:rsidRPr="008A703F" w:rsidRDefault="00657969" w:rsidP="00657969">
            <w:pPr>
              <w:jc w:val="center"/>
              <w:rPr>
                <w:rFonts w:ascii="Garamond" w:hAnsi="Garamond"/>
                <w:color w:val="000000"/>
                <w:sz w:val="24"/>
                <w:szCs w:val="24"/>
              </w:rPr>
            </w:pPr>
            <w:r>
              <w:rPr>
                <w:rFonts w:ascii="Garamond" w:hAnsi="Garamond"/>
                <w:color w:val="000000"/>
                <w:sz w:val="24"/>
                <w:szCs w:val="24"/>
              </w:rPr>
              <w:t>0.0008</w:t>
            </w:r>
          </w:p>
        </w:tc>
        <w:tc>
          <w:tcPr>
            <w:tcW w:w="0" w:type="auto"/>
            <w:shd w:val="clear" w:color="auto" w:fill="auto"/>
            <w:noWrap/>
          </w:tcPr>
          <w:p w14:paraId="107D04AF" w14:textId="7A169919"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0</w:t>
            </w:r>
            <w:r w:rsidR="00657969">
              <w:rPr>
                <w:rFonts w:ascii="Garamond" w:hAnsi="Garamond"/>
                <w:color w:val="000000"/>
                <w:sz w:val="24"/>
                <w:szCs w:val="24"/>
              </w:rPr>
              <w:t>.0009</w:t>
            </w:r>
          </w:p>
        </w:tc>
        <w:tc>
          <w:tcPr>
            <w:tcW w:w="0" w:type="auto"/>
            <w:shd w:val="clear" w:color="auto" w:fill="auto"/>
            <w:noWrap/>
          </w:tcPr>
          <w:p w14:paraId="2729563A" w14:textId="1480F9C4" w:rsidR="00BE49FD" w:rsidRPr="008A703F" w:rsidRDefault="00D11267" w:rsidP="00B90008">
            <w:pPr>
              <w:jc w:val="center"/>
              <w:rPr>
                <w:rFonts w:ascii="Garamond" w:hAnsi="Garamond"/>
                <w:color w:val="000000"/>
                <w:sz w:val="24"/>
                <w:szCs w:val="24"/>
              </w:rPr>
            </w:pPr>
            <w:r>
              <w:rPr>
                <w:rFonts w:ascii="Garamond" w:hAnsi="Garamond"/>
                <w:color w:val="000000"/>
                <w:sz w:val="24"/>
                <w:szCs w:val="24"/>
              </w:rPr>
              <w:t>-0.0002</w:t>
            </w:r>
          </w:p>
        </w:tc>
        <w:tc>
          <w:tcPr>
            <w:tcW w:w="0" w:type="auto"/>
            <w:shd w:val="clear" w:color="auto" w:fill="auto"/>
            <w:noWrap/>
          </w:tcPr>
          <w:p w14:paraId="77DDA414" w14:textId="563BBDED"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0.</w:t>
            </w:r>
            <w:r w:rsidR="00D11267">
              <w:rPr>
                <w:rFonts w:ascii="Garamond" w:hAnsi="Garamond"/>
                <w:color w:val="000000"/>
                <w:sz w:val="24"/>
                <w:szCs w:val="24"/>
              </w:rPr>
              <w:t>0063</w:t>
            </w:r>
          </w:p>
        </w:tc>
        <w:tc>
          <w:tcPr>
            <w:tcW w:w="0" w:type="auto"/>
            <w:shd w:val="clear" w:color="auto" w:fill="auto"/>
            <w:noWrap/>
          </w:tcPr>
          <w:p w14:paraId="0CEC93E2" w14:textId="6997FA63"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0.0009</w:t>
            </w:r>
          </w:p>
        </w:tc>
        <w:tc>
          <w:tcPr>
            <w:tcW w:w="0" w:type="auto"/>
            <w:shd w:val="clear" w:color="auto" w:fill="auto"/>
            <w:noWrap/>
          </w:tcPr>
          <w:p w14:paraId="6AF203AA" w14:textId="6D304628"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0.0016</w:t>
            </w:r>
          </w:p>
        </w:tc>
        <w:tc>
          <w:tcPr>
            <w:tcW w:w="0" w:type="auto"/>
            <w:shd w:val="clear" w:color="auto" w:fill="auto"/>
            <w:noWrap/>
          </w:tcPr>
          <w:p w14:paraId="6183844C" w14:textId="3AF6259D"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0.0021</w:t>
            </w:r>
          </w:p>
        </w:tc>
        <w:tc>
          <w:tcPr>
            <w:tcW w:w="0" w:type="auto"/>
            <w:shd w:val="clear" w:color="auto" w:fill="auto"/>
            <w:noWrap/>
          </w:tcPr>
          <w:p w14:paraId="0D77350C" w14:textId="77777777"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-4.8E-06</w:t>
            </w:r>
          </w:p>
        </w:tc>
      </w:tr>
      <w:tr w:rsidR="00BE49FD" w:rsidRPr="008A703F" w14:paraId="660008E2" w14:textId="77777777" w:rsidTr="00B90008">
        <w:trPr>
          <w:trHeight w:val="300"/>
          <w:jc w:val="center"/>
        </w:trPr>
        <w:tc>
          <w:tcPr>
            <w:tcW w:w="0" w:type="auto"/>
            <w:shd w:val="clear" w:color="auto" w:fill="auto"/>
            <w:noWrap/>
          </w:tcPr>
          <w:p w14:paraId="38ED21EB"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Inflation</w:t>
            </w:r>
          </w:p>
        </w:tc>
        <w:tc>
          <w:tcPr>
            <w:tcW w:w="0" w:type="auto"/>
            <w:shd w:val="clear" w:color="auto" w:fill="auto"/>
            <w:noWrap/>
          </w:tcPr>
          <w:p w14:paraId="7C3B1493" w14:textId="75F2C505" w:rsidR="00BE49FD" w:rsidRPr="008A703F" w:rsidRDefault="00657969" w:rsidP="00B90008">
            <w:pPr>
              <w:jc w:val="center"/>
              <w:rPr>
                <w:rFonts w:ascii="Garamond" w:hAnsi="Garamond"/>
                <w:color w:val="000000"/>
                <w:sz w:val="24"/>
                <w:szCs w:val="24"/>
              </w:rPr>
            </w:pPr>
            <w:r>
              <w:rPr>
                <w:rFonts w:ascii="Garamond" w:hAnsi="Garamond"/>
                <w:color w:val="000000"/>
                <w:sz w:val="24"/>
                <w:szCs w:val="24"/>
              </w:rPr>
              <w:t>-0.0066</w:t>
            </w:r>
            <w:r w:rsidR="00BE49FD" w:rsidRPr="008A703F">
              <w:rPr>
                <w:rFonts w:ascii="Garamond" w:hAnsi="Garamond"/>
                <w:color w:val="000000"/>
                <w:sz w:val="24"/>
                <w:szCs w:val="24"/>
              </w:rPr>
              <w:t>*</w:t>
            </w:r>
          </w:p>
        </w:tc>
        <w:tc>
          <w:tcPr>
            <w:tcW w:w="0" w:type="auto"/>
            <w:shd w:val="clear" w:color="auto" w:fill="auto"/>
            <w:noWrap/>
          </w:tcPr>
          <w:p w14:paraId="0191544D" w14:textId="1E120814" w:rsidR="00BE49FD" w:rsidRPr="008A703F" w:rsidRDefault="00657969" w:rsidP="00B90008">
            <w:pPr>
              <w:jc w:val="center"/>
              <w:rPr>
                <w:rFonts w:ascii="Garamond" w:hAnsi="Garamond"/>
                <w:color w:val="000000"/>
                <w:sz w:val="24"/>
                <w:szCs w:val="24"/>
              </w:rPr>
            </w:pPr>
            <w:r>
              <w:rPr>
                <w:rFonts w:ascii="Garamond" w:hAnsi="Garamond"/>
                <w:color w:val="000000"/>
                <w:sz w:val="24"/>
                <w:szCs w:val="24"/>
              </w:rPr>
              <w:t>-0.0166</w:t>
            </w:r>
            <w:r w:rsidR="00BE49FD" w:rsidRPr="008A703F">
              <w:rPr>
                <w:rFonts w:ascii="Garamond" w:hAnsi="Garamond"/>
                <w:color w:val="000000"/>
                <w:sz w:val="24"/>
                <w:szCs w:val="24"/>
              </w:rPr>
              <w:t>***</w:t>
            </w:r>
          </w:p>
        </w:tc>
        <w:tc>
          <w:tcPr>
            <w:tcW w:w="0" w:type="auto"/>
            <w:shd w:val="clear" w:color="auto" w:fill="auto"/>
            <w:noWrap/>
          </w:tcPr>
          <w:p w14:paraId="3F5BBC0E" w14:textId="53C8E6A0" w:rsidR="00BE49FD" w:rsidRPr="008A703F" w:rsidRDefault="00D11267" w:rsidP="00B90008">
            <w:pPr>
              <w:jc w:val="center"/>
              <w:rPr>
                <w:rFonts w:ascii="Garamond" w:hAnsi="Garamond"/>
                <w:color w:val="000000"/>
                <w:sz w:val="24"/>
                <w:szCs w:val="24"/>
              </w:rPr>
            </w:pPr>
            <w:r>
              <w:rPr>
                <w:rFonts w:ascii="Garamond" w:hAnsi="Garamond"/>
                <w:color w:val="000000"/>
                <w:sz w:val="24"/>
                <w:szCs w:val="24"/>
              </w:rPr>
              <w:t>0.0016</w:t>
            </w:r>
          </w:p>
        </w:tc>
        <w:tc>
          <w:tcPr>
            <w:tcW w:w="0" w:type="auto"/>
            <w:shd w:val="clear" w:color="auto" w:fill="auto"/>
            <w:noWrap/>
          </w:tcPr>
          <w:p w14:paraId="3D4A33C3" w14:textId="7DE3E121" w:rsidR="00BE49FD" w:rsidRPr="008A703F" w:rsidRDefault="00D11267" w:rsidP="00B90008">
            <w:pPr>
              <w:jc w:val="center"/>
              <w:rPr>
                <w:rFonts w:ascii="Garamond" w:hAnsi="Garamond"/>
                <w:color w:val="000000"/>
                <w:sz w:val="24"/>
                <w:szCs w:val="24"/>
              </w:rPr>
            </w:pPr>
            <w:r>
              <w:rPr>
                <w:rFonts w:ascii="Garamond" w:hAnsi="Garamond"/>
                <w:color w:val="000000"/>
                <w:sz w:val="24"/>
                <w:szCs w:val="24"/>
              </w:rPr>
              <w:t>0.0722</w:t>
            </w:r>
            <w:r w:rsidR="00BE49FD" w:rsidRPr="008A703F">
              <w:rPr>
                <w:rFonts w:ascii="Garamond" w:hAnsi="Garamond"/>
                <w:color w:val="000000"/>
                <w:sz w:val="24"/>
                <w:szCs w:val="24"/>
              </w:rPr>
              <w:t>**</w:t>
            </w:r>
          </w:p>
        </w:tc>
        <w:tc>
          <w:tcPr>
            <w:tcW w:w="0" w:type="auto"/>
            <w:shd w:val="clear" w:color="auto" w:fill="auto"/>
            <w:noWrap/>
          </w:tcPr>
          <w:p w14:paraId="62B09A80" w14:textId="44846732"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-0.0267</w:t>
            </w:r>
            <w:r w:rsidR="00BE49FD" w:rsidRPr="008A703F">
              <w:rPr>
                <w:rFonts w:ascii="Garamond" w:hAnsi="Garamond"/>
                <w:color w:val="000000"/>
                <w:sz w:val="24"/>
                <w:szCs w:val="24"/>
              </w:rPr>
              <w:t>*</w:t>
            </w:r>
          </w:p>
        </w:tc>
        <w:tc>
          <w:tcPr>
            <w:tcW w:w="0" w:type="auto"/>
            <w:shd w:val="clear" w:color="auto" w:fill="auto"/>
            <w:noWrap/>
          </w:tcPr>
          <w:p w14:paraId="2C241876" w14:textId="7000653D"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-0.0300***</w:t>
            </w:r>
          </w:p>
        </w:tc>
        <w:tc>
          <w:tcPr>
            <w:tcW w:w="0" w:type="auto"/>
            <w:shd w:val="clear" w:color="auto" w:fill="auto"/>
            <w:noWrap/>
          </w:tcPr>
          <w:p w14:paraId="7FCB3949" w14:textId="100DCF41"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-0.0654</w:t>
            </w:r>
          </w:p>
        </w:tc>
        <w:tc>
          <w:tcPr>
            <w:tcW w:w="0" w:type="auto"/>
            <w:shd w:val="clear" w:color="auto" w:fill="auto"/>
            <w:noWrap/>
          </w:tcPr>
          <w:p w14:paraId="32619E3B" w14:textId="36F9126C"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0.0007</w:t>
            </w:r>
            <w:r w:rsidR="00BE49FD" w:rsidRPr="008A703F">
              <w:rPr>
                <w:rFonts w:ascii="Garamond" w:hAnsi="Garamond"/>
                <w:color w:val="000000"/>
                <w:sz w:val="24"/>
                <w:szCs w:val="24"/>
              </w:rPr>
              <w:t>*</w:t>
            </w:r>
          </w:p>
        </w:tc>
      </w:tr>
      <w:tr w:rsidR="00BE49FD" w:rsidRPr="008A703F" w14:paraId="3DD18785" w14:textId="77777777" w:rsidTr="00B90008">
        <w:trPr>
          <w:trHeight w:val="300"/>
          <w:jc w:val="center"/>
        </w:trPr>
        <w:tc>
          <w:tcPr>
            <w:tcW w:w="0" w:type="auto"/>
            <w:shd w:val="clear" w:color="auto" w:fill="auto"/>
            <w:noWrap/>
          </w:tcPr>
          <w:p w14:paraId="2A61C2EF"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Stock index</w:t>
            </w:r>
          </w:p>
        </w:tc>
        <w:tc>
          <w:tcPr>
            <w:tcW w:w="0" w:type="auto"/>
            <w:shd w:val="clear" w:color="auto" w:fill="auto"/>
            <w:noWrap/>
          </w:tcPr>
          <w:p w14:paraId="038015D5" w14:textId="69FD5326" w:rsidR="00BE49FD" w:rsidRPr="008A703F" w:rsidRDefault="00657969" w:rsidP="00657969">
            <w:pPr>
              <w:jc w:val="center"/>
              <w:rPr>
                <w:rFonts w:ascii="Garamond" w:hAnsi="Garamond"/>
                <w:color w:val="000000"/>
                <w:sz w:val="24"/>
                <w:szCs w:val="24"/>
              </w:rPr>
            </w:pPr>
            <w:r>
              <w:rPr>
                <w:rFonts w:ascii="Garamond" w:hAnsi="Garamond"/>
                <w:color w:val="000000"/>
                <w:sz w:val="24"/>
                <w:szCs w:val="24"/>
              </w:rPr>
              <w:t>0.0928</w:t>
            </w:r>
          </w:p>
        </w:tc>
        <w:tc>
          <w:tcPr>
            <w:tcW w:w="0" w:type="auto"/>
            <w:shd w:val="clear" w:color="auto" w:fill="auto"/>
            <w:noWrap/>
          </w:tcPr>
          <w:p w14:paraId="63D23909" w14:textId="2C38F014"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0</w:t>
            </w:r>
            <w:r w:rsidR="00657969">
              <w:rPr>
                <w:rFonts w:ascii="Garamond" w:hAnsi="Garamond"/>
                <w:color w:val="000000"/>
                <w:sz w:val="24"/>
                <w:szCs w:val="24"/>
              </w:rPr>
              <w:t>.0227</w:t>
            </w:r>
            <w:r w:rsidRPr="008A703F">
              <w:rPr>
                <w:rFonts w:ascii="Garamond" w:hAnsi="Garamond"/>
                <w:color w:val="000000"/>
                <w:sz w:val="24"/>
                <w:szCs w:val="24"/>
              </w:rPr>
              <w:t>***</w:t>
            </w:r>
          </w:p>
        </w:tc>
        <w:tc>
          <w:tcPr>
            <w:tcW w:w="0" w:type="auto"/>
            <w:shd w:val="clear" w:color="auto" w:fill="auto"/>
            <w:noWrap/>
          </w:tcPr>
          <w:p w14:paraId="12E2F201" w14:textId="2793C2AF" w:rsidR="00BE49FD" w:rsidRPr="008A703F" w:rsidRDefault="00D11267" w:rsidP="00B90008">
            <w:pPr>
              <w:jc w:val="center"/>
              <w:rPr>
                <w:rFonts w:ascii="Garamond" w:hAnsi="Garamond"/>
                <w:color w:val="000000"/>
                <w:sz w:val="24"/>
                <w:szCs w:val="24"/>
              </w:rPr>
            </w:pPr>
            <w:r>
              <w:rPr>
                <w:rFonts w:ascii="Garamond" w:hAnsi="Garamond"/>
                <w:color w:val="000000"/>
                <w:sz w:val="24"/>
                <w:szCs w:val="24"/>
              </w:rPr>
              <w:t>-0.0212</w:t>
            </w:r>
            <w:r w:rsidR="00BE49FD" w:rsidRPr="008A703F">
              <w:rPr>
                <w:rFonts w:ascii="Garamond" w:hAnsi="Garamond"/>
                <w:color w:val="000000"/>
                <w:sz w:val="24"/>
                <w:szCs w:val="24"/>
              </w:rPr>
              <w:t>***</w:t>
            </w:r>
          </w:p>
        </w:tc>
        <w:tc>
          <w:tcPr>
            <w:tcW w:w="0" w:type="auto"/>
            <w:shd w:val="clear" w:color="auto" w:fill="auto"/>
            <w:noWrap/>
          </w:tcPr>
          <w:p w14:paraId="276ABAC6" w14:textId="77777777"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-0.4384***</w:t>
            </w:r>
          </w:p>
        </w:tc>
        <w:tc>
          <w:tcPr>
            <w:tcW w:w="0" w:type="auto"/>
            <w:shd w:val="clear" w:color="auto" w:fill="auto"/>
            <w:noWrap/>
          </w:tcPr>
          <w:p w14:paraId="448C106D" w14:textId="5E15F14A" w:rsidR="00BE49FD" w:rsidRPr="008A703F" w:rsidRDefault="00D11267" w:rsidP="00B90008">
            <w:pPr>
              <w:jc w:val="center"/>
              <w:rPr>
                <w:rFonts w:ascii="Garamond" w:hAnsi="Garamond"/>
                <w:color w:val="000000"/>
                <w:sz w:val="24"/>
                <w:szCs w:val="24"/>
              </w:rPr>
            </w:pPr>
            <w:r>
              <w:rPr>
                <w:rFonts w:ascii="Garamond" w:hAnsi="Garamond"/>
                <w:color w:val="000000"/>
                <w:sz w:val="24"/>
                <w:szCs w:val="24"/>
              </w:rPr>
              <w:t>0.1194</w:t>
            </w:r>
            <w:r w:rsidR="00BE49FD" w:rsidRPr="008A703F">
              <w:rPr>
                <w:rFonts w:ascii="Garamond" w:hAnsi="Garamond"/>
                <w:color w:val="000000"/>
                <w:sz w:val="24"/>
                <w:szCs w:val="24"/>
              </w:rPr>
              <w:t>**</w:t>
            </w:r>
          </w:p>
        </w:tc>
        <w:tc>
          <w:tcPr>
            <w:tcW w:w="0" w:type="auto"/>
            <w:shd w:val="clear" w:color="auto" w:fill="auto"/>
            <w:noWrap/>
          </w:tcPr>
          <w:p w14:paraId="4C5EFEE9" w14:textId="6E9030C1"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-0.0967</w:t>
            </w:r>
            <w:r w:rsidR="00BE49FD" w:rsidRPr="008A703F">
              <w:rPr>
                <w:rFonts w:ascii="Garamond" w:hAnsi="Garamond"/>
                <w:color w:val="000000"/>
                <w:sz w:val="24"/>
                <w:szCs w:val="24"/>
              </w:rPr>
              <w:t>***</w:t>
            </w:r>
          </w:p>
        </w:tc>
        <w:tc>
          <w:tcPr>
            <w:tcW w:w="0" w:type="auto"/>
            <w:shd w:val="clear" w:color="auto" w:fill="auto"/>
            <w:noWrap/>
          </w:tcPr>
          <w:p w14:paraId="73661E43" w14:textId="7A9A5E06"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-0.5128</w:t>
            </w:r>
            <w:r w:rsidR="00BE49FD" w:rsidRPr="008A703F">
              <w:rPr>
                <w:rFonts w:ascii="Garamond" w:hAnsi="Garamond"/>
                <w:color w:val="000000"/>
                <w:sz w:val="24"/>
                <w:szCs w:val="24"/>
              </w:rPr>
              <w:t>***</w:t>
            </w:r>
          </w:p>
        </w:tc>
        <w:tc>
          <w:tcPr>
            <w:tcW w:w="0" w:type="auto"/>
            <w:shd w:val="clear" w:color="auto" w:fill="auto"/>
            <w:noWrap/>
          </w:tcPr>
          <w:p w14:paraId="2FA3E694" w14:textId="2C28FA37"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0.0023</w:t>
            </w:r>
            <w:r w:rsidR="00BE49FD" w:rsidRPr="008A703F">
              <w:rPr>
                <w:rFonts w:ascii="Garamond" w:hAnsi="Garamond"/>
                <w:color w:val="000000"/>
                <w:sz w:val="24"/>
                <w:szCs w:val="24"/>
              </w:rPr>
              <w:t>**</w:t>
            </w:r>
          </w:p>
        </w:tc>
      </w:tr>
      <w:tr w:rsidR="00BE49FD" w:rsidRPr="008A703F" w14:paraId="4854AE2A" w14:textId="77777777" w:rsidTr="00B90008">
        <w:trPr>
          <w:trHeight w:val="300"/>
          <w:jc w:val="center"/>
        </w:trPr>
        <w:tc>
          <w:tcPr>
            <w:tcW w:w="0" w:type="auto"/>
            <w:shd w:val="clear" w:color="auto" w:fill="auto"/>
            <w:noWrap/>
          </w:tcPr>
          <w:p w14:paraId="2A48C54C" w14:textId="77777777" w:rsidR="00BE49FD" w:rsidRPr="00786CAA" w:rsidRDefault="00BE49FD" w:rsidP="00B90008">
            <w:pPr>
              <w:spacing w:line="240" w:lineRule="auto"/>
              <w:contextualSpacing/>
              <w:rPr>
                <w:rFonts w:ascii="Garamond" w:hAnsi="Garamond"/>
                <w:color w:val="000000"/>
                <w:sz w:val="24"/>
                <w:szCs w:val="24"/>
              </w:rPr>
            </w:pPr>
          </w:p>
        </w:tc>
        <w:tc>
          <w:tcPr>
            <w:tcW w:w="0" w:type="auto"/>
            <w:shd w:val="clear" w:color="auto" w:fill="auto"/>
            <w:noWrap/>
          </w:tcPr>
          <w:p w14:paraId="44C5AF21" w14:textId="77777777" w:rsidR="00BE49FD" w:rsidRPr="008A703F" w:rsidRDefault="00BE49FD" w:rsidP="00B90008">
            <w:pPr>
              <w:jc w:val="center"/>
              <w:rPr>
                <w:rFonts w:ascii="Garamond" w:hAnsi="Garamond"/>
                <w:color w:val="000000"/>
                <w:sz w:val="24"/>
                <w:szCs w:val="24"/>
              </w:rPr>
            </w:pPr>
          </w:p>
        </w:tc>
        <w:tc>
          <w:tcPr>
            <w:tcW w:w="0" w:type="auto"/>
            <w:shd w:val="clear" w:color="auto" w:fill="auto"/>
            <w:noWrap/>
          </w:tcPr>
          <w:p w14:paraId="6EDC5981" w14:textId="77777777" w:rsidR="00BE49FD" w:rsidRPr="008A703F" w:rsidRDefault="00BE49FD" w:rsidP="00B90008">
            <w:pPr>
              <w:jc w:val="center"/>
              <w:rPr>
                <w:rFonts w:ascii="Garamond" w:hAnsi="Garamond"/>
                <w:color w:val="000000"/>
                <w:sz w:val="24"/>
                <w:szCs w:val="24"/>
              </w:rPr>
            </w:pPr>
          </w:p>
        </w:tc>
        <w:tc>
          <w:tcPr>
            <w:tcW w:w="0" w:type="auto"/>
            <w:shd w:val="clear" w:color="auto" w:fill="auto"/>
            <w:noWrap/>
          </w:tcPr>
          <w:p w14:paraId="1662A5DF" w14:textId="77777777" w:rsidR="00BE49FD" w:rsidRPr="008A703F" w:rsidRDefault="00BE49FD" w:rsidP="00B90008">
            <w:pPr>
              <w:jc w:val="center"/>
              <w:rPr>
                <w:rFonts w:ascii="Garamond" w:hAnsi="Garamond"/>
                <w:color w:val="000000"/>
                <w:sz w:val="24"/>
                <w:szCs w:val="24"/>
              </w:rPr>
            </w:pPr>
          </w:p>
        </w:tc>
        <w:tc>
          <w:tcPr>
            <w:tcW w:w="0" w:type="auto"/>
            <w:shd w:val="clear" w:color="auto" w:fill="auto"/>
            <w:noWrap/>
          </w:tcPr>
          <w:p w14:paraId="6182272A" w14:textId="77777777" w:rsidR="00BE49FD" w:rsidRPr="008A703F" w:rsidRDefault="00BE49FD" w:rsidP="00B90008">
            <w:pPr>
              <w:jc w:val="center"/>
              <w:rPr>
                <w:rFonts w:ascii="Garamond" w:hAnsi="Garamond"/>
                <w:color w:val="000000"/>
                <w:sz w:val="24"/>
                <w:szCs w:val="24"/>
              </w:rPr>
            </w:pPr>
          </w:p>
        </w:tc>
        <w:tc>
          <w:tcPr>
            <w:tcW w:w="0" w:type="auto"/>
            <w:shd w:val="clear" w:color="auto" w:fill="auto"/>
            <w:noWrap/>
          </w:tcPr>
          <w:p w14:paraId="59255737" w14:textId="77777777" w:rsidR="00BE49FD" w:rsidRPr="008A703F" w:rsidRDefault="00BE49FD" w:rsidP="00B90008">
            <w:pPr>
              <w:jc w:val="center"/>
              <w:rPr>
                <w:rFonts w:ascii="Garamond" w:hAnsi="Garamond"/>
                <w:color w:val="000000"/>
                <w:sz w:val="24"/>
                <w:szCs w:val="24"/>
              </w:rPr>
            </w:pPr>
          </w:p>
        </w:tc>
        <w:tc>
          <w:tcPr>
            <w:tcW w:w="0" w:type="auto"/>
            <w:shd w:val="clear" w:color="auto" w:fill="auto"/>
            <w:noWrap/>
          </w:tcPr>
          <w:p w14:paraId="088FB479" w14:textId="77777777" w:rsidR="00BE49FD" w:rsidRPr="008A703F" w:rsidRDefault="00BE49FD" w:rsidP="00B90008">
            <w:pPr>
              <w:jc w:val="center"/>
              <w:rPr>
                <w:rFonts w:ascii="Garamond" w:hAnsi="Garamond"/>
                <w:color w:val="000000"/>
                <w:sz w:val="24"/>
                <w:szCs w:val="24"/>
              </w:rPr>
            </w:pPr>
          </w:p>
        </w:tc>
        <w:tc>
          <w:tcPr>
            <w:tcW w:w="0" w:type="auto"/>
            <w:shd w:val="clear" w:color="auto" w:fill="auto"/>
            <w:noWrap/>
          </w:tcPr>
          <w:p w14:paraId="0C0B311F" w14:textId="77777777" w:rsidR="00BE49FD" w:rsidRPr="008A703F" w:rsidRDefault="00BE49FD" w:rsidP="00B90008">
            <w:pPr>
              <w:jc w:val="center"/>
              <w:rPr>
                <w:rFonts w:ascii="Garamond" w:hAnsi="Garamond"/>
                <w:color w:val="000000"/>
                <w:sz w:val="24"/>
                <w:szCs w:val="24"/>
              </w:rPr>
            </w:pPr>
          </w:p>
        </w:tc>
        <w:tc>
          <w:tcPr>
            <w:tcW w:w="0" w:type="auto"/>
            <w:shd w:val="clear" w:color="auto" w:fill="auto"/>
            <w:noWrap/>
          </w:tcPr>
          <w:p w14:paraId="2468175A" w14:textId="77777777" w:rsidR="00BE49FD" w:rsidRPr="008A703F" w:rsidRDefault="00BE49FD" w:rsidP="00B90008">
            <w:pPr>
              <w:jc w:val="center"/>
              <w:rPr>
                <w:rFonts w:ascii="Garamond" w:hAnsi="Garamond"/>
                <w:color w:val="000000"/>
                <w:sz w:val="24"/>
                <w:szCs w:val="24"/>
              </w:rPr>
            </w:pPr>
          </w:p>
        </w:tc>
      </w:tr>
      <w:tr w:rsidR="00BE49FD" w:rsidRPr="008A703F" w14:paraId="603C417E" w14:textId="77777777" w:rsidTr="00B90008">
        <w:trPr>
          <w:trHeight w:val="300"/>
          <w:jc w:val="center"/>
        </w:trPr>
        <w:tc>
          <w:tcPr>
            <w:tcW w:w="0" w:type="auto"/>
            <w:shd w:val="clear" w:color="auto" w:fill="auto"/>
            <w:noWrap/>
          </w:tcPr>
          <w:p w14:paraId="73AA4C42"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R-Squared</w:t>
            </w:r>
          </w:p>
        </w:tc>
        <w:tc>
          <w:tcPr>
            <w:tcW w:w="0" w:type="auto"/>
            <w:shd w:val="clear" w:color="auto" w:fill="auto"/>
            <w:noWrap/>
          </w:tcPr>
          <w:p w14:paraId="673C795C" w14:textId="0CC5E833" w:rsidR="00BE49FD" w:rsidRPr="008A703F" w:rsidRDefault="00657969" w:rsidP="00657969">
            <w:pPr>
              <w:jc w:val="center"/>
              <w:rPr>
                <w:rFonts w:ascii="Garamond" w:hAnsi="Garamond"/>
                <w:color w:val="000000"/>
                <w:sz w:val="24"/>
                <w:szCs w:val="24"/>
              </w:rPr>
            </w:pPr>
            <w:r>
              <w:rPr>
                <w:rFonts w:ascii="Garamond" w:hAnsi="Garamond"/>
                <w:color w:val="000000"/>
                <w:sz w:val="24"/>
                <w:szCs w:val="24"/>
              </w:rPr>
              <w:t>0.4949</w:t>
            </w:r>
          </w:p>
        </w:tc>
        <w:tc>
          <w:tcPr>
            <w:tcW w:w="0" w:type="auto"/>
            <w:shd w:val="clear" w:color="auto" w:fill="auto"/>
            <w:noWrap/>
          </w:tcPr>
          <w:p w14:paraId="1608A228" w14:textId="1B82C745" w:rsidR="00BE49FD" w:rsidRPr="008A703F" w:rsidRDefault="00BE49FD" w:rsidP="00657969">
            <w:pPr>
              <w:jc w:val="center"/>
              <w:rPr>
                <w:rFonts w:ascii="Garamond" w:hAnsi="Garamond"/>
                <w:color w:val="000000"/>
                <w:sz w:val="24"/>
                <w:szCs w:val="24"/>
              </w:rPr>
            </w:pPr>
            <w:r w:rsidRPr="008A703F">
              <w:rPr>
                <w:rFonts w:ascii="Garamond" w:hAnsi="Garamond"/>
                <w:color w:val="000000"/>
                <w:sz w:val="24"/>
                <w:szCs w:val="24"/>
              </w:rPr>
              <w:t>0.7246</w:t>
            </w:r>
          </w:p>
        </w:tc>
        <w:tc>
          <w:tcPr>
            <w:tcW w:w="0" w:type="auto"/>
            <w:shd w:val="clear" w:color="auto" w:fill="auto"/>
            <w:noWrap/>
          </w:tcPr>
          <w:p w14:paraId="644182F0" w14:textId="28A0B83F" w:rsidR="00BE49FD" w:rsidRPr="008A703F" w:rsidRDefault="00BE49FD" w:rsidP="00B90008">
            <w:pPr>
              <w:jc w:val="center"/>
              <w:rPr>
                <w:rFonts w:ascii="Garamond" w:hAnsi="Garamond"/>
                <w:color w:val="000000"/>
                <w:sz w:val="24"/>
                <w:szCs w:val="24"/>
              </w:rPr>
            </w:pPr>
            <w:r w:rsidRPr="008A703F">
              <w:rPr>
                <w:rFonts w:ascii="Garamond" w:hAnsi="Garamond"/>
                <w:color w:val="000000"/>
                <w:sz w:val="24"/>
                <w:szCs w:val="24"/>
              </w:rPr>
              <w:t>0</w:t>
            </w:r>
            <w:r w:rsidR="00D11267">
              <w:rPr>
                <w:rFonts w:ascii="Garamond" w:hAnsi="Garamond"/>
                <w:color w:val="000000"/>
                <w:sz w:val="24"/>
                <w:szCs w:val="24"/>
              </w:rPr>
              <w:t>.2142</w:t>
            </w:r>
          </w:p>
        </w:tc>
        <w:tc>
          <w:tcPr>
            <w:tcW w:w="0" w:type="auto"/>
            <w:shd w:val="clear" w:color="auto" w:fill="auto"/>
            <w:noWrap/>
          </w:tcPr>
          <w:p w14:paraId="40492A0C" w14:textId="6F06F35D"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0.2693</w:t>
            </w:r>
          </w:p>
        </w:tc>
        <w:tc>
          <w:tcPr>
            <w:tcW w:w="0" w:type="auto"/>
            <w:shd w:val="clear" w:color="auto" w:fill="auto"/>
            <w:noWrap/>
          </w:tcPr>
          <w:p w14:paraId="51DEE7AC" w14:textId="44FE5569" w:rsidR="00BE49FD" w:rsidRPr="008A703F" w:rsidRDefault="00D11267" w:rsidP="00D11267">
            <w:pPr>
              <w:jc w:val="center"/>
              <w:rPr>
                <w:rFonts w:ascii="Garamond" w:hAnsi="Garamond"/>
                <w:color w:val="000000"/>
                <w:sz w:val="24"/>
                <w:szCs w:val="24"/>
              </w:rPr>
            </w:pPr>
            <w:r>
              <w:rPr>
                <w:rFonts w:ascii="Garamond" w:hAnsi="Garamond"/>
                <w:color w:val="000000"/>
                <w:sz w:val="24"/>
                <w:szCs w:val="24"/>
              </w:rPr>
              <w:t>0.4984</w:t>
            </w:r>
          </w:p>
        </w:tc>
        <w:tc>
          <w:tcPr>
            <w:tcW w:w="0" w:type="auto"/>
            <w:shd w:val="clear" w:color="auto" w:fill="auto"/>
            <w:noWrap/>
          </w:tcPr>
          <w:p w14:paraId="6F6A9F1A" w14:textId="435DB40E"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0.6825</w:t>
            </w:r>
          </w:p>
        </w:tc>
        <w:tc>
          <w:tcPr>
            <w:tcW w:w="0" w:type="auto"/>
            <w:shd w:val="clear" w:color="auto" w:fill="auto"/>
            <w:noWrap/>
          </w:tcPr>
          <w:p w14:paraId="68669EAE" w14:textId="5D196F95"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0.3975</w:t>
            </w:r>
          </w:p>
        </w:tc>
        <w:tc>
          <w:tcPr>
            <w:tcW w:w="0" w:type="auto"/>
            <w:shd w:val="clear" w:color="auto" w:fill="auto"/>
            <w:noWrap/>
          </w:tcPr>
          <w:p w14:paraId="43E26B54" w14:textId="06798967" w:rsidR="00BE49FD" w:rsidRPr="008A703F" w:rsidRDefault="00BE49FD" w:rsidP="00D11267">
            <w:pPr>
              <w:jc w:val="center"/>
              <w:rPr>
                <w:rFonts w:ascii="Garamond" w:hAnsi="Garamond"/>
                <w:color w:val="000000"/>
                <w:sz w:val="24"/>
                <w:szCs w:val="24"/>
              </w:rPr>
            </w:pPr>
            <w:r w:rsidRPr="008A703F">
              <w:rPr>
                <w:rFonts w:ascii="Garamond" w:hAnsi="Garamond"/>
                <w:color w:val="000000"/>
                <w:sz w:val="24"/>
                <w:szCs w:val="24"/>
              </w:rPr>
              <w:t>0.3039</w:t>
            </w:r>
          </w:p>
        </w:tc>
      </w:tr>
      <w:tr w:rsidR="00BE49FD" w:rsidRPr="008A703F" w14:paraId="08CEA5A6" w14:textId="77777777" w:rsidTr="00B90008">
        <w:trPr>
          <w:trHeight w:val="300"/>
          <w:jc w:val="center"/>
        </w:trPr>
        <w:tc>
          <w:tcPr>
            <w:tcW w:w="0" w:type="auto"/>
            <w:shd w:val="clear" w:color="auto" w:fill="auto"/>
            <w:noWrap/>
            <w:vAlign w:val="center"/>
          </w:tcPr>
          <w:p w14:paraId="02A95FA9" w14:textId="77777777" w:rsidR="00BE49FD" w:rsidRPr="00786CAA" w:rsidRDefault="00BE49FD" w:rsidP="00B90008">
            <w:pPr>
              <w:spacing w:line="240" w:lineRule="auto"/>
              <w:contextualSpacing/>
              <w:rPr>
                <w:rFonts w:ascii="Garamond" w:hAnsi="Garamond"/>
                <w:color w:val="000000"/>
                <w:sz w:val="24"/>
                <w:szCs w:val="24"/>
              </w:rPr>
            </w:pPr>
          </w:p>
        </w:tc>
        <w:tc>
          <w:tcPr>
            <w:tcW w:w="0" w:type="auto"/>
            <w:shd w:val="clear" w:color="auto" w:fill="auto"/>
            <w:noWrap/>
            <w:vAlign w:val="bottom"/>
          </w:tcPr>
          <w:p w14:paraId="36C7848D" w14:textId="77777777" w:rsidR="00BE49FD" w:rsidRPr="008A703F" w:rsidRDefault="00BE49FD" w:rsidP="00B90008">
            <w:pPr>
              <w:jc w:val="right"/>
              <w:rPr>
                <w:rFonts w:ascii="Garamond" w:hAnsi="Garamond"/>
                <w:color w:val="000000"/>
                <w:sz w:val="24"/>
                <w:szCs w:val="24"/>
              </w:rPr>
            </w:pPr>
          </w:p>
        </w:tc>
        <w:tc>
          <w:tcPr>
            <w:tcW w:w="0" w:type="auto"/>
            <w:shd w:val="clear" w:color="auto" w:fill="auto"/>
            <w:noWrap/>
            <w:vAlign w:val="bottom"/>
          </w:tcPr>
          <w:p w14:paraId="1F34EADF" w14:textId="77777777" w:rsidR="00BE49FD" w:rsidRPr="008A703F" w:rsidRDefault="00BE49FD" w:rsidP="00B90008">
            <w:pPr>
              <w:jc w:val="right"/>
              <w:rPr>
                <w:rFonts w:ascii="Garamond" w:hAnsi="Garamond"/>
                <w:color w:val="000000"/>
                <w:sz w:val="24"/>
                <w:szCs w:val="24"/>
              </w:rPr>
            </w:pPr>
          </w:p>
        </w:tc>
        <w:tc>
          <w:tcPr>
            <w:tcW w:w="0" w:type="auto"/>
            <w:shd w:val="clear" w:color="auto" w:fill="auto"/>
            <w:noWrap/>
            <w:vAlign w:val="bottom"/>
          </w:tcPr>
          <w:p w14:paraId="4C2328BB" w14:textId="77777777" w:rsidR="00BE49FD" w:rsidRPr="008A703F" w:rsidRDefault="00BE49FD" w:rsidP="00B90008">
            <w:pPr>
              <w:jc w:val="right"/>
              <w:rPr>
                <w:rFonts w:ascii="Garamond" w:hAnsi="Garamond"/>
                <w:color w:val="000000"/>
                <w:sz w:val="24"/>
                <w:szCs w:val="24"/>
              </w:rPr>
            </w:pPr>
          </w:p>
        </w:tc>
        <w:tc>
          <w:tcPr>
            <w:tcW w:w="0" w:type="auto"/>
            <w:shd w:val="clear" w:color="auto" w:fill="auto"/>
            <w:noWrap/>
            <w:vAlign w:val="bottom"/>
          </w:tcPr>
          <w:p w14:paraId="7BDE5EDA" w14:textId="77777777" w:rsidR="00BE49FD" w:rsidRPr="008A703F" w:rsidRDefault="00BE49FD" w:rsidP="00B90008">
            <w:pPr>
              <w:jc w:val="right"/>
              <w:rPr>
                <w:rFonts w:ascii="Garamond" w:hAnsi="Garamond"/>
                <w:color w:val="000000"/>
                <w:sz w:val="24"/>
                <w:szCs w:val="24"/>
              </w:rPr>
            </w:pPr>
          </w:p>
        </w:tc>
        <w:tc>
          <w:tcPr>
            <w:tcW w:w="0" w:type="auto"/>
            <w:shd w:val="clear" w:color="auto" w:fill="auto"/>
            <w:noWrap/>
            <w:vAlign w:val="bottom"/>
          </w:tcPr>
          <w:p w14:paraId="1CE9D7FE"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520FFC6C"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4A538A35"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01E9FE55" w14:textId="77777777" w:rsidR="00BE49FD" w:rsidRPr="00786CAA" w:rsidRDefault="00BE49FD" w:rsidP="00B90008">
            <w:pPr>
              <w:spacing w:line="240" w:lineRule="auto"/>
              <w:contextualSpacing/>
              <w:jc w:val="center"/>
              <w:rPr>
                <w:rFonts w:ascii="Garamond" w:hAnsi="Garamond"/>
                <w:color w:val="000000"/>
                <w:sz w:val="24"/>
                <w:szCs w:val="24"/>
              </w:rPr>
            </w:pPr>
          </w:p>
        </w:tc>
      </w:tr>
    </w:tbl>
    <w:p w14:paraId="7AB58F92" w14:textId="77777777" w:rsidR="00BE49FD" w:rsidRPr="00FE671A" w:rsidRDefault="00BE49FD" w:rsidP="00BE49FD">
      <w:pPr>
        <w:spacing w:line="360" w:lineRule="auto"/>
        <w:jc w:val="both"/>
        <w:rPr>
          <w:rFonts w:ascii="Garamond" w:hAnsi="Garamond"/>
        </w:rPr>
      </w:pPr>
      <w:r w:rsidRPr="00FE671A">
        <w:rPr>
          <w:rFonts w:ascii="Garamond" w:hAnsi="Garamond"/>
        </w:rPr>
        <w:t xml:space="preserve">Note: This table presents the average coefficients of each variable associated with for four (il)liquidity measures of </w:t>
      </w:r>
      <w:r>
        <w:rPr>
          <w:rFonts w:ascii="Garamond" w:hAnsi="Garamond"/>
        </w:rPr>
        <w:t xml:space="preserve">the </w:t>
      </w:r>
      <w:r w:rsidRPr="00FE671A">
        <w:rPr>
          <w:rFonts w:ascii="Garamond" w:hAnsi="Garamond"/>
        </w:rPr>
        <w:t xml:space="preserve">financial sector of each equity market in our sample. The levels of significance are determined based on average t-statistics. ***, ** and * significant at </w:t>
      </w:r>
      <w:r>
        <w:rPr>
          <w:rFonts w:ascii="Garamond" w:hAnsi="Garamond"/>
        </w:rPr>
        <w:t xml:space="preserve">the </w:t>
      </w:r>
      <w:r w:rsidRPr="00FE671A">
        <w:rPr>
          <w:rFonts w:ascii="Garamond" w:hAnsi="Garamond"/>
        </w:rPr>
        <w:t>1%, 5% and 10% level</w:t>
      </w:r>
      <w:r>
        <w:rPr>
          <w:rFonts w:ascii="Garamond" w:hAnsi="Garamond"/>
        </w:rPr>
        <w:t>s</w:t>
      </w:r>
      <w:r w:rsidRPr="00FE671A">
        <w:rPr>
          <w:rFonts w:ascii="Garamond" w:hAnsi="Garamond"/>
        </w:rPr>
        <w:t>.</w:t>
      </w:r>
    </w:p>
    <w:p w14:paraId="2251C2B3" w14:textId="77777777" w:rsidR="00BE49FD" w:rsidRPr="008033F6" w:rsidRDefault="00BE49FD" w:rsidP="00BE49FD">
      <w:pPr>
        <w:spacing w:line="360" w:lineRule="auto"/>
        <w:jc w:val="center"/>
        <w:rPr>
          <w:rFonts w:ascii="Garamond" w:hAnsi="Garamond"/>
          <w:sz w:val="24"/>
          <w:szCs w:val="24"/>
        </w:rPr>
      </w:pPr>
      <w:r>
        <w:rPr>
          <w:rFonts w:ascii="Garamond" w:hAnsi="Garamond"/>
          <w:sz w:val="24"/>
          <w:szCs w:val="24"/>
        </w:rPr>
        <w:br w:type="page"/>
      </w:r>
      <w:r w:rsidRPr="008033F6">
        <w:rPr>
          <w:rFonts w:ascii="Garamond" w:hAnsi="Garamond"/>
          <w:sz w:val="24"/>
          <w:szCs w:val="24"/>
        </w:rPr>
        <w:lastRenderedPageBreak/>
        <w:t>Group B: manufacturing industries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9"/>
        <w:gridCol w:w="1214"/>
        <w:gridCol w:w="1214"/>
        <w:gridCol w:w="1214"/>
        <w:gridCol w:w="1139"/>
        <w:gridCol w:w="1214"/>
        <w:gridCol w:w="1214"/>
        <w:gridCol w:w="1214"/>
        <w:gridCol w:w="1139"/>
      </w:tblGrid>
      <w:tr w:rsidR="00BE49FD" w:rsidRPr="008A703F" w14:paraId="2A7E422D" w14:textId="77777777" w:rsidTr="00B90008">
        <w:trPr>
          <w:trHeight w:val="300"/>
          <w:jc w:val="center"/>
        </w:trPr>
        <w:tc>
          <w:tcPr>
            <w:tcW w:w="0" w:type="auto"/>
            <w:shd w:val="clear" w:color="auto" w:fill="auto"/>
            <w:noWrap/>
            <w:vAlign w:val="bottom"/>
          </w:tcPr>
          <w:p w14:paraId="35A72285" w14:textId="77777777" w:rsidR="00BE49FD" w:rsidRPr="00786CAA" w:rsidRDefault="00BE49FD" w:rsidP="00B90008">
            <w:pPr>
              <w:spacing w:line="240" w:lineRule="auto"/>
              <w:contextualSpacing/>
              <w:rPr>
                <w:rFonts w:ascii="Garamond" w:hAnsi="Garamond"/>
                <w:color w:val="000000"/>
                <w:sz w:val="24"/>
                <w:szCs w:val="24"/>
              </w:rPr>
            </w:pPr>
          </w:p>
        </w:tc>
        <w:tc>
          <w:tcPr>
            <w:tcW w:w="0" w:type="auto"/>
            <w:gridSpan w:val="4"/>
            <w:shd w:val="clear" w:color="auto" w:fill="auto"/>
            <w:noWrap/>
            <w:vAlign w:val="bottom"/>
          </w:tcPr>
          <w:p w14:paraId="67E42BD2"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Monetary policy variables</w:t>
            </w:r>
          </w:p>
        </w:tc>
        <w:tc>
          <w:tcPr>
            <w:tcW w:w="0" w:type="auto"/>
            <w:gridSpan w:val="4"/>
            <w:shd w:val="clear" w:color="auto" w:fill="auto"/>
            <w:noWrap/>
            <w:vAlign w:val="bottom"/>
          </w:tcPr>
          <w:p w14:paraId="3771F985"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Fiscal policy variables</w:t>
            </w:r>
          </w:p>
        </w:tc>
      </w:tr>
      <w:tr w:rsidR="00BE49FD" w:rsidRPr="008A703F" w14:paraId="5117B213" w14:textId="77777777" w:rsidTr="00B90008">
        <w:trPr>
          <w:trHeight w:val="300"/>
          <w:jc w:val="center"/>
        </w:trPr>
        <w:tc>
          <w:tcPr>
            <w:tcW w:w="0" w:type="auto"/>
            <w:shd w:val="clear" w:color="auto" w:fill="auto"/>
            <w:noWrap/>
            <w:vAlign w:val="bottom"/>
          </w:tcPr>
          <w:p w14:paraId="48BD908A" w14:textId="77777777" w:rsidR="00BE49FD" w:rsidRPr="00786CAA" w:rsidRDefault="00BE49FD" w:rsidP="00B90008">
            <w:pPr>
              <w:spacing w:line="240" w:lineRule="auto"/>
              <w:contextualSpacing/>
              <w:rPr>
                <w:rFonts w:ascii="Garamond" w:hAnsi="Garamond"/>
                <w:color w:val="000000"/>
                <w:sz w:val="24"/>
                <w:szCs w:val="24"/>
              </w:rPr>
            </w:pPr>
          </w:p>
        </w:tc>
        <w:tc>
          <w:tcPr>
            <w:tcW w:w="0" w:type="auto"/>
            <w:gridSpan w:val="4"/>
            <w:shd w:val="clear" w:color="auto" w:fill="auto"/>
            <w:noWrap/>
            <w:vAlign w:val="bottom"/>
          </w:tcPr>
          <w:p w14:paraId="2B5ECFF5"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gridSpan w:val="4"/>
            <w:shd w:val="clear" w:color="auto" w:fill="auto"/>
            <w:noWrap/>
            <w:vAlign w:val="bottom"/>
          </w:tcPr>
          <w:p w14:paraId="6F5CAAF7" w14:textId="77777777" w:rsidR="00BE49FD" w:rsidRPr="00786CAA" w:rsidRDefault="00BE49FD" w:rsidP="00B90008">
            <w:pPr>
              <w:spacing w:line="240" w:lineRule="auto"/>
              <w:contextualSpacing/>
              <w:jc w:val="center"/>
              <w:rPr>
                <w:rFonts w:ascii="Garamond" w:hAnsi="Garamond"/>
                <w:color w:val="000000"/>
                <w:sz w:val="24"/>
                <w:szCs w:val="24"/>
              </w:rPr>
            </w:pPr>
          </w:p>
        </w:tc>
      </w:tr>
      <w:tr w:rsidR="00BE49FD" w:rsidRPr="008A703F" w14:paraId="42BDCD30" w14:textId="77777777" w:rsidTr="00B90008">
        <w:trPr>
          <w:trHeight w:val="300"/>
          <w:jc w:val="center"/>
        </w:trPr>
        <w:tc>
          <w:tcPr>
            <w:tcW w:w="0" w:type="auto"/>
            <w:shd w:val="clear" w:color="auto" w:fill="auto"/>
            <w:noWrap/>
            <w:vAlign w:val="bottom"/>
          </w:tcPr>
          <w:p w14:paraId="151775EC" w14:textId="77777777" w:rsidR="00BE49FD" w:rsidRPr="00786CAA" w:rsidRDefault="00BE49FD" w:rsidP="00B90008">
            <w:pPr>
              <w:spacing w:line="240" w:lineRule="auto"/>
              <w:contextualSpacing/>
              <w:rPr>
                <w:rFonts w:ascii="Garamond" w:hAnsi="Garamond"/>
                <w:color w:val="000000"/>
                <w:sz w:val="24"/>
                <w:szCs w:val="24"/>
              </w:rPr>
            </w:pPr>
          </w:p>
        </w:tc>
        <w:tc>
          <w:tcPr>
            <w:tcW w:w="0" w:type="auto"/>
            <w:shd w:val="clear" w:color="auto" w:fill="auto"/>
            <w:noWrap/>
            <w:vAlign w:val="bottom"/>
          </w:tcPr>
          <w:p w14:paraId="40138B3E"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TR</w:t>
            </w:r>
          </w:p>
        </w:tc>
        <w:tc>
          <w:tcPr>
            <w:tcW w:w="0" w:type="auto"/>
            <w:shd w:val="clear" w:color="auto" w:fill="auto"/>
            <w:noWrap/>
            <w:vAlign w:val="bottom"/>
          </w:tcPr>
          <w:p w14:paraId="48D19F51"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TV</w:t>
            </w:r>
          </w:p>
        </w:tc>
        <w:tc>
          <w:tcPr>
            <w:tcW w:w="0" w:type="auto"/>
            <w:shd w:val="clear" w:color="auto" w:fill="auto"/>
            <w:noWrap/>
            <w:vAlign w:val="bottom"/>
          </w:tcPr>
          <w:p w14:paraId="2CD9BF71"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ILLIQ</w:t>
            </w:r>
          </w:p>
        </w:tc>
        <w:tc>
          <w:tcPr>
            <w:tcW w:w="0" w:type="auto"/>
            <w:shd w:val="clear" w:color="auto" w:fill="auto"/>
            <w:noWrap/>
            <w:vAlign w:val="bottom"/>
          </w:tcPr>
          <w:p w14:paraId="389223CC"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TPI</w:t>
            </w:r>
          </w:p>
        </w:tc>
        <w:tc>
          <w:tcPr>
            <w:tcW w:w="0" w:type="auto"/>
            <w:shd w:val="clear" w:color="auto" w:fill="auto"/>
            <w:noWrap/>
            <w:vAlign w:val="bottom"/>
          </w:tcPr>
          <w:p w14:paraId="59742977"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TR</w:t>
            </w:r>
          </w:p>
        </w:tc>
        <w:tc>
          <w:tcPr>
            <w:tcW w:w="0" w:type="auto"/>
            <w:shd w:val="clear" w:color="auto" w:fill="auto"/>
            <w:noWrap/>
            <w:vAlign w:val="bottom"/>
          </w:tcPr>
          <w:p w14:paraId="5867AAB2"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TV</w:t>
            </w:r>
          </w:p>
        </w:tc>
        <w:tc>
          <w:tcPr>
            <w:tcW w:w="0" w:type="auto"/>
            <w:shd w:val="clear" w:color="auto" w:fill="auto"/>
            <w:noWrap/>
            <w:vAlign w:val="bottom"/>
          </w:tcPr>
          <w:p w14:paraId="1C0C6128"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ILLIQ</w:t>
            </w:r>
          </w:p>
        </w:tc>
        <w:tc>
          <w:tcPr>
            <w:tcW w:w="0" w:type="auto"/>
            <w:shd w:val="clear" w:color="auto" w:fill="auto"/>
            <w:noWrap/>
            <w:vAlign w:val="bottom"/>
          </w:tcPr>
          <w:p w14:paraId="21F803FD"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TPI</w:t>
            </w:r>
          </w:p>
        </w:tc>
      </w:tr>
      <w:tr w:rsidR="00BE49FD" w:rsidRPr="008A703F" w14:paraId="6EA4DB49" w14:textId="77777777" w:rsidTr="00B90008">
        <w:trPr>
          <w:trHeight w:val="300"/>
          <w:jc w:val="center"/>
        </w:trPr>
        <w:tc>
          <w:tcPr>
            <w:tcW w:w="0" w:type="auto"/>
            <w:shd w:val="clear" w:color="auto" w:fill="auto"/>
            <w:noWrap/>
            <w:vAlign w:val="bottom"/>
          </w:tcPr>
          <w:p w14:paraId="067580D5" w14:textId="77777777" w:rsidR="00BE49FD" w:rsidRPr="00786CAA" w:rsidRDefault="00BE49FD" w:rsidP="00B90008">
            <w:pPr>
              <w:spacing w:line="240" w:lineRule="auto"/>
              <w:contextualSpacing/>
              <w:rPr>
                <w:rFonts w:ascii="Garamond" w:hAnsi="Garamond"/>
                <w:color w:val="000000"/>
                <w:sz w:val="24"/>
                <w:szCs w:val="24"/>
              </w:rPr>
            </w:pPr>
          </w:p>
        </w:tc>
        <w:tc>
          <w:tcPr>
            <w:tcW w:w="0" w:type="auto"/>
            <w:shd w:val="clear" w:color="auto" w:fill="auto"/>
            <w:noWrap/>
            <w:vAlign w:val="bottom"/>
          </w:tcPr>
          <w:p w14:paraId="64DC2F69"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6E13CCA6"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089EDFAA"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51F72AD7"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123348C9"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547BEFDB"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31AD7E2D"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67CE411D" w14:textId="77777777" w:rsidR="00BE49FD" w:rsidRPr="00786CAA" w:rsidRDefault="00BE49FD" w:rsidP="00B90008">
            <w:pPr>
              <w:spacing w:line="240" w:lineRule="auto"/>
              <w:contextualSpacing/>
              <w:jc w:val="center"/>
              <w:rPr>
                <w:rFonts w:ascii="Garamond" w:hAnsi="Garamond"/>
                <w:color w:val="000000"/>
                <w:sz w:val="24"/>
                <w:szCs w:val="24"/>
              </w:rPr>
            </w:pPr>
          </w:p>
        </w:tc>
      </w:tr>
      <w:tr w:rsidR="00BE49FD" w:rsidRPr="008A703F" w14:paraId="6E9755B9" w14:textId="77777777" w:rsidTr="00B90008">
        <w:trPr>
          <w:trHeight w:val="300"/>
          <w:jc w:val="center"/>
        </w:trPr>
        <w:tc>
          <w:tcPr>
            <w:tcW w:w="0" w:type="auto"/>
            <w:shd w:val="clear" w:color="auto" w:fill="auto"/>
            <w:noWrap/>
            <w:vAlign w:val="center"/>
          </w:tcPr>
          <w:p w14:paraId="457D72FC"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Dependent variable</w:t>
            </w:r>
          </w:p>
        </w:tc>
        <w:tc>
          <w:tcPr>
            <w:tcW w:w="0" w:type="auto"/>
            <w:shd w:val="clear" w:color="auto" w:fill="auto"/>
            <w:noWrap/>
            <w:vAlign w:val="bottom"/>
          </w:tcPr>
          <w:p w14:paraId="78B103F0" w14:textId="2A24556C"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0.6746***</w:t>
            </w:r>
          </w:p>
        </w:tc>
        <w:tc>
          <w:tcPr>
            <w:tcW w:w="0" w:type="auto"/>
            <w:shd w:val="clear" w:color="auto" w:fill="auto"/>
            <w:noWrap/>
            <w:vAlign w:val="bottom"/>
          </w:tcPr>
          <w:p w14:paraId="39F0F896" w14:textId="17082330"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0.8326***</w:t>
            </w:r>
          </w:p>
        </w:tc>
        <w:tc>
          <w:tcPr>
            <w:tcW w:w="0" w:type="auto"/>
            <w:shd w:val="clear" w:color="auto" w:fill="auto"/>
            <w:noWrap/>
            <w:vAlign w:val="bottom"/>
          </w:tcPr>
          <w:p w14:paraId="6C7D69A2" w14:textId="4F17C2D1"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0.3388</w:t>
            </w:r>
            <w:r w:rsidR="00BE49FD" w:rsidRPr="008A703F">
              <w:rPr>
                <w:rFonts w:ascii="Garamond" w:hAnsi="Garamond"/>
                <w:color w:val="000000"/>
                <w:sz w:val="24"/>
                <w:szCs w:val="24"/>
              </w:rPr>
              <w:t>***</w:t>
            </w:r>
          </w:p>
        </w:tc>
        <w:tc>
          <w:tcPr>
            <w:tcW w:w="0" w:type="auto"/>
            <w:shd w:val="clear" w:color="auto" w:fill="auto"/>
            <w:noWrap/>
            <w:vAlign w:val="bottom"/>
          </w:tcPr>
          <w:p w14:paraId="224A4F35" w14:textId="422184FC"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0.3105***</w:t>
            </w:r>
          </w:p>
        </w:tc>
        <w:tc>
          <w:tcPr>
            <w:tcW w:w="0" w:type="auto"/>
            <w:shd w:val="clear" w:color="auto" w:fill="auto"/>
            <w:noWrap/>
            <w:vAlign w:val="bottom"/>
          </w:tcPr>
          <w:p w14:paraId="17CD78B3" w14:textId="0B58DDC0"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0.6888</w:t>
            </w:r>
            <w:r w:rsidR="00BE49FD" w:rsidRPr="008A703F">
              <w:rPr>
                <w:rFonts w:ascii="Garamond" w:hAnsi="Garamond"/>
                <w:color w:val="000000"/>
                <w:sz w:val="24"/>
                <w:szCs w:val="24"/>
              </w:rPr>
              <w:t>***</w:t>
            </w:r>
          </w:p>
        </w:tc>
        <w:tc>
          <w:tcPr>
            <w:tcW w:w="0" w:type="auto"/>
            <w:shd w:val="clear" w:color="auto" w:fill="auto"/>
            <w:noWrap/>
            <w:vAlign w:val="bottom"/>
          </w:tcPr>
          <w:p w14:paraId="409C39B4" w14:textId="15321DE8"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0.8268***</w:t>
            </w:r>
          </w:p>
        </w:tc>
        <w:tc>
          <w:tcPr>
            <w:tcW w:w="0" w:type="auto"/>
            <w:shd w:val="clear" w:color="auto" w:fill="auto"/>
            <w:noWrap/>
            <w:vAlign w:val="bottom"/>
          </w:tcPr>
          <w:p w14:paraId="445E7D97" w14:textId="7B4606A2"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0.3329</w:t>
            </w:r>
            <w:r w:rsidR="00BE49FD" w:rsidRPr="008A703F">
              <w:rPr>
                <w:rFonts w:ascii="Garamond" w:hAnsi="Garamond"/>
                <w:color w:val="000000"/>
                <w:sz w:val="24"/>
                <w:szCs w:val="24"/>
              </w:rPr>
              <w:t>***</w:t>
            </w:r>
          </w:p>
        </w:tc>
        <w:tc>
          <w:tcPr>
            <w:tcW w:w="0" w:type="auto"/>
            <w:shd w:val="clear" w:color="auto" w:fill="auto"/>
            <w:noWrap/>
            <w:vAlign w:val="bottom"/>
          </w:tcPr>
          <w:p w14:paraId="7804E377" w14:textId="436136E8"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0.3018***</w:t>
            </w:r>
          </w:p>
        </w:tc>
      </w:tr>
      <w:tr w:rsidR="00BE49FD" w:rsidRPr="008A703F" w14:paraId="08CE939E" w14:textId="77777777" w:rsidTr="00B90008">
        <w:trPr>
          <w:trHeight w:val="300"/>
          <w:jc w:val="center"/>
        </w:trPr>
        <w:tc>
          <w:tcPr>
            <w:tcW w:w="0" w:type="auto"/>
            <w:shd w:val="clear" w:color="auto" w:fill="auto"/>
            <w:noWrap/>
            <w:vAlign w:val="center"/>
          </w:tcPr>
          <w:p w14:paraId="3EC08009"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Policy variable</w:t>
            </w:r>
          </w:p>
        </w:tc>
        <w:tc>
          <w:tcPr>
            <w:tcW w:w="0" w:type="auto"/>
            <w:shd w:val="clear" w:color="auto" w:fill="auto"/>
            <w:noWrap/>
            <w:vAlign w:val="bottom"/>
          </w:tcPr>
          <w:p w14:paraId="79FCAD69" w14:textId="4EEDDE16"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0.0271*</w:t>
            </w:r>
          </w:p>
        </w:tc>
        <w:tc>
          <w:tcPr>
            <w:tcW w:w="0" w:type="auto"/>
            <w:shd w:val="clear" w:color="auto" w:fill="auto"/>
            <w:noWrap/>
            <w:vAlign w:val="bottom"/>
          </w:tcPr>
          <w:p w14:paraId="6D9594AC" w14:textId="1A1A4A92"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0.0366</w:t>
            </w:r>
          </w:p>
        </w:tc>
        <w:tc>
          <w:tcPr>
            <w:tcW w:w="0" w:type="auto"/>
            <w:shd w:val="clear" w:color="auto" w:fill="auto"/>
            <w:noWrap/>
            <w:vAlign w:val="bottom"/>
          </w:tcPr>
          <w:p w14:paraId="1E756A52" w14:textId="694E2F53"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0.0032</w:t>
            </w:r>
          </w:p>
        </w:tc>
        <w:tc>
          <w:tcPr>
            <w:tcW w:w="0" w:type="auto"/>
            <w:shd w:val="clear" w:color="auto" w:fill="auto"/>
            <w:noWrap/>
            <w:vAlign w:val="bottom"/>
          </w:tcPr>
          <w:p w14:paraId="197C8B8E" w14:textId="1AF79330"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-0.0369*</w:t>
            </w:r>
          </w:p>
        </w:tc>
        <w:tc>
          <w:tcPr>
            <w:tcW w:w="0" w:type="auto"/>
            <w:shd w:val="clear" w:color="auto" w:fill="auto"/>
            <w:noWrap/>
            <w:vAlign w:val="bottom"/>
          </w:tcPr>
          <w:p w14:paraId="5A02902A" w14:textId="066D0F5E"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0.0001</w:t>
            </w:r>
          </w:p>
        </w:tc>
        <w:tc>
          <w:tcPr>
            <w:tcW w:w="0" w:type="auto"/>
            <w:shd w:val="clear" w:color="auto" w:fill="auto"/>
            <w:noWrap/>
            <w:vAlign w:val="bottom"/>
          </w:tcPr>
          <w:p w14:paraId="2F618356" w14:textId="4ECB1907"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0.0146*</w:t>
            </w:r>
          </w:p>
        </w:tc>
        <w:tc>
          <w:tcPr>
            <w:tcW w:w="0" w:type="auto"/>
            <w:shd w:val="clear" w:color="auto" w:fill="auto"/>
            <w:noWrap/>
            <w:vAlign w:val="bottom"/>
          </w:tcPr>
          <w:p w14:paraId="4AF8392E" w14:textId="09C656EF"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-0.0007</w:t>
            </w:r>
            <w:r w:rsidR="00BE49FD" w:rsidRPr="008A703F">
              <w:rPr>
                <w:rFonts w:ascii="Garamond" w:hAnsi="Garamond"/>
                <w:color w:val="000000"/>
                <w:sz w:val="24"/>
                <w:szCs w:val="24"/>
              </w:rPr>
              <w:t>*</w:t>
            </w:r>
          </w:p>
        </w:tc>
        <w:tc>
          <w:tcPr>
            <w:tcW w:w="0" w:type="auto"/>
            <w:shd w:val="clear" w:color="auto" w:fill="auto"/>
            <w:noWrap/>
            <w:vAlign w:val="bottom"/>
          </w:tcPr>
          <w:p w14:paraId="2FB689BB" w14:textId="29AAB6EB"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0.0075</w:t>
            </w:r>
            <w:r w:rsidR="00BE49FD" w:rsidRPr="008A703F">
              <w:rPr>
                <w:rFonts w:ascii="Garamond" w:hAnsi="Garamond"/>
                <w:color w:val="000000"/>
                <w:sz w:val="24"/>
                <w:szCs w:val="24"/>
              </w:rPr>
              <w:t>**</w:t>
            </w:r>
          </w:p>
        </w:tc>
      </w:tr>
      <w:tr w:rsidR="00BE49FD" w:rsidRPr="008A703F" w14:paraId="6982F3CB" w14:textId="77777777" w:rsidTr="00B90008">
        <w:trPr>
          <w:trHeight w:val="300"/>
          <w:jc w:val="center"/>
        </w:trPr>
        <w:tc>
          <w:tcPr>
            <w:tcW w:w="0" w:type="auto"/>
            <w:shd w:val="clear" w:color="auto" w:fill="auto"/>
            <w:noWrap/>
            <w:vAlign w:val="center"/>
          </w:tcPr>
          <w:p w14:paraId="7801CF37"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Return</w:t>
            </w:r>
          </w:p>
        </w:tc>
        <w:tc>
          <w:tcPr>
            <w:tcW w:w="0" w:type="auto"/>
            <w:shd w:val="clear" w:color="auto" w:fill="auto"/>
            <w:noWrap/>
            <w:vAlign w:val="bottom"/>
          </w:tcPr>
          <w:p w14:paraId="7877615F" w14:textId="0B9C2E4A"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3.2892**</w:t>
            </w:r>
          </w:p>
        </w:tc>
        <w:tc>
          <w:tcPr>
            <w:tcW w:w="0" w:type="auto"/>
            <w:shd w:val="clear" w:color="auto" w:fill="auto"/>
            <w:noWrap/>
            <w:vAlign w:val="bottom"/>
          </w:tcPr>
          <w:p w14:paraId="16DF6509" w14:textId="2525645D"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0.8622</w:t>
            </w:r>
          </w:p>
        </w:tc>
        <w:tc>
          <w:tcPr>
            <w:tcW w:w="0" w:type="auto"/>
            <w:shd w:val="clear" w:color="auto" w:fill="auto"/>
            <w:noWrap/>
            <w:vAlign w:val="bottom"/>
          </w:tcPr>
          <w:p w14:paraId="1333D6ED" w14:textId="777A6322"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-0.1553</w:t>
            </w:r>
          </w:p>
        </w:tc>
        <w:tc>
          <w:tcPr>
            <w:tcW w:w="0" w:type="auto"/>
            <w:shd w:val="clear" w:color="auto" w:fill="auto"/>
            <w:noWrap/>
            <w:vAlign w:val="bottom"/>
          </w:tcPr>
          <w:p w14:paraId="46C8EE9B" w14:textId="04E50662"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0.2093</w:t>
            </w:r>
            <w:r w:rsidR="00BE49FD" w:rsidRPr="008A703F">
              <w:rPr>
                <w:rFonts w:ascii="Garamond" w:hAnsi="Garamond"/>
                <w:color w:val="000000"/>
                <w:sz w:val="24"/>
                <w:szCs w:val="24"/>
              </w:rPr>
              <w:t>***</w:t>
            </w:r>
          </w:p>
        </w:tc>
        <w:tc>
          <w:tcPr>
            <w:tcW w:w="0" w:type="auto"/>
            <w:shd w:val="clear" w:color="auto" w:fill="auto"/>
            <w:noWrap/>
            <w:vAlign w:val="bottom"/>
          </w:tcPr>
          <w:p w14:paraId="2576861A" w14:textId="04845A95" w:rsidR="00BE49FD" w:rsidRPr="008A703F" w:rsidRDefault="00D11267" w:rsidP="00D11267">
            <w:pPr>
              <w:jc w:val="right"/>
              <w:rPr>
                <w:rFonts w:ascii="Garamond" w:hAnsi="Garamond"/>
                <w:color w:val="000000"/>
                <w:sz w:val="24"/>
                <w:szCs w:val="24"/>
              </w:rPr>
            </w:pPr>
            <w:r>
              <w:rPr>
                <w:rFonts w:ascii="Garamond" w:hAnsi="Garamond"/>
                <w:color w:val="000000"/>
                <w:sz w:val="24"/>
                <w:szCs w:val="24"/>
              </w:rPr>
              <w:t>3.5086</w:t>
            </w:r>
          </w:p>
        </w:tc>
        <w:tc>
          <w:tcPr>
            <w:tcW w:w="0" w:type="auto"/>
            <w:shd w:val="clear" w:color="auto" w:fill="auto"/>
            <w:noWrap/>
            <w:vAlign w:val="bottom"/>
          </w:tcPr>
          <w:p w14:paraId="4F036C76" w14:textId="38EB9AA3"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0.8198</w:t>
            </w:r>
          </w:p>
        </w:tc>
        <w:tc>
          <w:tcPr>
            <w:tcW w:w="0" w:type="auto"/>
            <w:shd w:val="clear" w:color="auto" w:fill="auto"/>
            <w:noWrap/>
            <w:vAlign w:val="bottom"/>
          </w:tcPr>
          <w:p w14:paraId="5164BC9D" w14:textId="1901B4D1"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-0.0189</w:t>
            </w:r>
          </w:p>
        </w:tc>
        <w:tc>
          <w:tcPr>
            <w:tcW w:w="0" w:type="auto"/>
            <w:shd w:val="clear" w:color="auto" w:fill="auto"/>
            <w:noWrap/>
            <w:vAlign w:val="bottom"/>
          </w:tcPr>
          <w:p w14:paraId="20A4B365" w14:textId="23BDA73A"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0.0470***</w:t>
            </w:r>
          </w:p>
        </w:tc>
      </w:tr>
      <w:tr w:rsidR="00BE49FD" w:rsidRPr="008A703F" w14:paraId="285AD254" w14:textId="77777777" w:rsidTr="00B90008">
        <w:trPr>
          <w:trHeight w:val="300"/>
          <w:jc w:val="center"/>
        </w:trPr>
        <w:tc>
          <w:tcPr>
            <w:tcW w:w="0" w:type="auto"/>
            <w:shd w:val="clear" w:color="auto" w:fill="auto"/>
            <w:noWrap/>
            <w:vAlign w:val="center"/>
          </w:tcPr>
          <w:p w14:paraId="5FCFA53C"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Standard deviation</w:t>
            </w:r>
          </w:p>
        </w:tc>
        <w:tc>
          <w:tcPr>
            <w:tcW w:w="0" w:type="auto"/>
            <w:shd w:val="clear" w:color="auto" w:fill="auto"/>
            <w:noWrap/>
            <w:vAlign w:val="bottom"/>
          </w:tcPr>
          <w:p w14:paraId="3C02DD9E" w14:textId="5383CB90" w:rsidR="00BE49FD" w:rsidRPr="008A703F" w:rsidRDefault="00D11267" w:rsidP="00D11267">
            <w:pPr>
              <w:jc w:val="right"/>
              <w:rPr>
                <w:rFonts w:ascii="Garamond" w:hAnsi="Garamond"/>
                <w:color w:val="000000"/>
                <w:sz w:val="24"/>
                <w:szCs w:val="24"/>
              </w:rPr>
            </w:pPr>
            <w:r>
              <w:rPr>
                <w:rFonts w:ascii="Garamond" w:hAnsi="Garamond"/>
                <w:color w:val="000000"/>
                <w:sz w:val="24"/>
                <w:szCs w:val="24"/>
              </w:rPr>
              <w:t>-2.0415</w:t>
            </w:r>
            <w:r w:rsidR="00BE49FD" w:rsidRPr="008A703F">
              <w:rPr>
                <w:rFonts w:ascii="Garamond" w:hAnsi="Garamond"/>
                <w:color w:val="000000"/>
                <w:sz w:val="24"/>
                <w:szCs w:val="24"/>
              </w:rPr>
              <w:t>***</w:t>
            </w:r>
          </w:p>
        </w:tc>
        <w:tc>
          <w:tcPr>
            <w:tcW w:w="0" w:type="auto"/>
            <w:shd w:val="clear" w:color="auto" w:fill="auto"/>
            <w:noWrap/>
            <w:vAlign w:val="bottom"/>
          </w:tcPr>
          <w:p w14:paraId="54FCC2AD" w14:textId="2688147C"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-3.9912***</w:t>
            </w:r>
          </w:p>
        </w:tc>
        <w:tc>
          <w:tcPr>
            <w:tcW w:w="0" w:type="auto"/>
            <w:shd w:val="clear" w:color="auto" w:fill="auto"/>
            <w:noWrap/>
            <w:vAlign w:val="bottom"/>
          </w:tcPr>
          <w:p w14:paraId="7FC53D3D" w14:textId="2D3A0358"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-0.0061***</w:t>
            </w:r>
          </w:p>
        </w:tc>
        <w:tc>
          <w:tcPr>
            <w:tcW w:w="0" w:type="auto"/>
            <w:shd w:val="clear" w:color="auto" w:fill="auto"/>
            <w:noWrap/>
            <w:vAlign w:val="bottom"/>
          </w:tcPr>
          <w:p w14:paraId="4CCB378F" w14:textId="178946D6" w:rsidR="00BE49FD" w:rsidRPr="008A703F" w:rsidRDefault="00D11267" w:rsidP="00D11267">
            <w:pPr>
              <w:jc w:val="right"/>
              <w:rPr>
                <w:rFonts w:ascii="Garamond" w:hAnsi="Garamond"/>
                <w:color w:val="000000"/>
                <w:sz w:val="24"/>
                <w:szCs w:val="24"/>
              </w:rPr>
            </w:pPr>
            <w:r>
              <w:rPr>
                <w:rFonts w:ascii="Garamond" w:hAnsi="Garamond"/>
                <w:color w:val="000000"/>
                <w:sz w:val="24"/>
                <w:szCs w:val="24"/>
              </w:rPr>
              <w:t>1.3954</w:t>
            </w:r>
            <w:r w:rsidR="00BE49FD" w:rsidRPr="008A703F">
              <w:rPr>
                <w:rFonts w:ascii="Garamond" w:hAnsi="Garamond"/>
                <w:color w:val="000000"/>
                <w:sz w:val="24"/>
                <w:szCs w:val="24"/>
              </w:rPr>
              <w:t>***</w:t>
            </w:r>
          </w:p>
        </w:tc>
        <w:tc>
          <w:tcPr>
            <w:tcW w:w="0" w:type="auto"/>
            <w:shd w:val="clear" w:color="auto" w:fill="auto"/>
            <w:noWrap/>
            <w:vAlign w:val="bottom"/>
          </w:tcPr>
          <w:p w14:paraId="2B1F4018" w14:textId="7B171852" w:rsidR="00BE49FD" w:rsidRPr="008A703F" w:rsidRDefault="00D11267" w:rsidP="00D11267">
            <w:pPr>
              <w:jc w:val="right"/>
              <w:rPr>
                <w:rFonts w:ascii="Garamond" w:hAnsi="Garamond"/>
                <w:color w:val="000000"/>
                <w:sz w:val="24"/>
                <w:szCs w:val="24"/>
              </w:rPr>
            </w:pPr>
            <w:r>
              <w:rPr>
                <w:rFonts w:ascii="Garamond" w:hAnsi="Garamond"/>
                <w:color w:val="000000"/>
                <w:sz w:val="24"/>
                <w:szCs w:val="24"/>
              </w:rPr>
              <w:t>-2.1066</w:t>
            </w:r>
            <w:r w:rsidR="00BE49FD" w:rsidRPr="008A703F">
              <w:rPr>
                <w:rFonts w:ascii="Garamond" w:hAnsi="Garamond"/>
                <w:color w:val="000000"/>
                <w:sz w:val="24"/>
                <w:szCs w:val="24"/>
              </w:rPr>
              <w:t>***</w:t>
            </w:r>
          </w:p>
        </w:tc>
        <w:tc>
          <w:tcPr>
            <w:tcW w:w="0" w:type="auto"/>
            <w:shd w:val="clear" w:color="auto" w:fill="auto"/>
            <w:noWrap/>
            <w:vAlign w:val="bottom"/>
          </w:tcPr>
          <w:p w14:paraId="68EA95B5" w14:textId="00947141" w:rsidR="00BE49FD" w:rsidRPr="008A703F" w:rsidRDefault="00D11267" w:rsidP="00D11267">
            <w:pPr>
              <w:jc w:val="right"/>
              <w:rPr>
                <w:rFonts w:ascii="Garamond" w:hAnsi="Garamond"/>
                <w:color w:val="000000"/>
                <w:sz w:val="24"/>
                <w:szCs w:val="24"/>
              </w:rPr>
            </w:pPr>
            <w:r>
              <w:rPr>
                <w:rFonts w:ascii="Garamond" w:hAnsi="Garamond"/>
                <w:color w:val="000000"/>
                <w:sz w:val="24"/>
                <w:szCs w:val="24"/>
              </w:rPr>
              <w:t>-3.9981</w:t>
            </w:r>
            <w:r w:rsidR="00BE49FD" w:rsidRPr="008A703F">
              <w:rPr>
                <w:rFonts w:ascii="Garamond" w:hAnsi="Garamond"/>
                <w:color w:val="000000"/>
                <w:sz w:val="24"/>
                <w:szCs w:val="24"/>
              </w:rPr>
              <w:t>***</w:t>
            </w:r>
          </w:p>
        </w:tc>
        <w:tc>
          <w:tcPr>
            <w:tcW w:w="0" w:type="auto"/>
            <w:shd w:val="clear" w:color="auto" w:fill="auto"/>
            <w:noWrap/>
            <w:vAlign w:val="bottom"/>
          </w:tcPr>
          <w:p w14:paraId="0A7E3B6A" w14:textId="22D0CAAF"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-0.0061</w:t>
            </w:r>
            <w:r w:rsidR="00BE49FD" w:rsidRPr="008A703F">
              <w:rPr>
                <w:rFonts w:ascii="Garamond" w:hAnsi="Garamond"/>
                <w:color w:val="000000"/>
                <w:sz w:val="24"/>
                <w:szCs w:val="24"/>
              </w:rPr>
              <w:t>***</w:t>
            </w:r>
          </w:p>
        </w:tc>
        <w:tc>
          <w:tcPr>
            <w:tcW w:w="0" w:type="auto"/>
            <w:shd w:val="clear" w:color="auto" w:fill="auto"/>
            <w:noWrap/>
            <w:vAlign w:val="bottom"/>
          </w:tcPr>
          <w:p w14:paraId="27BA123F" w14:textId="4FB25456"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1.5733***</w:t>
            </w:r>
          </w:p>
        </w:tc>
      </w:tr>
      <w:tr w:rsidR="00BE49FD" w:rsidRPr="008A703F" w14:paraId="7FD8D8CC" w14:textId="77777777" w:rsidTr="00B90008">
        <w:trPr>
          <w:trHeight w:val="300"/>
          <w:jc w:val="center"/>
        </w:trPr>
        <w:tc>
          <w:tcPr>
            <w:tcW w:w="0" w:type="auto"/>
            <w:shd w:val="clear" w:color="auto" w:fill="auto"/>
            <w:noWrap/>
            <w:vAlign w:val="center"/>
          </w:tcPr>
          <w:p w14:paraId="3F43B962"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ln(Market value)</w:t>
            </w:r>
          </w:p>
        </w:tc>
        <w:tc>
          <w:tcPr>
            <w:tcW w:w="0" w:type="auto"/>
            <w:shd w:val="clear" w:color="auto" w:fill="auto"/>
            <w:noWrap/>
            <w:vAlign w:val="bottom"/>
          </w:tcPr>
          <w:p w14:paraId="242BA86A" w14:textId="2ACBABFF"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-0.0159</w:t>
            </w:r>
          </w:p>
        </w:tc>
        <w:tc>
          <w:tcPr>
            <w:tcW w:w="0" w:type="auto"/>
            <w:shd w:val="clear" w:color="auto" w:fill="auto"/>
            <w:noWrap/>
            <w:vAlign w:val="bottom"/>
          </w:tcPr>
          <w:p w14:paraId="39E8ACBF" w14:textId="467C96FD"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-0.075</w:t>
            </w:r>
            <w:r w:rsidR="00D11267">
              <w:rPr>
                <w:rFonts w:ascii="Garamond" w:hAnsi="Garamond"/>
                <w:color w:val="000000"/>
                <w:sz w:val="24"/>
                <w:szCs w:val="24"/>
              </w:rPr>
              <w:t>9</w:t>
            </w:r>
          </w:p>
        </w:tc>
        <w:tc>
          <w:tcPr>
            <w:tcW w:w="0" w:type="auto"/>
            <w:shd w:val="clear" w:color="auto" w:fill="auto"/>
            <w:noWrap/>
            <w:vAlign w:val="bottom"/>
          </w:tcPr>
          <w:p w14:paraId="2E37E4BE" w14:textId="74E96852"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-0.0055</w:t>
            </w:r>
          </w:p>
        </w:tc>
        <w:tc>
          <w:tcPr>
            <w:tcW w:w="0" w:type="auto"/>
            <w:shd w:val="clear" w:color="auto" w:fill="auto"/>
            <w:noWrap/>
            <w:vAlign w:val="bottom"/>
          </w:tcPr>
          <w:p w14:paraId="314F2032" w14:textId="086F456E"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-0.0794</w:t>
            </w:r>
          </w:p>
        </w:tc>
        <w:tc>
          <w:tcPr>
            <w:tcW w:w="0" w:type="auto"/>
            <w:shd w:val="clear" w:color="auto" w:fill="auto"/>
            <w:noWrap/>
            <w:vAlign w:val="bottom"/>
          </w:tcPr>
          <w:p w14:paraId="4392E978" w14:textId="72626EFF"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-0.0161</w:t>
            </w:r>
          </w:p>
        </w:tc>
        <w:tc>
          <w:tcPr>
            <w:tcW w:w="0" w:type="auto"/>
            <w:shd w:val="clear" w:color="auto" w:fill="auto"/>
            <w:noWrap/>
            <w:vAlign w:val="bottom"/>
          </w:tcPr>
          <w:p w14:paraId="7613691F" w14:textId="259ED24C"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-0.0908</w:t>
            </w:r>
          </w:p>
        </w:tc>
        <w:tc>
          <w:tcPr>
            <w:tcW w:w="0" w:type="auto"/>
            <w:shd w:val="clear" w:color="auto" w:fill="auto"/>
            <w:noWrap/>
            <w:vAlign w:val="bottom"/>
          </w:tcPr>
          <w:p w14:paraId="61B4C3DE" w14:textId="3EFC5C03"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-0.0053</w:t>
            </w:r>
          </w:p>
        </w:tc>
        <w:tc>
          <w:tcPr>
            <w:tcW w:w="0" w:type="auto"/>
            <w:shd w:val="clear" w:color="auto" w:fill="auto"/>
            <w:noWrap/>
            <w:vAlign w:val="bottom"/>
          </w:tcPr>
          <w:p w14:paraId="6ECB145B" w14:textId="54D0513D"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-0.077</w:t>
            </w:r>
            <w:r w:rsidR="00D11267">
              <w:rPr>
                <w:rFonts w:ascii="Garamond" w:hAnsi="Garamond"/>
                <w:color w:val="000000"/>
                <w:sz w:val="24"/>
                <w:szCs w:val="24"/>
              </w:rPr>
              <w:t>9</w:t>
            </w:r>
          </w:p>
        </w:tc>
      </w:tr>
      <w:tr w:rsidR="00BE49FD" w:rsidRPr="008A703F" w14:paraId="374522E2" w14:textId="77777777" w:rsidTr="00B90008">
        <w:trPr>
          <w:trHeight w:val="300"/>
          <w:jc w:val="center"/>
        </w:trPr>
        <w:tc>
          <w:tcPr>
            <w:tcW w:w="0" w:type="auto"/>
            <w:shd w:val="clear" w:color="auto" w:fill="auto"/>
            <w:noWrap/>
            <w:vAlign w:val="center"/>
          </w:tcPr>
          <w:p w14:paraId="3D02001F"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Industrial production</w:t>
            </w:r>
          </w:p>
        </w:tc>
        <w:tc>
          <w:tcPr>
            <w:tcW w:w="0" w:type="auto"/>
            <w:shd w:val="clear" w:color="auto" w:fill="auto"/>
            <w:noWrap/>
            <w:vAlign w:val="bottom"/>
          </w:tcPr>
          <w:p w14:paraId="10CB8267" w14:textId="1B2EC446" w:rsidR="00BE49FD" w:rsidRPr="008A703F" w:rsidRDefault="00D11267" w:rsidP="00B90008">
            <w:pPr>
              <w:jc w:val="right"/>
              <w:rPr>
                <w:rFonts w:ascii="Garamond" w:hAnsi="Garamond"/>
                <w:color w:val="000000"/>
                <w:sz w:val="24"/>
                <w:szCs w:val="24"/>
              </w:rPr>
            </w:pPr>
            <w:r>
              <w:rPr>
                <w:rFonts w:ascii="Garamond" w:hAnsi="Garamond"/>
                <w:color w:val="000000"/>
                <w:sz w:val="24"/>
                <w:szCs w:val="24"/>
              </w:rPr>
              <w:t>0.0019</w:t>
            </w:r>
            <w:r w:rsidR="00BE49FD" w:rsidRPr="008A703F">
              <w:rPr>
                <w:rFonts w:ascii="Garamond" w:hAnsi="Garamond"/>
                <w:color w:val="000000"/>
                <w:sz w:val="24"/>
                <w:szCs w:val="24"/>
              </w:rPr>
              <w:t>**</w:t>
            </w:r>
          </w:p>
        </w:tc>
        <w:tc>
          <w:tcPr>
            <w:tcW w:w="0" w:type="auto"/>
            <w:shd w:val="clear" w:color="auto" w:fill="auto"/>
            <w:noWrap/>
            <w:vAlign w:val="bottom"/>
          </w:tcPr>
          <w:p w14:paraId="6A56546D" w14:textId="4124FF8B"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0.0107***</w:t>
            </w:r>
          </w:p>
        </w:tc>
        <w:tc>
          <w:tcPr>
            <w:tcW w:w="0" w:type="auto"/>
            <w:shd w:val="clear" w:color="auto" w:fill="auto"/>
            <w:noWrap/>
            <w:vAlign w:val="bottom"/>
          </w:tcPr>
          <w:p w14:paraId="0CF1BD7B" w14:textId="66F009B7"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0.0001</w:t>
            </w:r>
          </w:p>
        </w:tc>
        <w:tc>
          <w:tcPr>
            <w:tcW w:w="0" w:type="auto"/>
            <w:shd w:val="clear" w:color="auto" w:fill="auto"/>
            <w:noWrap/>
            <w:vAlign w:val="bottom"/>
          </w:tcPr>
          <w:p w14:paraId="30FED008" w14:textId="58F51CF7"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-0.0118</w:t>
            </w:r>
          </w:p>
        </w:tc>
        <w:tc>
          <w:tcPr>
            <w:tcW w:w="0" w:type="auto"/>
            <w:shd w:val="clear" w:color="auto" w:fill="auto"/>
            <w:noWrap/>
            <w:vAlign w:val="bottom"/>
          </w:tcPr>
          <w:p w14:paraId="3A7F8D29" w14:textId="19A4CA03"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0.0023</w:t>
            </w:r>
            <w:r w:rsidR="00BE49FD" w:rsidRPr="008A703F">
              <w:rPr>
                <w:rFonts w:ascii="Garamond" w:hAnsi="Garamond"/>
                <w:color w:val="000000"/>
                <w:sz w:val="24"/>
                <w:szCs w:val="24"/>
              </w:rPr>
              <w:t>***</w:t>
            </w:r>
          </w:p>
        </w:tc>
        <w:tc>
          <w:tcPr>
            <w:tcW w:w="0" w:type="auto"/>
            <w:shd w:val="clear" w:color="auto" w:fill="auto"/>
            <w:noWrap/>
            <w:vAlign w:val="bottom"/>
          </w:tcPr>
          <w:p w14:paraId="4A5737F5" w14:textId="2D161A07"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0.0127</w:t>
            </w:r>
            <w:r w:rsidR="00BE49FD" w:rsidRPr="008A703F">
              <w:rPr>
                <w:rFonts w:ascii="Garamond" w:hAnsi="Garamond"/>
                <w:color w:val="000000"/>
                <w:sz w:val="24"/>
                <w:szCs w:val="24"/>
              </w:rPr>
              <w:t>***</w:t>
            </w:r>
          </w:p>
        </w:tc>
        <w:tc>
          <w:tcPr>
            <w:tcW w:w="0" w:type="auto"/>
            <w:shd w:val="clear" w:color="auto" w:fill="auto"/>
            <w:noWrap/>
            <w:vAlign w:val="bottom"/>
          </w:tcPr>
          <w:p w14:paraId="0F0A9896" w14:textId="7262C105"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-0.0001</w:t>
            </w:r>
          </w:p>
        </w:tc>
        <w:tc>
          <w:tcPr>
            <w:tcW w:w="0" w:type="auto"/>
            <w:shd w:val="clear" w:color="auto" w:fill="auto"/>
            <w:noWrap/>
            <w:vAlign w:val="bottom"/>
          </w:tcPr>
          <w:p w14:paraId="248C5928" w14:textId="5B5A4435"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-0.012</w:t>
            </w:r>
            <w:r w:rsidR="00D11267">
              <w:rPr>
                <w:rFonts w:ascii="Garamond" w:hAnsi="Garamond"/>
                <w:color w:val="000000"/>
                <w:sz w:val="24"/>
                <w:szCs w:val="24"/>
              </w:rPr>
              <w:t>6</w:t>
            </w:r>
          </w:p>
        </w:tc>
      </w:tr>
      <w:tr w:rsidR="00BE49FD" w:rsidRPr="008A703F" w14:paraId="5C97CB52" w14:textId="77777777" w:rsidTr="00B90008">
        <w:trPr>
          <w:trHeight w:val="300"/>
          <w:jc w:val="center"/>
        </w:trPr>
        <w:tc>
          <w:tcPr>
            <w:tcW w:w="0" w:type="auto"/>
            <w:shd w:val="clear" w:color="auto" w:fill="auto"/>
            <w:noWrap/>
            <w:vAlign w:val="center"/>
          </w:tcPr>
          <w:p w14:paraId="7257F949"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Inflation</w:t>
            </w:r>
          </w:p>
        </w:tc>
        <w:tc>
          <w:tcPr>
            <w:tcW w:w="0" w:type="auto"/>
            <w:shd w:val="clear" w:color="auto" w:fill="auto"/>
            <w:noWrap/>
            <w:vAlign w:val="bottom"/>
          </w:tcPr>
          <w:p w14:paraId="340366C6" w14:textId="0005147D" w:rsidR="00BE49FD" w:rsidRPr="008A703F" w:rsidRDefault="00D11267" w:rsidP="00B90008">
            <w:pPr>
              <w:jc w:val="right"/>
              <w:rPr>
                <w:rFonts w:ascii="Garamond" w:hAnsi="Garamond"/>
                <w:color w:val="000000"/>
                <w:sz w:val="24"/>
                <w:szCs w:val="24"/>
              </w:rPr>
            </w:pPr>
            <w:r>
              <w:rPr>
                <w:rFonts w:ascii="Garamond" w:hAnsi="Garamond"/>
                <w:color w:val="000000"/>
                <w:sz w:val="24"/>
                <w:szCs w:val="24"/>
              </w:rPr>
              <w:t>-0.0185</w:t>
            </w:r>
            <w:r w:rsidR="00BE49FD" w:rsidRPr="008A703F">
              <w:rPr>
                <w:rFonts w:ascii="Garamond" w:hAnsi="Garamond"/>
                <w:color w:val="000000"/>
                <w:sz w:val="24"/>
                <w:szCs w:val="24"/>
              </w:rPr>
              <w:t>***</w:t>
            </w:r>
          </w:p>
        </w:tc>
        <w:tc>
          <w:tcPr>
            <w:tcW w:w="0" w:type="auto"/>
            <w:shd w:val="clear" w:color="auto" w:fill="auto"/>
            <w:noWrap/>
            <w:vAlign w:val="bottom"/>
          </w:tcPr>
          <w:p w14:paraId="018A7A26" w14:textId="2EC692EA"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0.0019</w:t>
            </w:r>
          </w:p>
        </w:tc>
        <w:tc>
          <w:tcPr>
            <w:tcW w:w="0" w:type="auto"/>
            <w:shd w:val="clear" w:color="auto" w:fill="auto"/>
            <w:noWrap/>
            <w:vAlign w:val="bottom"/>
          </w:tcPr>
          <w:p w14:paraId="387CAA78" w14:textId="73E60BAE"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-0.0036</w:t>
            </w:r>
            <w:r w:rsidR="00BE49FD" w:rsidRPr="008A703F">
              <w:rPr>
                <w:rFonts w:ascii="Garamond" w:hAnsi="Garamond"/>
                <w:color w:val="000000"/>
                <w:sz w:val="24"/>
                <w:szCs w:val="24"/>
              </w:rPr>
              <w:t>**</w:t>
            </w:r>
          </w:p>
        </w:tc>
        <w:tc>
          <w:tcPr>
            <w:tcW w:w="0" w:type="auto"/>
            <w:shd w:val="clear" w:color="auto" w:fill="auto"/>
            <w:noWrap/>
            <w:vAlign w:val="bottom"/>
          </w:tcPr>
          <w:p w14:paraId="21A48CF2" w14:textId="6916EE3F"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-0.0747</w:t>
            </w:r>
          </w:p>
        </w:tc>
        <w:tc>
          <w:tcPr>
            <w:tcW w:w="0" w:type="auto"/>
            <w:shd w:val="clear" w:color="auto" w:fill="auto"/>
            <w:noWrap/>
            <w:vAlign w:val="bottom"/>
          </w:tcPr>
          <w:p w14:paraId="40BFEC91" w14:textId="4C8F3A0C"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-0.0231</w:t>
            </w:r>
            <w:r w:rsidR="00BE49FD" w:rsidRPr="008A703F">
              <w:rPr>
                <w:rFonts w:ascii="Garamond" w:hAnsi="Garamond"/>
                <w:color w:val="000000"/>
                <w:sz w:val="24"/>
                <w:szCs w:val="24"/>
              </w:rPr>
              <w:t>***</w:t>
            </w:r>
          </w:p>
        </w:tc>
        <w:tc>
          <w:tcPr>
            <w:tcW w:w="0" w:type="auto"/>
            <w:shd w:val="clear" w:color="auto" w:fill="auto"/>
            <w:noWrap/>
            <w:vAlign w:val="bottom"/>
          </w:tcPr>
          <w:p w14:paraId="1DE3498D" w14:textId="2E0FBA65"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-0.0337</w:t>
            </w:r>
          </w:p>
        </w:tc>
        <w:tc>
          <w:tcPr>
            <w:tcW w:w="0" w:type="auto"/>
            <w:shd w:val="clear" w:color="auto" w:fill="auto"/>
            <w:noWrap/>
            <w:vAlign w:val="bottom"/>
          </w:tcPr>
          <w:p w14:paraId="338955A7" w14:textId="5193C62A"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-0.0032**</w:t>
            </w:r>
          </w:p>
        </w:tc>
        <w:tc>
          <w:tcPr>
            <w:tcW w:w="0" w:type="auto"/>
            <w:shd w:val="clear" w:color="auto" w:fill="auto"/>
            <w:noWrap/>
            <w:vAlign w:val="bottom"/>
          </w:tcPr>
          <w:p w14:paraId="36A7C0AF" w14:textId="3456AF50"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-0.017</w:t>
            </w:r>
            <w:r w:rsidR="00D11267">
              <w:rPr>
                <w:rFonts w:ascii="Garamond" w:hAnsi="Garamond"/>
                <w:color w:val="000000"/>
                <w:sz w:val="24"/>
                <w:szCs w:val="24"/>
              </w:rPr>
              <w:t>7</w:t>
            </w:r>
            <w:r w:rsidRPr="008A703F">
              <w:rPr>
                <w:rFonts w:ascii="Garamond" w:hAnsi="Garamond"/>
                <w:color w:val="000000"/>
                <w:sz w:val="24"/>
                <w:szCs w:val="24"/>
              </w:rPr>
              <w:t>**</w:t>
            </w:r>
          </w:p>
        </w:tc>
      </w:tr>
      <w:tr w:rsidR="00BE49FD" w:rsidRPr="008A703F" w14:paraId="37DD12A7" w14:textId="77777777" w:rsidTr="00B90008">
        <w:trPr>
          <w:trHeight w:val="300"/>
          <w:jc w:val="center"/>
        </w:trPr>
        <w:tc>
          <w:tcPr>
            <w:tcW w:w="0" w:type="auto"/>
            <w:shd w:val="clear" w:color="auto" w:fill="auto"/>
            <w:noWrap/>
            <w:vAlign w:val="center"/>
          </w:tcPr>
          <w:p w14:paraId="465FE926"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Stock index</w:t>
            </w:r>
          </w:p>
        </w:tc>
        <w:tc>
          <w:tcPr>
            <w:tcW w:w="0" w:type="auto"/>
            <w:shd w:val="clear" w:color="auto" w:fill="auto"/>
            <w:noWrap/>
            <w:vAlign w:val="bottom"/>
          </w:tcPr>
          <w:p w14:paraId="688020E8" w14:textId="509475CB" w:rsidR="00BE49FD" w:rsidRPr="008A703F" w:rsidRDefault="00D11267" w:rsidP="00B90008">
            <w:pPr>
              <w:jc w:val="right"/>
              <w:rPr>
                <w:rFonts w:ascii="Garamond" w:hAnsi="Garamond"/>
                <w:color w:val="000000"/>
                <w:sz w:val="24"/>
                <w:szCs w:val="24"/>
              </w:rPr>
            </w:pPr>
            <w:r>
              <w:rPr>
                <w:rFonts w:ascii="Garamond" w:hAnsi="Garamond"/>
                <w:color w:val="000000"/>
                <w:sz w:val="24"/>
                <w:szCs w:val="24"/>
              </w:rPr>
              <w:t>0.1624</w:t>
            </w:r>
            <w:r w:rsidR="00BE49FD" w:rsidRPr="008A703F">
              <w:rPr>
                <w:rFonts w:ascii="Garamond" w:hAnsi="Garamond"/>
                <w:color w:val="000000"/>
                <w:sz w:val="24"/>
                <w:szCs w:val="24"/>
              </w:rPr>
              <w:t>***</w:t>
            </w:r>
          </w:p>
        </w:tc>
        <w:tc>
          <w:tcPr>
            <w:tcW w:w="0" w:type="auto"/>
            <w:shd w:val="clear" w:color="auto" w:fill="auto"/>
            <w:noWrap/>
            <w:vAlign w:val="bottom"/>
          </w:tcPr>
          <w:p w14:paraId="167B56C6" w14:textId="12FEE2B8"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-0.0717***</w:t>
            </w:r>
          </w:p>
        </w:tc>
        <w:tc>
          <w:tcPr>
            <w:tcW w:w="0" w:type="auto"/>
            <w:shd w:val="clear" w:color="auto" w:fill="auto"/>
            <w:noWrap/>
            <w:vAlign w:val="bottom"/>
          </w:tcPr>
          <w:p w14:paraId="14BCB263" w14:textId="7AB91607"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-0.018</w:t>
            </w:r>
            <w:r w:rsidR="00D11267">
              <w:rPr>
                <w:rFonts w:ascii="Garamond" w:hAnsi="Garamond"/>
                <w:color w:val="000000"/>
                <w:sz w:val="24"/>
                <w:szCs w:val="24"/>
              </w:rPr>
              <w:t>1</w:t>
            </w:r>
            <w:r w:rsidRPr="008A703F">
              <w:rPr>
                <w:rFonts w:ascii="Garamond" w:hAnsi="Garamond"/>
                <w:color w:val="000000"/>
                <w:sz w:val="24"/>
                <w:szCs w:val="24"/>
              </w:rPr>
              <w:t>***</w:t>
            </w:r>
          </w:p>
        </w:tc>
        <w:tc>
          <w:tcPr>
            <w:tcW w:w="0" w:type="auto"/>
            <w:shd w:val="clear" w:color="auto" w:fill="auto"/>
            <w:noWrap/>
            <w:vAlign w:val="bottom"/>
          </w:tcPr>
          <w:p w14:paraId="26144C3E" w14:textId="71DEAE8B"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w:t>
            </w:r>
            <w:r w:rsidR="00D11267">
              <w:rPr>
                <w:rFonts w:ascii="Garamond" w:hAnsi="Garamond"/>
                <w:color w:val="000000"/>
                <w:sz w:val="24"/>
                <w:szCs w:val="24"/>
              </w:rPr>
              <w:t>5815</w:t>
            </w:r>
          </w:p>
        </w:tc>
        <w:tc>
          <w:tcPr>
            <w:tcW w:w="0" w:type="auto"/>
            <w:shd w:val="clear" w:color="auto" w:fill="auto"/>
            <w:noWrap/>
            <w:vAlign w:val="bottom"/>
          </w:tcPr>
          <w:p w14:paraId="73BDBCEA" w14:textId="0AA95E6E"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0.1637</w:t>
            </w:r>
            <w:r w:rsidR="00BE49FD" w:rsidRPr="008A703F">
              <w:rPr>
                <w:rFonts w:ascii="Garamond" w:hAnsi="Garamond"/>
                <w:color w:val="000000"/>
                <w:sz w:val="24"/>
                <w:szCs w:val="24"/>
              </w:rPr>
              <w:t>***</w:t>
            </w:r>
          </w:p>
        </w:tc>
        <w:tc>
          <w:tcPr>
            <w:tcW w:w="0" w:type="auto"/>
            <w:shd w:val="clear" w:color="auto" w:fill="auto"/>
            <w:noWrap/>
            <w:vAlign w:val="bottom"/>
          </w:tcPr>
          <w:p w14:paraId="51054768" w14:textId="2C6E7E33"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-0.1787***</w:t>
            </w:r>
          </w:p>
        </w:tc>
        <w:tc>
          <w:tcPr>
            <w:tcW w:w="0" w:type="auto"/>
            <w:shd w:val="clear" w:color="auto" w:fill="auto"/>
            <w:noWrap/>
            <w:vAlign w:val="bottom"/>
          </w:tcPr>
          <w:p w14:paraId="529137EC" w14:textId="2D262215" w:rsidR="00BE49FD" w:rsidRPr="008A703F" w:rsidRDefault="00BE49FD" w:rsidP="00B90008">
            <w:pPr>
              <w:jc w:val="right"/>
              <w:rPr>
                <w:rFonts w:ascii="Garamond" w:hAnsi="Garamond"/>
                <w:color w:val="000000"/>
                <w:sz w:val="24"/>
                <w:szCs w:val="24"/>
              </w:rPr>
            </w:pPr>
            <w:r w:rsidRPr="008A703F">
              <w:rPr>
                <w:rFonts w:ascii="Garamond" w:hAnsi="Garamond"/>
                <w:color w:val="000000"/>
                <w:sz w:val="24"/>
                <w:szCs w:val="24"/>
              </w:rPr>
              <w:t>-0.017</w:t>
            </w:r>
            <w:r w:rsidR="00D11267">
              <w:rPr>
                <w:rFonts w:ascii="Garamond" w:hAnsi="Garamond"/>
                <w:color w:val="000000"/>
                <w:sz w:val="24"/>
                <w:szCs w:val="24"/>
              </w:rPr>
              <w:t>0</w:t>
            </w:r>
            <w:r w:rsidRPr="008A703F">
              <w:rPr>
                <w:rFonts w:ascii="Garamond" w:hAnsi="Garamond"/>
                <w:color w:val="000000"/>
                <w:sz w:val="24"/>
                <w:szCs w:val="24"/>
              </w:rPr>
              <w:t>***</w:t>
            </w:r>
          </w:p>
        </w:tc>
        <w:tc>
          <w:tcPr>
            <w:tcW w:w="0" w:type="auto"/>
            <w:shd w:val="clear" w:color="auto" w:fill="auto"/>
            <w:noWrap/>
            <w:vAlign w:val="bottom"/>
          </w:tcPr>
          <w:p w14:paraId="281B3C17" w14:textId="7C904E8D"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-0.2434</w:t>
            </w:r>
          </w:p>
        </w:tc>
      </w:tr>
      <w:tr w:rsidR="00BE49FD" w:rsidRPr="008A703F" w14:paraId="3388442D" w14:textId="77777777" w:rsidTr="00B90008">
        <w:trPr>
          <w:trHeight w:val="300"/>
          <w:jc w:val="center"/>
        </w:trPr>
        <w:tc>
          <w:tcPr>
            <w:tcW w:w="0" w:type="auto"/>
            <w:shd w:val="clear" w:color="auto" w:fill="auto"/>
            <w:noWrap/>
            <w:vAlign w:val="center"/>
          </w:tcPr>
          <w:p w14:paraId="37215168" w14:textId="77777777" w:rsidR="00BE49FD" w:rsidRPr="00786CAA" w:rsidRDefault="00BE49FD" w:rsidP="00B90008">
            <w:pPr>
              <w:spacing w:line="240" w:lineRule="auto"/>
              <w:contextualSpacing/>
              <w:rPr>
                <w:rFonts w:ascii="Garamond" w:hAnsi="Garamond"/>
                <w:color w:val="000000"/>
                <w:sz w:val="24"/>
                <w:szCs w:val="24"/>
              </w:rPr>
            </w:pPr>
          </w:p>
        </w:tc>
        <w:tc>
          <w:tcPr>
            <w:tcW w:w="0" w:type="auto"/>
            <w:shd w:val="clear" w:color="auto" w:fill="auto"/>
            <w:noWrap/>
            <w:vAlign w:val="bottom"/>
          </w:tcPr>
          <w:p w14:paraId="143CDA3A"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c>
          <w:tcPr>
            <w:tcW w:w="0" w:type="auto"/>
            <w:shd w:val="clear" w:color="auto" w:fill="auto"/>
            <w:noWrap/>
            <w:vAlign w:val="bottom"/>
          </w:tcPr>
          <w:p w14:paraId="7D8C9592"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c>
          <w:tcPr>
            <w:tcW w:w="0" w:type="auto"/>
            <w:shd w:val="clear" w:color="auto" w:fill="auto"/>
            <w:noWrap/>
            <w:vAlign w:val="bottom"/>
          </w:tcPr>
          <w:p w14:paraId="1552EC37"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c>
          <w:tcPr>
            <w:tcW w:w="0" w:type="auto"/>
            <w:shd w:val="clear" w:color="auto" w:fill="auto"/>
            <w:noWrap/>
            <w:vAlign w:val="bottom"/>
          </w:tcPr>
          <w:p w14:paraId="293CBC4B"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c>
          <w:tcPr>
            <w:tcW w:w="0" w:type="auto"/>
            <w:shd w:val="clear" w:color="auto" w:fill="auto"/>
            <w:noWrap/>
            <w:vAlign w:val="bottom"/>
          </w:tcPr>
          <w:p w14:paraId="1A105992"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c>
          <w:tcPr>
            <w:tcW w:w="0" w:type="auto"/>
            <w:shd w:val="clear" w:color="auto" w:fill="auto"/>
            <w:noWrap/>
            <w:vAlign w:val="bottom"/>
          </w:tcPr>
          <w:p w14:paraId="00490518"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c>
          <w:tcPr>
            <w:tcW w:w="0" w:type="auto"/>
            <w:shd w:val="clear" w:color="auto" w:fill="auto"/>
            <w:noWrap/>
            <w:vAlign w:val="bottom"/>
          </w:tcPr>
          <w:p w14:paraId="0C550F09"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c>
          <w:tcPr>
            <w:tcW w:w="0" w:type="auto"/>
            <w:shd w:val="clear" w:color="auto" w:fill="auto"/>
            <w:noWrap/>
            <w:vAlign w:val="bottom"/>
          </w:tcPr>
          <w:p w14:paraId="362E9148"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r>
      <w:tr w:rsidR="00BE49FD" w:rsidRPr="008A703F" w14:paraId="13314493" w14:textId="77777777" w:rsidTr="00B90008">
        <w:trPr>
          <w:trHeight w:val="300"/>
          <w:jc w:val="center"/>
        </w:trPr>
        <w:tc>
          <w:tcPr>
            <w:tcW w:w="0" w:type="auto"/>
            <w:shd w:val="clear" w:color="auto" w:fill="auto"/>
            <w:noWrap/>
            <w:vAlign w:val="center"/>
          </w:tcPr>
          <w:p w14:paraId="0DAC326A"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R-Squared</w:t>
            </w:r>
          </w:p>
        </w:tc>
        <w:tc>
          <w:tcPr>
            <w:tcW w:w="0" w:type="auto"/>
            <w:shd w:val="clear" w:color="auto" w:fill="auto"/>
            <w:noWrap/>
            <w:vAlign w:val="bottom"/>
          </w:tcPr>
          <w:p w14:paraId="2216CB99" w14:textId="0EA2EA55"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0.5559</w:t>
            </w:r>
          </w:p>
        </w:tc>
        <w:tc>
          <w:tcPr>
            <w:tcW w:w="0" w:type="auto"/>
            <w:shd w:val="clear" w:color="auto" w:fill="auto"/>
            <w:noWrap/>
            <w:vAlign w:val="bottom"/>
          </w:tcPr>
          <w:p w14:paraId="5F8D842C" w14:textId="5291EB8F"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0.7243</w:t>
            </w:r>
          </w:p>
        </w:tc>
        <w:tc>
          <w:tcPr>
            <w:tcW w:w="0" w:type="auto"/>
            <w:shd w:val="clear" w:color="auto" w:fill="auto"/>
            <w:noWrap/>
            <w:vAlign w:val="bottom"/>
          </w:tcPr>
          <w:p w14:paraId="531472C9" w14:textId="6DD5E791"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0.2513</w:t>
            </w:r>
          </w:p>
        </w:tc>
        <w:tc>
          <w:tcPr>
            <w:tcW w:w="0" w:type="auto"/>
            <w:shd w:val="clear" w:color="auto" w:fill="auto"/>
            <w:noWrap/>
            <w:vAlign w:val="bottom"/>
          </w:tcPr>
          <w:p w14:paraId="52846AF3" w14:textId="06DAF14D"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0.2339</w:t>
            </w:r>
          </w:p>
        </w:tc>
        <w:tc>
          <w:tcPr>
            <w:tcW w:w="0" w:type="auto"/>
            <w:shd w:val="clear" w:color="auto" w:fill="auto"/>
            <w:noWrap/>
            <w:vAlign w:val="bottom"/>
          </w:tcPr>
          <w:p w14:paraId="3D07D5A1" w14:textId="565A2C9D"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0.5740</w:t>
            </w:r>
          </w:p>
        </w:tc>
        <w:tc>
          <w:tcPr>
            <w:tcW w:w="0" w:type="auto"/>
            <w:shd w:val="clear" w:color="auto" w:fill="auto"/>
            <w:noWrap/>
            <w:vAlign w:val="bottom"/>
          </w:tcPr>
          <w:p w14:paraId="709B43CC" w14:textId="11F7FD71" w:rsidR="00BE49FD" w:rsidRPr="008A703F" w:rsidRDefault="00D11267" w:rsidP="00D11267">
            <w:pPr>
              <w:jc w:val="right"/>
              <w:rPr>
                <w:rFonts w:ascii="Garamond" w:hAnsi="Garamond"/>
                <w:color w:val="000000"/>
                <w:sz w:val="24"/>
                <w:szCs w:val="24"/>
              </w:rPr>
            </w:pPr>
            <w:r>
              <w:rPr>
                <w:rFonts w:ascii="Garamond" w:hAnsi="Garamond"/>
                <w:color w:val="000000"/>
                <w:sz w:val="24"/>
                <w:szCs w:val="24"/>
              </w:rPr>
              <w:t>0.6697</w:t>
            </w:r>
          </w:p>
        </w:tc>
        <w:tc>
          <w:tcPr>
            <w:tcW w:w="0" w:type="auto"/>
            <w:shd w:val="clear" w:color="auto" w:fill="auto"/>
            <w:noWrap/>
            <w:vAlign w:val="bottom"/>
          </w:tcPr>
          <w:p w14:paraId="0F84DFCD" w14:textId="487CBAA3"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0.2486</w:t>
            </w:r>
          </w:p>
        </w:tc>
        <w:tc>
          <w:tcPr>
            <w:tcW w:w="0" w:type="auto"/>
            <w:shd w:val="clear" w:color="auto" w:fill="auto"/>
            <w:noWrap/>
            <w:vAlign w:val="bottom"/>
          </w:tcPr>
          <w:p w14:paraId="778A6428" w14:textId="0D5B443B" w:rsidR="00BE49FD" w:rsidRPr="008A703F" w:rsidRDefault="00BE49FD" w:rsidP="00D11267">
            <w:pPr>
              <w:jc w:val="right"/>
              <w:rPr>
                <w:rFonts w:ascii="Garamond" w:hAnsi="Garamond"/>
                <w:color w:val="000000"/>
                <w:sz w:val="24"/>
                <w:szCs w:val="24"/>
              </w:rPr>
            </w:pPr>
            <w:r w:rsidRPr="008A703F">
              <w:rPr>
                <w:rFonts w:ascii="Garamond" w:hAnsi="Garamond"/>
                <w:color w:val="000000"/>
                <w:sz w:val="24"/>
                <w:szCs w:val="24"/>
              </w:rPr>
              <w:t>0.2293</w:t>
            </w:r>
          </w:p>
        </w:tc>
      </w:tr>
      <w:tr w:rsidR="00BE49FD" w:rsidRPr="008A703F" w14:paraId="6E6E3124" w14:textId="77777777" w:rsidTr="00B90008">
        <w:trPr>
          <w:trHeight w:val="300"/>
          <w:jc w:val="center"/>
        </w:trPr>
        <w:tc>
          <w:tcPr>
            <w:tcW w:w="0" w:type="auto"/>
            <w:shd w:val="clear" w:color="auto" w:fill="auto"/>
            <w:noWrap/>
            <w:vAlign w:val="center"/>
          </w:tcPr>
          <w:p w14:paraId="6420808F" w14:textId="77777777" w:rsidR="00BE49FD" w:rsidRPr="00786CAA" w:rsidRDefault="00BE49FD" w:rsidP="00B90008">
            <w:pPr>
              <w:spacing w:line="240" w:lineRule="auto"/>
              <w:contextualSpacing/>
              <w:rPr>
                <w:rFonts w:ascii="Garamond" w:hAnsi="Garamond"/>
                <w:color w:val="000000"/>
                <w:sz w:val="24"/>
                <w:szCs w:val="24"/>
              </w:rPr>
            </w:pPr>
          </w:p>
        </w:tc>
        <w:tc>
          <w:tcPr>
            <w:tcW w:w="0" w:type="auto"/>
            <w:shd w:val="clear" w:color="auto" w:fill="auto"/>
            <w:noWrap/>
            <w:vAlign w:val="bottom"/>
          </w:tcPr>
          <w:p w14:paraId="4DF0E0E4"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2CF056BB"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1B3C1DDA"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6C51E678"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1D03853A"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2B1AD0D2"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3EC9DE75"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616803FF" w14:textId="77777777" w:rsidR="00BE49FD" w:rsidRPr="00786CAA" w:rsidRDefault="00BE49FD" w:rsidP="00B90008">
            <w:pPr>
              <w:spacing w:line="240" w:lineRule="auto"/>
              <w:contextualSpacing/>
              <w:jc w:val="center"/>
              <w:rPr>
                <w:rFonts w:ascii="Garamond" w:hAnsi="Garamond"/>
                <w:color w:val="000000"/>
                <w:sz w:val="24"/>
                <w:szCs w:val="24"/>
              </w:rPr>
            </w:pPr>
          </w:p>
        </w:tc>
      </w:tr>
    </w:tbl>
    <w:p w14:paraId="14601450" w14:textId="77777777" w:rsidR="00BE49FD" w:rsidRPr="00FE671A" w:rsidRDefault="00BE49FD" w:rsidP="00BE49FD">
      <w:pPr>
        <w:spacing w:line="360" w:lineRule="auto"/>
        <w:jc w:val="both"/>
        <w:rPr>
          <w:rFonts w:ascii="Garamond" w:hAnsi="Garamond"/>
        </w:rPr>
      </w:pPr>
      <w:r w:rsidRPr="00FE671A">
        <w:rPr>
          <w:rFonts w:ascii="Garamond" w:hAnsi="Garamond"/>
        </w:rPr>
        <w:t xml:space="preserve">Note: This table presents the average coefficients of each variable associated with for four (il)liquidity measures of </w:t>
      </w:r>
      <w:r>
        <w:rPr>
          <w:rFonts w:ascii="Garamond" w:hAnsi="Garamond"/>
        </w:rPr>
        <w:t xml:space="preserve">the </w:t>
      </w:r>
      <w:r w:rsidRPr="00FE671A">
        <w:rPr>
          <w:rFonts w:ascii="Garamond" w:hAnsi="Garamond"/>
        </w:rPr>
        <w:t xml:space="preserve">financial sector of each equity market in our sample. The levels of significance are determined based on average t-statistics. ***, ** and * significant at </w:t>
      </w:r>
      <w:r>
        <w:rPr>
          <w:rFonts w:ascii="Garamond" w:hAnsi="Garamond"/>
        </w:rPr>
        <w:t xml:space="preserve">the </w:t>
      </w:r>
      <w:r w:rsidRPr="00FE671A">
        <w:rPr>
          <w:rFonts w:ascii="Garamond" w:hAnsi="Garamond"/>
        </w:rPr>
        <w:t>1%, 5% and 10% level</w:t>
      </w:r>
      <w:r>
        <w:rPr>
          <w:rFonts w:ascii="Garamond" w:hAnsi="Garamond"/>
        </w:rPr>
        <w:t>s</w:t>
      </w:r>
      <w:r w:rsidRPr="00FE671A">
        <w:rPr>
          <w:rFonts w:ascii="Garamond" w:hAnsi="Garamond"/>
        </w:rPr>
        <w:t>.</w:t>
      </w:r>
    </w:p>
    <w:p w14:paraId="44F7F9A2" w14:textId="77777777" w:rsidR="00BE49FD" w:rsidRDefault="00BE49FD" w:rsidP="00BE49FD">
      <w:pPr>
        <w:spacing w:line="360" w:lineRule="auto"/>
        <w:rPr>
          <w:rFonts w:ascii="Garamond" w:hAnsi="Garamond"/>
          <w:sz w:val="24"/>
          <w:szCs w:val="24"/>
        </w:rPr>
      </w:pPr>
    </w:p>
    <w:p w14:paraId="78309B02" w14:textId="77777777" w:rsidR="00BE49FD" w:rsidRPr="008033F6" w:rsidRDefault="00BE49FD" w:rsidP="00BE49FD">
      <w:pPr>
        <w:spacing w:line="360" w:lineRule="auto"/>
        <w:jc w:val="center"/>
        <w:rPr>
          <w:rFonts w:ascii="Garamond" w:hAnsi="Garamond"/>
          <w:sz w:val="24"/>
          <w:szCs w:val="24"/>
        </w:rPr>
      </w:pPr>
      <w:r w:rsidRPr="008033F6">
        <w:rPr>
          <w:rFonts w:ascii="Garamond" w:hAnsi="Garamond"/>
          <w:sz w:val="24"/>
          <w:szCs w:val="24"/>
        </w:rPr>
        <w:lastRenderedPageBreak/>
        <w:t>Group C: Service Industries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9"/>
        <w:gridCol w:w="1139"/>
        <w:gridCol w:w="1214"/>
        <w:gridCol w:w="1139"/>
        <w:gridCol w:w="1139"/>
        <w:gridCol w:w="1214"/>
        <w:gridCol w:w="1214"/>
        <w:gridCol w:w="1139"/>
        <w:gridCol w:w="1139"/>
      </w:tblGrid>
      <w:tr w:rsidR="00BE49FD" w:rsidRPr="008A703F" w14:paraId="37BDC02A" w14:textId="77777777" w:rsidTr="00B90008">
        <w:trPr>
          <w:trHeight w:val="300"/>
          <w:jc w:val="center"/>
        </w:trPr>
        <w:tc>
          <w:tcPr>
            <w:tcW w:w="0" w:type="auto"/>
            <w:shd w:val="clear" w:color="auto" w:fill="auto"/>
            <w:noWrap/>
            <w:vAlign w:val="bottom"/>
          </w:tcPr>
          <w:p w14:paraId="7BB78FCA"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gridSpan w:val="4"/>
            <w:shd w:val="clear" w:color="auto" w:fill="auto"/>
            <w:noWrap/>
            <w:vAlign w:val="bottom"/>
          </w:tcPr>
          <w:p w14:paraId="4C142028"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Monetary policy variables</w:t>
            </w:r>
          </w:p>
        </w:tc>
        <w:tc>
          <w:tcPr>
            <w:tcW w:w="0" w:type="auto"/>
            <w:gridSpan w:val="4"/>
            <w:shd w:val="clear" w:color="auto" w:fill="auto"/>
            <w:noWrap/>
            <w:vAlign w:val="bottom"/>
          </w:tcPr>
          <w:p w14:paraId="3B228E66"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Fiscal policy variables</w:t>
            </w:r>
          </w:p>
        </w:tc>
      </w:tr>
      <w:tr w:rsidR="00BE49FD" w:rsidRPr="008A703F" w14:paraId="01ADFF74" w14:textId="77777777" w:rsidTr="00B90008">
        <w:trPr>
          <w:trHeight w:val="300"/>
          <w:jc w:val="center"/>
        </w:trPr>
        <w:tc>
          <w:tcPr>
            <w:tcW w:w="0" w:type="auto"/>
            <w:shd w:val="clear" w:color="auto" w:fill="auto"/>
            <w:noWrap/>
            <w:vAlign w:val="bottom"/>
          </w:tcPr>
          <w:p w14:paraId="0581CE53"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gridSpan w:val="4"/>
            <w:shd w:val="clear" w:color="auto" w:fill="auto"/>
            <w:noWrap/>
            <w:vAlign w:val="bottom"/>
          </w:tcPr>
          <w:p w14:paraId="5FD4E911"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gridSpan w:val="4"/>
            <w:shd w:val="clear" w:color="auto" w:fill="auto"/>
            <w:noWrap/>
            <w:vAlign w:val="bottom"/>
          </w:tcPr>
          <w:p w14:paraId="05FE23BF" w14:textId="77777777" w:rsidR="00BE49FD" w:rsidRPr="00786CAA" w:rsidRDefault="00BE49FD" w:rsidP="00B90008">
            <w:pPr>
              <w:spacing w:line="240" w:lineRule="auto"/>
              <w:contextualSpacing/>
              <w:jc w:val="center"/>
              <w:rPr>
                <w:rFonts w:ascii="Garamond" w:hAnsi="Garamond"/>
                <w:color w:val="000000"/>
                <w:sz w:val="24"/>
                <w:szCs w:val="24"/>
              </w:rPr>
            </w:pPr>
          </w:p>
        </w:tc>
      </w:tr>
      <w:tr w:rsidR="00BE49FD" w:rsidRPr="008A703F" w14:paraId="51BA859E" w14:textId="77777777" w:rsidTr="00B90008">
        <w:trPr>
          <w:trHeight w:val="300"/>
          <w:jc w:val="center"/>
        </w:trPr>
        <w:tc>
          <w:tcPr>
            <w:tcW w:w="0" w:type="auto"/>
            <w:shd w:val="clear" w:color="auto" w:fill="auto"/>
            <w:noWrap/>
            <w:vAlign w:val="bottom"/>
          </w:tcPr>
          <w:p w14:paraId="0B2DA6F0"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7169F597"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TR</w:t>
            </w:r>
          </w:p>
        </w:tc>
        <w:tc>
          <w:tcPr>
            <w:tcW w:w="0" w:type="auto"/>
            <w:shd w:val="clear" w:color="auto" w:fill="auto"/>
            <w:noWrap/>
            <w:vAlign w:val="bottom"/>
          </w:tcPr>
          <w:p w14:paraId="08FF9FBB"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TV</w:t>
            </w:r>
          </w:p>
        </w:tc>
        <w:tc>
          <w:tcPr>
            <w:tcW w:w="0" w:type="auto"/>
            <w:shd w:val="clear" w:color="auto" w:fill="auto"/>
            <w:noWrap/>
            <w:vAlign w:val="bottom"/>
          </w:tcPr>
          <w:p w14:paraId="519F7344"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ILLIQ</w:t>
            </w:r>
          </w:p>
        </w:tc>
        <w:tc>
          <w:tcPr>
            <w:tcW w:w="0" w:type="auto"/>
            <w:shd w:val="clear" w:color="auto" w:fill="auto"/>
            <w:noWrap/>
            <w:vAlign w:val="bottom"/>
          </w:tcPr>
          <w:p w14:paraId="6D15E997"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TPI</w:t>
            </w:r>
          </w:p>
        </w:tc>
        <w:tc>
          <w:tcPr>
            <w:tcW w:w="0" w:type="auto"/>
            <w:shd w:val="clear" w:color="auto" w:fill="auto"/>
            <w:noWrap/>
            <w:vAlign w:val="bottom"/>
          </w:tcPr>
          <w:p w14:paraId="7CAF49A7"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TR</w:t>
            </w:r>
          </w:p>
        </w:tc>
        <w:tc>
          <w:tcPr>
            <w:tcW w:w="0" w:type="auto"/>
            <w:shd w:val="clear" w:color="auto" w:fill="auto"/>
            <w:noWrap/>
            <w:vAlign w:val="bottom"/>
          </w:tcPr>
          <w:p w14:paraId="6BA978FC"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TV</w:t>
            </w:r>
          </w:p>
        </w:tc>
        <w:tc>
          <w:tcPr>
            <w:tcW w:w="0" w:type="auto"/>
            <w:shd w:val="clear" w:color="auto" w:fill="auto"/>
            <w:noWrap/>
            <w:vAlign w:val="bottom"/>
          </w:tcPr>
          <w:p w14:paraId="5F935C59"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ILLIQ</w:t>
            </w:r>
          </w:p>
        </w:tc>
        <w:tc>
          <w:tcPr>
            <w:tcW w:w="0" w:type="auto"/>
            <w:shd w:val="clear" w:color="auto" w:fill="auto"/>
            <w:noWrap/>
            <w:vAlign w:val="bottom"/>
          </w:tcPr>
          <w:p w14:paraId="334AA577" w14:textId="77777777" w:rsidR="00BE49FD" w:rsidRPr="00786CAA" w:rsidRDefault="00BE49FD" w:rsidP="00B90008">
            <w:pPr>
              <w:spacing w:line="240" w:lineRule="auto"/>
              <w:contextualSpacing/>
              <w:jc w:val="center"/>
              <w:rPr>
                <w:rFonts w:ascii="Garamond" w:hAnsi="Garamond"/>
                <w:color w:val="000000"/>
                <w:sz w:val="24"/>
                <w:szCs w:val="24"/>
              </w:rPr>
            </w:pPr>
            <w:r w:rsidRPr="00786CAA">
              <w:rPr>
                <w:rFonts w:ascii="Garamond" w:hAnsi="Garamond"/>
                <w:color w:val="000000"/>
                <w:sz w:val="24"/>
                <w:szCs w:val="24"/>
              </w:rPr>
              <w:t>TPI</w:t>
            </w:r>
          </w:p>
        </w:tc>
      </w:tr>
      <w:tr w:rsidR="00BE49FD" w:rsidRPr="008A703F" w14:paraId="7E0ACC4E" w14:textId="77777777" w:rsidTr="00B90008">
        <w:trPr>
          <w:trHeight w:val="300"/>
          <w:jc w:val="center"/>
        </w:trPr>
        <w:tc>
          <w:tcPr>
            <w:tcW w:w="0" w:type="auto"/>
            <w:shd w:val="clear" w:color="auto" w:fill="auto"/>
            <w:noWrap/>
            <w:vAlign w:val="bottom"/>
          </w:tcPr>
          <w:p w14:paraId="7BA4F1DC"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01DF819B"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767BD45F"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078F4225"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1DE932C7"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164DABA7"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3CBED15A"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7F723F8F"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5CFD574B" w14:textId="77777777" w:rsidR="00BE49FD" w:rsidRPr="00786CAA" w:rsidRDefault="00BE49FD" w:rsidP="00B90008">
            <w:pPr>
              <w:spacing w:line="240" w:lineRule="auto"/>
              <w:contextualSpacing/>
              <w:jc w:val="center"/>
              <w:rPr>
                <w:rFonts w:ascii="Garamond" w:hAnsi="Garamond"/>
                <w:color w:val="000000"/>
                <w:sz w:val="24"/>
                <w:szCs w:val="24"/>
              </w:rPr>
            </w:pPr>
          </w:p>
        </w:tc>
      </w:tr>
      <w:tr w:rsidR="00BE49FD" w:rsidRPr="008A703F" w14:paraId="2B3C3373" w14:textId="77777777" w:rsidTr="00B90008">
        <w:trPr>
          <w:trHeight w:val="300"/>
          <w:jc w:val="center"/>
        </w:trPr>
        <w:tc>
          <w:tcPr>
            <w:tcW w:w="0" w:type="auto"/>
            <w:shd w:val="clear" w:color="auto" w:fill="auto"/>
            <w:noWrap/>
            <w:vAlign w:val="center"/>
          </w:tcPr>
          <w:p w14:paraId="7F4CDA65"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Dependent variable</w:t>
            </w:r>
          </w:p>
        </w:tc>
        <w:tc>
          <w:tcPr>
            <w:tcW w:w="0" w:type="auto"/>
            <w:shd w:val="clear" w:color="auto" w:fill="auto"/>
            <w:noWrap/>
            <w:vAlign w:val="bottom"/>
          </w:tcPr>
          <w:p w14:paraId="426363E1" w14:textId="4F06FA42" w:rsidR="00BE49FD" w:rsidRPr="008A703F" w:rsidRDefault="00D11267" w:rsidP="00D11267">
            <w:pPr>
              <w:jc w:val="right"/>
              <w:rPr>
                <w:rFonts w:ascii="Garamond" w:hAnsi="Garamond"/>
                <w:sz w:val="24"/>
                <w:szCs w:val="24"/>
              </w:rPr>
            </w:pPr>
            <w:r>
              <w:rPr>
                <w:rFonts w:ascii="Garamond" w:hAnsi="Garamond"/>
                <w:sz w:val="24"/>
                <w:szCs w:val="24"/>
              </w:rPr>
              <w:t>0.7067</w:t>
            </w:r>
            <w:r w:rsidR="00BE49FD" w:rsidRPr="008A703F">
              <w:rPr>
                <w:rFonts w:ascii="Garamond" w:hAnsi="Garamond"/>
                <w:sz w:val="24"/>
                <w:szCs w:val="24"/>
              </w:rPr>
              <w:t>***</w:t>
            </w:r>
          </w:p>
        </w:tc>
        <w:tc>
          <w:tcPr>
            <w:tcW w:w="0" w:type="auto"/>
            <w:shd w:val="clear" w:color="auto" w:fill="auto"/>
            <w:noWrap/>
            <w:vAlign w:val="bottom"/>
          </w:tcPr>
          <w:p w14:paraId="79FB8D12" w14:textId="5BB2AFB6" w:rsidR="00BE49FD" w:rsidRPr="008A703F" w:rsidRDefault="00BE49FD" w:rsidP="00D11267">
            <w:pPr>
              <w:jc w:val="right"/>
              <w:rPr>
                <w:rFonts w:ascii="Garamond" w:hAnsi="Garamond"/>
                <w:sz w:val="24"/>
                <w:szCs w:val="24"/>
              </w:rPr>
            </w:pPr>
            <w:r w:rsidRPr="008A703F">
              <w:rPr>
                <w:rFonts w:ascii="Garamond" w:hAnsi="Garamond"/>
                <w:sz w:val="24"/>
                <w:szCs w:val="24"/>
              </w:rPr>
              <w:t>0.9544***</w:t>
            </w:r>
          </w:p>
        </w:tc>
        <w:tc>
          <w:tcPr>
            <w:tcW w:w="0" w:type="auto"/>
            <w:shd w:val="clear" w:color="auto" w:fill="auto"/>
            <w:noWrap/>
            <w:vAlign w:val="bottom"/>
          </w:tcPr>
          <w:p w14:paraId="425FDFAE" w14:textId="5C2CB0D0" w:rsidR="00BE49FD" w:rsidRPr="008A703F" w:rsidRDefault="00BE49FD" w:rsidP="00D11267">
            <w:pPr>
              <w:jc w:val="right"/>
              <w:rPr>
                <w:rFonts w:ascii="Garamond" w:hAnsi="Garamond"/>
                <w:sz w:val="24"/>
                <w:szCs w:val="24"/>
              </w:rPr>
            </w:pPr>
            <w:r w:rsidRPr="008A703F">
              <w:rPr>
                <w:rFonts w:ascii="Garamond" w:hAnsi="Garamond"/>
                <w:sz w:val="24"/>
                <w:szCs w:val="24"/>
              </w:rPr>
              <w:t>0.4189***</w:t>
            </w:r>
          </w:p>
        </w:tc>
        <w:tc>
          <w:tcPr>
            <w:tcW w:w="0" w:type="auto"/>
            <w:shd w:val="clear" w:color="auto" w:fill="auto"/>
            <w:noWrap/>
            <w:vAlign w:val="bottom"/>
          </w:tcPr>
          <w:p w14:paraId="7314DEAA" w14:textId="45EB789B" w:rsidR="00BE49FD" w:rsidRPr="008A703F" w:rsidRDefault="00BE49FD" w:rsidP="00C12806">
            <w:pPr>
              <w:jc w:val="right"/>
              <w:rPr>
                <w:rFonts w:ascii="Garamond" w:hAnsi="Garamond"/>
                <w:sz w:val="24"/>
                <w:szCs w:val="24"/>
              </w:rPr>
            </w:pPr>
            <w:r w:rsidRPr="008A703F">
              <w:rPr>
                <w:rFonts w:ascii="Garamond" w:hAnsi="Garamond"/>
                <w:sz w:val="24"/>
                <w:szCs w:val="24"/>
              </w:rPr>
              <w:t>0.2614***</w:t>
            </w:r>
          </w:p>
        </w:tc>
        <w:tc>
          <w:tcPr>
            <w:tcW w:w="0" w:type="auto"/>
            <w:shd w:val="clear" w:color="auto" w:fill="auto"/>
            <w:noWrap/>
            <w:vAlign w:val="bottom"/>
          </w:tcPr>
          <w:p w14:paraId="02AF1267" w14:textId="0634F94D" w:rsidR="00BE49FD" w:rsidRPr="008A703F" w:rsidRDefault="00C12806" w:rsidP="00C12806">
            <w:pPr>
              <w:jc w:val="right"/>
              <w:rPr>
                <w:rFonts w:ascii="Garamond" w:hAnsi="Garamond"/>
                <w:color w:val="000000"/>
                <w:sz w:val="24"/>
                <w:szCs w:val="24"/>
              </w:rPr>
            </w:pPr>
            <w:r>
              <w:rPr>
                <w:rFonts w:ascii="Garamond" w:hAnsi="Garamond"/>
                <w:color w:val="000000"/>
                <w:sz w:val="24"/>
                <w:szCs w:val="24"/>
              </w:rPr>
              <w:t>0.7154</w:t>
            </w:r>
            <w:r w:rsidR="00BE49FD" w:rsidRPr="008A703F">
              <w:rPr>
                <w:rFonts w:ascii="Garamond" w:hAnsi="Garamond"/>
                <w:color w:val="000000"/>
                <w:sz w:val="24"/>
                <w:szCs w:val="24"/>
              </w:rPr>
              <w:t>***</w:t>
            </w:r>
          </w:p>
        </w:tc>
        <w:tc>
          <w:tcPr>
            <w:tcW w:w="0" w:type="auto"/>
            <w:shd w:val="clear" w:color="auto" w:fill="auto"/>
            <w:noWrap/>
            <w:vAlign w:val="bottom"/>
          </w:tcPr>
          <w:p w14:paraId="1161A99A" w14:textId="42D66546"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0.9541***</w:t>
            </w:r>
          </w:p>
        </w:tc>
        <w:tc>
          <w:tcPr>
            <w:tcW w:w="0" w:type="auto"/>
            <w:shd w:val="clear" w:color="auto" w:fill="auto"/>
            <w:noWrap/>
            <w:vAlign w:val="bottom"/>
          </w:tcPr>
          <w:p w14:paraId="6AB4248E" w14:textId="31AA1DA3"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0.4469***</w:t>
            </w:r>
          </w:p>
        </w:tc>
        <w:tc>
          <w:tcPr>
            <w:tcW w:w="0" w:type="auto"/>
            <w:shd w:val="clear" w:color="auto" w:fill="auto"/>
            <w:noWrap/>
            <w:vAlign w:val="bottom"/>
          </w:tcPr>
          <w:p w14:paraId="1BEB417E" w14:textId="1399458A"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0.3020***</w:t>
            </w:r>
          </w:p>
        </w:tc>
      </w:tr>
      <w:tr w:rsidR="00BE49FD" w:rsidRPr="008A703F" w14:paraId="527DE5EC" w14:textId="77777777" w:rsidTr="00B90008">
        <w:trPr>
          <w:trHeight w:val="300"/>
          <w:jc w:val="center"/>
        </w:trPr>
        <w:tc>
          <w:tcPr>
            <w:tcW w:w="0" w:type="auto"/>
            <w:shd w:val="clear" w:color="auto" w:fill="auto"/>
            <w:noWrap/>
            <w:vAlign w:val="center"/>
          </w:tcPr>
          <w:p w14:paraId="3F8E90DA"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Policy variable</w:t>
            </w:r>
          </w:p>
        </w:tc>
        <w:tc>
          <w:tcPr>
            <w:tcW w:w="0" w:type="auto"/>
            <w:shd w:val="clear" w:color="auto" w:fill="auto"/>
            <w:noWrap/>
            <w:vAlign w:val="bottom"/>
          </w:tcPr>
          <w:p w14:paraId="5B57DF60" w14:textId="4BF944E4" w:rsidR="00BE49FD" w:rsidRPr="008A703F" w:rsidRDefault="00D11267" w:rsidP="00D11267">
            <w:pPr>
              <w:jc w:val="right"/>
              <w:rPr>
                <w:rFonts w:ascii="Garamond" w:hAnsi="Garamond"/>
                <w:sz w:val="24"/>
                <w:szCs w:val="24"/>
              </w:rPr>
            </w:pPr>
            <w:r>
              <w:rPr>
                <w:rFonts w:ascii="Garamond" w:hAnsi="Garamond"/>
                <w:sz w:val="24"/>
                <w:szCs w:val="24"/>
              </w:rPr>
              <w:t>-0.0272</w:t>
            </w:r>
          </w:p>
        </w:tc>
        <w:tc>
          <w:tcPr>
            <w:tcW w:w="0" w:type="auto"/>
            <w:shd w:val="clear" w:color="auto" w:fill="auto"/>
            <w:noWrap/>
            <w:vAlign w:val="bottom"/>
          </w:tcPr>
          <w:p w14:paraId="55213A18" w14:textId="062D4081" w:rsidR="00BE49FD" w:rsidRPr="008A703F" w:rsidRDefault="00BE49FD" w:rsidP="00D11267">
            <w:pPr>
              <w:jc w:val="right"/>
              <w:rPr>
                <w:rFonts w:ascii="Garamond" w:hAnsi="Garamond"/>
                <w:sz w:val="24"/>
                <w:szCs w:val="24"/>
              </w:rPr>
            </w:pPr>
            <w:r w:rsidRPr="008A703F">
              <w:rPr>
                <w:rFonts w:ascii="Garamond" w:hAnsi="Garamond"/>
                <w:sz w:val="24"/>
                <w:szCs w:val="24"/>
              </w:rPr>
              <w:t>-0.029</w:t>
            </w:r>
            <w:r w:rsidR="00D11267">
              <w:rPr>
                <w:rFonts w:ascii="Garamond" w:hAnsi="Garamond"/>
                <w:sz w:val="24"/>
                <w:szCs w:val="24"/>
              </w:rPr>
              <w:t>3</w:t>
            </w:r>
          </w:p>
        </w:tc>
        <w:tc>
          <w:tcPr>
            <w:tcW w:w="0" w:type="auto"/>
            <w:shd w:val="clear" w:color="auto" w:fill="auto"/>
            <w:noWrap/>
            <w:vAlign w:val="bottom"/>
          </w:tcPr>
          <w:p w14:paraId="76BE8AD9" w14:textId="33CD093F" w:rsidR="00BE49FD" w:rsidRPr="008A703F" w:rsidRDefault="00D11267" w:rsidP="00D11267">
            <w:pPr>
              <w:jc w:val="right"/>
              <w:rPr>
                <w:rFonts w:ascii="Garamond" w:hAnsi="Garamond"/>
                <w:sz w:val="24"/>
                <w:szCs w:val="24"/>
              </w:rPr>
            </w:pPr>
            <w:r>
              <w:rPr>
                <w:rFonts w:ascii="Garamond" w:hAnsi="Garamond"/>
                <w:sz w:val="24"/>
                <w:szCs w:val="24"/>
              </w:rPr>
              <w:t>0.0002</w:t>
            </w:r>
            <w:r w:rsidR="00BE49FD" w:rsidRPr="008A703F">
              <w:rPr>
                <w:rFonts w:ascii="Garamond" w:hAnsi="Garamond"/>
                <w:sz w:val="24"/>
                <w:szCs w:val="24"/>
              </w:rPr>
              <w:t>*</w:t>
            </w:r>
          </w:p>
        </w:tc>
        <w:tc>
          <w:tcPr>
            <w:tcW w:w="0" w:type="auto"/>
            <w:shd w:val="clear" w:color="auto" w:fill="auto"/>
            <w:noWrap/>
            <w:vAlign w:val="bottom"/>
          </w:tcPr>
          <w:p w14:paraId="06E1A8C3" w14:textId="77777777" w:rsidR="00BE49FD" w:rsidRPr="008A703F" w:rsidRDefault="00BE49FD" w:rsidP="00B90008">
            <w:pPr>
              <w:jc w:val="right"/>
              <w:rPr>
                <w:rFonts w:ascii="Garamond" w:hAnsi="Garamond"/>
                <w:sz w:val="24"/>
                <w:szCs w:val="24"/>
              </w:rPr>
            </w:pPr>
            <w:r w:rsidRPr="008A703F">
              <w:rPr>
                <w:rFonts w:ascii="Garamond" w:hAnsi="Garamond"/>
                <w:sz w:val="24"/>
                <w:szCs w:val="24"/>
              </w:rPr>
              <w:t>-0.0587</w:t>
            </w:r>
          </w:p>
        </w:tc>
        <w:tc>
          <w:tcPr>
            <w:tcW w:w="0" w:type="auto"/>
            <w:shd w:val="clear" w:color="auto" w:fill="auto"/>
            <w:noWrap/>
            <w:vAlign w:val="bottom"/>
          </w:tcPr>
          <w:p w14:paraId="1A13F31F" w14:textId="504F6177"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0.0047</w:t>
            </w:r>
          </w:p>
        </w:tc>
        <w:tc>
          <w:tcPr>
            <w:tcW w:w="0" w:type="auto"/>
            <w:shd w:val="clear" w:color="auto" w:fill="auto"/>
            <w:noWrap/>
            <w:vAlign w:val="bottom"/>
          </w:tcPr>
          <w:p w14:paraId="0A629B2C" w14:textId="67BDC8D6" w:rsidR="00BE49FD" w:rsidRPr="008A703F" w:rsidRDefault="00C12806" w:rsidP="00C12806">
            <w:pPr>
              <w:jc w:val="right"/>
              <w:rPr>
                <w:rFonts w:ascii="Garamond" w:hAnsi="Garamond"/>
                <w:color w:val="000000"/>
                <w:sz w:val="24"/>
                <w:szCs w:val="24"/>
              </w:rPr>
            </w:pPr>
            <w:r>
              <w:rPr>
                <w:rFonts w:ascii="Garamond" w:hAnsi="Garamond"/>
                <w:color w:val="000000"/>
                <w:sz w:val="24"/>
                <w:szCs w:val="24"/>
              </w:rPr>
              <w:t>0.0193</w:t>
            </w:r>
            <w:r w:rsidR="00BE49FD" w:rsidRPr="008A703F">
              <w:rPr>
                <w:rFonts w:ascii="Garamond" w:hAnsi="Garamond"/>
                <w:color w:val="000000"/>
                <w:sz w:val="24"/>
                <w:szCs w:val="24"/>
              </w:rPr>
              <w:t>*</w:t>
            </w:r>
          </w:p>
        </w:tc>
        <w:tc>
          <w:tcPr>
            <w:tcW w:w="0" w:type="auto"/>
            <w:shd w:val="clear" w:color="auto" w:fill="auto"/>
            <w:noWrap/>
            <w:vAlign w:val="bottom"/>
          </w:tcPr>
          <w:p w14:paraId="03E78F3A" w14:textId="663FC869"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-0.0008</w:t>
            </w:r>
          </w:p>
        </w:tc>
        <w:tc>
          <w:tcPr>
            <w:tcW w:w="0" w:type="auto"/>
            <w:shd w:val="clear" w:color="auto" w:fill="auto"/>
            <w:noWrap/>
            <w:vAlign w:val="bottom"/>
          </w:tcPr>
          <w:p w14:paraId="656E45F0" w14:textId="00AD4DD6"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-0.019</w:t>
            </w:r>
            <w:r w:rsidR="00C12806">
              <w:rPr>
                <w:rFonts w:ascii="Garamond" w:hAnsi="Garamond"/>
                <w:color w:val="000000"/>
                <w:sz w:val="24"/>
                <w:szCs w:val="24"/>
              </w:rPr>
              <w:t>1</w:t>
            </w:r>
          </w:p>
        </w:tc>
      </w:tr>
      <w:tr w:rsidR="00BE49FD" w:rsidRPr="008A703F" w14:paraId="5B67B907" w14:textId="77777777" w:rsidTr="00B90008">
        <w:trPr>
          <w:trHeight w:val="300"/>
          <w:jc w:val="center"/>
        </w:trPr>
        <w:tc>
          <w:tcPr>
            <w:tcW w:w="0" w:type="auto"/>
            <w:shd w:val="clear" w:color="auto" w:fill="auto"/>
            <w:noWrap/>
            <w:vAlign w:val="center"/>
          </w:tcPr>
          <w:p w14:paraId="42EA717D"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Return</w:t>
            </w:r>
          </w:p>
        </w:tc>
        <w:tc>
          <w:tcPr>
            <w:tcW w:w="0" w:type="auto"/>
            <w:shd w:val="clear" w:color="auto" w:fill="auto"/>
            <w:noWrap/>
            <w:vAlign w:val="bottom"/>
          </w:tcPr>
          <w:p w14:paraId="3710B1AF" w14:textId="405296A0" w:rsidR="00BE49FD" w:rsidRPr="008A703F" w:rsidRDefault="00BE49FD" w:rsidP="00D11267">
            <w:pPr>
              <w:jc w:val="right"/>
              <w:rPr>
                <w:rFonts w:ascii="Garamond" w:hAnsi="Garamond"/>
                <w:sz w:val="24"/>
                <w:szCs w:val="24"/>
              </w:rPr>
            </w:pPr>
            <w:r w:rsidRPr="008A703F">
              <w:rPr>
                <w:rFonts w:ascii="Garamond" w:hAnsi="Garamond"/>
                <w:sz w:val="24"/>
                <w:szCs w:val="24"/>
              </w:rPr>
              <w:t>3.815</w:t>
            </w:r>
            <w:r w:rsidR="00D11267">
              <w:rPr>
                <w:rFonts w:ascii="Garamond" w:hAnsi="Garamond"/>
                <w:sz w:val="24"/>
                <w:szCs w:val="24"/>
              </w:rPr>
              <w:t>1</w:t>
            </w:r>
            <w:r w:rsidRPr="008A703F">
              <w:rPr>
                <w:rFonts w:ascii="Garamond" w:hAnsi="Garamond"/>
                <w:sz w:val="24"/>
                <w:szCs w:val="24"/>
              </w:rPr>
              <w:t>*</w:t>
            </w:r>
          </w:p>
        </w:tc>
        <w:tc>
          <w:tcPr>
            <w:tcW w:w="0" w:type="auto"/>
            <w:shd w:val="clear" w:color="auto" w:fill="auto"/>
            <w:noWrap/>
            <w:vAlign w:val="bottom"/>
          </w:tcPr>
          <w:p w14:paraId="167D6849" w14:textId="698B3A75" w:rsidR="00BE49FD" w:rsidRPr="008A703F" w:rsidRDefault="00D11267" w:rsidP="00D11267">
            <w:pPr>
              <w:jc w:val="right"/>
              <w:rPr>
                <w:rFonts w:ascii="Garamond" w:hAnsi="Garamond"/>
                <w:sz w:val="24"/>
                <w:szCs w:val="24"/>
              </w:rPr>
            </w:pPr>
            <w:r>
              <w:rPr>
                <w:rFonts w:ascii="Garamond" w:hAnsi="Garamond"/>
                <w:sz w:val="24"/>
                <w:szCs w:val="24"/>
              </w:rPr>
              <w:t>3.3302</w:t>
            </w:r>
          </w:p>
        </w:tc>
        <w:tc>
          <w:tcPr>
            <w:tcW w:w="0" w:type="auto"/>
            <w:shd w:val="clear" w:color="auto" w:fill="auto"/>
            <w:noWrap/>
            <w:vAlign w:val="bottom"/>
          </w:tcPr>
          <w:p w14:paraId="64166699" w14:textId="00552CFC" w:rsidR="00BE49FD" w:rsidRPr="008A703F" w:rsidRDefault="00BE49FD" w:rsidP="00B90008">
            <w:pPr>
              <w:jc w:val="right"/>
              <w:rPr>
                <w:rFonts w:ascii="Garamond" w:hAnsi="Garamond"/>
                <w:sz w:val="24"/>
                <w:szCs w:val="24"/>
              </w:rPr>
            </w:pPr>
            <w:r w:rsidRPr="008A703F">
              <w:rPr>
                <w:rFonts w:ascii="Garamond" w:hAnsi="Garamond"/>
                <w:sz w:val="24"/>
                <w:szCs w:val="24"/>
              </w:rPr>
              <w:t>-</w:t>
            </w:r>
            <w:r w:rsidR="00D11267">
              <w:rPr>
                <w:rFonts w:ascii="Garamond" w:hAnsi="Garamond"/>
                <w:sz w:val="24"/>
                <w:szCs w:val="24"/>
              </w:rPr>
              <w:t>0.0349</w:t>
            </w:r>
            <w:r w:rsidRPr="008A703F">
              <w:rPr>
                <w:rFonts w:ascii="Garamond" w:hAnsi="Garamond"/>
                <w:sz w:val="24"/>
                <w:szCs w:val="24"/>
              </w:rPr>
              <w:t>*</w:t>
            </w:r>
          </w:p>
        </w:tc>
        <w:tc>
          <w:tcPr>
            <w:tcW w:w="0" w:type="auto"/>
            <w:shd w:val="clear" w:color="auto" w:fill="auto"/>
            <w:noWrap/>
            <w:vAlign w:val="bottom"/>
          </w:tcPr>
          <w:p w14:paraId="4A6AF09F" w14:textId="598E76D4" w:rsidR="00BE49FD" w:rsidRPr="008A703F" w:rsidRDefault="00BE49FD" w:rsidP="00C12806">
            <w:pPr>
              <w:jc w:val="right"/>
              <w:rPr>
                <w:rFonts w:ascii="Garamond" w:hAnsi="Garamond"/>
                <w:sz w:val="24"/>
                <w:szCs w:val="24"/>
              </w:rPr>
            </w:pPr>
            <w:r w:rsidRPr="008A703F">
              <w:rPr>
                <w:rFonts w:ascii="Garamond" w:hAnsi="Garamond"/>
                <w:sz w:val="24"/>
                <w:szCs w:val="24"/>
              </w:rPr>
              <w:t>-0.383</w:t>
            </w:r>
            <w:r w:rsidR="00C12806">
              <w:rPr>
                <w:rFonts w:ascii="Garamond" w:hAnsi="Garamond"/>
                <w:sz w:val="24"/>
                <w:szCs w:val="24"/>
              </w:rPr>
              <w:t>4</w:t>
            </w:r>
            <w:r w:rsidRPr="008A703F">
              <w:rPr>
                <w:rFonts w:ascii="Garamond" w:hAnsi="Garamond"/>
                <w:sz w:val="24"/>
                <w:szCs w:val="24"/>
              </w:rPr>
              <w:t>*</w:t>
            </w:r>
          </w:p>
        </w:tc>
        <w:tc>
          <w:tcPr>
            <w:tcW w:w="0" w:type="auto"/>
            <w:shd w:val="clear" w:color="auto" w:fill="auto"/>
            <w:noWrap/>
            <w:vAlign w:val="bottom"/>
          </w:tcPr>
          <w:p w14:paraId="039DD2F7" w14:textId="4D7C0B90" w:rsidR="00BE49FD" w:rsidRPr="008A703F" w:rsidRDefault="00C12806" w:rsidP="00C12806">
            <w:pPr>
              <w:jc w:val="right"/>
              <w:rPr>
                <w:rFonts w:ascii="Garamond" w:hAnsi="Garamond"/>
                <w:color w:val="000000"/>
                <w:sz w:val="24"/>
                <w:szCs w:val="24"/>
              </w:rPr>
            </w:pPr>
            <w:r>
              <w:rPr>
                <w:rFonts w:ascii="Garamond" w:hAnsi="Garamond"/>
                <w:color w:val="000000"/>
                <w:sz w:val="24"/>
                <w:szCs w:val="24"/>
              </w:rPr>
              <w:t>3.8867</w:t>
            </w:r>
            <w:r w:rsidR="00BE49FD" w:rsidRPr="008A703F">
              <w:rPr>
                <w:rFonts w:ascii="Garamond" w:hAnsi="Garamond"/>
                <w:color w:val="000000"/>
                <w:sz w:val="24"/>
                <w:szCs w:val="24"/>
              </w:rPr>
              <w:t>*</w:t>
            </w:r>
          </w:p>
        </w:tc>
        <w:tc>
          <w:tcPr>
            <w:tcW w:w="0" w:type="auto"/>
            <w:shd w:val="clear" w:color="auto" w:fill="auto"/>
            <w:noWrap/>
            <w:vAlign w:val="bottom"/>
          </w:tcPr>
          <w:p w14:paraId="58B300FB" w14:textId="6F4B1DED"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3.3386</w:t>
            </w:r>
          </w:p>
        </w:tc>
        <w:tc>
          <w:tcPr>
            <w:tcW w:w="0" w:type="auto"/>
            <w:shd w:val="clear" w:color="auto" w:fill="auto"/>
            <w:noWrap/>
            <w:vAlign w:val="bottom"/>
          </w:tcPr>
          <w:p w14:paraId="66398050" w14:textId="37F847F3"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-0.0344*</w:t>
            </w:r>
          </w:p>
        </w:tc>
        <w:tc>
          <w:tcPr>
            <w:tcW w:w="0" w:type="auto"/>
            <w:shd w:val="clear" w:color="auto" w:fill="auto"/>
            <w:noWrap/>
            <w:vAlign w:val="bottom"/>
          </w:tcPr>
          <w:p w14:paraId="46FC62D1" w14:textId="138FA93E"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-0.2747**</w:t>
            </w:r>
          </w:p>
        </w:tc>
      </w:tr>
      <w:tr w:rsidR="00BE49FD" w:rsidRPr="008A703F" w14:paraId="5B33592F" w14:textId="77777777" w:rsidTr="00B90008">
        <w:trPr>
          <w:trHeight w:val="300"/>
          <w:jc w:val="center"/>
        </w:trPr>
        <w:tc>
          <w:tcPr>
            <w:tcW w:w="0" w:type="auto"/>
            <w:shd w:val="clear" w:color="auto" w:fill="auto"/>
            <w:noWrap/>
            <w:vAlign w:val="center"/>
          </w:tcPr>
          <w:p w14:paraId="353217DD"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Standard deviation</w:t>
            </w:r>
          </w:p>
        </w:tc>
        <w:tc>
          <w:tcPr>
            <w:tcW w:w="0" w:type="auto"/>
            <w:shd w:val="clear" w:color="auto" w:fill="auto"/>
            <w:noWrap/>
            <w:vAlign w:val="bottom"/>
          </w:tcPr>
          <w:p w14:paraId="5DCA365A" w14:textId="54C1C826" w:rsidR="00BE49FD" w:rsidRPr="008A703F" w:rsidRDefault="00D11267" w:rsidP="00B90008">
            <w:pPr>
              <w:jc w:val="right"/>
              <w:rPr>
                <w:rFonts w:ascii="Garamond" w:hAnsi="Garamond"/>
                <w:sz w:val="24"/>
                <w:szCs w:val="24"/>
              </w:rPr>
            </w:pPr>
            <w:r>
              <w:rPr>
                <w:rFonts w:ascii="Garamond" w:hAnsi="Garamond"/>
                <w:sz w:val="24"/>
                <w:szCs w:val="24"/>
              </w:rPr>
              <w:t>-2.9993</w:t>
            </w:r>
            <w:r w:rsidR="00BE49FD" w:rsidRPr="008A703F">
              <w:rPr>
                <w:rFonts w:ascii="Garamond" w:hAnsi="Garamond"/>
                <w:sz w:val="24"/>
                <w:szCs w:val="24"/>
              </w:rPr>
              <w:t>**</w:t>
            </w:r>
          </w:p>
        </w:tc>
        <w:tc>
          <w:tcPr>
            <w:tcW w:w="0" w:type="auto"/>
            <w:shd w:val="clear" w:color="auto" w:fill="auto"/>
            <w:noWrap/>
            <w:vAlign w:val="bottom"/>
          </w:tcPr>
          <w:p w14:paraId="3193F5F6" w14:textId="6B1928DB" w:rsidR="00BE49FD" w:rsidRPr="008A703F" w:rsidRDefault="00D11267" w:rsidP="00B90008">
            <w:pPr>
              <w:jc w:val="right"/>
              <w:rPr>
                <w:rFonts w:ascii="Garamond" w:hAnsi="Garamond"/>
                <w:sz w:val="24"/>
                <w:szCs w:val="24"/>
              </w:rPr>
            </w:pPr>
            <w:r>
              <w:rPr>
                <w:rFonts w:ascii="Garamond" w:hAnsi="Garamond"/>
                <w:sz w:val="24"/>
                <w:szCs w:val="24"/>
              </w:rPr>
              <w:t>-6.8585</w:t>
            </w:r>
            <w:r w:rsidR="00BE49FD" w:rsidRPr="008A703F">
              <w:rPr>
                <w:rFonts w:ascii="Garamond" w:hAnsi="Garamond"/>
                <w:sz w:val="24"/>
                <w:szCs w:val="24"/>
              </w:rPr>
              <w:t>***</w:t>
            </w:r>
          </w:p>
        </w:tc>
        <w:tc>
          <w:tcPr>
            <w:tcW w:w="0" w:type="auto"/>
            <w:shd w:val="clear" w:color="auto" w:fill="auto"/>
            <w:noWrap/>
            <w:vAlign w:val="bottom"/>
          </w:tcPr>
          <w:p w14:paraId="144F9AFD" w14:textId="5EAB6C5A" w:rsidR="00BE49FD" w:rsidRPr="008A703F" w:rsidRDefault="00BE49FD" w:rsidP="00D11267">
            <w:pPr>
              <w:jc w:val="right"/>
              <w:rPr>
                <w:rFonts w:ascii="Garamond" w:hAnsi="Garamond"/>
                <w:sz w:val="24"/>
                <w:szCs w:val="24"/>
              </w:rPr>
            </w:pPr>
            <w:r w:rsidRPr="008A703F">
              <w:rPr>
                <w:rFonts w:ascii="Garamond" w:hAnsi="Garamond"/>
                <w:sz w:val="24"/>
                <w:szCs w:val="24"/>
              </w:rPr>
              <w:t>-0.0101</w:t>
            </w:r>
          </w:p>
        </w:tc>
        <w:tc>
          <w:tcPr>
            <w:tcW w:w="0" w:type="auto"/>
            <w:shd w:val="clear" w:color="auto" w:fill="auto"/>
            <w:noWrap/>
            <w:vAlign w:val="bottom"/>
          </w:tcPr>
          <w:p w14:paraId="4CF98D5D" w14:textId="24C96CF6" w:rsidR="00BE49FD" w:rsidRPr="008A703F" w:rsidRDefault="00BE49FD" w:rsidP="00C12806">
            <w:pPr>
              <w:jc w:val="right"/>
              <w:rPr>
                <w:rFonts w:ascii="Garamond" w:hAnsi="Garamond"/>
                <w:sz w:val="24"/>
                <w:szCs w:val="24"/>
              </w:rPr>
            </w:pPr>
            <w:r w:rsidRPr="008A703F">
              <w:rPr>
                <w:rFonts w:ascii="Garamond" w:hAnsi="Garamond"/>
                <w:sz w:val="24"/>
                <w:szCs w:val="24"/>
              </w:rPr>
              <w:t>0.7696</w:t>
            </w:r>
          </w:p>
        </w:tc>
        <w:tc>
          <w:tcPr>
            <w:tcW w:w="0" w:type="auto"/>
            <w:shd w:val="clear" w:color="auto" w:fill="auto"/>
            <w:noWrap/>
            <w:vAlign w:val="bottom"/>
          </w:tcPr>
          <w:p w14:paraId="1CB0FE22" w14:textId="5283A061"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-3.056</w:t>
            </w:r>
            <w:r w:rsidR="00C12806">
              <w:rPr>
                <w:rFonts w:ascii="Garamond" w:hAnsi="Garamond"/>
                <w:color w:val="000000"/>
                <w:sz w:val="24"/>
                <w:szCs w:val="24"/>
              </w:rPr>
              <w:t>4</w:t>
            </w:r>
            <w:r w:rsidRPr="008A703F">
              <w:rPr>
                <w:rFonts w:ascii="Garamond" w:hAnsi="Garamond"/>
                <w:color w:val="000000"/>
                <w:sz w:val="24"/>
                <w:szCs w:val="24"/>
              </w:rPr>
              <w:t>***</w:t>
            </w:r>
          </w:p>
        </w:tc>
        <w:tc>
          <w:tcPr>
            <w:tcW w:w="0" w:type="auto"/>
            <w:shd w:val="clear" w:color="auto" w:fill="auto"/>
            <w:noWrap/>
            <w:vAlign w:val="bottom"/>
          </w:tcPr>
          <w:p w14:paraId="4D120D8E" w14:textId="5A05C789"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-7.058</w:t>
            </w:r>
            <w:r w:rsidR="00C12806">
              <w:rPr>
                <w:rFonts w:ascii="Garamond" w:hAnsi="Garamond"/>
                <w:color w:val="000000"/>
                <w:sz w:val="24"/>
                <w:szCs w:val="24"/>
              </w:rPr>
              <w:t>9</w:t>
            </w:r>
            <w:r w:rsidRPr="008A703F">
              <w:rPr>
                <w:rFonts w:ascii="Garamond" w:hAnsi="Garamond"/>
                <w:color w:val="000000"/>
                <w:sz w:val="24"/>
                <w:szCs w:val="24"/>
              </w:rPr>
              <w:t>***</w:t>
            </w:r>
          </w:p>
        </w:tc>
        <w:tc>
          <w:tcPr>
            <w:tcW w:w="0" w:type="auto"/>
            <w:shd w:val="clear" w:color="auto" w:fill="auto"/>
            <w:noWrap/>
            <w:vAlign w:val="bottom"/>
          </w:tcPr>
          <w:p w14:paraId="489EEB0F" w14:textId="4AED0D05"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-0.0105</w:t>
            </w:r>
          </w:p>
        </w:tc>
        <w:tc>
          <w:tcPr>
            <w:tcW w:w="0" w:type="auto"/>
            <w:shd w:val="clear" w:color="auto" w:fill="auto"/>
            <w:noWrap/>
            <w:vAlign w:val="bottom"/>
          </w:tcPr>
          <w:p w14:paraId="13AC7C90" w14:textId="37E478F6"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0.7119</w:t>
            </w:r>
          </w:p>
        </w:tc>
      </w:tr>
      <w:tr w:rsidR="00BE49FD" w:rsidRPr="008A703F" w14:paraId="299A6F22" w14:textId="77777777" w:rsidTr="00B90008">
        <w:trPr>
          <w:trHeight w:val="300"/>
          <w:jc w:val="center"/>
        </w:trPr>
        <w:tc>
          <w:tcPr>
            <w:tcW w:w="0" w:type="auto"/>
            <w:shd w:val="clear" w:color="auto" w:fill="auto"/>
            <w:noWrap/>
            <w:vAlign w:val="center"/>
          </w:tcPr>
          <w:p w14:paraId="5BF134BE"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ln(Market value)</w:t>
            </w:r>
          </w:p>
        </w:tc>
        <w:tc>
          <w:tcPr>
            <w:tcW w:w="0" w:type="auto"/>
            <w:shd w:val="clear" w:color="auto" w:fill="auto"/>
            <w:noWrap/>
            <w:vAlign w:val="bottom"/>
          </w:tcPr>
          <w:p w14:paraId="4F81409A" w14:textId="29283A9D" w:rsidR="00BE49FD" w:rsidRPr="008A703F" w:rsidRDefault="00BE49FD" w:rsidP="00D11267">
            <w:pPr>
              <w:jc w:val="right"/>
              <w:rPr>
                <w:rFonts w:ascii="Garamond" w:hAnsi="Garamond"/>
                <w:sz w:val="24"/>
                <w:szCs w:val="24"/>
              </w:rPr>
            </w:pPr>
            <w:r w:rsidRPr="008A703F">
              <w:rPr>
                <w:rFonts w:ascii="Garamond" w:hAnsi="Garamond"/>
                <w:sz w:val="24"/>
                <w:szCs w:val="24"/>
              </w:rPr>
              <w:t>-0.0110</w:t>
            </w:r>
          </w:p>
        </w:tc>
        <w:tc>
          <w:tcPr>
            <w:tcW w:w="0" w:type="auto"/>
            <w:shd w:val="clear" w:color="auto" w:fill="auto"/>
            <w:noWrap/>
            <w:vAlign w:val="bottom"/>
          </w:tcPr>
          <w:p w14:paraId="2C983D25" w14:textId="463D80B2" w:rsidR="00BE49FD" w:rsidRPr="008A703F" w:rsidRDefault="00BE49FD" w:rsidP="00B90008">
            <w:pPr>
              <w:jc w:val="right"/>
              <w:rPr>
                <w:rFonts w:ascii="Garamond" w:hAnsi="Garamond"/>
                <w:sz w:val="24"/>
                <w:szCs w:val="24"/>
              </w:rPr>
            </w:pPr>
            <w:r w:rsidRPr="008A703F">
              <w:rPr>
                <w:rFonts w:ascii="Garamond" w:hAnsi="Garamond"/>
                <w:sz w:val="24"/>
                <w:szCs w:val="24"/>
              </w:rPr>
              <w:t>-</w:t>
            </w:r>
            <w:r w:rsidR="00D11267">
              <w:rPr>
                <w:rFonts w:ascii="Garamond" w:hAnsi="Garamond"/>
                <w:sz w:val="24"/>
                <w:szCs w:val="24"/>
              </w:rPr>
              <w:t>0.0246</w:t>
            </w:r>
          </w:p>
        </w:tc>
        <w:tc>
          <w:tcPr>
            <w:tcW w:w="0" w:type="auto"/>
            <w:shd w:val="clear" w:color="auto" w:fill="auto"/>
            <w:noWrap/>
            <w:vAlign w:val="bottom"/>
          </w:tcPr>
          <w:p w14:paraId="676E8F2D" w14:textId="13F52FD8" w:rsidR="00BE49FD" w:rsidRPr="008A703F" w:rsidRDefault="00BE49FD" w:rsidP="00D11267">
            <w:pPr>
              <w:jc w:val="right"/>
              <w:rPr>
                <w:rFonts w:ascii="Garamond" w:hAnsi="Garamond"/>
                <w:sz w:val="24"/>
                <w:szCs w:val="24"/>
              </w:rPr>
            </w:pPr>
            <w:r w:rsidRPr="008A703F">
              <w:rPr>
                <w:rFonts w:ascii="Garamond" w:hAnsi="Garamond"/>
                <w:sz w:val="24"/>
                <w:szCs w:val="24"/>
              </w:rPr>
              <w:t>-0.000</w:t>
            </w:r>
            <w:r w:rsidR="00D11267">
              <w:rPr>
                <w:rFonts w:ascii="Garamond" w:hAnsi="Garamond"/>
                <w:sz w:val="24"/>
                <w:szCs w:val="24"/>
              </w:rPr>
              <w:t>5</w:t>
            </w:r>
          </w:p>
        </w:tc>
        <w:tc>
          <w:tcPr>
            <w:tcW w:w="0" w:type="auto"/>
            <w:shd w:val="clear" w:color="auto" w:fill="auto"/>
            <w:noWrap/>
            <w:vAlign w:val="bottom"/>
          </w:tcPr>
          <w:p w14:paraId="1777B047" w14:textId="056FC99D" w:rsidR="00BE49FD" w:rsidRPr="008A703F" w:rsidRDefault="00BE49FD" w:rsidP="00C12806">
            <w:pPr>
              <w:jc w:val="right"/>
              <w:rPr>
                <w:rFonts w:ascii="Garamond" w:hAnsi="Garamond"/>
                <w:sz w:val="24"/>
                <w:szCs w:val="24"/>
              </w:rPr>
            </w:pPr>
            <w:r w:rsidRPr="008A703F">
              <w:rPr>
                <w:rFonts w:ascii="Garamond" w:hAnsi="Garamond"/>
                <w:sz w:val="24"/>
                <w:szCs w:val="24"/>
              </w:rPr>
              <w:t>0.0340</w:t>
            </w:r>
          </w:p>
        </w:tc>
        <w:tc>
          <w:tcPr>
            <w:tcW w:w="0" w:type="auto"/>
            <w:shd w:val="clear" w:color="auto" w:fill="auto"/>
            <w:noWrap/>
            <w:vAlign w:val="bottom"/>
          </w:tcPr>
          <w:p w14:paraId="65B26217" w14:textId="3EC076E8" w:rsidR="00BE49FD" w:rsidRPr="008A703F" w:rsidRDefault="00C12806" w:rsidP="00C12806">
            <w:pPr>
              <w:jc w:val="right"/>
              <w:rPr>
                <w:rFonts w:ascii="Garamond" w:hAnsi="Garamond"/>
                <w:color w:val="000000"/>
                <w:sz w:val="24"/>
                <w:szCs w:val="24"/>
              </w:rPr>
            </w:pPr>
            <w:r>
              <w:rPr>
                <w:rFonts w:ascii="Garamond" w:hAnsi="Garamond"/>
                <w:color w:val="000000"/>
                <w:sz w:val="24"/>
                <w:szCs w:val="24"/>
              </w:rPr>
              <w:t>-0.0116</w:t>
            </w:r>
          </w:p>
        </w:tc>
        <w:tc>
          <w:tcPr>
            <w:tcW w:w="0" w:type="auto"/>
            <w:shd w:val="clear" w:color="auto" w:fill="auto"/>
            <w:noWrap/>
            <w:vAlign w:val="bottom"/>
          </w:tcPr>
          <w:p w14:paraId="076A0572" w14:textId="2AC4CA48"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-0.0287</w:t>
            </w:r>
          </w:p>
        </w:tc>
        <w:tc>
          <w:tcPr>
            <w:tcW w:w="0" w:type="auto"/>
            <w:shd w:val="clear" w:color="auto" w:fill="auto"/>
            <w:noWrap/>
            <w:vAlign w:val="bottom"/>
          </w:tcPr>
          <w:p w14:paraId="095F87E9" w14:textId="01FF3184" w:rsidR="00BE49FD" w:rsidRPr="008A703F" w:rsidRDefault="00C12806" w:rsidP="00C12806">
            <w:pPr>
              <w:jc w:val="right"/>
              <w:rPr>
                <w:rFonts w:ascii="Garamond" w:hAnsi="Garamond"/>
                <w:color w:val="000000"/>
                <w:sz w:val="24"/>
                <w:szCs w:val="24"/>
              </w:rPr>
            </w:pPr>
            <w:r>
              <w:rPr>
                <w:rFonts w:ascii="Garamond" w:hAnsi="Garamond"/>
                <w:color w:val="000000"/>
                <w:sz w:val="24"/>
                <w:szCs w:val="24"/>
              </w:rPr>
              <w:t>-0.0005</w:t>
            </w:r>
          </w:p>
        </w:tc>
        <w:tc>
          <w:tcPr>
            <w:tcW w:w="0" w:type="auto"/>
            <w:shd w:val="clear" w:color="auto" w:fill="auto"/>
            <w:noWrap/>
            <w:vAlign w:val="bottom"/>
          </w:tcPr>
          <w:p w14:paraId="30EDB08A" w14:textId="70841146"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0.0276</w:t>
            </w:r>
          </w:p>
        </w:tc>
      </w:tr>
      <w:tr w:rsidR="00BE49FD" w:rsidRPr="008A703F" w14:paraId="2A91027E" w14:textId="77777777" w:rsidTr="00B90008">
        <w:trPr>
          <w:trHeight w:val="300"/>
          <w:jc w:val="center"/>
        </w:trPr>
        <w:tc>
          <w:tcPr>
            <w:tcW w:w="0" w:type="auto"/>
            <w:shd w:val="clear" w:color="auto" w:fill="auto"/>
            <w:noWrap/>
            <w:vAlign w:val="center"/>
          </w:tcPr>
          <w:p w14:paraId="24A62C64"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Industrial production</w:t>
            </w:r>
          </w:p>
        </w:tc>
        <w:tc>
          <w:tcPr>
            <w:tcW w:w="0" w:type="auto"/>
            <w:shd w:val="clear" w:color="auto" w:fill="auto"/>
            <w:noWrap/>
            <w:vAlign w:val="bottom"/>
          </w:tcPr>
          <w:p w14:paraId="1601C548" w14:textId="25356242" w:rsidR="00BE49FD" w:rsidRPr="008A703F" w:rsidRDefault="00D11267" w:rsidP="00B90008">
            <w:pPr>
              <w:jc w:val="right"/>
              <w:rPr>
                <w:rFonts w:ascii="Garamond" w:hAnsi="Garamond"/>
                <w:sz w:val="24"/>
                <w:szCs w:val="24"/>
              </w:rPr>
            </w:pPr>
            <w:r>
              <w:rPr>
                <w:rFonts w:ascii="Garamond" w:hAnsi="Garamond"/>
                <w:sz w:val="24"/>
                <w:szCs w:val="24"/>
              </w:rPr>
              <w:t>0.0027</w:t>
            </w:r>
            <w:r w:rsidR="00BE49FD" w:rsidRPr="008A703F">
              <w:rPr>
                <w:rFonts w:ascii="Garamond" w:hAnsi="Garamond"/>
                <w:sz w:val="24"/>
                <w:szCs w:val="24"/>
              </w:rPr>
              <w:t>***</w:t>
            </w:r>
          </w:p>
        </w:tc>
        <w:tc>
          <w:tcPr>
            <w:tcW w:w="0" w:type="auto"/>
            <w:shd w:val="clear" w:color="auto" w:fill="auto"/>
            <w:noWrap/>
            <w:vAlign w:val="bottom"/>
          </w:tcPr>
          <w:p w14:paraId="5CFA2389" w14:textId="10AF31DB" w:rsidR="00BE49FD" w:rsidRPr="008A703F" w:rsidRDefault="00BE49FD" w:rsidP="00D11267">
            <w:pPr>
              <w:jc w:val="right"/>
              <w:rPr>
                <w:rFonts w:ascii="Garamond" w:hAnsi="Garamond"/>
                <w:sz w:val="24"/>
                <w:szCs w:val="24"/>
              </w:rPr>
            </w:pPr>
            <w:r w:rsidRPr="008A703F">
              <w:rPr>
                <w:rFonts w:ascii="Garamond" w:hAnsi="Garamond"/>
                <w:sz w:val="24"/>
                <w:szCs w:val="24"/>
              </w:rPr>
              <w:t>0.011</w:t>
            </w:r>
            <w:r w:rsidR="00D11267">
              <w:rPr>
                <w:rFonts w:ascii="Garamond" w:hAnsi="Garamond"/>
                <w:sz w:val="24"/>
                <w:szCs w:val="24"/>
              </w:rPr>
              <w:t>4</w:t>
            </w:r>
          </w:p>
        </w:tc>
        <w:tc>
          <w:tcPr>
            <w:tcW w:w="0" w:type="auto"/>
            <w:shd w:val="clear" w:color="auto" w:fill="auto"/>
            <w:noWrap/>
            <w:vAlign w:val="bottom"/>
          </w:tcPr>
          <w:p w14:paraId="03322A72" w14:textId="77777777" w:rsidR="00BE49FD" w:rsidRPr="008A703F" w:rsidRDefault="00BE49FD" w:rsidP="00B90008">
            <w:pPr>
              <w:jc w:val="right"/>
              <w:rPr>
                <w:rFonts w:ascii="Garamond" w:hAnsi="Garamond"/>
                <w:sz w:val="24"/>
                <w:szCs w:val="24"/>
              </w:rPr>
            </w:pPr>
            <w:r w:rsidRPr="008A703F">
              <w:rPr>
                <w:rFonts w:ascii="Garamond" w:hAnsi="Garamond"/>
                <w:sz w:val="24"/>
                <w:szCs w:val="24"/>
              </w:rPr>
              <w:t>-9.3E-05</w:t>
            </w:r>
          </w:p>
        </w:tc>
        <w:tc>
          <w:tcPr>
            <w:tcW w:w="0" w:type="auto"/>
            <w:shd w:val="clear" w:color="auto" w:fill="auto"/>
            <w:noWrap/>
            <w:vAlign w:val="bottom"/>
          </w:tcPr>
          <w:p w14:paraId="36930B91" w14:textId="2C964B47" w:rsidR="00BE49FD" w:rsidRPr="008A703F" w:rsidRDefault="00BE49FD" w:rsidP="00C12806">
            <w:pPr>
              <w:jc w:val="right"/>
              <w:rPr>
                <w:rFonts w:ascii="Garamond" w:hAnsi="Garamond"/>
                <w:sz w:val="24"/>
                <w:szCs w:val="24"/>
              </w:rPr>
            </w:pPr>
            <w:r w:rsidRPr="008A703F">
              <w:rPr>
                <w:rFonts w:ascii="Garamond" w:hAnsi="Garamond"/>
                <w:sz w:val="24"/>
                <w:szCs w:val="24"/>
              </w:rPr>
              <w:t>-0.0002</w:t>
            </w:r>
          </w:p>
        </w:tc>
        <w:tc>
          <w:tcPr>
            <w:tcW w:w="0" w:type="auto"/>
            <w:shd w:val="clear" w:color="auto" w:fill="auto"/>
            <w:noWrap/>
            <w:vAlign w:val="bottom"/>
          </w:tcPr>
          <w:p w14:paraId="422F7D57" w14:textId="3281DEB2" w:rsidR="00BE49FD" w:rsidRPr="008A703F" w:rsidRDefault="00C12806" w:rsidP="00C12806">
            <w:pPr>
              <w:jc w:val="right"/>
              <w:rPr>
                <w:rFonts w:ascii="Garamond" w:hAnsi="Garamond"/>
                <w:color w:val="000000"/>
                <w:sz w:val="24"/>
                <w:szCs w:val="24"/>
              </w:rPr>
            </w:pPr>
            <w:r>
              <w:rPr>
                <w:rFonts w:ascii="Garamond" w:hAnsi="Garamond"/>
                <w:color w:val="000000"/>
                <w:sz w:val="24"/>
                <w:szCs w:val="24"/>
              </w:rPr>
              <w:t>0.0028</w:t>
            </w:r>
            <w:r w:rsidR="00BE49FD" w:rsidRPr="008A703F">
              <w:rPr>
                <w:rFonts w:ascii="Garamond" w:hAnsi="Garamond"/>
                <w:color w:val="000000"/>
                <w:sz w:val="24"/>
                <w:szCs w:val="24"/>
              </w:rPr>
              <w:t>***</w:t>
            </w:r>
          </w:p>
        </w:tc>
        <w:tc>
          <w:tcPr>
            <w:tcW w:w="0" w:type="auto"/>
            <w:shd w:val="clear" w:color="auto" w:fill="auto"/>
            <w:noWrap/>
            <w:vAlign w:val="bottom"/>
          </w:tcPr>
          <w:p w14:paraId="32E83DE9" w14:textId="06FF0C11"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0.0118</w:t>
            </w:r>
          </w:p>
        </w:tc>
        <w:tc>
          <w:tcPr>
            <w:tcW w:w="0" w:type="auto"/>
            <w:shd w:val="clear" w:color="auto" w:fill="auto"/>
            <w:noWrap/>
            <w:vAlign w:val="bottom"/>
          </w:tcPr>
          <w:p w14:paraId="129BDC2E" w14:textId="361B40F0"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-0.0001</w:t>
            </w:r>
          </w:p>
        </w:tc>
        <w:tc>
          <w:tcPr>
            <w:tcW w:w="0" w:type="auto"/>
            <w:shd w:val="clear" w:color="auto" w:fill="auto"/>
            <w:noWrap/>
            <w:vAlign w:val="bottom"/>
          </w:tcPr>
          <w:p w14:paraId="005A7D99" w14:textId="72F6C370" w:rsidR="00BE49FD" w:rsidRPr="008A703F" w:rsidRDefault="00C12806" w:rsidP="00C12806">
            <w:pPr>
              <w:jc w:val="right"/>
              <w:rPr>
                <w:rFonts w:ascii="Garamond" w:hAnsi="Garamond"/>
                <w:color w:val="000000"/>
                <w:sz w:val="24"/>
                <w:szCs w:val="24"/>
              </w:rPr>
            </w:pPr>
            <w:r>
              <w:rPr>
                <w:rFonts w:ascii="Garamond" w:hAnsi="Garamond"/>
                <w:color w:val="000000"/>
                <w:sz w:val="24"/>
                <w:szCs w:val="24"/>
              </w:rPr>
              <w:t>-0.0028</w:t>
            </w:r>
          </w:p>
        </w:tc>
      </w:tr>
      <w:tr w:rsidR="00BE49FD" w:rsidRPr="008A703F" w14:paraId="7EFEE38C" w14:textId="77777777" w:rsidTr="00B90008">
        <w:trPr>
          <w:trHeight w:val="300"/>
          <w:jc w:val="center"/>
        </w:trPr>
        <w:tc>
          <w:tcPr>
            <w:tcW w:w="0" w:type="auto"/>
            <w:shd w:val="clear" w:color="auto" w:fill="auto"/>
            <w:noWrap/>
            <w:vAlign w:val="center"/>
          </w:tcPr>
          <w:p w14:paraId="18196030"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Inflation</w:t>
            </w:r>
          </w:p>
        </w:tc>
        <w:tc>
          <w:tcPr>
            <w:tcW w:w="0" w:type="auto"/>
            <w:shd w:val="clear" w:color="auto" w:fill="auto"/>
            <w:noWrap/>
            <w:vAlign w:val="bottom"/>
          </w:tcPr>
          <w:p w14:paraId="208BCD15" w14:textId="61F8F1B9" w:rsidR="00BE49FD" w:rsidRPr="008A703F" w:rsidRDefault="00D11267" w:rsidP="00D11267">
            <w:pPr>
              <w:jc w:val="right"/>
              <w:rPr>
                <w:rFonts w:ascii="Garamond" w:hAnsi="Garamond"/>
                <w:sz w:val="24"/>
                <w:szCs w:val="24"/>
              </w:rPr>
            </w:pPr>
            <w:r>
              <w:rPr>
                <w:rFonts w:ascii="Garamond" w:hAnsi="Garamond"/>
                <w:sz w:val="24"/>
                <w:szCs w:val="24"/>
              </w:rPr>
              <w:t>0.0124</w:t>
            </w:r>
          </w:p>
        </w:tc>
        <w:tc>
          <w:tcPr>
            <w:tcW w:w="0" w:type="auto"/>
            <w:shd w:val="clear" w:color="auto" w:fill="auto"/>
            <w:noWrap/>
            <w:vAlign w:val="bottom"/>
          </w:tcPr>
          <w:p w14:paraId="2E476896" w14:textId="33845CFC" w:rsidR="00BE49FD" w:rsidRPr="008A703F" w:rsidRDefault="00D11267" w:rsidP="00D11267">
            <w:pPr>
              <w:jc w:val="right"/>
              <w:rPr>
                <w:rFonts w:ascii="Garamond" w:hAnsi="Garamond"/>
                <w:sz w:val="24"/>
                <w:szCs w:val="24"/>
              </w:rPr>
            </w:pPr>
            <w:r>
              <w:rPr>
                <w:rFonts w:ascii="Garamond" w:hAnsi="Garamond"/>
                <w:sz w:val="24"/>
                <w:szCs w:val="24"/>
              </w:rPr>
              <w:t>0.0939</w:t>
            </w:r>
          </w:p>
        </w:tc>
        <w:tc>
          <w:tcPr>
            <w:tcW w:w="0" w:type="auto"/>
            <w:shd w:val="clear" w:color="auto" w:fill="auto"/>
            <w:noWrap/>
            <w:vAlign w:val="bottom"/>
          </w:tcPr>
          <w:p w14:paraId="048400B0" w14:textId="6C50BDD1" w:rsidR="00BE49FD" w:rsidRPr="008A703F" w:rsidRDefault="00BE49FD" w:rsidP="00B90008">
            <w:pPr>
              <w:jc w:val="right"/>
              <w:rPr>
                <w:rFonts w:ascii="Garamond" w:hAnsi="Garamond"/>
                <w:sz w:val="24"/>
                <w:szCs w:val="24"/>
              </w:rPr>
            </w:pPr>
            <w:r w:rsidRPr="008A703F">
              <w:rPr>
                <w:rFonts w:ascii="Garamond" w:hAnsi="Garamond"/>
                <w:sz w:val="24"/>
                <w:szCs w:val="24"/>
              </w:rPr>
              <w:t>0</w:t>
            </w:r>
            <w:r w:rsidR="00D11267">
              <w:rPr>
                <w:rFonts w:ascii="Garamond" w:hAnsi="Garamond"/>
                <w:sz w:val="24"/>
                <w:szCs w:val="24"/>
              </w:rPr>
              <w:t>.0027</w:t>
            </w:r>
            <w:r w:rsidRPr="008A703F">
              <w:rPr>
                <w:rFonts w:ascii="Garamond" w:hAnsi="Garamond"/>
                <w:sz w:val="24"/>
                <w:szCs w:val="24"/>
              </w:rPr>
              <w:t>**</w:t>
            </w:r>
          </w:p>
        </w:tc>
        <w:tc>
          <w:tcPr>
            <w:tcW w:w="0" w:type="auto"/>
            <w:shd w:val="clear" w:color="auto" w:fill="auto"/>
            <w:noWrap/>
            <w:vAlign w:val="bottom"/>
          </w:tcPr>
          <w:p w14:paraId="571B0A45" w14:textId="579C1290" w:rsidR="00BE49FD" w:rsidRPr="008A703F" w:rsidRDefault="00BE49FD" w:rsidP="00C12806">
            <w:pPr>
              <w:jc w:val="right"/>
              <w:rPr>
                <w:rFonts w:ascii="Garamond" w:hAnsi="Garamond"/>
                <w:sz w:val="24"/>
                <w:szCs w:val="24"/>
              </w:rPr>
            </w:pPr>
            <w:r w:rsidRPr="008A703F">
              <w:rPr>
                <w:rFonts w:ascii="Garamond" w:hAnsi="Garamond"/>
                <w:sz w:val="24"/>
                <w:szCs w:val="24"/>
              </w:rPr>
              <w:t>0.0588</w:t>
            </w:r>
          </w:p>
        </w:tc>
        <w:tc>
          <w:tcPr>
            <w:tcW w:w="0" w:type="auto"/>
            <w:shd w:val="clear" w:color="auto" w:fill="auto"/>
            <w:noWrap/>
            <w:vAlign w:val="bottom"/>
          </w:tcPr>
          <w:p w14:paraId="4365EAF5" w14:textId="2F8E16C9"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0.010</w:t>
            </w:r>
            <w:r w:rsidR="00C12806">
              <w:rPr>
                <w:rFonts w:ascii="Garamond" w:hAnsi="Garamond"/>
                <w:color w:val="000000"/>
                <w:sz w:val="24"/>
                <w:szCs w:val="24"/>
              </w:rPr>
              <w:t>0</w:t>
            </w:r>
          </w:p>
        </w:tc>
        <w:tc>
          <w:tcPr>
            <w:tcW w:w="0" w:type="auto"/>
            <w:shd w:val="clear" w:color="auto" w:fill="auto"/>
            <w:noWrap/>
            <w:vAlign w:val="bottom"/>
          </w:tcPr>
          <w:p w14:paraId="37F39671" w14:textId="017E8AF2"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-0.0017</w:t>
            </w:r>
          </w:p>
        </w:tc>
        <w:tc>
          <w:tcPr>
            <w:tcW w:w="0" w:type="auto"/>
            <w:shd w:val="clear" w:color="auto" w:fill="auto"/>
            <w:noWrap/>
            <w:vAlign w:val="bottom"/>
          </w:tcPr>
          <w:p w14:paraId="16DF33F0" w14:textId="124A5B2E" w:rsidR="00BE49FD" w:rsidRPr="008A703F" w:rsidRDefault="00BE49FD" w:rsidP="00B90008">
            <w:pPr>
              <w:jc w:val="right"/>
              <w:rPr>
                <w:rFonts w:ascii="Garamond" w:hAnsi="Garamond"/>
                <w:color w:val="000000"/>
                <w:sz w:val="24"/>
                <w:szCs w:val="24"/>
              </w:rPr>
            </w:pPr>
            <w:r w:rsidRPr="008A703F">
              <w:rPr>
                <w:rFonts w:ascii="Garamond" w:hAnsi="Garamond"/>
                <w:color w:val="000000"/>
                <w:sz w:val="24"/>
                <w:szCs w:val="24"/>
              </w:rPr>
              <w:t>0</w:t>
            </w:r>
            <w:r w:rsidR="00C12806">
              <w:rPr>
                <w:rFonts w:ascii="Garamond" w:hAnsi="Garamond"/>
                <w:color w:val="000000"/>
                <w:sz w:val="24"/>
                <w:szCs w:val="24"/>
              </w:rPr>
              <w:t>.0029</w:t>
            </w:r>
            <w:r w:rsidRPr="008A703F">
              <w:rPr>
                <w:rFonts w:ascii="Garamond" w:hAnsi="Garamond"/>
                <w:color w:val="000000"/>
                <w:sz w:val="24"/>
                <w:szCs w:val="24"/>
              </w:rPr>
              <w:t>**</w:t>
            </w:r>
          </w:p>
        </w:tc>
        <w:tc>
          <w:tcPr>
            <w:tcW w:w="0" w:type="auto"/>
            <w:shd w:val="clear" w:color="auto" w:fill="auto"/>
            <w:noWrap/>
            <w:vAlign w:val="bottom"/>
          </w:tcPr>
          <w:p w14:paraId="0BD82B39" w14:textId="1B207A33" w:rsidR="00BE49FD" w:rsidRPr="008A703F" w:rsidRDefault="00C12806" w:rsidP="00C12806">
            <w:pPr>
              <w:jc w:val="right"/>
              <w:rPr>
                <w:rFonts w:ascii="Garamond" w:hAnsi="Garamond"/>
                <w:color w:val="000000"/>
                <w:sz w:val="24"/>
                <w:szCs w:val="24"/>
              </w:rPr>
            </w:pPr>
            <w:r>
              <w:rPr>
                <w:rFonts w:ascii="Garamond" w:hAnsi="Garamond"/>
                <w:color w:val="000000"/>
                <w:sz w:val="24"/>
                <w:szCs w:val="24"/>
              </w:rPr>
              <w:t>0.0991</w:t>
            </w:r>
            <w:r w:rsidR="00BE49FD" w:rsidRPr="008A703F">
              <w:rPr>
                <w:rFonts w:ascii="Garamond" w:hAnsi="Garamond"/>
                <w:color w:val="000000"/>
                <w:sz w:val="24"/>
                <w:szCs w:val="24"/>
              </w:rPr>
              <w:t>***</w:t>
            </w:r>
          </w:p>
        </w:tc>
      </w:tr>
      <w:tr w:rsidR="00BE49FD" w:rsidRPr="008A703F" w14:paraId="6BBD63B6" w14:textId="77777777" w:rsidTr="00B90008">
        <w:trPr>
          <w:trHeight w:val="300"/>
          <w:jc w:val="center"/>
        </w:trPr>
        <w:tc>
          <w:tcPr>
            <w:tcW w:w="0" w:type="auto"/>
            <w:shd w:val="clear" w:color="auto" w:fill="auto"/>
            <w:noWrap/>
            <w:vAlign w:val="center"/>
          </w:tcPr>
          <w:p w14:paraId="136C7AC2"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Stock index</w:t>
            </w:r>
          </w:p>
        </w:tc>
        <w:tc>
          <w:tcPr>
            <w:tcW w:w="0" w:type="auto"/>
            <w:shd w:val="clear" w:color="auto" w:fill="auto"/>
            <w:noWrap/>
            <w:vAlign w:val="bottom"/>
          </w:tcPr>
          <w:p w14:paraId="43AE128F" w14:textId="41C56E15" w:rsidR="00BE49FD" w:rsidRPr="008A703F" w:rsidRDefault="00D11267" w:rsidP="00D11267">
            <w:pPr>
              <w:jc w:val="right"/>
              <w:rPr>
                <w:rFonts w:ascii="Garamond" w:hAnsi="Garamond"/>
                <w:sz w:val="24"/>
                <w:szCs w:val="24"/>
              </w:rPr>
            </w:pPr>
            <w:r>
              <w:rPr>
                <w:rFonts w:ascii="Garamond" w:hAnsi="Garamond"/>
                <w:sz w:val="24"/>
                <w:szCs w:val="24"/>
              </w:rPr>
              <w:t>0.0497</w:t>
            </w:r>
          </w:p>
        </w:tc>
        <w:tc>
          <w:tcPr>
            <w:tcW w:w="0" w:type="auto"/>
            <w:shd w:val="clear" w:color="auto" w:fill="auto"/>
            <w:noWrap/>
            <w:vAlign w:val="bottom"/>
          </w:tcPr>
          <w:p w14:paraId="080AC6A1" w14:textId="77EFFFB8" w:rsidR="00BE49FD" w:rsidRPr="008A703F" w:rsidRDefault="00BE49FD" w:rsidP="00D11267">
            <w:pPr>
              <w:jc w:val="right"/>
              <w:rPr>
                <w:rFonts w:ascii="Garamond" w:hAnsi="Garamond"/>
                <w:sz w:val="24"/>
                <w:szCs w:val="24"/>
              </w:rPr>
            </w:pPr>
            <w:r w:rsidRPr="008A703F">
              <w:rPr>
                <w:rFonts w:ascii="Garamond" w:hAnsi="Garamond"/>
                <w:sz w:val="24"/>
                <w:szCs w:val="24"/>
              </w:rPr>
              <w:t>-0.3819*</w:t>
            </w:r>
          </w:p>
        </w:tc>
        <w:tc>
          <w:tcPr>
            <w:tcW w:w="0" w:type="auto"/>
            <w:shd w:val="clear" w:color="auto" w:fill="auto"/>
            <w:noWrap/>
            <w:vAlign w:val="bottom"/>
          </w:tcPr>
          <w:p w14:paraId="2072B754" w14:textId="2F4564EC" w:rsidR="00BE49FD" w:rsidRPr="008A703F" w:rsidRDefault="00D11267" w:rsidP="00D11267">
            <w:pPr>
              <w:jc w:val="right"/>
              <w:rPr>
                <w:rFonts w:ascii="Garamond" w:hAnsi="Garamond"/>
                <w:sz w:val="24"/>
                <w:szCs w:val="24"/>
              </w:rPr>
            </w:pPr>
            <w:r>
              <w:rPr>
                <w:rFonts w:ascii="Garamond" w:hAnsi="Garamond"/>
                <w:sz w:val="24"/>
                <w:szCs w:val="24"/>
              </w:rPr>
              <w:t>-0.0009</w:t>
            </w:r>
            <w:r w:rsidR="00BE49FD" w:rsidRPr="008A703F">
              <w:rPr>
                <w:rFonts w:ascii="Garamond" w:hAnsi="Garamond"/>
                <w:sz w:val="24"/>
                <w:szCs w:val="24"/>
              </w:rPr>
              <w:t>*</w:t>
            </w:r>
          </w:p>
        </w:tc>
        <w:tc>
          <w:tcPr>
            <w:tcW w:w="0" w:type="auto"/>
            <w:shd w:val="clear" w:color="auto" w:fill="auto"/>
            <w:noWrap/>
            <w:vAlign w:val="bottom"/>
          </w:tcPr>
          <w:p w14:paraId="6BEFC4C4" w14:textId="4FD9FD98" w:rsidR="00BE49FD" w:rsidRPr="008A703F" w:rsidRDefault="00C12806" w:rsidP="00C12806">
            <w:pPr>
              <w:jc w:val="right"/>
              <w:rPr>
                <w:rFonts w:ascii="Garamond" w:hAnsi="Garamond"/>
                <w:sz w:val="24"/>
                <w:szCs w:val="24"/>
              </w:rPr>
            </w:pPr>
            <w:r>
              <w:rPr>
                <w:rFonts w:ascii="Garamond" w:hAnsi="Garamond"/>
                <w:sz w:val="24"/>
                <w:szCs w:val="24"/>
              </w:rPr>
              <w:t>-1.0404</w:t>
            </w:r>
          </w:p>
        </w:tc>
        <w:tc>
          <w:tcPr>
            <w:tcW w:w="0" w:type="auto"/>
            <w:shd w:val="clear" w:color="auto" w:fill="auto"/>
            <w:noWrap/>
            <w:vAlign w:val="bottom"/>
          </w:tcPr>
          <w:p w14:paraId="685C7655" w14:textId="2DDB9327" w:rsidR="00BE49FD" w:rsidRPr="008A703F" w:rsidRDefault="00C12806" w:rsidP="00C12806">
            <w:pPr>
              <w:jc w:val="right"/>
              <w:rPr>
                <w:rFonts w:ascii="Garamond" w:hAnsi="Garamond"/>
                <w:color w:val="000000"/>
                <w:sz w:val="24"/>
                <w:szCs w:val="24"/>
              </w:rPr>
            </w:pPr>
            <w:r>
              <w:rPr>
                <w:rFonts w:ascii="Garamond" w:hAnsi="Garamond"/>
                <w:color w:val="000000"/>
                <w:sz w:val="24"/>
                <w:szCs w:val="24"/>
              </w:rPr>
              <w:t>0.0631</w:t>
            </w:r>
            <w:r w:rsidR="00BE49FD" w:rsidRPr="008A703F">
              <w:rPr>
                <w:rFonts w:ascii="Garamond" w:hAnsi="Garamond"/>
                <w:color w:val="000000"/>
                <w:sz w:val="24"/>
                <w:szCs w:val="24"/>
              </w:rPr>
              <w:t>*</w:t>
            </w:r>
          </w:p>
        </w:tc>
        <w:tc>
          <w:tcPr>
            <w:tcW w:w="0" w:type="auto"/>
            <w:shd w:val="clear" w:color="auto" w:fill="auto"/>
            <w:noWrap/>
            <w:vAlign w:val="bottom"/>
          </w:tcPr>
          <w:p w14:paraId="3E3480B5" w14:textId="6EA5242D"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-0.4669</w:t>
            </w:r>
          </w:p>
        </w:tc>
        <w:tc>
          <w:tcPr>
            <w:tcW w:w="0" w:type="auto"/>
            <w:shd w:val="clear" w:color="auto" w:fill="auto"/>
            <w:noWrap/>
            <w:vAlign w:val="bottom"/>
          </w:tcPr>
          <w:p w14:paraId="7F3A73D2" w14:textId="031B8E0A"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0.0001*</w:t>
            </w:r>
          </w:p>
        </w:tc>
        <w:tc>
          <w:tcPr>
            <w:tcW w:w="0" w:type="auto"/>
            <w:shd w:val="clear" w:color="auto" w:fill="auto"/>
            <w:noWrap/>
            <w:vAlign w:val="bottom"/>
          </w:tcPr>
          <w:p w14:paraId="007A37DA" w14:textId="47FCB624"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-0.7349</w:t>
            </w:r>
          </w:p>
        </w:tc>
      </w:tr>
      <w:tr w:rsidR="00BE49FD" w:rsidRPr="008A703F" w14:paraId="284E2A13" w14:textId="77777777" w:rsidTr="00B90008">
        <w:trPr>
          <w:trHeight w:val="300"/>
          <w:jc w:val="center"/>
        </w:trPr>
        <w:tc>
          <w:tcPr>
            <w:tcW w:w="0" w:type="auto"/>
            <w:shd w:val="clear" w:color="auto" w:fill="auto"/>
            <w:noWrap/>
            <w:vAlign w:val="center"/>
          </w:tcPr>
          <w:p w14:paraId="5BA71BD4" w14:textId="77777777" w:rsidR="00BE49FD" w:rsidRPr="00786CAA" w:rsidRDefault="00BE49FD" w:rsidP="00B90008">
            <w:pPr>
              <w:spacing w:line="240" w:lineRule="auto"/>
              <w:contextualSpacing/>
              <w:rPr>
                <w:rFonts w:ascii="Garamond" w:hAnsi="Garamond"/>
                <w:color w:val="000000"/>
                <w:sz w:val="24"/>
                <w:szCs w:val="24"/>
              </w:rPr>
            </w:pPr>
          </w:p>
        </w:tc>
        <w:tc>
          <w:tcPr>
            <w:tcW w:w="0" w:type="auto"/>
            <w:shd w:val="clear" w:color="auto" w:fill="auto"/>
            <w:noWrap/>
            <w:vAlign w:val="bottom"/>
          </w:tcPr>
          <w:p w14:paraId="34E369CF" w14:textId="77777777" w:rsidR="00BE49FD" w:rsidRPr="008A703F" w:rsidRDefault="00BE49FD" w:rsidP="00B90008">
            <w:pPr>
              <w:rPr>
                <w:rFonts w:ascii="Garamond" w:hAnsi="Garamond"/>
                <w:sz w:val="24"/>
                <w:szCs w:val="24"/>
              </w:rPr>
            </w:pPr>
            <w:r w:rsidRPr="008A703F">
              <w:rPr>
                <w:rFonts w:ascii="Garamond" w:hAnsi="Garamond"/>
                <w:sz w:val="24"/>
                <w:szCs w:val="24"/>
              </w:rPr>
              <w:t> </w:t>
            </w:r>
          </w:p>
        </w:tc>
        <w:tc>
          <w:tcPr>
            <w:tcW w:w="0" w:type="auto"/>
            <w:shd w:val="clear" w:color="auto" w:fill="auto"/>
            <w:noWrap/>
            <w:vAlign w:val="bottom"/>
          </w:tcPr>
          <w:p w14:paraId="135F0338" w14:textId="77777777" w:rsidR="00BE49FD" w:rsidRPr="008A703F" w:rsidRDefault="00BE49FD" w:rsidP="00B90008">
            <w:pPr>
              <w:rPr>
                <w:rFonts w:ascii="Garamond" w:hAnsi="Garamond"/>
                <w:sz w:val="24"/>
                <w:szCs w:val="24"/>
              </w:rPr>
            </w:pPr>
            <w:r w:rsidRPr="008A703F">
              <w:rPr>
                <w:rFonts w:ascii="Garamond" w:hAnsi="Garamond"/>
                <w:sz w:val="24"/>
                <w:szCs w:val="24"/>
              </w:rPr>
              <w:t> </w:t>
            </w:r>
          </w:p>
        </w:tc>
        <w:tc>
          <w:tcPr>
            <w:tcW w:w="0" w:type="auto"/>
            <w:shd w:val="clear" w:color="auto" w:fill="auto"/>
            <w:noWrap/>
            <w:vAlign w:val="bottom"/>
          </w:tcPr>
          <w:p w14:paraId="3F0B26BA" w14:textId="77777777" w:rsidR="00BE49FD" w:rsidRPr="008A703F" w:rsidRDefault="00BE49FD" w:rsidP="00B90008">
            <w:pPr>
              <w:rPr>
                <w:rFonts w:ascii="Garamond" w:hAnsi="Garamond"/>
                <w:sz w:val="24"/>
                <w:szCs w:val="24"/>
              </w:rPr>
            </w:pPr>
            <w:r w:rsidRPr="008A703F">
              <w:rPr>
                <w:rFonts w:ascii="Garamond" w:hAnsi="Garamond"/>
                <w:sz w:val="24"/>
                <w:szCs w:val="24"/>
              </w:rPr>
              <w:t> </w:t>
            </w:r>
          </w:p>
        </w:tc>
        <w:tc>
          <w:tcPr>
            <w:tcW w:w="0" w:type="auto"/>
            <w:shd w:val="clear" w:color="auto" w:fill="auto"/>
            <w:noWrap/>
            <w:vAlign w:val="bottom"/>
          </w:tcPr>
          <w:p w14:paraId="29D98DEE" w14:textId="77777777" w:rsidR="00BE49FD" w:rsidRPr="008A703F" w:rsidRDefault="00BE49FD" w:rsidP="00B90008">
            <w:pPr>
              <w:rPr>
                <w:rFonts w:ascii="Garamond" w:hAnsi="Garamond"/>
                <w:sz w:val="24"/>
                <w:szCs w:val="24"/>
              </w:rPr>
            </w:pPr>
            <w:r w:rsidRPr="008A703F">
              <w:rPr>
                <w:rFonts w:ascii="Garamond" w:hAnsi="Garamond"/>
                <w:sz w:val="24"/>
                <w:szCs w:val="24"/>
              </w:rPr>
              <w:t> </w:t>
            </w:r>
          </w:p>
        </w:tc>
        <w:tc>
          <w:tcPr>
            <w:tcW w:w="0" w:type="auto"/>
            <w:shd w:val="clear" w:color="auto" w:fill="auto"/>
            <w:noWrap/>
            <w:vAlign w:val="bottom"/>
          </w:tcPr>
          <w:p w14:paraId="1A26AD91"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c>
          <w:tcPr>
            <w:tcW w:w="0" w:type="auto"/>
            <w:shd w:val="clear" w:color="auto" w:fill="auto"/>
            <w:noWrap/>
            <w:vAlign w:val="bottom"/>
          </w:tcPr>
          <w:p w14:paraId="58DD5FCD"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c>
          <w:tcPr>
            <w:tcW w:w="0" w:type="auto"/>
            <w:shd w:val="clear" w:color="auto" w:fill="auto"/>
            <w:noWrap/>
            <w:vAlign w:val="bottom"/>
          </w:tcPr>
          <w:p w14:paraId="3FB12A4B"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c>
          <w:tcPr>
            <w:tcW w:w="0" w:type="auto"/>
            <w:shd w:val="clear" w:color="auto" w:fill="auto"/>
            <w:noWrap/>
            <w:vAlign w:val="bottom"/>
          </w:tcPr>
          <w:p w14:paraId="0AB04B87" w14:textId="77777777" w:rsidR="00BE49FD" w:rsidRPr="008A703F" w:rsidRDefault="00BE49FD" w:rsidP="00B90008">
            <w:pPr>
              <w:rPr>
                <w:rFonts w:ascii="Garamond" w:hAnsi="Garamond"/>
                <w:color w:val="000000"/>
                <w:sz w:val="24"/>
                <w:szCs w:val="24"/>
              </w:rPr>
            </w:pPr>
            <w:r w:rsidRPr="008A703F">
              <w:rPr>
                <w:rFonts w:ascii="Garamond" w:hAnsi="Garamond"/>
                <w:color w:val="000000"/>
                <w:sz w:val="24"/>
                <w:szCs w:val="24"/>
              </w:rPr>
              <w:t> </w:t>
            </w:r>
          </w:p>
        </w:tc>
      </w:tr>
      <w:tr w:rsidR="00BE49FD" w:rsidRPr="008A703F" w14:paraId="208883A1" w14:textId="77777777" w:rsidTr="00B90008">
        <w:trPr>
          <w:trHeight w:val="300"/>
          <w:jc w:val="center"/>
        </w:trPr>
        <w:tc>
          <w:tcPr>
            <w:tcW w:w="0" w:type="auto"/>
            <w:shd w:val="clear" w:color="auto" w:fill="auto"/>
            <w:noWrap/>
            <w:vAlign w:val="center"/>
          </w:tcPr>
          <w:p w14:paraId="59B0DEF0" w14:textId="77777777" w:rsidR="00BE49FD" w:rsidRPr="00786CAA" w:rsidRDefault="00BE49FD" w:rsidP="00B90008">
            <w:pPr>
              <w:spacing w:line="240" w:lineRule="auto"/>
              <w:contextualSpacing/>
              <w:rPr>
                <w:rFonts w:ascii="Garamond" w:hAnsi="Garamond"/>
                <w:color w:val="000000"/>
                <w:sz w:val="24"/>
                <w:szCs w:val="24"/>
              </w:rPr>
            </w:pPr>
            <w:r w:rsidRPr="00786CAA">
              <w:rPr>
                <w:rFonts w:ascii="Garamond" w:hAnsi="Garamond"/>
                <w:color w:val="000000"/>
                <w:sz w:val="24"/>
                <w:szCs w:val="24"/>
              </w:rPr>
              <w:t>R-Squared</w:t>
            </w:r>
          </w:p>
        </w:tc>
        <w:tc>
          <w:tcPr>
            <w:tcW w:w="0" w:type="auto"/>
            <w:shd w:val="clear" w:color="auto" w:fill="auto"/>
            <w:noWrap/>
            <w:vAlign w:val="bottom"/>
          </w:tcPr>
          <w:p w14:paraId="71657454" w14:textId="610F4D78" w:rsidR="00BE49FD" w:rsidRPr="008A703F" w:rsidRDefault="00D11267" w:rsidP="00D11267">
            <w:pPr>
              <w:jc w:val="right"/>
              <w:rPr>
                <w:rFonts w:ascii="Garamond" w:hAnsi="Garamond"/>
                <w:sz w:val="24"/>
                <w:szCs w:val="24"/>
              </w:rPr>
            </w:pPr>
            <w:r>
              <w:rPr>
                <w:rFonts w:ascii="Garamond" w:hAnsi="Garamond"/>
                <w:sz w:val="24"/>
                <w:szCs w:val="24"/>
              </w:rPr>
              <w:t>0.5488</w:t>
            </w:r>
          </w:p>
        </w:tc>
        <w:tc>
          <w:tcPr>
            <w:tcW w:w="0" w:type="auto"/>
            <w:shd w:val="clear" w:color="auto" w:fill="auto"/>
            <w:noWrap/>
            <w:vAlign w:val="bottom"/>
          </w:tcPr>
          <w:p w14:paraId="5C2C9DDF" w14:textId="169BA6C9" w:rsidR="00BE49FD" w:rsidRPr="008A703F" w:rsidRDefault="00BE49FD" w:rsidP="00D11267">
            <w:pPr>
              <w:jc w:val="right"/>
              <w:rPr>
                <w:rFonts w:ascii="Garamond" w:hAnsi="Garamond"/>
                <w:sz w:val="24"/>
                <w:szCs w:val="24"/>
              </w:rPr>
            </w:pPr>
            <w:r w:rsidRPr="008A703F">
              <w:rPr>
                <w:rFonts w:ascii="Garamond" w:hAnsi="Garamond"/>
                <w:sz w:val="24"/>
                <w:szCs w:val="24"/>
              </w:rPr>
              <w:t>0.9035</w:t>
            </w:r>
          </w:p>
        </w:tc>
        <w:tc>
          <w:tcPr>
            <w:tcW w:w="0" w:type="auto"/>
            <w:shd w:val="clear" w:color="auto" w:fill="auto"/>
            <w:noWrap/>
            <w:vAlign w:val="bottom"/>
          </w:tcPr>
          <w:p w14:paraId="36B14875" w14:textId="5EEFB797" w:rsidR="00BE49FD" w:rsidRPr="008A703F" w:rsidRDefault="00BE49FD" w:rsidP="00D11267">
            <w:pPr>
              <w:jc w:val="right"/>
              <w:rPr>
                <w:rFonts w:ascii="Garamond" w:hAnsi="Garamond"/>
                <w:sz w:val="24"/>
                <w:szCs w:val="24"/>
              </w:rPr>
            </w:pPr>
            <w:r w:rsidRPr="008A703F">
              <w:rPr>
                <w:rFonts w:ascii="Garamond" w:hAnsi="Garamond"/>
                <w:sz w:val="24"/>
                <w:szCs w:val="24"/>
              </w:rPr>
              <w:t>0.203</w:t>
            </w:r>
            <w:r w:rsidR="00D11267">
              <w:rPr>
                <w:rFonts w:ascii="Garamond" w:hAnsi="Garamond"/>
                <w:sz w:val="24"/>
                <w:szCs w:val="24"/>
              </w:rPr>
              <w:t>8</w:t>
            </w:r>
          </w:p>
        </w:tc>
        <w:tc>
          <w:tcPr>
            <w:tcW w:w="0" w:type="auto"/>
            <w:shd w:val="clear" w:color="auto" w:fill="auto"/>
            <w:noWrap/>
            <w:vAlign w:val="bottom"/>
          </w:tcPr>
          <w:p w14:paraId="4A357F2E" w14:textId="24F9DD15" w:rsidR="00BE49FD" w:rsidRPr="008A703F" w:rsidRDefault="00BE49FD" w:rsidP="00C12806">
            <w:pPr>
              <w:jc w:val="right"/>
              <w:rPr>
                <w:rFonts w:ascii="Garamond" w:hAnsi="Garamond"/>
                <w:sz w:val="24"/>
                <w:szCs w:val="24"/>
              </w:rPr>
            </w:pPr>
            <w:r w:rsidRPr="008A703F">
              <w:rPr>
                <w:rFonts w:ascii="Garamond" w:hAnsi="Garamond"/>
                <w:sz w:val="24"/>
                <w:szCs w:val="24"/>
              </w:rPr>
              <w:t>0.1347</w:t>
            </w:r>
          </w:p>
        </w:tc>
        <w:tc>
          <w:tcPr>
            <w:tcW w:w="0" w:type="auto"/>
            <w:shd w:val="clear" w:color="auto" w:fill="auto"/>
            <w:noWrap/>
            <w:vAlign w:val="bottom"/>
          </w:tcPr>
          <w:p w14:paraId="015CD6EA" w14:textId="7FBB113B"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0.5544</w:t>
            </w:r>
          </w:p>
        </w:tc>
        <w:tc>
          <w:tcPr>
            <w:tcW w:w="0" w:type="auto"/>
            <w:shd w:val="clear" w:color="auto" w:fill="auto"/>
            <w:noWrap/>
            <w:vAlign w:val="bottom"/>
          </w:tcPr>
          <w:p w14:paraId="61AD8242" w14:textId="066BEC30"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0.8889</w:t>
            </w:r>
          </w:p>
        </w:tc>
        <w:tc>
          <w:tcPr>
            <w:tcW w:w="0" w:type="auto"/>
            <w:shd w:val="clear" w:color="auto" w:fill="auto"/>
            <w:noWrap/>
            <w:vAlign w:val="bottom"/>
          </w:tcPr>
          <w:p w14:paraId="586B011B" w14:textId="4743B1D3" w:rsidR="00BE49FD" w:rsidRPr="008A703F" w:rsidRDefault="00BE49FD" w:rsidP="00C12806">
            <w:pPr>
              <w:jc w:val="right"/>
              <w:rPr>
                <w:rFonts w:ascii="Garamond" w:hAnsi="Garamond"/>
                <w:color w:val="000000"/>
                <w:sz w:val="24"/>
                <w:szCs w:val="24"/>
              </w:rPr>
            </w:pPr>
            <w:r w:rsidRPr="008A703F">
              <w:rPr>
                <w:rFonts w:ascii="Garamond" w:hAnsi="Garamond"/>
                <w:color w:val="000000"/>
                <w:sz w:val="24"/>
                <w:szCs w:val="24"/>
              </w:rPr>
              <w:t>0.2258</w:t>
            </w:r>
          </w:p>
        </w:tc>
        <w:tc>
          <w:tcPr>
            <w:tcW w:w="0" w:type="auto"/>
            <w:shd w:val="clear" w:color="auto" w:fill="auto"/>
            <w:noWrap/>
            <w:vAlign w:val="bottom"/>
          </w:tcPr>
          <w:p w14:paraId="1C165A07" w14:textId="1869CA4B" w:rsidR="00BE49FD" w:rsidRPr="008A703F" w:rsidRDefault="00C12806" w:rsidP="00C12806">
            <w:pPr>
              <w:jc w:val="right"/>
              <w:rPr>
                <w:rFonts w:ascii="Garamond" w:hAnsi="Garamond"/>
                <w:color w:val="000000"/>
                <w:sz w:val="24"/>
                <w:szCs w:val="24"/>
              </w:rPr>
            </w:pPr>
            <w:r>
              <w:rPr>
                <w:rFonts w:ascii="Garamond" w:hAnsi="Garamond"/>
                <w:color w:val="000000"/>
                <w:sz w:val="24"/>
                <w:szCs w:val="24"/>
              </w:rPr>
              <w:t>0.1509</w:t>
            </w:r>
          </w:p>
        </w:tc>
      </w:tr>
      <w:tr w:rsidR="00BE49FD" w:rsidRPr="008A703F" w14:paraId="2A1E9264" w14:textId="77777777" w:rsidTr="00B90008">
        <w:trPr>
          <w:trHeight w:val="300"/>
          <w:jc w:val="center"/>
        </w:trPr>
        <w:tc>
          <w:tcPr>
            <w:tcW w:w="0" w:type="auto"/>
            <w:shd w:val="clear" w:color="auto" w:fill="auto"/>
            <w:noWrap/>
            <w:vAlign w:val="center"/>
          </w:tcPr>
          <w:p w14:paraId="302E7D19" w14:textId="77777777" w:rsidR="00BE49FD" w:rsidRPr="00786CAA" w:rsidRDefault="00BE49FD" w:rsidP="00B90008">
            <w:pPr>
              <w:spacing w:line="240" w:lineRule="auto"/>
              <w:contextualSpacing/>
              <w:rPr>
                <w:rFonts w:ascii="Garamond" w:hAnsi="Garamond"/>
                <w:color w:val="000000"/>
                <w:sz w:val="24"/>
                <w:szCs w:val="24"/>
              </w:rPr>
            </w:pPr>
          </w:p>
        </w:tc>
        <w:tc>
          <w:tcPr>
            <w:tcW w:w="0" w:type="auto"/>
            <w:shd w:val="clear" w:color="auto" w:fill="auto"/>
            <w:noWrap/>
            <w:vAlign w:val="bottom"/>
          </w:tcPr>
          <w:p w14:paraId="0281F81C"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4F17FD59"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665F1B7F"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69AEB1A6"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6DE21753"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15A5CC2F"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1496D276" w14:textId="77777777" w:rsidR="00BE49FD" w:rsidRPr="00786CAA" w:rsidRDefault="00BE49FD" w:rsidP="00B90008">
            <w:pPr>
              <w:spacing w:line="240" w:lineRule="auto"/>
              <w:contextualSpacing/>
              <w:jc w:val="center"/>
              <w:rPr>
                <w:rFonts w:ascii="Garamond" w:hAnsi="Garamond"/>
                <w:color w:val="000000"/>
                <w:sz w:val="24"/>
                <w:szCs w:val="24"/>
              </w:rPr>
            </w:pPr>
          </w:p>
        </w:tc>
        <w:tc>
          <w:tcPr>
            <w:tcW w:w="0" w:type="auto"/>
            <w:shd w:val="clear" w:color="auto" w:fill="auto"/>
            <w:noWrap/>
            <w:vAlign w:val="bottom"/>
          </w:tcPr>
          <w:p w14:paraId="7914B2DC" w14:textId="77777777" w:rsidR="00BE49FD" w:rsidRPr="00786CAA" w:rsidRDefault="00BE49FD" w:rsidP="00B90008">
            <w:pPr>
              <w:spacing w:line="240" w:lineRule="auto"/>
              <w:contextualSpacing/>
              <w:jc w:val="center"/>
              <w:rPr>
                <w:rFonts w:ascii="Garamond" w:hAnsi="Garamond"/>
                <w:color w:val="000000"/>
                <w:sz w:val="24"/>
                <w:szCs w:val="24"/>
              </w:rPr>
            </w:pPr>
          </w:p>
        </w:tc>
      </w:tr>
    </w:tbl>
    <w:p w14:paraId="71E2D287" w14:textId="77777777" w:rsidR="00BE49FD" w:rsidRPr="00FE671A" w:rsidRDefault="00BE49FD" w:rsidP="00BE49FD">
      <w:pPr>
        <w:spacing w:line="360" w:lineRule="auto"/>
        <w:jc w:val="both"/>
        <w:rPr>
          <w:rFonts w:ascii="Garamond" w:hAnsi="Garamond"/>
        </w:rPr>
      </w:pPr>
      <w:r w:rsidRPr="00FE671A">
        <w:rPr>
          <w:rFonts w:ascii="Garamond" w:hAnsi="Garamond"/>
        </w:rPr>
        <w:t xml:space="preserve">Note: This table presents the average coefficients of each variable associated with for four (il)liquidity measures of </w:t>
      </w:r>
      <w:r>
        <w:rPr>
          <w:rFonts w:ascii="Garamond" w:hAnsi="Garamond"/>
        </w:rPr>
        <w:t xml:space="preserve">the </w:t>
      </w:r>
      <w:r w:rsidRPr="00FE671A">
        <w:rPr>
          <w:rFonts w:ascii="Garamond" w:hAnsi="Garamond"/>
        </w:rPr>
        <w:t xml:space="preserve">financial sector of each equity market in our sample. The levels of significance are determined based on average t-statistics. ***, ** and * significant at </w:t>
      </w:r>
      <w:r>
        <w:rPr>
          <w:rFonts w:ascii="Garamond" w:hAnsi="Garamond"/>
        </w:rPr>
        <w:t xml:space="preserve">the </w:t>
      </w:r>
      <w:r w:rsidRPr="00FE671A">
        <w:rPr>
          <w:rFonts w:ascii="Garamond" w:hAnsi="Garamond"/>
        </w:rPr>
        <w:t>1%, 5% and 10% level</w:t>
      </w:r>
      <w:r>
        <w:rPr>
          <w:rFonts w:ascii="Garamond" w:hAnsi="Garamond"/>
        </w:rPr>
        <w:t>s</w:t>
      </w:r>
      <w:r w:rsidRPr="00FE671A">
        <w:rPr>
          <w:rFonts w:ascii="Garamond" w:hAnsi="Garamond"/>
        </w:rPr>
        <w:t>.</w:t>
      </w:r>
    </w:p>
    <w:p w14:paraId="25B37AD5" w14:textId="77777777" w:rsidR="00BE49FD" w:rsidRDefault="00BE49FD" w:rsidP="00BE49FD">
      <w:pPr>
        <w:spacing w:line="360" w:lineRule="auto"/>
        <w:jc w:val="both"/>
        <w:rPr>
          <w:rFonts w:ascii="Garamond" w:hAnsi="Garamond"/>
          <w:sz w:val="24"/>
          <w:szCs w:val="24"/>
        </w:rPr>
      </w:pPr>
    </w:p>
    <w:p w14:paraId="717C0588" w14:textId="77777777" w:rsidR="00BE49FD" w:rsidRDefault="00BE49FD" w:rsidP="00BE49FD">
      <w:pPr>
        <w:spacing w:line="360" w:lineRule="auto"/>
        <w:jc w:val="both"/>
        <w:rPr>
          <w:rFonts w:ascii="Garamond" w:hAnsi="Garamond"/>
          <w:sz w:val="24"/>
          <w:szCs w:val="24"/>
        </w:rPr>
        <w:sectPr w:rsidR="00BE49FD" w:rsidSect="00B90008">
          <w:pgSz w:w="16838" w:h="11906" w:orient="landscape"/>
          <w:pgMar w:top="1440" w:right="1440" w:bottom="1440" w:left="1440" w:header="709" w:footer="709" w:gutter="0"/>
          <w:cols w:space="708"/>
          <w:docGrid w:linePitch="360"/>
        </w:sectPr>
      </w:pPr>
    </w:p>
    <w:p w14:paraId="3DED2F89" w14:textId="3E6929D6" w:rsidR="00BE49FD" w:rsidRPr="00191CF5" w:rsidRDefault="00BE49FD" w:rsidP="00BE49FD">
      <w:pPr>
        <w:spacing w:line="360" w:lineRule="auto"/>
        <w:jc w:val="both"/>
        <w:rPr>
          <w:rFonts w:ascii="Garamond" w:hAnsi="Garamond"/>
          <w:sz w:val="24"/>
          <w:szCs w:val="24"/>
        </w:rPr>
      </w:pPr>
      <w:r>
        <w:rPr>
          <w:rFonts w:ascii="Garamond" w:hAnsi="Garamond"/>
          <w:sz w:val="24"/>
          <w:szCs w:val="24"/>
        </w:rPr>
        <w:lastRenderedPageBreak/>
        <w:t>The average panel estimations detailed in Table 10 further show that other macroeconomic and control variables have significant impacts on market liquidity measures across industries in th</w:t>
      </w:r>
      <w:r w:rsidR="00A129B1">
        <w:rPr>
          <w:rFonts w:ascii="Garamond" w:hAnsi="Garamond"/>
          <w:sz w:val="24"/>
          <w:szCs w:val="24"/>
        </w:rPr>
        <w:t>ese</w:t>
      </w:r>
      <w:r>
        <w:rPr>
          <w:rFonts w:ascii="Garamond" w:hAnsi="Garamond"/>
          <w:sz w:val="24"/>
          <w:szCs w:val="24"/>
        </w:rPr>
        <w:t xml:space="preserve"> market</w:t>
      </w:r>
      <w:r w:rsidR="00A129B1">
        <w:rPr>
          <w:rFonts w:ascii="Garamond" w:hAnsi="Garamond"/>
          <w:sz w:val="24"/>
          <w:szCs w:val="24"/>
        </w:rPr>
        <w:t>s,</w:t>
      </w:r>
      <w:r w:rsidRPr="00352395">
        <w:rPr>
          <w:rFonts w:ascii="Garamond" w:hAnsi="Garamond"/>
          <w:sz w:val="24"/>
          <w:szCs w:val="24"/>
        </w:rPr>
        <w:t xml:space="preserve"> </w:t>
      </w:r>
      <w:r>
        <w:rPr>
          <w:rFonts w:ascii="Garamond" w:hAnsi="Garamond"/>
          <w:sz w:val="24"/>
          <w:szCs w:val="24"/>
        </w:rPr>
        <w:t xml:space="preserve">as explained in Eisfeldt (2004), Chordia et al. (2005), </w:t>
      </w:r>
      <w:r w:rsidRPr="00BE2865">
        <w:rPr>
          <w:rFonts w:ascii="Garamond" w:hAnsi="Garamond"/>
          <w:sz w:val="24"/>
          <w:szCs w:val="24"/>
        </w:rPr>
        <w:t>Söderberg</w:t>
      </w:r>
      <w:r>
        <w:rPr>
          <w:rFonts w:ascii="Garamond" w:hAnsi="Garamond"/>
          <w:sz w:val="24"/>
          <w:szCs w:val="24"/>
        </w:rPr>
        <w:t xml:space="preserve"> (2008), and </w:t>
      </w:r>
      <w:r w:rsidRPr="00B90008">
        <w:rPr>
          <w:rStyle w:val="HTMLCite"/>
          <w:rFonts w:ascii="Garamond" w:hAnsi="Garamond"/>
          <w:i w:val="0"/>
          <w:sz w:val="24"/>
          <w:szCs w:val="24"/>
        </w:rPr>
        <w:t>Næs</w:t>
      </w:r>
      <w:r>
        <w:rPr>
          <w:rFonts w:ascii="Garamond" w:hAnsi="Garamond"/>
          <w:sz w:val="24"/>
          <w:szCs w:val="24"/>
        </w:rPr>
        <w:t xml:space="preserve"> et al.</w:t>
      </w:r>
      <w:r w:rsidRPr="004A5EFD">
        <w:rPr>
          <w:rFonts w:ascii="Garamond" w:hAnsi="Garamond"/>
          <w:sz w:val="24"/>
          <w:szCs w:val="24"/>
        </w:rPr>
        <w:t xml:space="preserve"> </w:t>
      </w:r>
      <w:r>
        <w:rPr>
          <w:rFonts w:ascii="Garamond" w:hAnsi="Garamond"/>
          <w:sz w:val="24"/>
          <w:szCs w:val="24"/>
        </w:rPr>
        <w:t>(</w:t>
      </w:r>
      <w:r w:rsidRPr="004A5EFD">
        <w:rPr>
          <w:rFonts w:ascii="Garamond" w:hAnsi="Garamond"/>
          <w:sz w:val="24"/>
          <w:szCs w:val="24"/>
        </w:rPr>
        <w:t>2011</w:t>
      </w:r>
      <w:r>
        <w:rPr>
          <w:rFonts w:ascii="Garamond" w:hAnsi="Garamond"/>
          <w:sz w:val="24"/>
          <w:szCs w:val="24"/>
        </w:rPr>
        <w:t xml:space="preserve">). For example, on average financial institutions are strongly influenced by inflation and industrial production has a greater impact on the manufacturing sector. </w:t>
      </w:r>
      <w:r w:rsidR="00A129B1">
        <w:rPr>
          <w:rFonts w:ascii="Garamond" w:hAnsi="Garamond"/>
          <w:sz w:val="24"/>
          <w:szCs w:val="24"/>
        </w:rPr>
        <w:t>In p</w:t>
      </w:r>
      <w:r>
        <w:rPr>
          <w:rFonts w:ascii="Garamond" w:hAnsi="Garamond"/>
          <w:sz w:val="24"/>
          <w:szCs w:val="24"/>
        </w:rPr>
        <w:t>articular, liquidity ratios of the manufacturing sector have a positive association with industrial production, yet inflation creates a mixed effect on the (il)liquidity measures of the financial sector. Interestingly, the (il)liquidity of both the</w:t>
      </w:r>
      <w:r w:rsidR="00A129B1">
        <w:rPr>
          <w:rFonts w:ascii="Garamond" w:hAnsi="Garamond"/>
          <w:sz w:val="24"/>
          <w:szCs w:val="24"/>
        </w:rPr>
        <w:t>se</w:t>
      </w:r>
      <w:r>
        <w:rPr>
          <w:rFonts w:ascii="Garamond" w:hAnsi="Garamond"/>
          <w:sz w:val="24"/>
          <w:szCs w:val="24"/>
        </w:rPr>
        <w:t xml:space="preserve"> industries depend</w:t>
      </w:r>
      <w:r w:rsidR="00A129B1">
        <w:rPr>
          <w:rFonts w:ascii="Garamond" w:hAnsi="Garamond"/>
          <w:sz w:val="24"/>
          <w:szCs w:val="24"/>
        </w:rPr>
        <w:t>s</w:t>
      </w:r>
      <w:r>
        <w:rPr>
          <w:rFonts w:ascii="Garamond" w:hAnsi="Garamond"/>
          <w:sz w:val="24"/>
          <w:szCs w:val="24"/>
        </w:rPr>
        <w:t xml:space="preserve"> on cyclical movement of the market (i.e. measured in the market index, </w:t>
      </w:r>
      <m:oMath>
        <m:sSub>
          <m:sSubPr>
            <m:ctrlPr>
              <w:rPr>
                <w:rFonts w:ascii="Cambria Math" w:hAnsi="Cambria Math"/>
                <w:i/>
                <w:sz w:val="24"/>
                <w:szCs w:val="24"/>
              </w:rPr>
            </m:ctrlPr>
          </m:sSubPr>
          <m:e>
            <m:r>
              <w:rPr>
                <w:rFonts w:ascii="Cambria Math" w:hAnsi="Cambria Math"/>
                <w:sz w:val="24"/>
                <w:szCs w:val="24"/>
              </w:rPr>
              <m:t>INX</m:t>
            </m:r>
          </m:e>
          <m:sub>
            <m:r>
              <w:rPr>
                <w:rFonts w:ascii="Cambria Math" w:hAnsi="Cambria Math"/>
                <w:sz w:val="24"/>
                <w:szCs w:val="24"/>
              </w:rPr>
              <m:t>t-1</m:t>
            </m:r>
          </m:sub>
        </m:sSub>
      </m:oMath>
      <w:r>
        <w:rPr>
          <w:rFonts w:ascii="Garamond" w:hAnsi="Garamond"/>
          <w:sz w:val="24"/>
          <w:szCs w:val="24"/>
        </w:rPr>
        <w:t xml:space="preserve">) and </w:t>
      </w:r>
      <w:r w:rsidR="00A129B1">
        <w:rPr>
          <w:rFonts w:ascii="Garamond" w:hAnsi="Garamond"/>
          <w:sz w:val="24"/>
          <w:szCs w:val="24"/>
        </w:rPr>
        <w:t xml:space="preserve">in </w:t>
      </w:r>
      <w:r>
        <w:rPr>
          <w:rFonts w:ascii="Garamond" w:hAnsi="Garamond"/>
          <w:sz w:val="24"/>
          <w:szCs w:val="24"/>
        </w:rPr>
        <w:t xml:space="preserve">most cases, </w:t>
      </w:r>
      <w:r w:rsidR="00A129B1">
        <w:rPr>
          <w:rFonts w:ascii="Garamond" w:hAnsi="Garamond"/>
          <w:sz w:val="24"/>
          <w:szCs w:val="24"/>
        </w:rPr>
        <w:t xml:space="preserve">varies </w:t>
      </w:r>
      <w:r>
        <w:rPr>
          <w:rFonts w:ascii="Garamond" w:hAnsi="Garamond"/>
          <w:sz w:val="24"/>
          <w:szCs w:val="24"/>
        </w:rPr>
        <w:t xml:space="preserve">positively with liquidity and negatively with illiquidity. </w:t>
      </w:r>
      <w:r w:rsidR="00A129B1">
        <w:rPr>
          <w:rFonts w:ascii="Garamond" w:hAnsi="Garamond"/>
          <w:sz w:val="24"/>
          <w:szCs w:val="24"/>
        </w:rPr>
        <w:t>L</w:t>
      </w:r>
      <w:r>
        <w:rPr>
          <w:rFonts w:ascii="Garamond" w:hAnsi="Garamond"/>
          <w:sz w:val="24"/>
          <w:szCs w:val="24"/>
        </w:rPr>
        <w:t>agged dependent variable, own</w:t>
      </w:r>
      <w:r w:rsidR="00A129B1">
        <w:rPr>
          <w:rFonts w:ascii="Garamond" w:hAnsi="Garamond"/>
          <w:sz w:val="24"/>
          <w:szCs w:val="24"/>
        </w:rPr>
        <w:t xml:space="preserve"> </w:t>
      </w:r>
      <w:r>
        <w:rPr>
          <w:rFonts w:ascii="Garamond" w:hAnsi="Garamond"/>
          <w:sz w:val="24"/>
          <w:szCs w:val="24"/>
        </w:rPr>
        <w:t>return and volatility are the other factors influencing the (il)liquidity of each industr</w:t>
      </w:r>
      <w:r w:rsidR="00A129B1">
        <w:rPr>
          <w:rFonts w:ascii="Garamond" w:hAnsi="Garamond"/>
          <w:sz w:val="24"/>
          <w:szCs w:val="24"/>
        </w:rPr>
        <w:t>y</w:t>
      </w:r>
      <w:r>
        <w:rPr>
          <w:rFonts w:ascii="Garamond" w:hAnsi="Garamond"/>
          <w:sz w:val="24"/>
          <w:szCs w:val="24"/>
        </w:rPr>
        <w:t xml:space="preserve"> category.</w:t>
      </w:r>
    </w:p>
    <w:p w14:paraId="4F4581CC" w14:textId="77777777" w:rsidR="00BE49FD" w:rsidRPr="005C5E85" w:rsidRDefault="00BE49FD" w:rsidP="00BE49FD">
      <w:pPr>
        <w:pStyle w:val="Heading1"/>
        <w:spacing w:after="200" w:line="360" w:lineRule="auto"/>
        <w:rPr>
          <w:rFonts w:ascii="Garamond" w:hAnsi="Garamond"/>
          <w:color w:val="auto"/>
          <w:sz w:val="24"/>
          <w:szCs w:val="24"/>
        </w:rPr>
      </w:pPr>
      <w:bookmarkStart w:id="18" w:name="_Toc399683686"/>
      <w:r>
        <w:rPr>
          <w:rFonts w:ascii="Garamond" w:hAnsi="Garamond"/>
          <w:color w:val="auto"/>
          <w:sz w:val="24"/>
          <w:szCs w:val="24"/>
        </w:rPr>
        <w:t>4.</w:t>
      </w:r>
      <w:r w:rsidRPr="005C5E85">
        <w:rPr>
          <w:rFonts w:ascii="Garamond" w:hAnsi="Garamond"/>
          <w:color w:val="auto"/>
          <w:sz w:val="24"/>
          <w:szCs w:val="24"/>
        </w:rPr>
        <w:t xml:space="preserve"> Summary</w:t>
      </w:r>
      <w:bookmarkEnd w:id="18"/>
    </w:p>
    <w:p w14:paraId="38913F95" w14:textId="77777777" w:rsidR="00BE49FD" w:rsidRDefault="00BE49FD" w:rsidP="00BE49FD">
      <w:pPr>
        <w:spacing w:line="360" w:lineRule="auto"/>
        <w:jc w:val="both"/>
        <w:rPr>
          <w:rFonts w:ascii="Garamond" w:hAnsi="Garamond"/>
          <w:sz w:val="24"/>
          <w:szCs w:val="24"/>
        </w:rPr>
      </w:pPr>
      <w:r>
        <w:rPr>
          <w:rFonts w:ascii="Garamond" w:hAnsi="Garamond"/>
          <w:sz w:val="24"/>
          <w:szCs w:val="24"/>
        </w:rPr>
        <w:t>This study sheds light on the role of monetary and fiscal policy as a potential determinant of liquidity</w:t>
      </w:r>
      <w:r w:rsidRPr="007749EF">
        <w:rPr>
          <w:rFonts w:ascii="Garamond" w:hAnsi="Garamond"/>
          <w:sz w:val="24"/>
          <w:szCs w:val="24"/>
        </w:rPr>
        <w:t xml:space="preserve"> </w:t>
      </w:r>
      <w:r>
        <w:rPr>
          <w:rFonts w:ascii="Garamond" w:hAnsi="Garamond"/>
          <w:sz w:val="24"/>
          <w:szCs w:val="24"/>
        </w:rPr>
        <w:t>for eight emerging</w:t>
      </w:r>
      <w:r w:rsidRPr="007749EF">
        <w:rPr>
          <w:rFonts w:ascii="Garamond" w:hAnsi="Garamond"/>
          <w:sz w:val="24"/>
          <w:szCs w:val="24"/>
        </w:rPr>
        <w:t xml:space="preserve"> </w:t>
      </w:r>
      <w:r>
        <w:rPr>
          <w:rFonts w:ascii="Garamond" w:hAnsi="Garamond"/>
          <w:sz w:val="24"/>
          <w:szCs w:val="24"/>
        </w:rPr>
        <w:t xml:space="preserve">stock markets of </w:t>
      </w:r>
      <w:smartTag w:uri="urn:schemas-microsoft-com:office:smarttags" w:element="place">
        <w:r>
          <w:rPr>
            <w:rFonts w:ascii="Garamond" w:hAnsi="Garamond"/>
            <w:sz w:val="24"/>
            <w:szCs w:val="24"/>
          </w:rPr>
          <w:t>Asia</w:t>
        </w:r>
      </w:smartTag>
      <w:r>
        <w:rPr>
          <w:rFonts w:ascii="Garamond" w:hAnsi="Garamond"/>
          <w:sz w:val="24"/>
          <w:szCs w:val="24"/>
        </w:rPr>
        <w:t xml:space="preserve">. This study helps to understand the dynamic relationship between macroeconomic management policies and market liquidity from various perspectives for policy makers, investors and academics. </w:t>
      </w:r>
    </w:p>
    <w:p w14:paraId="3741141E" w14:textId="46AF9C1B" w:rsidR="00BE49FD" w:rsidRPr="00703259" w:rsidRDefault="00BE49FD" w:rsidP="00BE49FD">
      <w:pPr>
        <w:spacing w:line="360" w:lineRule="auto"/>
        <w:jc w:val="both"/>
        <w:rPr>
          <w:rFonts w:ascii="Garamond" w:hAnsi="Garamond"/>
          <w:sz w:val="24"/>
          <w:szCs w:val="24"/>
        </w:rPr>
      </w:pPr>
      <w:r>
        <w:rPr>
          <w:rFonts w:ascii="Garamond" w:hAnsi="Garamond"/>
          <w:sz w:val="24"/>
          <w:szCs w:val="24"/>
        </w:rPr>
        <w:t xml:space="preserve">Our major findings are as follows: First, the daily price index of stocks has a long-run association with monetary and fiscal policy variables. Using Pedroni’s (1999, 2004) and Kao’s (1999) cross-sectional cointegration approach </w:t>
      </w:r>
      <w:r w:rsidR="00A129B1">
        <w:rPr>
          <w:rFonts w:ascii="Garamond" w:hAnsi="Garamond"/>
          <w:sz w:val="24"/>
          <w:szCs w:val="24"/>
        </w:rPr>
        <w:t>we</w:t>
      </w:r>
      <w:r>
        <w:rPr>
          <w:rFonts w:ascii="Garamond" w:hAnsi="Garamond"/>
          <w:sz w:val="24"/>
          <w:szCs w:val="24"/>
        </w:rPr>
        <w:t xml:space="preserve"> find that the monthly price</w:t>
      </w:r>
      <w:r w:rsidR="00A129B1">
        <w:rPr>
          <w:rFonts w:ascii="Garamond" w:hAnsi="Garamond"/>
          <w:sz w:val="24"/>
          <w:szCs w:val="24"/>
        </w:rPr>
        <w:t>s</w:t>
      </w:r>
      <w:r>
        <w:rPr>
          <w:rFonts w:ascii="Garamond" w:hAnsi="Garamond"/>
          <w:sz w:val="24"/>
          <w:szCs w:val="24"/>
        </w:rPr>
        <w:t xml:space="preserve"> of our sample stocks are associated with macroeconomic management variables. Second, both central bank </w:t>
      </w:r>
      <w:r w:rsidR="00A129B1">
        <w:rPr>
          <w:rFonts w:ascii="Garamond" w:hAnsi="Garamond"/>
          <w:sz w:val="24"/>
          <w:szCs w:val="24"/>
        </w:rPr>
        <w:t xml:space="preserve">policy </w:t>
      </w:r>
      <w:r>
        <w:rPr>
          <w:rFonts w:ascii="Garamond" w:hAnsi="Garamond"/>
          <w:sz w:val="24"/>
          <w:szCs w:val="24"/>
        </w:rPr>
        <w:t xml:space="preserve">and government policy </w:t>
      </w:r>
      <w:r w:rsidR="00A129B1">
        <w:rPr>
          <w:rFonts w:ascii="Garamond" w:hAnsi="Garamond"/>
          <w:sz w:val="24"/>
          <w:szCs w:val="24"/>
        </w:rPr>
        <w:t>Granger-</w:t>
      </w:r>
      <w:r>
        <w:rPr>
          <w:rFonts w:ascii="Garamond" w:hAnsi="Garamond"/>
          <w:sz w:val="24"/>
          <w:szCs w:val="24"/>
        </w:rPr>
        <w:t>cause stock market liquidity and there are reverse causalities that exist among these variables. In particular, money supply growth, short-term interest rate, government expenditure and private borrowing show significant Granger-causality on both liquidity and illiquidity ratios. Similarly, money supply growth, government borrowing and public borrowing are receiving bidirectional causality from (i</w:t>
      </w:r>
      <w:r w:rsidR="004E22DD">
        <w:rPr>
          <w:rFonts w:ascii="Garamond" w:hAnsi="Garamond"/>
          <w:sz w:val="24"/>
          <w:szCs w:val="24"/>
        </w:rPr>
        <w:t>l</w:t>
      </w:r>
      <w:r>
        <w:rPr>
          <w:rFonts w:ascii="Garamond" w:hAnsi="Garamond"/>
          <w:sz w:val="24"/>
          <w:szCs w:val="24"/>
        </w:rPr>
        <w:t>)liquidity measures.</w:t>
      </w:r>
      <w:r w:rsidRPr="00D41B05">
        <w:rPr>
          <w:rFonts w:ascii="Garamond" w:hAnsi="Garamond"/>
          <w:color w:val="FF0000"/>
          <w:sz w:val="24"/>
          <w:szCs w:val="24"/>
        </w:rPr>
        <w:t xml:space="preserve"> </w:t>
      </w:r>
      <w:r w:rsidRPr="00703259">
        <w:rPr>
          <w:rFonts w:ascii="Garamond" w:hAnsi="Garamond"/>
          <w:sz w:val="24"/>
          <w:szCs w:val="24"/>
        </w:rPr>
        <w:t>Third, the sign</w:t>
      </w:r>
      <w:r w:rsidR="004E22DD">
        <w:rPr>
          <w:rFonts w:ascii="Garamond" w:hAnsi="Garamond"/>
          <w:sz w:val="24"/>
          <w:szCs w:val="24"/>
        </w:rPr>
        <w:t>s</w:t>
      </w:r>
      <w:r w:rsidRPr="00703259">
        <w:rPr>
          <w:rFonts w:ascii="Garamond" w:hAnsi="Garamond"/>
          <w:sz w:val="24"/>
          <w:szCs w:val="24"/>
        </w:rPr>
        <w:t xml:space="preserve"> of impulse response functions are well in line with our hypothesis for most of the Asian markets</w:t>
      </w:r>
      <w:r w:rsidR="004E22DD">
        <w:rPr>
          <w:rFonts w:ascii="Garamond" w:hAnsi="Garamond"/>
          <w:sz w:val="24"/>
          <w:szCs w:val="24"/>
        </w:rPr>
        <w:t>:</w:t>
      </w:r>
      <w:r w:rsidRPr="00703259">
        <w:rPr>
          <w:rFonts w:ascii="Garamond" w:hAnsi="Garamond"/>
          <w:sz w:val="24"/>
          <w:szCs w:val="24"/>
        </w:rPr>
        <w:t xml:space="preserve"> expansionary monetary and fiscal policy increase overall market liquidity. However, the impac</w:t>
      </w:r>
      <w:r>
        <w:rPr>
          <w:rFonts w:ascii="Garamond" w:hAnsi="Garamond"/>
          <w:sz w:val="24"/>
          <w:szCs w:val="24"/>
        </w:rPr>
        <w:t>t of some innovations is minimal</w:t>
      </w:r>
      <w:r w:rsidRPr="00703259">
        <w:rPr>
          <w:rFonts w:ascii="Garamond" w:hAnsi="Garamond"/>
          <w:sz w:val="24"/>
          <w:szCs w:val="24"/>
        </w:rPr>
        <w:t xml:space="preserve"> and </w:t>
      </w:r>
      <w:r>
        <w:rPr>
          <w:rFonts w:ascii="Garamond" w:hAnsi="Garamond"/>
          <w:sz w:val="24"/>
          <w:szCs w:val="24"/>
        </w:rPr>
        <w:t xml:space="preserve">sometime markets behave imperfectly. The liquidity response in </w:t>
      </w:r>
      <w:smartTag w:uri="urn:schemas-microsoft-com:office:smarttags" w:element="country-region">
        <w:r>
          <w:rPr>
            <w:rFonts w:ascii="Garamond" w:hAnsi="Garamond"/>
            <w:sz w:val="24"/>
            <w:szCs w:val="24"/>
          </w:rPr>
          <w:t>Taiwan</w:t>
        </w:r>
      </w:smartTag>
      <w:r>
        <w:rPr>
          <w:rFonts w:ascii="Garamond" w:hAnsi="Garamond"/>
          <w:sz w:val="24"/>
          <w:szCs w:val="24"/>
        </w:rPr>
        <w:t xml:space="preserve"> is the most persistent, then in </w:t>
      </w:r>
      <w:smartTag w:uri="urn:schemas-microsoft-com:office:smarttags" w:element="country-region">
        <w:r>
          <w:rPr>
            <w:rFonts w:ascii="Garamond" w:hAnsi="Garamond"/>
            <w:sz w:val="24"/>
            <w:szCs w:val="24"/>
          </w:rPr>
          <w:t>India</w:t>
        </w:r>
      </w:smartTag>
      <w:r>
        <w:rPr>
          <w:rFonts w:ascii="Garamond" w:hAnsi="Garamond"/>
          <w:sz w:val="24"/>
          <w:szCs w:val="24"/>
        </w:rPr>
        <w:t xml:space="preserve">, </w:t>
      </w:r>
      <w:smartTag w:uri="urn:schemas-microsoft-com:office:smarttags" w:element="country-region">
        <w:r>
          <w:rPr>
            <w:rFonts w:ascii="Garamond" w:hAnsi="Garamond"/>
            <w:sz w:val="24"/>
            <w:szCs w:val="24"/>
          </w:rPr>
          <w:t>Indonesia</w:t>
        </w:r>
      </w:smartTag>
      <w:r>
        <w:rPr>
          <w:rFonts w:ascii="Garamond" w:hAnsi="Garamond"/>
          <w:sz w:val="24"/>
          <w:szCs w:val="24"/>
        </w:rPr>
        <w:t xml:space="preserve">, </w:t>
      </w:r>
      <w:smartTag w:uri="urn:schemas-microsoft-com:office:smarttags" w:element="country-region">
        <w:r>
          <w:rPr>
            <w:rFonts w:ascii="Garamond" w:hAnsi="Garamond"/>
            <w:sz w:val="24"/>
            <w:szCs w:val="24"/>
          </w:rPr>
          <w:t>Malaysia</w:t>
        </w:r>
      </w:smartTag>
      <w:r>
        <w:rPr>
          <w:rFonts w:ascii="Garamond" w:hAnsi="Garamond"/>
          <w:sz w:val="24"/>
          <w:szCs w:val="24"/>
        </w:rPr>
        <w:t xml:space="preserve"> and </w:t>
      </w:r>
      <w:smartTag w:uri="urn:schemas-microsoft-com:office:smarttags" w:element="country-region">
        <w:smartTag w:uri="urn:schemas-microsoft-com:office:smarttags" w:element="place">
          <w:r>
            <w:rPr>
              <w:rFonts w:ascii="Garamond" w:hAnsi="Garamond"/>
              <w:sz w:val="24"/>
              <w:szCs w:val="24"/>
            </w:rPr>
            <w:t>South Korea</w:t>
          </w:r>
        </w:smartTag>
      </w:smartTag>
      <w:r>
        <w:rPr>
          <w:rFonts w:ascii="Garamond" w:hAnsi="Garamond"/>
          <w:sz w:val="24"/>
          <w:szCs w:val="24"/>
        </w:rPr>
        <w:t>. Both Bangladesh and Thailand display some deviation from theoretical and empirical notions, yet Pakistan is least persistent to macroeconomic innovations</w:t>
      </w:r>
      <w:r w:rsidRPr="00703259">
        <w:rPr>
          <w:rFonts w:ascii="Garamond" w:hAnsi="Garamond"/>
          <w:sz w:val="24"/>
          <w:szCs w:val="24"/>
        </w:rPr>
        <w:t xml:space="preserve">. </w:t>
      </w:r>
    </w:p>
    <w:p w14:paraId="56AD8655" w14:textId="75FA0AD4" w:rsidR="00BE49FD" w:rsidRDefault="00BE49FD" w:rsidP="00BE49FD">
      <w:pPr>
        <w:spacing w:line="360" w:lineRule="auto"/>
        <w:jc w:val="both"/>
        <w:rPr>
          <w:rFonts w:ascii="Garamond" w:hAnsi="Garamond"/>
          <w:color w:val="FF0000"/>
          <w:sz w:val="24"/>
          <w:szCs w:val="24"/>
        </w:rPr>
      </w:pPr>
      <w:r>
        <w:rPr>
          <w:rFonts w:ascii="Garamond" w:hAnsi="Garamond"/>
          <w:sz w:val="24"/>
          <w:szCs w:val="24"/>
        </w:rPr>
        <w:lastRenderedPageBreak/>
        <w:t>Fourth, the results of variance decomposition impl</w:t>
      </w:r>
      <w:r w:rsidR="004E22DD">
        <w:rPr>
          <w:rFonts w:ascii="Garamond" w:hAnsi="Garamond"/>
          <w:sz w:val="24"/>
          <w:szCs w:val="24"/>
        </w:rPr>
        <w:t>y</w:t>
      </w:r>
      <w:r>
        <w:rPr>
          <w:rFonts w:ascii="Garamond" w:hAnsi="Garamond"/>
          <w:sz w:val="24"/>
          <w:szCs w:val="24"/>
        </w:rPr>
        <w:t xml:space="preserve"> that there </w:t>
      </w:r>
      <w:r w:rsidR="004E22DD">
        <w:rPr>
          <w:rFonts w:ascii="Garamond" w:hAnsi="Garamond"/>
          <w:sz w:val="24"/>
          <w:szCs w:val="24"/>
        </w:rPr>
        <w:t>are</w:t>
      </w:r>
      <w:r>
        <w:rPr>
          <w:rFonts w:ascii="Garamond" w:hAnsi="Garamond"/>
          <w:sz w:val="24"/>
          <w:szCs w:val="24"/>
        </w:rPr>
        <w:t xml:space="preserve"> significant ‘crowding out’ and ‘cost of funds’ effects. </w:t>
      </w:r>
      <w:r w:rsidR="004E22DD">
        <w:rPr>
          <w:rFonts w:ascii="Garamond" w:hAnsi="Garamond"/>
          <w:sz w:val="24"/>
          <w:szCs w:val="24"/>
        </w:rPr>
        <w:t>B</w:t>
      </w:r>
      <w:r>
        <w:rPr>
          <w:rFonts w:ascii="Garamond" w:hAnsi="Garamond"/>
          <w:sz w:val="24"/>
          <w:szCs w:val="24"/>
        </w:rPr>
        <w:t xml:space="preserve">ank rate and short-term interest rate can explain a large fraction of the error variance of Amihud’s (2002) illiquidity. This is probably due to </w:t>
      </w:r>
      <w:r w:rsidR="004E22DD">
        <w:rPr>
          <w:rFonts w:ascii="Garamond" w:hAnsi="Garamond"/>
          <w:sz w:val="24"/>
          <w:szCs w:val="24"/>
        </w:rPr>
        <w:t xml:space="preserve">investors </w:t>
      </w:r>
      <w:r>
        <w:rPr>
          <w:rFonts w:ascii="Garamond" w:hAnsi="Garamond"/>
          <w:sz w:val="24"/>
          <w:szCs w:val="24"/>
        </w:rPr>
        <w:t>switching from risky to secure investments</w:t>
      </w:r>
      <w:r w:rsidR="004E22DD">
        <w:rPr>
          <w:rFonts w:ascii="Garamond" w:hAnsi="Garamond"/>
          <w:sz w:val="24"/>
          <w:szCs w:val="24"/>
        </w:rPr>
        <w:t>,</w:t>
      </w:r>
      <w:r>
        <w:rPr>
          <w:rFonts w:ascii="Garamond" w:hAnsi="Garamond"/>
          <w:sz w:val="24"/>
          <w:szCs w:val="24"/>
        </w:rPr>
        <w:t xml:space="preserve"> as suggested </w:t>
      </w:r>
      <w:r w:rsidR="004E22DD">
        <w:rPr>
          <w:rFonts w:ascii="Garamond" w:hAnsi="Garamond"/>
          <w:sz w:val="24"/>
          <w:szCs w:val="24"/>
        </w:rPr>
        <w:t>by</w:t>
      </w:r>
      <w:r>
        <w:rPr>
          <w:rFonts w:ascii="Garamond" w:hAnsi="Garamond"/>
          <w:sz w:val="24"/>
          <w:szCs w:val="24"/>
        </w:rPr>
        <w:t xml:space="preserve"> </w:t>
      </w:r>
      <w:r w:rsidRPr="00B90008">
        <w:rPr>
          <w:rStyle w:val="HTMLCite"/>
          <w:rFonts w:ascii="Garamond" w:hAnsi="Garamond"/>
          <w:i w:val="0"/>
          <w:sz w:val="24"/>
          <w:szCs w:val="24"/>
        </w:rPr>
        <w:t>Næs</w:t>
      </w:r>
      <w:r>
        <w:rPr>
          <w:rFonts w:ascii="Garamond" w:hAnsi="Garamond"/>
          <w:sz w:val="24"/>
          <w:szCs w:val="24"/>
        </w:rPr>
        <w:t xml:space="preserve"> et al.</w:t>
      </w:r>
      <w:r w:rsidRPr="004A5EFD">
        <w:rPr>
          <w:rFonts w:ascii="Garamond" w:hAnsi="Garamond"/>
          <w:sz w:val="24"/>
          <w:szCs w:val="24"/>
        </w:rPr>
        <w:t xml:space="preserve"> </w:t>
      </w:r>
      <w:r>
        <w:rPr>
          <w:rFonts w:ascii="Garamond" w:hAnsi="Garamond"/>
          <w:sz w:val="24"/>
          <w:szCs w:val="24"/>
        </w:rPr>
        <w:t>(</w:t>
      </w:r>
      <w:r w:rsidRPr="004A5EFD">
        <w:rPr>
          <w:rFonts w:ascii="Garamond" w:hAnsi="Garamond"/>
          <w:sz w:val="24"/>
          <w:szCs w:val="24"/>
        </w:rPr>
        <w:t>2011</w:t>
      </w:r>
      <w:r>
        <w:rPr>
          <w:rFonts w:ascii="Garamond" w:hAnsi="Garamond"/>
          <w:sz w:val="24"/>
          <w:szCs w:val="24"/>
        </w:rPr>
        <w:t>). In addition, a higher interest rate means a higher cost of funds and thus banks, rather than lending money to individuals</w:t>
      </w:r>
      <w:r w:rsidR="004E22DD">
        <w:rPr>
          <w:rFonts w:ascii="Garamond" w:hAnsi="Garamond"/>
          <w:sz w:val="24"/>
          <w:szCs w:val="24"/>
        </w:rPr>
        <w:t>,</w:t>
      </w:r>
      <w:r>
        <w:rPr>
          <w:rFonts w:ascii="Garamond" w:hAnsi="Garamond"/>
          <w:sz w:val="24"/>
          <w:szCs w:val="24"/>
        </w:rPr>
        <w:t xml:space="preserve"> provide more trading loans to institutions. Similarly, government borrowing creates competition for bank loans and thus private firms suffer. Fifth, the global financial crisis broadly had a negative impact on market liquidity and significantly increased market illiquidity. </w:t>
      </w:r>
      <w:r w:rsidR="004E22DD">
        <w:rPr>
          <w:rFonts w:ascii="Garamond" w:hAnsi="Garamond"/>
          <w:sz w:val="24"/>
          <w:szCs w:val="24"/>
        </w:rPr>
        <w:t>However</w:t>
      </w:r>
      <w:r>
        <w:rPr>
          <w:rFonts w:ascii="Garamond" w:hAnsi="Garamond"/>
          <w:sz w:val="24"/>
          <w:szCs w:val="24"/>
        </w:rPr>
        <w:t xml:space="preserve">, markets such as Bangladesh are mostly influenced by local factors and </w:t>
      </w:r>
      <w:r w:rsidR="004E22DD">
        <w:rPr>
          <w:rFonts w:ascii="Garamond" w:hAnsi="Garamond"/>
          <w:sz w:val="24"/>
          <w:szCs w:val="24"/>
        </w:rPr>
        <w:t xml:space="preserve">are </w:t>
      </w:r>
      <w:r>
        <w:rPr>
          <w:rFonts w:ascii="Garamond" w:hAnsi="Garamond"/>
          <w:sz w:val="24"/>
          <w:szCs w:val="24"/>
        </w:rPr>
        <w:t xml:space="preserve">less integrated </w:t>
      </w:r>
      <w:r w:rsidR="004E22DD">
        <w:rPr>
          <w:rFonts w:ascii="Garamond" w:hAnsi="Garamond"/>
          <w:sz w:val="24"/>
          <w:szCs w:val="24"/>
        </w:rPr>
        <w:t>in</w:t>
      </w:r>
      <w:r>
        <w:rPr>
          <w:rFonts w:ascii="Garamond" w:hAnsi="Garamond"/>
          <w:sz w:val="24"/>
          <w:szCs w:val="24"/>
        </w:rPr>
        <w:t xml:space="preserve">to the world economy. </w:t>
      </w:r>
      <w:r w:rsidRPr="00680F48">
        <w:rPr>
          <w:rFonts w:ascii="Garamond" w:hAnsi="Garamond"/>
          <w:sz w:val="24"/>
          <w:szCs w:val="24"/>
        </w:rPr>
        <w:t xml:space="preserve">Using non-financial shocks we find strong support for similar feedback on (il)liquidity measures. </w:t>
      </w:r>
    </w:p>
    <w:p w14:paraId="479E8F99" w14:textId="77777777" w:rsidR="004E22DD" w:rsidRDefault="00BE49FD" w:rsidP="00BE49FD">
      <w:pPr>
        <w:spacing w:line="360" w:lineRule="auto"/>
        <w:jc w:val="both"/>
        <w:rPr>
          <w:rFonts w:ascii="Garamond" w:hAnsi="Garamond"/>
          <w:sz w:val="24"/>
          <w:szCs w:val="24"/>
        </w:rPr>
      </w:pPr>
      <w:r>
        <w:rPr>
          <w:rFonts w:ascii="Garamond" w:hAnsi="Garamond"/>
          <w:sz w:val="24"/>
          <w:szCs w:val="24"/>
        </w:rPr>
        <w:t>Sixth, our panel estimations with fixed</w:t>
      </w:r>
      <w:r w:rsidR="004E22DD">
        <w:rPr>
          <w:rFonts w:ascii="Garamond" w:hAnsi="Garamond"/>
          <w:sz w:val="24"/>
          <w:szCs w:val="24"/>
        </w:rPr>
        <w:t xml:space="preserve"> </w:t>
      </w:r>
      <w:r>
        <w:rPr>
          <w:rFonts w:ascii="Garamond" w:hAnsi="Garamond"/>
          <w:sz w:val="24"/>
          <w:szCs w:val="24"/>
        </w:rPr>
        <w:t>effect</w:t>
      </w:r>
      <w:r w:rsidR="004E22DD">
        <w:rPr>
          <w:rFonts w:ascii="Garamond" w:hAnsi="Garamond"/>
          <w:sz w:val="24"/>
          <w:szCs w:val="24"/>
        </w:rPr>
        <w:t>s</w:t>
      </w:r>
      <w:r>
        <w:rPr>
          <w:rFonts w:ascii="Garamond" w:hAnsi="Garamond"/>
          <w:sz w:val="24"/>
          <w:szCs w:val="24"/>
        </w:rPr>
        <w:t xml:space="preserve"> on liquidity also </w:t>
      </w:r>
      <w:r w:rsidR="004E22DD">
        <w:rPr>
          <w:rFonts w:ascii="Garamond" w:hAnsi="Garamond"/>
          <w:sz w:val="24"/>
          <w:szCs w:val="24"/>
        </w:rPr>
        <w:t>show</w:t>
      </w:r>
      <w:r>
        <w:rPr>
          <w:rFonts w:ascii="Garamond" w:hAnsi="Garamond"/>
          <w:sz w:val="24"/>
          <w:szCs w:val="24"/>
        </w:rPr>
        <w:t xml:space="preserve"> that on average an expansionary (restrictive) monetary and fiscal policy also significantly leads to an increase (decrease) in the liquidity of individual stocks. Interestingly, we see that individual stock characteristics such as market capitalization play a role in this relationship. The liquidity of a size based portfolio shows a significant heterogeneous response to macroeconomic factors. Both large and small stocks portfolios are sensitive to changes in monetary and fiscal policy variables. Most importantly, the impact of expansionary or contractionary policy largely depends on the instruments used by the central bank or government. For example, money supply growth, government expenditure and private borrowing particularly increase the liquidity of smaller firms. On the other hand, bank rate, short-term interest rate and government borrowing </w:t>
      </w:r>
      <w:r w:rsidR="004E22DD">
        <w:rPr>
          <w:rFonts w:ascii="Garamond" w:hAnsi="Garamond"/>
          <w:sz w:val="24"/>
          <w:szCs w:val="24"/>
        </w:rPr>
        <w:t>decrease</w:t>
      </w:r>
      <w:r>
        <w:rPr>
          <w:rFonts w:ascii="Garamond" w:hAnsi="Garamond"/>
          <w:sz w:val="24"/>
          <w:szCs w:val="24"/>
        </w:rPr>
        <w:t xml:space="preserve"> the liquidity of </w:t>
      </w:r>
      <w:r w:rsidR="004E22DD">
        <w:rPr>
          <w:rFonts w:ascii="Garamond" w:hAnsi="Garamond"/>
          <w:sz w:val="24"/>
          <w:szCs w:val="24"/>
        </w:rPr>
        <w:t>the</w:t>
      </w:r>
      <w:r>
        <w:rPr>
          <w:rFonts w:ascii="Garamond" w:hAnsi="Garamond"/>
          <w:sz w:val="24"/>
          <w:szCs w:val="24"/>
        </w:rPr>
        <w:t xml:space="preserve"> smalle</w:t>
      </w:r>
      <w:r w:rsidR="004E22DD">
        <w:rPr>
          <w:rFonts w:ascii="Garamond" w:hAnsi="Garamond"/>
          <w:sz w:val="24"/>
          <w:szCs w:val="24"/>
        </w:rPr>
        <w:t>st</w:t>
      </w:r>
      <w:r>
        <w:rPr>
          <w:rFonts w:ascii="Garamond" w:hAnsi="Garamond"/>
          <w:sz w:val="24"/>
          <w:szCs w:val="24"/>
        </w:rPr>
        <w:t xml:space="preserve"> 20 percent </w:t>
      </w:r>
      <w:r w:rsidR="004E22DD">
        <w:rPr>
          <w:rFonts w:ascii="Garamond" w:hAnsi="Garamond"/>
          <w:sz w:val="24"/>
          <w:szCs w:val="24"/>
        </w:rPr>
        <w:t>of firms</w:t>
      </w:r>
      <w:r>
        <w:rPr>
          <w:rFonts w:ascii="Garamond" w:hAnsi="Garamond"/>
          <w:sz w:val="24"/>
          <w:szCs w:val="24"/>
        </w:rPr>
        <w:t xml:space="preserve">. </w:t>
      </w:r>
    </w:p>
    <w:p w14:paraId="5A075700" w14:textId="596D7E01" w:rsidR="00BE49FD" w:rsidRDefault="00BE49FD" w:rsidP="00BE49FD">
      <w:pPr>
        <w:spacing w:line="360" w:lineRule="auto"/>
        <w:jc w:val="both"/>
        <w:rPr>
          <w:rFonts w:ascii="Garamond" w:hAnsi="Garamond"/>
          <w:sz w:val="24"/>
          <w:szCs w:val="24"/>
        </w:rPr>
      </w:pPr>
      <w:r>
        <w:rPr>
          <w:rFonts w:ascii="Garamond" w:hAnsi="Garamond"/>
          <w:sz w:val="24"/>
          <w:szCs w:val="24"/>
        </w:rPr>
        <w:t>Seventh, when firms are classified into portfolios based on industrial categories, which ha</w:t>
      </w:r>
      <w:r w:rsidR="004E22DD">
        <w:rPr>
          <w:rFonts w:ascii="Garamond" w:hAnsi="Garamond"/>
          <w:sz w:val="24"/>
          <w:szCs w:val="24"/>
        </w:rPr>
        <w:t>s</w:t>
      </w:r>
      <w:r>
        <w:rPr>
          <w:rFonts w:ascii="Garamond" w:hAnsi="Garamond"/>
          <w:sz w:val="24"/>
          <w:szCs w:val="24"/>
        </w:rPr>
        <w:t xml:space="preserve"> not been considered </w:t>
      </w:r>
      <w:r w:rsidR="004E22DD">
        <w:rPr>
          <w:rFonts w:ascii="Garamond" w:hAnsi="Garamond"/>
          <w:sz w:val="24"/>
          <w:szCs w:val="24"/>
        </w:rPr>
        <w:t xml:space="preserve">in </w:t>
      </w:r>
      <w:r>
        <w:rPr>
          <w:rFonts w:ascii="Garamond" w:hAnsi="Garamond"/>
          <w:sz w:val="24"/>
          <w:szCs w:val="24"/>
        </w:rPr>
        <w:t>prior studies, we find a heterogeneous impact of monetary and fiscal policy. On average, the liquidity of manufacturing firms is affected by changes of any policy variables, whereas financial institutions are only influenced by monetary policy and the service sector is least affected. Moreover, other macroeconomic variables are also found to be statistically significant when we sort the portfolios into sector rather than size. For example, financial institutions and the manufacturing sector are strongly associated with inflation and industrial production respectively and both of these sectors are sensitive to market condition</w:t>
      </w:r>
      <w:r w:rsidR="004E22DD">
        <w:rPr>
          <w:rFonts w:ascii="Garamond" w:hAnsi="Garamond"/>
          <w:sz w:val="24"/>
          <w:szCs w:val="24"/>
        </w:rPr>
        <w:t>s</w:t>
      </w:r>
      <w:r w:rsidRPr="00B571A8">
        <w:rPr>
          <w:rFonts w:ascii="Garamond" w:hAnsi="Garamond"/>
          <w:sz w:val="24"/>
          <w:szCs w:val="24"/>
        </w:rPr>
        <w:t xml:space="preserve">. Hence, monetary interventions of the central bank and fiscal interventions of the government should be considered as an important determinant for individual and sectoral stocks’ liquidity, which may help to explain </w:t>
      </w:r>
      <w:r>
        <w:rPr>
          <w:rFonts w:ascii="Garamond" w:hAnsi="Garamond"/>
          <w:sz w:val="24"/>
          <w:szCs w:val="24"/>
        </w:rPr>
        <w:t xml:space="preserve">the </w:t>
      </w:r>
      <w:r w:rsidRPr="00B571A8">
        <w:rPr>
          <w:rFonts w:ascii="Garamond" w:hAnsi="Garamond"/>
          <w:sz w:val="24"/>
          <w:szCs w:val="24"/>
        </w:rPr>
        <w:t>observed commonality in liquidity and variations in liquidity at the aggregate market level.</w:t>
      </w:r>
      <w:r>
        <w:rPr>
          <w:rFonts w:ascii="Garamond" w:hAnsi="Garamond"/>
          <w:sz w:val="24"/>
          <w:szCs w:val="24"/>
        </w:rPr>
        <w:t xml:space="preserve"> Finally, as asserted in Chordia et al. (2005)</w:t>
      </w:r>
      <w:r w:rsidR="004E22DD">
        <w:rPr>
          <w:rFonts w:ascii="Garamond" w:hAnsi="Garamond"/>
          <w:sz w:val="24"/>
          <w:szCs w:val="24"/>
        </w:rPr>
        <w:t>,</w:t>
      </w:r>
      <w:r>
        <w:rPr>
          <w:rFonts w:ascii="Garamond" w:hAnsi="Garamond"/>
          <w:sz w:val="24"/>
          <w:szCs w:val="24"/>
        </w:rPr>
        <w:t xml:space="preserve"> monthly innovations in volatility and </w:t>
      </w:r>
      <w:r>
        <w:rPr>
          <w:rFonts w:ascii="Garamond" w:hAnsi="Garamond"/>
          <w:sz w:val="24"/>
          <w:szCs w:val="24"/>
        </w:rPr>
        <w:lastRenderedPageBreak/>
        <w:t>liquidity itself explain a large fraction of the error variance in forecasting liquidity in our markets, suggesting past volatility and liquidity are the key variables in forecasting future liquidity.</w:t>
      </w:r>
    </w:p>
    <w:p w14:paraId="66A178F5" w14:textId="7E85FCB4" w:rsidR="00BE49FD" w:rsidRDefault="00BE49FD" w:rsidP="00BE49FD">
      <w:pPr>
        <w:spacing w:line="360" w:lineRule="auto"/>
        <w:jc w:val="both"/>
        <w:rPr>
          <w:rFonts w:ascii="Garamond" w:hAnsi="Garamond"/>
          <w:sz w:val="24"/>
          <w:szCs w:val="24"/>
        </w:rPr>
      </w:pPr>
      <w:r w:rsidRPr="005636C5">
        <w:rPr>
          <w:rFonts w:ascii="Garamond" w:hAnsi="Garamond"/>
          <w:sz w:val="24"/>
          <w:szCs w:val="24"/>
        </w:rPr>
        <w:t xml:space="preserve">Our </w:t>
      </w:r>
      <w:r>
        <w:rPr>
          <w:rFonts w:ascii="Garamond" w:hAnsi="Garamond"/>
          <w:sz w:val="24"/>
          <w:szCs w:val="24"/>
        </w:rPr>
        <w:t>findings</w:t>
      </w:r>
      <w:r w:rsidRPr="005636C5">
        <w:rPr>
          <w:rFonts w:ascii="Garamond" w:hAnsi="Garamond"/>
          <w:sz w:val="24"/>
          <w:szCs w:val="24"/>
        </w:rPr>
        <w:t xml:space="preserve"> </w:t>
      </w:r>
      <w:r>
        <w:rPr>
          <w:rFonts w:ascii="Garamond" w:hAnsi="Garamond"/>
          <w:sz w:val="24"/>
          <w:szCs w:val="24"/>
        </w:rPr>
        <w:t>are</w:t>
      </w:r>
      <w:r w:rsidRPr="005636C5">
        <w:rPr>
          <w:rFonts w:ascii="Garamond" w:hAnsi="Garamond"/>
          <w:sz w:val="24"/>
          <w:szCs w:val="24"/>
        </w:rPr>
        <w:t xml:space="preserve"> importan</w:t>
      </w:r>
      <w:r>
        <w:rPr>
          <w:rFonts w:ascii="Garamond" w:hAnsi="Garamond"/>
          <w:sz w:val="24"/>
          <w:szCs w:val="24"/>
        </w:rPr>
        <w:t>t</w:t>
      </w:r>
      <w:r w:rsidRPr="005636C5">
        <w:rPr>
          <w:rFonts w:ascii="Garamond" w:hAnsi="Garamond"/>
          <w:sz w:val="24"/>
          <w:szCs w:val="24"/>
        </w:rPr>
        <w:t xml:space="preserve"> for risk management officers </w:t>
      </w:r>
      <w:r>
        <w:rPr>
          <w:rFonts w:ascii="Garamond" w:hAnsi="Garamond"/>
          <w:sz w:val="24"/>
          <w:szCs w:val="24"/>
        </w:rPr>
        <w:t>and</w:t>
      </w:r>
      <w:r w:rsidRPr="005636C5">
        <w:rPr>
          <w:rFonts w:ascii="Garamond" w:hAnsi="Garamond"/>
          <w:sz w:val="24"/>
          <w:szCs w:val="24"/>
        </w:rPr>
        <w:t xml:space="preserve"> r</w:t>
      </w:r>
      <w:r>
        <w:rPr>
          <w:rFonts w:ascii="Garamond" w:hAnsi="Garamond"/>
          <w:sz w:val="24"/>
          <w:szCs w:val="24"/>
        </w:rPr>
        <w:t>egulators. The former</w:t>
      </w:r>
      <w:r w:rsidRPr="005636C5">
        <w:rPr>
          <w:rFonts w:ascii="Garamond" w:hAnsi="Garamond"/>
          <w:sz w:val="24"/>
          <w:szCs w:val="24"/>
        </w:rPr>
        <w:t xml:space="preserve"> should care about the fact that </w:t>
      </w:r>
      <w:r>
        <w:rPr>
          <w:rFonts w:ascii="Garamond" w:hAnsi="Garamond"/>
          <w:sz w:val="24"/>
          <w:szCs w:val="24"/>
        </w:rPr>
        <w:t xml:space="preserve">(il)liquidity is negatively related to market volatility and to market returns. The </w:t>
      </w:r>
      <w:r w:rsidRPr="00BA52EF">
        <w:rPr>
          <w:rFonts w:ascii="Garamond" w:hAnsi="Garamond"/>
          <w:sz w:val="24"/>
          <w:szCs w:val="24"/>
        </w:rPr>
        <w:t xml:space="preserve">effect is most pronounced on the largest and smallest firms and </w:t>
      </w:r>
      <w:r w:rsidR="004E22DD" w:rsidRPr="00BA52EF">
        <w:rPr>
          <w:rFonts w:ascii="Garamond" w:hAnsi="Garamond"/>
          <w:sz w:val="24"/>
          <w:szCs w:val="24"/>
        </w:rPr>
        <w:t xml:space="preserve">the </w:t>
      </w:r>
      <w:r w:rsidRPr="00BA52EF">
        <w:rPr>
          <w:rFonts w:ascii="Garamond" w:hAnsi="Garamond"/>
          <w:sz w:val="24"/>
          <w:szCs w:val="24"/>
        </w:rPr>
        <w:t xml:space="preserve">financial sector. Moreover, the global financial crisis had a minimal effect on this market and (il)liquidity is </w:t>
      </w:r>
      <w:r w:rsidR="00EF426C" w:rsidRPr="00BA52EF">
        <w:rPr>
          <w:rFonts w:ascii="Garamond" w:hAnsi="Garamond"/>
          <w:sz w:val="24"/>
          <w:szCs w:val="24"/>
        </w:rPr>
        <w:t>significantly</w:t>
      </w:r>
      <w:r w:rsidRPr="00BA52EF">
        <w:rPr>
          <w:rFonts w:ascii="Garamond" w:hAnsi="Garamond"/>
          <w:sz w:val="24"/>
          <w:szCs w:val="24"/>
        </w:rPr>
        <w:t xml:space="preserve"> affected by the local </w:t>
      </w:r>
      <w:r w:rsidR="00EF426C" w:rsidRPr="00BA52EF">
        <w:rPr>
          <w:rFonts w:ascii="Garamond" w:hAnsi="Garamond"/>
          <w:sz w:val="24"/>
          <w:szCs w:val="24"/>
        </w:rPr>
        <w:t xml:space="preserve">rather global </w:t>
      </w:r>
      <w:r w:rsidRPr="00BA52EF">
        <w:rPr>
          <w:rFonts w:ascii="Garamond" w:hAnsi="Garamond"/>
          <w:sz w:val="24"/>
          <w:szCs w:val="24"/>
        </w:rPr>
        <w:t>macroeconomic news</w:t>
      </w:r>
      <w:r w:rsidR="00EF426C" w:rsidRPr="00BA52EF">
        <w:rPr>
          <w:rFonts w:ascii="Garamond" w:hAnsi="Garamond"/>
          <w:sz w:val="24"/>
          <w:szCs w:val="24"/>
        </w:rPr>
        <w:t xml:space="preserve"> in some countries</w:t>
      </w:r>
      <w:r w:rsidRPr="00BA52EF">
        <w:rPr>
          <w:rFonts w:ascii="Garamond" w:hAnsi="Garamond"/>
          <w:sz w:val="24"/>
          <w:szCs w:val="24"/>
        </w:rPr>
        <w:t xml:space="preserve">. Regulators, on the </w:t>
      </w:r>
      <w:r>
        <w:rPr>
          <w:rFonts w:ascii="Garamond" w:hAnsi="Garamond"/>
          <w:sz w:val="24"/>
          <w:szCs w:val="24"/>
        </w:rPr>
        <w:t xml:space="preserve">other hand, may use this study as evidence that (il)liquidity spirals are driven by monetary and fiscal policy variables. </w:t>
      </w:r>
      <w:r w:rsidR="004E22DD">
        <w:rPr>
          <w:rFonts w:ascii="Garamond" w:hAnsi="Garamond"/>
          <w:sz w:val="24"/>
          <w:szCs w:val="24"/>
        </w:rPr>
        <w:t>T</w:t>
      </w:r>
      <w:r>
        <w:rPr>
          <w:rFonts w:ascii="Garamond" w:hAnsi="Garamond"/>
          <w:sz w:val="24"/>
          <w:szCs w:val="24"/>
        </w:rPr>
        <w:t>he impacts are not homogenous and largely depend on the instruments used by the regulator. Therefore, they should be careful about applying their policy and consider the possible effect on the equity market while formulating those policies.</w:t>
      </w:r>
    </w:p>
    <w:p w14:paraId="5BAA46AA" w14:textId="7CBD3A70" w:rsidR="00BE49FD" w:rsidRDefault="00BE49FD" w:rsidP="00BE49FD">
      <w:pPr>
        <w:spacing w:line="360" w:lineRule="auto"/>
        <w:jc w:val="both"/>
        <w:rPr>
          <w:rFonts w:ascii="Garamond" w:hAnsi="Garamond"/>
          <w:sz w:val="24"/>
          <w:szCs w:val="24"/>
        </w:rPr>
      </w:pPr>
      <w:r w:rsidRPr="00BA52EF">
        <w:rPr>
          <w:rFonts w:ascii="Garamond" w:hAnsi="Garamond"/>
          <w:sz w:val="24"/>
          <w:szCs w:val="24"/>
        </w:rPr>
        <w:t xml:space="preserve">There are </w:t>
      </w:r>
      <w:r w:rsidR="00EF426C" w:rsidRPr="00BA52EF">
        <w:rPr>
          <w:rFonts w:ascii="Garamond" w:hAnsi="Garamond"/>
          <w:sz w:val="24"/>
          <w:szCs w:val="24"/>
        </w:rPr>
        <w:t>some</w:t>
      </w:r>
      <w:r w:rsidRPr="00BA52EF">
        <w:rPr>
          <w:rFonts w:ascii="Garamond" w:hAnsi="Garamond"/>
          <w:sz w:val="24"/>
          <w:szCs w:val="24"/>
        </w:rPr>
        <w:t xml:space="preserve"> interesting ways in which</w:t>
      </w:r>
      <w:r w:rsidR="00EF426C" w:rsidRPr="00BA52EF">
        <w:rPr>
          <w:rFonts w:ascii="Garamond" w:hAnsi="Garamond"/>
          <w:sz w:val="24"/>
          <w:szCs w:val="24"/>
        </w:rPr>
        <w:t xml:space="preserve"> our results could be developed, e.g.</w:t>
      </w:r>
      <w:r w:rsidRPr="00BA52EF">
        <w:rPr>
          <w:rFonts w:ascii="Garamond" w:hAnsi="Garamond"/>
          <w:sz w:val="24"/>
          <w:szCs w:val="24"/>
        </w:rPr>
        <w:t xml:space="preserve"> (i) </w:t>
      </w:r>
      <w:r w:rsidR="00EF426C" w:rsidRPr="00BA52EF">
        <w:rPr>
          <w:rFonts w:ascii="Garamond" w:hAnsi="Garamond"/>
          <w:sz w:val="24"/>
          <w:szCs w:val="24"/>
        </w:rPr>
        <w:t>a</w:t>
      </w:r>
      <w:r w:rsidRPr="00BA52EF">
        <w:rPr>
          <w:rFonts w:ascii="Garamond" w:hAnsi="Garamond"/>
          <w:sz w:val="24"/>
          <w:szCs w:val="24"/>
        </w:rPr>
        <w:t>s suggested in Chordia et al. (2005) and Goyenko and Ukhov (2009)</w:t>
      </w:r>
      <w:r w:rsidR="004E22DD" w:rsidRPr="00BA52EF">
        <w:rPr>
          <w:rFonts w:ascii="Garamond" w:hAnsi="Garamond"/>
          <w:sz w:val="24"/>
          <w:szCs w:val="24"/>
        </w:rPr>
        <w:t>,</w:t>
      </w:r>
      <w:r w:rsidRPr="00BA52EF">
        <w:rPr>
          <w:rFonts w:ascii="Garamond" w:hAnsi="Garamond"/>
          <w:sz w:val="24"/>
          <w:szCs w:val="24"/>
        </w:rPr>
        <w:t xml:space="preserve"> research is required on linking movements in liquidity across equity and fixed income markets. This is because the ultimate impact of any </w:t>
      </w:r>
      <w:r>
        <w:rPr>
          <w:rFonts w:ascii="Garamond" w:hAnsi="Garamond"/>
          <w:sz w:val="24"/>
          <w:szCs w:val="24"/>
        </w:rPr>
        <w:t>policy changes on liquidity depends on the relative attractiveness of other asset markets. (ii) This study assumes fixed effects and includes an interaction of policy variables (i.e. monetary and fiscal policy) and market capitalization of stocks in panel estimations. However, other issues of cross-sectional homogeneity of the slope parameters in the panel models need to be investigated and tested in future work.</w:t>
      </w:r>
    </w:p>
    <w:p w14:paraId="2E65C4AC" w14:textId="77777777" w:rsidR="00BE49FD" w:rsidRDefault="00BE49FD" w:rsidP="00BE49FD">
      <w:pPr>
        <w:spacing w:line="360" w:lineRule="auto"/>
        <w:jc w:val="both"/>
        <w:rPr>
          <w:rFonts w:ascii="Garamond" w:hAnsi="Garamond"/>
          <w:sz w:val="24"/>
          <w:szCs w:val="24"/>
        </w:rPr>
      </w:pPr>
    </w:p>
    <w:p w14:paraId="1136B6F4" w14:textId="77777777" w:rsidR="00BE49FD" w:rsidRDefault="00BE49FD" w:rsidP="00BE49FD">
      <w:pPr>
        <w:rPr>
          <w:rFonts w:ascii="Garamond" w:hAnsi="Garamond"/>
          <w:b/>
          <w:sz w:val="24"/>
          <w:szCs w:val="24"/>
        </w:rPr>
      </w:pPr>
      <w:r>
        <w:rPr>
          <w:rFonts w:ascii="Garamond" w:hAnsi="Garamond"/>
          <w:b/>
          <w:sz w:val="24"/>
          <w:szCs w:val="24"/>
        </w:rPr>
        <w:br w:type="page"/>
      </w:r>
    </w:p>
    <w:p w14:paraId="7B157884" w14:textId="77777777" w:rsidR="00BE49FD" w:rsidRPr="000E21F4" w:rsidRDefault="00BE49FD" w:rsidP="00BE49FD">
      <w:pPr>
        <w:spacing w:line="360" w:lineRule="auto"/>
        <w:jc w:val="both"/>
        <w:rPr>
          <w:rFonts w:ascii="Garamond" w:hAnsi="Garamond"/>
          <w:b/>
          <w:sz w:val="24"/>
          <w:szCs w:val="24"/>
        </w:rPr>
      </w:pPr>
      <w:r w:rsidRPr="000E21F4">
        <w:rPr>
          <w:rFonts w:ascii="Garamond" w:hAnsi="Garamond"/>
          <w:b/>
          <w:sz w:val="24"/>
          <w:szCs w:val="24"/>
        </w:rPr>
        <w:lastRenderedPageBreak/>
        <w:t>References:</w:t>
      </w:r>
    </w:p>
    <w:p w14:paraId="01BD63E8" w14:textId="77777777" w:rsidR="00BE49FD" w:rsidRPr="00655454" w:rsidRDefault="00BE49FD" w:rsidP="00BE49FD">
      <w:pPr>
        <w:pStyle w:val="ListParagraph"/>
        <w:numPr>
          <w:ilvl w:val="0"/>
          <w:numId w:val="40"/>
        </w:numPr>
        <w:autoSpaceDE w:val="0"/>
        <w:autoSpaceDN w:val="0"/>
        <w:adjustRightInd w:val="0"/>
        <w:spacing w:after="0" w:line="360" w:lineRule="auto"/>
        <w:jc w:val="both"/>
        <w:rPr>
          <w:rFonts w:ascii="Garamond" w:hAnsi="Garamond" w:cs="GulliverRM"/>
          <w:sz w:val="24"/>
          <w:szCs w:val="24"/>
        </w:rPr>
      </w:pPr>
      <w:r>
        <w:rPr>
          <w:rFonts w:ascii="Garamond" w:hAnsi="Garamond" w:cs="GulliverRM"/>
          <w:sz w:val="24"/>
          <w:szCs w:val="24"/>
        </w:rPr>
        <w:t xml:space="preserve">Aghion, P., Hemous, D. and Kharroubi, E. (2014). Cyclical fiscal policy, credit constraints, and industry growth. </w:t>
      </w:r>
      <w:r w:rsidRPr="00B02B24">
        <w:rPr>
          <w:rFonts w:ascii="Garamond" w:hAnsi="Garamond" w:cs="GulliverRM"/>
          <w:i/>
          <w:sz w:val="24"/>
          <w:szCs w:val="24"/>
        </w:rPr>
        <w:t>Journal of Monetary Economics</w:t>
      </w:r>
      <w:r>
        <w:rPr>
          <w:rFonts w:ascii="Garamond" w:hAnsi="Garamond" w:cs="GulliverRM"/>
          <w:sz w:val="24"/>
          <w:szCs w:val="24"/>
        </w:rPr>
        <w:t>, 62, 41-58.</w:t>
      </w:r>
    </w:p>
    <w:p w14:paraId="59AE69CF" w14:textId="77777777" w:rsidR="00BE49FD" w:rsidRDefault="00BE49FD" w:rsidP="00BE49FD">
      <w:pPr>
        <w:pStyle w:val="ListParagraph"/>
        <w:numPr>
          <w:ilvl w:val="0"/>
          <w:numId w:val="40"/>
        </w:numPr>
        <w:spacing w:line="360" w:lineRule="auto"/>
        <w:jc w:val="both"/>
        <w:rPr>
          <w:rFonts w:ascii="Garamond" w:hAnsi="Garamond"/>
          <w:bCs/>
          <w:sz w:val="24"/>
          <w:szCs w:val="24"/>
        </w:rPr>
      </w:pPr>
      <w:r>
        <w:rPr>
          <w:rFonts w:ascii="Garamond" w:hAnsi="Garamond"/>
          <w:bCs/>
          <w:sz w:val="24"/>
          <w:szCs w:val="24"/>
        </w:rPr>
        <w:t xml:space="preserve">Alexander, C. (2008). </w:t>
      </w:r>
      <w:r w:rsidRPr="00791CCB">
        <w:rPr>
          <w:rFonts w:ascii="Garamond" w:hAnsi="Garamond"/>
          <w:bCs/>
          <w:i/>
          <w:sz w:val="24"/>
          <w:szCs w:val="24"/>
        </w:rPr>
        <w:t>Practical Financial Econometrics</w:t>
      </w:r>
      <w:r>
        <w:rPr>
          <w:rFonts w:ascii="Garamond" w:hAnsi="Garamond"/>
          <w:bCs/>
          <w:sz w:val="24"/>
          <w:szCs w:val="24"/>
        </w:rPr>
        <w:t>. First edition, John Wiley &amp; Sons Ltd.</w:t>
      </w:r>
    </w:p>
    <w:p w14:paraId="131E22B0" w14:textId="77777777" w:rsidR="00BE49FD" w:rsidRDefault="00BE49FD" w:rsidP="00BE49FD">
      <w:pPr>
        <w:pStyle w:val="ListParagraph"/>
        <w:numPr>
          <w:ilvl w:val="0"/>
          <w:numId w:val="40"/>
        </w:numPr>
        <w:spacing w:line="360" w:lineRule="auto"/>
        <w:jc w:val="both"/>
        <w:rPr>
          <w:rFonts w:ascii="Garamond" w:hAnsi="Garamond"/>
          <w:bCs/>
          <w:sz w:val="24"/>
          <w:szCs w:val="24"/>
        </w:rPr>
      </w:pPr>
      <w:r w:rsidRPr="00791CCB">
        <w:rPr>
          <w:rFonts w:ascii="Garamond" w:hAnsi="Garamond"/>
          <w:bCs/>
          <w:sz w:val="24"/>
          <w:szCs w:val="24"/>
        </w:rPr>
        <w:t xml:space="preserve">Amihud, Y. and Mendelson, H. (1986). Asset pricing and the bid-ask spread. </w:t>
      </w:r>
      <w:r w:rsidRPr="00791CCB">
        <w:rPr>
          <w:rFonts w:ascii="Garamond" w:hAnsi="Garamond"/>
          <w:bCs/>
          <w:i/>
          <w:sz w:val="24"/>
          <w:szCs w:val="24"/>
        </w:rPr>
        <w:t>Journal of Financial Economics</w:t>
      </w:r>
      <w:r w:rsidRPr="00791CCB">
        <w:rPr>
          <w:rFonts w:ascii="Garamond" w:hAnsi="Garamond"/>
          <w:bCs/>
          <w:sz w:val="24"/>
          <w:szCs w:val="24"/>
        </w:rPr>
        <w:t>, 17, 223-249.</w:t>
      </w:r>
    </w:p>
    <w:p w14:paraId="0625876B" w14:textId="77777777" w:rsidR="00BE49FD" w:rsidRPr="00791CCB" w:rsidRDefault="00BE49FD" w:rsidP="00BE49FD">
      <w:pPr>
        <w:pStyle w:val="ListParagraph"/>
        <w:numPr>
          <w:ilvl w:val="0"/>
          <w:numId w:val="40"/>
        </w:numPr>
        <w:spacing w:line="360" w:lineRule="auto"/>
        <w:jc w:val="both"/>
        <w:rPr>
          <w:rFonts w:ascii="Garamond" w:hAnsi="Garamond"/>
          <w:bCs/>
          <w:sz w:val="24"/>
          <w:szCs w:val="24"/>
        </w:rPr>
      </w:pPr>
      <w:r>
        <w:rPr>
          <w:rFonts w:ascii="Garamond" w:hAnsi="Garamond"/>
          <w:bCs/>
          <w:sz w:val="24"/>
          <w:szCs w:val="24"/>
        </w:rPr>
        <w:t xml:space="preserve">Amihud, Y. Mendelson, H. and Wood, R.A. (1990). Liquidity and the 1987 stock market crash. </w:t>
      </w:r>
      <w:r w:rsidRPr="005D4977">
        <w:rPr>
          <w:rFonts w:ascii="Garamond" w:hAnsi="Garamond"/>
          <w:bCs/>
          <w:i/>
          <w:sz w:val="24"/>
          <w:szCs w:val="24"/>
        </w:rPr>
        <w:t>Journal of Portfolio Management</w:t>
      </w:r>
      <w:r>
        <w:rPr>
          <w:rFonts w:ascii="Garamond" w:hAnsi="Garamond"/>
          <w:bCs/>
          <w:sz w:val="24"/>
          <w:szCs w:val="24"/>
        </w:rPr>
        <w:t>, 16(3), 65-69.</w:t>
      </w:r>
    </w:p>
    <w:p w14:paraId="68C8C04D" w14:textId="77777777" w:rsidR="00BE49FD" w:rsidRDefault="00BE49FD" w:rsidP="00BE49FD">
      <w:pPr>
        <w:pStyle w:val="ListParagraph"/>
        <w:numPr>
          <w:ilvl w:val="0"/>
          <w:numId w:val="40"/>
        </w:numPr>
        <w:spacing w:line="360" w:lineRule="auto"/>
        <w:jc w:val="both"/>
        <w:rPr>
          <w:rFonts w:ascii="Garamond" w:hAnsi="Garamond"/>
          <w:bCs/>
          <w:sz w:val="24"/>
          <w:szCs w:val="24"/>
        </w:rPr>
      </w:pPr>
      <w:r>
        <w:rPr>
          <w:rFonts w:ascii="Garamond" w:hAnsi="Garamond"/>
          <w:bCs/>
          <w:sz w:val="24"/>
          <w:szCs w:val="24"/>
        </w:rPr>
        <w:t xml:space="preserve">Amihud, Y. (2002). Illiquidity and stock returns: cross-section and time-series effects. </w:t>
      </w:r>
      <w:r w:rsidRPr="00D03A2C">
        <w:rPr>
          <w:rFonts w:ascii="Garamond" w:hAnsi="Garamond"/>
          <w:bCs/>
          <w:i/>
          <w:sz w:val="24"/>
          <w:szCs w:val="24"/>
        </w:rPr>
        <w:t>Journal of Financial Markets</w:t>
      </w:r>
      <w:r>
        <w:rPr>
          <w:rFonts w:ascii="Garamond" w:hAnsi="Garamond"/>
          <w:bCs/>
          <w:sz w:val="24"/>
          <w:szCs w:val="24"/>
        </w:rPr>
        <w:t>, 5(1), 31-56.</w:t>
      </w:r>
    </w:p>
    <w:p w14:paraId="78863F28" w14:textId="77777777" w:rsidR="00BE49FD" w:rsidRDefault="00BE49FD" w:rsidP="00BE49FD">
      <w:pPr>
        <w:pStyle w:val="ListParagraph"/>
        <w:numPr>
          <w:ilvl w:val="0"/>
          <w:numId w:val="40"/>
        </w:numPr>
        <w:spacing w:line="360" w:lineRule="auto"/>
        <w:jc w:val="both"/>
        <w:rPr>
          <w:rFonts w:ascii="Garamond" w:hAnsi="Garamond"/>
          <w:bCs/>
          <w:sz w:val="24"/>
          <w:szCs w:val="24"/>
        </w:rPr>
      </w:pPr>
      <w:r>
        <w:rPr>
          <w:rFonts w:ascii="Garamond" w:hAnsi="Garamond"/>
          <w:bCs/>
          <w:sz w:val="24"/>
          <w:szCs w:val="24"/>
        </w:rPr>
        <w:t xml:space="preserve">Ardagna, S. (2009). Financial markets’ behaviour around episodes of large changes in the fiscal stance. </w:t>
      </w:r>
      <w:r w:rsidRPr="00383AFD">
        <w:rPr>
          <w:rFonts w:ascii="Garamond" w:hAnsi="Garamond"/>
          <w:bCs/>
          <w:i/>
          <w:sz w:val="24"/>
          <w:szCs w:val="24"/>
        </w:rPr>
        <w:t>European Economic Review</w:t>
      </w:r>
      <w:r>
        <w:rPr>
          <w:rFonts w:ascii="Garamond" w:hAnsi="Garamond"/>
          <w:bCs/>
          <w:sz w:val="24"/>
          <w:szCs w:val="24"/>
        </w:rPr>
        <w:t>, 53, 37-55.</w:t>
      </w:r>
    </w:p>
    <w:p w14:paraId="5131E508" w14:textId="77777777" w:rsidR="00BE49FD" w:rsidRDefault="00BE49FD" w:rsidP="00BE49FD">
      <w:pPr>
        <w:pStyle w:val="ListParagraph"/>
        <w:numPr>
          <w:ilvl w:val="0"/>
          <w:numId w:val="40"/>
        </w:numPr>
        <w:spacing w:line="360" w:lineRule="auto"/>
        <w:jc w:val="both"/>
        <w:rPr>
          <w:rFonts w:ascii="Garamond" w:hAnsi="Garamond"/>
          <w:bCs/>
          <w:sz w:val="24"/>
          <w:szCs w:val="24"/>
        </w:rPr>
      </w:pPr>
      <w:r>
        <w:rPr>
          <w:rFonts w:ascii="Garamond" w:hAnsi="Garamond"/>
          <w:bCs/>
          <w:sz w:val="24"/>
          <w:szCs w:val="24"/>
        </w:rPr>
        <w:t xml:space="preserve">Bartram, S.M. and Bodnar, G.M. (2009). No place to hide: The global crisis in equity markets in 2008/2009). </w:t>
      </w:r>
      <w:r w:rsidRPr="005D4AEA">
        <w:rPr>
          <w:rFonts w:ascii="Garamond" w:hAnsi="Garamond"/>
          <w:bCs/>
          <w:i/>
          <w:iCs/>
          <w:sz w:val="24"/>
          <w:szCs w:val="24"/>
        </w:rPr>
        <w:t>Journal of International Money and Finance</w:t>
      </w:r>
      <w:r>
        <w:rPr>
          <w:rFonts w:ascii="Garamond" w:hAnsi="Garamond"/>
          <w:bCs/>
          <w:sz w:val="24"/>
          <w:szCs w:val="24"/>
        </w:rPr>
        <w:t>, 28, 1246-1292.</w:t>
      </w:r>
    </w:p>
    <w:p w14:paraId="022C355B" w14:textId="77777777" w:rsidR="00BE49FD" w:rsidRPr="00B5183D" w:rsidRDefault="00BE49FD" w:rsidP="00BE49FD">
      <w:pPr>
        <w:pStyle w:val="ListParagraph"/>
        <w:numPr>
          <w:ilvl w:val="0"/>
          <w:numId w:val="40"/>
        </w:numPr>
        <w:spacing w:line="360" w:lineRule="auto"/>
        <w:jc w:val="both"/>
        <w:rPr>
          <w:rFonts w:ascii="Garamond" w:hAnsi="Garamond"/>
          <w:bCs/>
          <w:sz w:val="24"/>
          <w:szCs w:val="24"/>
        </w:rPr>
      </w:pPr>
      <w:r w:rsidRPr="00B5183D">
        <w:rPr>
          <w:rFonts w:ascii="Garamond" w:hAnsi="Garamond"/>
          <w:sz w:val="24"/>
          <w:szCs w:val="24"/>
        </w:rPr>
        <w:t xml:space="preserve">Batten, J.A. and Szilagyi, P.G. (2011), The Impact of the Global Financial Crisis on Emerging Financial Markets, in </w:t>
      </w:r>
      <w:r w:rsidRPr="00B5183D">
        <w:rPr>
          <w:rStyle w:val="nlmstring-name"/>
          <w:rFonts w:ascii="Garamond" w:hAnsi="Garamond"/>
          <w:sz w:val="24"/>
          <w:szCs w:val="24"/>
        </w:rPr>
        <w:t>Jonathan A. Batten</w:t>
      </w:r>
      <w:r w:rsidRPr="00B5183D">
        <w:rPr>
          <w:rFonts w:ascii="Garamond" w:hAnsi="Garamond"/>
          <w:sz w:val="24"/>
          <w:szCs w:val="24"/>
        </w:rPr>
        <w:t xml:space="preserve">, </w:t>
      </w:r>
      <w:r w:rsidRPr="00B5183D">
        <w:rPr>
          <w:rStyle w:val="nlmstring-name"/>
          <w:rFonts w:ascii="Garamond" w:hAnsi="Garamond"/>
          <w:sz w:val="24"/>
          <w:szCs w:val="24"/>
        </w:rPr>
        <w:t>Peter G. Szilagyi</w:t>
      </w:r>
      <w:r w:rsidRPr="00B5183D">
        <w:rPr>
          <w:rFonts w:ascii="Garamond" w:hAnsi="Garamond"/>
          <w:sz w:val="24"/>
          <w:szCs w:val="24"/>
        </w:rPr>
        <w:t xml:space="preserve"> (ed.) </w:t>
      </w:r>
      <w:r w:rsidRPr="00B5183D">
        <w:rPr>
          <w:rFonts w:ascii="Garamond" w:hAnsi="Garamond"/>
          <w:i/>
          <w:iCs/>
          <w:sz w:val="24"/>
          <w:szCs w:val="24"/>
        </w:rPr>
        <w:t xml:space="preserve">The Impact of the Global Financial Crisis on Emerging Financial Markets (Contemporary Studies in Economic and Financial Analysis, Volume 93) </w:t>
      </w:r>
      <w:r w:rsidRPr="00B5183D">
        <w:rPr>
          <w:rFonts w:ascii="Garamond" w:hAnsi="Garamond"/>
          <w:sz w:val="24"/>
          <w:szCs w:val="24"/>
        </w:rPr>
        <w:t>Emerald Group Publishing Limited, pp.3 - 16</w:t>
      </w:r>
    </w:p>
    <w:p w14:paraId="7507A88A" w14:textId="77777777" w:rsidR="00BE49FD" w:rsidRPr="001A7FD1" w:rsidRDefault="00BE49FD" w:rsidP="00BE49FD">
      <w:pPr>
        <w:pStyle w:val="ListParagraph"/>
        <w:numPr>
          <w:ilvl w:val="0"/>
          <w:numId w:val="40"/>
        </w:numPr>
        <w:spacing w:line="360" w:lineRule="auto"/>
        <w:jc w:val="both"/>
        <w:rPr>
          <w:rFonts w:ascii="Garamond" w:hAnsi="Garamond"/>
          <w:bCs/>
          <w:sz w:val="24"/>
          <w:szCs w:val="24"/>
        </w:rPr>
      </w:pPr>
      <w:r>
        <w:rPr>
          <w:rFonts w:ascii="Garamond" w:hAnsi="Garamond"/>
          <w:bCs/>
          <w:sz w:val="24"/>
          <w:szCs w:val="24"/>
        </w:rPr>
        <w:t>Bekaert, G., Harvey, C.R. and Lundblad, C. (2007). Liquidity and expected returns: Lessons from emerging markets. Review of Financial Studies, 20(5), 1783-1831.</w:t>
      </w:r>
    </w:p>
    <w:p w14:paraId="41D9B716" w14:textId="77777777" w:rsidR="00BE49FD" w:rsidRDefault="00BE49FD" w:rsidP="00BE49FD">
      <w:pPr>
        <w:pStyle w:val="ListParagraph"/>
        <w:numPr>
          <w:ilvl w:val="0"/>
          <w:numId w:val="40"/>
        </w:numPr>
        <w:spacing w:line="360" w:lineRule="auto"/>
        <w:jc w:val="both"/>
        <w:rPr>
          <w:rFonts w:ascii="Garamond" w:hAnsi="Garamond"/>
          <w:bCs/>
          <w:sz w:val="24"/>
          <w:szCs w:val="24"/>
        </w:rPr>
      </w:pPr>
      <w:r>
        <w:rPr>
          <w:rFonts w:ascii="Garamond" w:hAnsi="Garamond"/>
          <w:bCs/>
          <w:sz w:val="24"/>
          <w:szCs w:val="24"/>
        </w:rPr>
        <w:t xml:space="preserve">Belo, F., Gala, V.D. and Li, J. (2013). Government spending, political cycles, and the cross section of stock returns, </w:t>
      </w:r>
      <w:r w:rsidRPr="00AE3CE8">
        <w:rPr>
          <w:rFonts w:ascii="Garamond" w:hAnsi="Garamond"/>
          <w:bCs/>
          <w:i/>
          <w:sz w:val="24"/>
          <w:szCs w:val="24"/>
        </w:rPr>
        <w:t>Journal of Financial Economics</w:t>
      </w:r>
      <w:r>
        <w:rPr>
          <w:rFonts w:ascii="Garamond" w:hAnsi="Garamond"/>
          <w:bCs/>
          <w:sz w:val="24"/>
          <w:szCs w:val="24"/>
        </w:rPr>
        <w:t>, 107, 305-324.</w:t>
      </w:r>
    </w:p>
    <w:p w14:paraId="5851A89F" w14:textId="77777777" w:rsidR="00BE49FD" w:rsidRPr="009958AF" w:rsidRDefault="00BE49FD" w:rsidP="00BE49FD">
      <w:pPr>
        <w:pStyle w:val="ListParagraph"/>
        <w:numPr>
          <w:ilvl w:val="0"/>
          <w:numId w:val="40"/>
        </w:numPr>
        <w:spacing w:line="360" w:lineRule="auto"/>
        <w:jc w:val="both"/>
        <w:rPr>
          <w:rFonts w:ascii="Garamond" w:hAnsi="Garamond"/>
          <w:bCs/>
          <w:sz w:val="24"/>
          <w:szCs w:val="24"/>
        </w:rPr>
      </w:pPr>
      <w:r>
        <w:rPr>
          <w:rFonts w:ascii="Garamond" w:hAnsi="Garamond"/>
          <w:bCs/>
          <w:sz w:val="24"/>
          <w:szCs w:val="24"/>
        </w:rPr>
        <w:t xml:space="preserve">Birz, G. and Lott Jr. J.R. (2011). The effect of macroeconomic news on stock returns: New evidence from newspaper coverage. </w:t>
      </w:r>
      <w:r w:rsidRPr="002757E2">
        <w:rPr>
          <w:rFonts w:ascii="Garamond" w:hAnsi="Garamond"/>
          <w:bCs/>
          <w:i/>
          <w:sz w:val="24"/>
          <w:szCs w:val="24"/>
        </w:rPr>
        <w:t>Journal of Banking and Finance</w:t>
      </w:r>
      <w:r>
        <w:rPr>
          <w:rFonts w:ascii="Garamond" w:hAnsi="Garamond"/>
          <w:bCs/>
          <w:sz w:val="24"/>
          <w:szCs w:val="24"/>
        </w:rPr>
        <w:t>, 35(11), 2791-2800.</w:t>
      </w:r>
    </w:p>
    <w:p w14:paraId="4FBECF9A"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Blanchard, O. (2009). The crisis: Basic mechanism, and appropriate policies. </w:t>
      </w:r>
      <w:r w:rsidRPr="00387CAF">
        <w:rPr>
          <w:rFonts w:ascii="Garamond" w:hAnsi="Garamond"/>
          <w:i/>
          <w:sz w:val="24"/>
          <w:szCs w:val="24"/>
        </w:rPr>
        <w:t>IMF Working Paper</w:t>
      </w:r>
      <w:r>
        <w:rPr>
          <w:rFonts w:ascii="Garamond" w:hAnsi="Garamond"/>
          <w:sz w:val="24"/>
          <w:szCs w:val="24"/>
        </w:rPr>
        <w:t>, 09/08.</w:t>
      </w:r>
    </w:p>
    <w:p w14:paraId="662F19BD"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Blanchard, O., Giovanni, D.A. and Mauro, P. (2010). Rethinking macroeconomic policy. </w:t>
      </w:r>
      <w:r w:rsidRPr="00AE6516">
        <w:rPr>
          <w:rFonts w:ascii="Garamond" w:hAnsi="Garamond"/>
          <w:i/>
          <w:sz w:val="24"/>
          <w:szCs w:val="24"/>
        </w:rPr>
        <w:t>Journal of Money, Credit and Banking</w:t>
      </w:r>
      <w:r>
        <w:rPr>
          <w:rFonts w:ascii="Garamond" w:hAnsi="Garamond"/>
          <w:sz w:val="24"/>
          <w:szCs w:val="24"/>
        </w:rPr>
        <w:t>, 42(9), 199-215.</w:t>
      </w:r>
    </w:p>
    <w:p w14:paraId="37FB5CD9"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Blinder, A.S. and Solow, R.M. (1973). Does fiscal policy matter? </w:t>
      </w:r>
      <w:r w:rsidRPr="00DB09FA">
        <w:rPr>
          <w:rFonts w:ascii="Garamond" w:hAnsi="Garamond"/>
          <w:i/>
          <w:sz w:val="24"/>
          <w:szCs w:val="24"/>
        </w:rPr>
        <w:t>Journal of Public Economics</w:t>
      </w:r>
      <w:r>
        <w:rPr>
          <w:rFonts w:ascii="Garamond" w:hAnsi="Garamond"/>
          <w:sz w:val="24"/>
          <w:szCs w:val="24"/>
        </w:rPr>
        <w:t>, 2(4), 319-337.</w:t>
      </w:r>
    </w:p>
    <w:p w14:paraId="4125CDF8"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Brennan, M.J., Chordia, T. and Subrahmanyam, A. (1998). Alternative factor specifications, security characteristics, and the cross-section of expected stock returns. </w:t>
      </w:r>
      <w:r w:rsidRPr="00F73C2D">
        <w:rPr>
          <w:rFonts w:ascii="Garamond" w:hAnsi="Garamond"/>
          <w:i/>
          <w:sz w:val="24"/>
          <w:szCs w:val="24"/>
        </w:rPr>
        <w:t>Journal of Financial Economics</w:t>
      </w:r>
      <w:r>
        <w:rPr>
          <w:rFonts w:ascii="Garamond" w:hAnsi="Garamond"/>
          <w:sz w:val="24"/>
          <w:szCs w:val="24"/>
        </w:rPr>
        <w:t>, 49(3), 345-373.</w:t>
      </w:r>
    </w:p>
    <w:p w14:paraId="625B7477"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lastRenderedPageBreak/>
        <w:t xml:space="preserve">Brunnermeier, M.K. and Pedersen, L.H. (2009). Market liquidity and funding liquidity. </w:t>
      </w:r>
      <w:r w:rsidRPr="009958AF">
        <w:rPr>
          <w:rFonts w:ascii="Garamond" w:hAnsi="Garamond"/>
          <w:i/>
          <w:sz w:val="24"/>
          <w:szCs w:val="24"/>
        </w:rPr>
        <w:t>Review of Financial Studies</w:t>
      </w:r>
      <w:r>
        <w:rPr>
          <w:rFonts w:ascii="Garamond" w:hAnsi="Garamond"/>
          <w:sz w:val="24"/>
          <w:szCs w:val="24"/>
        </w:rPr>
        <w:t>, 22(6), 2201-2238.</w:t>
      </w:r>
    </w:p>
    <w:p w14:paraId="698FDD1C"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Chatziantoniou, </w:t>
      </w:r>
      <w:smartTag w:uri="urn:schemas-microsoft-com:office:smarttags" w:element="place">
        <w:r>
          <w:rPr>
            <w:rFonts w:ascii="Garamond" w:hAnsi="Garamond"/>
            <w:sz w:val="24"/>
            <w:szCs w:val="24"/>
          </w:rPr>
          <w:t>I.</w:t>
        </w:r>
      </w:smartTag>
      <w:r>
        <w:rPr>
          <w:rFonts w:ascii="Garamond" w:hAnsi="Garamond"/>
          <w:sz w:val="24"/>
          <w:szCs w:val="24"/>
        </w:rPr>
        <w:t xml:space="preserve">, Duffy, D. and Filis, G. (2013). Stock market response to monetary and fiscal policy shocks: Multi-country evidence. </w:t>
      </w:r>
      <w:r w:rsidRPr="00AE7300">
        <w:rPr>
          <w:rFonts w:ascii="Garamond" w:hAnsi="Garamond"/>
          <w:i/>
          <w:sz w:val="24"/>
          <w:szCs w:val="24"/>
        </w:rPr>
        <w:t>Economic Modelling</w:t>
      </w:r>
      <w:r>
        <w:rPr>
          <w:rFonts w:ascii="Garamond" w:hAnsi="Garamond"/>
          <w:sz w:val="24"/>
          <w:szCs w:val="24"/>
        </w:rPr>
        <w:t>, 30, 754-769.</w:t>
      </w:r>
    </w:p>
    <w:p w14:paraId="4F2259E1"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Choi, W.G. and Cook, D. (2006). Stock market liquidity and the macroeconomy: evidence from </w:t>
      </w:r>
      <w:smartTag w:uri="urn:schemas-microsoft-com:office:smarttags" w:element="country-region">
        <w:smartTag w:uri="urn:schemas-microsoft-com:office:smarttags" w:element="place">
          <w:r>
            <w:rPr>
              <w:rFonts w:ascii="Garamond" w:hAnsi="Garamond"/>
              <w:sz w:val="24"/>
              <w:szCs w:val="24"/>
            </w:rPr>
            <w:t>Japan</w:t>
          </w:r>
        </w:smartTag>
      </w:smartTag>
      <w:r>
        <w:rPr>
          <w:rFonts w:ascii="Garamond" w:hAnsi="Garamond"/>
          <w:sz w:val="24"/>
          <w:szCs w:val="24"/>
        </w:rPr>
        <w:t xml:space="preserve">. </w:t>
      </w:r>
      <w:r w:rsidRPr="00BB2174">
        <w:rPr>
          <w:rFonts w:ascii="Garamond" w:hAnsi="Garamond"/>
          <w:i/>
          <w:sz w:val="24"/>
          <w:szCs w:val="24"/>
        </w:rPr>
        <w:t>National Bureau of Economic Research</w:t>
      </w:r>
      <w:r>
        <w:rPr>
          <w:rFonts w:ascii="Garamond" w:hAnsi="Garamond"/>
          <w:sz w:val="24"/>
          <w:szCs w:val="24"/>
        </w:rPr>
        <w:t>, 15, 309-340</w:t>
      </w:r>
    </w:p>
    <w:p w14:paraId="73DEFD5A"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Chordia, T., Roll, R. and Subrahmanyam, A. (2001). Market liquidity and trading activity. </w:t>
      </w:r>
      <w:r w:rsidRPr="00EC7B5D">
        <w:rPr>
          <w:rFonts w:ascii="Garamond" w:hAnsi="Garamond"/>
          <w:i/>
          <w:sz w:val="24"/>
          <w:szCs w:val="24"/>
        </w:rPr>
        <w:t>Journal of Finance</w:t>
      </w:r>
      <w:r>
        <w:rPr>
          <w:rFonts w:ascii="Garamond" w:hAnsi="Garamond"/>
          <w:sz w:val="24"/>
          <w:szCs w:val="24"/>
        </w:rPr>
        <w:t>, 56(2), 501-530.</w:t>
      </w:r>
    </w:p>
    <w:p w14:paraId="4CAA661F"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Chordia, T., Roll, R. and Subrahmanyam, A. (2002). Order imbalance, liquidity, and market returns. </w:t>
      </w:r>
      <w:r w:rsidRPr="008E2CC9">
        <w:rPr>
          <w:rFonts w:ascii="Garamond" w:hAnsi="Garamond"/>
          <w:i/>
          <w:sz w:val="24"/>
          <w:szCs w:val="24"/>
        </w:rPr>
        <w:t>Journal of Financial Economics</w:t>
      </w:r>
      <w:r>
        <w:rPr>
          <w:rFonts w:ascii="Garamond" w:hAnsi="Garamond"/>
          <w:sz w:val="24"/>
          <w:szCs w:val="24"/>
        </w:rPr>
        <w:t>, 65, 111-130.</w:t>
      </w:r>
    </w:p>
    <w:p w14:paraId="401C99FD"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Chordia, T., Sarkar, A. and Subrahmanyam, A. (2005a). An empirical analysis of stock and bond market liquidity. </w:t>
      </w:r>
      <w:r w:rsidRPr="000E21F4">
        <w:rPr>
          <w:rFonts w:ascii="Garamond" w:hAnsi="Garamond"/>
          <w:i/>
          <w:sz w:val="24"/>
          <w:szCs w:val="24"/>
        </w:rPr>
        <w:t>Review of Financial Studies</w:t>
      </w:r>
      <w:r>
        <w:rPr>
          <w:rFonts w:ascii="Garamond" w:hAnsi="Garamond"/>
          <w:sz w:val="24"/>
          <w:szCs w:val="24"/>
        </w:rPr>
        <w:t>, 18(1), 85-129.</w:t>
      </w:r>
    </w:p>
    <w:p w14:paraId="244C59E0"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Copland, T.E. and Galai, D. (1983). Information effects on the bid-ask spread</w:t>
      </w:r>
      <w:r w:rsidRPr="0014610A">
        <w:rPr>
          <w:rFonts w:ascii="Garamond" w:hAnsi="Garamond"/>
          <w:i/>
          <w:sz w:val="24"/>
          <w:szCs w:val="24"/>
        </w:rPr>
        <w:t>. Journal of Finance</w:t>
      </w:r>
      <w:r>
        <w:rPr>
          <w:rFonts w:ascii="Garamond" w:hAnsi="Garamond"/>
          <w:sz w:val="24"/>
          <w:szCs w:val="24"/>
        </w:rPr>
        <w:t>, 38(5), 1457-1469.</w:t>
      </w:r>
    </w:p>
    <w:p w14:paraId="2020AD7C"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Darrat, A.F. (1988). On fiscal policy and the stock market. </w:t>
      </w:r>
      <w:r w:rsidRPr="009611C4">
        <w:rPr>
          <w:rFonts w:ascii="Garamond" w:hAnsi="Garamond"/>
          <w:i/>
          <w:sz w:val="24"/>
          <w:szCs w:val="24"/>
        </w:rPr>
        <w:t>Journal of Money, Credit and Banking</w:t>
      </w:r>
      <w:r>
        <w:rPr>
          <w:rFonts w:ascii="Garamond" w:hAnsi="Garamond"/>
          <w:sz w:val="24"/>
          <w:szCs w:val="24"/>
        </w:rPr>
        <w:t>, 20(3), 353-363.</w:t>
      </w:r>
    </w:p>
    <w:p w14:paraId="20AC2FFC"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Datar, V.T., </w:t>
      </w:r>
      <w:smartTag w:uri="urn:schemas-microsoft-com:office:smarttags" w:element="place">
        <w:smartTag w:uri="urn:schemas-microsoft-com:office:smarttags" w:element="City">
          <w:r>
            <w:rPr>
              <w:rFonts w:ascii="Garamond" w:hAnsi="Garamond"/>
              <w:sz w:val="24"/>
              <w:szCs w:val="24"/>
            </w:rPr>
            <w:t>Naik</w:t>
          </w:r>
        </w:smartTag>
        <w:r>
          <w:rPr>
            <w:rFonts w:ascii="Garamond" w:hAnsi="Garamond"/>
            <w:sz w:val="24"/>
            <w:szCs w:val="24"/>
          </w:rPr>
          <w:t xml:space="preserve">, </w:t>
        </w:r>
        <w:smartTag w:uri="urn:schemas-microsoft-com:office:smarttags" w:element="State">
          <w:r>
            <w:rPr>
              <w:rFonts w:ascii="Garamond" w:hAnsi="Garamond"/>
              <w:sz w:val="24"/>
              <w:szCs w:val="24"/>
            </w:rPr>
            <w:t>N.Y.</w:t>
          </w:r>
        </w:smartTag>
      </w:smartTag>
      <w:r>
        <w:rPr>
          <w:rFonts w:ascii="Garamond" w:hAnsi="Garamond"/>
          <w:sz w:val="24"/>
          <w:szCs w:val="24"/>
        </w:rPr>
        <w:t xml:space="preserve"> and Radcliffe, R. (1998). Liquidity and stock returns: an alternative test. </w:t>
      </w:r>
      <w:r w:rsidRPr="00C36B93">
        <w:rPr>
          <w:rFonts w:ascii="Garamond" w:hAnsi="Garamond"/>
          <w:i/>
          <w:sz w:val="24"/>
          <w:szCs w:val="24"/>
        </w:rPr>
        <w:t>Journal of Financial Markets</w:t>
      </w:r>
      <w:r>
        <w:rPr>
          <w:rFonts w:ascii="Garamond" w:hAnsi="Garamond"/>
          <w:sz w:val="24"/>
          <w:szCs w:val="24"/>
        </w:rPr>
        <w:t xml:space="preserve">, 1, 2003-219. </w:t>
      </w:r>
    </w:p>
    <w:p w14:paraId="08B9AA65" w14:textId="77777777" w:rsidR="00BE49FD" w:rsidRPr="00655454" w:rsidRDefault="00BE49FD" w:rsidP="00BE49FD">
      <w:pPr>
        <w:pStyle w:val="ListParagraph"/>
        <w:numPr>
          <w:ilvl w:val="0"/>
          <w:numId w:val="40"/>
        </w:numPr>
        <w:spacing w:line="360" w:lineRule="auto"/>
        <w:jc w:val="both"/>
        <w:rPr>
          <w:rFonts w:ascii="Garamond" w:hAnsi="Garamond"/>
          <w:sz w:val="24"/>
          <w:szCs w:val="24"/>
        </w:rPr>
      </w:pPr>
      <w:r>
        <w:rPr>
          <w:rFonts w:ascii="Garamond" w:hAnsi="Garamond"/>
          <w:sz w:val="24"/>
          <w:szCs w:val="24"/>
        </w:rPr>
        <w:t xml:space="preserve">Dedola, L. and Lippi, F. (2005). The monetary transmission mechanism: Evidence from the industries of five OECD countries. </w:t>
      </w:r>
      <w:r w:rsidRPr="00C9656C">
        <w:rPr>
          <w:rFonts w:ascii="Garamond" w:hAnsi="Garamond"/>
          <w:i/>
          <w:sz w:val="24"/>
          <w:szCs w:val="24"/>
        </w:rPr>
        <w:t>European Economic Review</w:t>
      </w:r>
      <w:r>
        <w:rPr>
          <w:rFonts w:ascii="Garamond" w:hAnsi="Garamond"/>
          <w:sz w:val="24"/>
          <w:szCs w:val="24"/>
        </w:rPr>
        <w:t>, 49, 1543-1569.</w:t>
      </w:r>
    </w:p>
    <w:p w14:paraId="55CAA1FB"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Dickey, D.A. and Fuller, W.A. (1979). Distribution of the estimators for autoregressive time series with a unit root. </w:t>
      </w:r>
      <w:r w:rsidRPr="00791CCB">
        <w:rPr>
          <w:rFonts w:ascii="Garamond" w:hAnsi="Garamond"/>
          <w:i/>
          <w:sz w:val="24"/>
          <w:szCs w:val="24"/>
        </w:rPr>
        <w:t>Journal of American Statistical Association</w:t>
      </w:r>
      <w:r>
        <w:rPr>
          <w:rFonts w:ascii="Garamond" w:hAnsi="Garamond"/>
          <w:sz w:val="24"/>
          <w:szCs w:val="24"/>
        </w:rPr>
        <w:t>, 74(366), 427-431.</w:t>
      </w:r>
    </w:p>
    <w:p w14:paraId="59B50A5A"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Dixit, A. and Lambertini, L. (2003). Symbiosis of monetary and fiscal policy in a monetary union. </w:t>
      </w:r>
      <w:r w:rsidRPr="00260738">
        <w:rPr>
          <w:rFonts w:ascii="Garamond" w:hAnsi="Garamond"/>
          <w:i/>
          <w:sz w:val="24"/>
          <w:szCs w:val="24"/>
        </w:rPr>
        <w:t>Journal of International Economics</w:t>
      </w:r>
      <w:r>
        <w:rPr>
          <w:rFonts w:ascii="Garamond" w:hAnsi="Garamond"/>
          <w:sz w:val="24"/>
          <w:szCs w:val="24"/>
        </w:rPr>
        <w:t>, 60, 235-247.</w:t>
      </w:r>
    </w:p>
    <w:p w14:paraId="115AF551"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Easley, D. and O’Hara, M. (1987). Price, trade size, and information in securities markets. </w:t>
      </w:r>
      <w:r w:rsidRPr="009958AF">
        <w:rPr>
          <w:rFonts w:ascii="Garamond" w:hAnsi="Garamond"/>
          <w:i/>
          <w:sz w:val="24"/>
          <w:szCs w:val="24"/>
        </w:rPr>
        <w:t>Journal of Financial Economics</w:t>
      </w:r>
      <w:r>
        <w:rPr>
          <w:rFonts w:ascii="Garamond" w:hAnsi="Garamond"/>
          <w:sz w:val="24"/>
          <w:szCs w:val="24"/>
        </w:rPr>
        <w:t>, 19, 69-90.</w:t>
      </w:r>
    </w:p>
    <w:p w14:paraId="6981D700" w14:textId="77777777" w:rsidR="00BE49FD" w:rsidRDefault="00BE49FD" w:rsidP="00BE49FD">
      <w:pPr>
        <w:pStyle w:val="ListParagraph"/>
        <w:numPr>
          <w:ilvl w:val="0"/>
          <w:numId w:val="40"/>
        </w:numPr>
        <w:spacing w:line="360" w:lineRule="auto"/>
        <w:jc w:val="both"/>
        <w:rPr>
          <w:rFonts w:ascii="Garamond" w:hAnsi="Garamond"/>
          <w:bCs/>
          <w:sz w:val="24"/>
          <w:szCs w:val="24"/>
        </w:rPr>
      </w:pPr>
      <w:r>
        <w:rPr>
          <w:rFonts w:ascii="Garamond" w:hAnsi="Garamond"/>
          <w:bCs/>
          <w:sz w:val="24"/>
          <w:szCs w:val="24"/>
        </w:rPr>
        <w:t xml:space="preserve">Eggertsson, G.B. and Krugman, P. (2012). Debt, deleveraging, and the liquidity trap: Fisher-Minsky-Koo approach. </w:t>
      </w:r>
      <w:r w:rsidRPr="00AE7300">
        <w:rPr>
          <w:rFonts w:ascii="Garamond" w:hAnsi="Garamond"/>
          <w:bCs/>
          <w:i/>
          <w:sz w:val="24"/>
          <w:szCs w:val="24"/>
        </w:rPr>
        <w:t>Quarterly Journal of Economics</w:t>
      </w:r>
      <w:r>
        <w:rPr>
          <w:rFonts w:ascii="Garamond" w:hAnsi="Garamond"/>
          <w:bCs/>
          <w:sz w:val="24"/>
          <w:szCs w:val="24"/>
        </w:rPr>
        <w:t>, 127(3), 1469-1513.</w:t>
      </w:r>
    </w:p>
    <w:p w14:paraId="35220C25" w14:textId="77777777" w:rsidR="00BE49FD" w:rsidRPr="00655454" w:rsidRDefault="00BE49FD" w:rsidP="00BE49FD">
      <w:pPr>
        <w:pStyle w:val="ListParagraph"/>
        <w:numPr>
          <w:ilvl w:val="0"/>
          <w:numId w:val="40"/>
        </w:numPr>
        <w:spacing w:line="360" w:lineRule="auto"/>
        <w:jc w:val="both"/>
        <w:rPr>
          <w:rFonts w:ascii="Garamond" w:hAnsi="Garamond"/>
          <w:bCs/>
          <w:sz w:val="24"/>
          <w:szCs w:val="24"/>
        </w:rPr>
      </w:pPr>
      <w:r>
        <w:rPr>
          <w:rFonts w:ascii="Garamond" w:hAnsi="Garamond"/>
          <w:bCs/>
          <w:sz w:val="24"/>
          <w:szCs w:val="24"/>
        </w:rPr>
        <w:t xml:space="preserve">Ehrmann, M. and Fratzscher, M. (2004). Taking stock: Monetary policy transmission to equity markets. </w:t>
      </w:r>
      <w:r w:rsidRPr="004F2E07">
        <w:rPr>
          <w:rFonts w:ascii="Garamond" w:hAnsi="Garamond"/>
          <w:bCs/>
          <w:i/>
          <w:sz w:val="24"/>
          <w:szCs w:val="24"/>
        </w:rPr>
        <w:t>Journal of Money, Credit and Banking</w:t>
      </w:r>
      <w:r>
        <w:rPr>
          <w:rFonts w:ascii="Garamond" w:hAnsi="Garamond"/>
          <w:bCs/>
          <w:sz w:val="24"/>
          <w:szCs w:val="24"/>
        </w:rPr>
        <w:t>, 36, 719-738.</w:t>
      </w:r>
    </w:p>
    <w:p w14:paraId="7638A58E" w14:textId="77777777" w:rsidR="00BE49FD" w:rsidRDefault="00BE49FD" w:rsidP="00BE49FD">
      <w:pPr>
        <w:pStyle w:val="ListParagraph"/>
        <w:numPr>
          <w:ilvl w:val="0"/>
          <w:numId w:val="40"/>
        </w:numPr>
        <w:spacing w:line="360" w:lineRule="auto"/>
        <w:jc w:val="both"/>
        <w:rPr>
          <w:rFonts w:ascii="Garamond" w:hAnsi="Garamond"/>
          <w:bCs/>
          <w:sz w:val="24"/>
          <w:szCs w:val="24"/>
        </w:rPr>
      </w:pPr>
      <w:r>
        <w:rPr>
          <w:rFonts w:ascii="Garamond" w:hAnsi="Garamond"/>
          <w:bCs/>
          <w:sz w:val="24"/>
          <w:szCs w:val="24"/>
        </w:rPr>
        <w:t xml:space="preserve">Eisfeldt, A.L. (2004). Endogenous liquidity in asset markets. </w:t>
      </w:r>
      <w:r w:rsidRPr="00DE7A08">
        <w:rPr>
          <w:rFonts w:ascii="Garamond" w:hAnsi="Garamond"/>
          <w:bCs/>
          <w:i/>
          <w:sz w:val="24"/>
          <w:szCs w:val="24"/>
        </w:rPr>
        <w:t>Journal of Finance</w:t>
      </w:r>
      <w:r>
        <w:rPr>
          <w:rFonts w:ascii="Garamond" w:hAnsi="Garamond"/>
          <w:bCs/>
          <w:sz w:val="24"/>
          <w:szCs w:val="24"/>
        </w:rPr>
        <w:t>, 59(1), 1-30.</w:t>
      </w:r>
    </w:p>
    <w:p w14:paraId="763428AD" w14:textId="77777777" w:rsidR="00BE49FD" w:rsidRDefault="00BE49FD" w:rsidP="00BE49FD">
      <w:pPr>
        <w:pStyle w:val="ListParagraph"/>
        <w:numPr>
          <w:ilvl w:val="0"/>
          <w:numId w:val="40"/>
        </w:numPr>
        <w:spacing w:after="0" w:line="360" w:lineRule="auto"/>
        <w:jc w:val="both"/>
        <w:rPr>
          <w:rFonts w:ascii="Garamond" w:hAnsi="Garamond"/>
          <w:sz w:val="24"/>
          <w:szCs w:val="24"/>
        </w:rPr>
      </w:pPr>
      <w:r w:rsidRPr="005C4A9C">
        <w:rPr>
          <w:rFonts w:ascii="Garamond" w:hAnsi="Garamond"/>
          <w:sz w:val="24"/>
          <w:szCs w:val="24"/>
        </w:rPr>
        <w:lastRenderedPageBreak/>
        <w:t>Fernández-Amador</w:t>
      </w:r>
      <w:r w:rsidRPr="000E21F4">
        <w:rPr>
          <w:rFonts w:ascii="Garamond" w:hAnsi="Garamond"/>
          <w:sz w:val="24"/>
          <w:szCs w:val="24"/>
        </w:rPr>
        <w:t xml:space="preserve">, O., Gachter, M., Larch, M. and Peter, G. (2013). Does monetary policy determine stock market liquidity? New evidence from the euro zone. </w:t>
      </w:r>
      <w:r w:rsidRPr="000E21F4">
        <w:rPr>
          <w:rFonts w:ascii="Garamond" w:hAnsi="Garamond"/>
          <w:i/>
          <w:sz w:val="24"/>
          <w:szCs w:val="24"/>
        </w:rPr>
        <w:t>Journal of Empirical Finance</w:t>
      </w:r>
      <w:r w:rsidRPr="000E21F4">
        <w:rPr>
          <w:rFonts w:ascii="Garamond" w:hAnsi="Garamond"/>
          <w:sz w:val="24"/>
          <w:szCs w:val="24"/>
        </w:rPr>
        <w:t>, 21, 54-68.</w:t>
      </w:r>
    </w:p>
    <w:p w14:paraId="4A096ADC"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Fisher, D. (1988). </w:t>
      </w:r>
      <w:r w:rsidRPr="00D03AB8">
        <w:rPr>
          <w:rFonts w:ascii="Garamond" w:hAnsi="Garamond"/>
          <w:i/>
          <w:sz w:val="24"/>
          <w:szCs w:val="24"/>
        </w:rPr>
        <w:t>Monetary and fiscal policy</w:t>
      </w:r>
      <w:r>
        <w:rPr>
          <w:rFonts w:ascii="Garamond" w:hAnsi="Garamond"/>
          <w:sz w:val="24"/>
          <w:szCs w:val="24"/>
        </w:rPr>
        <w:t>. First edition, MaCmillan press.</w:t>
      </w:r>
    </w:p>
    <w:p w14:paraId="6655570E"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Florackis, C., Gregoriou, A. and Kostakis, A. (2011). Trading frequency and asset pricing on the London Stock Exchange: Evidence from a new price impact ratio. Journal of Banking and Finance, 35(12), 3335-3350.</w:t>
      </w:r>
    </w:p>
    <w:p w14:paraId="72F9ABD2" w14:textId="77777777" w:rsidR="00BE49FD" w:rsidRPr="00E46409"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Gagnon, M-H. and Gimet, C. (2013). The impact of standard monetary and budgetary policies on liquidity and financial markets: International evidence from the credit freeze crisis. </w:t>
      </w:r>
      <w:r w:rsidRPr="0027155B">
        <w:rPr>
          <w:rFonts w:ascii="Garamond" w:hAnsi="Garamond"/>
          <w:i/>
          <w:sz w:val="24"/>
          <w:szCs w:val="24"/>
        </w:rPr>
        <w:t>Journal of Banking and Finance</w:t>
      </w:r>
      <w:r>
        <w:rPr>
          <w:rFonts w:ascii="Garamond" w:hAnsi="Garamond"/>
          <w:sz w:val="24"/>
          <w:szCs w:val="24"/>
        </w:rPr>
        <w:t>, 37(11), 4599-4614.</w:t>
      </w:r>
    </w:p>
    <w:p w14:paraId="6F417B2A"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Goyenko, R.Y. and Ukhov, A.D. (2009). Stock and bond market liquidity: a long-run empirical analysis. </w:t>
      </w:r>
      <w:r w:rsidRPr="00E46409">
        <w:rPr>
          <w:rFonts w:ascii="Garamond" w:hAnsi="Garamond"/>
          <w:i/>
          <w:sz w:val="24"/>
          <w:szCs w:val="24"/>
        </w:rPr>
        <w:t>Journal of Financial and Quantitative Analysis</w:t>
      </w:r>
      <w:r>
        <w:rPr>
          <w:rFonts w:ascii="Garamond" w:hAnsi="Garamond"/>
          <w:sz w:val="24"/>
          <w:szCs w:val="24"/>
        </w:rPr>
        <w:t>, 44(1), 189-212.</w:t>
      </w:r>
    </w:p>
    <w:p w14:paraId="541CD5EA" w14:textId="3317023B" w:rsidR="00E54702" w:rsidRDefault="00E54702" w:rsidP="00BE49FD">
      <w:pPr>
        <w:pStyle w:val="ListParagraph"/>
        <w:numPr>
          <w:ilvl w:val="0"/>
          <w:numId w:val="40"/>
        </w:numPr>
        <w:spacing w:after="0" w:line="360" w:lineRule="auto"/>
        <w:jc w:val="both"/>
        <w:rPr>
          <w:rFonts w:ascii="Garamond" w:hAnsi="Garamond"/>
          <w:sz w:val="24"/>
          <w:szCs w:val="24"/>
        </w:rPr>
      </w:pPr>
      <w:r w:rsidRPr="00E54702">
        <w:rPr>
          <w:rFonts w:ascii="Garamond" w:hAnsi="Garamond"/>
          <w:sz w:val="24"/>
          <w:szCs w:val="24"/>
        </w:rPr>
        <w:t>Goyenko, R.Y., Holden, C.W., Trzcinka, C.A., 2009. Do liquidity</w:t>
      </w:r>
      <w:r>
        <w:rPr>
          <w:rFonts w:ascii="Garamond" w:hAnsi="Garamond"/>
          <w:sz w:val="24"/>
          <w:szCs w:val="24"/>
        </w:rPr>
        <w:t xml:space="preserve"> measures measure liquidity? </w:t>
      </w:r>
      <w:r w:rsidRPr="00E54702">
        <w:rPr>
          <w:rFonts w:ascii="Garamond" w:hAnsi="Garamond"/>
          <w:i/>
          <w:sz w:val="24"/>
          <w:szCs w:val="24"/>
        </w:rPr>
        <w:t>Journal of Financial Economics</w:t>
      </w:r>
      <w:r w:rsidRPr="00E54702">
        <w:rPr>
          <w:rFonts w:ascii="Garamond" w:hAnsi="Garamond"/>
          <w:sz w:val="24"/>
          <w:szCs w:val="24"/>
        </w:rPr>
        <w:t>. 92 (2), 153–181.</w:t>
      </w:r>
    </w:p>
    <w:p w14:paraId="3E1EFF68"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Granger, C.W.J. (1969). Investigating causal relations by econometric models and cross-spectral methods. </w:t>
      </w:r>
      <w:r w:rsidRPr="00D44B24">
        <w:rPr>
          <w:rFonts w:ascii="Garamond" w:hAnsi="Garamond"/>
          <w:i/>
          <w:sz w:val="24"/>
          <w:szCs w:val="24"/>
        </w:rPr>
        <w:t>Econometrica</w:t>
      </w:r>
      <w:r>
        <w:rPr>
          <w:rFonts w:ascii="Garamond" w:hAnsi="Garamond"/>
          <w:sz w:val="24"/>
          <w:szCs w:val="24"/>
        </w:rPr>
        <w:t>, 37(3), 424-438.</w:t>
      </w:r>
    </w:p>
    <w:p w14:paraId="1E713F29" w14:textId="4C020B85" w:rsidR="001B29BB" w:rsidRPr="001B29BB" w:rsidRDefault="001B29BB" w:rsidP="00BE49FD">
      <w:pPr>
        <w:pStyle w:val="ListParagraph"/>
        <w:numPr>
          <w:ilvl w:val="0"/>
          <w:numId w:val="40"/>
        </w:numPr>
        <w:spacing w:after="0" w:line="360" w:lineRule="auto"/>
        <w:jc w:val="both"/>
        <w:rPr>
          <w:rFonts w:ascii="Garamond" w:hAnsi="Garamond"/>
          <w:sz w:val="24"/>
          <w:szCs w:val="24"/>
        </w:rPr>
      </w:pPr>
      <w:r w:rsidRPr="001B29BB">
        <w:rPr>
          <w:rFonts w:ascii="Garamond" w:hAnsi="Garamond"/>
          <w:sz w:val="24"/>
          <w:szCs w:val="24"/>
        </w:rPr>
        <w:t xml:space="preserve">Hasbrouck, J., 2009. Trading costs and returns for U.S. equities: estimating effective costs from daily data. </w:t>
      </w:r>
      <w:r w:rsidRPr="001B29BB">
        <w:rPr>
          <w:rFonts w:ascii="Garamond" w:hAnsi="Garamond"/>
          <w:i/>
          <w:sz w:val="24"/>
          <w:szCs w:val="24"/>
        </w:rPr>
        <w:t>Journal of Finance</w:t>
      </w:r>
      <w:r w:rsidRPr="001B29BB">
        <w:rPr>
          <w:rFonts w:ascii="Garamond" w:hAnsi="Garamond"/>
          <w:sz w:val="24"/>
          <w:szCs w:val="24"/>
        </w:rPr>
        <w:t xml:space="preserve"> 64 (3), 1445–1477.</w:t>
      </w:r>
    </w:p>
    <w:p w14:paraId="46390A14"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Jaccard, </w:t>
      </w:r>
      <w:smartTag w:uri="urn:schemas-microsoft-com:office:smarttags" w:element="place">
        <w:r>
          <w:rPr>
            <w:rFonts w:ascii="Garamond" w:hAnsi="Garamond"/>
            <w:sz w:val="24"/>
            <w:szCs w:val="24"/>
          </w:rPr>
          <w:t>I.</w:t>
        </w:r>
      </w:smartTag>
      <w:r>
        <w:rPr>
          <w:rFonts w:ascii="Garamond" w:hAnsi="Garamond"/>
          <w:sz w:val="24"/>
          <w:szCs w:val="24"/>
        </w:rPr>
        <w:t xml:space="preserve"> (2013). Liquidity constraints, risk premia, and the macroeconomic effects of liquidity shocks. </w:t>
      </w:r>
      <w:r w:rsidRPr="00DB09FA">
        <w:rPr>
          <w:rFonts w:ascii="Garamond" w:hAnsi="Garamond"/>
          <w:i/>
          <w:sz w:val="24"/>
          <w:szCs w:val="24"/>
        </w:rPr>
        <w:t>Working Paper Series</w:t>
      </w:r>
      <w:r>
        <w:rPr>
          <w:rFonts w:ascii="Garamond" w:hAnsi="Garamond"/>
          <w:sz w:val="24"/>
          <w:szCs w:val="24"/>
        </w:rPr>
        <w:t>, No. 1525, European Central Bank.</w:t>
      </w:r>
    </w:p>
    <w:p w14:paraId="15447E2E" w14:textId="77777777" w:rsidR="00BE49FD" w:rsidRPr="007168F9" w:rsidRDefault="00BE49FD" w:rsidP="00BE49FD">
      <w:pPr>
        <w:pStyle w:val="ListParagraph"/>
        <w:numPr>
          <w:ilvl w:val="0"/>
          <w:numId w:val="40"/>
        </w:numPr>
        <w:tabs>
          <w:tab w:val="left" w:pos="993"/>
        </w:tabs>
        <w:spacing w:line="360" w:lineRule="auto"/>
        <w:jc w:val="both"/>
        <w:rPr>
          <w:rStyle w:val="HTMLCite"/>
          <w:rFonts w:ascii="Garamond" w:hAnsi="Garamond"/>
          <w:bCs/>
          <w:iCs w:val="0"/>
          <w:sz w:val="24"/>
          <w:szCs w:val="24"/>
        </w:rPr>
      </w:pPr>
      <w:r w:rsidRPr="00BE38F9">
        <w:rPr>
          <w:rStyle w:val="HTMLCite"/>
          <w:rFonts w:ascii="Garamond" w:hAnsi="Garamond"/>
          <w:bCs/>
          <w:sz w:val="24"/>
          <w:szCs w:val="24"/>
        </w:rPr>
        <w:t>Jansen, D.W., Li, Q., Wang, Z. and Yang, J. (2008). Fiscal policy and asset markets: A semiparametric analysis.</w:t>
      </w:r>
      <w:r>
        <w:rPr>
          <w:rStyle w:val="HTMLCite"/>
          <w:rFonts w:ascii="Garamond" w:hAnsi="Garamond"/>
          <w:bCs/>
          <w:sz w:val="24"/>
          <w:szCs w:val="24"/>
        </w:rPr>
        <w:t xml:space="preserve"> </w:t>
      </w:r>
      <w:r w:rsidRPr="007168F9">
        <w:rPr>
          <w:rStyle w:val="HTMLCite"/>
          <w:rFonts w:ascii="Garamond" w:hAnsi="Garamond"/>
          <w:bCs/>
          <w:sz w:val="24"/>
          <w:szCs w:val="24"/>
        </w:rPr>
        <w:t>Journal of Econometrics</w:t>
      </w:r>
      <w:r>
        <w:rPr>
          <w:rStyle w:val="HTMLCite"/>
          <w:rFonts w:ascii="Garamond" w:hAnsi="Garamond"/>
          <w:bCs/>
          <w:sz w:val="24"/>
          <w:szCs w:val="24"/>
        </w:rPr>
        <w:t>, 147, 141-150.</w:t>
      </w:r>
    </w:p>
    <w:p w14:paraId="7FA9672D" w14:textId="77777777" w:rsidR="00BE49FD" w:rsidRPr="00A00AC4" w:rsidRDefault="00BE49FD" w:rsidP="00BE49FD">
      <w:pPr>
        <w:pStyle w:val="ListParagraph"/>
        <w:numPr>
          <w:ilvl w:val="0"/>
          <w:numId w:val="40"/>
        </w:numPr>
        <w:tabs>
          <w:tab w:val="left" w:pos="993"/>
        </w:tabs>
        <w:spacing w:line="360" w:lineRule="auto"/>
        <w:jc w:val="both"/>
        <w:rPr>
          <w:rStyle w:val="HTMLCite"/>
          <w:rFonts w:ascii="Garamond" w:hAnsi="Garamond"/>
          <w:bCs/>
          <w:iCs w:val="0"/>
          <w:sz w:val="24"/>
          <w:szCs w:val="24"/>
        </w:rPr>
      </w:pPr>
      <w:r w:rsidRPr="00BE38F9">
        <w:rPr>
          <w:rStyle w:val="HTMLCite"/>
          <w:rFonts w:ascii="Garamond" w:hAnsi="Garamond"/>
          <w:bCs/>
          <w:sz w:val="24"/>
          <w:szCs w:val="24"/>
        </w:rPr>
        <w:t>Kao, C. (1999). Spurious regression and residual-based tests for cointegration in panel data.</w:t>
      </w:r>
      <w:r>
        <w:rPr>
          <w:rStyle w:val="HTMLCite"/>
          <w:rFonts w:ascii="Garamond" w:hAnsi="Garamond"/>
          <w:bCs/>
          <w:sz w:val="24"/>
          <w:szCs w:val="24"/>
        </w:rPr>
        <w:t xml:space="preserve"> </w:t>
      </w:r>
      <w:r w:rsidRPr="00A00AC4">
        <w:rPr>
          <w:rStyle w:val="HTMLCite"/>
          <w:rFonts w:ascii="Garamond" w:hAnsi="Garamond"/>
          <w:bCs/>
          <w:sz w:val="24"/>
          <w:szCs w:val="24"/>
        </w:rPr>
        <w:t>Journal of Econometrics</w:t>
      </w:r>
      <w:r>
        <w:rPr>
          <w:rStyle w:val="HTMLCite"/>
          <w:rFonts w:ascii="Garamond" w:hAnsi="Garamond"/>
          <w:bCs/>
          <w:sz w:val="24"/>
          <w:szCs w:val="24"/>
        </w:rPr>
        <w:t>, 90, 1-44.</w:t>
      </w:r>
    </w:p>
    <w:p w14:paraId="20E81998" w14:textId="77777777" w:rsidR="00BE49FD" w:rsidRPr="00345B82" w:rsidRDefault="00BE49FD" w:rsidP="00BE49FD">
      <w:pPr>
        <w:pStyle w:val="ListParagraph"/>
        <w:numPr>
          <w:ilvl w:val="0"/>
          <w:numId w:val="40"/>
        </w:numPr>
        <w:tabs>
          <w:tab w:val="left" w:pos="993"/>
        </w:tabs>
        <w:spacing w:line="360" w:lineRule="auto"/>
        <w:jc w:val="both"/>
        <w:rPr>
          <w:rStyle w:val="HTMLCite"/>
          <w:rFonts w:ascii="Garamond" w:hAnsi="Garamond"/>
          <w:bCs/>
          <w:iCs w:val="0"/>
          <w:sz w:val="24"/>
          <w:szCs w:val="24"/>
        </w:rPr>
      </w:pPr>
      <w:r w:rsidRPr="00BE38F9">
        <w:rPr>
          <w:rStyle w:val="HTMLCite"/>
          <w:rFonts w:ascii="Garamond" w:hAnsi="Garamond"/>
          <w:bCs/>
          <w:sz w:val="24"/>
          <w:szCs w:val="24"/>
        </w:rPr>
        <w:t>Lavine, R. and Zervos, S. (1998). Stock markets, banks, and economic growth.</w:t>
      </w:r>
      <w:r>
        <w:rPr>
          <w:rStyle w:val="HTMLCite"/>
          <w:rFonts w:ascii="Garamond" w:hAnsi="Garamond"/>
          <w:bCs/>
          <w:sz w:val="24"/>
          <w:szCs w:val="24"/>
        </w:rPr>
        <w:t xml:space="preserve"> </w:t>
      </w:r>
      <w:r w:rsidRPr="00345B82">
        <w:rPr>
          <w:rStyle w:val="HTMLCite"/>
          <w:rFonts w:ascii="Garamond" w:hAnsi="Garamond"/>
          <w:bCs/>
          <w:sz w:val="24"/>
          <w:szCs w:val="24"/>
        </w:rPr>
        <w:t>American Economic Review</w:t>
      </w:r>
      <w:r>
        <w:rPr>
          <w:rStyle w:val="HTMLCite"/>
          <w:rFonts w:ascii="Garamond" w:hAnsi="Garamond"/>
          <w:bCs/>
          <w:sz w:val="24"/>
          <w:szCs w:val="24"/>
        </w:rPr>
        <w:t>, 88, 537-558.</w:t>
      </w:r>
    </w:p>
    <w:p w14:paraId="032A9398" w14:textId="77777777" w:rsidR="00BE49FD" w:rsidRPr="008B39D5" w:rsidRDefault="00BE49FD" w:rsidP="00BE49FD">
      <w:pPr>
        <w:pStyle w:val="ListParagraph"/>
        <w:numPr>
          <w:ilvl w:val="0"/>
          <w:numId w:val="40"/>
        </w:numPr>
        <w:tabs>
          <w:tab w:val="left" w:pos="993"/>
        </w:tabs>
        <w:spacing w:line="360" w:lineRule="auto"/>
        <w:jc w:val="both"/>
        <w:rPr>
          <w:rStyle w:val="HTMLCite"/>
          <w:rFonts w:ascii="Garamond" w:hAnsi="Garamond"/>
          <w:bCs/>
          <w:iCs w:val="0"/>
          <w:sz w:val="24"/>
          <w:szCs w:val="24"/>
        </w:rPr>
      </w:pPr>
      <w:r w:rsidRPr="00BE38F9">
        <w:rPr>
          <w:rStyle w:val="HTMLCite"/>
          <w:rFonts w:ascii="Garamond" w:hAnsi="Garamond"/>
          <w:bCs/>
          <w:sz w:val="24"/>
          <w:szCs w:val="24"/>
        </w:rPr>
        <w:t>Lesmond, D.A. (2005). Liquidity of emerging markets.</w:t>
      </w:r>
      <w:r>
        <w:rPr>
          <w:rStyle w:val="HTMLCite"/>
          <w:rFonts w:ascii="Garamond" w:hAnsi="Garamond"/>
          <w:bCs/>
          <w:sz w:val="24"/>
          <w:szCs w:val="24"/>
        </w:rPr>
        <w:t xml:space="preserve"> Journal of Financial Economics, 77(2), 411-452.</w:t>
      </w:r>
    </w:p>
    <w:p w14:paraId="136CEA9D" w14:textId="77777777" w:rsidR="00BE49FD" w:rsidRPr="0055030C" w:rsidRDefault="00BE49FD" w:rsidP="00BE49FD">
      <w:pPr>
        <w:pStyle w:val="ListParagraph"/>
        <w:numPr>
          <w:ilvl w:val="0"/>
          <w:numId w:val="40"/>
        </w:numPr>
        <w:tabs>
          <w:tab w:val="left" w:pos="993"/>
        </w:tabs>
        <w:spacing w:line="360" w:lineRule="auto"/>
        <w:jc w:val="both"/>
        <w:rPr>
          <w:rStyle w:val="HTMLCite"/>
          <w:rFonts w:ascii="Garamond" w:hAnsi="Garamond"/>
          <w:bCs/>
          <w:iCs w:val="0"/>
          <w:sz w:val="24"/>
          <w:szCs w:val="24"/>
        </w:rPr>
      </w:pPr>
      <w:r w:rsidRPr="00BE38F9">
        <w:rPr>
          <w:rStyle w:val="HTMLCite"/>
          <w:rFonts w:ascii="Garamond" w:hAnsi="Garamond"/>
          <w:bCs/>
          <w:sz w:val="24"/>
          <w:szCs w:val="24"/>
        </w:rPr>
        <w:t xml:space="preserve">Levin, A., Chien-Fu Lin, A. and </w:t>
      </w:r>
      <w:smartTag w:uri="urn:schemas-microsoft-com:office:smarttags" w:element="place">
        <w:r w:rsidRPr="00BE38F9">
          <w:rPr>
            <w:rStyle w:val="HTMLCite"/>
            <w:rFonts w:ascii="Garamond" w:hAnsi="Garamond"/>
            <w:bCs/>
            <w:sz w:val="24"/>
            <w:szCs w:val="24"/>
          </w:rPr>
          <w:t>Chu</w:t>
        </w:r>
      </w:smartTag>
      <w:r w:rsidRPr="00BE38F9">
        <w:rPr>
          <w:rStyle w:val="HTMLCite"/>
          <w:rFonts w:ascii="Garamond" w:hAnsi="Garamond"/>
          <w:bCs/>
          <w:sz w:val="24"/>
          <w:szCs w:val="24"/>
        </w:rPr>
        <w:t>, C.S.J. (2002). Unit root tests in panel data: asymptotic and finite-sample properties.</w:t>
      </w:r>
      <w:r>
        <w:rPr>
          <w:rStyle w:val="HTMLCite"/>
          <w:rFonts w:ascii="Garamond" w:hAnsi="Garamond"/>
          <w:bCs/>
          <w:sz w:val="24"/>
          <w:szCs w:val="24"/>
        </w:rPr>
        <w:t xml:space="preserve"> </w:t>
      </w:r>
      <w:r w:rsidRPr="001E615C">
        <w:rPr>
          <w:rStyle w:val="HTMLCite"/>
          <w:rFonts w:ascii="Garamond" w:hAnsi="Garamond"/>
          <w:bCs/>
          <w:sz w:val="24"/>
          <w:szCs w:val="24"/>
        </w:rPr>
        <w:t>Journal of Econometrics</w:t>
      </w:r>
      <w:r>
        <w:rPr>
          <w:rStyle w:val="HTMLCite"/>
          <w:rFonts w:ascii="Garamond" w:hAnsi="Garamond"/>
          <w:bCs/>
          <w:sz w:val="24"/>
          <w:szCs w:val="24"/>
        </w:rPr>
        <w:t>, 108(1), 1-24.</w:t>
      </w:r>
    </w:p>
    <w:p w14:paraId="54714BF3" w14:textId="77777777" w:rsidR="00BE49FD" w:rsidRPr="006001F7" w:rsidRDefault="00BE49FD" w:rsidP="00BE49FD">
      <w:pPr>
        <w:pStyle w:val="ListParagraph"/>
        <w:numPr>
          <w:ilvl w:val="0"/>
          <w:numId w:val="40"/>
        </w:numPr>
        <w:tabs>
          <w:tab w:val="left" w:pos="993"/>
        </w:tabs>
        <w:spacing w:line="360" w:lineRule="auto"/>
        <w:jc w:val="both"/>
        <w:rPr>
          <w:rStyle w:val="HTMLCite"/>
          <w:rFonts w:ascii="Garamond" w:hAnsi="Garamond"/>
          <w:bCs/>
          <w:iCs w:val="0"/>
          <w:sz w:val="24"/>
          <w:szCs w:val="24"/>
        </w:rPr>
      </w:pPr>
      <w:r w:rsidRPr="00BE38F9">
        <w:rPr>
          <w:rStyle w:val="HTMLCite"/>
          <w:rFonts w:ascii="Garamond" w:hAnsi="Garamond"/>
          <w:bCs/>
          <w:sz w:val="24"/>
          <w:szCs w:val="24"/>
        </w:rPr>
        <w:t>Lo, A. and Wang, J. (2000). Trading volume: definitions, data analysis, and implications of portfolio theory.</w:t>
      </w:r>
      <w:r>
        <w:rPr>
          <w:rStyle w:val="HTMLCite"/>
          <w:rFonts w:ascii="Garamond" w:hAnsi="Garamond"/>
          <w:bCs/>
          <w:sz w:val="24"/>
          <w:szCs w:val="24"/>
        </w:rPr>
        <w:t xml:space="preserve"> </w:t>
      </w:r>
      <w:r w:rsidRPr="006001F7">
        <w:rPr>
          <w:rStyle w:val="HTMLCite"/>
          <w:rFonts w:ascii="Garamond" w:hAnsi="Garamond"/>
          <w:bCs/>
          <w:sz w:val="24"/>
          <w:szCs w:val="24"/>
        </w:rPr>
        <w:t>Review of Financial Studies</w:t>
      </w:r>
      <w:r>
        <w:rPr>
          <w:rStyle w:val="HTMLCite"/>
          <w:rFonts w:ascii="Garamond" w:hAnsi="Garamond"/>
          <w:bCs/>
          <w:sz w:val="24"/>
          <w:szCs w:val="24"/>
        </w:rPr>
        <w:t>, 13, 257-300.</w:t>
      </w:r>
    </w:p>
    <w:p w14:paraId="197B7BA0" w14:textId="77777777" w:rsidR="00BE49FD" w:rsidRPr="005D4977" w:rsidRDefault="00BE49FD" w:rsidP="00BE49FD">
      <w:pPr>
        <w:pStyle w:val="ListParagraph"/>
        <w:numPr>
          <w:ilvl w:val="0"/>
          <w:numId w:val="40"/>
        </w:numPr>
        <w:tabs>
          <w:tab w:val="left" w:pos="993"/>
        </w:tabs>
        <w:spacing w:line="360" w:lineRule="auto"/>
        <w:jc w:val="both"/>
        <w:rPr>
          <w:rStyle w:val="HTMLCite"/>
          <w:rFonts w:ascii="Garamond" w:hAnsi="Garamond"/>
          <w:bCs/>
          <w:iCs w:val="0"/>
          <w:sz w:val="24"/>
          <w:szCs w:val="24"/>
        </w:rPr>
      </w:pPr>
      <w:r w:rsidRPr="00BE38F9">
        <w:rPr>
          <w:rStyle w:val="HTMLCite"/>
          <w:rFonts w:ascii="Garamond" w:hAnsi="Garamond"/>
          <w:bCs/>
          <w:sz w:val="24"/>
          <w:szCs w:val="24"/>
        </w:rPr>
        <w:lastRenderedPageBreak/>
        <w:t>Liu, W. (2006). A liquidity-augmented capital asset pricing model.</w:t>
      </w:r>
      <w:r>
        <w:rPr>
          <w:rStyle w:val="HTMLCite"/>
          <w:rFonts w:ascii="Garamond" w:hAnsi="Garamond"/>
          <w:bCs/>
          <w:sz w:val="24"/>
          <w:szCs w:val="24"/>
        </w:rPr>
        <w:t xml:space="preserve"> </w:t>
      </w:r>
      <w:r w:rsidRPr="005D4977">
        <w:rPr>
          <w:rStyle w:val="HTMLCite"/>
          <w:rFonts w:ascii="Garamond" w:hAnsi="Garamond"/>
          <w:bCs/>
          <w:sz w:val="24"/>
          <w:szCs w:val="24"/>
        </w:rPr>
        <w:t>Journal of Financial Economics</w:t>
      </w:r>
      <w:r>
        <w:rPr>
          <w:rStyle w:val="HTMLCite"/>
          <w:rFonts w:ascii="Garamond" w:hAnsi="Garamond"/>
          <w:bCs/>
          <w:sz w:val="24"/>
          <w:szCs w:val="24"/>
        </w:rPr>
        <w:t>, 82(3), 511-526.</w:t>
      </w:r>
    </w:p>
    <w:p w14:paraId="31427481" w14:textId="77777777" w:rsidR="00BE49FD" w:rsidRPr="00E23DC2" w:rsidRDefault="00BE49FD" w:rsidP="00BE49FD">
      <w:pPr>
        <w:pStyle w:val="ListParagraph"/>
        <w:numPr>
          <w:ilvl w:val="0"/>
          <w:numId w:val="40"/>
        </w:numPr>
        <w:tabs>
          <w:tab w:val="left" w:pos="993"/>
        </w:tabs>
        <w:spacing w:line="360" w:lineRule="auto"/>
        <w:jc w:val="both"/>
        <w:rPr>
          <w:rStyle w:val="HTMLCite"/>
          <w:rFonts w:ascii="Garamond" w:hAnsi="Garamond"/>
          <w:bCs/>
          <w:iCs w:val="0"/>
          <w:sz w:val="24"/>
          <w:szCs w:val="24"/>
        </w:rPr>
      </w:pPr>
      <w:r w:rsidRPr="00BE38F9">
        <w:rPr>
          <w:rStyle w:val="HTMLCite"/>
          <w:rFonts w:ascii="Garamond" w:hAnsi="Garamond"/>
          <w:bCs/>
          <w:sz w:val="24"/>
          <w:szCs w:val="24"/>
        </w:rPr>
        <w:t xml:space="preserve">Montes, G.C. and Tiberto, B.P. (2012). Macroeconomic environment, country risk and stock market performance: Evidence from </w:t>
      </w:r>
      <w:smartTag w:uri="urn:schemas-microsoft-com:office:smarttags" w:element="country-region">
        <w:smartTag w:uri="urn:schemas-microsoft-com:office:smarttags" w:element="place">
          <w:r w:rsidRPr="00BE38F9">
            <w:rPr>
              <w:rStyle w:val="HTMLCite"/>
              <w:rFonts w:ascii="Garamond" w:hAnsi="Garamond"/>
              <w:bCs/>
              <w:sz w:val="24"/>
              <w:szCs w:val="24"/>
            </w:rPr>
            <w:t>Brazil</w:t>
          </w:r>
        </w:smartTag>
      </w:smartTag>
      <w:r w:rsidRPr="00BE38F9">
        <w:rPr>
          <w:rStyle w:val="HTMLCite"/>
          <w:rFonts w:ascii="Garamond" w:hAnsi="Garamond"/>
          <w:bCs/>
          <w:sz w:val="24"/>
          <w:szCs w:val="24"/>
        </w:rPr>
        <w:t>.</w:t>
      </w:r>
      <w:r>
        <w:rPr>
          <w:rStyle w:val="HTMLCite"/>
          <w:rFonts w:ascii="Garamond" w:hAnsi="Garamond"/>
          <w:bCs/>
          <w:sz w:val="24"/>
          <w:szCs w:val="24"/>
        </w:rPr>
        <w:t xml:space="preserve"> </w:t>
      </w:r>
      <w:r w:rsidRPr="00E23DC2">
        <w:rPr>
          <w:rStyle w:val="HTMLCite"/>
          <w:rFonts w:ascii="Garamond" w:hAnsi="Garamond"/>
          <w:bCs/>
          <w:sz w:val="24"/>
          <w:szCs w:val="24"/>
        </w:rPr>
        <w:t>Economic Modelling</w:t>
      </w:r>
      <w:r>
        <w:rPr>
          <w:rStyle w:val="HTMLCite"/>
          <w:rFonts w:ascii="Garamond" w:hAnsi="Garamond"/>
          <w:bCs/>
          <w:sz w:val="24"/>
          <w:szCs w:val="24"/>
        </w:rPr>
        <w:t>, 20, 1666-1678.</w:t>
      </w:r>
    </w:p>
    <w:p w14:paraId="5D7C485C" w14:textId="77777777" w:rsidR="00BE49FD" w:rsidRPr="004A5EFD" w:rsidRDefault="00BE49FD" w:rsidP="00BE49FD">
      <w:pPr>
        <w:pStyle w:val="ListParagraph"/>
        <w:numPr>
          <w:ilvl w:val="0"/>
          <w:numId w:val="40"/>
        </w:numPr>
        <w:tabs>
          <w:tab w:val="left" w:pos="993"/>
        </w:tabs>
        <w:spacing w:line="360" w:lineRule="auto"/>
        <w:jc w:val="both"/>
        <w:rPr>
          <w:rFonts w:ascii="Garamond" w:hAnsi="Garamond"/>
          <w:bCs/>
          <w:i/>
          <w:sz w:val="24"/>
          <w:szCs w:val="24"/>
        </w:rPr>
      </w:pPr>
      <w:r w:rsidRPr="00B90008">
        <w:rPr>
          <w:rStyle w:val="HTMLCite"/>
          <w:rFonts w:ascii="Garamond" w:hAnsi="Garamond"/>
          <w:i w:val="0"/>
          <w:sz w:val="24"/>
          <w:szCs w:val="24"/>
        </w:rPr>
        <w:t>Næs, R., Skjeltorp, J.A. and</w:t>
      </w:r>
      <w:r>
        <w:rPr>
          <w:rStyle w:val="HTMLCite"/>
          <w:rFonts w:ascii="Garamond" w:hAnsi="Garamond"/>
          <w:sz w:val="24"/>
          <w:szCs w:val="24"/>
        </w:rPr>
        <w:t xml:space="preserve"> </w:t>
      </w:r>
      <w:r w:rsidRPr="004A5EFD">
        <w:rPr>
          <w:rFonts w:ascii="Garamond" w:hAnsi="Garamond"/>
          <w:sz w:val="24"/>
          <w:szCs w:val="24"/>
        </w:rPr>
        <w:t>Ødegaard</w:t>
      </w:r>
      <w:r>
        <w:rPr>
          <w:rFonts w:ascii="Garamond" w:hAnsi="Garamond"/>
          <w:sz w:val="24"/>
          <w:szCs w:val="24"/>
        </w:rPr>
        <w:t xml:space="preserve">, B.A. (2011). Stock market liquidity and the business cycle. </w:t>
      </w:r>
      <w:r w:rsidRPr="004A5EFD">
        <w:rPr>
          <w:rFonts w:ascii="Garamond" w:hAnsi="Garamond"/>
          <w:i/>
          <w:sz w:val="24"/>
          <w:szCs w:val="24"/>
        </w:rPr>
        <w:t>Journal of Finance</w:t>
      </w:r>
      <w:r>
        <w:rPr>
          <w:rFonts w:ascii="Garamond" w:hAnsi="Garamond"/>
          <w:sz w:val="24"/>
          <w:szCs w:val="24"/>
        </w:rPr>
        <w:t>, 66(1), 139-176.</w:t>
      </w:r>
    </w:p>
    <w:p w14:paraId="03F0E6EA" w14:textId="77777777" w:rsidR="00BE49FD" w:rsidRPr="009614CA" w:rsidRDefault="00BE49FD" w:rsidP="00BE49FD">
      <w:pPr>
        <w:pStyle w:val="ListParagraph"/>
        <w:numPr>
          <w:ilvl w:val="0"/>
          <w:numId w:val="40"/>
        </w:numPr>
        <w:tabs>
          <w:tab w:val="left" w:pos="993"/>
        </w:tabs>
        <w:spacing w:line="360" w:lineRule="auto"/>
        <w:jc w:val="both"/>
        <w:rPr>
          <w:rFonts w:ascii="Garamond" w:hAnsi="Garamond"/>
          <w:bCs/>
          <w:sz w:val="24"/>
          <w:szCs w:val="24"/>
        </w:rPr>
      </w:pPr>
      <w:r>
        <w:rPr>
          <w:rFonts w:ascii="Garamond" w:hAnsi="Garamond"/>
          <w:bCs/>
          <w:sz w:val="24"/>
          <w:szCs w:val="24"/>
        </w:rPr>
        <w:t xml:space="preserve">Park, J., Pempel, T.J. and Xiao, G. (2012). Asian response to the global financial crisis – the impact of regionalism and the role of the G20. First Edition, Edward Elgar Publishing Limited. </w:t>
      </w:r>
    </w:p>
    <w:p w14:paraId="4BD74B4A" w14:textId="77777777" w:rsidR="00BE49FD" w:rsidRDefault="00BE49FD" w:rsidP="00BE49FD">
      <w:pPr>
        <w:pStyle w:val="ListParagraph"/>
        <w:numPr>
          <w:ilvl w:val="0"/>
          <w:numId w:val="40"/>
        </w:numPr>
        <w:tabs>
          <w:tab w:val="left" w:pos="993"/>
        </w:tabs>
        <w:spacing w:line="360" w:lineRule="auto"/>
        <w:jc w:val="both"/>
        <w:rPr>
          <w:rFonts w:ascii="Garamond" w:hAnsi="Garamond"/>
          <w:bCs/>
          <w:sz w:val="24"/>
          <w:szCs w:val="24"/>
        </w:rPr>
      </w:pPr>
      <w:r w:rsidRPr="00383AFD">
        <w:rPr>
          <w:rFonts w:ascii="Garamond" w:hAnsi="Garamond"/>
          <w:sz w:val="24"/>
          <w:szCs w:val="24"/>
        </w:rPr>
        <w:t>Pástor</w:t>
      </w:r>
      <w:r>
        <w:rPr>
          <w:rFonts w:ascii="Garamond" w:hAnsi="Garamond"/>
          <w:sz w:val="24"/>
          <w:szCs w:val="24"/>
        </w:rPr>
        <w:t xml:space="preserve">, L. and Veronesi, P. (2012). Uncertainty about government policy and stock price. </w:t>
      </w:r>
      <w:r w:rsidRPr="00383AFD">
        <w:rPr>
          <w:rFonts w:ascii="Garamond" w:hAnsi="Garamond"/>
          <w:i/>
          <w:sz w:val="24"/>
          <w:szCs w:val="24"/>
        </w:rPr>
        <w:t>Journal of Finance</w:t>
      </w:r>
      <w:r>
        <w:rPr>
          <w:rFonts w:ascii="Garamond" w:hAnsi="Garamond"/>
          <w:sz w:val="24"/>
          <w:szCs w:val="24"/>
        </w:rPr>
        <w:t>, 67(4), 2012.</w:t>
      </w:r>
    </w:p>
    <w:p w14:paraId="1D703D23" w14:textId="77777777" w:rsidR="00BE49FD" w:rsidRDefault="00BE49FD" w:rsidP="00BE49FD">
      <w:pPr>
        <w:pStyle w:val="ListParagraph"/>
        <w:numPr>
          <w:ilvl w:val="0"/>
          <w:numId w:val="40"/>
        </w:numPr>
        <w:tabs>
          <w:tab w:val="left" w:pos="993"/>
        </w:tabs>
        <w:spacing w:line="360" w:lineRule="auto"/>
        <w:jc w:val="both"/>
        <w:rPr>
          <w:rFonts w:ascii="Garamond" w:hAnsi="Garamond"/>
          <w:bCs/>
          <w:sz w:val="24"/>
          <w:szCs w:val="24"/>
        </w:rPr>
      </w:pPr>
      <w:r>
        <w:rPr>
          <w:rFonts w:ascii="Garamond" w:hAnsi="Garamond"/>
          <w:bCs/>
          <w:sz w:val="24"/>
          <w:szCs w:val="24"/>
        </w:rPr>
        <w:t xml:space="preserve">Pedroni, P. (1999). Critical values for cointegration tests in heterogeneous panels with multiple regressors. </w:t>
      </w:r>
      <w:r w:rsidRPr="00A00AC4">
        <w:rPr>
          <w:rFonts w:ascii="Garamond" w:hAnsi="Garamond"/>
          <w:bCs/>
          <w:i/>
          <w:sz w:val="24"/>
          <w:szCs w:val="24"/>
        </w:rPr>
        <w:t>Oxford bulletin of Economics and Statistics</w:t>
      </w:r>
      <w:r>
        <w:rPr>
          <w:rFonts w:ascii="Garamond" w:hAnsi="Garamond"/>
          <w:bCs/>
          <w:sz w:val="24"/>
          <w:szCs w:val="24"/>
        </w:rPr>
        <w:t>, Special Issue, 653-670.</w:t>
      </w:r>
    </w:p>
    <w:p w14:paraId="75E626BA" w14:textId="77777777" w:rsidR="00BE49FD" w:rsidRDefault="00BE49FD" w:rsidP="00BE49FD">
      <w:pPr>
        <w:pStyle w:val="ListParagraph"/>
        <w:numPr>
          <w:ilvl w:val="0"/>
          <w:numId w:val="40"/>
        </w:numPr>
        <w:tabs>
          <w:tab w:val="left" w:pos="993"/>
        </w:tabs>
        <w:spacing w:line="360" w:lineRule="auto"/>
        <w:jc w:val="both"/>
        <w:rPr>
          <w:rFonts w:ascii="Garamond" w:hAnsi="Garamond"/>
          <w:bCs/>
          <w:sz w:val="24"/>
          <w:szCs w:val="24"/>
        </w:rPr>
      </w:pPr>
      <w:r>
        <w:rPr>
          <w:rFonts w:ascii="Garamond" w:hAnsi="Garamond"/>
          <w:bCs/>
          <w:sz w:val="24"/>
          <w:szCs w:val="24"/>
        </w:rPr>
        <w:t xml:space="preserve">Pedroni, P. (2004). Panel cointegration: Asymptotic and finite sample properties of pooled time series tests with an application to the PPP hypothesis. </w:t>
      </w:r>
      <w:r w:rsidRPr="00A00AC4">
        <w:rPr>
          <w:rFonts w:ascii="Garamond" w:hAnsi="Garamond"/>
          <w:bCs/>
          <w:i/>
          <w:sz w:val="24"/>
          <w:szCs w:val="24"/>
        </w:rPr>
        <w:t>Economic Theory</w:t>
      </w:r>
      <w:r>
        <w:rPr>
          <w:rFonts w:ascii="Garamond" w:hAnsi="Garamond"/>
          <w:bCs/>
          <w:sz w:val="24"/>
          <w:szCs w:val="24"/>
        </w:rPr>
        <w:t>, 20, 597-625.</w:t>
      </w:r>
    </w:p>
    <w:p w14:paraId="1968A48F" w14:textId="77777777" w:rsidR="00BE49FD" w:rsidRDefault="00BE49FD" w:rsidP="00BE49FD">
      <w:pPr>
        <w:pStyle w:val="ListParagraph"/>
        <w:numPr>
          <w:ilvl w:val="0"/>
          <w:numId w:val="40"/>
        </w:numPr>
        <w:tabs>
          <w:tab w:val="left" w:pos="993"/>
        </w:tabs>
        <w:spacing w:line="360" w:lineRule="auto"/>
        <w:jc w:val="both"/>
        <w:rPr>
          <w:rFonts w:ascii="Garamond" w:hAnsi="Garamond"/>
          <w:bCs/>
          <w:sz w:val="24"/>
          <w:szCs w:val="24"/>
        </w:rPr>
      </w:pPr>
      <w:r>
        <w:rPr>
          <w:rFonts w:ascii="Garamond" w:hAnsi="Garamond"/>
          <w:bCs/>
          <w:sz w:val="24"/>
          <w:szCs w:val="24"/>
        </w:rPr>
        <w:t xml:space="preserve">Pesaran, M.H. (2007). A simple panel unit root rest in the presence of cross-section dependence. </w:t>
      </w:r>
      <w:r w:rsidRPr="001E615C">
        <w:rPr>
          <w:rFonts w:ascii="Garamond" w:hAnsi="Garamond"/>
          <w:bCs/>
          <w:i/>
          <w:sz w:val="24"/>
          <w:szCs w:val="24"/>
        </w:rPr>
        <w:t>Journal of Applied Economics</w:t>
      </w:r>
      <w:r>
        <w:rPr>
          <w:rFonts w:ascii="Garamond" w:hAnsi="Garamond"/>
          <w:bCs/>
          <w:sz w:val="24"/>
          <w:szCs w:val="24"/>
        </w:rPr>
        <w:t>, 22(2), 265-312.</w:t>
      </w:r>
    </w:p>
    <w:p w14:paraId="5E7DC682" w14:textId="77777777" w:rsidR="00BE49FD" w:rsidRPr="00431227" w:rsidRDefault="00BE49FD" w:rsidP="00BE49FD">
      <w:pPr>
        <w:pStyle w:val="ListParagraph"/>
        <w:numPr>
          <w:ilvl w:val="0"/>
          <w:numId w:val="40"/>
        </w:numPr>
        <w:spacing w:after="0" w:line="360" w:lineRule="auto"/>
        <w:jc w:val="both"/>
        <w:rPr>
          <w:rFonts w:ascii="Garamond" w:hAnsi="Garamond"/>
          <w:sz w:val="24"/>
          <w:szCs w:val="24"/>
        </w:rPr>
      </w:pPr>
      <w:r w:rsidRPr="00431227">
        <w:rPr>
          <w:rFonts w:ascii="Garamond" w:hAnsi="Garamond"/>
          <w:sz w:val="24"/>
          <w:szCs w:val="24"/>
        </w:rPr>
        <w:t>Rösch</w:t>
      </w:r>
      <w:r>
        <w:rPr>
          <w:rFonts w:ascii="Garamond" w:hAnsi="Garamond"/>
          <w:sz w:val="24"/>
          <w:szCs w:val="24"/>
        </w:rPr>
        <w:t xml:space="preserve">, C.G. and Kaserer, C. (2013). Market liquidity in the financial crisis: The role of liquidity commonality and flight-to-quality. </w:t>
      </w:r>
      <w:r w:rsidRPr="00431227">
        <w:rPr>
          <w:rFonts w:ascii="Garamond" w:hAnsi="Garamond"/>
          <w:i/>
          <w:sz w:val="24"/>
          <w:szCs w:val="24"/>
        </w:rPr>
        <w:t>Journal of Banking and Finance</w:t>
      </w:r>
      <w:r>
        <w:rPr>
          <w:rFonts w:ascii="Garamond" w:hAnsi="Garamond"/>
          <w:sz w:val="24"/>
          <w:szCs w:val="24"/>
        </w:rPr>
        <w:t>, 37(7), 2284-2302.</w:t>
      </w:r>
    </w:p>
    <w:p w14:paraId="1A354AC9" w14:textId="77777777" w:rsidR="00BE49FD" w:rsidRDefault="00BE49FD" w:rsidP="00BE49FD">
      <w:pPr>
        <w:pStyle w:val="ListParagraph"/>
        <w:numPr>
          <w:ilvl w:val="0"/>
          <w:numId w:val="40"/>
        </w:numPr>
        <w:spacing w:after="0" w:line="360" w:lineRule="auto"/>
        <w:jc w:val="both"/>
        <w:rPr>
          <w:rFonts w:ascii="Garamond" w:hAnsi="Garamond"/>
          <w:sz w:val="24"/>
          <w:szCs w:val="24"/>
        </w:rPr>
      </w:pPr>
      <w:r w:rsidRPr="00BE2865">
        <w:rPr>
          <w:rFonts w:ascii="Garamond" w:hAnsi="Garamond"/>
          <w:sz w:val="24"/>
          <w:szCs w:val="24"/>
        </w:rPr>
        <w:t>Söderberg</w:t>
      </w:r>
      <w:r>
        <w:rPr>
          <w:rFonts w:ascii="Garamond" w:hAnsi="Garamond"/>
          <w:sz w:val="24"/>
          <w:szCs w:val="24"/>
        </w:rPr>
        <w:t xml:space="preserve">, J. (2008). Do macroeconomic variables forecast changes in liquidity? An out-of-sample study on the order-driven stock market in </w:t>
      </w:r>
      <w:smartTag w:uri="urn:schemas-microsoft-com:office:smarttags" w:element="place">
        <w:r>
          <w:rPr>
            <w:rFonts w:ascii="Garamond" w:hAnsi="Garamond"/>
            <w:sz w:val="24"/>
            <w:szCs w:val="24"/>
          </w:rPr>
          <w:t>Scandinavia</w:t>
        </w:r>
      </w:smartTag>
      <w:r>
        <w:rPr>
          <w:rFonts w:ascii="Garamond" w:hAnsi="Garamond"/>
          <w:sz w:val="24"/>
          <w:szCs w:val="24"/>
        </w:rPr>
        <w:t xml:space="preserve">. </w:t>
      </w:r>
      <w:r w:rsidRPr="00E46409">
        <w:rPr>
          <w:rFonts w:ascii="Garamond" w:hAnsi="Garamond"/>
          <w:i/>
          <w:sz w:val="24"/>
          <w:szCs w:val="24"/>
        </w:rPr>
        <w:t>Working Paper</w:t>
      </w:r>
      <w:r>
        <w:rPr>
          <w:rFonts w:ascii="Garamond" w:hAnsi="Garamond"/>
          <w:sz w:val="24"/>
          <w:szCs w:val="24"/>
        </w:rPr>
        <w:t xml:space="preserve">, </w:t>
      </w:r>
      <w:smartTag w:uri="urn:schemas-microsoft-com:office:smarttags" w:element="place">
        <w:smartTag w:uri="urn:schemas-microsoft-com:office:smarttags" w:element="PlaceName">
          <w:r>
            <w:rPr>
              <w:rFonts w:ascii="Garamond" w:hAnsi="Garamond"/>
              <w:sz w:val="24"/>
              <w:szCs w:val="24"/>
            </w:rPr>
            <w:t>Vaexjoe</w:t>
          </w:r>
        </w:smartTag>
        <w:r>
          <w:rPr>
            <w:rFonts w:ascii="Garamond" w:hAnsi="Garamond"/>
            <w:sz w:val="24"/>
            <w:szCs w:val="24"/>
          </w:rPr>
          <w:t xml:space="preserve"> </w:t>
        </w:r>
        <w:smartTag w:uri="urn:schemas-microsoft-com:office:smarttags" w:element="PlaceType">
          <w:r>
            <w:rPr>
              <w:rFonts w:ascii="Garamond" w:hAnsi="Garamond"/>
              <w:sz w:val="24"/>
              <w:szCs w:val="24"/>
            </w:rPr>
            <w:t>University</w:t>
          </w:r>
        </w:smartTag>
      </w:smartTag>
      <w:r>
        <w:rPr>
          <w:rFonts w:ascii="Garamond" w:hAnsi="Garamond"/>
          <w:sz w:val="24"/>
          <w:szCs w:val="24"/>
        </w:rPr>
        <w:t>.</w:t>
      </w:r>
    </w:p>
    <w:p w14:paraId="0982C788" w14:textId="77777777" w:rsidR="00BE49FD" w:rsidRPr="006001F7"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Spilimbergo, A., Symanky, S., Blanchard, O. and Cotelli, C. (2009). Fiscal policy for the crisis. </w:t>
      </w:r>
      <w:r w:rsidRPr="00E46409">
        <w:rPr>
          <w:rFonts w:ascii="Garamond" w:hAnsi="Garamond"/>
          <w:i/>
          <w:sz w:val="24"/>
          <w:szCs w:val="24"/>
        </w:rPr>
        <w:t>IMF Staff Position Note</w:t>
      </w:r>
      <w:r>
        <w:rPr>
          <w:rFonts w:ascii="Garamond" w:hAnsi="Garamond"/>
          <w:sz w:val="24"/>
          <w:szCs w:val="24"/>
        </w:rPr>
        <w:t xml:space="preserve"> No. 2008/01.</w:t>
      </w:r>
    </w:p>
    <w:p w14:paraId="792D5CF5"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Tagkalakis, A. (2011). Fiscal policy and financial market movements. </w:t>
      </w:r>
      <w:r w:rsidRPr="00B000E5">
        <w:rPr>
          <w:rFonts w:ascii="Garamond" w:hAnsi="Garamond"/>
          <w:i/>
          <w:sz w:val="24"/>
          <w:szCs w:val="24"/>
        </w:rPr>
        <w:t>Journal of Banking and Finance</w:t>
      </w:r>
      <w:r>
        <w:rPr>
          <w:rFonts w:ascii="Garamond" w:hAnsi="Garamond"/>
          <w:sz w:val="24"/>
          <w:szCs w:val="24"/>
        </w:rPr>
        <w:t>, 35, 231-251.</w:t>
      </w:r>
    </w:p>
    <w:p w14:paraId="5C5417D1" w14:textId="77777777" w:rsidR="00BE49FD" w:rsidRDefault="00BE49FD" w:rsidP="00BE49FD">
      <w:pPr>
        <w:pStyle w:val="ListParagraph"/>
        <w:numPr>
          <w:ilvl w:val="0"/>
          <w:numId w:val="40"/>
        </w:numPr>
        <w:tabs>
          <w:tab w:val="left" w:pos="993"/>
        </w:tabs>
        <w:spacing w:line="360" w:lineRule="auto"/>
        <w:jc w:val="both"/>
        <w:rPr>
          <w:rFonts w:ascii="Garamond" w:hAnsi="Garamond"/>
          <w:sz w:val="24"/>
          <w:szCs w:val="24"/>
        </w:rPr>
      </w:pPr>
      <w:r w:rsidRPr="004C36D4">
        <w:rPr>
          <w:rFonts w:ascii="Garamond" w:hAnsi="Garamond"/>
          <w:i/>
          <w:sz w:val="24"/>
          <w:szCs w:val="24"/>
        </w:rPr>
        <w:t>The Economist</w:t>
      </w:r>
      <w:r>
        <w:rPr>
          <w:rFonts w:ascii="Garamond" w:hAnsi="Garamond"/>
          <w:sz w:val="24"/>
          <w:szCs w:val="24"/>
        </w:rPr>
        <w:t xml:space="preserve">. (2011). Stock market riots in </w:t>
      </w:r>
      <w:smartTag w:uri="urn:schemas-microsoft-com:office:smarttags" w:element="country-region">
        <w:smartTag w:uri="urn:schemas-microsoft-com:office:smarttags" w:element="place">
          <w:r>
            <w:rPr>
              <w:rFonts w:ascii="Garamond" w:hAnsi="Garamond"/>
              <w:sz w:val="24"/>
              <w:szCs w:val="24"/>
            </w:rPr>
            <w:t>Bangladesh</w:t>
          </w:r>
        </w:smartTag>
      </w:smartTag>
      <w:r>
        <w:rPr>
          <w:rFonts w:ascii="Garamond" w:hAnsi="Garamond"/>
          <w:sz w:val="24"/>
          <w:szCs w:val="24"/>
        </w:rPr>
        <w:t xml:space="preserve"> – Fresh innocents to the slaughter. 18 January 2011. Available at: </w:t>
      </w:r>
      <w:r w:rsidRPr="00740A0C">
        <w:rPr>
          <w:rFonts w:ascii="Garamond" w:hAnsi="Garamond"/>
          <w:sz w:val="24"/>
          <w:szCs w:val="24"/>
        </w:rPr>
        <w:t>http://www.economist.com/blogs/banyan</w:t>
      </w:r>
    </w:p>
    <w:p w14:paraId="21228DA9" w14:textId="77777777" w:rsidR="00BE49FD" w:rsidRPr="00740A0C" w:rsidRDefault="00BE49FD" w:rsidP="00BE49FD">
      <w:pPr>
        <w:pStyle w:val="ListParagraph"/>
        <w:tabs>
          <w:tab w:val="left" w:pos="993"/>
        </w:tabs>
        <w:spacing w:line="360" w:lineRule="auto"/>
        <w:jc w:val="both"/>
        <w:rPr>
          <w:rFonts w:ascii="Garamond" w:hAnsi="Garamond"/>
          <w:sz w:val="24"/>
          <w:szCs w:val="24"/>
        </w:rPr>
      </w:pPr>
      <w:r w:rsidRPr="00936FC6">
        <w:rPr>
          <w:rFonts w:ascii="Garamond" w:hAnsi="Garamond"/>
          <w:sz w:val="24"/>
          <w:szCs w:val="24"/>
        </w:rPr>
        <w:t>/2011/01/</w:t>
      </w:r>
      <w:r w:rsidRPr="00740A0C">
        <w:rPr>
          <w:rFonts w:ascii="Garamond" w:hAnsi="Garamond"/>
          <w:sz w:val="24"/>
          <w:szCs w:val="24"/>
        </w:rPr>
        <w:t>stockmarket_riots_bangladesh [Accessed 17 March 2014]</w:t>
      </w:r>
    </w:p>
    <w:p w14:paraId="45A152FA"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UNCTAD, (2014). World investment report – Investing in the SDGs: An action plan. United Nations Conference on Trade and Development. (www.unctad.org) </w:t>
      </w:r>
    </w:p>
    <w:p w14:paraId="58F91EB4"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lastRenderedPageBreak/>
        <w:t xml:space="preserve">Woodford, M. (2011). Simple analytics of the government expenditure multiplier. </w:t>
      </w:r>
      <w:r w:rsidRPr="00D34B2D">
        <w:rPr>
          <w:rFonts w:ascii="Garamond" w:hAnsi="Garamond"/>
          <w:i/>
          <w:sz w:val="24"/>
          <w:szCs w:val="24"/>
        </w:rPr>
        <w:t>American Economic Journal: Macroeconomics</w:t>
      </w:r>
      <w:r>
        <w:rPr>
          <w:rFonts w:ascii="Garamond" w:hAnsi="Garamond"/>
          <w:i/>
          <w:sz w:val="24"/>
          <w:szCs w:val="24"/>
        </w:rPr>
        <w:t>,</w:t>
      </w:r>
      <w:r>
        <w:rPr>
          <w:rFonts w:ascii="Garamond" w:hAnsi="Garamond"/>
          <w:sz w:val="24"/>
          <w:szCs w:val="24"/>
        </w:rPr>
        <w:t xml:space="preserve"> 3(1), 1-35.</w:t>
      </w:r>
    </w:p>
    <w:p w14:paraId="681BD015" w14:textId="77777777" w:rsidR="00BE49FD" w:rsidRPr="00342053" w:rsidRDefault="00BE49FD" w:rsidP="00BE49FD">
      <w:pPr>
        <w:pStyle w:val="ListParagraph"/>
        <w:numPr>
          <w:ilvl w:val="0"/>
          <w:numId w:val="40"/>
        </w:numPr>
        <w:spacing w:after="0" w:line="360" w:lineRule="auto"/>
        <w:contextualSpacing w:val="0"/>
        <w:jc w:val="both"/>
        <w:rPr>
          <w:rFonts w:ascii="Garamond" w:hAnsi="Garamond"/>
          <w:szCs w:val="24"/>
        </w:rPr>
      </w:pPr>
      <w:r w:rsidRPr="00385B6D">
        <w:rPr>
          <w:rFonts w:ascii="Garamond" w:hAnsi="Garamond"/>
          <w:szCs w:val="24"/>
        </w:rPr>
        <w:t xml:space="preserve">WEO (2015). </w:t>
      </w:r>
      <w:r w:rsidRPr="00385B6D">
        <w:rPr>
          <w:rFonts w:ascii="Garamond" w:hAnsi="Garamond"/>
          <w:i/>
          <w:iCs/>
          <w:szCs w:val="24"/>
        </w:rPr>
        <w:t>Slower growth in emerging markets, a gradual pickup in advance economies</w:t>
      </w:r>
      <w:r w:rsidRPr="00385B6D">
        <w:rPr>
          <w:rFonts w:ascii="Garamond" w:hAnsi="Garamond"/>
          <w:szCs w:val="24"/>
        </w:rPr>
        <w:t>. World Economic Outlook, International Monetary Funds, July Issue.</w:t>
      </w:r>
    </w:p>
    <w:p w14:paraId="0E0A96AA" w14:textId="77777777" w:rsidR="00BE49FD" w:rsidRDefault="00BE49FD" w:rsidP="00BE49FD">
      <w:pPr>
        <w:pStyle w:val="ListParagraph"/>
        <w:numPr>
          <w:ilvl w:val="0"/>
          <w:numId w:val="40"/>
        </w:numPr>
        <w:spacing w:after="0" w:line="360" w:lineRule="auto"/>
        <w:contextualSpacing w:val="0"/>
        <w:jc w:val="both"/>
        <w:rPr>
          <w:rFonts w:ascii="Garamond" w:hAnsi="Garamond"/>
          <w:sz w:val="24"/>
          <w:szCs w:val="24"/>
        </w:rPr>
      </w:pPr>
      <w:r>
        <w:rPr>
          <w:rFonts w:ascii="Garamond" w:hAnsi="Garamond"/>
          <w:sz w:val="24"/>
          <w:szCs w:val="24"/>
        </w:rPr>
        <w:t xml:space="preserve">Yehoue, E.B. (2009). Emerging economy responses to the Global Financial Crisis of 2007-09: An empirical analysis of the liquidity easing measures. </w:t>
      </w:r>
      <w:r w:rsidRPr="008B39D5">
        <w:rPr>
          <w:rFonts w:ascii="Garamond" w:hAnsi="Garamond"/>
          <w:i/>
          <w:sz w:val="24"/>
          <w:szCs w:val="24"/>
        </w:rPr>
        <w:t>IMF Working Paper</w:t>
      </w:r>
      <w:r>
        <w:rPr>
          <w:rFonts w:ascii="Garamond" w:hAnsi="Garamond"/>
          <w:sz w:val="24"/>
          <w:szCs w:val="24"/>
        </w:rPr>
        <w:t>, 9(265), 1-34.</w:t>
      </w:r>
    </w:p>
    <w:p w14:paraId="4742B3DA" w14:textId="77777777" w:rsidR="00BE49FD" w:rsidRDefault="00BE49FD" w:rsidP="00BE49FD">
      <w:pPr>
        <w:pStyle w:val="ListParagraph"/>
        <w:numPr>
          <w:ilvl w:val="0"/>
          <w:numId w:val="40"/>
        </w:numPr>
        <w:spacing w:after="0" w:line="360" w:lineRule="auto"/>
        <w:jc w:val="both"/>
        <w:rPr>
          <w:rFonts w:ascii="Garamond" w:hAnsi="Garamond"/>
          <w:sz w:val="24"/>
          <w:szCs w:val="24"/>
        </w:rPr>
      </w:pPr>
      <w:r>
        <w:rPr>
          <w:rFonts w:ascii="Garamond" w:hAnsi="Garamond"/>
          <w:sz w:val="24"/>
          <w:szCs w:val="24"/>
        </w:rPr>
        <w:t xml:space="preserve">Yeyati, E.L., Horen, N.V. and Schmukler, S.L. (2008). Emerging market liquidity and crisis. </w:t>
      </w:r>
      <w:r w:rsidRPr="005E1C59">
        <w:rPr>
          <w:rFonts w:ascii="Garamond" w:hAnsi="Garamond"/>
          <w:i/>
          <w:sz w:val="24"/>
          <w:szCs w:val="24"/>
        </w:rPr>
        <w:t>Journal of the European Economic Association</w:t>
      </w:r>
      <w:r>
        <w:rPr>
          <w:rFonts w:ascii="Garamond" w:hAnsi="Garamond"/>
          <w:sz w:val="24"/>
          <w:szCs w:val="24"/>
        </w:rPr>
        <w:t>, 6(2-3), 668-682.</w:t>
      </w:r>
    </w:p>
    <w:p w14:paraId="64FA7F98" w14:textId="77777777" w:rsidR="00BE49FD" w:rsidRDefault="00BE49FD" w:rsidP="00BE49FD"/>
    <w:p w14:paraId="4284E725" w14:textId="77777777" w:rsidR="00424000" w:rsidRPr="0073409A" w:rsidRDefault="00424000" w:rsidP="00EE66F9">
      <w:pPr>
        <w:spacing w:line="360" w:lineRule="auto"/>
        <w:jc w:val="both"/>
        <w:rPr>
          <w:rFonts w:ascii="Garamond" w:hAnsi="Garamond"/>
          <w:sz w:val="24"/>
          <w:szCs w:val="24"/>
        </w:rPr>
      </w:pPr>
    </w:p>
    <w:sectPr w:rsidR="00424000" w:rsidRPr="0073409A" w:rsidSect="00940AAF">
      <w:footerReference w:type="default" r:id="rId4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CC020" w14:textId="77777777" w:rsidR="003C00A3" w:rsidRDefault="003C00A3">
      <w:pPr>
        <w:spacing w:after="0" w:line="240" w:lineRule="auto"/>
      </w:pPr>
      <w:r>
        <w:separator/>
      </w:r>
    </w:p>
  </w:endnote>
  <w:endnote w:type="continuationSeparator" w:id="0">
    <w:p w14:paraId="0E147F47" w14:textId="77777777" w:rsidR="003C00A3" w:rsidRDefault="003C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GulliverR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021CF" w14:textId="77777777" w:rsidR="003C00A3" w:rsidRPr="00DC4BC8" w:rsidRDefault="003C00A3">
    <w:pPr>
      <w:pStyle w:val="Footer"/>
      <w:jc w:val="center"/>
      <w:rPr>
        <w:b/>
      </w:rPr>
    </w:pPr>
    <w:r w:rsidRPr="00DC4BC8">
      <w:rPr>
        <w:b/>
      </w:rPr>
      <w:fldChar w:fldCharType="begin"/>
    </w:r>
    <w:r w:rsidRPr="00DC4BC8">
      <w:rPr>
        <w:b/>
      </w:rPr>
      <w:instrText xml:space="preserve"> PAGE   \* MERGEFORMAT </w:instrText>
    </w:r>
    <w:r w:rsidRPr="00DC4BC8">
      <w:rPr>
        <w:b/>
      </w:rPr>
      <w:fldChar w:fldCharType="separate"/>
    </w:r>
    <w:r w:rsidR="007E3C2B">
      <w:rPr>
        <w:b/>
        <w:noProof/>
      </w:rPr>
      <w:t>2</w:t>
    </w:r>
    <w:r w:rsidRPr="00DC4BC8">
      <w:rPr>
        <w:b/>
        <w:noProof/>
      </w:rPr>
      <w:fldChar w:fldCharType="end"/>
    </w:r>
  </w:p>
  <w:p w14:paraId="6D2DB779" w14:textId="77777777" w:rsidR="003C00A3" w:rsidRDefault="003C0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770706"/>
      <w:docPartObj>
        <w:docPartGallery w:val="Page Numbers (Bottom of Page)"/>
        <w:docPartUnique/>
      </w:docPartObj>
    </w:sdtPr>
    <w:sdtEndPr>
      <w:rPr>
        <w:noProof/>
      </w:rPr>
    </w:sdtEndPr>
    <w:sdtContent>
      <w:p w14:paraId="3D471343" w14:textId="77777777" w:rsidR="003C00A3" w:rsidRDefault="003C00A3">
        <w:pPr>
          <w:pStyle w:val="Footer"/>
          <w:jc w:val="center"/>
        </w:pPr>
        <w:r w:rsidRPr="007C2BBF">
          <w:rPr>
            <w:rFonts w:ascii="Garamond" w:hAnsi="Garamond" w:cs="Times New Roman"/>
            <w:sz w:val="24"/>
            <w:szCs w:val="24"/>
          </w:rPr>
          <w:fldChar w:fldCharType="begin"/>
        </w:r>
        <w:r w:rsidRPr="007C2BBF">
          <w:rPr>
            <w:rFonts w:ascii="Garamond" w:hAnsi="Garamond" w:cs="Times New Roman"/>
            <w:sz w:val="24"/>
            <w:szCs w:val="24"/>
          </w:rPr>
          <w:instrText xml:space="preserve"> PAGE   \* MERGEFORMAT </w:instrText>
        </w:r>
        <w:r w:rsidRPr="007C2BBF">
          <w:rPr>
            <w:rFonts w:ascii="Garamond" w:hAnsi="Garamond" w:cs="Times New Roman"/>
            <w:sz w:val="24"/>
            <w:szCs w:val="24"/>
          </w:rPr>
          <w:fldChar w:fldCharType="separate"/>
        </w:r>
        <w:r w:rsidR="007E3C2B">
          <w:rPr>
            <w:rFonts w:ascii="Garamond" w:hAnsi="Garamond" w:cs="Times New Roman"/>
            <w:noProof/>
            <w:sz w:val="24"/>
            <w:szCs w:val="24"/>
          </w:rPr>
          <w:t>53</w:t>
        </w:r>
        <w:r w:rsidRPr="007C2BBF">
          <w:rPr>
            <w:rFonts w:ascii="Garamond" w:hAnsi="Garamond" w:cs="Times New Roman"/>
            <w:noProof/>
            <w:sz w:val="24"/>
            <w:szCs w:val="24"/>
          </w:rPr>
          <w:fldChar w:fldCharType="end"/>
        </w:r>
      </w:p>
    </w:sdtContent>
  </w:sdt>
  <w:p w14:paraId="6ABAC721" w14:textId="77777777" w:rsidR="003C00A3" w:rsidRDefault="003C0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9072A" w14:textId="77777777" w:rsidR="003C00A3" w:rsidRDefault="003C00A3">
      <w:pPr>
        <w:spacing w:after="0" w:line="240" w:lineRule="auto"/>
      </w:pPr>
      <w:r>
        <w:separator/>
      </w:r>
    </w:p>
  </w:footnote>
  <w:footnote w:type="continuationSeparator" w:id="0">
    <w:p w14:paraId="075B6084" w14:textId="77777777" w:rsidR="003C00A3" w:rsidRDefault="003C00A3">
      <w:pPr>
        <w:spacing w:after="0" w:line="240" w:lineRule="auto"/>
      </w:pPr>
      <w:r>
        <w:continuationSeparator/>
      </w:r>
    </w:p>
  </w:footnote>
  <w:footnote w:id="1">
    <w:p w14:paraId="2B424FF5" w14:textId="039CB54E" w:rsidR="003C00A3" w:rsidRPr="003E7D36" w:rsidRDefault="003C00A3" w:rsidP="004971F4">
      <w:pPr>
        <w:pStyle w:val="FootnoteText"/>
        <w:rPr>
          <w:rFonts w:ascii="Times New Roman" w:hAnsi="Times New Roman"/>
          <w:lang w:val="en-GB"/>
        </w:rPr>
      </w:pPr>
      <w:r w:rsidRPr="003E7D36">
        <w:rPr>
          <w:rStyle w:val="FootnoteReference"/>
          <w:rFonts w:ascii="Times New Roman" w:hAnsi="Times New Roman"/>
        </w:rPr>
        <w:footnoteRef/>
      </w:r>
      <w:r w:rsidRPr="003E7D36">
        <w:rPr>
          <w:rFonts w:ascii="Times New Roman" w:hAnsi="Times New Roman"/>
        </w:rPr>
        <w:t xml:space="preserve"> Leeds Business School, Leeds Beckett University, Leeds, LS1 3HE, Phone: 0113</w:t>
      </w:r>
      <w:r>
        <w:rPr>
          <w:rFonts w:ascii="Times New Roman" w:hAnsi="Times New Roman"/>
        </w:rPr>
        <w:t xml:space="preserve"> </w:t>
      </w:r>
      <w:r w:rsidRPr="003E7D36">
        <w:rPr>
          <w:rFonts w:ascii="Times New Roman" w:hAnsi="Times New Roman"/>
        </w:rPr>
        <w:t>812</w:t>
      </w:r>
      <w:r>
        <w:rPr>
          <w:rFonts w:ascii="Times New Roman" w:hAnsi="Times New Roman"/>
        </w:rPr>
        <w:t xml:space="preserve"> </w:t>
      </w:r>
      <w:r w:rsidRPr="003E7D36">
        <w:rPr>
          <w:rFonts w:ascii="Times New Roman" w:hAnsi="Times New Roman"/>
        </w:rPr>
        <w:t>4877, Email: a.chowdhury@leedsbeckett.ac.uk</w:t>
      </w:r>
    </w:p>
  </w:footnote>
  <w:footnote w:id="2">
    <w:p w14:paraId="2A022BDE" w14:textId="1126411D" w:rsidR="003C00A3" w:rsidRPr="003E7D36" w:rsidRDefault="003C00A3" w:rsidP="004971F4">
      <w:pPr>
        <w:pStyle w:val="FootnoteText"/>
        <w:rPr>
          <w:rFonts w:ascii="Times New Roman" w:hAnsi="Times New Roman"/>
        </w:rPr>
      </w:pPr>
      <w:r w:rsidRPr="003E7D36">
        <w:rPr>
          <w:rStyle w:val="FootnoteReference"/>
          <w:rFonts w:ascii="Times New Roman" w:hAnsi="Times New Roman"/>
        </w:rPr>
        <w:footnoteRef/>
      </w:r>
      <w:r w:rsidRPr="003E7D36">
        <w:rPr>
          <w:rFonts w:ascii="Times New Roman" w:hAnsi="Times New Roman"/>
        </w:rPr>
        <w:t xml:space="preserve"> Leeds University Business School, University of Leeds, Leeds, LS2 9JT, Phone: 0113</w:t>
      </w:r>
      <w:r>
        <w:rPr>
          <w:rFonts w:ascii="Times New Roman" w:hAnsi="Times New Roman"/>
        </w:rPr>
        <w:t xml:space="preserve"> </w:t>
      </w:r>
      <w:r w:rsidRPr="003E7D36">
        <w:rPr>
          <w:rFonts w:ascii="Times New Roman" w:hAnsi="Times New Roman"/>
        </w:rPr>
        <w:t>343</w:t>
      </w:r>
      <w:r>
        <w:rPr>
          <w:rFonts w:ascii="Times New Roman" w:hAnsi="Times New Roman"/>
        </w:rPr>
        <w:t xml:space="preserve"> </w:t>
      </w:r>
      <w:r w:rsidRPr="003E7D36">
        <w:rPr>
          <w:rFonts w:ascii="Times New Roman" w:hAnsi="Times New Roman"/>
        </w:rPr>
        <w:t>4505, Email: m.m.uddin@leeds.ac.uk</w:t>
      </w:r>
    </w:p>
  </w:footnote>
  <w:footnote w:id="3">
    <w:p w14:paraId="3059B087" w14:textId="2DE4148E" w:rsidR="003C00A3" w:rsidRPr="003E7D36" w:rsidRDefault="003C00A3" w:rsidP="004971F4">
      <w:pPr>
        <w:pStyle w:val="FootnoteText"/>
        <w:rPr>
          <w:rFonts w:ascii="Times New Roman" w:hAnsi="Times New Roman"/>
          <w:lang w:val="en-GB"/>
        </w:rPr>
      </w:pPr>
      <w:r w:rsidRPr="003E7D36">
        <w:rPr>
          <w:rStyle w:val="FootnoteReference"/>
          <w:rFonts w:ascii="Times New Roman" w:hAnsi="Times New Roman"/>
        </w:rPr>
        <w:footnoteRef/>
      </w:r>
      <w:r w:rsidRPr="003E7D36">
        <w:rPr>
          <w:rFonts w:ascii="Times New Roman" w:hAnsi="Times New Roman"/>
        </w:rPr>
        <w:t xml:space="preserve"> The York Management School, University of York, York, YO10 5DD, Phone: 01904</w:t>
      </w:r>
      <w:r>
        <w:rPr>
          <w:rFonts w:ascii="Times New Roman" w:hAnsi="Times New Roman"/>
        </w:rPr>
        <w:t xml:space="preserve"> 32</w:t>
      </w:r>
      <w:r w:rsidRPr="003E7D36">
        <w:rPr>
          <w:rFonts w:ascii="Times New Roman" w:hAnsi="Times New Roman"/>
        </w:rPr>
        <w:t>5001, Emai</w:t>
      </w:r>
      <w:r>
        <w:rPr>
          <w:rFonts w:ascii="Times New Roman" w:hAnsi="Times New Roman"/>
        </w:rPr>
        <w:t>l</w:t>
      </w:r>
      <w:r w:rsidRPr="003E7D36">
        <w:rPr>
          <w:rFonts w:ascii="Times New Roman" w:hAnsi="Times New Roman"/>
        </w:rPr>
        <w:t>: keith.anderson@york.ac.uk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4FC8"/>
    <w:multiLevelType w:val="hybridMultilevel"/>
    <w:tmpl w:val="F20C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36CD0"/>
    <w:multiLevelType w:val="multilevel"/>
    <w:tmpl w:val="4A44600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9413EF9"/>
    <w:multiLevelType w:val="hybridMultilevel"/>
    <w:tmpl w:val="27F2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8E3F5B"/>
    <w:multiLevelType w:val="multilevel"/>
    <w:tmpl w:val="75C2012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3600888"/>
    <w:multiLevelType w:val="hybridMultilevel"/>
    <w:tmpl w:val="46E4F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693374"/>
    <w:multiLevelType w:val="hybridMultilevel"/>
    <w:tmpl w:val="5290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AC510D"/>
    <w:multiLevelType w:val="multilevel"/>
    <w:tmpl w:val="58CC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787A60"/>
    <w:multiLevelType w:val="hybridMultilevel"/>
    <w:tmpl w:val="C8807FB2"/>
    <w:lvl w:ilvl="0" w:tplc="6ED2C7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3751BF"/>
    <w:multiLevelType w:val="multilevel"/>
    <w:tmpl w:val="BCC206A6"/>
    <w:lvl w:ilvl="0">
      <w:start w:val="7"/>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740390"/>
    <w:multiLevelType w:val="multilevel"/>
    <w:tmpl w:val="C3B47408"/>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0AB0144"/>
    <w:multiLevelType w:val="multilevel"/>
    <w:tmpl w:val="3E56DD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1340066"/>
    <w:multiLevelType w:val="hybridMultilevel"/>
    <w:tmpl w:val="013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BD3708"/>
    <w:multiLevelType w:val="hybridMultilevel"/>
    <w:tmpl w:val="B6AA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6A3EB2"/>
    <w:multiLevelType w:val="hybridMultilevel"/>
    <w:tmpl w:val="C184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FE3AE0"/>
    <w:multiLevelType w:val="hybridMultilevel"/>
    <w:tmpl w:val="CF629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B65F6F"/>
    <w:multiLevelType w:val="multilevel"/>
    <w:tmpl w:val="D966B60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578711B"/>
    <w:multiLevelType w:val="multilevel"/>
    <w:tmpl w:val="C9928D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7D4596"/>
    <w:multiLevelType w:val="multilevel"/>
    <w:tmpl w:val="571C5A6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A510732"/>
    <w:multiLevelType w:val="multilevel"/>
    <w:tmpl w:val="606EB632"/>
    <w:lvl w:ilvl="0">
      <w:start w:val="8"/>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B352526"/>
    <w:multiLevelType w:val="multilevel"/>
    <w:tmpl w:val="AD6A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4B393D"/>
    <w:multiLevelType w:val="multilevel"/>
    <w:tmpl w:val="C95C4170"/>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1">
    <w:nsid w:val="451D3B98"/>
    <w:multiLevelType w:val="multilevel"/>
    <w:tmpl w:val="04767B0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61E2682"/>
    <w:multiLevelType w:val="multilevel"/>
    <w:tmpl w:val="FAF086EC"/>
    <w:lvl w:ilvl="0">
      <w:start w:val="1"/>
      <w:numFmt w:val="decimal"/>
      <w:lvlText w:val="%1"/>
      <w:lvlJc w:val="left"/>
      <w:pPr>
        <w:ind w:left="480" w:hanging="480"/>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473036FB"/>
    <w:multiLevelType w:val="multilevel"/>
    <w:tmpl w:val="D92289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D310754"/>
    <w:multiLevelType w:val="hybridMultilevel"/>
    <w:tmpl w:val="B5CE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C011AE"/>
    <w:multiLevelType w:val="hybridMultilevel"/>
    <w:tmpl w:val="616E2214"/>
    <w:lvl w:ilvl="0" w:tplc="A1969CF2">
      <w:start w:val="1"/>
      <w:numFmt w:val="upp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4F6D4E96"/>
    <w:multiLevelType w:val="multilevel"/>
    <w:tmpl w:val="37365E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57063937"/>
    <w:multiLevelType w:val="hybridMultilevel"/>
    <w:tmpl w:val="9B42C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B67767"/>
    <w:multiLevelType w:val="hybridMultilevel"/>
    <w:tmpl w:val="55A2975C"/>
    <w:lvl w:ilvl="0" w:tplc="47AAC15C">
      <w:start w:val="1"/>
      <w:numFmt w:val="upperLetter"/>
      <w:lvlText w:val="%1."/>
      <w:lvlJc w:val="left"/>
      <w:pPr>
        <w:ind w:left="1800" w:hanging="360"/>
      </w:pPr>
      <w:rPr>
        <w:rFonts w:ascii="Garamond" w:eastAsiaTheme="minorEastAsia" w:hAnsi="Garamond" w:cs="Times New Roman"/>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9CF17B6"/>
    <w:multiLevelType w:val="multilevel"/>
    <w:tmpl w:val="A876471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516EE4"/>
    <w:multiLevelType w:val="hybridMultilevel"/>
    <w:tmpl w:val="A2B21A1A"/>
    <w:lvl w:ilvl="0" w:tplc="96AA761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C73A4F"/>
    <w:multiLevelType w:val="multilevel"/>
    <w:tmpl w:val="3CF4AB6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BE105BE"/>
    <w:multiLevelType w:val="hybridMultilevel"/>
    <w:tmpl w:val="0616EA2C"/>
    <w:lvl w:ilvl="0" w:tplc="EE2CAD7C">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04A4B0E"/>
    <w:multiLevelType w:val="multilevel"/>
    <w:tmpl w:val="07C44F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21B76D3"/>
    <w:multiLevelType w:val="multilevel"/>
    <w:tmpl w:val="8934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480D5D"/>
    <w:multiLevelType w:val="multilevel"/>
    <w:tmpl w:val="95346F58"/>
    <w:lvl w:ilvl="0">
      <w:start w:val="4"/>
      <w:numFmt w:val="decimal"/>
      <w:lvlText w:val="%1"/>
      <w:lvlJc w:val="left"/>
      <w:pPr>
        <w:ind w:left="480" w:hanging="48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nsid w:val="69A82F0E"/>
    <w:multiLevelType w:val="multilevel"/>
    <w:tmpl w:val="E9840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6F6F6C"/>
    <w:multiLevelType w:val="multilevel"/>
    <w:tmpl w:val="7DACBAC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D6F5E45"/>
    <w:multiLevelType w:val="multilevel"/>
    <w:tmpl w:val="85E2BEE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E5677F7"/>
    <w:multiLevelType w:val="multilevel"/>
    <w:tmpl w:val="1DE080D2"/>
    <w:lvl w:ilvl="0">
      <w:start w:val="8"/>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FF4752A"/>
    <w:multiLevelType w:val="multilevel"/>
    <w:tmpl w:val="3FA87F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3"/>
  </w:num>
  <w:num w:numId="2">
    <w:abstractNumId w:val="5"/>
  </w:num>
  <w:num w:numId="3">
    <w:abstractNumId w:val="0"/>
  </w:num>
  <w:num w:numId="4">
    <w:abstractNumId w:val="10"/>
  </w:num>
  <w:num w:numId="5">
    <w:abstractNumId w:val="27"/>
  </w:num>
  <w:num w:numId="6">
    <w:abstractNumId w:val="2"/>
  </w:num>
  <w:num w:numId="7">
    <w:abstractNumId w:val="20"/>
  </w:num>
  <w:num w:numId="8">
    <w:abstractNumId w:val="1"/>
  </w:num>
  <w:num w:numId="9">
    <w:abstractNumId w:val="23"/>
  </w:num>
  <w:num w:numId="10">
    <w:abstractNumId w:val="33"/>
  </w:num>
  <w:num w:numId="11">
    <w:abstractNumId w:val="26"/>
  </w:num>
  <w:num w:numId="12">
    <w:abstractNumId w:val="35"/>
  </w:num>
  <w:num w:numId="13">
    <w:abstractNumId w:val="32"/>
  </w:num>
  <w:num w:numId="14">
    <w:abstractNumId w:val="28"/>
  </w:num>
  <w:num w:numId="15">
    <w:abstractNumId w:val="25"/>
  </w:num>
  <w:num w:numId="16">
    <w:abstractNumId w:val="30"/>
  </w:num>
  <w:num w:numId="17">
    <w:abstractNumId w:val="16"/>
  </w:num>
  <w:num w:numId="18">
    <w:abstractNumId w:val="31"/>
  </w:num>
  <w:num w:numId="19">
    <w:abstractNumId w:val="37"/>
  </w:num>
  <w:num w:numId="20">
    <w:abstractNumId w:val="21"/>
  </w:num>
  <w:num w:numId="21">
    <w:abstractNumId w:val="15"/>
  </w:num>
  <w:num w:numId="22">
    <w:abstractNumId w:val="17"/>
  </w:num>
  <w:num w:numId="23">
    <w:abstractNumId w:val="8"/>
  </w:num>
  <w:num w:numId="24">
    <w:abstractNumId w:val="38"/>
  </w:num>
  <w:num w:numId="25">
    <w:abstractNumId w:val="39"/>
  </w:num>
  <w:num w:numId="26">
    <w:abstractNumId w:val="18"/>
  </w:num>
  <w:num w:numId="27">
    <w:abstractNumId w:val="29"/>
  </w:num>
  <w:num w:numId="28">
    <w:abstractNumId w:val="9"/>
  </w:num>
  <w:num w:numId="29">
    <w:abstractNumId w:val="24"/>
  </w:num>
  <w:num w:numId="30">
    <w:abstractNumId w:val="6"/>
  </w:num>
  <w:num w:numId="31">
    <w:abstractNumId w:val="40"/>
  </w:num>
  <w:num w:numId="32">
    <w:abstractNumId w:val="34"/>
  </w:num>
  <w:num w:numId="33">
    <w:abstractNumId w:val="11"/>
  </w:num>
  <w:num w:numId="34">
    <w:abstractNumId w:val="4"/>
  </w:num>
  <w:num w:numId="35">
    <w:abstractNumId w:val="19"/>
  </w:num>
  <w:num w:numId="36">
    <w:abstractNumId w:val="36"/>
  </w:num>
  <w:num w:numId="37">
    <w:abstractNumId w:val="7"/>
  </w:num>
  <w:num w:numId="38">
    <w:abstractNumId w:val="12"/>
  </w:num>
  <w:num w:numId="39">
    <w:abstractNumId w:val="14"/>
  </w:num>
  <w:num w:numId="40">
    <w:abstractNumId w:val="1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33"/>
    <w:rsid w:val="000029C0"/>
    <w:rsid w:val="00002F15"/>
    <w:rsid w:val="00015638"/>
    <w:rsid w:val="00032393"/>
    <w:rsid w:val="000669FE"/>
    <w:rsid w:val="000806F7"/>
    <w:rsid w:val="00083961"/>
    <w:rsid w:val="000868A8"/>
    <w:rsid w:val="000A26A4"/>
    <w:rsid w:val="000C1043"/>
    <w:rsid w:val="000C574B"/>
    <w:rsid w:val="000E7D1F"/>
    <w:rsid w:val="00116A39"/>
    <w:rsid w:val="00147FDD"/>
    <w:rsid w:val="001608DE"/>
    <w:rsid w:val="001615B7"/>
    <w:rsid w:val="0016349E"/>
    <w:rsid w:val="001A6536"/>
    <w:rsid w:val="001A7FD1"/>
    <w:rsid w:val="001B29BB"/>
    <w:rsid w:val="001C784B"/>
    <w:rsid w:val="001D64A9"/>
    <w:rsid w:val="002022BF"/>
    <w:rsid w:val="00241AE2"/>
    <w:rsid w:val="00280512"/>
    <w:rsid w:val="002A0287"/>
    <w:rsid w:val="002B2C6E"/>
    <w:rsid w:val="002F11D5"/>
    <w:rsid w:val="0030334A"/>
    <w:rsid w:val="003249FA"/>
    <w:rsid w:val="00342053"/>
    <w:rsid w:val="00352201"/>
    <w:rsid w:val="00367D1C"/>
    <w:rsid w:val="003713E9"/>
    <w:rsid w:val="003804EF"/>
    <w:rsid w:val="00381BB9"/>
    <w:rsid w:val="00387C5E"/>
    <w:rsid w:val="003C00A3"/>
    <w:rsid w:val="003C1AFA"/>
    <w:rsid w:val="003C202A"/>
    <w:rsid w:val="003D3551"/>
    <w:rsid w:val="003D65BF"/>
    <w:rsid w:val="003E7D36"/>
    <w:rsid w:val="003F6381"/>
    <w:rsid w:val="0042282E"/>
    <w:rsid w:val="00424000"/>
    <w:rsid w:val="004346D4"/>
    <w:rsid w:val="00441378"/>
    <w:rsid w:val="0044365B"/>
    <w:rsid w:val="00453042"/>
    <w:rsid w:val="00461A2C"/>
    <w:rsid w:val="004971E1"/>
    <w:rsid w:val="004971F4"/>
    <w:rsid w:val="004C09FF"/>
    <w:rsid w:val="004C3FE0"/>
    <w:rsid w:val="004E22DD"/>
    <w:rsid w:val="004F412A"/>
    <w:rsid w:val="0050069B"/>
    <w:rsid w:val="0052607C"/>
    <w:rsid w:val="00544FBC"/>
    <w:rsid w:val="00546456"/>
    <w:rsid w:val="005736C9"/>
    <w:rsid w:val="00577214"/>
    <w:rsid w:val="00581333"/>
    <w:rsid w:val="00581CF2"/>
    <w:rsid w:val="00585172"/>
    <w:rsid w:val="00586DEA"/>
    <w:rsid w:val="00596468"/>
    <w:rsid w:val="005B3807"/>
    <w:rsid w:val="005B3A94"/>
    <w:rsid w:val="005B59D6"/>
    <w:rsid w:val="005D4AEA"/>
    <w:rsid w:val="0060645D"/>
    <w:rsid w:val="006235BB"/>
    <w:rsid w:val="00623A97"/>
    <w:rsid w:val="00624A29"/>
    <w:rsid w:val="0063582B"/>
    <w:rsid w:val="00643676"/>
    <w:rsid w:val="00657969"/>
    <w:rsid w:val="006B4D17"/>
    <w:rsid w:val="006E12DA"/>
    <w:rsid w:val="006F1D71"/>
    <w:rsid w:val="007008F8"/>
    <w:rsid w:val="0070095A"/>
    <w:rsid w:val="00703EAC"/>
    <w:rsid w:val="00716765"/>
    <w:rsid w:val="007213DB"/>
    <w:rsid w:val="007508C4"/>
    <w:rsid w:val="00757ADF"/>
    <w:rsid w:val="00760CAE"/>
    <w:rsid w:val="007B4164"/>
    <w:rsid w:val="007C1EAA"/>
    <w:rsid w:val="007C2BBF"/>
    <w:rsid w:val="007E3C2B"/>
    <w:rsid w:val="00804D60"/>
    <w:rsid w:val="008123CC"/>
    <w:rsid w:val="008264D7"/>
    <w:rsid w:val="00833B70"/>
    <w:rsid w:val="008422FE"/>
    <w:rsid w:val="008460B0"/>
    <w:rsid w:val="00851D97"/>
    <w:rsid w:val="00877B26"/>
    <w:rsid w:val="008837CD"/>
    <w:rsid w:val="008857FE"/>
    <w:rsid w:val="0089431A"/>
    <w:rsid w:val="008A2210"/>
    <w:rsid w:val="008F0CFB"/>
    <w:rsid w:val="00906A02"/>
    <w:rsid w:val="00907C54"/>
    <w:rsid w:val="00917052"/>
    <w:rsid w:val="00935B1F"/>
    <w:rsid w:val="009405DA"/>
    <w:rsid w:val="00940AAF"/>
    <w:rsid w:val="009450F9"/>
    <w:rsid w:val="009531EE"/>
    <w:rsid w:val="009A648B"/>
    <w:rsid w:val="009C4C51"/>
    <w:rsid w:val="009C4EA2"/>
    <w:rsid w:val="009C6191"/>
    <w:rsid w:val="009F5ED5"/>
    <w:rsid w:val="00A055F8"/>
    <w:rsid w:val="00A07320"/>
    <w:rsid w:val="00A129B1"/>
    <w:rsid w:val="00A1608B"/>
    <w:rsid w:val="00A20325"/>
    <w:rsid w:val="00A300CC"/>
    <w:rsid w:val="00A44628"/>
    <w:rsid w:val="00A60DC9"/>
    <w:rsid w:val="00A66A79"/>
    <w:rsid w:val="00A73DC7"/>
    <w:rsid w:val="00A80FCE"/>
    <w:rsid w:val="00AC4EE9"/>
    <w:rsid w:val="00AD337B"/>
    <w:rsid w:val="00AF0E89"/>
    <w:rsid w:val="00AF792F"/>
    <w:rsid w:val="00B22A0C"/>
    <w:rsid w:val="00B276EA"/>
    <w:rsid w:val="00B4773F"/>
    <w:rsid w:val="00B5183D"/>
    <w:rsid w:val="00B571A8"/>
    <w:rsid w:val="00B61039"/>
    <w:rsid w:val="00B6107E"/>
    <w:rsid w:val="00B822A4"/>
    <w:rsid w:val="00B854BC"/>
    <w:rsid w:val="00B90008"/>
    <w:rsid w:val="00BA52EF"/>
    <w:rsid w:val="00BB3529"/>
    <w:rsid w:val="00BC0421"/>
    <w:rsid w:val="00BC28F2"/>
    <w:rsid w:val="00BC5DE7"/>
    <w:rsid w:val="00BC7966"/>
    <w:rsid w:val="00BE38F9"/>
    <w:rsid w:val="00BE49FD"/>
    <w:rsid w:val="00C12806"/>
    <w:rsid w:val="00C31BEA"/>
    <w:rsid w:val="00C537B7"/>
    <w:rsid w:val="00C5381C"/>
    <w:rsid w:val="00C6027D"/>
    <w:rsid w:val="00C60BC1"/>
    <w:rsid w:val="00C648BA"/>
    <w:rsid w:val="00C679C5"/>
    <w:rsid w:val="00C72441"/>
    <w:rsid w:val="00C75399"/>
    <w:rsid w:val="00CB1BD7"/>
    <w:rsid w:val="00CC4B2F"/>
    <w:rsid w:val="00CE1AE8"/>
    <w:rsid w:val="00CE6CCE"/>
    <w:rsid w:val="00D06C71"/>
    <w:rsid w:val="00D10236"/>
    <w:rsid w:val="00D11267"/>
    <w:rsid w:val="00D71887"/>
    <w:rsid w:val="00D74373"/>
    <w:rsid w:val="00D83947"/>
    <w:rsid w:val="00D86FD8"/>
    <w:rsid w:val="00DB1454"/>
    <w:rsid w:val="00DB205C"/>
    <w:rsid w:val="00DB72FC"/>
    <w:rsid w:val="00DC721E"/>
    <w:rsid w:val="00DD2FBC"/>
    <w:rsid w:val="00E27BCE"/>
    <w:rsid w:val="00E46916"/>
    <w:rsid w:val="00E500C6"/>
    <w:rsid w:val="00E51EBC"/>
    <w:rsid w:val="00E54702"/>
    <w:rsid w:val="00E645FE"/>
    <w:rsid w:val="00E72598"/>
    <w:rsid w:val="00E82A35"/>
    <w:rsid w:val="00E94A52"/>
    <w:rsid w:val="00EB3E6C"/>
    <w:rsid w:val="00EC69EF"/>
    <w:rsid w:val="00ED65C4"/>
    <w:rsid w:val="00ED6BE9"/>
    <w:rsid w:val="00EE5F4B"/>
    <w:rsid w:val="00EE66F9"/>
    <w:rsid w:val="00EF2C86"/>
    <w:rsid w:val="00EF426C"/>
    <w:rsid w:val="00F030A1"/>
    <w:rsid w:val="00F04221"/>
    <w:rsid w:val="00F05A67"/>
    <w:rsid w:val="00F16AF0"/>
    <w:rsid w:val="00F61222"/>
    <w:rsid w:val="00F735EA"/>
    <w:rsid w:val="00F86B14"/>
    <w:rsid w:val="00F928DE"/>
    <w:rsid w:val="00FE53B8"/>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58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6F9"/>
    <w:rPr>
      <w:rFonts w:eastAsiaTheme="minorEastAsia"/>
      <w:lang w:eastAsia="en-GB"/>
    </w:rPr>
  </w:style>
  <w:style w:type="paragraph" w:styleId="Heading1">
    <w:name w:val="heading 1"/>
    <w:basedOn w:val="Normal"/>
    <w:next w:val="Normal"/>
    <w:link w:val="Heading1Char"/>
    <w:uiPriority w:val="9"/>
    <w:qFormat/>
    <w:rsid w:val="00EE66F9"/>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E66F9"/>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EE66F9"/>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EE66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E66F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6F9"/>
    <w:rPr>
      <w:rFonts w:ascii="Cambria" w:eastAsia="Times New Roman" w:hAnsi="Cambria" w:cs="Times New Roman"/>
      <w:b/>
      <w:bCs/>
      <w:color w:val="365F91"/>
      <w:sz w:val="28"/>
      <w:szCs w:val="28"/>
      <w:lang w:eastAsia="en-GB"/>
    </w:rPr>
  </w:style>
  <w:style w:type="character" w:customStyle="1" w:styleId="Heading2Char">
    <w:name w:val="Heading 2 Char"/>
    <w:basedOn w:val="DefaultParagraphFont"/>
    <w:link w:val="Heading2"/>
    <w:uiPriority w:val="9"/>
    <w:rsid w:val="00EE66F9"/>
    <w:rPr>
      <w:rFonts w:ascii="Cambria" w:eastAsia="Times New Roman" w:hAnsi="Cambria" w:cs="Times New Roman"/>
      <w:b/>
      <w:bCs/>
      <w:color w:val="4F81BD"/>
      <w:sz w:val="26"/>
      <w:szCs w:val="26"/>
      <w:lang w:eastAsia="en-GB"/>
    </w:rPr>
  </w:style>
  <w:style w:type="character" w:customStyle="1" w:styleId="Heading3Char">
    <w:name w:val="Heading 3 Char"/>
    <w:basedOn w:val="DefaultParagraphFont"/>
    <w:link w:val="Heading3"/>
    <w:uiPriority w:val="9"/>
    <w:rsid w:val="00EE66F9"/>
    <w:rPr>
      <w:rFonts w:ascii="Cambria" w:eastAsia="Times New Roman" w:hAnsi="Cambria" w:cs="Times New Roman"/>
      <w:b/>
      <w:bCs/>
      <w:color w:val="4F81BD"/>
      <w:lang w:eastAsia="en-GB"/>
    </w:rPr>
  </w:style>
  <w:style w:type="character" w:customStyle="1" w:styleId="Heading4Char">
    <w:name w:val="Heading 4 Char"/>
    <w:basedOn w:val="DefaultParagraphFont"/>
    <w:link w:val="Heading4"/>
    <w:uiPriority w:val="9"/>
    <w:rsid w:val="00EE66F9"/>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EE66F9"/>
    <w:rPr>
      <w:rFonts w:asciiTheme="majorHAnsi" w:eastAsiaTheme="majorEastAsia" w:hAnsiTheme="majorHAnsi" w:cstheme="majorBidi"/>
      <w:color w:val="243F60" w:themeColor="accent1" w:themeShade="7F"/>
      <w:lang w:eastAsia="en-GB"/>
    </w:rPr>
  </w:style>
  <w:style w:type="paragraph" w:styleId="ListParagraph">
    <w:name w:val="List Paragraph"/>
    <w:basedOn w:val="Normal"/>
    <w:uiPriority w:val="34"/>
    <w:qFormat/>
    <w:rsid w:val="00EE66F9"/>
    <w:pPr>
      <w:ind w:left="720"/>
      <w:contextualSpacing/>
    </w:pPr>
    <w:rPr>
      <w:lang w:val="en-US" w:eastAsia="en-US"/>
    </w:rPr>
  </w:style>
  <w:style w:type="paragraph" w:styleId="FootnoteText">
    <w:name w:val="footnote text"/>
    <w:basedOn w:val="Normal"/>
    <w:link w:val="FootnoteTextChar"/>
    <w:uiPriority w:val="99"/>
    <w:unhideWhenUsed/>
    <w:rsid w:val="00EE66F9"/>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rsid w:val="00EE66F9"/>
    <w:rPr>
      <w:rFonts w:eastAsiaTheme="minorEastAsia"/>
      <w:sz w:val="20"/>
      <w:szCs w:val="20"/>
      <w:lang w:val="en-US"/>
    </w:rPr>
  </w:style>
  <w:style w:type="character" w:customStyle="1" w:styleId="bd">
    <w:name w:val="bd"/>
    <w:basedOn w:val="DefaultParagraphFont"/>
    <w:rsid w:val="00EE66F9"/>
  </w:style>
  <w:style w:type="character" w:customStyle="1" w:styleId="bl">
    <w:name w:val="bl"/>
    <w:basedOn w:val="DefaultParagraphFont"/>
    <w:rsid w:val="00EE66F9"/>
  </w:style>
  <w:style w:type="character" w:styleId="Strong">
    <w:name w:val="Strong"/>
    <w:basedOn w:val="DefaultParagraphFont"/>
    <w:uiPriority w:val="22"/>
    <w:qFormat/>
    <w:rsid w:val="00EE66F9"/>
    <w:rPr>
      <w:b/>
      <w:bCs/>
    </w:rPr>
  </w:style>
  <w:style w:type="paragraph" w:styleId="BalloonText">
    <w:name w:val="Balloon Text"/>
    <w:basedOn w:val="Normal"/>
    <w:link w:val="BalloonTextChar"/>
    <w:uiPriority w:val="99"/>
    <w:semiHidden/>
    <w:unhideWhenUsed/>
    <w:rsid w:val="00EE66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E66F9"/>
    <w:rPr>
      <w:rFonts w:ascii="Tahoma" w:eastAsia="Times New Roman" w:hAnsi="Tahoma" w:cs="Tahoma"/>
      <w:sz w:val="16"/>
      <w:szCs w:val="16"/>
      <w:lang w:eastAsia="en-GB"/>
    </w:rPr>
  </w:style>
  <w:style w:type="paragraph" w:customStyle="1" w:styleId="Default">
    <w:name w:val="Default"/>
    <w:rsid w:val="00EE66F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CommentTextChar">
    <w:name w:val="Comment Text Char"/>
    <w:basedOn w:val="DefaultParagraphFont"/>
    <w:link w:val="CommentText"/>
    <w:uiPriority w:val="99"/>
    <w:semiHidden/>
    <w:rsid w:val="00EE66F9"/>
    <w:rPr>
      <w:rFonts w:ascii="Calibri" w:eastAsia="Times New Roman" w:hAnsi="Calibri" w:cs="Times New Roman"/>
      <w:sz w:val="20"/>
      <w:szCs w:val="20"/>
      <w:lang w:eastAsia="en-GB"/>
    </w:rPr>
  </w:style>
  <w:style w:type="paragraph" w:styleId="CommentText">
    <w:name w:val="annotation text"/>
    <w:basedOn w:val="Normal"/>
    <w:link w:val="CommentTextChar"/>
    <w:uiPriority w:val="99"/>
    <w:semiHidden/>
    <w:unhideWhenUsed/>
    <w:rsid w:val="00EE66F9"/>
    <w:pPr>
      <w:spacing w:line="240" w:lineRule="auto"/>
    </w:pPr>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EE66F9"/>
    <w:rPr>
      <w:rFonts w:ascii="Calibri" w:eastAsia="Times New Roman"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EE66F9"/>
    <w:rPr>
      <w:b/>
      <w:bCs/>
    </w:rPr>
  </w:style>
  <w:style w:type="paragraph" w:styleId="NormalWeb">
    <w:name w:val="Normal (Web)"/>
    <w:basedOn w:val="Normal"/>
    <w:uiPriority w:val="99"/>
    <w:unhideWhenUsed/>
    <w:rsid w:val="00EE6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66F9"/>
    <w:rPr>
      <w:color w:val="0000FF"/>
      <w:u w:val="single"/>
    </w:rPr>
  </w:style>
  <w:style w:type="paragraph" w:styleId="Title">
    <w:name w:val="Title"/>
    <w:basedOn w:val="Normal"/>
    <w:next w:val="Normal"/>
    <w:link w:val="TitleChar"/>
    <w:uiPriority w:val="10"/>
    <w:qFormat/>
    <w:rsid w:val="00EE66F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EE66F9"/>
    <w:rPr>
      <w:rFonts w:ascii="Cambria" w:eastAsia="Times New Roman" w:hAnsi="Cambria" w:cs="Times New Roman"/>
      <w:color w:val="17365D"/>
      <w:spacing w:val="5"/>
      <w:kern w:val="28"/>
      <w:sz w:val="52"/>
      <w:szCs w:val="52"/>
      <w:lang w:eastAsia="en-GB"/>
    </w:rPr>
  </w:style>
  <w:style w:type="paragraph" w:styleId="Subtitle">
    <w:name w:val="Subtitle"/>
    <w:basedOn w:val="Normal"/>
    <w:next w:val="Normal"/>
    <w:link w:val="SubtitleChar"/>
    <w:uiPriority w:val="11"/>
    <w:qFormat/>
    <w:rsid w:val="00EE66F9"/>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EE66F9"/>
    <w:rPr>
      <w:rFonts w:ascii="Cambria" w:eastAsia="Times New Roman" w:hAnsi="Cambria" w:cs="Times New Roman"/>
      <w:i/>
      <w:iCs/>
      <w:color w:val="4F81BD"/>
      <w:spacing w:val="15"/>
      <w:sz w:val="24"/>
      <w:szCs w:val="24"/>
      <w:lang w:eastAsia="en-GB"/>
    </w:rPr>
  </w:style>
  <w:style w:type="table" w:styleId="TableGrid">
    <w:name w:val="Table Grid"/>
    <w:basedOn w:val="TableNormal"/>
    <w:uiPriority w:val="59"/>
    <w:rsid w:val="00EE66F9"/>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TextChar">
    <w:name w:val="Endnote Text Char"/>
    <w:basedOn w:val="DefaultParagraphFont"/>
    <w:link w:val="EndnoteText"/>
    <w:uiPriority w:val="99"/>
    <w:semiHidden/>
    <w:rsid w:val="00EE66F9"/>
    <w:rPr>
      <w:rFonts w:ascii="Calibri" w:eastAsia="Times New Roman" w:hAnsi="Calibri" w:cs="Times New Roman"/>
      <w:sz w:val="20"/>
      <w:szCs w:val="20"/>
      <w:lang w:eastAsia="en-GB"/>
    </w:rPr>
  </w:style>
  <w:style w:type="paragraph" w:styleId="EndnoteText">
    <w:name w:val="endnote text"/>
    <w:basedOn w:val="Normal"/>
    <w:link w:val="EndnoteTextChar"/>
    <w:uiPriority w:val="99"/>
    <w:semiHidden/>
    <w:unhideWhenUsed/>
    <w:rsid w:val="00EE66F9"/>
    <w:pPr>
      <w:spacing w:after="0" w:line="240" w:lineRule="auto"/>
    </w:pPr>
    <w:rPr>
      <w:rFonts w:ascii="Calibri" w:eastAsia="Times New Roman" w:hAnsi="Calibri" w:cs="Times New Roman"/>
      <w:sz w:val="20"/>
      <w:szCs w:val="20"/>
    </w:rPr>
  </w:style>
  <w:style w:type="paragraph" w:customStyle="1" w:styleId="xl65">
    <w:name w:val="xl65"/>
    <w:basedOn w:val="Normal"/>
    <w:rsid w:val="00EE6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6">
    <w:name w:val="xl66"/>
    <w:basedOn w:val="Normal"/>
    <w:rsid w:val="00EE66F9"/>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7">
    <w:name w:val="xl67"/>
    <w:basedOn w:val="Normal"/>
    <w:rsid w:val="00EE66F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8">
    <w:name w:val="xl68"/>
    <w:basedOn w:val="Normal"/>
    <w:rsid w:val="00EE66F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Normal"/>
    <w:rsid w:val="00EE66F9"/>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Normal"/>
    <w:rsid w:val="00EE66F9"/>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1">
    <w:name w:val="xl71"/>
    <w:basedOn w:val="Normal"/>
    <w:rsid w:val="00EE66F9"/>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Normal"/>
    <w:rsid w:val="00EE66F9"/>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3">
    <w:name w:val="xl73"/>
    <w:basedOn w:val="Normal"/>
    <w:rsid w:val="00EE66F9"/>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Normal"/>
    <w:rsid w:val="00EE66F9"/>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5">
    <w:name w:val="xl75"/>
    <w:basedOn w:val="Normal"/>
    <w:rsid w:val="00EE66F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6">
    <w:name w:val="xl76"/>
    <w:basedOn w:val="Normal"/>
    <w:rsid w:val="00EE66F9"/>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77">
    <w:name w:val="xl77"/>
    <w:basedOn w:val="Normal"/>
    <w:rsid w:val="00EE66F9"/>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8">
    <w:name w:val="xl78"/>
    <w:basedOn w:val="Normal"/>
    <w:rsid w:val="00EE66F9"/>
    <w:pP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9">
    <w:name w:val="xl79"/>
    <w:basedOn w:val="Normal"/>
    <w:rsid w:val="00EE66F9"/>
    <w:pPr>
      <w:spacing w:before="100" w:beforeAutospacing="1" w:after="100" w:afterAutospacing="1" w:line="240" w:lineRule="auto"/>
      <w:jc w:val="right"/>
    </w:pPr>
    <w:rPr>
      <w:rFonts w:ascii="Times New Roman" w:eastAsia="Times New Roman" w:hAnsi="Times New Roman" w:cs="Times New Roman"/>
      <w:b/>
      <w:bCs/>
      <w:color w:val="000000"/>
      <w:sz w:val="16"/>
      <w:szCs w:val="16"/>
    </w:rPr>
  </w:style>
  <w:style w:type="paragraph" w:customStyle="1" w:styleId="xl80">
    <w:name w:val="xl80"/>
    <w:basedOn w:val="Normal"/>
    <w:rsid w:val="00EE66F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1">
    <w:name w:val="xl81"/>
    <w:basedOn w:val="Normal"/>
    <w:rsid w:val="00EE66F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Normal"/>
    <w:rsid w:val="00EE66F9"/>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83">
    <w:name w:val="xl83"/>
    <w:basedOn w:val="Normal"/>
    <w:rsid w:val="00EE66F9"/>
    <w:pPr>
      <w:spacing w:before="100" w:beforeAutospacing="1" w:after="100" w:afterAutospacing="1" w:line="240" w:lineRule="auto"/>
      <w:jc w:val="right"/>
      <w:textAlignment w:val="top"/>
    </w:pPr>
    <w:rPr>
      <w:rFonts w:ascii="Times New Roman" w:eastAsia="Times New Roman" w:hAnsi="Times New Roman" w:cs="Times New Roman"/>
      <w:b/>
      <w:bCs/>
      <w:color w:val="000000"/>
      <w:sz w:val="21"/>
      <w:szCs w:val="21"/>
    </w:rPr>
  </w:style>
  <w:style w:type="paragraph" w:customStyle="1" w:styleId="xl84">
    <w:name w:val="xl84"/>
    <w:basedOn w:val="Normal"/>
    <w:rsid w:val="00EE66F9"/>
    <w:pPr>
      <w:spacing w:before="100" w:beforeAutospacing="1" w:after="100" w:afterAutospacing="1" w:line="240" w:lineRule="auto"/>
      <w:textAlignment w:val="top"/>
    </w:pPr>
    <w:rPr>
      <w:rFonts w:ascii="Times New Roman" w:eastAsia="Times New Roman" w:hAnsi="Times New Roman" w:cs="Times New Roman"/>
      <w:b/>
      <w:bCs/>
      <w:color w:val="000000"/>
      <w:sz w:val="21"/>
      <w:szCs w:val="21"/>
    </w:rPr>
  </w:style>
  <w:style w:type="paragraph" w:customStyle="1" w:styleId="xl85">
    <w:name w:val="xl85"/>
    <w:basedOn w:val="Normal"/>
    <w:rsid w:val="00EE66F9"/>
    <w:pPr>
      <w:spacing w:before="100" w:beforeAutospacing="1" w:after="100" w:afterAutospacing="1" w:line="240" w:lineRule="auto"/>
      <w:jc w:val="right"/>
      <w:textAlignment w:val="top"/>
    </w:pPr>
    <w:rPr>
      <w:rFonts w:ascii="Times New Roman" w:eastAsia="Times New Roman" w:hAnsi="Times New Roman" w:cs="Times New Roman"/>
      <w:b/>
      <w:bCs/>
      <w:color w:val="000000"/>
      <w:sz w:val="20"/>
      <w:szCs w:val="20"/>
    </w:rPr>
  </w:style>
  <w:style w:type="paragraph" w:customStyle="1" w:styleId="xl86">
    <w:name w:val="xl86"/>
    <w:basedOn w:val="Normal"/>
    <w:rsid w:val="00EE66F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87">
    <w:name w:val="xl87"/>
    <w:basedOn w:val="Normal"/>
    <w:rsid w:val="00EE66F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8">
    <w:name w:val="xl88"/>
    <w:basedOn w:val="Normal"/>
    <w:rsid w:val="00EE66F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9">
    <w:name w:val="xl89"/>
    <w:basedOn w:val="Normal"/>
    <w:rsid w:val="00EE66F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Normal"/>
    <w:rsid w:val="00EE66F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EE66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2">
    <w:name w:val="xl92"/>
    <w:basedOn w:val="Normal"/>
    <w:rsid w:val="00EE66F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3">
    <w:name w:val="xl93"/>
    <w:basedOn w:val="Normal"/>
    <w:rsid w:val="00EE66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4">
    <w:name w:val="xl94"/>
    <w:basedOn w:val="Normal"/>
    <w:rsid w:val="00EE6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msonormal115">
    <w:name w:val="msonormal115"/>
    <w:basedOn w:val="Normal"/>
    <w:rsid w:val="00EE6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95">
    <w:name w:val="spelle95"/>
    <w:basedOn w:val="DefaultParagraphFont"/>
    <w:rsid w:val="00EE66F9"/>
  </w:style>
  <w:style w:type="paragraph" w:styleId="Header">
    <w:name w:val="header"/>
    <w:basedOn w:val="Normal"/>
    <w:link w:val="HeaderChar"/>
    <w:uiPriority w:val="99"/>
    <w:unhideWhenUsed/>
    <w:rsid w:val="00EE6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6F9"/>
    <w:rPr>
      <w:rFonts w:eastAsiaTheme="minorEastAsia"/>
      <w:lang w:eastAsia="en-GB"/>
    </w:rPr>
  </w:style>
  <w:style w:type="paragraph" w:styleId="Footer">
    <w:name w:val="footer"/>
    <w:basedOn w:val="Normal"/>
    <w:link w:val="FooterChar"/>
    <w:uiPriority w:val="99"/>
    <w:unhideWhenUsed/>
    <w:rsid w:val="00EE6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6F9"/>
    <w:rPr>
      <w:rFonts w:eastAsiaTheme="minorEastAsia"/>
      <w:lang w:eastAsia="en-GB"/>
    </w:rPr>
  </w:style>
  <w:style w:type="character" w:customStyle="1" w:styleId="citation">
    <w:name w:val="citation"/>
    <w:basedOn w:val="DefaultParagraphFont"/>
    <w:rsid w:val="00EE66F9"/>
  </w:style>
  <w:style w:type="character" w:customStyle="1" w:styleId="printonly">
    <w:name w:val="printonly"/>
    <w:basedOn w:val="DefaultParagraphFont"/>
    <w:rsid w:val="00EE66F9"/>
  </w:style>
  <w:style w:type="character" w:customStyle="1" w:styleId="marginterm">
    <w:name w:val="margin_term"/>
    <w:basedOn w:val="DefaultParagraphFont"/>
    <w:rsid w:val="00EE66F9"/>
  </w:style>
  <w:style w:type="character" w:styleId="Emphasis">
    <w:name w:val="Emphasis"/>
    <w:basedOn w:val="DefaultParagraphFont"/>
    <w:uiPriority w:val="20"/>
    <w:qFormat/>
    <w:rsid w:val="00EE66F9"/>
    <w:rPr>
      <w:i/>
      <w:iCs/>
    </w:rPr>
  </w:style>
  <w:style w:type="character" w:customStyle="1" w:styleId="srtitle">
    <w:name w:val="srtitle"/>
    <w:basedOn w:val="DefaultParagraphFont"/>
    <w:rsid w:val="00EE66F9"/>
  </w:style>
  <w:style w:type="character" w:customStyle="1" w:styleId="ilad">
    <w:name w:val="il_ad"/>
    <w:basedOn w:val="DefaultParagraphFont"/>
    <w:rsid w:val="00EE66F9"/>
  </w:style>
  <w:style w:type="character" w:customStyle="1" w:styleId="initcap">
    <w:name w:val="initcap"/>
    <w:basedOn w:val="DefaultParagraphFont"/>
    <w:rsid w:val="00EE66F9"/>
  </w:style>
  <w:style w:type="character" w:customStyle="1" w:styleId="itxtrst">
    <w:name w:val="itxtrst"/>
    <w:basedOn w:val="DefaultParagraphFont"/>
    <w:rsid w:val="00EE66F9"/>
  </w:style>
  <w:style w:type="character" w:customStyle="1" w:styleId="editsection">
    <w:name w:val="editsection"/>
    <w:basedOn w:val="DefaultParagraphFont"/>
    <w:rsid w:val="00EE66F9"/>
  </w:style>
  <w:style w:type="character" w:customStyle="1" w:styleId="mw-headline">
    <w:name w:val="mw-headline"/>
    <w:basedOn w:val="DefaultParagraphFont"/>
    <w:rsid w:val="00EE66F9"/>
  </w:style>
  <w:style w:type="character" w:customStyle="1" w:styleId="reference-accessdate">
    <w:name w:val="reference-accessdate"/>
    <w:basedOn w:val="DefaultParagraphFont"/>
    <w:rsid w:val="00EE66F9"/>
  </w:style>
  <w:style w:type="character" w:customStyle="1" w:styleId="fakelink">
    <w:name w:val="fakelink"/>
    <w:basedOn w:val="DefaultParagraphFont"/>
    <w:rsid w:val="00EE66F9"/>
  </w:style>
  <w:style w:type="character" w:customStyle="1" w:styleId="reference-text">
    <w:name w:val="reference-text"/>
    <w:basedOn w:val="DefaultParagraphFont"/>
    <w:rsid w:val="00EE66F9"/>
  </w:style>
  <w:style w:type="character" w:customStyle="1" w:styleId="breadcrumbsubjects">
    <w:name w:val="breadcrumb_subjects"/>
    <w:basedOn w:val="DefaultParagraphFont"/>
    <w:rsid w:val="00EE66F9"/>
  </w:style>
  <w:style w:type="character" w:customStyle="1" w:styleId="ampersand">
    <w:name w:val="ampersand"/>
    <w:basedOn w:val="DefaultParagraphFont"/>
    <w:rsid w:val="00EE66F9"/>
  </w:style>
  <w:style w:type="character" w:customStyle="1" w:styleId="volume-value">
    <w:name w:val="volume-value"/>
    <w:basedOn w:val="DefaultParagraphFont"/>
    <w:rsid w:val="00EE66F9"/>
  </w:style>
  <w:style w:type="character" w:customStyle="1" w:styleId="vol-issue-comma">
    <w:name w:val="vol-issue-comma"/>
    <w:basedOn w:val="DefaultParagraphFont"/>
    <w:rsid w:val="00EE66F9"/>
  </w:style>
  <w:style w:type="character" w:customStyle="1" w:styleId="issue-value">
    <w:name w:val="issue-value"/>
    <w:basedOn w:val="DefaultParagraphFont"/>
    <w:rsid w:val="00EE66F9"/>
  </w:style>
  <w:style w:type="character" w:customStyle="1" w:styleId="slug-pages">
    <w:name w:val="slug-pages"/>
    <w:basedOn w:val="DefaultParagraphFont"/>
    <w:rsid w:val="00EE66F9"/>
  </w:style>
  <w:style w:type="character" w:customStyle="1" w:styleId="name">
    <w:name w:val="name"/>
    <w:basedOn w:val="DefaultParagraphFont"/>
    <w:rsid w:val="00EE66F9"/>
  </w:style>
  <w:style w:type="paragraph" w:styleId="TOCHeading">
    <w:name w:val="TOC Heading"/>
    <w:basedOn w:val="Heading1"/>
    <w:next w:val="Normal"/>
    <w:uiPriority w:val="39"/>
    <w:unhideWhenUsed/>
    <w:qFormat/>
    <w:rsid w:val="00EE66F9"/>
    <w:pPr>
      <w:outlineLvl w:val="9"/>
    </w:pPr>
    <w:rPr>
      <w:rFonts w:asciiTheme="majorHAnsi" w:eastAsiaTheme="majorEastAsia" w:hAnsiTheme="majorHAnsi" w:cstheme="majorBidi"/>
      <w:color w:val="365F91" w:themeColor="accent1" w:themeShade="BF"/>
      <w:lang w:val="en-US" w:eastAsia="en-US"/>
    </w:rPr>
  </w:style>
  <w:style w:type="paragraph" w:styleId="TOC2">
    <w:name w:val="toc 2"/>
    <w:basedOn w:val="Normal"/>
    <w:next w:val="Normal"/>
    <w:autoRedefine/>
    <w:uiPriority w:val="39"/>
    <w:unhideWhenUsed/>
    <w:qFormat/>
    <w:rsid w:val="00EE66F9"/>
    <w:pPr>
      <w:spacing w:after="100"/>
      <w:ind w:left="220"/>
    </w:pPr>
    <w:rPr>
      <w:lang w:val="en-US" w:eastAsia="en-US"/>
    </w:rPr>
  </w:style>
  <w:style w:type="paragraph" w:styleId="TOC1">
    <w:name w:val="toc 1"/>
    <w:basedOn w:val="Normal"/>
    <w:next w:val="Normal"/>
    <w:autoRedefine/>
    <w:uiPriority w:val="39"/>
    <w:unhideWhenUsed/>
    <w:qFormat/>
    <w:rsid w:val="00EE66F9"/>
    <w:pPr>
      <w:tabs>
        <w:tab w:val="right" w:leader="dot" w:pos="9016"/>
      </w:tabs>
      <w:spacing w:after="100"/>
    </w:pPr>
    <w:rPr>
      <w:b/>
      <w:noProof/>
      <w:lang w:val="en-US" w:eastAsia="en-US"/>
    </w:rPr>
  </w:style>
  <w:style w:type="paragraph" w:styleId="TOC3">
    <w:name w:val="toc 3"/>
    <w:basedOn w:val="Normal"/>
    <w:next w:val="Normal"/>
    <w:autoRedefine/>
    <w:uiPriority w:val="39"/>
    <w:unhideWhenUsed/>
    <w:qFormat/>
    <w:rsid w:val="00EE66F9"/>
    <w:pPr>
      <w:spacing w:after="100"/>
      <w:ind w:left="440"/>
    </w:pPr>
    <w:rPr>
      <w:lang w:val="en-US" w:eastAsia="en-US"/>
    </w:rPr>
  </w:style>
  <w:style w:type="character" w:customStyle="1" w:styleId="st">
    <w:name w:val="st"/>
    <w:basedOn w:val="DefaultParagraphFont"/>
    <w:rsid w:val="00EE66F9"/>
  </w:style>
  <w:style w:type="character" w:styleId="HTMLCite">
    <w:name w:val="HTML Cite"/>
    <w:basedOn w:val="DefaultParagraphFont"/>
    <w:uiPriority w:val="99"/>
    <w:semiHidden/>
    <w:unhideWhenUsed/>
    <w:rsid w:val="00EE66F9"/>
    <w:rPr>
      <w:i/>
      <w:iCs/>
    </w:rPr>
  </w:style>
  <w:style w:type="character" w:styleId="SubtleEmphasis">
    <w:name w:val="Subtle Emphasis"/>
    <w:basedOn w:val="DefaultParagraphFont"/>
    <w:uiPriority w:val="19"/>
    <w:qFormat/>
    <w:rsid w:val="00EE66F9"/>
    <w:rPr>
      <w:i/>
      <w:iCs/>
      <w:color w:val="808080" w:themeColor="text1" w:themeTint="7F"/>
    </w:rPr>
  </w:style>
  <w:style w:type="paragraph" w:styleId="TOC4">
    <w:name w:val="toc 4"/>
    <w:basedOn w:val="Normal"/>
    <w:next w:val="Normal"/>
    <w:autoRedefine/>
    <w:uiPriority w:val="39"/>
    <w:unhideWhenUsed/>
    <w:rsid w:val="00EE66F9"/>
    <w:pPr>
      <w:spacing w:after="100"/>
      <w:ind w:left="660"/>
    </w:pPr>
  </w:style>
  <w:style w:type="paragraph" w:styleId="TOC5">
    <w:name w:val="toc 5"/>
    <w:basedOn w:val="Normal"/>
    <w:next w:val="Normal"/>
    <w:autoRedefine/>
    <w:uiPriority w:val="39"/>
    <w:unhideWhenUsed/>
    <w:rsid w:val="00EE66F9"/>
    <w:pPr>
      <w:spacing w:after="100"/>
      <w:ind w:left="880"/>
    </w:pPr>
  </w:style>
  <w:style w:type="paragraph" w:styleId="TOC6">
    <w:name w:val="toc 6"/>
    <w:basedOn w:val="Normal"/>
    <w:next w:val="Normal"/>
    <w:autoRedefine/>
    <w:uiPriority w:val="39"/>
    <w:unhideWhenUsed/>
    <w:rsid w:val="00EE66F9"/>
    <w:pPr>
      <w:spacing w:after="100"/>
      <w:ind w:left="1100"/>
    </w:pPr>
  </w:style>
  <w:style w:type="paragraph" w:styleId="TOC7">
    <w:name w:val="toc 7"/>
    <w:basedOn w:val="Normal"/>
    <w:next w:val="Normal"/>
    <w:autoRedefine/>
    <w:uiPriority w:val="39"/>
    <w:unhideWhenUsed/>
    <w:rsid w:val="00EE66F9"/>
    <w:pPr>
      <w:spacing w:after="100"/>
      <w:ind w:left="1320"/>
    </w:pPr>
  </w:style>
  <w:style w:type="paragraph" w:styleId="TOC8">
    <w:name w:val="toc 8"/>
    <w:basedOn w:val="Normal"/>
    <w:next w:val="Normal"/>
    <w:autoRedefine/>
    <w:uiPriority w:val="39"/>
    <w:unhideWhenUsed/>
    <w:rsid w:val="00EE66F9"/>
    <w:pPr>
      <w:spacing w:after="100"/>
      <w:ind w:left="1540"/>
    </w:pPr>
  </w:style>
  <w:style w:type="paragraph" w:styleId="TOC9">
    <w:name w:val="toc 9"/>
    <w:basedOn w:val="Normal"/>
    <w:next w:val="Normal"/>
    <w:autoRedefine/>
    <w:uiPriority w:val="39"/>
    <w:unhideWhenUsed/>
    <w:rsid w:val="00EE66F9"/>
    <w:pPr>
      <w:spacing w:after="100"/>
      <w:ind w:left="1760"/>
    </w:pPr>
  </w:style>
  <w:style w:type="character" w:styleId="CommentReference">
    <w:name w:val="annotation reference"/>
    <w:basedOn w:val="DefaultParagraphFont"/>
    <w:uiPriority w:val="99"/>
    <w:semiHidden/>
    <w:unhideWhenUsed/>
    <w:rsid w:val="00032393"/>
    <w:rPr>
      <w:sz w:val="16"/>
      <w:szCs w:val="16"/>
    </w:rPr>
  </w:style>
  <w:style w:type="character" w:styleId="FootnoteReference">
    <w:name w:val="footnote reference"/>
    <w:basedOn w:val="DefaultParagraphFont"/>
    <w:uiPriority w:val="99"/>
    <w:unhideWhenUsed/>
    <w:rsid w:val="003D3551"/>
    <w:rPr>
      <w:vertAlign w:val="superscript"/>
    </w:rPr>
  </w:style>
  <w:style w:type="character" w:customStyle="1" w:styleId="nlmstring-name">
    <w:name w:val="nlm_string-name"/>
    <w:basedOn w:val="DefaultParagraphFont"/>
    <w:rsid w:val="00B5183D"/>
  </w:style>
  <w:style w:type="character" w:customStyle="1" w:styleId="CommentTextChar1">
    <w:name w:val="Comment Text Char1"/>
    <w:uiPriority w:val="99"/>
    <w:semiHidden/>
    <w:rsid w:val="00BE49FD"/>
    <w:rPr>
      <w:rFonts w:eastAsia="Times New Roman"/>
      <w:sz w:val="20"/>
      <w:szCs w:val="20"/>
      <w:lang w:eastAsia="en-GB"/>
    </w:rPr>
  </w:style>
  <w:style w:type="character" w:customStyle="1" w:styleId="CommentSubjectChar1">
    <w:name w:val="Comment Subject Char1"/>
    <w:uiPriority w:val="99"/>
    <w:semiHidden/>
    <w:rsid w:val="00BE49FD"/>
    <w:rPr>
      <w:rFonts w:eastAsia="Times New Roman"/>
      <w:b/>
      <w:bCs/>
      <w:sz w:val="20"/>
      <w:szCs w:val="20"/>
      <w:lang w:eastAsia="en-GB"/>
    </w:rPr>
  </w:style>
  <w:style w:type="character" w:customStyle="1" w:styleId="EndnoteTextChar1">
    <w:name w:val="Endnote Text Char1"/>
    <w:uiPriority w:val="99"/>
    <w:semiHidden/>
    <w:rsid w:val="00BE49FD"/>
    <w:rPr>
      <w:rFonts w:eastAsia="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6F9"/>
    <w:rPr>
      <w:rFonts w:eastAsiaTheme="minorEastAsia"/>
      <w:lang w:eastAsia="en-GB"/>
    </w:rPr>
  </w:style>
  <w:style w:type="paragraph" w:styleId="Heading1">
    <w:name w:val="heading 1"/>
    <w:basedOn w:val="Normal"/>
    <w:next w:val="Normal"/>
    <w:link w:val="Heading1Char"/>
    <w:uiPriority w:val="9"/>
    <w:qFormat/>
    <w:rsid w:val="00EE66F9"/>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E66F9"/>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EE66F9"/>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EE66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E66F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6F9"/>
    <w:rPr>
      <w:rFonts w:ascii="Cambria" w:eastAsia="Times New Roman" w:hAnsi="Cambria" w:cs="Times New Roman"/>
      <w:b/>
      <w:bCs/>
      <w:color w:val="365F91"/>
      <w:sz w:val="28"/>
      <w:szCs w:val="28"/>
      <w:lang w:eastAsia="en-GB"/>
    </w:rPr>
  </w:style>
  <w:style w:type="character" w:customStyle="1" w:styleId="Heading2Char">
    <w:name w:val="Heading 2 Char"/>
    <w:basedOn w:val="DefaultParagraphFont"/>
    <w:link w:val="Heading2"/>
    <w:uiPriority w:val="9"/>
    <w:rsid w:val="00EE66F9"/>
    <w:rPr>
      <w:rFonts w:ascii="Cambria" w:eastAsia="Times New Roman" w:hAnsi="Cambria" w:cs="Times New Roman"/>
      <w:b/>
      <w:bCs/>
      <w:color w:val="4F81BD"/>
      <w:sz w:val="26"/>
      <w:szCs w:val="26"/>
      <w:lang w:eastAsia="en-GB"/>
    </w:rPr>
  </w:style>
  <w:style w:type="character" w:customStyle="1" w:styleId="Heading3Char">
    <w:name w:val="Heading 3 Char"/>
    <w:basedOn w:val="DefaultParagraphFont"/>
    <w:link w:val="Heading3"/>
    <w:uiPriority w:val="9"/>
    <w:rsid w:val="00EE66F9"/>
    <w:rPr>
      <w:rFonts w:ascii="Cambria" w:eastAsia="Times New Roman" w:hAnsi="Cambria" w:cs="Times New Roman"/>
      <w:b/>
      <w:bCs/>
      <w:color w:val="4F81BD"/>
      <w:lang w:eastAsia="en-GB"/>
    </w:rPr>
  </w:style>
  <w:style w:type="character" w:customStyle="1" w:styleId="Heading4Char">
    <w:name w:val="Heading 4 Char"/>
    <w:basedOn w:val="DefaultParagraphFont"/>
    <w:link w:val="Heading4"/>
    <w:uiPriority w:val="9"/>
    <w:rsid w:val="00EE66F9"/>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EE66F9"/>
    <w:rPr>
      <w:rFonts w:asciiTheme="majorHAnsi" w:eastAsiaTheme="majorEastAsia" w:hAnsiTheme="majorHAnsi" w:cstheme="majorBidi"/>
      <w:color w:val="243F60" w:themeColor="accent1" w:themeShade="7F"/>
      <w:lang w:eastAsia="en-GB"/>
    </w:rPr>
  </w:style>
  <w:style w:type="paragraph" w:styleId="ListParagraph">
    <w:name w:val="List Paragraph"/>
    <w:basedOn w:val="Normal"/>
    <w:uiPriority w:val="34"/>
    <w:qFormat/>
    <w:rsid w:val="00EE66F9"/>
    <w:pPr>
      <w:ind w:left="720"/>
      <w:contextualSpacing/>
    </w:pPr>
    <w:rPr>
      <w:lang w:val="en-US" w:eastAsia="en-US"/>
    </w:rPr>
  </w:style>
  <w:style w:type="paragraph" w:styleId="FootnoteText">
    <w:name w:val="footnote text"/>
    <w:basedOn w:val="Normal"/>
    <w:link w:val="FootnoteTextChar"/>
    <w:uiPriority w:val="99"/>
    <w:unhideWhenUsed/>
    <w:rsid w:val="00EE66F9"/>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rsid w:val="00EE66F9"/>
    <w:rPr>
      <w:rFonts w:eastAsiaTheme="minorEastAsia"/>
      <w:sz w:val="20"/>
      <w:szCs w:val="20"/>
      <w:lang w:val="en-US"/>
    </w:rPr>
  </w:style>
  <w:style w:type="character" w:customStyle="1" w:styleId="bd">
    <w:name w:val="bd"/>
    <w:basedOn w:val="DefaultParagraphFont"/>
    <w:rsid w:val="00EE66F9"/>
  </w:style>
  <w:style w:type="character" w:customStyle="1" w:styleId="bl">
    <w:name w:val="bl"/>
    <w:basedOn w:val="DefaultParagraphFont"/>
    <w:rsid w:val="00EE66F9"/>
  </w:style>
  <w:style w:type="character" w:styleId="Strong">
    <w:name w:val="Strong"/>
    <w:basedOn w:val="DefaultParagraphFont"/>
    <w:uiPriority w:val="22"/>
    <w:qFormat/>
    <w:rsid w:val="00EE66F9"/>
    <w:rPr>
      <w:b/>
      <w:bCs/>
    </w:rPr>
  </w:style>
  <w:style w:type="paragraph" w:styleId="BalloonText">
    <w:name w:val="Balloon Text"/>
    <w:basedOn w:val="Normal"/>
    <w:link w:val="BalloonTextChar"/>
    <w:uiPriority w:val="99"/>
    <w:semiHidden/>
    <w:unhideWhenUsed/>
    <w:rsid w:val="00EE66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E66F9"/>
    <w:rPr>
      <w:rFonts w:ascii="Tahoma" w:eastAsia="Times New Roman" w:hAnsi="Tahoma" w:cs="Tahoma"/>
      <w:sz w:val="16"/>
      <w:szCs w:val="16"/>
      <w:lang w:eastAsia="en-GB"/>
    </w:rPr>
  </w:style>
  <w:style w:type="paragraph" w:customStyle="1" w:styleId="Default">
    <w:name w:val="Default"/>
    <w:rsid w:val="00EE66F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CommentTextChar">
    <w:name w:val="Comment Text Char"/>
    <w:basedOn w:val="DefaultParagraphFont"/>
    <w:link w:val="CommentText"/>
    <w:uiPriority w:val="99"/>
    <w:semiHidden/>
    <w:rsid w:val="00EE66F9"/>
    <w:rPr>
      <w:rFonts w:ascii="Calibri" w:eastAsia="Times New Roman" w:hAnsi="Calibri" w:cs="Times New Roman"/>
      <w:sz w:val="20"/>
      <w:szCs w:val="20"/>
      <w:lang w:eastAsia="en-GB"/>
    </w:rPr>
  </w:style>
  <w:style w:type="paragraph" w:styleId="CommentText">
    <w:name w:val="annotation text"/>
    <w:basedOn w:val="Normal"/>
    <w:link w:val="CommentTextChar"/>
    <w:uiPriority w:val="99"/>
    <w:semiHidden/>
    <w:unhideWhenUsed/>
    <w:rsid w:val="00EE66F9"/>
    <w:pPr>
      <w:spacing w:line="240" w:lineRule="auto"/>
    </w:pPr>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EE66F9"/>
    <w:rPr>
      <w:rFonts w:ascii="Calibri" w:eastAsia="Times New Roman"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EE66F9"/>
    <w:rPr>
      <w:b/>
      <w:bCs/>
    </w:rPr>
  </w:style>
  <w:style w:type="paragraph" w:styleId="NormalWeb">
    <w:name w:val="Normal (Web)"/>
    <w:basedOn w:val="Normal"/>
    <w:uiPriority w:val="99"/>
    <w:unhideWhenUsed/>
    <w:rsid w:val="00EE6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66F9"/>
    <w:rPr>
      <w:color w:val="0000FF"/>
      <w:u w:val="single"/>
    </w:rPr>
  </w:style>
  <w:style w:type="paragraph" w:styleId="Title">
    <w:name w:val="Title"/>
    <w:basedOn w:val="Normal"/>
    <w:next w:val="Normal"/>
    <w:link w:val="TitleChar"/>
    <w:uiPriority w:val="10"/>
    <w:qFormat/>
    <w:rsid w:val="00EE66F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EE66F9"/>
    <w:rPr>
      <w:rFonts w:ascii="Cambria" w:eastAsia="Times New Roman" w:hAnsi="Cambria" w:cs="Times New Roman"/>
      <w:color w:val="17365D"/>
      <w:spacing w:val="5"/>
      <w:kern w:val="28"/>
      <w:sz w:val="52"/>
      <w:szCs w:val="52"/>
      <w:lang w:eastAsia="en-GB"/>
    </w:rPr>
  </w:style>
  <w:style w:type="paragraph" w:styleId="Subtitle">
    <w:name w:val="Subtitle"/>
    <w:basedOn w:val="Normal"/>
    <w:next w:val="Normal"/>
    <w:link w:val="SubtitleChar"/>
    <w:uiPriority w:val="11"/>
    <w:qFormat/>
    <w:rsid w:val="00EE66F9"/>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EE66F9"/>
    <w:rPr>
      <w:rFonts w:ascii="Cambria" w:eastAsia="Times New Roman" w:hAnsi="Cambria" w:cs="Times New Roman"/>
      <w:i/>
      <w:iCs/>
      <w:color w:val="4F81BD"/>
      <w:spacing w:val="15"/>
      <w:sz w:val="24"/>
      <w:szCs w:val="24"/>
      <w:lang w:eastAsia="en-GB"/>
    </w:rPr>
  </w:style>
  <w:style w:type="table" w:styleId="TableGrid">
    <w:name w:val="Table Grid"/>
    <w:basedOn w:val="TableNormal"/>
    <w:uiPriority w:val="59"/>
    <w:rsid w:val="00EE66F9"/>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TextChar">
    <w:name w:val="Endnote Text Char"/>
    <w:basedOn w:val="DefaultParagraphFont"/>
    <w:link w:val="EndnoteText"/>
    <w:uiPriority w:val="99"/>
    <w:semiHidden/>
    <w:rsid w:val="00EE66F9"/>
    <w:rPr>
      <w:rFonts w:ascii="Calibri" w:eastAsia="Times New Roman" w:hAnsi="Calibri" w:cs="Times New Roman"/>
      <w:sz w:val="20"/>
      <w:szCs w:val="20"/>
      <w:lang w:eastAsia="en-GB"/>
    </w:rPr>
  </w:style>
  <w:style w:type="paragraph" w:styleId="EndnoteText">
    <w:name w:val="endnote text"/>
    <w:basedOn w:val="Normal"/>
    <w:link w:val="EndnoteTextChar"/>
    <w:uiPriority w:val="99"/>
    <w:semiHidden/>
    <w:unhideWhenUsed/>
    <w:rsid w:val="00EE66F9"/>
    <w:pPr>
      <w:spacing w:after="0" w:line="240" w:lineRule="auto"/>
    </w:pPr>
    <w:rPr>
      <w:rFonts w:ascii="Calibri" w:eastAsia="Times New Roman" w:hAnsi="Calibri" w:cs="Times New Roman"/>
      <w:sz w:val="20"/>
      <w:szCs w:val="20"/>
    </w:rPr>
  </w:style>
  <w:style w:type="paragraph" w:customStyle="1" w:styleId="xl65">
    <w:name w:val="xl65"/>
    <w:basedOn w:val="Normal"/>
    <w:rsid w:val="00EE6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6">
    <w:name w:val="xl66"/>
    <w:basedOn w:val="Normal"/>
    <w:rsid w:val="00EE66F9"/>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7">
    <w:name w:val="xl67"/>
    <w:basedOn w:val="Normal"/>
    <w:rsid w:val="00EE66F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8">
    <w:name w:val="xl68"/>
    <w:basedOn w:val="Normal"/>
    <w:rsid w:val="00EE66F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Normal"/>
    <w:rsid w:val="00EE66F9"/>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Normal"/>
    <w:rsid w:val="00EE66F9"/>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1">
    <w:name w:val="xl71"/>
    <w:basedOn w:val="Normal"/>
    <w:rsid w:val="00EE66F9"/>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Normal"/>
    <w:rsid w:val="00EE66F9"/>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3">
    <w:name w:val="xl73"/>
    <w:basedOn w:val="Normal"/>
    <w:rsid w:val="00EE66F9"/>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Normal"/>
    <w:rsid w:val="00EE66F9"/>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5">
    <w:name w:val="xl75"/>
    <w:basedOn w:val="Normal"/>
    <w:rsid w:val="00EE66F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6">
    <w:name w:val="xl76"/>
    <w:basedOn w:val="Normal"/>
    <w:rsid w:val="00EE66F9"/>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77">
    <w:name w:val="xl77"/>
    <w:basedOn w:val="Normal"/>
    <w:rsid w:val="00EE66F9"/>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8">
    <w:name w:val="xl78"/>
    <w:basedOn w:val="Normal"/>
    <w:rsid w:val="00EE66F9"/>
    <w:pP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9">
    <w:name w:val="xl79"/>
    <w:basedOn w:val="Normal"/>
    <w:rsid w:val="00EE66F9"/>
    <w:pPr>
      <w:spacing w:before="100" w:beforeAutospacing="1" w:after="100" w:afterAutospacing="1" w:line="240" w:lineRule="auto"/>
      <w:jc w:val="right"/>
    </w:pPr>
    <w:rPr>
      <w:rFonts w:ascii="Times New Roman" w:eastAsia="Times New Roman" w:hAnsi="Times New Roman" w:cs="Times New Roman"/>
      <w:b/>
      <w:bCs/>
      <w:color w:val="000000"/>
      <w:sz w:val="16"/>
      <w:szCs w:val="16"/>
    </w:rPr>
  </w:style>
  <w:style w:type="paragraph" w:customStyle="1" w:styleId="xl80">
    <w:name w:val="xl80"/>
    <w:basedOn w:val="Normal"/>
    <w:rsid w:val="00EE66F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1">
    <w:name w:val="xl81"/>
    <w:basedOn w:val="Normal"/>
    <w:rsid w:val="00EE66F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Normal"/>
    <w:rsid w:val="00EE66F9"/>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83">
    <w:name w:val="xl83"/>
    <w:basedOn w:val="Normal"/>
    <w:rsid w:val="00EE66F9"/>
    <w:pPr>
      <w:spacing w:before="100" w:beforeAutospacing="1" w:after="100" w:afterAutospacing="1" w:line="240" w:lineRule="auto"/>
      <w:jc w:val="right"/>
      <w:textAlignment w:val="top"/>
    </w:pPr>
    <w:rPr>
      <w:rFonts w:ascii="Times New Roman" w:eastAsia="Times New Roman" w:hAnsi="Times New Roman" w:cs="Times New Roman"/>
      <w:b/>
      <w:bCs/>
      <w:color w:val="000000"/>
      <w:sz w:val="21"/>
      <w:szCs w:val="21"/>
    </w:rPr>
  </w:style>
  <w:style w:type="paragraph" w:customStyle="1" w:styleId="xl84">
    <w:name w:val="xl84"/>
    <w:basedOn w:val="Normal"/>
    <w:rsid w:val="00EE66F9"/>
    <w:pPr>
      <w:spacing w:before="100" w:beforeAutospacing="1" w:after="100" w:afterAutospacing="1" w:line="240" w:lineRule="auto"/>
      <w:textAlignment w:val="top"/>
    </w:pPr>
    <w:rPr>
      <w:rFonts w:ascii="Times New Roman" w:eastAsia="Times New Roman" w:hAnsi="Times New Roman" w:cs="Times New Roman"/>
      <w:b/>
      <w:bCs/>
      <w:color w:val="000000"/>
      <w:sz w:val="21"/>
      <w:szCs w:val="21"/>
    </w:rPr>
  </w:style>
  <w:style w:type="paragraph" w:customStyle="1" w:styleId="xl85">
    <w:name w:val="xl85"/>
    <w:basedOn w:val="Normal"/>
    <w:rsid w:val="00EE66F9"/>
    <w:pPr>
      <w:spacing w:before="100" w:beforeAutospacing="1" w:after="100" w:afterAutospacing="1" w:line="240" w:lineRule="auto"/>
      <w:jc w:val="right"/>
      <w:textAlignment w:val="top"/>
    </w:pPr>
    <w:rPr>
      <w:rFonts w:ascii="Times New Roman" w:eastAsia="Times New Roman" w:hAnsi="Times New Roman" w:cs="Times New Roman"/>
      <w:b/>
      <w:bCs/>
      <w:color w:val="000000"/>
      <w:sz w:val="20"/>
      <w:szCs w:val="20"/>
    </w:rPr>
  </w:style>
  <w:style w:type="paragraph" w:customStyle="1" w:styleId="xl86">
    <w:name w:val="xl86"/>
    <w:basedOn w:val="Normal"/>
    <w:rsid w:val="00EE66F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87">
    <w:name w:val="xl87"/>
    <w:basedOn w:val="Normal"/>
    <w:rsid w:val="00EE66F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8">
    <w:name w:val="xl88"/>
    <w:basedOn w:val="Normal"/>
    <w:rsid w:val="00EE66F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9">
    <w:name w:val="xl89"/>
    <w:basedOn w:val="Normal"/>
    <w:rsid w:val="00EE66F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Normal"/>
    <w:rsid w:val="00EE66F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EE66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2">
    <w:name w:val="xl92"/>
    <w:basedOn w:val="Normal"/>
    <w:rsid w:val="00EE66F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3">
    <w:name w:val="xl93"/>
    <w:basedOn w:val="Normal"/>
    <w:rsid w:val="00EE66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4">
    <w:name w:val="xl94"/>
    <w:basedOn w:val="Normal"/>
    <w:rsid w:val="00EE6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msonormal115">
    <w:name w:val="msonormal115"/>
    <w:basedOn w:val="Normal"/>
    <w:rsid w:val="00EE6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95">
    <w:name w:val="spelle95"/>
    <w:basedOn w:val="DefaultParagraphFont"/>
    <w:rsid w:val="00EE66F9"/>
  </w:style>
  <w:style w:type="paragraph" w:styleId="Header">
    <w:name w:val="header"/>
    <w:basedOn w:val="Normal"/>
    <w:link w:val="HeaderChar"/>
    <w:uiPriority w:val="99"/>
    <w:unhideWhenUsed/>
    <w:rsid w:val="00EE6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6F9"/>
    <w:rPr>
      <w:rFonts w:eastAsiaTheme="minorEastAsia"/>
      <w:lang w:eastAsia="en-GB"/>
    </w:rPr>
  </w:style>
  <w:style w:type="paragraph" w:styleId="Footer">
    <w:name w:val="footer"/>
    <w:basedOn w:val="Normal"/>
    <w:link w:val="FooterChar"/>
    <w:uiPriority w:val="99"/>
    <w:unhideWhenUsed/>
    <w:rsid w:val="00EE6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6F9"/>
    <w:rPr>
      <w:rFonts w:eastAsiaTheme="minorEastAsia"/>
      <w:lang w:eastAsia="en-GB"/>
    </w:rPr>
  </w:style>
  <w:style w:type="character" w:customStyle="1" w:styleId="citation">
    <w:name w:val="citation"/>
    <w:basedOn w:val="DefaultParagraphFont"/>
    <w:rsid w:val="00EE66F9"/>
  </w:style>
  <w:style w:type="character" w:customStyle="1" w:styleId="printonly">
    <w:name w:val="printonly"/>
    <w:basedOn w:val="DefaultParagraphFont"/>
    <w:rsid w:val="00EE66F9"/>
  </w:style>
  <w:style w:type="character" w:customStyle="1" w:styleId="marginterm">
    <w:name w:val="margin_term"/>
    <w:basedOn w:val="DefaultParagraphFont"/>
    <w:rsid w:val="00EE66F9"/>
  </w:style>
  <w:style w:type="character" w:styleId="Emphasis">
    <w:name w:val="Emphasis"/>
    <w:basedOn w:val="DefaultParagraphFont"/>
    <w:uiPriority w:val="20"/>
    <w:qFormat/>
    <w:rsid w:val="00EE66F9"/>
    <w:rPr>
      <w:i/>
      <w:iCs/>
    </w:rPr>
  </w:style>
  <w:style w:type="character" w:customStyle="1" w:styleId="srtitle">
    <w:name w:val="srtitle"/>
    <w:basedOn w:val="DefaultParagraphFont"/>
    <w:rsid w:val="00EE66F9"/>
  </w:style>
  <w:style w:type="character" w:customStyle="1" w:styleId="ilad">
    <w:name w:val="il_ad"/>
    <w:basedOn w:val="DefaultParagraphFont"/>
    <w:rsid w:val="00EE66F9"/>
  </w:style>
  <w:style w:type="character" w:customStyle="1" w:styleId="initcap">
    <w:name w:val="initcap"/>
    <w:basedOn w:val="DefaultParagraphFont"/>
    <w:rsid w:val="00EE66F9"/>
  </w:style>
  <w:style w:type="character" w:customStyle="1" w:styleId="itxtrst">
    <w:name w:val="itxtrst"/>
    <w:basedOn w:val="DefaultParagraphFont"/>
    <w:rsid w:val="00EE66F9"/>
  </w:style>
  <w:style w:type="character" w:customStyle="1" w:styleId="editsection">
    <w:name w:val="editsection"/>
    <w:basedOn w:val="DefaultParagraphFont"/>
    <w:rsid w:val="00EE66F9"/>
  </w:style>
  <w:style w:type="character" w:customStyle="1" w:styleId="mw-headline">
    <w:name w:val="mw-headline"/>
    <w:basedOn w:val="DefaultParagraphFont"/>
    <w:rsid w:val="00EE66F9"/>
  </w:style>
  <w:style w:type="character" w:customStyle="1" w:styleId="reference-accessdate">
    <w:name w:val="reference-accessdate"/>
    <w:basedOn w:val="DefaultParagraphFont"/>
    <w:rsid w:val="00EE66F9"/>
  </w:style>
  <w:style w:type="character" w:customStyle="1" w:styleId="fakelink">
    <w:name w:val="fakelink"/>
    <w:basedOn w:val="DefaultParagraphFont"/>
    <w:rsid w:val="00EE66F9"/>
  </w:style>
  <w:style w:type="character" w:customStyle="1" w:styleId="reference-text">
    <w:name w:val="reference-text"/>
    <w:basedOn w:val="DefaultParagraphFont"/>
    <w:rsid w:val="00EE66F9"/>
  </w:style>
  <w:style w:type="character" w:customStyle="1" w:styleId="breadcrumbsubjects">
    <w:name w:val="breadcrumb_subjects"/>
    <w:basedOn w:val="DefaultParagraphFont"/>
    <w:rsid w:val="00EE66F9"/>
  </w:style>
  <w:style w:type="character" w:customStyle="1" w:styleId="ampersand">
    <w:name w:val="ampersand"/>
    <w:basedOn w:val="DefaultParagraphFont"/>
    <w:rsid w:val="00EE66F9"/>
  </w:style>
  <w:style w:type="character" w:customStyle="1" w:styleId="volume-value">
    <w:name w:val="volume-value"/>
    <w:basedOn w:val="DefaultParagraphFont"/>
    <w:rsid w:val="00EE66F9"/>
  </w:style>
  <w:style w:type="character" w:customStyle="1" w:styleId="vol-issue-comma">
    <w:name w:val="vol-issue-comma"/>
    <w:basedOn w:val="DefaultParagraphFont"/>
    <w:rsid w:val="00EE66F9"/>
  </w:style>
  <w:style w:type="character" w:customStyle="1" w:styleId="issue-value">
    <w:name w:val="issue-value"/>
    <w:basedOn w:val="DefaultParagraphFont"/>
    <w:rsid w:val="00EE66F9"/>
  </w:style>
  <w:style w:type="character" w:customStyle="1" w:styleId="slug-pages">
    <w:name w:val="slug-pages"/>
    <w:basedOn w:val="DefaultParagraphFont"/>
    <w:rsid w:val="00EE66F9"/>
  </w:style>
  <w:style w:type="character" w:customStyle="1" w:styleId="name">
    <w:name w:val="name"/>
    <w:basedOn w:val="DefaultParagraphFont"/>
    <w:rsid w:val="00EE66F9"/>
  </w:style>
  <w:style w:type="paragraph" w:styleId="TOCHeading">
    <w:name w:val="TOC Heading"/>
    <w:basedOn w:val="Heading1"/>
    <w:next w:val="Normal"/>
    <w:uiPriority w:val="39"/>
    <w:unhideWhenUsed/>
    <w:qFormat/>
    <w:rsid w:val="00EE66F9"/>
    <w:pPr>
      <w:outlineLvl w:val="9"/>
    </w:pPr>
    <w:rPr>
      <w:rFonts w:asciiTheme="majorHAnsi" w:eastAsiaTheme="majorEastAsia" w:hAnsiTheme="majorHAnsi" w:cstheme="majorBidi"/>
      <w:color w:val="365F91" w:themeColor="accent1" w:themeShade="BF"/>
      <w:lang w:val="en-US" w:eastAsia="en-US"/>
    </w:rPr>
  </w:style>
  <w:style w:type="paragraph" w:styleId="TOC2">
    <w:name w:val="toc 2"/>
    <w:basedOn w:val="Normal"/>
    <w:next w:val="Normal"/>
    <w:autoRedefine/>
    <w:uiPriority w:val="39"/>
    <w:unhideWhenUsed/>
    <w:qFormat/>
    <w:rsid w:val="00EE66F9"/>
    <w:pPr>
      <w:spacing w:after="100"/>
      <w:ind w:left="220"/>
    </w:pPr>
    <w:rPr>
      <w:lang w:val="en-US" w:eastAsia="en-US"/>
    </w:rPr>
  </w:style>
  <w:style w:type="paragraph" w:styleId="TOC1">
    <w:name w:val="toc 1"/>
    <w:basedOn w:val="Normal"/>
    <w:next w:val="Normal"/>
    <w:autoRedefine/>
    <w:uiPriority w:val="39"/>
    <w:unhideWhenUsed/>
    <w:qFormat/>
    <w:rsid w:val="00EE66F9"/>
    <w:pPr>
      <w:tabs>
        <w:tab w:val="right" w:leader="dot" w:pos="9016"/>
      </w:tabs>
      <w:spacing w:after="100"/>
    </w:pPr>
    <w:rPr>
      <w:b/>
      <w:noProof/>
      <w:lang w:val="en-US" w:eastAsia="en-US"/>
    </w:rPr>
  </w:style>
  <w:style w:type="paragraph" w:styleId="TOC3">
    <w:name w:val="toc 3"/>
    <w:basedOn w:val="Normal"/>
    <w:next w:val="Normal"/>
    <w:autoRedefine/>
    <w:uiPriority w:val="39"/>
    <w:unhideWhenUsed/>
    <w:qFormat/>
    <w:rsid w:val="00EE66F9"/>
    <w:pPr>
      <w:spacing w:after="100"/>
      <w:ind w:left="440"/>
    </w:pPr>
    <w:rPr>
      <w:lang w:val="en-US" w:eastAsia="en-US"/>
    </w:rPr>
  </w:style>
  <w:style w:type="character" w:customStyle="1" w:styleId="st">
    <w:name w:val="st"/>
    <w:basedOn w:val="DefaultParagraphFont"/>
    <w:rsid w:val="00EE66F9"/>
  </w:style>
  <w:style w:type="character" w:styleId="HTMLCite">
    <w:name w:val="HTML Cite"/>
    <w:basedOn w:val="DefaultParagraphFont"/>
    <w:uiPriority w:val="99"/>
    <w:semiHidden/>
    <w:unhideWhenUsed/>
    <w:rsid w:val="00EE66F9"/>
    <w:rPr>
      <w:i/>
      <w:iCs/>
    </w:rPr>
  </w:style>
  <w:style w:type="character" w:styleId="SubtleEmphasis">
    <w:name w:val="Subtle Emphasis"/>
    <w:basedOn w:val="DefaultParagraphFont"/>
    <w:uiPriority w:val="19"/>
    <w:qFormat/>
    <w:rsid w:val="00EE66F9"/>
    <w:rPr>
      <w:i/>
      <w:iCs/>
      <w:color w:val="808080" w:themeColor="text1" w:themeTint="7F"/>
    </w:rPr>
  </w:style>
  <w:style w:type="paragraph" w:styleId="TOC4">
    <w:name w:val="toc 4"/>
    <w:basedOn w:val="Normal"/>
    <w:next w:val="Normal"/>
    <w:autoRedefine/>
    <w:uiPriority w:val="39"/>
    <w:unhideWhenUsed/>
    <w:rsid w:val="00EE66F9"/>
    <w:pPr>
      <w:spacing w:after="100"/>
      <w:ind w:left="660"/>
    </w:pPr>
  </w:style>
  <w:style w:type="paragraph" w:styleId="TOC5">
    <w:name w:val="toc 5"/>
    <w:basedOn w:val="Normal"/>
    <w:next w:val="Normal"/>
    <w:autoRedefine/>
    <w:uiPriority w:val="39"/>
    <w:unhideWhenUsed/>
    <w:rsid w:val="00EE66F9"/>
    <w:pPr>
      <w:spacing w:after="100"/>
      <w:ind w:left="880"/>
    </w:pPr>
  </w:style>
  <w:style w:type="paragraph" w:styleId="TOC6">
    <w:name w:val="toc 6"/>
    <w:basedOn w:val="Normal"/>
    <w:next w:val="Normal"/>
    <w:autoRedefine/>
    <w:uiPriority w:val="39"/>
    <w:unhideWhenUsed/>
    <w:rsid w:val="00EE66F9"/>
    <w:pPr>
      <w:spacing w:after="100"/>
      <w:ind w:left="1100"/>
    </w:pPr>
  </w:style>
  <w:style w:type="paragraph" w:styleId="TOC7">
    <w:name w:val="toc 7"/>
    <w:basedOn w:val="Normal"/>
    <w:next w:val="Normal"/>
    <w:autoRedefine/>
    <w:uiPriority w:val="39"/>
    <w:unhideWhenUsed/>
    <w:rsid w:val="00EE66F9"/>
    <w:pPr>
      <w:spacing w:after="100"/>
      <w:ind w:left="1320"/>
    </w:pPr>
  </w:style>
  <w:style w:type="paragraph" w:styleId="TOC8">
    <w:name w:val="toc 8"/>
    <w:basedOn w:val="Normal"/>
    <w:next w:val="Normal"/>
    <w:autoRedefine/>
    <w:uiPriority w:val="39"/>
    <w:unhideWhenUsed/>
    <w:rsid w:val="00EE66F9"/>
    <w:pPr>
      <w:spacing w:after="100"/>
      <w:ind w:left="1540"/>
    </w:pPr>
  </w:style>
  <w:style w:type="paragraph" w:styleId="TOC9">
    <w:name w:val="toc 9"/>
    <w:basedOn w:val="Normal"/>
    <w:next w:val="Normal"/>
    <w:autoRedefine/>
    <w:uiPriority w:val="39"/>
    <w:unhideWhenUsed/>
    <w:rsid w:val="00EE66F9"/>
    <w:pPr>
      <w:spacing w:after="100"/>
      <w:ind w:left="1760"/>
    </w:pPr>
  </w:style>
  <w:style w:type="character" w:styleId="CommentReference">
    <w:name w:val="annotation reference"/>
    <w:basedOn w:val="DefaultParagraphFont"/>
    <w:uiPriority w:val="99"/>
    <w:semiHidden/>
    <w:unhideWhenUsed/>
    <w:rsid w:val="00032393"/>
    <w:rPr>
      <w:sz w:val="16"/>
      <w:szCs w:val="16"/>
    </w:rPr>
  </w:style>
  <w:style w:type="character" w:styleId="FootnoteReference">
    <w:name w:val="footnote reference"/>
    <w:basedOn w:val="DefaultParagraphFont"/>
    <w:uiPriority w:val="99"/>
    <w:unhideWhenUsed/>
    <w:rsid w:val="003D3551"/>
    <w:rPr>
      <w:vertAlign w:val="superscript"/>
    </w:rPr>
  </w:style>
  <w:style w:type="character" w:customStyle="1" w:styleId="nlmstring-name">
    <w:name w:val="nlm_string-name"/>
    <w:basedOn w:val="DefaultParagraphFont"/>
    <w:rsid w:val="00B5183D"/>
  </w:style>
  <w:style w:type="character" w:customStyle="1" w:styleId="CommentTextChar1">
    <w:name w:val="Comment Text Char1"/>
    <w:uiPriority w:val="99"/>
    <w:semiHidden/>
    <w:rsid w:val="00BE49FD"/>
    <w:rPr>
      <w:rFonts w:eastAsia="Times New Roman"/>
      <w:sz w:val="20"/>
      <w:szCs w:val="20"/>
      <w:lang w:eastAsia="en-GB"/>
    </w:rPr>
  </w:style>
  <w:style w:type="character" w:customStyle="1" w:styleId="CommentSubjectChar1">
    <w:name w:val="Comment Subject Char1"/>
    <w:uiPriority w:val="99"/>
    <w:semiHidden/>
    <w:rsid w:val="00BE49FD"/>
    <w:rPr>
      <w:rFonts w:eastAsia="Times New Roman"/>
      <w:b/>
      <w:bCs/>
      <w:sz w:val="20"/>
      <w:szCs w:val="20"/>
      <w:lang w:eastAsia="en-GB"/>
    </w:rPr>
  </w:style>
  <w:style w:type="character" w:customStyle="1" w:styleId="EndnoteTextChar1">
    <w:name w:val="Endnote Text Char1"/>
    <w:uiPriority w:val="99"/>
    <w:semiHidden/>
    <w:rsid w:val="00BE49FD"/>
    <w:rPr>
      <w:rFonts w:eastAsia="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B42CBB-BDC2-42C5-AF8C-58D0E5C7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1E36725F.dotm</Template>
  <TotalTime>337</TotalTime>
  <Pages>53</Pages>
  <Words>17654</Words>
  <Characters>100631</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Anup</dc:creator>
  <cp:lastModifiedBy>Keith Anderson</cp:lastModifiedBy>
  <cp:revision>24</cp:revision>
  <dcterms:created xsi:type="dcterms:W3CDTF">2017-03-05T14:42:00Z</dcterms:created>
  <dcterms:modified xsi:type="dcterms:W3CDTF">2017-03-16T11:02:00Z</dcterms:modified>
</cp:coreProperties>
</file>