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2F3D3" w14:textId="77777777" w:rsidR="0033203F" w:rsidRDefault="0033203F" w:rsidP="0033203F">
      <w:pPr>
        <w:rPr>
          <w:b/>
        </w:rPr>
      </w:pPr>
      <w:r w:rsidRPr="00A62C8C">
        <w:rPr>
          <w:b/>
        </w:rPr>
        <w:t xml:space="preserve">Who Bears the Cost of NICE Public Health Recommendations? </w:t>
      </w:r>
    </w:p>
    <w:p w14:paraId="2130D1B3" w14:textId="77777777" w:rsidR="0033203F" w:rsidRDefault="0033203F" w:rsidP="0033203F">
      <w:r>
        <w:t>Sebastian Hinde</w:t>
      </w:r>
      <w:r w:rsidRPr="008D4197">
        <w:rPr>
          <w:vertAlign w:val="superscript"/>
        </w:rPr>
        <w:t>1</w:t>
      </w:r>
      <w:r>
        <w:t>, Anggie</w:t>
      </w:r>
      <w:bookmarkStart w:id="0" w:name="_GoBack"/>
      <w:bookmarkEnd w:id="0"/>
      <w:r>
        <w:t xml:space="preserve"> Wiyani</w:t>
      </w:r>
      <w:r w:rsidRPr="008D4197">
        <w:rPr>
          <w:vertAlign w:val="superscript"/>
        </w:rPr>
        <w:t>2</w:t>
      </w:r>
      <w:r>
        <w:t>, Susan Griffin</w:t>
      </w:r>
      <w:r w:rsidRPr="008D4197">
        <w:rPr>
          <w:vertAlign w:val="superscript"/>
        </w:rPr>
        <w:t>1</w:t>
      </w:r>
      <w:r>
        <w:t>, and Simon Walker</w:t>
      </w:r>
      <w:r w:rsidRPr="008D4197">
        <w:rPr>
          <w:vertAlign w:val="superscript"/>
        </w:rPr>
        <w:t>1</w:t>
      </w:r>
      <w:r>
        <w:t xml:space="preserve"> </w:t>
      </w:r>
    </w:p>
    <w:p w14:paraId="68E99704" w14:textId="77777777" w:rsidR="0033203F" w:rsidRDefault="0033203F" w:rsidP="0033203F">
      <w:r w:rsidRPr="008D4197">
        <w:rPr>
          <w:vertAlign w:val="superscript"/>
        </w:rPr>
        <w:t>1</w:t>
      </w:r>
      <w:r>
        <w:t xml:space="preserve"> Centre for Health Economics, University of York</w:t>
      </w:r>
    </w:p>
    <w:p w14:paraId="6453703C" w14:textId="77777777" w:rsidR="0033203F" w:rsidRDefault="0033203F" w:rsidP="0033203F">
      <w:r w:rsidRPr="008D4197">
        <w:rPr>
          <w:vertAlign w:val="superscript"/>
        </w:rPr>
        <w:t>2</w:t>
      </w:r>
      <w:r>
        <w:t xml:space="preserve"> Unaffiliated</w:t>
      </w:r>
    </w:p>
    <w:p w14:paraId="7DF8DF9C" w14:textId="77777777" w:rsidR="0033203F" w:rsidRDefault="0033203F" w:rsidP="0033203F">
      <w:pPr>
        <w:spacing w:after="0"/>
      </w:pPr>
    </w:p>
    <w:p w14:paraId="70058A55" w14:textId="77777777" w:rsidR="0033203F" w:rsidRDefault="0033203F" w:rsidP="0033203F">
      <w:pPr>
        <w:spacing w:after="0"/>
      </w:pPr>
      <w:r>
        <w:t>Corresponding author:</w:t>
      </w:r>
    </w:p>
    <w:p w14:paraId="1F98C53C" w14:textId="77777777" w:rsidR="0033203F" w:rsidRDefault="0033203F" w:rsidP="0033203F">
      <w:pPr>
        <w:spacing w:after="0"/>
      </w:pPr>
      <w:r>
        <w:t>Sebastian Hinde,</w:t>
      </w:r>
    </w:p>
    <w:p w14:paraId="42D34711" w14:textId="77777777" w:rsidR="0033203F" w:rsidRDefault="0033203F" w:rsidP="0033203F">
      <w:pPr>
        <w:spacing w:after="0"/>
      </w:pPr>
      <w:r>
        <w:t>Centre for Health Economics,</w:t>
      </w:r>
    </w:p>
    <w:p w14:paraId="3E5A40D3" w14:textId="77777777" w:rsidR="0033203F" w:rsidRDefault="0033203F" w:rsidP="0033203F">
      <w:pPr>
        <w:spacing w:after="0"/>
      </w:pPr>
      <w:r>
        <w:t xml:space="preserve">Alcuin ‘A’ Block, </w:t>
      </w:r>
    </w:p>
    <w:p w14:paraId="2775BCD7" w14:textId="77777777" w:rsidR="0033203F" w:rsidRDefault="0033203F" w:rsidP="0033203F">
      <w:pPr>
        <w:spacing w:after="0"/>
      </w:pPr>
      <w:r>
        <w:t>University of York,</w:t>
      </w:r>
    </w:p>
    <w:p w14:paraId="6ADA43F1" w14:textId="77777777" w:rsidR="0033203F" w:rsidRDefault="0033203F" w:rsidP="0033203F">
      <w:pPr>
        <w:spacing w:after="0"/>
      </w:pPr>
      <w:r>
        <w:t>Heslington,</w:t>
      </w:r>
    </w:p>
    <w:p w14:paraId="526D6B76" w14:textId="77777777" w:rsidR="0033203F" w:rsidRDefault="0033203F" w:rsidP="0033203F">
      <w:pPr>
        <w:spacing w:after="0"/>
      </w:pPr>
      <w:r>
        <w:t>North Yorkshire,</w:t>
      </w:r>
    </w:p>
    <w:p w14:paraId="4AC071E5" w14:textId="77777777" w:rsidR="0033203F" w:rsidRDefault="0033203F" w:rsidP="0033203F">
      <w:pPr>
        <w:spacing w:after="0"/>
      </w:pPr>
      <w:r>
        <w:t>YO10 5DD,</w:t>
      </w:r>
    </w:p>
    <w:p w14:paraId="53DE4AD6" w14:textId="77777777" w:rsidR="0033203F" w:rsidRDefault="0033203F" w:rsidP="0033203F">
      <w:pPr>
        <w:spacing w:after="0"/>
      </w:pPr>
      <w:r>
        <w:t>United Kingdom.</w:t>
      </w:r>
    </w:p>
    <w:p w14:paraId="11E9DC1F" w14:textId="77777777" w:rsidR="0033203F" w:rsidRDefault="00697B1E" w:rsidP="0033203F">
      <w:pPr>
        <w:spacing w:after="0"/>
      </w:pPr>
      <w:hyperlink r:id="rId8" w:history="1">
        <w:r w:rsidR="0033203F" w:rsidRPr="000A7DC5">
          <w:rPr>
            <w:rStyle w:val="Hyperlink"/>
          </w:rPr>
          <w:t>Sebastian.hinde@york.ac.uk</w:t>
        </w:r>
      </w:hyperlink>
    </w:p>
    <w:p w14:paraId="53AE45B6" w14:textId="77777777" w:rsidR="0033203F" w:rsidRDefault="0033203F" w:rsidP="0033203F">
      <w:pPr>
        <w:spacing w:after="0"/>
      </w:pPr>
      <w:r>
        <w:t>+44 (0) 1904 321455</w:t>
      </w:r>
    </w:p>
    <w:p w14:paraId="5FB536A6" w14:textId="77777777" w:rsidR="0033203F" w:rsidRDefault="0033203F" w:rsidP="0033203F"/>
    <w:p w14:paraId="45FE6ED9" w14:textId="06A5C09B" w:rsidR="0033203F" w:rsidRDefault="0033203F" w:rsidP="0033203F">
      <w:pPr>
        <w:rPr>
          <w:b/>
        </w:rPr>
      </w:pPr>
      <w:r>
        <w:t xml:space="preserve">Short title: </w:t>
      </w:r>
      <w:r w:rsidRPr="00FD797A">
        <w:t>Cost Burden of NICE PHIAC Recommendations</w:t>
      </w:r>
    </w:p>
    <w:p w14:paraId="3D018284" w14:textId="77777777" w:rsidR="0033203F" w:rsidRDefault="0033203F" w:rsidP="0033203F"/>
    <w:p w14:paraId="06065BEF" w14:textId="6D1C629E" w:rsidR="00C40785" w:rsidRDefault="0033203F" w:rsidP="0033203F">
      <w:r>
        <w:t>Keywords: public health, cost burden, NICE, cross-sectoral, budget constraints</w:t>
      </w:r>
    </w:p>
    <w:p w14:paraId="75002C66" w14:textId="22B43F91" w:rsidR="00C40785" w:rsidRDefault="00C40785" w:rsidP="00C40785"/>
    <w:p w14:paraId="23553D58" w14:textId="77777777" w:rsidR="00C40785" w:rsidRPr="0033203F" w:rsidRDefault="00C40785" w:rsidP="00C40785"/>
    <w:p w14:paraId="181F15BD" w14:textId="77777777" w:rsidR="00C40785" w:rsidRPr="0033203F" w:rsidRDefault="00C40785" w:rsidP="00C40785">
      <w:pPr>
        <w:rPr>
          <w:i/>
        </w:rPr>
      </w:pPr>
      <w:r w:rsidRPr="0033203F">
        <w:rPr>
          <w:i/>
        </w:rPr>
        <w:t>No funding was received for this research, which was conducted as part of Anggie Wiyani’s final dissertation for her MSc in health economics from the University of York (2015-16).</w:t>
      </w:r>
    </w:p>
    <w:p w14:paraId="7B91B30C" w14:textId="77777777" w:rsidR="00C40785" w:rsidRPr="0033203F" w:rsidRDefault="00C40785" w:rsidP="00C40785">
      <w:pPr>
        <w:rPr>
          <w:i/>
        </w:rPr>
      </w:pPr>
      <w:r w:rsidRPr="0033203F">
        <w:rPr>
          <w:i/>
        </w:rPr>
        <w:t>Acknowledgements: The authors would like to thank Prof Mark Sculpher for his advice during the initial outlining of the framework of this study.</w:t>
      </w:r>
    </w:p>
    <w:p w14:paraId="1F8EC6D4" w14:textId="77777777" w:rsidR="00C40785" w:rsidRDefault="00C40785" w:rsidP="00C40785"/>
    <w:p w14:paraId="436E630B" w14:textId="77777777" w:rsidR="00C40785" w:rsidRDefault="00C40785" w:rsidP="00C40785"/>
    <w:p w14:paraId="77F7508D" w14:textId="65DA17DF" w:rsidR="00C40785" w:rsidRDefault="00C40785" w:rsidP="00C40785"/>
    <w:p w14:paraId="7AD2C084" w14:textId="0230877C" w:rsidR="00C40785" w:rsidRDefault="00C40785" w:rsidP="00C40785"/>
    <w:p w14:paraId="1ACA5985" w14:textId="77777777" w:rsidR="0033203F" w:rsidRPr="00C40785" w:rsidRDefault="0033203F" w:rsidP="00C40785">
      <w:pPr>
        <w:sectPr w:rsidR="0033203F" w:rsidRPr="00C40785">
          <w:pgSz w:w="11906" w:h="16838"/>
          <w:pgMar w:top="1440" w:right="1440" w:bottom="1440" w:left="1440" w:header="708" w:footer="708" w:gutter="0"/>
          <w:cols w:space="708"/>
          <w:docGrid w:linePitch="360"/>
        </w:sectPr>
      </w:pPr>
    </w:p>
    <w:p w14:paraId="1642944F" w14:textId="4020CA94" w:rsidR="00D76949" w:rsidRDefault="006F6222" w:rsidP="00E03683">
      <w:pPr>
        <w:spacing w:line="360" w:lineRule="auto"/>
        <w:rPr>
          <w:b/>
        </w:rPr>
      </w:pPr>
      <w:r>
        <w:rPr>
          <w:b/>
        </w:rPr>
        <w:lastRenderedPageBreak/>
        <w:t xml:space="preserve">Abstract </w:t>
      </w:r>
    </w:p>
    <w:p w14:paraId="113DE296" w14:textId="1B47ACC8" w:rsidR="00D1751F" w:rsidRDefault="00D1751F" w:rsidP="00E03683">
      <w:pPr>
        <w:spacing w:line="360" w:lineRule="auto"/>
        <w:rPr>
          <w:b/>
        </w:rPr>
      </w:pPr>
      <w:r>
        <w:rPr>
          <w:b/>
        </w:rPr>
        <w:t>Background</w:t>
      </w:r>
    </w:p>
    <w:p w14:paraId="3F6E5BE9" w14:textId="5E27B350" w:rsidR="00D1751F" w:rsidRDefault="00D1751F" w:rsidP="00D1751F">
      <w:pPr>
        <w:spacing w:line="360" w:lineRule="auto"/>
      </w:pPr>
      <w:r>
        <w:t xml:space="preserve">In the UK, </w:t>
      </w:r>
      <w:r w:rsidR="00F34576">
        <w:t>NICE</w:t>
      </w:r>
      <w:r>
        <w:t xml:space="preserve"> </w:t>
      </w:r>
      <w:r w:rsidR="0033203F">
        <w:t xml:space="preserve">issues </w:t>
      </w:r>
      <w:r>
        <w:t>guidance on</w:t>
      </w:r>
      <w:r w:rsidR="0033203F">
        <w:t xml:space="preserve"> public health</w:t>
      </w:r>
      <w:r>
        <w:t xml:space="preserve"> initiatives.  Failure to </w:t>
      </w:r>
      <w:r w:rsidR="00C63A53">
        <w:t xml:space="preserve">report </w:t>
      </w:r>
      <w:r>
        <w:t xml:space="preserve">which sectors of the economy </w:t>
      </w:r>
      <w:r w:rsidR="00F34576">
        <w:t>are</w:t>
      </w:r>
      <w:r>
        <w:t xml:space="preserve"> affected by </w:t>
      </w:r>
      <w:r w:rsidR="00F34576">
        <w:t xml:space="preserve">their </w:t>
      </w:r>
      <w:r>
        <w:t xml:space="preserve">implementation precludes the appropriate accounting for </w:t>
      </w:r>
      <w:r w:rsidR="00567620">
        <w:t xml:space="preserve">the full </w:t>
      </w:r>
      <w:r>
        <w:t>opportunity costs</w:t>
      </w:r>
      <w:r w:rsidR="00764B36">
        <w:t>, and has the potential to result in erroneous decision making</w:t>
      </w:r>
      <w:r w:rsidR="00C63A53">
        <w:t xml:space="preserve"> and inefficient budget</w:t>
      </w:r>
      <w:r w:rsidR="00567620">
        <w:t>ary</w:t>
      </w:r>
      <w:r w:rsidR="00C63A53">
        <w:t xml:space="preserve"> planning</w:t>
      </w:r>
      <w:r>
        <w:t xml:space="preserve">. </w:t>
      </w:r>
    </w:p>
    <w:p w14:paraId="3B9E647C" w14:textId="62378FB6" w:rsidR="00D1751F" w:rsidRPr="00D1751F" w:rsidRDefault="00D1751F" w:rsidP="00D1751F">
      <w:pPr>
        <w:spacing w:line="360" w:lineRule="auto"/>
        <w:rPr>
          <w:b/>
        </w:rPr>
      </w:pPr>
      <w:r w:rsidRPr="00D1751F">
        <w:rPr>
          <w:b/>
        </w:rPr>
        <w:t>Sources of data</w:t>
      </w:r>
    </w:p>
    <w:p w14:paraId="2ADFAC1B" w14:textId="3416EA44" w:rsidR="00D1751F" w:rsidRDefault="00D1751F" w:rsidP="00D1751F">
      <w:pPr>
        <w:spacing w:line="360" w:lineRule="auto"/>
      </w:pPr>
      <w:r>
        <w:t xml:space="preserve">We reviewed </w:t>
      </w:r>
      <w:r w:rsidR="006443AE">
        <w:t xml:space="preserve">all </w:t>
      </w:r>
      <w:r>
        <w:t>NICE public health guidances</w:t>
      </w:r>
      <w:r w:rsidR="006443AE">
        <w:t xml:space="preserve"> available at the time of research</w:t>
      </w:r>
      <w:r w:rsidR="00F34576">
        <w:t>,</w:t>
      </w:r>
      <w:r>
        <w:t xml:space="preserve"> </w:t>
      </w:r>
      <w:r w:rsidR="00F34576">
        <w:t>categorising</w:t>
      </w:r>
      <w:r>
        <w:t xml:space="preserve"> the sector on which the cost burden of the public health initiatives fall</w:t>
      </w:r>
      <w:r w:rsidR="00F34576">
        <w:t xml:space="preserve"> and the extent to which this burden was estimated</w:t>
      </w:r>
      <w:r>
        <w:t xml:space="preserve">.  </w:t>
      </w:r>
    </w:p>
    <w:p w14:paraId="4681B7A6" w14:textId="08911AD4" w:rsidR="00D1751F" w:rsidRPr="00D1751F" w:rsidRDefault="00D1751F" w:rsidP="00D1751F">
      <w:pPr>
        <w:spacing w:line="360" w:lineRule="auto"/>
        <w:rPr>
          <w:b/>
        </w:rPr>
      </w:pPr>
      <w:r w:rsidRPr="00D1751F">
        <w:rPr>
          <w:b/>
        </w:rPr>
        <w:t>Areas of agreement</w:t>
      </w:r>
    </w:p>
    <w:p w14:paraId="6B21EFCA" w14:textId="43579234" w:rsidR="00D1751F" w:rsidRDefault="00D1751F" w:rsidP="00D1751F">
      <w:pPr>
        <w:spacing w:line="360" w:lineRule="auto"/>
      </w:pPr>
      <w:r>
        <w:t xml:space="preserve">The majority of </w:t>
      </w:r>
      <w:r w:rsidR="00F34576">
        <w:t>guidances</w:t>
      </w:r>
      <w:r>
        <w:t xml:space="preserve"> </w:t>
      </w:r>
      <w:r w:rsidR="00EE1B46">
        <w:t xml:space="preserve">were determined to be associated with a </w:t>
      </w:r>
      <w:r>
        <w:t xml:space="preserve">cost burden on the NHS (n=48) and local authorities’ public health spend (n=47).  </w:t>
      </w:r>
    </w:p>
    <w:p w14:paraId="796F2388" w14:textId="41BEE519" w:rsidR="00D1751F" w:rsidRPr="00D1751F" w:rsidRDefault="00D1751F" w:rsidP="00D1751F">
      <w:pPr>
        <w:spacing w:line="360" w:lineRule="auto"/>
        <w:rPr>
          <w:b/>
        </w:rPr>
      </w:pPr>
      <w:r w:rsidRPr="00D1751F">
        <w:rPr>
          <w:b/>
        </w:rPr>
        <w:t>Areas of controversy</w:t>
      </w:r>
    </w:p>
    <w:p w14:paraId="12E5B60A" w14:textId="4CE9470C" w:rsidR="00D1751F" w:rsidRDefault="00EE1B46" w:rsidP="00D1751F">
      <w:pPr>
        <w:spacing w:line="360" w:lineRule="auto"/>
      </w:pPr>
      <w:r>
        <w:t>Explicit i</w:t>
      </w:r>
      <w:r w:rsidR="00D1751F" w:rsidRPr="00773D58">
        <w:t xml:space="preserve">dentification and </w:t>
      </w:r>
      <w:r w:rsidR="00D1751F">
        <w:t>quantification of cost</w:t>
      </w:r>
      <w:r w:rsidR="00111AF7">
        <w:t xml:space="preserve"> burden</w:t>
      </w:r>
      <w:r w:rsidR="00F34576">
        <w:t xml:space="preserve"> </w:t>
      </w:r>
      <w:r w:rsidR="006443AE">
        <w:t xml:space="preserve">by sector of the economy was </w:t>
      </w:r>
      <w:r w:rsidR="00F34576">
        <w:t xml:space="preserve">reported </w:t>
      </w:r>
      <w:r w:rsidR="00EF602F">
        <w:t>for only</w:t>
      </w:r>
      <w:r w:rsidR="00F34576">
        <w:t xml:space="preserve"> eight guidances</w:t>
      </w:r>
      <w:r w:rsidR="00D1751F">
        <w:t xml:space="preserve">. </w:t>
      </w:r>
    </w:p>
    <w:p w14:paraId="51E615CE" w14:textId="77777777" w:rsidR="00AF21FF" w:rsidRPr="00D1751F" w:rsidRDefault="00AF21FF" w:rsidP="00AF21FF">
      <w:pPr>
        <w:spacing w:line="360" w:lineRule="auto"/>
        <w:rPr>
          <w:b/>
        </w:rPr>
      </w:pPr>
      <w:r w:rsidRPr="00D1751F">
        <w:rPr>
          <w:b/>
        </w:rPr>
        <w:t>Areas</w:t>
      </w:r>
      <w:r>
        <w:rPr>
          <w:b/>
        </w:rPr>
        <w:t xml:space="preserve"> timely for developing research</w:t>
      </w:r>
    </w:p>
    <w:p w14:paraId="02DF63A5" w14:textId="4A96F992" w:rsidR="00AF21FF" w:rsidRDefault="00AF21FF" w:rsidP="00AF21FF">
      <w:pPr>
        <w:spacing w:line="360" w:lineRule="auto"/>
      </w:pPr>
      <w:r>
        <w:t>Future NICE guidance</w:t>
      </w:r>
      <w:r w:rsidR="00F34576">
        <w:t xml:space="preserve"> </w:t>
      </w:r>
      <w:r>
        <w:t xml:space="preserve">should </w:t>
      </w:r>
      <w:r w:rsidR="00F34576">
        <w:t xml:space="preserve">report disaggregated </w:t>
      </w:r>
      <w:r w:rsidRPr="00ED1319">
        <w:t>costs across the sectors where they fall</w:t>
      </w:r>
      <w:r>
        <w:t xml:space="preserve">.  Further research is needed to conceptualise the opportunity cost of financial burdens falling on non-health budgets before optimal decision making in public health is possible. </w:t>
      </w:r>
      <w:r w:rsidRPr="00ED1319">
        <w:t xml:space="preserve"> </w:t>
      </w:r>
    </w:p>
    <w:p w14:paraId="134054C6" w14:textId="77777777" w:rsidR="00D76949" w:rsidRDefault="00D76949" w:rsidP="00E03683">
      <w:pPr>
        <w:spacing w:line="360" w:lineRule="auto"/>
        <w:rPr>
          <w:b/>
        </w:rPr>
      </w:pPr>
    </w:p>
    <w:p w14:paraId="37591E29" w14:textId="77777777" w:rsidR="00DE755C" w:rsidRDefault="00DE755C" w:rsidP="00E03683">
      <w:pPr>
        <w:spacing w:line="360" w:lineRule="auto"/>
        <w:rPr>
          <w:b/>
        </w:rPr>
        <w:sectPr w:rsidR="00DE755C">
          <w:pgSz w:w="11906" w:h="16838"/>
          <w:pgMar w:top="1440" w:right="1440" w:bottom="1440" w:left="1440" w:header="708" w:footer="708" w:gutter="0"/>
          <w:cols w:space="708"/>
          <w:docGrid w:linePitch="360"/>
        </w:sectPr>
      </w:pPr>
    </w:p>
    <w:p w14:paraId="472E6326" w14:textId="69E95D37" w:rsidR="002A685B" w:rsidRDefault="002A685B" w:rsidP="00E03683">
      <w:pPr>
        <w:pStyle w:val="ListParagraph"/>
        <w:numPr>
          <w:ilvl w:val="0"/>
          <w:numId w:val="5"/>
        </w:numPr>
        <w:spacing w:line="360" w:lineRule="auto"/>
      </w:pPr>
      <w:r w:rsidRPr="008129AB">
        <w:rPr>
          <w:b/>
        </w:rPr>
        <w:lastRenderedPageBreak/>
        <w:t>Introduction</w:t>
      </w:r>
    </w:p>
    <w:p w14:paraId="54C642AC" w14:textId="0EE2AA69" w:rsidR="00FF7ACE" w:rsidRDefault="00C037A0" w:rsidP="00FE0411">
      <w:pPr>
        <w:spacing w:line="360" w:lineRule="auto"/>
      </w:pPr>
      <w:r>
        <w:t xml:space="preserve">The </w:t>
      </w:r>
      <w:r w:rsidR="00111AF7">
        <w:t>role</w:t>
      </w:r>
      <w:r w:rsidR="006443AE">
        <w:t xml:space="preserve"> of public health interventions </w:t>
      </w:r>
      <w:r w:rsidR="00111AF7">
        <w:t xml:space="preserve">in improving </w:t>
      </w:r>
      <w:r>
        <w:t>the health of the population</w:t>
      </w:r>
      <w:r w:rsidR="00111AF7">
        <w:t>,</w:t>
      </w:r>
      <w:r>
        <w:t xml:space="preserve"> both now and into the future</w:t>
      </w:r>
      <w:r w:rsidR="00111AF7">
        <w:t>,</w:t>
      </w:r>
      <w:r>
        <w:t xml:space="preserve"> is well </w:t>
      </w:r>
      <w:r w:rsidR="00111AF7">
        <w:t>supported</w:t>
      </w:r>
      <w:r>
        <w:t>, being engrained in both the 2014 NHS Five Year Forward View and the 2012 Health and Social Care Act.  As a means of reducing current ill health and the prevalence of future disease through reduction in known risk factors, such initiatives have been argued to typically be highly cost-effective</w:t>
      </w:r>
      <w:r w:rsidR="00111AF7">
        <w:t>,</w:t>
      </w:r>
      <w:r w:rsidR="00D96804">
        <w:t xml:space="preserve"> addressing </w:t>
      </w:r>
      <w:r w:rsidR="00111AF7">
        <w:t xml:space="preserve">population health challenges in the Western world such as </w:t>
      </w:r>
      <w:r w:rsidR="00D96804">
        <w:t xml:space="preserve">increased cancer incidence and rates of </w:t>
      </w:r>
      <w:r w:rsidR="00111AF7">
        <w:t>diabetes prior to the disease emerging</w:t>
      </w:r>
      <w:r>
        <w:t>.</w:t>
      </w:r>
      <w:r w:rsidR="00697B1E">
        <w:fldChar w:fldCharType="begin"/>
      </w:r>
      <w:r w:rsidR="00697B1E">
        <w:instrText xml:space="preserve"> ADDIN EN.CITE &lt;EndNote&gt;&lt;Cite&gt;&lt;Author&gt;Owen&lt;/Author&gt;&lt;Year&gt;2012&lt;/Year&gt;&lt;RecNum&gt;9&lt;/RecNum&gt;&lt;DisplayText&gt;[1]&lt;/DisplayText&gt;&lt;record&gt;&lt;rec-number&gt;9&lt;/rec-number&gt;&lt;foreign-keys&gt;&lt;key app="EN" db-id="2fw2zxptlpdwexeddtm5prrxpd9w9wds9e2d" timestamp="1393318231"&gt;9&lt;/key&gt;&lt;/foreign-keys&gt;&lt;ref-type name="Journal Article"&gt;17&lt;/ref-type&gt;&lt;contributors&gt;&lt;authors&gt;&lt;author&gt;Owen, L.&lt;/author&gt;&lt;author&gt;Morgan, A.&lt;/author&gt;&lt;author&gt;Fischer, A.&lt;/author&gt;&lt;author&gt;Ellis, S.&lt;/author&gt;&lt;author&gt;Hoy, A.&lt;/author&gt;&lt;author&gt;Kelly, M. P.&lt;/author&gt;&lt;author&gt;Owen, Lesley&lt;/author&gt;&lt;author&gt;Morgan, Antony&lt;/author&gt;&lt;author&gt;Fischer, Alastair&lt;/author&gt;&lt;author&gt;Ellis, Simon&lt;/author&gt;&lt;author&gt;Hoy, Andrew&lt;/author&gt;&lt;author&gt;Kelly, Michael P.&lt;/author&gt;&lt;/authors&gt;&lt;/contributors&gt;&lt;auth-address&gt;Centre for Public Health Excellence, National Institute for Health and Clinical Excellence, London WC1V 6NA, UK. lesley.owen@nice.org.uk&lt;/auth-address&gt;&lt;titles&gt;&lt;title&gt;The cost-effectiveness of public health interventions&lt;/title&gt;&lt;secondary-title&gt;Journal of Public Health&lt;/secondary-title&gt;&lt;/titles&gt;&lt;periodical&gt;&lt;full-title&gt;Journal of Public Health&lt;/full-title&gt;&lt;/periodical&gt;&lt;pages&gt;37-45&lt;/pages&gt;&lt;volume&gt;34&lt;/volume&gt;&lt;number&gt;1&lt;/number&gt;&lt;reprint-edition&gt;NOT IN FILE&lt;/reprint-edition&gt;&lt;keywords&gt;&lt;keyword&gt;$$similar publication&lt;/keyword&gt;&lt;/keywords&gt;&lt;dates&gt;&lt;year&gt;2012&lt;/year&gt;&lt;/dates&gt;&lt;urls&gt;&lt;/urls&gt;&lt;/record&gt;&lt;/Cite&gt;&lt;/EndNote&gt;</w:instrText>
      </w:r>
      <w:r w:rsidR="00697B1E">
        <w:fldChar w:fldCharType="separate"/>
      </w:r>
      <w:r w:rsidR="00697B1E">
        <w:rPr>
          <w:noProof/>
        </w:rPr>
        <w:t>[1]</w:t>
      </w:r>
      <w:r w:rsidR="00697B1E">
        <w:fldChar w:fldCharType="end"/>
      </w:r>
      <w:r w:rsidR="00D96804">
        <w:t xml:space="preserve">  </w:t>
      </w:r>
      <w:r w:rsidR="001568B5">
        <w:t>Unlike medical technologies, public he</w:t>
      </w:r>
      <w:r w:rsidR="00EF602F">
        <w:t>alth</w:t>
      </w:r>
      <w:r w:rsidR="00D96804">
        <w:t xml:space="preserve"> interventions </w:t>
      </w:r>
      <w:r w:rsidR="00EF602F">
        <w:t xml:space="preserve">are </w:t>
      </w:r>
      <w:r w:rsidR="001568B5">
        <w:t>highly</w:t>
      </w:r>
      <w:r w:rsidR="00EF602F">
        <w:t xml:space="preserve"> likely to</w:t>
      </w:r>
      <w:r w:rsidR="00D96804">
        <w:t xml:space="preserve"> impact on the budgets and outcomes</w:t>
      </w:r>
      <w:r w:rsidR="00353C9D">
        <w:t xml:space="preserve"> of interest</w:t>
      </w:r>
      <w:r w:rsidR="00D96804">
        <w:t xml:space="preserve"> of sectors beyond the </w:t>
      </w:r>
      <w:r w:rsidR="002049EA">
        <w:t>health sector</w:t>
      </w:r>
      <w:r w:rsidR="00D96804">
        <w:t>.</w:t>
      </w:r>
      <w:r w:rsidR="00353C9D">
        <w:t xml:space="preserve"> </w:t>
      </w:r>
      <w:r w:rsidR="00EF602F">
        <w:t xml:space="preserve"> </w:t>
      </w:r>
      <w:r w:rsidR="001568B5">
        <w:t>Furthermore, m</w:t>
      </w:r>
      <w:r w:rsidR="00607AD1">
        <w:t xml:space="preserve">any are delivered and funded outside of the health sector, for example with school based campaigns to increase awareness </w:t>
      </w:r>
      <w:r w:rsidR="00FF7ACE">
        <w:t>o</w:t>
      </w:r>
      <w:r w:rsidR="00607AD1">
        <w:t xml:space="preserve">f skin cancer risks or </w:t>
      </w:r>
      <w:r w:rsidR="00FF7ACE">
        <w:t>the introduction</w:t>
      </w:r>
      <w:r w:rsidR="00B54182">
        <w:t xml:space="preserve"> of 20mph speed limits to reduce road traffic accidents.   </w:t>
      </w:r>
      <w:r w:rsidR="008977F7">
        <w:t>Accordingly</w:t>
      </w:r>
      <w:r w:rsidR="00EF602F">
        <w:t xml:space="preserve">, adopting a narrow health sector perspective for the economic evaluation of public health interventions may be insufficient.  </w:t>
      </w:r>
    </w:p>
    <w:p w14:paraId="42292DC3" w14:textId="3A982BD1" w:rsidR="00353C9D" w:rsidRDefault="008977F7" w:rsidP="00FE0411">
      <w:pPr>
        <w:spacing w:line="360" w:lineRule="auto"/>
      </w:pPr>
      <w:r>
        <w:t>It may be as</w:t>
      </w:r>
      <w:r w:rsidR="00451D9A">
        <w:t xml:space="preserve"> a consequence of the relative abundance of economic evaluations of medical interventions </w:t>
      </w:r>
      <w:r>
        <w:t>compared to</w:t>
      </w:r>
      <w:r w:rsidR="00451D9A">
        <w:t xml:space="preserve"> those of public health interventions, </w:t>
      </w:r>
      <w:r>
        <w:t xml:space="preserve">that </w:t>
      </w:r>
      <w:r w:rsidR="00451D9A">
        <w:t>appropriate methods for dealing with impacts</w:t>
      </w:r>
      <w:r w:rsidR="002049EA">
        <w:t xml:space="preserve"> across multiple</w:t>
      </w:r>
      <w:r w:rsidR="00451D9A">
        <w:t xml:space="preserve"> sectors are less well known and less established.  </w:t>
      </w:r>
      <w:r w:rsidR="00353C9D">
        <w:t>A recent review suggested that of 18,743 evaluations listed on the NHS Economic Evaluation Database 15.7% concerned public health initiatives, highlight</w:t>
      </w:r>
      <w:r w:rsidR="00111AF7">
        <w:t>ing</w:t>
      </w:r>
      <w:r w:rsidR="00353C9D">
        <w:t xml:space="preserve"> that man</w:t>
      </w:r>
      <w:r w:rsidR="00353C9D" w:rsidRPr="006F6222">
        <w:t>y of these overlooked costs and outcomes outside of the healthcare setting</w:t>
      </w:r>
      <w:r w:rsidR="00353C9D">
        <w:t xml:space="preserve"> or arbitrarily aggregate</w:t>
      </w:r>
      <w:r w:rsidR="001568B5">
        <w:t>d</w:t>
      </w:r>
      <w:r w:rsidR="00353C9D">
        <w:t xml:space="preserve"> them</w:t>
      </w:r>
      <w:r w:rsidR="00353C9D" w:rsidRPr="006F6222">
        <w:t>.</w:t>
      </w:r>
      <w:r w:rsidR="00697B1E">
        <w:fldChar w:fldCharType="begin"/>
      </w:r>
      <w:r w:rsidR="00697B1E">
        <w:instrText xml:space="preserve"> ADDIN EN.CITE &lt;EndNote&gt;&lt;Cite&gt;&lt;Author&gt;Sculpher&lt;/Author&gt;&lt;Year&gt;2014&lt;/Year&gt;&lt;RecNum&gt;155&lt;/RecNum&gt;&lt;DisplayText&gt;[2]&lt;/DisplayText&gt;&lt;record&gt;&lt;rec-number&gt;155&lt;/rec-number&gt;&lt;foreign-keys&gt;&lt;key app="EN" db-id="2fw2zxptlpdwexeddtm5prrxpd9w9wds9e2d" timestamp="1480523175"&gt;155&lt;/key&gt;&lt;/foreign-keys&gt;&lt;ref-type name="Journal Article"&gt;17&lt;/ref-type&gt;&lt;contributors&gt;&lt;authors&gt;&lt;author&gt;Sculpher, M J,&lt;/author&gt;&lt;author&gt;Walker, S.,&lt;/author&gt;&lt;author&gt;Hinde, S.,&lt;/author&gt;&lt;author&gt;Claxton, K.&lt;/author&gt;&lt;/authors&gt;&lt;/contributors&gt;&lt;titles&gt;&lt;title&gt;Research to inform Resource Allocation in Health and Social Care. Policy Research Unit in Economic Evaluation of Health and Care Interventions&lt;/title&gt;&lt;secondary-title&gt;Universities of Sheffield &amp;amp; York; EEPRU Research Report 017. Policy paper/document published 01/01/2014&lt;/secondary-title&gt;&lt;/titles&gt;&lt;periodical&gt;&lt;full-title&gt;Universities of Sheffield &amp;amp; York; EEPRU Research Report 017. Policy paper/document published 01/01/2014&lt;/full-title&gt;&lt;/periodical&gt;&lt;dates&gt;&lt;year&gt;2014&lt;/year&gt;&lt;/dates&gt;&lt;urls&gt;&lt;/urls&gt;&lt;/record&gt;&lt;/Cite&gt;&lt;/EndNote&gt;</w:instrText>
      </w:r>
      <w:r w:rsidR="00697B1E">
        <w:fldChar w:fldCharType="separate"/>
      </w:r>
      <w:r w:rsidR="00697B1E">
        <w:rPr>
          <w:noProof/>
        </w:rPr>
        <w:t>[2]</w:t>
      </w:r>
      <w:r w:rsidR="00697B1E">
        <w:fldChar w:fldCharType="end"/>
      </w:r>
      <w:r w:rsidR="00353C9D" w:rsidRPr="006F6222">
        <w:t xml:space="preserve"> </w:t>
      </w:r>
      <w:r>
        <w:t>A</w:t>
      </w:r>
      <w:r w:rsidR="00353C9D">
        <w:t xml:space="preserve">ggregation of non-healthcare costs (e.g. to local authorities) with those that fall on the NHS ignores the siloed nature of budgeting within the </w:t>
      </w:r>
      <w:r>
        <w:t>public sector</w:t>
      </w:r>
      <w:r w:rsidR="00111AF7">
        <w:t xml:space="preserve">.  Furthermore, it </w:t>
      </w:r>
      <w:r w:rsidR="00353C9D">
        <w:t xml:space="preserve">fails to reflect the potential differences in the value of what is </w:t>
      </w:r>
      <w:r>
        <w:t>forgone to fund</w:t>
      </w:r>
      <w:r w:rsidR="00353C9D">
        <w:t xml:space="preserve"> new investments or what </w:t>
      </w:r>
      <w:r>
        <w:t>may be</w:t>
      </w:r>
      <w:r w:rsidR="00353C9D">
        <w:t xml:space="preserve"> lost by the removal of current services, </w:t>
      </w:r>
      <w:r>
        <w:t xml:space="preserve">i.e. </w:t>
      </w:r>
      <w:r w:rsidR="00353C9D">
        <w:t>the ‘opportunity costs’</w:t>
      </w:r>
      <w:r>
        <w:t xml:space="preserve"> of each</w:t>
      </w:r>
      <w:r w:rsidR="00353C9D">
        <w:t xml:space="preserve"> separate budget on which costs fall.</w:t>
      </w:r>
      <w:r w:rsidR="00697B1E">
        <w:fldChar w:fldCharType="begin"/>
      </w:r>
      <w:r w:rsidR="00697B1E">
        <w:instrText xml:space="preserve"> ADDIN EN.CITE &lt;EndNote&gt;&lt;Cite&gt;&lt;Author&gt;Claxton&lt;/Author&gt;&lt;Year&gt;2010&lt;/Year&gt;&lt;RecNum&gt;80&lt;/RecNum&gt;&lt;DisplayText&gt;[3]&lt;/DisplayText&gt;&lt;record&gt;&lt;rec-number&gt;80&lt;/rec-number&gt;&lt;foreign-keys&gt;&lt;key app="EN" db-id="2fw2zxptlpdwexeddtm5prrxpd9w9wds9e2d" timestamp="1401273330"&gt;80&lt;/key&gt;&lt;/foreign-keys&gt;&lt;ref-type name="Journal Article"&gt;17&lt;/ref-type&gt;&lt;contributors&gt;&lt;authors&gt;&lt;author&gt;Claxton, K.,&lt;/author&gt;&lt;author&gt;Walker, S.,&lt;/author&gt;&lt;author&gt;Palmer, S.,&lt;/author&gt;&lt;author&gt;Sculpher, M.&lt;/author&gt;&lt;/authors&gt;&lt;/contributors&gt;&lt;titles&gt;&lt;title&gt;Appropriate Perspectives for Health Care Decisions&lt;/title&gt;&lt;secondary-title&gt;CHE RP54&lt;/secondary-title&gt;&lt;/titles&gt;&lt;periodical&gt;&lt;full-title&gt;CHE RP54&lt;/full-title&gt;&lt;/periodical&gt;&lt;dates&gt;&lt;year&gt;2010&lt;/year&gt;&lt;/dates&gt;&lt;urls&gt;&lt;/urls&gt;&lt;/record&gt;&lt;/Cite&gt;&lt;/EndNote&gt;</w:instrText>
      </w:r>
      <w:r w:rsidR="00697B1E">
        <w:fldChar w:fldCharType="separate"/>
      </w:r>
      <w:r w:rsidR="00697B1E">
        <w:rPr>
          <w:noProof/>
        </w:rPr>
        <w:t>[3]</w:t>
      </w:r>
      <w:r w:rsidR="00697B1E">
        <w:fldChar w:fldCharType="end"/>
      </w:r>
      <w:r w:rsidR="00353C9D">
        <w:t xml:space="preserve">  </w:t>
      </w:r>
      <w:r>
        <w:t>E</w:t>
      </w:r>
      <w:r w:rsidR="00111AF7">
        <w:t>valuation</w:t>
      </w:r>
      <w:r>
        <w:t>s</w:t>
      </w:r>
      <w:r w:rsidR="00111AF7">
        <w:t xml:space="preserve"> which overlook</w:t>
      </w:r>
      <w:r w:rsidR="00353C9D">
        <w:t xml:space="preserve"> costs imposed on other sectors of the economy </w:t>
      </w:r>
      <w:r w:rsidR="00FF7ACE">
        <w:t>misestimates</w:t>
      </w:r>
      <w:r w:rsidR="00353C9D">
        <w:t xml:space="preserve"> the true impact of a public health intervention.</w:t>
      </w:r>
    </w:p>
    <w:p w14:paraId="3806A717" w14:textId="3D45D8B6" w:rsidR="00F73D81" w:rsidRDefault="0060130E" w:rsidP="00E03683">
      <w:pPr>
        <w:spacing w:line="360" w:lineRule="auto"/>
      </w:pPr>
      <w:r w:rsidRPr="0060130E">
        <w:t xml:space="preserve">In </w:t>
      </w:r>
      <w:r w:rsidRPr="008129AB">
        <w:t>general,</w:t>
      </w:r>
      <w:r w:rsidR="00603F7D" w:rsidRPr="008129AB">
        <w:t xml:space="preserve"> </w:t>
      </w:r>
      <w:r w:rsidR="00654BFE">
        <w:t>economic evaluations of medical interventions have utilised a</w:t>
      </w:r>
      <w:r w:rsidRPr="008129AB">
        <w:t xml:space="preserve"> cost-effectiveness threshold </w:t>
      </w:r>
      <w:r w:rsidR="00654BFE">
        <w:t xml:space="preserve">to represent the </w:t>
      </w:r>
      <w:r w:rsidR="00827742">
        <w:t>value of the</w:t>
      </w:r>
      <w:r w:rsidR="00654BFE">
        <w:t xml:space="preserve"> opportunity costs, below</w:t>
      </w:r>
      <w:r w:rsidR="00603F7D" w:rsidRPr="008129AB">
        <w:t xml:space="preserve"> which a new intervention can be considered a worthwhile investment</w:t>
      </w:r>
      <w:r w:rsidR="00525AE6">
        <w:t xml:space="preserve">.  </w:t>
      </w:r>
      <w:r w:rsidR="00654BFE">
        <w:t>T</w:t>
      </w:r>
      <w:r w:rsidR="00525AE6">
        <w:t xml:space="preserve">he </w:t>
      </w:r>
      <w:r w:rsidR="00875CA3">
        <w:t xml:space="preserve">cost-effectiveness </w:t>
      </w:r>
      <w:r w:rsidR="00525AE6">
        <w:t xml:space="preserve">threshold </w:t>
      </w:r>
      <w:r w:rsidR="00654BFE">
        <w:t>for the UK health sector, based on NHS</w:t>
      </w:r>
      <w:r w:rsidR="00525AE6">
        <w:t xml:space="preserve"> budget </w:t>
      </w:r>
      <w:r w:rsidR="00654BFE">
        <w:t>was previously estimated by</w:t>
      </w:r>
      <w:r w:rsidR="00682050">
        <w:t xml:space="preserve"> the Department of Health </w:t>
      </w:r>
      <w:r w:rsidR="00654BFE">
        <w:t>to be</w:t>
      </w:r>
      <w:r w:rsidR="00682050">
        <w:t xml:space="preserve"> £25,000 per additional quality adjusted life year (QALY)</w:t>
      </w:r>
      <w:r w:rsidR="00654BFE">
        <w:t>,</w:t>
      </w:r>
      <w:r w:rsidR="00697B1E">
        <w:fldChar w:fldCharType="begin"/>
      </w:r>
      <w:r w:rsidR="00BC33FD">
        <w:instrText xml:space="preserve"> ADDIN EN.CITE &lt;EndNote&gt;&lt;Cite&gt;&lt;Author&gt;Glover&lt;/Author&gt;&lt;Year&gt;2010&lt;/Year&gt;&lt;RecNum&gt;161&lt;/RecNum&gt;&lt;DisplayText&gt;[4]&lt;/DisplayText&gt;&lt;record&gt;&lt;rec-number&gt;161&lt;/rec-number&gt;&lt;foreign-keys&gt;&lt;key app="EN" db-id="2fw2zxptlpdwexeddtm5prrxpd9w9wds9e2d" timestamp="1491898359"&gt;161&lt;/key&gt;&lt;/foreign-keys&gt;&lt;ref-type name="Journal Article"&gt;17&lt;/ref-type&gt;&lt;contributors&gt;&lt;authors&gt;&lt;author&gt;Glover, D., Henderson, J.&lt;/author&gt;&lt;/authors&gt;&lt;/contributors&gt;&lt;titles&gt;&lt;title&gt;Quantifying health impacts of government policies. A how-to guide to quantifying the health impacts of government policies and summary&lt;/title&gt;&lt;secondary-title&gt;Department of Health: London&lt;/secondary-title&gt;&lt;/titles&gt;&lt;periodical&gt;&lt;full-title&gt;Department of Health: London&lt;/full-title&gt;&lt;/periodical&gt;&lt;dates&gt;&lt;year&gt;2010&lt;/year&gt;&lt;/dates&gt;&lt;urls&gt;&lt;/urls&gt;&lt;/record&gt;&lt;/Cite&gt;&lt;/EndNote&gt;</w:instrText>
      </w:r>
      <w:r w:rsidR="00697B1E">
        <w:fldChar w:fldCharType="separate"/>
      </w:r>
      <w:r w:rsidR="00BC33FD">
        <w:rPr>
          <w:noProof/>
        </w:rPr>
        <w:t>[4]</w:t>
      </w:r>
      <w:r w:rsidR="00697B1E">
        <w:fldChar w:fldCharType="end"/>
      </w:r>
      <w:r w:rsidR="00654BFE">
        <w:t xml:space="preserve"> but more recently has been estimated at £13,000 per QALY (Claxton)</w:t>
      </w:r>
      <w:r w:rsidR="00682050">
        <w:t>.</w:t>
      </w:r>
      <w:r w:rsidR="00697B1E">
        <w:fldChar w:fldCharType="begin">
          <w:fldData xml:space="preserve">PEVuZE5vdGU+PENpdGU+PEF1dGhvcj5DbGF4dG9uPC9BdXRob3I+PFllYXI+MjAxNTwvWWVhcj48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</w:fldData>
        </w:fldChar>
      </w:r>
      <w:r w:rsidR="00BC33FD">
        <w:instrText xml:space="preserve"> ADDIN EN.CITE </w:instrText>
      </w:r>
      <w:r w:rsidR="00BC33FD">
        <w:fldChar w:fldCharType="begin">
          <w:fldData xml:space="preserve">PEVuZE5vdGU+PENpdGU+PEF1dGhvcj5DbGF4dG9uPC9BdXRob3I+PFllYXI+MjAxNTwvWWVhcj48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</w:fldData>
        </w:fldChar>
      </w:r>
      <w:r w:rsidR="00BC33FD">
        <w:instrText xml:space="preserve"> ADDIN EN.CITE.DATA </w:instrText>
      </w:r>
      <w:r w:rsidR="00BC33FD">
        <w:fldChar w:fldCharType="end"/>
      </w:r>
      <w:r w:rsidR="00697B1E">
        <w:fldChar w:fldCharType="separate"/>
      </w:r>
      <w:r w:rsidR="00BC33FD">
        <w:rPr>
          <w:noProof/>
        </w:rPr>
        <w:t>[5]</w:t>
      </w:r>
      <w:r w:rsidR="00697B1E">
        <w:fldChar w:fldCharType="end"/>
      </w:r>
      <w:r w:rsidR="00F3360D">
        <w:t xml:space="preserve"> </w:t>
      </w:r>
      <w:r w:rsidR="00F3360D" w:rsidRPr="00F3360D">
        <w:t xml:space="preserve"> </w:t>
      </w:r>
      <w:r w:rsidR="00682050">
        <w:t xml:space="preserve">This </w:t>
      </w:r>
      <w:r w:rsidR="00827742">
        <w:t xml:space="preserve">gives the productivity of the health sector, and </w:t>
      </w:r>
      <w:r w:rsidR="00682050">
        <w:t xml:space="preserve">implies that reducing </w:t>
      </w:r>
      <w:r w:rsidR="00654BFE">
        <w:t>the NHS budget by</w:t>
      </w:r>
      <w:r w:rsidR="00682050">
        <w:t xml:space="preserve"> £</w:t>
      </w:r>
      <w:r w:rsidR="00654BFE">
        <w:t>13</w:t>
      </w:r>
      <w:r w:rsidR="00682050">
        <w:t>,000 would result in the loss of one QALY.</w:t>
      </w:r>
      <w:r w:rsidR="00A45FD8">
        <w:t xml:space="preserve">  </w:t>
      </w:r>
      <w:r w:rsidRPr="008129AB">
        <w:t>In the case of public</w:t>
      </w:r>
      <w:r w:rsidRPr="0060130E">
        <w:t xml:space="preserve"> health, many interventions involve resources from outside the health care sector, </w:t>
      </w:r>
      <w:r w:rsidR="00603F7D">
        <w:t xml:space="preserve">the opportunity costs faced by </w:t>
      </w:r>
      <w:r w:rsidR="00603F7D">
        <w:lastRenderedPageBreak/>
        <w:t xml:space="preserve">each sector </w:t>
      </w:r>
      <w:r w:rsidR="0075478B">
        <w:t xml:space="preserve">should </w:t>
      </w:r>
      <w:r w:rsidR="006F6222">
        <w:t xml:space="preserve">therefore </w:t>
      </w:r>
      <w:r w:rsidR="0075478B">
        <w:t>be reflected</w:t>
      </w:r>
      <w:r w:rsidR="00603F7D">
        <w:t xml:space="preserve"> </w:t>
      </w:r>
      <w:r w:rsidR="0075478B">
        <w:t xml:space="preserve">in </w:t>
      </w:r>
      <w:r w:rsidR="00603F7D">
        <w:t xml:space="preserve">any </w:t>
      </w:r>
      <w:r w:rsidR="0075478B">
        <w:t>consideration of</w:t>
      </w:r>
      <w:r w:rsidR="00603F7D">
        <w:t xml:space="preserve"> cost-effectiveness. </w:t>
      </w:r>
      <w:r w:rsidR="000B1762">
        <w:t>E</w:t>
      </w:r>
      <w:r w:rsidR="00827742">
        <w:t>mp</w:t>
      </w:r>
      <w:r w:rsidR="000B1762">
        <w:t>i</w:t>
      </w:r>
      <w:r w:rsidR="00827742">
        <w:t>ric</w:t>
      </w:r>
      <w:r w:rsidR="00654BFE">
        <w:t xml:space="preserve">al estimates for the value of </w:t>
      </w:r>
      <w:r w:rsidR="00827742">
        <w:t xml:space="preserve">outcomes forgone by reducing spend in other public sector budgets may not be available, </w:t>
      </w:r>
      <w:r w:rsidR="000B1762">
        <w:t xml:space="preserve">and it is possible that the productivity of each in producing health may differ.  Furthermore, </w:t>
      </w:r>
      <w:r w:rsidR="00827742">
        <w:t>each sector uses public funds to produce outcomes of value</w:t>
      </w:r>
      <w:r w:rsidR="005F788B">
        <w:t xml:space="preserve"> outside of health</w:t>
      </w:r>
      <w:r w:rsidR="00827742">
        <w:t>, and these should not be ignored.</w:t>
      </w:r>
    </w:p>
    <w:p w14:paraId="2E632735" w14:textId="5C473D0C" w:rsidR="004F4E31" w:rsidRDefault="00F61CBB" w:rsidP="00E03683">
      <w:pPr>
        <w:spacing w:line="360" w:lineRule="auto"/>
      </w:pPr>
      <w:r>
        <w:t>In the UK, the National Institute for Health and Care Excellence (NICE) has been at the forefront of efforts to produce evidence on the cost-effectivenes</w:t>
      </w:r>
      <w:r w:rsidR="00790641">
        <w:t>s of public health a</w:t>
      </w:r>
      <w:r w:rsidR="00F3360D">
        <w:t>ctivities.</w:t>
      </w:r>
      <w:r w:rsidR="00697B1E">
        <w:fldChar w:fldCharType="begin"/>
      </w:r>
      <w:r w:rsidR="00BC33FD">
        <w:instrText xml:space="preserve"> ADDIN EN.CITE &lt;EndNote&gt;&lt;Cite&gt;&lt;Author&gt;National Institute for Health and Care Excellence&lt;/Author&gt;&lt;Year&gt;accessed:21/05/2014&lt;/Year&gt;&lt;RecNum&gt;20&lt;/RecNum&gt;&lt;DisplayText&gt;[6]&lt;/DisplayText&gt;&lt;record&gt;&lt;rec-number&gt;20&lt;/rec-number&gt;&lt;foreign-keys&gt;&lt;key app="EN" db-id="2fw2zxptlpdwexeddtm5prrxpd9w9wds9e2d" timestamp="1400667140"&gt;20&lt;/key&gt;&lt;/foreign-keys&gt;&lt;ref-type name="Journal Article"&gt;17&lt;/ref-type&gt;&lt;contributors&gt;&lt;authors&gt;&lt;author&gt;National Institute for Health and Care Excellence,&lt;/author&gt;&lt;/authors&gt;&lt;/contributors&gt;&lt;titles&gt;&lt;title&gt;Public health guidance, http://www.nice.org.uk/guidance/phg/&lt;/title&gt;&lt;/titles&gt;&lt;dates&gt;&lt;year&gt;accessed:21/05/2014&lt;/year&gt;&lt;/dates&gt;&lt;urls&gt;&lt;/urls&gt;&lt;/record&gt;&lt;/Cite&gt;&lt;/EndNote&gt;</w:instrText>
      </w:r>
      <w:r w:rsidR="00697B1E">
        <w:fldChar w:fldCharType="separate"/>
      </w:r>
      <w:r w:rsidR="00BC33FD">
        <w:rPr>
          <w:noProof/>
        </w:rPr>
        <w:t>[6]</w:t>
      </w:r>
      <w:r w:rsidR="00697B1E">
        <w:fldChar w:fldCharType="end"/>
      </w:r>
      <w:r>
        <w:t xml:space="preserve"> The NICE Public Health Advisory Committee (PHAC) makes recommendations, based on consideration of the evi</w:t>
      </w:r>
      <w:r w:rsidR="006F6222">
        <w:t>dence, as to which p</w:t>
      </w:r>
      <w:r w:rsidR="00875CA3">
        <w:t xml:space="preserve">ublic health </w:t>
      </w:r>
      <w:r w:rsidR="00F3360D">
        <w:t>activities</w:t>
      </w:r>
      <w:r w:rsidR="006F6222">
        <w:t xml:space="preserve"> represent good value for public sector investment</w:t>
      </w:r>
      <w:r>
        <w:t xml:space="preserve">.  This guidance is produced to inform a range of stakeholders, including the English NHS, local authorities and the Department of Health.  </w:t>
      </w:r>
      <w:r w:rsidR="0075478B">
        <w:t>A</w:t>
      </w:r>
      <w:r>
        <w:t xml:space="preserve"> study by Owen et al.</w:t>
      </w:r>
      <w:r w:rsidR="00697B1E">
        <w:fldChar w:fldCharType="begin"/>
      </w:r>
      <w:r w:rsidR="00697B1E">
        <w:instrText xml:space="preserve"> ADDIN EN.CITE &lt;EndNote&gt;&lt;Cite&gt;&lt;Author&gt;Owen&lt;/Author&gt;&lt;Year&gt;2012&lt;/Year&gt;&lt;RecNum&gt;9&lt;/RecNum&gt;&lt;DisplayText&gt;[1]&lt;/DisplayText&gt;&lt;record&gt;&lt;rec-number&gt;9&lt;/rec-number&gt;&lt;foreign-keys&gt;&lt;key app="EN" db-id="2fw2zxptlpdwexeddtm5prrxpd9w9wds9e2d" timestamp="1393318231"&gt;9&lt;/key&gt;&lt;/foreign-keys&gt;&lt;ref-type name="Journal Article"&gt;17&lt;/ref-type&gt;&lt;contributors&gt;&lt;authors&gt;&lt;author&gt;Owen, L.&lt;/author&gt;&lt;author&gt;Morgan, A.&lt;/author&gt;&lt;author&gt;Fischer, A.&lt;/author&gt;&lt;author&gt;Ellis, S.&lt;/author&gt;&lt;author&gt;Hoy, A.&lt;/author&gt;&lt;author&gt;Kelly, M. P.&lt;/author&gt;&lt;author&gt;Owen, Lesley&lt;/author&gt;&lt;author&gt;Morgan, Antony&lt;/author&gt;&lt;author&gt;Fischer, Alastair&lt;/author&gt;&lt;author&gt;Ellis, Simon&lt;/author&gt;&lt;author&gt;Hoy, Andrew&lt;/author&gt;&lt;author&gt;Kelly, Michael P.&lt;/author&gt;&lt;/authors&gt;&lt;/contributors&gt;&lt;auth-address&gt;Centre for Public Health Excellence, National Institute for Health and Clinical Excellence, London WC1V 6NA, UK. lesley.owen@nice.org.uk&lt;/auth-address&gt;&lt;titles&gt;&lt;title&gt;The cost-effectiveness of public health interventions&lt;/title&gt;&lt;secondary-title&gt;Journal of Public Health&lt;/secondary-title&gt;&lt;/titles&gt;&lt;periodical&gt;&lt;full-title&gt;Journal of Public Health&lt;/full-title&gt;&lt;/periodical&gt;&lt;pages&gt;37-45&lt;/pages&gt;&lt;volume&gt;34&lt;/volume&gt;&lt;number&gt;1&lt;/number&gt;&lt;reprint-edition&gt;NOT IN FILE&lt;/reprint-edition&gt;&lt;keywords&gt;&lt;keyword&gt;$$similar publication&lt;/keyword&gt;&lt;/keywords&gt;&lt;dates&gt;&lt;year&gt;2012&lt;/year&gt;&lt;/dates&gt;&lt;urls&gt;&lt;/urls&gt;&lt;/record&gt;&lt;/Cite&gt;&lt;/EndNote&gt;</w:instrText>
      </w:r>
      <w:r w:rsidR="00697B1E">
        <w:fldChar w:fldCharType="separate"/>
      </w:r>
      <w:r w:rsidR="00697B1E">
        <w:rPr>
          <w:noProof/>
        </w:rPr>
        <w:t>[1]</w:t>
      </w:r>
      <w:r w:rsidR="00697B1E">
        <w:fldChar w:fldCharType="end"/>
      </w:r>
      <w:r>
        <w:t xml:space="preserve"> </w:t>
      </w:r>
      <w:r w:rsidR="0075478B">
        <w:t>showed</w:t>
      </w:r>
      <w:r w:rsidR="006222D5">
        <w:t xml:space="preserve"> that</w:t>
      </w:r>
      <w:r w:rsidR="0075478B">
        <w:t xml:space="preserve"> </w:t>
      </w:r>
      <w:r>
        <w:t>many public health interventions considered by NICE were deemed cost-effective</w:t>
      </w:r>
      <w:r w:rsidR="0075478B">
        <w:t>.</w:t>
      </w:r>
      <w:r w:rsidR="00F3360D">
        <w:t xml:space="preserve"> </w:t>
      </w:r>
      <w:r w:rsidR="0075478B">
        <w:t xml:space="preserve"> However, t</w:t>
      </w:r>
      <w:r>
        <w:t>he</w:t>
      </w:r>
      <w:r w:rsidR="006222D5">
        <w:t xml:space="preserve"> study</w:t>
      </w:r>
      <w:r w:rsidR="004D5F28">
        <w:t xml:space="preserve"> focussed on the</w:t>
      </w:r>
      <w:r>
        <w:t xml:space="preserve"> </w:t>
      </w:r>
      <w:r w:rsidR="004D5F28">
        <w:t>reporting of</w:t>
      </w:r>
      <w:r w:rsidR="00790641">
        <w:t xml:space="preserve"> </w:t>
      </w:r>
      <w:r w:rsidR="00111AF7">
        <w:t>estimates of cost-effectiveness</w:t>
      </w:r>
      <w:r w:rsidR="00790641">
        <w:t xml:space="preserve"> which often incorporated cost </w:t>
      </w:r>
      <w:r w:rsidR="0075478B">
        <w:t xml:space="preserve">borne </w:t>
      </w:r>
      <w:r w:rsidR="00790641">
        <w:t xml:space="preserve">by a number of stakeholders, </w:t>
      </w:r>
      <w:r w:rsidR="00525AE6">
        <w:t xml:space="preserve">and </w:t>
      </w:r>
      <w:r w:rsidR="006222D5">
        <w:t xml:space="preserve">which </w:t>
      </w:r>
      <w:r w:rsidR="00525AE6">
        <w:t>were compared</w:t>
      </w:r>
      <w:r>
        <w:t xml:space="preserve"> against</w:t>
      </w:r>
      <w:r w:rsidR="00CB46AE">
        <w:t xml:space="preserve"> health outcomes alone, failing to reflect the outcomes of interest to other stakeholders who faced some of the cost burden</w:t>
      </w:r>
      <w:r w:rsidR="00525AE6">
        <w:t>. W</w:t>
      </w:r>
      <w:r>
        <w:t>ithout making explicit the multi</w:t>
      </w:r>
      <w:r w:rsidR="00790641">
        <w:t>-</w:t>
      </w:r>
      <w:r>
        <w:t>sectoral impacts</w:t>
      </w:r>
      <w:r w:rsidR="00CD4954">
        <w:t xml:space="preserve"> and potential differences in opportunity costs</w:t>
      </w:r>
      <w:r w:rsidR="00525AE6">
        <w:t xml:space="preserve"> t</w:t>
      </w:r>
      <w:r w:rsidR="0075478B">
        <w:t>his could result in erroneous decisions.</w:t>
      </w:r>
      <w:r w:rsidR="00682050">
        <w:t xml:space="preserve">  </w:t>
      </w:r>
    </w:p>
    <w:p w14:paraId="7244F8B1" w14:textId="3E331CB8" w:rsidR="00F73D81" w:rsidRDefault="00815AA1" w:rsidP="00E03683">
      <w:pPr>
        <w:spacing w:line="360" w:lineRule="auto"/>
      </w:pPr>
      <w:r>
        <w:t xml:space="preserve">This study </w:t>
      </w:r>
      <w:r w:rsidR="00F23222">
        <w:t>has two aims</w:t>
      </w:r>
      <w:r>
        <w:t xml:space="preserve">: first, to </w:t>
      </w:r>
      <w:r w:rsidR="00CD4954">
        <w:t xml:space="preserve">review the previous NICE public health </w:t>
      </w:r>
      <w:r w:rsidR="00CA5646">
        <w:t>guidelines</w:t>
      </w:r>
      <w:r w:rsidR="00CD4954">
        <w:t xml:space="preserve"> to </w:t>
      </w:r>
      <w:r>
        <w:t xml:space="preserve">evaluate to what extent </w:t>
      </w:r>
      <w:r w:rsidR="00B70B79">
        <w:t>NICE public health recommendations impose costs across multiple sectors and</w:t>
      </w:r>
      <w:r w:rsidR="00C35F1C">
        <w:t>,</w:t>
      </w:r>
      <w:r w:rsidR="00B70B79">
        <w:t xml:space="preserve"> if so</w:t>
      </w:r>
      <w:r w:rsidR="00C35F1C">
        <w:t>,</w:t>
      </w:r>
      <w:r w:rsidR="00B70B79">
        <w:t xml:space="preserve"> whether these cost were </w:t>
      </w:r>
      <w:r w:rsidR="0075478B">
        <w:t xml:space="preserve">appropriately </w:t>
      </w:r>
      <w:r w:rsidR="00B70B79">
        <w:t xml:space="preserve">reported at a sector </w:t>
      </w:r>
      <w:r w:rsidR="00E13065">
        <w:t>level</w:t>
      </w:r>
      <w:r>
        <w:t>, and second, to</w:t>
      </w:r>
      <w:r w:rsidR="00CD4954">
        <w:t xml:space="preserve"> provide recommendations for the </w:t>
      </w:r>
      <w:r w:rsidR="00B70B79">
        <w:t xml:space="preserve">estimation and </w:t>
      </w:r>
      <w:r w:rsidR="00CD4954">
        <w:t>reporting of</w:t>
      </w:r>
      <w:r w:rsidR="00B70B79">
        <w:t xml:space="preserve"> sector specific costs</w:t>
      </w:r>
      <w:r w:rsidR="00CD4954">
        <w:t xml:space="preserve"> </w:t>
      </w:r>
      <w:r w:rsidR="00E13065">
        <w:t xml:space="preserve">in </w:t>
      </w:r>
      <w:r w:rsidR="00CD4954">
        <w:t>future evaluations</w:t>
      </w:r>
      <w:r w:rsidR="00E13065">
        <w:t xml:space="preserve"> of public health initiatives</w:t>
      </w:r>
      <w:r w:rsidR="00CD4954">
        <w:t xml:space="preserve">. </w:t>
      </w:r>
    </w:p>
    <w:p w14:paraId="7E48D317" w14:textId="77777777" w:rsidR="00163DF6" w:rsidRDefault="00163DF6" w:rsidP="00E03683">
      <w:pPr>
        <w:spacing w:line="360" w:lineRule="auto"/>
      </w:pPr>
    </w:p>
    <w:p w14:paraId="4AD72360" w14:textId="2FC991D4" w:rsidR="00163DF6" w:rsidRPr="008129AB" w:rsidRDefault="00E37814" w:rsidP="00E03683">
      <w:pPr>
        <w:pStyle w:val="ListParagraph"/>
        <w:numPr>
          <w:ilvl w:val="0"/>
          <w:numId w:val="5"/>
        </w:numPr>
        <w:spacing w:line="360" w:lineRule="auto"/>
        <w:rPr>
          <w:b/>
        </w:rPr>
      </w:pPr>
      <w:r w:rsidRPr="008129AB">
        <w:rPr>
          <w:b/>
        </w:rPr>
        <w:t>Methods</w:t>
      </w:r>
    </w:p>
    <w:p w14:paraId="3BCCD9B7" w14:textId="5C494BA0" w:rsidR="00CD4954" w:rsidRDefault="00CD4954" w:rsidP="00E03683">
      <w:pPr>
        <w:pStyle w:val="ListParagraph"/>
        <w:numPr>
          <w:ilvl w:val="1"/>
          <w:numId w:val="5"/>
        </w:numPr>
        <w:spacing w:line="360" w:lineRule="auto"/>
      </w:pPr>
      <w:r>
        <w:t>Overview</w:t>
      </w:r>
    </w:p>
    <w:p w14:paraId="09695321" w14:textId="1B9A3D30" w:rsidR="00CD4954" w:rsidRDefault="00B70B79" w:rsidP="00E03683">
      <w:pPr>
        <w:spacing w:line="360" w:lineRule="auto"/>
      </w:pPr>
      <w:r>
        <w:t xml:space="preserve">In order to </w:t>
      </w:r>
      <w:r w:rsidR="00CA5646">
        <w:t>evaluate the extent to which current NICE public health guidelines report the sector specific cost impact of recommend</w:t>
      </w:r>
      <w:r w:rsidR="00C35F1C">
        <w:t>ed public health interventions</w:t>
      </w:r>
      <w:r w:rsidR="00CA5646">
        <w:t xml:space="preserve"> a full review of guidelines </w:t>
      </w:r>
      <w:r w:rsidR="00C07C30">
        <w:t xml:space="preserve">published at the date of review </w:t>
      </w:r>
      <w:r w:rsidR="00CA5646">
        <w:t xml:space="preserve">was conducted.  Data </w:t>
      </w:r>
      <w:r w:rsidR="00525AE6">
        <w:t>were</w:t>
      </w:r>
      <w:r w:rsidR="00CA5646">
        <w:t xml:space="preserve"> extracted on the sectors which would be expected to bear the cost of </w:t>
      </w:r>
      <w:r w:rsidR="001925A6">
        <w:t>adherence to the NICE</w:t>
      </w:r>
      <w:r w:rsidR="0075478B">
        <w:t xml:space="preserve"> public health initiatives</w:t>
      </w:r>
      <w:r w:rsidR="00CA5646">
        <w:t>, as well as any attempts in the guideline evaluation to estimate the scale of the</w:t>
      </w:r>
      <w:r w:rsidR="0075478B">
        <w:t xml:space="preserve"> total and</w:t>
      </w:r>
      <w:r w:rsidR="00CA5646">
        <w:t xml:space="preserve"> sector specific costs. </w:t>
      </w:r>
    </w:p>
    <w:p w14:paraId="3CC9164D" w14:textId="21E3C1A3" w:rsidR="00CD4954" w:rsidRDefault="00CD4954" w:rsidP="00E03683">
      <w:pPr>
        <w:pStyle w:val="ListParagraph"/>
        <w:numPr>
          <w:ilvl w:val="1"/>
          <w:numId w:val="5"/>
        </w:numPr>
        <w:spacing w:line="360" w:lineRule="auto"/>
      </w:pPr>
      <w:r>
        <w:t>Review</w:t>
      </w:r>
    </w:p>
    <w:p w14:paraId="57C7D486" w14:textId="14C286BF" w:rsidR="009028DE" w:rsidRDefault="00110102" w:rsidP="00E03683">
      <w:pPr>
        <w:spacing w:line="360" w:lineRule="auto"/>
      </w:pPr>
      <w:r>
        <w:lastRenderedPageBreak/>
        <w:t xml:space="preserve">This review considered </w:t>
      </w:r>
      <w:r w:rsidR="00EF048F">
        <w:t xml:space="preserve">all </w:t>
      </w:r>
      <w:r w:rsidR="009028DE">
        <w:t>65</w:t>
      </w:r>
      <w:r w:rsidR="00496AE6">
        <w:t xml:space="preserve"> NICE public health guidelines published between </w:t>
      </w:r>
      <w:r w:rsidR="00EF048F">
        <w:t xml:space="preserve">the start of NICE’s </w:t>
      </w:r>
      <w:r w:rsidR="00C07C30">
        <w:t xml:space="preserve">publication of </w:t>
      </w:r>
      <w:r w:rsidR="00EF048F">
        <w:t xml:space="preserve">public health guidelines (March </w:t>
      </w:r>
      <w:r w:rsidR="00496AE6">
        <w:t>2006</w:t>
      </w:r>
      <w:r w:rsidR="00EF048F">
        <w:t>)</w:t>
      </w:r>
      <w:r w:rsidR="00496AE6">
        <w:t xml:space="preserve"> and </w:t>
      </w:r>
      <w:r w:rsidR="00EF048F">
        <w:t xml:space="preserve">the date of review (July </w:t>
      </w:r>
      <w:r w:rsidR="00496AE6">
        <w:t>2016</w:t>
      </w:r>
      <w:r w:rsidR="00EF048F">
        <w:t>)</w:t>
      </w:r>
      <w:r w:rsidR="00496AE6">
        <w:t xml:space="preserve">. </w:t>
      </w:r>
      <w:r w:rsidR="002A73D9">
        <w:t>T</w:t>
      </w:r>
      <w:r w:rsidR="00496AE6">
        <w:t>he guidelines were accessed via the NICE website in the period of 1</w:t>
      </w:r>
      <w:r w:rsidR="00496AE6" w:rsidRPr="00E73334">
        <w:rPr>
          <w:vertAlign w:val="superscript"/>
        </w:rPr>
        <w:t>st</w:t>
      </w:r>
      <w:r w:rsidR="00496AE6">
        <w:t xml:space="preserve"> July – 20</w:t>
      </w:r>
      <w:r w:rsidR="00496AE6" w:rsidRPr="00E73334">
        <w:rPr>
          <w:vertAlign w:val="superscript"/>
        </w:rPr>
        <w:t>th</w:t>
      </w:r>
      <w:r w:rsidR="00496AE6">
        <w:t xml:space="preserve"> September 2016. </w:t>
      </w:r>
      <w:r w:rsidR="009028DE">
        <w:t xml:space="preserve"> At the time of review four </w:t>
      </w:r>
      <w:r w:rsidR="00525AE6">
        <w:t>g</w:t>
      </w:r>
      <w:r w:rsidR="009028DE">
        <w:t>uidelines had been withdrawn after being replaced by new guidelines</w:t>
      </w:r>
      <w:r w:rsidR="00B16D0B">
        <w:t>.</w:t>
      </w:r>
      <w:r w:rsidR="00697B1E">
        <w:fldChar w:fldCharType="begin">
          <w:fldData xml:space="preserve">PEVuZE5vdGU+PENpdGU+PEF1dGhvcj5FeGNlbGxlbmNlPC9BdXRob3I+PFllYXI+MjAwNjwvWWVh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</w:fldData>
        </w:fldChar>
      </w:r>
      <w:r w:rsidR="00BC33FD">
        <w:instrText xml:space="preserve"> ADDIN EN.CITE </w:instrText>
      </w:r>
      <w:r w:rsidR="00BC33FD">
        <w:fldChar w:fldCharType="begin">
          <w:fldData xml:space="preserve">PEVuZE5vdGU+PENpdGU+PEF1dGhvcj5FeGNlbGxlbmNlPC9BdXRob3I+PFllYXI+MjAwNjwvWWVh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</w:fldData>
        </w:fldChar>
      </w:r>
      <w:r w:rsidR="00BC33FD">
        <w:instrText xml:space="preserve"> ADDIN EN.CITE.DATA </w:instrText>
      </w:r>
      <w:r w:rsidR="00BC33FD">
        <w:fldChar w:fldCharType="end"/>
      </w:r>
      <w:r w:rsidR="00697B1E">
        <w:fldChar w:fldCharType="separate"/>
      </w:r>
      <w:r w:rsidR="00BC33FD">
        <w:rPr>
          <w:noProof/>
        </w:rPr>
        <w:t>[7-10]</w:t>
      </w:r>
      <w:r w:rsidR="00697B1E">
        <w:fldChar w:fldCharType="end"/>
      </w:r>
      <w:r w:rsidR="00B16D0B">
        <w:t xml:space="preserve"> One guideline was found </w:t>
      </w:r>
      <w:r w:rsidR="009E6FDE">
        <w:t xml:space="preserve">not </w:t>
      </w:r>
      <w:r w:rsidR="00B16D0B">
        <w:t xml:space="preserve">to present </w:t>
      </w:r>
      <w:r w:rsidR="009E6FDE">
        <w:t>any intervention recommendations</w:t>
      </w:r>
      <w:r w:rsidR="009028DE">
        <w:t>.</w:t>
      </w:r>
      <w:r w:rsidR="00697B1E">
        <w:fldChar w:fldCharType="begin"/>
      </w:r>
      <w:r w:rsidR="00BC33FD">
        <w:instrText xml:space="preserve"> ADDIN EN.CITE &lt;EndNote&gt;&lt;Cite&gt;&lt;Author&gt;Excellence&lt;/Author&gt;&lt;Year&gt;2011&lt;/Year&gt;&lt;RecNum&gt;160&lt;/RecNum&gt;&lt;DisplayText&gt;[11]&lt;/DisplayText&gt;&lt;record&gt;&lt;rec-number&gt;160&lt;/rec-number&gt;&lt;foreign-keys&gt;&lt;key app="EN" db-id="2fw2zxptlpdwexeddtm5prrxpd9w9wds9e2d" timestamp="1483443440"&gt;160&lt;/key&gt;&lt;/foreign-keys&gt;&lt;ref-type name="Journal Article"&gt;17&lt;/ref-type&gt;&lt;contributors&gt;&lt;authors&gt;&lt;author&gt;National Institute for Health and Care Excellence,&lt;/author&gt;&lt;/authors&gt;&lt;/contributors&gt;&lt;titles&gt;&lt;title&gt;Healthcare-associated infections: prevention and control&lt;/title&gt;&lt;secondary-title&gt;NICE: London&lt;/secondary-title&gt;&lt;/titles&gt;&lt;periodical&gt;&lt;full-title&gt;NICE: London&lt;/full-title&gt;&lt;/periodical&gt;&lt;volume&gt;Public health guideline [PH36]&lt;/volume&gt;&lt;dates&gt;&lt;year&gt;2011&lt;/year&gt;&lt;/dates&gt;&lt;urls&gt;&lt;/urls&gt;&lt;/record&gt;&lt;/Cite&gt;&lt;/EndNote&gt;</w:instrText>
      </w:r>
      <w:r w:rsidR="00697B1E">
        <w:fldChar w:fldCharType="separate"/>
      </w:r>
      <w:r w:rsidR="00BC33FD">
        <w:rPr>
          <w:noProof/>
        </w:rPr>
        <w:t>[11]</w:t>
      </w:r>
      <w:r w:rsidR="00697B1E">
        <w:fldChar w:fldCharType="end"/>
      </w:r>
      <w:r w:rsidR="009028DE">
        <w:t xml:space="preserve">  This gave a full set of 60 guidelines that were included in the review.  </w:t>
      </w:r>
    </w:p>
    <w:p w14:paraId="43A855B0" w14:textId="011E93FD" w:rsidR="004C59D9" w:rsidRDefault="00496AE6" w:rsidP="00E03683">
      <w:pPr>
        <w:spacing w:line="360" w:lineRule="auto"/>
      </w:pPr>
      <w:r>
        <w:t xml:space="preserve">The review </w:t>
      </w:r>
      <w:r w:rsidR="0015641F">
        <w:t>sought to</w:t>
      </w:r>
      <w:r>
        <w:t xml:space="preserve"> identify </w:t>
      </w:r>
      <w:r w:rsidR="00F14CE1">
        <w:t xml:space="preserve">where </w:t>
      </w:r>
      <w:r>
        <w:t xml:space="preserve">the costs of </w:t>
      </w:r>
      <w:r w:rsidR="00F61CBB">
        <w:t xml:space="preserve">interventions recommended within </w:t>
      </w:r>
      <w:r w:rsidR="00EF048F">
        <w:t xml:space="preserve">the </w:t>
      </w:r>
      <w:r>
        <w:t>NICE public health guidelines</w:t>
      </w:r>
      <w:r w:rsidR="00F14CE1">
        <w:t xml:space="preserve"> fell</w:t>
      </w:r>
      <w:r w:rsidR="00C07C30" w:rsidRPr="00C07C30">
        <w:t xml:space="preserve"> </w:t>
      </w:r>
      <w:r w:rsidR="00C07C30">
        <w:t>and categorise the burden by sector</w:t>
      </w:r>
      <w:r w:rsidRPr="00BD3B4E">
        <w:t xml:space="preserve">. </w:t>
      </w:r>
      <w:r>
        <w:t xml:space="preserve"> </w:t>
      </w:r>
      <w:r w:rsidR="00525AE6">
        <w:t>W</w:t>
      </w:r>
      <w:r w:rsidR="006444A8">
        <w:t>here multiple recommendations were issue</w:t>
      </w:r>
      <w:r w:rsidR="00F61CBB">
        <w:t>d</w:t>
      </w:r>
      <w:r w:rsidR="00EF048F">
        <w:t xml:space="preserve"> in a single guideline</w:t>
      </w:r>
      <w:r w:rsidR="006444A8">
        <w:t xml:space="preserve"> the </w:t>
      </w:r>
      <w:r w:rsidR="00F14CE1">
        <w:t xml:space="preserve">accumulated </w:t>
      </w:r>
      <w:r w:rsidR="006444A8">
        <w:t xml:space="preserve">cost burden </w:t>
      </w:r>
      <w:r w:rsidR="004D5F28">
        <w:t>of all of the recommendations was</w:t>
      </w:r>
      <w:r w:rsidR="006444A8">
        <w:t xml:space="preserve"> used to reflect </w:t>
      </w:r>
      <w:r w:rsidR="00EF048F">
        <w:t xml:space="preserve">the total impact of the </w:t>
      </w:r>
      <w:r w:rsidR="000022F8">
        <w:t>gu</w:t>
      </w:r>
      <w:r w:rsidR="00EF048F">
        <w:t>ideline</w:t>
      </w:r>
      <w:r w:rsidR="006444A8">
        <w:t>.</w:t>
      </w:r>
      <w:r w:rsidR="0015641F">
        <w:t xml:space="preserve">  </w:t>
      </w:r>
      <w:r w:rsidR="0085212C">
        <w:t>C</w:t>
      </w:r>
      <w:r w:rsidR="004C59D9">
        <w:t xml:space="preserve">ategories were determined based on the costs reported during the guideline discussion of implementation or in the associated economic evaluation.  </w:t>
      </w:r>
    </w:p>
    <w:p w14:paraId="29CF51BD" w14:textId="0D1FFD0C" w:rsidR="00496AE6" w:rsidRPr="00496AE6" w:rsidRDefault="00496AE6" w:rsidP="00E03683">
      <w:pPr>
        <w:spacing w:line="360" w:lineRule="auto"/>
      </w:pPr>
      <w:r w:rsidRPr="00496AE6">
        <w:t xml:space="preserve">Costs were categorised into the following five </w:t>
      </w:r>
      <w:r w:rsidR="00B16D0B">
        <w:t>sectors</w:t>
      </w:r>
      <w:r w:rsidR="00E8366C">
        <w:t xml:space="preserve"> led by definitions used in some of the guidelines</w:t>
      </w:r>
      <w:r w:rsidRPr="00496AE6">
        <w:t>:</w:t>
      </w:r>
    </w:p>
    <w:p w14:paraId="117F8B31" w14:textId="1B5631D0" w:rsidR="00496AE6" w:rsidRPr="00496AE6" w:rsidRDefault="00496AE6" w:rsidP="00E03683">
      <w:pPr>
        <w:numPr>
          <w:ilvl w:val="0"/>
          <w:numId w:val="3"/>
        </w:numPr>
        <w:spacing w:line="360" w:lineRule="auto"/>
      </w:pPr>
      <w:r w:rsidRPr="00496AE6">
        <w:t>Costs fa</w:t>
      </w:r>
      <w:r w:rsidR="00EC6FFB">
        <w:t>ll</w:t>
      </w:r>
      <w:r w:rsidR="00FE0411">
        <w:t>ing</w:t>
      </w:r>
      <w:r w:rsidR="00EC6FFB">
        <w:t xml:space="preserve"> on the health sector (NHS</w:t>
      </w:r>
      <w:r w:rsidRPr="00496AE6">
        <w:t>) (e.g. costs of providing health care services and intervention</w:t>
      </w:r>
      <w:r w:rsidR="000349CB">
        <w:t>s</w:t>
      </w:r>
      <w:r w:rsidRPr="00496AE6">
        <w:t xml:space="preserve"> delivered);</w:t>
      </w:r>
    </w:p>
    <w:p w14:paraId="650B8DDF" w14:textId="289DC304" w:rsidR="00496AE6" w:rsidRPr="00496AE6" w:rsidRDefault="00496AE6" w:rsidP="00E03683">
      <w:pPr>
        <w:numPr>
          <w:ilvl w:val="0"/>
          <w:numId w:val="3"/>
        </w:numPr>
        <w:spacing w:line="360" w:lineRule="auto"/>
      </w:pPr>
      <w:r w:rsidRPr="00496AE6">
        <w:t>Costs fall</w:t>
      </w:r>
      <w:r w:rsidR="0015641F">
        <w:t>ing within the remit</w:t>
      </w:r>
      <w:r w:rsidR="00EC6FFB">
        <w:t xml:space="preserve"> </w:t>
      </w:r>
      <w:r w:rsidRPr="00496AE6">
        <w:t>o</w:t>
      </w:r>
      <w:r w:rsidR="0015641F">
        <w:t>f</w:t>
      </w:r>
      <w:r w:rsidRPr="00496AE6">
        <w:t xml:space="preserve"> the public health budget of local authority (</w:t>
      </w:r>
      <w:r w:rsidR="0085212C">
        <w:t>‘</w:t>
      </w:r>
      <w:r w:rsidRPr="00496AE6">
        <w:t>LA PH</w:t>
      </w:r>
      <w:r w:rsidR="0085212C">
        <w:t>’</w:t>
      </w:r>
      <w:r w:rsidRPr="00496AE6">
        <w:t xml:space="preserve"> hereafter) (e.g. costs of </w:t>
      </w:r>
      <w:r w:rsidR="000349CB">
        <w:t>NHS Health Check</w:t>
      </w:r>
      <w:r w:rsidRPr="00496AE6">
        <w:t>);</w:t>
      </w:r>
    </w:p>
    <w:p w14:paraId="074E9143" w14:textId="474F44F9" w:rsidR="00496AE6" w:rsidRPr="00496AE6" w:rsidRDefault="00496AE6" w:rsidP="00E03683">
      <w:pPr>
        <w:numPr>
          <w:ilvl w:val="0"/>
          <w:numId w:val="3"/>
        </w:numPr>
        <w:spacing w:line="360" w:lineRule="auto"/>
      </w:pPr>
      <w:r w:rsidRPr="00496AE6">
        <w:t xml:space="preserve">Costs </w:t>
      </w:r>
      <w:r w:rsidR="00FE0411" w:rsidRPr="00496AE6">
        <w:t>fall</w:t>
      </w:r>
      <w:r w:rsidR="00FE0411">
        <w:t xml:space="preserve">ing </w:t>
      </w:r>
      <w:r w:rsidRPr="00496AE6">
        <w:t>on the non-public health budget of local authority (</w:t>
      </w:r>
      <w:r w:rsidR="0085212C">
        <w:t>‘</w:t>
      </w:r>
      <w:r w:rsidRPr="00496AE6">
        <w:t>LA non-PH</w:t>
      </w:r>
      <w:r w:rsidR="0085212C">
        <w:t>’</w:t>
      </w:r>
      <w:r w:rsidRPr="00496AE6">
        <w:t xml:space="preserve"> hereafter) (e.g. costs of transport services and education services provided by local authority);</w:t>
      </w:r>
    </w:p>
    <w:p w14:paraId="6C27645F" w14:textId="4715DA1A" w:rsidR="00496AE6" w:rsidRPr="00496AE6" w:rsidRDefault="00496AE6" w:rsidP="00E03683">
      <w:pPr>
        <w:numPr>
          <w:ilvl w:val="0"/>
          <w:numId w:val="3"/>
        </w:numPr>
        <w:spacing w:line="360" w:lineRule="auto"/>
      </w:pPr>
      <w:r w:rsidRPr="00496AE6">
        <w:t xml:space="preserve">Costs </w:t>
      </w:r>
      <w:r w:rsidR="00FE0411" w:rsidRPr="00496AE6">
        <w:t>fall</w:t>
      </w:r>
      <w:r w:rsidR="00FE0411">
        <w:t xml:space="preserve">ing </w:t>
      </w:r>
      <w:r w:rsidRPr="00496AE6">
        <w:t xml:space="preserve">on </w:t>
      </w:r>
      <w:r w:rsidR="00FE0411">
        <w:t xml:space="preserve">the </w:t>
      </w:r>
      <w:r w:rsidRPr="00496AE6">
        <w:t>wider public sector (e.g. costs of transport and education services which are provided by central government such as Department of Transport);</w:t>
      </w:r>
    </w:p>
    <w:p w14:paraId="3E4270B8" w14:textId="2C5CE286" w:rsidR="00496AE6" w:rsidRPr="00496AE6" w:rsidRDefault="00496AE6" w:rsidP="00E03683">
      <w:pPr>
        <w:numPr>
          <w:ilvl w:val="0"/>
          <w:numId w:val="3"/>
        </w:numPr>
        <w:spacing w:line="360" w:lineRule="auto"/>
      </w:pPr>
      <w:r w:rsidRPr="00496AE6">
        <w:t xml:space="preserve">Costs </w:t>
      </w:r>
      <w:r w:rsidR="00FE0411" w:rsidRPr="00496AE6">
        <w:t>fall</w:t>
      </w:r>
      <w:r w:rsidR="00FE0411">
        <w:t xml:space="preserve">ing </w:t>
      </w:r>
      <w:r w:rsidRPr="00496AE6">
        <w:t>outside public sector. This category is defined as costs incurred by private sector which may include out-of-pocket payment by individuals</w:t>
      </w:r>
      <w:r w:rsidR="00F14CE1">
        <w:t xml:space="preserve"> or costs falling on employers</w:t>
      </w:r>
      <w:r w:rsidRPr="00496AE6">
        <w:t>.</w:t>
      </w:r>
    </w:p>
    <w:p w14:paraId="2909677B" w14:textId="7C0DC948" w:rsidR="000349CB" w:rsidRDefault="000349CB" w:rsidP="00E03683">
      <w:pPr>
        <w:spacing w:line="360" w:lineRule="auto"/>
      </w:pPr>
      <w:r>
        <w:t xml:space="preserve">Consideration was given to the inclusion of a sixth category to include the </w:t>
      </w:r>
      <w:r w:rsidR="00C07C30">
        <w:t>Third S</w:t>
      </w:r>
      <w:r>
        <w:t>ector, however, the review found no consistent consideration o</w:t>
      </w:r>
      <w:r w:rsidR="00C07C30">
        <w:t>f it as an independent sector</w:t>
      </w:r>
      <w:r w:rsidR="007956B7">
        <w:t xml:space="preserve"> in the NICE guidelines</w:t>
      </w:r>
      <w:r>
        <w:t xml:space="preserve">.  </w:t>
      </w:r>
    </w:p>
    <w:p w14:paraId="7905A83E" w14:textId="37EFD80D" w:rsidR="008A2C08" w:rsidRDefault="00496AE6" w:rsidP="00E03683">
      <w:pPr>
        <w:spacing w:line="360" w:lineRule="auto"/>
      </w:pPr>
      <w:r>
        <w:t>The review was conducted</w:t>
      </w:r>
      <w:r w:rsidR="00254CBD">
        <w:t xml:space="preserve"> independently</w:t>
      </w:r>
      <w:r>
        <w:t xml:space="preserve"> by two researchers, with any disagreements resolved through discussion. </w:t>
      </w:r>
      <w:r w:rsidR="00C07C30">
        <w:t xml:space="preserve"> </w:t>
      </w:r>
      <w:r w:rsidR="009028DE">
        <w:t xml:space="preserve">One of the reviewers concurrently conducted </w:t>
      </w:r>
      <w:r w:rsidR="008A2C08">
        <w:t>a</w:t>
      </w:r>
      <w:r w:rsidR="009028DE">
        <w:t xml:space="preserve"> full review</w:t>
      </w:r>
      <w:r w:rsidR="0085212C">
        <w:t xml:space="preserve"> of the g</w:t>
      </w:r>
      <w:r w:rsidR="008A2C08">
        <w:t xml:space="preserve">uidance documents to determine whether sufficient information was </w:t>
      </w:r>
      <w:r w:rsidR="0015641F">
        <w:t>available</w:t>
      </w:r>
      <w:r w:rsidR="008A2C08">
        <w:t xml:space="preserve"> within the economic evaluations to present an estimate of total cost of the recommendations</w:t>
      </w:r>
      <w:r w:rsidR="00B16D0B">
        <w:t xml:space="preserve"> and the costs disaggregated</w:t>
      </w:r>
      <w:r w:rsidR="008A2C08">
        <w:t xml:space="preserve"> </w:t>
      </w:r>
      <w:r w:rsidR="00B16D0B">
        <w:t>by sector</w:t>
      </w:r>
      <w:r w:rsidR="008A2C08">
        <w:t>.</w:t>
      </w:r>
      <w:r w:rsidR="009269E9">
        <w:t xml:space="preserve">  </w:t>
      </w:r>
    </w:p>
    <w:p w14:paraId="48FEDA9D" w14:textId="0B7AE2DC" w:rsidR="00E37814" w:rsidRPr="008129AB" w:rsidRDefault="00887C10" w:rsidP="00E03683">
      <w:pPr>
        <w:pStyle w:val="ListParagraph"/>
        <w:numPr>
          <w:ilvl w:val="0"/>
          <w:numId w:val="5"/>
        </w:numPr>
        <w:spacing w:line="360" w:lineRule="auto"/>
      </w:pPr>
      <w:r w:rsidRPr="008129AB">
        <w:rPr>
          <w:b/>
        </w:rPr>
        <w:t>Results</w:t>
      </w:r>
    </w:p>
    <w:p w14:paraId="7415993D" w14:textId="6D8AE9CE" w:rsidR="00255074" w:rsidRDefault="00887C10" w:rsidP="00E03683">
      <w:pPr>
        <w:spacing w:line="360" w:lineRule="auto"/>
      </w:pPr>
      <w:r>
        <w:lastRenderedPageBreak/>
        <w:t xml:space="preserve">The results of the review are shown in </w:t>
      </w:r>
      <w:r w:rsidR="00225B16">
        <w:fldChar w:fldCharType="begin"/>
      </w:r>
      <w:r w:rsidR="00225B16">
        <w:instrText xml:space="preserve"> REF _Ref466282097 \h </w:instrText>
      </w:r>
      <w:r w:rsidR="00EF048F">
        <w:instrText xml:space="preserve"> \* MERGEFORMAT </w:instrText>
      </w:r>
      <w:r w:rsidR="00225B16">
        <w:fldChar w:fldCharType="separate"/>
      </w:r>
      <w:r w:rsidR="000357E2">
        <w:t xml:space="preserve">Table </w:t>
      </w:r>
      <w:r w:rsidR="000357E2">
        <w:rPr>
          <w:noProof/>
        </w:rPr>
        <w:t>1</w:t>
      </w:r>
      <w:r w:rsidR="00225B16">
        <w:fldChar w:fldCharType="end"/>
      </w:r>
      <w:r w:rsidR="001F4D02">
        <w:t>.  A</w:t>
      </w:r>
      <w:r w:rsidR="00225B16">
        <w:t xml:space="preserve">n overview of the </w:t>
      </w:r>
      <w:r w:rsidR="00F14CE1">
        <w:t xml:space="preserve">overlap across </w:t>
      </w:r>
      <w:r w:rsidR="000E7D9F">
        <w:t>sectors</w:t>
      </w:r>
      <w:r w:rsidR="00F14CE1">
        <w:t xml:space="preserve"> is </w:t>
      </w:r>
      <w:r w:rsidR="00225B16">
        <w:t xml:space="preserve">presented in the Venn diagram in </w:t>
      </w:r>
      <w:r w:rsidR="00225B16">
        <w:fldChar w:fldCharType="begin"/>
      </w:r>
      <w:r w:rsidR="00225B16">
        <w:instrText xml:space="preserve"> REF _Ref466282090 \h </w:instrText>
      </w:r>
      <w:r w:rsidR="00EF048F">
        <w:instrText xml:space="preserve"> \* MERGEFORMAT </w:instrText>
      </w:r>
      <w:r w:rsidR="00225B16">
        <w:fldChar w:fldCharType="separate"/>
      </w:r>
      <w:r w:rsidR="000357E2">
        <w:t xml:space="preserve">Figure </w:t>
      </w:r>
      <w:r w:rsidR="000357E2">
        <w:rPr>
          <w:noProof/>
        </w:rPr>
        <w:t>1</w:t>
      </w:r>
      <w:r w:rsidR="00225B16">
        <w:fldChar w:fldCharType="end"/>
      </w:r>
      <w:r w:rsidR="001F4D02">
        <w:t xml:space="preserve"> </w:t>
      </w:r>
      <w:r w:rsidR="00110102">
        <w:t xml:space="preserve">in which local authority non-public health spend </w:t>
      </w:r>
      <w:r w:rsidR="002A73D9">
        <w:t>is combined with</w:t>
      </w:r>
      <w:r w:rsidR="00110102">
        <w:t xml:space="preserve"> wider public spend </w:t>
      </w:r>
      <w:r w:rsidR="002A73D9">
        <w:t>into 'other public sector'</w:t>
      </w:r>
      <w:r w:rsidR="00110102">
        <w:t xml:space="preserve"> </w:t>
      </w:r>
      <w:r w:rsidR="00BC33FD">
        <w:t xml:space="preserve">to encompass all public health spend not directly targeted at public health expenditure and </w:t>
      </w:r>
      <w:r w:rsidR="00110102">
        <w:t xml:space="preserve">for </w:t>
      </w:r>
      <w:r w:rsidR="000E7D9F">
        <w:t xml:space="preserve">visual </w:t>
      </w:r>
      <w:r w:rsidR="00110102">
        <w:t>clarity</w:t>
      </w:r>
      <w:r w:rsidR="006444A8">
        <w:t xml:space="preserve">.  </w:t>
      </w:r>
    </w:p>
    <w:p w14:paraId="7BA4C20D" w14:textId="323BA316" w:rsidR="00E37814" w:rsidRDefault="00110102" w:rsidP="00E03683">
      <w:pPr>
        <w:spacing w:line="360" w:lineRule="auto"/>
      </w:pPr>
      <w:r>
        <w:t xml:space="preserve">NHS spend represented the largest frequency of burden (n=48), followed by local authority public health spend (47), local authority non-public health spend (32), wider public spend (23) and private sector spend (14).  </w:t>
      </w:r>
      <w:r w:rsidR="00255074">
        <w:t xml:space="preserve">As would be expected the majority of recommendations impacted both the NHS spend and local authority public health spend (n=38), with only seven of the 60 considered to result in a cost burden </w:t>
      </w:r>
      <w:r w:rsidR="000E7D9F">
        <w:t>falling on neither of these sectors</w:t>
      </w:r>
      <w:r w:rsidR="00255074">
        <w:t xml:space="preserve">.  The most frequent combination of cost burden categories </w:t>
      </w:r>
      <w:r w:rsidR="00261456">
        <w:t xml:space="preserve">across the five sector categorisation </w:t>
      </w:r>
      <w:r w:rsidR="0085212C">
        <w:t xml:space="preserve">(shown in Table 1) </w:t>
      </w:r>
      <w:r w:rsidR="00255074">
        <w:t xml:space="preserve">was found to be burden across </w:t>
      </w:r>
      <w:r w:rsidR="00261456">
        <w:t xml:space="preserve">NHS and local authority public health spend (n=11).  In the four sector categorisation </w:t>
      </w:r>
      <w:r w:rsidR="0085212C">
        <w:t>(</w:t>
      </w:r>
      <w:r w:rsidR="00261456">
        <w:t>shown in Figure 1</w:t>
      </w:r>
      <w:r w:rsidR="0085212C">
        <w:t>)</w:t>
      </w:r>
      <w:r w:rsidR="00261456">
        <w:t xml:space="preserve">, the most frequent combination was that of </w:t>
      </w:r>
      <w:r w:rsidR="00255074">
        <w:t xml:space="preserve">all public </w:t>
      </w:r>
      <w:r w:rsidR="0015641F">
        <w:t>sector</w:t>
      </w:r>
      <w:r w:rsidR="00255074">
        <w:t xml:space="preserve"> categories (</w:t>
      </w:r>
      <w:r w:rsidR="00261456">
        <w:t xml:space="preserve">NHS, local authority public health </w:t>
      </w:r>
      <w:r w:rsidR="00F14CE1">
        <w:t>and other public sector</w:t>
      </w:r>
      <w:r w:rsidR="00261456">
        <w:t xml:space="preserve"> spend</w:t>
      </w:r>
      <w:r w:rsidR="00F14CE1">
        <w:t xml:space="preserve">, </w:t>
      </w:r>
      <w:r w:rsidR="00255074">
        <w:t>n=19).</w:t>
      </w:r>
      <w:r w:rsidR="0015641F">
        <w:t xml:space="preserve">  Only four </w:t>
      </w:r>
      <w:r w:rsidR="00C35F1C">
        <w:t>guidelines</w:t>
      </w:r>
      <w:r w:rsidR="0015641F">
        <w:t xml:space="preserve"> were restricted to NHS spend alone.</w:t>
      </w:r>
    </w:p>
    <w:p w14:paraId="7AB56787" w14:textId="593BB40A" w:rsidR="00110102" w:rsidRDefault="00110102" w:rsidP="00E03683">
      <w:pPr>
        <w:spacing w:line="360" w:lineRule="auto"/>
      </w:pPr>
      <w:r>
        <w:rPr>
          <w:noProof/>
          <w:lang w:eastAsia="en-GB"/>
        </w:rPr>
        <mc:AlternateContent>
          <mc:Choice Requires="wps">
            <w:drawing>
              <wp:anchor distT="0" distB="0" distL="114300" distR="114300" simplePos="0" relativeHeight="251663360" behindDoc="0" locked="0" layoutInCell="1" allowOverlap="1" wp14:anchorId="046CFC9E" wp14:editId="6423E18F">
                <wp:simplePos x="0" y="0"/>
                <wp:positionH relativeFrom="column">
                  <wp:posOffset>0</wp:posOffset>
                </wp:positionH>
                <wp:positionV relativeFrom="paragraph">
                  <wp:posOffset>102235</wp:posOffset>
                </wp:positionV>
                <wp:extent cx="3299460" cy="17145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3299460" cy="171450"/>
                        </a:xfrm>
                        <a:prstGeom prst="rect">
                          <a:avLst/>
                        </a:prstGeom>
                        <a:solidFill>
                          <a:prstClr val="white"/>
                        </a:solidFill>
                        <a:ln>
                          <a:noFill/>
                        </a:ln>
                        <a:effectLst/>
                      </wps:spPr>
                      <wps:txbx>
                        <w:txbxContent>
                          <w:p w14:paraId="20814982" w14:textId="398D9FD0" w:rsidR="00983D7B" w:rsidRPr="0024668D" w:rsidRDefault="00983D7B" w:rsidP="00110102">
                            <w:pPr>
                              <w:pStyle w:val="Caption"/>
                              <w:rPr>
                                <w:b/>
                                <w:noProof/>
                              </w:rPr>
                            </w:pPr>
                            <w:bookmarkStart w:id="1" w:name="_Ref466282090"/>
                            <w:r>
                              <w:t xml:space="preserve">Figure </w:t>
                            </w:r>
                            <w:fldSimple w:instr=" SEQ Figure \* ARABIC ">
                              <w:r>
                                <w:rPr>
                                  <w:noProof/>
                                </w:rPr>
                                <w:t>1</w:t>
                              </w:r>
                            </w:fldSimple>
                            <w:bookmarkEnd w:id="1"/>
                            <w:r w:rsidRPr="009C0EC9">
                              <w:t>: Venn diagram of sector burdens</w:t>
                            </w:r>
                            <w:r>
                              <w:t xml:space="preserve"> </w:t>
                            </w:r>
                            <w:r>
                              <w:rPr>
                                <w:b/>
                              </w:rPr>
                              <w:t>[here]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6CFC9E" id="_x0000_t202" coordsize="21600,21600" o:spt="202" path="m,l,21600r21600,l21600,xe">
                <v:stroke joinstyle="miter"/>
                <v:path gradientshapeok="t" o:connecttype="rect"/>
              </v:shapetype>
              <v:shape id="Text Box 6" o:spid="_x0000_s1026" type="#_x0000_t202" style="position:absolute;margin-left:0;margin-top:8.05pt;width:259.8pt;height:1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" stroked="f">
                <v:textbox inset="0,0,0,0">
                  <w:txbxContent>
                    <w:p w14:paraId="20814982" w14:textId="398D9FD0" w:rsidR="00983D7B" w:rsidRPr="0024668D" w:rsidRDefault="00983D7B" w:rsidP="00110102">
                      <w:pPr>
                        <w:pStyle w:val="Caption"/>
                        <w:rPr>
                          <w:b/>
                          <w:noProof/>
                        </w:rPr>
                      </w:pPr>
                      <w:bookmarkStart w:id="2" w:name="_Ref466282090"/>
                      <w:r>
                        <w:t xml:space="preserve">Figure </w:t>
                      </w:r>
                      <w:fldSimple w:instr=" SEQ Figure \* ARABIC ">
                        <w:r>
                          <w:rPr>
                            <w:noProof/>
                          </w:rPr>
                          <w:t>1</w:t>
                        </w:r>
                      </w:fldSimple>
                      <w:bookmarkEnd w:id="2"/>
                      <w:r w:rsidRPr="009C0EC9">
                        <w:t>: Venn diagram of sector burdens</w:t>
                      </w:r>
                      <w:r>
                        <w:t xml:space="preserve"> </w:t>
                      </w:r>
                      <w:r>
                        <w:rPr>
                          <w:b/>
                        </w:rPr>
                        <w:t>[here]</w:t>
                      </w:r>
                    </w:p>
                  </w:txbxContent>
                </v:textbox>
                <w10:wrap type="square"/>
              </v:shape>
            </w:pict>
          </mc:Fallback>
        </mc:AlternateContent>
      </w:r>
    </w:p>
    <w:p w14:paraId="4D650EA9" w14:textId="77777777" w:rsidR="00110102" w:rsidRDefault="00110102" w:rsidP="00E03683">
      <w:pPr>
        <w:spacing w:line="360" w:lineRule="auto"/>
      </w:pPr>
    </w:p>
    <w:p w14:paraId="38F04CE6" w14:textId="759E50CA" w:rsidR="00DA6560" w:rsidRPr="0024668D" w:rsidRDefault="00DA6560" w:rsidP="00E03683">
      <w:pPr>
        <w:pStyle w:val="Caption"/>
        <w:keepNext/>
        <w:spacing w:after="0" w:line="360" w:lineRule="auto"/>
        <w:rPr>
          <w:b/>
        </w:rPr>
      </w:pPr>
      <w:bookmarkStart w:id="3" w:name="_Ref466282097"/>
      <w:r>
        <w:t xml:space="preserve">Table </w:t>
      </w:r>
      <w:fldSimple w:instr=" SEQ Table \* ARABIC ">
        <w:r w:rsidR="000357E2">
          <w:rPr>
            <w:noProof/>
          </w:rPr>
          <w:t>1</w:t>
        </w:r>
      </w:fldSimple>
      <w:bookmarkEnd w:id="3"/>
      <w:r>
        <w:t>: Cost burden of NICE public health guidance</w:t>
      </w:r>
      <w:r w:rsidR="0024668D">
        <w:t xml:space="preserve"> </w:t>
      </w:r>
      <w:r w:rsidR="0024668D">
        <w:rPr>
          <w:b/>
        </w:rPr>
        <w:t>[here]</w:t>
      </w:r>
    </w:p>
    <w:p w14:paraId="71DCAD62" w14:textId="77777777" w:rsidR="00163DF6" w:rsidRDefault="00163DF6" w:rsidP="00E03683">
      <w:pPr>
        <w:spacing w:line="360" w:lineRule="auto"/>
      </w:pPr>
    </w:p>
    <w:p w14:paraId="49CF9F8F" w14:textId="34EC5BA2" w:rsidR="00C35F1C" w:rsidRDefault="00261456" w:rsidP="00E03683">
      <w:pPr>
        <w:spacing w:line="360" w:lineRule="auto"/>
      </w:pPr>
      <w:r>
        <w:t xml:space="preserve">The in depth review of the </w:t>
      </w:r>
      <w:r w:rsidR="0085212C">
        <w:t>g</w:t>
      </w:r>
      <w:r>
        <w:t xml:space="preserve">uidance documents found that </w:t>
      </w:r>
      <w:r w:rsidR="002A73D9">
        <w:t xml:space="preserve">51 </w:t>
      </w:r>
      <w:r>
        <w:t xml:space="preserve">of the 60 produced </w:t>
      </w:r>
      <w:r w:rsidR="00BB61E2">
        <w:t>a quantitative</w:t>
      </w:r>
      <w:r>
        <w:t xml:space="preserve"> estimate of the cost of the public health recommendations made. </w:t>
      </w:r>
      <w:r w:rsidR="001E583A">
        <w:t xml:space="preserve"> Of these</w:t>
      </w:r>
      <w:r w:rsidR="0085212C">
        <w:t>,</w:t>
      </w:r>
      <w:r w:rsidR="001E583A">
        <w:t xml:space="preserve"> 43 failed to report the cost of the interventions disaggregated by the s</w:t>
      </w:r>
      <w:r w:rsidR="0085212C">
        <w:t xml:space="preserve">ectors that would bear the cost, consisting </w:t>
      </w:r>
      <w:r w:rsidR="001E583A">
        <w:t xml:space="preserve">of </w:t>
      </w:r>
      <w:r w:rsidR="0043675A">
        <w:t xml:space="preserve">three distinct groups: </w:t>
      </w:r>
    </w:p>
    <w:p w14:paraId="69818536" w14:textId="59C8AF30" w:rsidR="00C35F1C" w:rsidRDefault="0043675A" w:rsidP="00F3360D">
      <w:pPr>
        <w:pStyle w:val="ListParagraph"/>
        <w:numPr>
          <w:ilvl w:val="0"/>
          <w:numId w:val="8"/>
        </w:numPr>
        <w:spacing w:line="360" w:lineRule="auto"/>
      </w:pPr>
      <w:r>
        <w:t>those which</w:t>
      </w:r>
      <w:r w:rsidR="001E583A">
        <w:t xml:space="preserve"> </w:t>
      </w:r>
      <w:r w:rsidR="000D5D25">
        <w:t xml:space="preserve">considered </w:t>
      </w:r>
      <w:r w:rsidR="001E583A">
        <w:t>a total cost</w:t>
      </w:r>
      <w:r w:rsidR="000D5D25">
        <w:t xml:space="preserve"> burden</w:t>
      </w:r>
      <w:r w:rsidR="001E583A">
        <w:t xml:space="preserve"> that aggregated costs across mul</w:t>
      </w:r>
      <w:r>
        <w:t>tiple sectors</w:t>
      </w:r>
      <w:r w:rsidR="000D5D25">
        <w:t xml:space="preserve"> </w:t>
      </w:r>
      <w:r w:rsidR="000D5D25" w:rsidRPr="00CA0A8D">
        <w:rPr>
          <w:b/>
        </w:rPr>
        <w:t>with</w:t>
      </w:r>
      <w:r w:rsidR="000D5D25">
        <w:t xml:space="preserve"> a clear statement of the sectors included </w:t>
      </w:r>
      <w:r>
        <w:t>(n=16)</w:t>
      </w:r>
      <w:r w:rsidR="00C35F1C">
        <w:t>;</w:t>
      </w:r>
      <w:r>
        <w:t xml:space="preserve"> </w:t>
      </w:r>
    </w:p>
    <w:p w14:paraId="6FA320E0" w14:textId="233EC18C" w:rsidR="000D5D25" w:rsidRDefault="000D5D25" w:rsidP="000D5D25">
      <w:pPr>
        <w:pStyle w:val="ListParagraph"/>
        <w:numPr>
          <w:ilvl w:val="0"/>
          <w:numId w:val="8"/>
        </w:numPr>
        <w:spacing w:line="360" w:lineRule="auto"/>
      </w:pPr>
      <w:r>
        <w:t xml:space="preserve">those which considered a total cost burden that aggregated costs across multiple sectors but </w:t>
      </w:r>
      <w:r w:rsidRPr="00CA0A8D">
        <w:rPr>
          <w:b/>
        </w:rPr>
        <w:t>without</w:t>
      </w:r>
      <w:r>
        <w:t xml:space="preserve"> a clear statement of the sectors (n=13);  </w:t>
      </w:r>
    </w:p>
    <w:p w14:paraId="3EE0CE7C" w14:textId="3993CCC3" w:rsidR="00C35F1C" w:rsidRDefault="0043675A" w:rsidP="00F3360D">
      <w:pPr>
        <w:pStyle w:val="ListParagraph"/>
        <w:numPr>
          <w:ilvl w:val="0"/>
          <w:numId w:val="8"/>
        </w:numPr>
        <w:spacing w:line="360" w:lineRule="auto"/>
      </w:pPr>
      <w:r>
        <w:t>those which</w:t>
      </w:r>
      <w:r w:rsidR="001E583A">
        <w:t xml:space="preserve"> </w:t>
      </w:r>
      <w:r>
        <w:t xml:space="preserve">considered </w:t>
      </w:r>
      <w:r w:rsidR="000D5D25">
        <w:t xml:space="preserve">a total cost burden to </w:t>
      </w:r>
      <w:r>
        <w:t xml:space="preserve">the NHS </w:t>
      </w:r>
      <w:r w:rsidR="000D5D25">
        <w:t xml:space="preserve">alone, </w:t>
      </w:r>
      <w:r>
        <w:t>despite acknowledging a cost burden on wider sectors (n=14), and</w:t>
      </w:r>
      <w:r w:rsidR="00C35F1C">
        <w:t>;</w:t>
      </w:r>
      <w:r>
        <w:t xml:space="preserve"> </w:t>
      </w:r>
    </w:p>
    <w:p w14:paraId="0A9560DF" w14:textId="5EECA774" w:rsidR="0043675A" w:rsidRDefault="0043675A" w:rsidP="00E03683">
      <w:pPr>
        <w:spacing w:line="360" w:lineRule="auto"/>
      </w:pPr>
      <w:r>
        <w:t xml:space="preserve">The remaining </w:t>
      </w:r>
      <w:r w:rsidR="0085212C">
        <w:t>eight</w:t>
      </w:r>
      <w:r w:rsidR="009E6FDE">
        <w:t xml:space="preserve"> guidelines contained </w:t>
      </w:r>
      <w:r>
        <w:t>some</w:t>
      </w:r>
      <w:r w:rsidR="009E6FDE">
        <w:t xml:space="preserve"> attempt to report the cost of the intervention disaggregated by the sector which would bear the cost</w:t>
      </w:r>
      <w:r w:rsidR="000663DA">
        <w:t xml:space="preserve"> (PH13, PH29, PH31, PH43, PH48, PH50, NG16, and NG48)</w:t>
      </w:r>
      <w:r w:rsidR="009E6FDE">
        <w:t>.</w:t>
      </w:r>
      <w:r w:rsidR="00A2681C">
        <w:t xml:space="preserve">  </w:t>
      </w:r>
    </w:p>
    <w:p w14:paraId="0DDBB26D" w14:textId="17BC23B2" w:rsidR="000663DA" w:rsidRDefault="00BB61E2" w:rsidP="00E03683">
      <w:pPr>
        <w:spacing w:line="360" w:lineRule="auto"/>
      </w:pPr>
      <w:r>
        <w:lastRenderedPageBreak/>
        <w:t>T</w:t>
      </w:r>
      <w:r w:rsidR="002A73D9">
        <w:t>hree</w:t>
      </w:r>
      <w:r w:rsidR="00A2681C">
        <w:t xml:space="preserve"> </w:t>
      </w:r>
      <w:r w:rsidR="002A73D9">
        <w:t xml:space="preserve">of the nine </w:t>
      </w:r>
      <w:r w:rsidR="0043675A">
        <w:t xml:space="preserve">guidelines </w:t>
      </w:r>
      <w:r w:rsidR="002A73D9">
        <w:t>that</w:t>
      </w:r>
      <w:r w:rsidR="0043675A">
        <w:t xml:space="preserve"> fail</w:t>
      </w:r>
      <w:r w:rsidR="00075C8E">
        <w:t>ed</w:t>
      </w:r>
      <w:r w:rsidR="0043675A">
        <w:t xml:space="preserve"> to </w:t>
      </w:r>
      <w:r w:rsidR="00075C8E">
        <w:t xml:space="preserve">provide a </w:t>
      </w:r>
      <w:r>
        <w:t xml:space="preserve">quantitative </w:t>
      </w:r>
      <w:r w:rsidR="0043675A">
        <w:t xml:space="preserve">estimate </w:t>
      </w:r>
      <w:r>
        <w:t xml:space="preserve">of </w:t>
      </w:r>
      <w:r w:rsidR="0043675A">
        <w:t xml:space="preserve">the cost of </w:t>
      </w:r>
      <w:r>
        <w:t>recommended</w:t>
      </w:r>
      <w:r w:rsidR="0043675A">
        <w:t xml:space="preserve"> interventions qualitatively </w:t>
      </w:r>
      <w:r w:rsidR="00A2681C">
        <w:t>reported a number of possible resource use implications</w:t>
      </w:r>
      <w:r w:rsidR="009E6FDE">
        <w:t xml:space="preserve"> or presented</w:t>
      </w:r>
      <w:r w:rsidR="00A2681C">
        <w:t xml:space="preserve"> specific </w:t>
      </w:r>
      <w:r w:rsidR="009E6FDE">
        <w:t>non-NHS sector</w:t>
      </w:r>
      <w:r w:rsidR="009E6FDE" w:rsidRPr="009E6FDE">
        <w:t xml:space="preserve"> </w:t>
      </w:r>
      <w:r w:rsidR="009E6FDE">
        <w:t>unit costs without associated estimates of quantity</w:t>
      </w:r>
      <w:r w:rsidR="000663DA">
        <w:t xml:space="preserve"> (PH24</w:t>
      </w:r>
      <w:r w:rsidR="00DA0B90">
        <w:t>,</w:t>
      </w:r>
      <w:r w:rsidR="000663DA">
        <w:t xml:space="preserve"> PH28</w:t>
      </w:r>
      <w:r w:rsidR="00DA0B90">
        <w:t>, and NG6</w:t>
      </w:r>
      <w:r w:rsidR="000663DA">
        <w:t>)</w:t>
      </w:r>
      <w:r w:rsidR="009E6FDE">
        <w:t xml:space="preserve">.  </w:t>
      </w:r>
      <w:r w:rsidR="000663DA">
        <w:t xml:space="preserve">These included the production of a table </w:t>
      </w:r>
      <w:r w:rsidR="00DA0B90">
        <w:t xml:space="preserve">in NG6 </w:t>
      </w:r>
      <w:r w:rsidR="000663DA">
        <w:t xml:space="preserve">of expected direction of cost burden </w:t>
      </w:r>
      <w:r w:rsidR="00DA0B90">
        <w:t>o</w:t>
      </w:r>
      <w:r w:rsidR="0043675A">
        <w:t xml:space="preserve">n a </w:t>
      </w:r>
      <w:r w:rsidR="00DA0B90">
        <w:t xml:space="preserve">number of </w:t>
      </w:r>
      <w:r w:rsidR="0043675A">
        <w:t xml:space="preserve">sectors </w:t>
      </w:r>
      <w:r w:rsidR="000663DA">
        <w:t>(NHS, Local Authority, Government, and Householder)</w:t>
      </w:r>
      <w:r w:rsidR="00A2681C">
        <w:t xml:space="preserve">.  </w:t>
      </w:r>
    </w:p>
    <w:p w14:paraId="499763CD" w14:textId="77777777" w:rsidR="003D6090" w:rsidRDefault="003D6090" w:rsidP="00E03683">
      <w:pPr>
        <w:spacing w:line="360" w:lineRule="auto"/>
        <w:rPr>
          <w:b/>
          <w:i/>
        </w:rPr>
      </w:pPr>
    </w:p>
    <w:p w14:paraId="6CEC918F" w14:textId="01D8B024" w:rsidR="00773D58" w:rsidRPr="008129AB" w:rsidRDefault="00773D58" w:rsidP="00E03683">
      <w:pPr>
        <w:pStyle w:val="ListParagraph"/>
        <w:numPr>
          <w:ilvl w:val="0"/>
          <w:numId w:val="5"/>
        </w:numPr>
        <w:spacing w:line="360" w:lineRule="auto"/>
        <w:rPr>
          <w:b/>
        </w:rPr>
      </w:pPr>
      <w:r w:rsidRPr="008129AB">
        <w:rPr>
          <w:b/>
        </w:rPr>
        <w:t>Discussion</w:t>
      </w:r>
    </w:p>
    <w:p w14:paraId="4A99178E" w14:textId="59927020" w:rsidR="00773D58" w:rsidRPr="008129AB" w:rsidRDefault="00773D58" w:rsidP="00E03683">
      <w:pPr>
        <w:pStyle w:val="ListParagraph"/>
        <w:numPr>
          <w:ilvl w:val="1"/>
          <w:numId w:val="5"/>
        </w:numPr>
        <w:spacing w:line="360" w:lineRule="auto"/>
      </w:pPr>
      <w:r w:rsidRPr="008129AB">
        <w:t>Key Findings</w:t>
      </w:r>
    </w:p>
    <w:p w14:paraId="6E297F1F" w14:textId="3057FC75" w:rsidR="00773D58" w:rsidRPr="00773D58" w:rsidRDefault="00773D58" w:rsidP="00E03683">
      <w:pPr>
        <w:spacing w:line="360" w:lineRule="auto"/>
      </w:pPr>
      <w:r w:rsidRPr="00773D58">
        <w:t>This study reviewed all</w:t>
      </w:r>
      <w:r w:rsidR="004D1D24">
        <w:t xml:space="preserve"> of the</w:t>
      </w:r>
      <w:r w:rsidRPr="00773D58">
        <w:t xml:space="preserve"> </w:t>
      </w:r>
      <w:r w:rsidR="004D1D24">
        <w:t xml:space="preserve">published </w:t>
      </w:r>
      <w:r w:rsidRPr="00773D58">
        <w:t xml:space="preserve">NICE public health guidelines and examined the recommendations made to identify where the costs of public health interventions fall. </w:t>
      </w:r>
      <w:r w:rsidRPr="00773D58">
        <w:rPr>
          <w:lang w:val="en-US"/>
        </w:rPr>
        <w:t>The main findings of the review were that public health interventions generate multi</w:t>
      </w:r>
      <w:r w:rsidR="004D1D24">
        <w:rPr>
          <w:lang w:val="en-US"/>
        </w:rPr>
        <w:t>-</w:t>
      </w:r>
      <w:r w:rsidRPr="00773D58">
        <w:rPr>
          <w:lang w:val="en-US"/>
        </w:rPr>
        <w:t xml:space="preserve">sectoral costs but </w:t>
      </w:r>
      <w:r w:rsidR="00DD2C9D">
        <w:rPr>
          <w:lang w:val="en-US"/>
        </w:rPr>
        <w:t xml:space="preserve">that the </w:t>
      </w:r>
      <w:r w:rsidR="00DE61B6">
        <w:rPr>
          <w:lang w:val="en-US"/>
        </w:rPr>
        <w:t xml:space="preserve">majority </w:t>
      </w:r>
      <w:r w:rsidR="0085212C">
        <w:rPr>
          <w:lang w:val="en-US"/>
        </w:rPr>
        <w:t xml:space="preserve">of </w:t>
      </w:r>
      <w:r w:rsidR="00DD2C9D">
        <w:rPr>
          <w:lang w:val="en-US"/>
        </w:rPr>
        <w:t>NICE guidelines</w:t>
      </w:r>
      <w:r w:rsidRPr="00773D58">
        <w:rPr>
          <w:lang w:val="en-US"/>
        </w:rPr>
        <w:t xml:space="preserve"> </w:t>
      </w:r>
      <w:r w:rsidR="00DE61B6">
        <w:rPr>
          <w:lang w:val="en-US"/>
        </w:rPr>
        <w:t>do not</w:t>
      </w:r>
      <w:r w:rsidR="0070604E">
        <w:rPr>
          <w:lang w:val="en-US"/>
        </w:rPr>
        <w:t xml:space="preserve"> </w:t>
      </w:r>
      <w:r w:rsidRPr="00773D58">
        <w:rPr>
          <w:lang w:val="en-US"/>
        </w:rPr>
        <w:t>report</w:t>
      </w:r>
      <w:r w:rsidR="0070604E">
        <w:rPr>
          <w:lang w:val="en-US"/>
        </w:rPr>
        <w:t xml:space="preserve"> </w:t>
      </w:r>
      <w:r w:rsidR="00DE61B6">
        <w:rPr>
          <w:lang w:val="en-US"/>
        </w:rPr>
        <w:t>costs by sector</w:t>
      </w:r>
      <w:r w:rsidR="004D1D24">
        <w:rPr>
          <w:lang w:val="en-US"/>
        </w:rPr>
        <w:t xml:space="preserve">, and that there appears to be no consistency as to the approach taken to </w:t>
      </w:r>
      <w:r w:rsidR="00DE61B6">
        <w:rPr>
          <w:lang w:val="en-US"/>
        </w:rPr>
        <w:t xml:space="preserve">evaluate multi-sectoral </w:t>
      </w:r>
      <w:r w:rsidR="0085212C">
        <w:rPr>
          <w:lang w:val="en-US"/>
        </w:rPr>
        <w:t>burdens</w:t>
      </w:r>
      <w:r w:rsidRPr="00773D58">
        <w:rPr>
          <w:lang w:val="en-US"/>
        </w:rPr>
        <w:t xml:space="preserve">. </w:t>
      </w:r>
    </w:p>
    <w:p w14:paraId="48FEAE9D" w14:textId="4D1E4BA4" w:rsidR="00773D58" w:rsidRPr="00773D58" w:rsidRDefault="00501508" w:rsidP="00E03683">
      <w:pPr>
        <w:spacing w:line="360" w:lineRule="auto"/>
      </w:pPr>
      <w:r>
        <w:rPr>
          <w:lang w:val="en-US"/>
        </w:rPr>
        <w:t>T</w:t>
      </w:r>
      <w:r w:rsidR="00773D58" w:rsidRPr="00773D58">
        <w:rPr>
          <w:lang w:val="en-US"/>
        </w:rPr>
        <w:t xml:space="preserve">his review </w:t>
      </w:r>
      <w:r>
        <w:rPr>
          <w:lang w:val="en-US"/>
        </w:rPr>
        <w:t>identified</w:t>
      </w:r>
      <w:r w:rsidR="00773D58" w:rsidRPr="00773D58">
        <w:rPr>
          <w:lang w:val="en-US"/>
        </w:rPr>
        <w:t xml:space="preserve"> that the majority of the costs associated with guideline recommendations fall on the health sector and Local Authority Public Health costs</w:t>
      </w:r>
      <w:r w:rsidR="008F21EC">
        <w:rPr>
          <w:lang w:val="en-US"/>
        </w:rPr>
        <w:t xml:space="preserve">, but </w:t>
      </w:r>
      <w:r w:rsidR="0085212C">
        <w:rPr>
          <w:lang w:val="en-US"/>
        </w:rPr>
        <w:t>that they</w:t>
      </w:r>
      <w:r w:rsidR="008F21EC">
        <w:rPr>
          <w:lang w:val="en-US"/>
        </w:rPr>
        <w:t xml:space="preserve"> frequently fell on other sectors as well</w:t>
      </w:r>
      <w:r w:rsidR="00BB61E2">
        <w:rPr>
          <w:lang w:val="en-US"/>
        </w:rPr>
        <w:t>.  This</w:t>
      </w:r>
      <w:r w:rsidR="0085212C">
        <w:rPr>
          <w:lang w:val="en-US"/>
        </w:rPr>
        <w:t xml:space="preserve"> highlight</w:t>
      </w:r>
      <w:r w:rsidR="00BB61E2">
        <w:rPr>
          <w:lang w:val="en-US"/>
        </w:rPr>
        <w:t>s</w:t>
      </w:r>
      <w:r w:rsidR="00773D58" w:rsidRPr="00773D58">
        <w:rPr>
          <w:lang w:val="en-US"/>
        </w:rPr>
        <w:t xml:space="preserve"> that </w:t>
      </w:r>
      <w:r w:rsidR="00BB61E2">
        <w:rPr>
          <w:lang w:val="en-US"/>
        </w:rPr>
        <w:t>NICE public health recommendations have</w:t>
      </w:r>
      <w:r w:rsidR="00773D58" w:rsidRPr="00773D58">
        <w:rPr>
          <w:lang w:val="en-US"/>
        </w:rPr>
        <w:t xml:space="preserve"> cost implications </w:t>
      </w:r>
      <w:r w:rsidR="008F21EC">
        <w:rPr>
          <w:lang w:val="en-US"/>
        </w:rPr>
        <w:t>for multiple sectors</w:t>
      </w:r>
      <w:r w:rsidR="004D1D24">
        <w:rPr>
          <w:lang w:val="en-US"/>
        </w:rPr>
        <w:t xml:space="preserve">.  </w:t>
      </w:r>
    </w:p>
    <w:p w14:paraId="5D87FBE8" w14:textId="65F70BF0" w:rsidR="00501508" w:rsidRDefault="0047034B" w:rsidP="00E03683">
      <w:pPr>
        <w:spacing w:line="360" w:lineRule="auto"/>
      </w:pPr>
      <w:r>
        <w:t>D</w:t>
      </w:r>
      <w:r w:rsidR="00501508">
        <w:t>espite the majority of recommendations having</w:t>
      </w:r>
      <w:r w:rsidR="007825F3">
        <w:t xml:space="preserve"> cost</w:t>
      </w:r>
      <w:r w:rsidR="00773D58" w:rsidRPr="00773D58">
        <w:t xml:space="preserve"> implications</w:t>
      </w:r>
      <w:r w:rsidR="00F14CE1">
        <w:t xml:space="preserve"> for different budgets (and therefore decision makers)</w:t>
      </w:r>
      <w:r w:rsidR="00773D58" w:rsidRPr="00773D58">
        <w:t xml:space="preserve">, only </w:t>
      </w:r>
      <w:r>
        <w:t>eight</w:t>
      </w:r>
      <w:r w:rsidR="00501508">
        <w:t xml:space="preserve"> of the accompanying </w:t>
      </w:r>
      <w:r w:rsidR="00773D58" w:rsidRPr="00773D58">
        <w:t>economic evaluation</w:t>
      </w:r>
      <w:r w:rsidR="00501508">
        <w:t>s</w:t>
      </w:r>
      <w:r w:rsidR="00773D58" w:rsidRPr="00773D58">
        <w:t xml:space="preserve"> attempted to report the</w:t>
      </w:r>
      <w:r w:rsidR="00501508">
        <w:t xml:space="preserve"> full set of total </w:t>
      </w:r>
      <w:r w:rsidR="00773D58" w:rsidRPr="00773D58">
        <w:t xml:space="preserve">costs according to the appropriate sectors in which they fall. </w:t>
      </w:r>
      <w:r w:rsidR="00501508">
        <w:t xml:space="preserve"> </w:t>
      </w:r>
      <w:r w:rsidR="00DE61B6">
        <w:t>Outside of the health sector there were no attempts to</w:t>
      </w:r>
      <w:r w:rsidR="00DE61B6">
        <w:rPr>
          <w:lang w:val="en-US"/>
        </w:rPr>
        <w:t xml:space="preserve"> reflect sector specific opportunity cost</w:t>
      </w:r>
      <w:r>
        <w:rPr>
          <w:lang w:val="en-US"/>
        </w:rPr>
        <w:t>s</w:t>
      </w:r>
      <w:r w:rsidR="00DE61B6">
        <w:rPr>
          <w:lang w:val="en-US"/>
        </w:rPr>
        <w:t xml:space="preserve"> of </w:t>
      </w:r>
      <w:r w:rsidR="00145942">
        <w:rPr>
          <w:lang w:val="en-US"/>
        </w:rPr>
        <w:t>adherence to the NICE recommendations</w:t>
      </w:r>
      <w:r w:rsidR="00DE61B6">
        <w:rPr>
          <w:lang w:val="en-US"/>
        </w:rPr>
        <w:t>.</w:t>
      </w:r>
    </w:p>
    <w:p w14:paraId="06C9D8C6" w14:textId="7C8AE8CE" w:rsidR="00773D58" w:rsidRPr="008129AB" w:rsidRDefault="00773D58" w:rsidP="00E03683">
      <w:pPr>
        <w:pStyle w:val="ListParagraph"/>
        <w:numPr>
          <w:ilvl w:val="1"/>
          <w:numId w:val="5"/>
        </w:numPr>
        <w:spacing w:line="360" w:lineRule="auto"/>
        <w:rPr>
          <w:lang w:val="en-US"/>
        </w:rPr>
      </w:pPr>
      <w:r w:rsidRPr="008129AB">
        <w:rPr>
          <w:lang w:val="en-US"/>
        </w:rPr>
        <w:t>Strengths and Limitations</w:t>
      </w:r>
    </w:p>
    <w:p w14:paraId="40A780EB" w14:textId="713F5B5C" w:rsidR="002753E3" w:rsidRDefault="002753E3" w:rsidP="00E03683">
      <w:pPr>
        <w:spacing w:line="360" w:lineRule="auto"/>
      </w:pPr>
      <w:r>
        <w:t xml:space="preserve">The primary strength of this study is that it </w:t>
      </w:r>
      <w:r w:rsidR="003C72FE">
        <w:t xml:space="preserve">is the </w:t>
      </w:r>
      <w:r>
        <w:t xml:space="preserve">first to explicitly consider </w:t>
      </w:r>
      <w:r w:rsidR="003C72FE">
        <w:t>where</w:t>
      </w:r>
      <w:r>
        <w:t xml:space="preserve"> the costs of</w:t>
      </w:r>
      <w:r w:rsidR="00145942">
        <w:t xml:space="preserve"> adherence to</w:t>
      </w:r>
      <w:r>
        <w:t xml:space="preserve"> historic NICE public health recommendations fall.  </w:t>
      </w:r>
      <w:r w:rsidR="00C56B0B">
        <w:t>In doing so i</w:t>
      </w:r>
      <w:r>
        <w:t xml:space="preserve">t provides </w:t>
      </w:r>
      <w:r w:rsidR="003C72FE">
        <w:t>a</w:t>
      </w:r>
      <w:r w:rsidR="00C56B0B">
        <w:t xml:space="preserve"> potential categorisation</w:t>
      </w:r>
      <w:r>
        <w:t xml:space="preserve"> against which the structuring of public health cost burdens </w:t>
      </w:r>
      <w:r w:rsidR="00DE61B6">
        <w:t>c</w:t>
      </w:r>
      <w:r>
        <w:t xml:space="preserve">ould be considered in order to </w:t>
      </w:r>
      <w:r w:rsidR="00DE61B6">
        <w:t xml:space="preserve">more </w:t>
      </w:r>
      <w:r>
        <w:t xml:space="preserve">accurately reflect independent budget constraints and sector specific opportunity costs.  </w:t>
      </w:r>
      <w:r w:rsidR="00C56B0B">
        <w:t>However, there are potentially many different ways to categorise the siloed budgets that are impacted by public health activities, with the five implemented here representing arguably the most aggregated form.</w:t>
      </w:r>
    </w:p>
    <w:p w14:paraId="4539FAB2" w14:textId="26A0C658" w:rsidR="00773D58" w:rsidRDefault="003C72FE" w:rsidP="00E03683">
      <w:pPr>
        <w:spacing w:line="360" w:lineRule="auto"/>
        <w:rPr>
          <w:lang w:val="en-US"/>
        </w:rPr>
      </w:pPr>
      <w:r>
        <w:lastRenderedPageBreak/>
        <w:t>Reviewer</w:t>
      </w:r>
      <w:r w:rsidRPr="00773D58">
        <w:t>s</w:t>
      </w:r>
      <w:r>
        <w:t>’</w:t>
      </w:r>
      <w:r w:rsidRPr="00773D58">
        <w:t xml:space="preserve"> </w:t>
      </w:r>
      <w:r w:rsidR="00773D58" w:rsidRPr="00773D58">
        <w:t xml:space="preserve">judgement played an important role in cases where distinction between </w:t>
      </w:r>
      <w:r w:rsidR="00F14CE1">
        <w:t xml:space="preserve">whether </w:t>
      </w:r>
      <w:r w:rsidR="00773D58" w:rsidRPr="00773D58">
        <w:t xml:space="preserve">services </w:t>
      </w:r>
      <w:r w:rsidR="00F14CE1">
        <w:t xml:space="preserve">were </w:t>
      </w:r>
      <w:r w:rsidR="00773D58" w:rsidRPr="00773D58">
        <w:t xml:space="preserve">provided at </w:t>
      </w:r>
      <w:r w:rsidR="00E82841">
        <w:t xml:space="preserve">NHS, </w:t>
      </w:r>
      <w:r w:rsidR="00773D58" w:rsidRPr="00773D58">
        <w:t>l</w:t>
      </w:r>
      <w:r w:rsidR="00E82841">
        <w:t>ocal authority, or</w:t>
      </w:r>
      <w:r w:rsidR="00773D58" w:rsidRPr="00773D58">
        <w:t xml:space="preserve"> central government level </w:t>
      </w:r>
      <w:r w:rsidR="00E82841">
        <w:t>was</w:t>
      </w:r>
      <w:r w:rsidR="00773D58" w:rsidRPr="00773D58">
        <w:t xml:space="preserve"> not </w:t>
      </w:r>
      <w:r w:rsidR="00BC33FD">
        <w:t>clear</w:t>
      </w:r>
      <w:r w:rsidR="0047034B">
        <w:t xml:space="preserve">, especially due to the </w:t>
      </w:r>
      <w:r w:rsidR="00BC33FD">
        <w:t xml:space="preserve">changing </w:t>
      </w:r>
      <w:r w:rsidR="0047034B">
        <w:t>budget responsibility implications of the 2012 Health and Social Care Act</w:t>
      </w:r>
      <w:r w:rsidR="00773D58" w:rsidRPr="00773D58">
        <w:t xml:space="preserve">. Another limitation is the possibility of overlooking information presented in the appendices and </w:t>
      </w:r>
      <w:r w:rsidR="00773D58" w:rsidRPr="00773D58">
        <w:rPr>
          <w:lang w:val="en-US"/>
        </w:rPr>
        <w:t xml:space="preserve">other documents such as NICE committee board discussion, where there may be additional information or issues which have been resolved in the committee meeting. </w:t>
      </w:r>
      <w:r w:rsidR="00B860F6">
        <w:rPr>
          <w:lang w:val="en-US"/>
        </w:rPr>
        <w:t xml:space="preserve"> Similarly, other evaluations of public health interventions exist outside of the NICE framework, and as such are not covered by this research.</w:t>
      </w:r>
    </w:p>
    <w:p w14:paraId="05073E8B" w14:textId="00E5E36E" w:rsidR="005D58D3" w:rsidRDefault="005D58D3" w:rsidP="00E03683">
      <w:pPr>
        <w:spacing w:line="360" w:lineRule="auto"/>
        <w:rPr>
          <w:lang w:val="en-US"/>
        </w:rPr>
      </w:pPr>
      <w:r>
        <w:rPr>
          <w:lang w:val="en-US"/>
        </w:rPr>
        <w:t>Due to a lack of clarity in the guidelines and understanding of the service provisi</w:t>
      </w:r>
      <w:r w:rsidR="00E8366C">
        <w:rPr>
          <w:lang w:val="en-US"/>
        </w:rPr>
        <w:t>on in the Third S</w:t>
      </w:r>
      <w:r>
        <w:rPr>
          <w:lang w:val="en-US"/>
        </w:rPr>
        <w:t xml:space="preserve">ector it was excluded from the categorization of budgetary areas.  Undoubtedly, NICE guidelines, if implemented, will have budgetary implications for the </w:t>
      </w:r>
      <w:r w:rsidR="00E8366C">
        <w:rPr>
          <w:lang w:val="en-US"/>
        </w:rPr>
        <w:t>T</w:t>
      </w:r>
      <w:r>
        <w:rPr>
          <w:lang w:val="en-US"/>
        </w:rPr>
        <w:t xml:space="preserve">hird </w:t>
      </w:r>
      <w:r w:rsidR="00E8366C">
        <w:rPr>
          <w:lang w:val="en-US"/>
        </w:rPr>
        <w:t>S</w:t>
      </w:r>
      <w:r>
        <w:rPr>
          <w:lang w:val="en-US"/>
        </w:rPr>
        <w:t xml:space="preserve">ector, as </w:t>
      </w:r>
      <w:r w:rsidR="00E8366C">
        <w:rPr>
          <w:lang w:val="en-US"/>
        </w:rPr>
        <w:t>it</w:t>
      </w:r>
      <w:r>
        <w:rPr>
          <w:lang w:val="en-US"/>
        </w:rPr>
        <w:t xml:space="preserve"> may directly </w:t>
      </w:r>
      <w:r w:rsidR="00E8366C">
        <w:rPr>
          <w:lang w:val="en-US"/>
        </w:rPr>
        <w:t>provide</w:t>
      </w:r>
      <w:r>
        <w:rPr>
          <w:lang w:val="en-US"/>
        </w:rPr>
        <w:t xml:space="preserve"> the</w:t>
      </w:r>
      <w:r w:rsidR="00E8366C">
        <w:rPr>
          <w:lang w:val="en-US"/>
        </w:rPr>
        <w:t xml:space="preserve"> interventions</w:t>
      </w:r>
      <w:r>
        <w:rPr>
          <w:lang w:val="en-US"/>
        </w:rPr>
        <w:t xml:space="preserve"> recommendations or </w:t>
      </w:r>
      <w:r w:rsidR="00E8366C">
        <w:rPr>
          <w:lang w:val="en-US"/>
        </w:rPr>
        <w:t xml:space="preserve">currently provide </w:t>
      </w:r>
      <w:r>
        <w:rPr>
          <w:lang w:val="en-US"/>
        </w:rPr>
        <w:t>services in an area of public health</w:t>
      </w:r>
      <w:r w:rsidR="00E8366C">
        <w:rPr>
          <w:lang w:val="en-US"/>
        </w:rPr>
        <w:t xml:space="preserve"> which may be</w:t>
      </w:r>
      <w:r>
        <w:rPr>
          <w:lang w:val="en-US"/>
        </w:rPr>
        <w:t xml:space="preserve"> replaced by national investments. </w:t>
      </w:r>
    </w:p>
    <w:p w14:paraId="76D0B6D3" w14:textId="62D65808" w:rsidR="00B24817" w:rsidRPr="00773D58" w:rsidRDefault="00B24817" w:rsidP="00E03683">
      <w:pPr>
        <w:spacing w:line="360" w:lineRule="auto"/>
        <w:rPr>
          <w:lang w:val="en-US"/>
        </w:rPr>
      </w:pPr>
      <w:r>
        <w:rPr>
          <w:lang w:val="en-US"/>
        </w:rPr>
        <w:t>This paper has focused on the cost burden of public health guidelines, however, clearly the consideration of opportunity cost across multiple sectors requires acknowledgement of the different outcomes of interest.  The clarification, definition, and estimation of the comparative value of cross sector outcomes represents the most significant challenge to the construction of efficient cross sector decision making</w:t>
      </w:r>
      <w:r w:rsidR="00B860F6">
        <w:rPr>
          <w:lang w:val="en-US"/>
        </w:rPr>
        <w:t>.</w:t>
      </w:r>
    </w:p>
    <w:p w14:paraId="5C5346F8" w14:textId="6100EC4E" w:rsidR="00773D58" w:rsidRPr="008129AB" w:rsidRDefault="00773D58" w:rsidP="00E03683">
      <w:pPr>
        <w:pStyle w:val="ListParagraph"/>
        <w:numPr>
          <w:ilvl w:val="1"/>
          <w:numId w:val="5"/>
        </w:numPr>
        <w:spacing w:line="360" w:lineRule="auto"/>
        <w:rPr>
          <w:lang w:val="en-US"/>
        </w:rPr>
      </w:pPr>
      <w:r w:rsidRPr="008129AB">
        <w:rPr>
          <w:lang w:val="en-US"/>
        </w:rPr>
        <w:t>What This Study Adds</w:t>
      </w:r>
    </w:p>
    <w:p w14:paraId="01D67CCD" w14:textId="098340E8" w:rsidR="00773D58" w:rsidRPr="00773D58" w:rsidRDefault="00773D58" w:rsidP="00E03683">
      <w:pPr>
        <w:spacing w:line="360" w:lineRule="auto"/>
        <w:rPr>
          <w:lang w:val="en-US"/>
        </w:rPr>
      </w:pPr>
      <w:r w:rsidRPr="00773D58">
        <w:rPr>
          <w:lang w:val="en-US"/>
        </w:rPr>
        <w:t xml:space="preserve">This study found that there </w:t>
      </w:r>
      <w:r w:rsidR="00E82841">
        <w:rPr>
          <w:lang w:val="en-US"/>
        </w:rPr>
        <w:t xml:space="preserve">has been a consistent failure in NICE public health guidelines to reflect the issue of sector specific budget constraints and opportunity costs in the estimation of the cost burden of public health recommendations. </w:t>
      </w:r>
    </w:p>
    <w:p w14:paraId="6296B1AC" w14:textId="58A60743" w:rsidR="00773D58" w:rsidRPr="008129AB" w:rsidRDefault="00773D58" w:rsidP="00E03683">
      <w:pPr>
        <w:pStyle w:val="ListParagraph"/>
        <w:numPr>
          <w:ilvl w:val="1"/>
          <w:numId w:val="5"/>
        </w:numPr>
        <w:spacing w:line="360" w:lineRule="auto"/>
      </w:pPr>
      <w:r w:rsidRPr="008129AB">
        <w:t xml:space="preserve">Implications for </w:t>
      </w:r>
      <w:r w:rsidR="00E914FB">
        <w:t>the future economic evaluation of public health interventions</w:t>
      </w:r>
      <w:r w:rsidRPr="008129AB">
        <w:t xml:space="preserve"> </w:t>
      </w:r>
    </w:p>
    <w:p w14:paraId="550A6F08" w14:textId="0E52B50D" w:rsidR="00912DF0" w:rsidRDefault="00F14CE1" w:rsidP="00E03683">
      <w:pPr>
        <w:spacing w:line="360" w:lineRule="auto"/>
        <w:rPr>
          <w:lang w:val="en-US"/>
        </w:rPr>
      </w:pPr>
      <w:r>
        <w:rPr>
          <w:lang w:val="en-US"/>
        </w:rPr>
        <w:t>F</w:t>
      </w:r>
      <w:r w:rsidR="003938C1">
        <w:rPr>
          <w:lang w:val="en-US"/>
        </w:rPr>
        <w:t xml:space="preserve">ailing to </w:t>
      </w:r>
      <w:r w:rsidR="00912DF0">
        <w:rPr>
          <w:lang w:val="en-US"/>
        </w:rPr>
        <w:t>provide</w:t>
      </w:r>
      <w:r w:rsidR="003938C1">
        <w:rPr>
          <w:lang w:val="en-US"/>
        </w:rPr>
        <w:t xml:space="preserve"> sufficient detail t</w:t>
      </w:r>
      <w:r w:rsidR="00912DF0">
        <w:rPr>
          <w:lang w:val="en-US"/>
        </w:rPr>
        <w:t xml:space="preserve">o inform the full set of stakeholders who bear the costs of </w:t>
      </w:r>
      <w:r w:rsidR="00145942">
        <w:rPr>
          <w:lang w:val="en-US"/>
        </w:rPr>
        <w:t>adherence to</w:t>
      </w:r>
      <w:r w:rsidR="00912DF0">
        <w:rPr>
          <w:lang w:val="en-US"/>
        </w:rPr>
        <w:t xml:space="preserve"> recommendations </w:t>
      </w:r>
      <w:r w:rsidR="008762D3">
        <w:rPr>
          <w:lang w:val="en-US"/>
        </w:rPr>
        <w:t>could</w:t>
      </w:r>
      <w:r w:rsidR="00912DF0">
        <w:rPr>
          <w:lang w:val="en-US"/>
        </w:rPr>
        <w:t xml:space="preserve"> result in lower than optimal uptake of public health guidance due to the challenges associated with financial planning for those stakeholders.</w:t>
      </w:r>
    </w:p>
    <w:p w14:paraId="036857DF" w14:textId="547A0B6C" w:rsidR="003938C1" w:rsidRDefault="00912DF0" w:rsidP="00E03683">
      <w:pPr>
        <w:spacing w:line="360" w:lineRule="auto"/>
        <w:rPr>
          <w:lang w:val="en-US"/>
        </w:rPr>
      </w:pPr>
      <w:r>
        <w:rPr>
          <w:lang w:val="en-US"/>
        </w:rPr>
        <w:t xml:space="preserve">In addition, </w:t>
      </w:r>
      <w:r w:rsidR="008762D3">
        <w:rPr>
          <w:lang w:val="en-US"/>
        </w:rPr>
        <w:t>a</w:t>
      </w:r>
      <w:r>
        <w:rPr>
          <w:lang w:val="en-US"/>
        </w:rPr>
        <w:t xml:space="preserve"> failure to reflect the siloed nature of public budgets</w:t>
      </w:r>
      <w:r w:rsidR="00F14CE1">
        <w:rPr>
          <w:lang w:val="en-US"/>
        </w:rPr>
        <w:t xml:space="preserve"> </w:t>
      </w:r>
      <w:r>
        <w:rPr>
          <w:lang w:val="en-US"/>
        </w:rPr>
        <w:t xml:space="preserve">risks an inaccurate interpretation of the cost-effectiveness results reported, and as such the potential failure to recommend the </w:t>
      </w:r>
      <w:r w:rsidR="0047034B">
        <w:rPr>
          <w:lang w:val="en-US"/>
        </w:rPr>
        <w:t xml:space="preserve">most </w:t>
      </w:r>
      <w:r>
        <w:rPr>
          <w:lang w:val="en-US"/>
        </w:rPr>
        <w:t>cost-effective policy option</w:t>
      </w:r>
      <w:r w:rsidR="00DE2031">
        <w:rPr>
          <w:lang w:val="en-US"/>
        </w:rPr>
        <w:t xml:space="preserve"> across the entire set of sectors</w:t>
      </w:r>
      <w:r>
        <w:rPr>
          <w:lang w:val="en-US"/>
        </w:rPr>
        <w:t>.</w:t>
      </w:r>
      <w:r w:rsidR="00F42EEF">
        <w:rPr>
          <w:lang w:val="en-US"/>
        </w:rPr>
        <w:t xml:space="preserve">  Furthermore, if cost-savings associated with a sector other than that which bears the cost of the intervention are considered in the analysis, without the fair reflection of the different budgets involved</w:t>
      </w:r>
      <w:r w:rsidR="00F42EEF" w:rsidRPr="00F42EEF">
        <w:rPr>
          <w:lang w:val="en-US"/>
        </w:rPr>
        <w:t xml:space="preserve"> </w:t>
      </w:r>
      <w:r w:rsidR="00F42EEF">
        <w:rPr>
          <w:lang w:val="en-US"/>
        </w:rPr>
        <w:t>or redistribution of funding, there is the potential that interventions are invested in that are not cost-effective to the respective sector.</w:t>
      </w:r>
    </w:p>
    <w:p w14:paraId="65C3E5D9" w14:textId="15F86F25" w:rsidR="00C90C92" w:rsidRDefault="00714277" w:rsidP="00E03683">
      <w:pPr>
        <w:spacing w:line="360" w:lineRule="auto"/>
        <w:rPr>
          <w:lang w:val="en-US"/>
        </w:rPr>
      </w:pPr>
      <w:r>
        <w:rPr>
          <w:lang w:val="en-US"/>
        </w:rPr>
        <w:lastRenderedPageBreak/>
        <w:t xml:space="preserve">While the lack of a </w:t>
      </w:r>
      <w:r w:rsidR="00F14CE1">
        <w:rPr>
          <w:lang w:val="en-US"/>
        </w:rPr>
        <w:t>common objective</w:t>
      </w:r>
      <w:r>
        <w:rPr>
          <w:lang w:val="en-US"/>
        </w:rPr>
        <w:t xml:space="preserve"> or any estimates of the comparativ</w:t>
      </w:r>
      <w:r w:rsidR="00F42EEF">
        <w:rPr>
          <w:lang w:val="en-US"/>
        </w:rPr>
        <w:t>e</w:t>
      </w:r>
      <w:r>
        <w:rPr>
          <w:lang w:val="en-US"/>
        </w:rPr>
        <w:t xml:space="preserve"> value of the outcomes across the different sectors </w:t>
      </w:r>
      <w:r w:rsidR="008762D3">
        <w:rPr>
          <w:lang w:val="en-US"/>
        </w:rPr>
        <w:t>renders</w:t>
      </w:r>
      <w:r>
        <w:rPr>
          <w:lang w:val="en-US"/>
        </w:rPr>
        <w:t xml:space="preserve"> </w:t>
      </w:r>
      <w:r w:rsidR="008762D3">
        <w:rPr>
          <w:lang w:val="en-US"/>
        </w:rPr>
        <w:t xml:space="preserve">the definition of a public health </w:t>
      </w:r>
      <w:r w:rsidR="0096154B">
        <w:rPr>
          <w:lang w:val="en-US"/>
        </w:rPr>
        <w:t>cost-effectiveness</w:t>
      </w:r>
      <w:r w:rsidR="008762D3">
        <w:rPr>
          <w:lang w:val="en-US"/>
        </w:rPr>
        <w:t xml:space="preserve"> threshold unlikely</w:t>
      </w:r>
      <w:r>
        <w:rPr>
          <w:lang w:val="en-US"/>
        </w:rPr>
        <w:t xml:space="preserve">, we conclude that </w:t>
      </w:r>
      <w:r w:rsidR="00E914FB">
        <w:rPr>
          <w:lang w:val="en-US"/>
        </w:rPr>
        <w:t>it is still possible to</w:t>
      </w:r>
      <w:r>
        <w:rPr>
          <w:lang w:val="en-US"/>
        </w:rPr>
        <w:t xml:space="preserve"> improve the consistency</w:t>
      </w:r>
      <w:r w:rsidR="00F14CE1">
        <w:rPr>
          <w:lang w:val="en-US"/>
        </w:rPr>
        <w:t>,</w:t>
      </w:r>
      <w:r>
        <w:rPr>
          <w:lang w:val="en-US"/>
        </w:rPr>
        <w:t xml:space="preserve"> robustness </w:t>
      </w:r>
      <w:r w:rsidR="00F14CE1">
        <w:rPr>
          <w:lang w:val="en-US"/>
        </w:rPr>
        <w:t xml:space="preserve">and transparency </w:t>
      </w:r>
      <w:r w:rsidR="00E914FB">
        <w:rPr>
          <w:lang w:val="en-US"/>
        </w:rPr>
        <w:t>in the</w:t>
      </w:r>
      <w:r>
        <w:rPr>
          <w:lang w:val="en-US"/>
        </w:rPr>
        <w:t xml:space="preserve"> conduct </w:t>
      </w:r>
      <w:r w:rsidR="00E914FB">
        <w:rPr>
          <w:lang w:val="en-US"/>
        </w:rPr>
        <w:t xml:space="preserve">of </w:t>
      </w:r>
      <w:r>
        <w:rPr>
          <w:lang w:val="en-US"/>
        </w:rPr>
        <w:t xml:space="preserve">public health evaluations. Our recommendations would be for NICE to implement in their </w:t>
      </w:r>
      <w:r w:rsidR="00C90C92">
        <w:rPr>
          <w:lang w:val="en-US"/>
        </w:rPr>
        <w:t>reference case</w:t>
      </w:r>
      <w:r>
        <w:rPr>
          <w:lang w:val="en-US"/>
        </w:rPr>
        <w:t xml:space="preserve"> for public health evaluations (and any NICE evaluation which has costs of outcomes falling on non-NHS sectors) the required reporting of costs across the sectors where they fall, to a minimum level of granularity as presented in the five sector structure in this article, and ideally to a level of budgetary independence (e.g. NHS, Local Authority, Department for Education).  </w:t>
      </w:r>
    </w:p>
    <w:p w14:paraId="60772242" w14:textId="441DDC88" w:rsidR="00714277" w:rsidRDefault="00C90C92" w:rsidP="00E03683">
      <w:pPr>
        <w:spacing w:line="360" w:lineRule="auto"/>
        <w:rPr>
          <w:lang w:val="en-US"/>
        </w:rPr>
      </w:pPr>
      <w:r>
        <w:rPr>
          <w:lang w:val="en-US"/>
        </w:rPr>
        <w:t>In addition</w:t>
      </w:r>
      <w:r w:rsidR="00E914FB">
        <w:rPr>
          <w:lang w:val="en-US"/>
        </w:rPr>
        <w:t>, those undertaking economic evaluation of public health interventions</w:t>
      </w:r>
      <w:r>
        <w:rPr>
          <w:lang w:val="en-US"/>
        </w:rPr>
        <w:t xml:space="preserve"> could seek to utilize an adapted CHEERS checklist, incorporating elements of sector specific costs and outcomes to the existing items 11 (outcomes) and 13 (costs). For example, a new item 11c ‘</w:t>
      </w:r>
      <w:r w:rsidRPr="00C90C92">
        <w:rPr>
          <w:lang w:val="en-US"/>
        </w:rPr>
        <w:t xml:space="preserve">Identification and quantification of all relevant outcomes according to the appropriate </w:t>
      </w:r>
      <w:r w:rsidR="0096154B" w:rsidRPr="00C90C92">
        <w:rPr>
          <w:lang w:val="en-US"/>
        </w:rPr>
        <w:t>categorization</w:t>
      </w:r>
      <w:r w:rsidR="0047034B">
        <w:rPr>
          <w:lang w:val="en-US"/>
        </w:rPr>
        <w:t xml:space="preserve"> of where the outcomes fall</w:t>
      </w:r>
      <w:r>
        <w:rPr>
          <w:lang w:val="en-US"/>
        </w:rPr>
        <w:t>’ and 13c ‘</w:t>
      </w:r>
      <w:r w:rsidRPr="00C90C92">
        <w:rPr>
          <w:lang w:val="en-US"/>
        </w:rPr>
        <w:t xml:space="preserve">Identification and quantification of resource items and costs of intervention according to the appropriate </w:t>
      </w:r>
      <w:r w:rsidR="0096154B" w:rsidRPr="00C90C92">
        <w:rPr>
          <w:lang w:val="en-US"/>
        </w:rPr>
        <w:t>categorization</w:t>
      </w:r>
      <w:r w:rsidRPr="00C90C92">
        <w:rPr>
          <w:lang w:val="en-US"/>
        </w:rPr>
        <w:t xml:space="preserve"> of where the costs fall</w:t>
      </w:r>
      <w:r>
        <w:rPr>
          <w:lang w:val="en-US"/>
        </w:rPr>
        <w:t>’ could be introduced and implemented for all new public health guid</w:t>
      </w:r>
      <w:r w:rsidR="00BB61E2">
        <w:rPr>
          <w:lang w:val="en-US"/>
        </w:rPr>
        <w:t>elines</w:t>
      </w:r>
      <w:r w:rsidR="00F3360D">
        <w:rPr>
          <w:lang w:val="en-US"/>
        </w:rPr>
        <w:t>.</w:t>
      </w:r>
    </w:p>
    <w:p w14:paraId="14324495" w14:textId="77777777" w:rsidR="00501508" w:rsidRDefault="00501508" w:rsidP="00E03683">
      <w:pPr>
        <w:spacing w:line="360" w:lineRule="auto"/>
        <w:rPr>
          <w:b/>
          <w:lang w:val="en-US"/>
        </w:rPr>
      </w:pPr>
    </w:p>
    <w:p w14:paraId="59C7503B" w14:textId="05997173" w:rsidR="00773D58" w:rsidRPr="008129AB" w:rsidRDefault="00501508" w:rsidP="00E03683">
      <w:pPr>
        <w:pStyle w:val="ListParagraph"/>
        <w:numPr>
          <w:ilvl w:val="0"/>
          <w:numId w:val="5"/>
        </w:numPr>
        <w:spacing w:line="360" w:lineRule="auto"/>
        <w:rPr>
          <w:lang w:val="en-US"/>
        </w:rPr>
      </w:pPr>
      <w:r w:rsidRPr="008129AB">
        <w:rPr>
          <w:b/>
          <w:lang w:val="en-US"/>
        </w:rPr>
        <w:t>Conclusions</w:t>
      </w:r>
    </w:p>
    <w:p w14:paraId="5EBF198C" w14:textId="4481CB6B" w:rsidR="00C90C92" w:rsidRDefault="0096154B" w:rsidP="00E03683">
      <w:pPr>
        <w:spacing w:line="360" w:lineRule="auto"/>
      </w:pPr>
      <w:r>
        <w:t xml:space="preserve">The costs </w:t>
      </w:r>
      <w:r w:rsidR="00773D58" w:rsidRPr="00773D58">
        <w:t xml:space="preserve">of </w:t>
      </w:r>
      <w:r w:rsidR="00E914FB">
        <w:t xml:space="preserve">many public health interventions, including those recommended in </w:t>
      </w:r>
      <w:r w:rsidR="00773D58" w:rsidRPr="00773D58">
        <w:t>NICE public health guid</w:t>
      </w:r>
      <w:r w:rsidR="00E914FB">
        <w:t>elines,</w:t>
      </w:r>
      <w:r w:rsidR="00773D58" w:rsidRPr="00773D58">
        <w:t xml:space="preserve"> are borne by multiple sectors. </w:t>
      </w:r>
      <w:r w:rsidR="00C90C92">
        <w:t xml:space="preserve"> </w:t>
      </w:r>
      <w:r w:rsidR="00773D58" w:rsidRPr="00773D58">
        <w:t xml:space="preserve">However, identification and </w:t>
      </w:r>
      <w:r>
        <w:t xml:space="preserve">quantification of all costs </w:t>
      </w:r>
      <w:r w:rsidR="00773D58" w:rsidRPr="00773D58">
        <w:t>have not been conducted by most of the economic evaluations</w:t>
      </w:r>
      <w:r w:rsidR="00C90C92">
        <w:t xml:space="preserve"> and fail to be </w:t>
      </w:r>
      <w:r w:rsidR="008762D3">
        <w:t>explicated</w:t>
      </w:r>
      <w:r w:rsidR="00C90C92">
        <w:t xml:space="preserve"> in the NICE reference case</w:t>
      </w:r>
      <w:r w:rsidR="00773D58" w:rsidRPr="00773D58">
        <w:t xml:space="preserve">. </w:t>
      </w:r>
      <w:r w:rsidR="00C90C92">
        <w:t xml:space="preserve"> This shortfall risks not only a lack of clarity for stakeholders about the scale of the cost of </w:t>
      </w:r>
      <w:r w:rsidR="00145942">
        <w:t xml:space="preserve">adherence </w:t>
      </w:r>
      <w:r w:rsidR="00C90C92">
        <w:t>they face</w:t>
      </w:r>
      <w:r w:rsidR="0047034B">
        <w:t>;</w:t>
      </w:r>
      <w:r w:rsidR="00C90C92">
        <w:t xml:space="preserve"> but the potential for inefficient recommendations</w:t>
      </w:r>
      <w:r w:rsidR="00BB61E2">
        <w:t>.</w:t>
      </w:r>
      <w:r w:rsidR="00C90C92">
        <w:t xml:space="preserve">  </w:t>
      </w:r>
      <w:r w:rsidR="00BB61E2">
        <w:t>Aggregating t</w:t>
      </w:r>
      <w:r w:rsidR="00C90C92">
        <w:t xml:space="preserve">otal costs </w:t>
      </w:r>
      <w:r w:rsidR="00BB61E2">
        <w:t>where the</w:t>
      </w:r>
      <w:r w:rsidR="00183364">
        <w:t>y</w:t>
      </w:r>
      <w:r w:rsidR="00BB61E2">
        <w:t xml:space="preserve"> fall</w:t>
      </w:r>
      <w:r>
        <w:t xml:space="preserve"> across </w:t>
      </w:r>
      <w:r w:rsidR="00BB61E2">
        <w:t xml:space="preserve">multiple </w:t>
      </w:r>
      <w:r>
        <w:t>siloed budgets</w:t>
      </w:r>
      <w:r w:rsidR="00C90C92">
        <w:t xml:space="preserve"> </w:t>
      </w:r>
      <w:r w:rsidR="00BB61E2">
        <w:t>results in</w:t>
      </w:r>
      <w:r w:rsidR="0047034B">
        <w:t xml:space="preserve"> </w:t>
      </w:r>
      <w:r w:rsidR="00C90C92">
        <w:t xml:space="preserve">cost-effectiveness estimates </w:t>
      </w:r>
      <w:r w:rsidR="00BB61E2">
        <w:t>that do not accurately reflect opportunity costs, unless assumed to be the same for all sectors.  In the case that opportunity costs differ between sectors, a simple summation of all costs</w:t>
      </w:r>
      <w:r w:rsidR="00C90C92">
        <w:t xml:space="preserve"> fail</w:t>
      </w:r>
      <w:r w:rsidR="00BB61E2">
        <w:t>s</w:t>
      </w:r>
      <w:r w:rsidR="00C90C92">
        <w:t xml:space="preserve"> to reflect the true investment decision faced by sector specific decision makers. </w:t>
      </w:r>
    </w:p>
    <w:p w14:paraId="32122FF5" w14:textId="09ED1AEA" w:rsidR="00D76949" w:rsidRDefault="0070604E" w:rsidP="00E03683">
      <w:pPr>
        <w:spacing w:line="360" w:lineRule="auto"/>
      </w:pPr>
      <w:r>
        <w:t>B</w:t>
      </w:r>
      <w:r w:rsidR="00D76949">
        <w:t>y ide</w:t>
      </w:r>
      <w:r w:rsidR="0096154B">
        <w:t xml:space="preserve">ntifying </w:t>
      </w:r>
      <w:r>
        <w:t xml:space="preserve">and reporting </w:t>
      </w:r>
      <w:r w:rsidR="0096154B">
        <w:t xml:space="preserve">all relevant costs </w:t>
      </w:r>
      <w:r w:rsidR="00D76949">
        <w:t xml:space="preserve">associated with </w:t>
      </w:r>
      <w:r>
        <w:t>public health interventions,</w:t>
      </w:r>
      <w:r w:rsidR="00D76949">
        <w:t xml:space="preserve"> NICE would create the conditions for an open and consistent discussion </w:t>
      </w:r>
      <w:r>
        <w:t>between different stakeholders and budget holders</w:t>
      </w:r>
      <w:r w:rsidR="0096154B">
        <w:t>,</w:t>
      </w:r>
      <w:r w:rsidR="00D76949">
        <w:t xml:space="preserve"> and improve the ease with which new public health </w:t>
      </w:r>
      <w:r>
        <w:t>guidelines can be implemented</w:t>
      </w:r>
      <w:r w:rsidR="00D76949">
        <w:t xml:space="preserve">. </w:t>
      </w:r>
    </w:p>
    <w:p w14:paraId="47CEC082" w14:textId="7325A620" w:rsidR="0033203F" w:rsidRDefault="0033203F" w:rsidP="00E03683">
      <w:pPr>
        <w:spacing w:line="360" w:lineRule="auto"/>
        <w:rPr>
          <w:b/>
        </w:rPr>
      </w:pPr>
    </w:p>
    <w:p w14:paraId="4ACEFFC9" w14:textId="77777777" w:rsidR="0070604E" w:rsidRPr="0033203F" w:rsidRDefault="0070604E" w:rsidP="0033203F">
      <w:pPr>
        <w:sectPr w:rsidR="0070604E" w:rsidRPr="0033203F">
          <w:pgSz w:w="11906" w:h="16838"/>
          <w:pgMar w:top="1440" w:right="1440" w:bottom="1440" w:left="1440" w:header="708" w:footer="708" w:gutter="0"/>
          <w:cols w:space="708"/>
          <w:docGrid w:linePitch="360"/>
        </w:sectPr>
      </w:pPr>
    </w:p>
    <w:p w14:paraId="3C1A01AB" w14:textId="21D6C84C" w:rsidR="008129AB" w:rsidRPr="008129AB" w:rsidRDefault="008129AB" w:rsidP="00F44B2A">
      <w:pPr>
        <w:spacing w:line="240" w:lineRule="auto"/>
        <w:rPr>
          <w:b/>
        </w:rPr>
      </w:pPr>
      <w:r w:rsidRPr="008129AB">
        <w:rPr>
          <w:b/>
        </w:rPr>
        <w:lastRenderedPageBreak/>
        <w:t xml:space="preserve">References </w:t>
      </w:r>
    </w:p>
    <w:p w14:paraId="6682BE3E" w14:textId="77777777" w:rsidR="00697B1E" w:rsidRDefault="00697B1E" w:rsidP="00F44B2A">
      <w:pPr>
        <w:spacing w:line="240" w:lineRule="auto"/>
      </w:pPr>
    </w:p>
    <w:p w14:paraId="66C34936" w14:textId="77777777" w:rsidR="00BC33FD" w:rsidRPr="00BC33FD" w:rsidRDefault="00697B1E" w:rsidP="00BC33FD">
      <w:pPr>
        <w:pStyle w:val="EndNoteBibliography"/>
        <w:spacing w:after="0"/>
        <w:ind w:left="720" w:hanging="720"/>
      </w:pPr>
      <w:r>
        <w:fldChar w:fldCharType="begin"/>
      </w:r>
      <w:r>
        <w:instrText xml:space="preserve"> ADDIN EN.REFLIST </w:instrText>
      </w:r>
      <w:r>
        <w:fldChar w:fldCharType="separate"/>
      </w:r>
      <w:r w:rsidR="00BC33FD" w:rsidRPr="00BC33FD">
        <w:t>1.</w:t>
      </w:r>
      <w:r w:rsidR="00BC33FD" w:rsidRPr="00BC33FD">
        <w:tab/>
        <w:t xml:space="preserve">Owen, L., et al., </w:t>
      </w:r>
      <w:r w:rsidR="00BC33FD" w:rsidRPr="00BC33FD">
        <w:rPr>
          <w:i/>
        </w:rPr>
        <w:t>The cost-effectiveness of public health interventions.</w:t>
      </w:r>
      <w:r w:rsidR="00BC33FD" w:rsidRPr="00BC33FD">
        <w:t xml:space="preserve"> Journal of Public Health, 2012. </w:t>
      </w:r>
      <w:r w:rsidR="00BC33FD" w:rsidRPr="00BC33FD">
        <w:rPr>
          <w:b/>
        </w:rPr>
        <w:t>34</w:t>
      </w:r>
      <w:r w:rsidR="00BC33FD" w:rsidRPr="00BC33FD">
        <w:t>(1): p. 37-45.</w:t>
      </w:r>
    </w:p>
    <w:p w14:paraId="14B14CE7" w14:textId="77777777" w:rsidR="00BC33FD" w:rsidRPr="00BC33FD" w:rsidRDefault="00BC33FD" w:rsidP="00BC33FD">
      <w:pPr>
        <w:pStyle w:val="EndNoteBibliography"/>
        <w:spacing w:after="0"/>
        <w:ind w:left="720" w:hanging="720"/>
      </w:pPr>
      <w:r w:rsidRPr="00BC33FD">
        <w:t>2.</w:t>
      </w:r>
      <w:r w:rsidRPr="00BC33FD">
        <w:tab/>
        <w:t xml:space="preserve">Sculpher, M.J., et al., </w:t>
      </w:r>
      <w:r w:rsidRPr="00BC33FD">
        <w:rPr>
          <w:i/>
        </w:rPr>
        <w:t>Research to inform Resource Allocation in Health and Social Care. Policy Research Unit in Economic Evaluation of Health and Care Interventions.</w:t>
      </w:r>
      <w:r w:rsidRPr="00BC33FD">
        <w:t xml:space="preserve"> Universities of Sheffield &amp; York; EEPRU Research Report 017. Policy paper/document published 01/01/2014, 2014.</w:t>
      </w:r>
    </w:p>
    <w:p w14:paraId="5AB42113" w14:textId="77777777" w:rsidR="00BC33FD" w:rsidRPr="00BC33FD" w:rsidRDefault="00BC33FD" w:rsidP="00BC33FD">
      <w:pPr>
        <w:pStyle w:val="EndNoteBibliography"/>
        <w:spacing w:after="0"/>
        <w:ind w:left="720" w:hanging="720"/>
      </w:pPr>
      <w:r w:rsidRPr="00BC33FD">
        <w:t>3.</w:t>
      </w:r>
      <w:r w:rsidRPr="00BC33FD">
        <w:tab/>
        <w:t xml:space="preserve">Claxton, K., et al., </w:t>
      </w:r>
      <w:r w:rsidRPr="00BC33FD">
        <w:rPr>
          <w:i/>
        </w:rPr>
        <w:t>Appropriate Perspectives for Health Care Decisions.</w:t>
      </w:r>
      <w:r w:rsidRPr="00BC33FD">
        <w:t xml:space="preserve"> CHE RP54, 2010.</w:t>
      </w:r>
    </w:p>
    <w:p w14:paraId="1ABF171A" w14:textId="77777777" w:rsidR="00BC33FD" w:rsidRPr="00BC33FD" w:rsidRDefault="00BC33FD" w:rsidP="00BC33FD">
      <w:pPr>
        <w:pStyle w:val="EndNoteBibliography"/>
        <w:spacing w:after="0"/>
        <w:ind w:left="720" w:hanging="720"/>
      </w:pPr>
      <w:r w:rsidRPr="00BC33FD">
        <w:t>4.</w:t>
      </w:r>
      <w:r w:rsidRPr="00BC33FD">
        <w:tab/>
        <w:t xml:space="preserve">Glover, D., Henderson, J., </w:t>
      </w:r>
      <w:r w:rsidRPr="00BC33FD">
        <w:rPr>
          <w:i/>
        </w:rPr>
        <w:t>Quantifying health impacts of government policies. A how-to guide to quantifying the health impacts of government policies and summary.</w:t>
      </w:r>
      <w:r w:rsidRPr="00BC33FD">
        <w:t xml:space="preserve"> Department of Health: London, 2010.</w:t>
      </w:r>
    </w:p>
    <w:p w14:paraId="3948404B" w14:textId="77777777" w:rsidR="00BC33FD" w:rsidRPr="00BC33FD" w:rsidRDefault="00BC33FD" w:rsidP="00BC33FD">
      <w:pPr>
        <w:pStyle w:val="EndNoteBibliography"/>
        <w:spacing w:after="0"/>
        <w:ind w:left="720" w:hanging="720"/>
      </w:pPr>
      <w:r w:rsidRPr="00BC33FD">
        <w:t>5.</w:t>
      </w:r>
      <w:r w:rsidRPr="00BC33FD">
        <w:tab/>
        <w:t xml:space="preserve">Claxton, K., et al., </w:t>
      </w:r>
      <w:r w:rsidRPr="00BC33FD">
        <w:rPr>
          <w:i/>
        </w:rPr>
        <w:t>Methods for the estimation of the National Institute for Health and Care Excellence cost-effectiveness threshold.</w:t>
      </w:r>
      <w:r w:rsidRPr="00BC33FD">
        <w:t xml:space="preserve"> Health Technol Assess, 2015. </w:t>
      </w:r>
      <w:r w:rsidRPr="00BC33FD">
        <w:rPr>
          <w:b/>
        </w:rPr>
        <w:t>19</w:t>
      </w:r>
      <w:r w:rsidRPr="00BC33FD">
        <w:t>(14): p. 1-503, v-vi.</w:t>
      </w:r>
    </w:p>
    <w:p w14:paraId="023575A6" w14:textId="553684B6" w:rsidR="00BC33FD" w:rsidRPr="00BC33FD" w:rsidRDefault="00BC33FD" w:rsidP="00BC33FD">
      <w:pPr>
        <w:pStyle w:val="EndNoteBibliography"/>
        <w:spacing w:after="0"/>
        <w:ind w:left="720" w:hanging="720"/>
      </w:pPr>
      <w:r w:rsidRPr="00BC33FD">
        <w:t>6.</w:t>
      </w:r>
      <w:r w:rsidRPr="00BC33FD">
        <w:tab/>
        <w:t xml:space="preserve">National Institute for Health and Care Excellence, </w:t>
      </w:r>
      <w:r w:rsidRPr="00BC33FD">
        <w:rPr>
          <w:i/>
        </w:rPr>
        <w:t xml:space="preserve">Public health guidance, </w:t>
      </w:r>
      <w:hyperlink r:id="rId9" w:history="1">
        <w:r w:rsidRPr="00BC33FD">
          <w:rPr>
            <w:rStyle w:val="Hyperlink"/>
            <w:i/>
          </w:rPr>
          <w:t>http://www.nice.org.uk/guidance/phg/</w:t>
        </w:r>
      </w:hyperlink>
      <w:r w:rsidRPr="00BC33FD">
        <w:rPr>
          <w:i/>
        </w:rPr>
        <w:t>.</w:t>
      </w:r>
      <w:r w:rsidRPr="00BC33FD">
        <w:t xml:space="preserve"> accessed:21/05/2014.</w:t>
      </w:r>
    </w:p>
    <w:p w14:paraId="089B7E3E" w14:textId="77777777" w:rsidR="00BC33FD" w:rsidRPr="00BC33FD" w:rsidRDefault="00BC33FD" w:rsidP="00BC33FD">
      <w:pPr>
        <w:pStyle w:val="EndNoteBibliography"/>
        <w:spacing w:after="0"/>
        <w:ind w:left="720" w:hanging="720"/>
      </w:pPr>
      <w:r w:rsidRPr="00BC33FD">
        <w:t>7.</w:t>
      </w:r>
      <w:r w:rsidRPr="00BC33FD">
        <w:tab/>
        <w:t xml:space="preserve">National Institute for Health and Care Excellence, </w:t>
      </w:r>
      <w:r w:rsidRPr="00BC33FD">
        <w:rPr>
          <w:i/>
        </w:rPr>
        <w:t>Four commonly used methods to increase physical activity.</w:t>
      </w:r>
      <w:r w:rsidRPr="00BC33FD">
        <w:t xml:space="preserve"> NICE: London, 2006. </w:t>
      </w:r>
      <w:r w:rsidRPr="00BC33FD">
        <w:rPr>
          <w:b/>
        </w:rPr>
        <w:t>Public health guideline [PH2]</w:t>
      </w:r>
      <w:r w:rsidRPr="00BC33FD">
        <w:t>.</w:t>
      </w:r>
    </w:p>
    <w:p w14:paraId="680A4006" w14:textId="77777777" w:rsidR="00BC33FD" w:rsidRPr="00BC33FD" w:rsidRDefault="00BC33FD" w:rsidP="00BC33FD">
      <w:pPr>
        <w:pStyle w:val="EndNoteBibliography"/>
        <w:spacing w:after="0"/>
        <w:ind w:left="720" w:hanging="720"/>
      </w:pPr>
      <w:r w:rsidRPr="00BC33FD">
        <w:t>8.</w:t>
      </w:r>
      <w:r w:rsidRPr="00BC33FD">
        <w:tab/>
        <w:t xml:space="preserve">National Institute for Health and Care Excellence, </w:t>
      </w:r>
      <w:r w:rsidRPr="00BC33FD">
        <w:rPr>
          <w:i/>
        </w:rPr>
        <w:t>Community engagement.</w:t>
      </w:r>
      <w:r w:rsidRPr="00BC33FD">
        <w:t xml:space="preserve"> NICE: London, 2008. </w:t>
      </w:r>
      <w:r w:rsidRPr="00BC33FD">
        <w:rPr>
          <w:b/>
        </w:rPr>
        <w:t>Public health guideline [PH9]</w:t>
      </w:r>
      <w:r w:rsidRPr="00BC33FD">
        <w:t>.</w:t>
      </w:r>
    </w:p>
    <w:p w14:paraId="7EE0830F" w14:textId="77777777" w:rsidR="00BC33FD" w:rsidRPr="00BC33FD" w:rsidRDefault="00BC33FD" w:rsidP="00BC33FD">
      <w:pPr>
        <w:pStyle w:val="EndNoteBibliography"/>
        <w:spacing w:after="0"/>
        <w:ind w:left="720" w:hanging="720"/>
      </w:pPr>
      <w:r w:rsidRPr="00BC33FD">
        <w:t>9.</w:t>
      </w:r>
      <w:r w:rsidRPr="00BC33FD">
        <w:tab/>
        <w:t xml:space="preserve">National Institute for Health and Care Excellence, </w:t>
      </w:r>
      <w:r w:rsidRPr="00BC33FD">
        <w:rPr>
          <w:i/>
        </w:rPr>
        <w:t>Needle and syringe programmes.</w:t>
      </w:r>
      <w:r w:rsidRPr="00BC33FD">
        <w:t xml:space="preserve"> NICE: London, 2009. </w:t>
      </w:r>
      <w:r w:rsidRPr="00BC33FD">
        <w:rPr>
          <w:b/>
        </w:rPr>
        <w:t>Public health guideline [PH18]</w:t>
      </w:r>
      <w:r w:rsidRPr="00BC33FD">
        <w:t>.</w:t>
      </w:r>
    </w:p>
    <w:p w14:paraId="4C44A503" w14:textId="77777777" w:rsidR="00BC33FD" w:rsidRPr="00BC33FD" w:rsidRDefault="00BC33FD" w:rsidP="00BC33FD">
      <w:pPr>
        <w:pStyle w:val="EndNoteBibliography"/>
        <w:spacing w:after="0"/>
        <w:ind w:left="720" w:hanging="720"/>
      </w:pPr>
      <w:r w:rsidRPr="00BC33FD">
        <w:t>10.</w:t>
      </w:r>
      <w:r w:rsidRPr="00BC33FD">
        <w:tab/>
        <w:t xml:space="preserve">National Institute for Health and Care Excellence, </w:t>
      </w:r>
      <w:r w:rsidRPr="00BC33FD">
        <w:rPr>
          <w:i/>
        </w:rPr>
        <w:t>Tuberculosis: identification and management in under-served groups.</w:t>
      </w:r>
      <w:r w:rsidRPr="00BC33FD">
        <w:t xml:space="preserve"> NICE: London, 2012. </w:t>
      </w:r>
      <w:r w:rsidRPr="00BC33FD">
        <w:rPr>
          <w:b/>
        </w:rPr>
        <w:t>Public health guideline [PH37]</w:t>
      </w:r>
      <w:r w:rsidRPr="00BC33FD">
        <w:t>.</w:t>
      </w:r>
    </w:p>
    <w:p w14:paraId="0647527E" w14:textId="77777777" w:rsidR="00BC33FD" w:rsidRPr="00BC33FD" w:rsidRDefault="00BC33FD" w:rsidP="00BC33FD">
      <w:pPr>
        <w:pStyle w:val="EndNoteBibliography"/>
        <w:ind w:left="720" w:hanging="720"/>
      </w:pPr>
      <w:r w:rsidRPr="00BC33FD">
        <w:t>11.</w:t>
      </w:r>
      <w:r w:rsidRPr="00BC33FD">
        <w:tab/>
        <w:t xml:space="preserve">National Institute for Health and Care Excellence, </w:t>
      </w:r>
      <w:r w:rsidRPr="00BC33FD">
        <w:rPr>
          <w:i/>
        </w:rPr>
        <w:t>Healthcare-associated infections: prevention and control.</w:t>
      </w:r>
      <w:r w:rsidRPr="00BC33FD">
        <w:t xml:space="preserve"> NICE: London, 2011. </w:t>
      </w:r>
      <w:r w:rsidRPr="00BC33FD">
        <w:rPr>
          <w:b/>
        </w:rPr>
        <w:t>Public health guideline [PH36]</w:t>
      </w:r>
      <w:r w:rsidRPr="00BC33FD">
        <w:t>.</w:t>
      </w:r>
    </w:p>
    <w:p w14:paraId="00E5C869" w14:textId="1165B7C2" w:rsidR="00A62C8C" w:rsidRPr="00773D58" w:rsidRDefault="00697B1E" w:rsidP="00F44B2A">
      <w:pPr>
        <w:spacing w:line="240" w:lineRule="auto"/>
      </w:pPr>
      <w:r>
        <w:fldChar w:fldCharType="end"/>
      </w:r>
    </w:p>
    <w:sectPr w:rsidR="00A62C8C" w:rsidRPr="00773D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B123C" w14:textId="77777777" w:rsidR="00983D7B" w:rsidRDefault="00983D7B" w:rsidP="008129AB">
      <w:pPr>
        <w:spacing w:after="0" w:line="240" w:lineRule="auto"/>
      </w:pPr>
      <w:r>
        <w:separator/>
      </w:r>
    </w:p>
  </w:endnote>
  <w:endnote w:type="continuationSeparator" w:id="0">
    <w:p w14:paraId="3882F326" w14:textId="77777777" w:rsidR="00983D7B" w:rsidRDefault="00983D7B" w:rsidP="00812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20383" w14:textId="77777777" w:rsidR="00983D7B" w:rsidRDefault="00983D7B" w:rsidP="008129AB">
      <w:pPr>
        <w:spacing w:after="0" w:line="240" w:lineRule="auto"/>
      </w:pPr>
      <w:r>
        <w:separator/>
      </w:r>
    </w:p>
  </w:footnote>
  <w:footnote w:type="continuationSeparator" w:id="0">
    <w:p w14:paraId="4ED38F8F" w14:textId="77777777" w:rsidR="00983D7B" w:rsidRDefault="00983D7B" w:rsidP="008129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10214"/>
    <w:multiLevelType w:val="hybridMultilevel"/>
    <w:tmpl w:val="BA18B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A96C7A"/>
    <w:multiLevelType w:val="multilevel"/>
    <w:tmpl w:val="05CEEED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F9D2E7F"/>
    <w:multiLevelType w:val="multilevel"/>
    <w:tmpl w:val="185CD98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70850CB"/>
    <w:multiLevelType w:val="hybridMultilevel"/>
    <w:tmpl w:val="6942A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E54F2D"/>
    <w:multiLevelType w:val="hybridMultilevel"/>
    <w:tmpl w:val="DC80C6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7F304D"/>
    <w:multiLevelType w:val="hybridMultilevel"/>
    <w:tmpl w:val="635E7A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DD5E90"/>
    <w:multiLevelType w:val="hybridMultilevel"/>
    <w:tmpl w:val="8D687426"/>
    <w:lvl w:ilvl="0" w:tplc="B9A6C58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D37782"/>
    <w:multiLevelType w:val="hybridMultilevel"/>
    <w:tmpl w:val="59D6EFFA"/>
    <w:lvl w:ilvl="0" w:tplc="97A4E8B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5"/>
  </w:num>
  <w:num w:numId="5">
    <w:abstractNumId w:val="1"/>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fw2zxptlpdwexeddtm5prrxpd9w9wds9e2d&quot;&gt;Resource allocation library&lt;record-ids&gt;&lt;item&gt;9&lt;/item&gt;&lt;item&gt;20&lt;/item&gt;&lt;item&gt;80&lt;/item&gt;&lt;item&gt;155&lt;/item&gt;&lt;item&gt;156&lt;/item&gt;&lt;item&gt;157&lt;/item&gt;&lt;item&gt;158&lt;/item&gt;&lt;item&gt;159&lt;/item&gt;&lt;item&gt;160&lt;/item&gt;&lt;item&gt;161&lt;/item&gt;&lt;item&gt;162&lt;/item&gt;&lt;/record-ids&gt;&lt;/item&gt;&lt;/Libraries&gt;"/>
  </w:docVars>
  <w:rsids>
    <w:rsidRoot w:val="00A62C8C"/>
    <w:rsid w:val="000022F8"/>
    <w:rsid w:val="000214DF"/>
    <w:rsid w:val="000349CB"/>
    <w:rsid w:val="000357E2"/>
    <w:rsid w:val="000400BD"/>
    <w:rsid w:val="000414F5"/>
    <w:rsid w:val="0006524F"/>
    <w:rsid w:val="000663DA"/>
    <w:rsid w:val="00075C8E"/>
    <w:rsid w:val="00076C75"/>
    <w:rsid w:val="000B09B9"/>
    <w:rsid w:val="000B1762"/>
    <w:rsid w:val="000C76B1"/>
    <w:rsid w:val="000D5D25"/>
    <w:rsid w:val="000D6DB4"/>
    <w:rsid w:val="000E7D9F"/>
    <w:rsid w:val="000F3239"/>
    <w:rsid w:val="000F3927"/>
    <w:rsid w:val="000F3DA6"/>
    <w:rsid w:val="000F5226"/>
    <w:rsid w:val="00110102"/>
    <w:rsid w:val="00111AF7"/>
    <w:rsid w:val="00145942"/>
    <w:rsid w:val="0015641F"/>
    <w:rsid w:val="001568B5"/>
    <w:rsid w:val="00163DF6"/>
    <w:rsid w:val="00183364"/>
    <w:rsid w:val="001925A6"/>
    <w:rsid w:val="001E583A"/>
    <w:rsid w:val="001F4D02"/>
    <w:rsid w:val="002049EA"/>
    <w:rsid w:val="00225B16"/>
    <w:rsid w:val="0024668D"/>
    <w:rsid w:val="00254CBD"/>
    <w:rsid w:val="00255074"/>
    <w:rsid w:val="00261456"/>
    <w:rsid w:val="00262C7A"/>
    <w:rsid w:val="00273ABE"/>
    <w:rsid w:val="002753E3"/>
    <w:rsid w:val="002807E7"/>
    <w:rsid w:val="002A685B"/>
    <w:rsid w:val="002A73D9"/>
    <w:rsid w:val="0033203F"/>
    <w:rsid w:val="003459EC"/>
    <w:rsid w:val="00353C9D"/>
    <w:rsid w:val="003938C1"/>
    <w:rsid w:val="003B2D97"/>
    <w:rsid w:val="003C72FE"/>
    <w:rsid w:val="003D6090"/>
    <w:rsid w:val="003E772E"/>
    <w:rsid w:val="00407096"/>
    <w:rsid w:val="00415501"/>
    <w:rsid w:val="00417DB1"/>
    <w:rsid w:val="0043675A"/>
    <w:rsid w:val="00436787"/>
    <w:rsid w:val="00451D9A"/>
    <w:rsid w:val="00452AFB"/>
    <w:rsid w:val="0047034B"/>
    <w:rsid w:val="00473DC0"/>
    <w:rsid w:val="004833A8"/>
    <w:rsid w:val="00496AE6"/>
    <w:rsid w:val="004C59D9"/>
    <w:rsid w:val="004C617F"/>
    <w:rsid w:val="004C62A7"/>
    <w:rsid w:val="004D1D24"/>
    <w:rsid w:val="004D5F28"/>
    <w:rsid w:val="004E42D0"/>
    <w:rsid w:val="004F4E31"/>
    <w:rsid w:val="00501508"/>
    <w:rsid w:val="00525AE6"/>
    <w:rsid w:val="00533EE2"/>
    <w:rsid w:val="00547336"/>
    <w:rsid w:val="00567620"/>
    <w:rsid w:val="005D16C0"/>
    <w:rsid w:val="005D58D3"/>
    <w:rsid w:val="005F788B"/>
    <w:rsid w:val="0060130E"/>
    <w:rsid w:val="00603F7D"/>
    <w:rsid w:val="00607AD1"/>
    <w:rsid w:val="006222D5"/>
    <w:rsid w:val="006443AE"/>
    <w:rsid w:val="006444A8"/>
    <w:rsid w:val="00646A9C"/>
    <w:rsid w:val="00654BFE"/>
    <w:rsid w:val="00681E6C"/>
    <w:rsid w:val="00682050"/>
    <w:rsid w:val="00697B1E"/>
    <w:rsid w:val="006B1CAF"/>
    <w:rsid w:val="006C1060"/>
    <w:rsid w:val="006C2AE2"/>
    <w:rsid w:val="006D1B61"/>
    <w:rsid w:val="006E0C68"/>
    <w:rsid w:val="006F6222"/>
    <w:rsid w:val="0070604E"/>
    <w:rsid w:val="00714277"/>
    <w:rsid w:val="0075478B"/>
    <w:rsid w:val="00764B36"/>
    <w:rsid w:val="00773D58"/>
    <w:rsid w:val="007825F3"/>
    <w:rsid w:val="00784E7D"/>
    <w:rsid w:val="00790641"/>
    <w:rsid w:val="007956B7"/>
    <w:rsid w:val="007A5AC4"/>
    <w:rsid w:val="007E2000"/>
    <w:rsid w:val="007F52D5"/>
    <w:rsid w:val="0080781A"/>
    <w:rsid w:val="008129AB"/>
    <w:rsid w:val="00815AA1"/>
    <w:rsid w:val="00827742"/>
    <w:rsid w:val="0085212C"/>
    <w:rsid w:val="008572C1"/>
    <w:rsid w:val="00875CA3"/>
    <w:rsid w:val="008762D3"/>
    <w:rsid w:val="00887C10"/>
    <w:rsid w:val="008977F7"/>
    <w:rsid w:val="008A2C08"/>
    <w:rsid w:val="008D40CD"/>
    <w:rsid w:val="008F21EC"/>
    <w:rsid w:val="009028DE"/>
    <w:rsid w:val="00912DF0"/>
    <w:rsid w:val="009163B7"/>
    <w:rsid w:val="00916526"/>
    <w:rsid w:val="009269E9"/>
    <w:rsid w:val="00940BC4"/>
    <w:rsid w:val="0096154B"/>
    <w:rsid w:val="00983D7B"/>
    <w:rsid w:val="009E6FDE"/>
    <w:rsid w:val="00A14E93"/>
    <w:rsid w:val="00A2681C"/>
    <w:rsid w:val="00A335C6"/>
    <w:rsid w:val="00A45FD8"/>
    <w:rsid w:val="00A62C8C"/>
    <w:rsid w:val="00A82035"/>
    <w:rsid w:val="00A83BA4"/>
    <w:rsid w:val="00AA2B7C"/>
    <w:rsid w:val="00AA341D"/>
    <w:rsid w:val="00AE6082"/>
    <w:rsid w:val="00AF21FF"/>
    <w:rsid w:val="00B037C0"/>
    <w:rsid w:val="00B14498"/>
    <w:rsid w:val="00B16D0B"/>
    <w:rsid w:val="00B24817"/>
    <w:rsid w:val="00B24AF7"/>
    <w:rsid w:val="00B30348"/>
    <w:rsid w:val="00B315C7"/>
    <w:rsid w:val="00B54182"/>
    <w:rsid w:val="00B70B79"/>
    <w:rsid w:val="00B860F6"/>
    <w:rsid w:val="00B953F1"/>
    <w:rsid w:val="00BB61E2"/>
    <w:rsid w:val="00BC013C"/>
    <w:rsid w:val="00BC33FD"/>
    <w:rsid w:val="00BD2027"/>
    <w:rsid w:val="00BD32F1"/>
    <w:rsid w:val="00BE2ECC"/>
    <w:rsid w:val="00C037A0"/>
    <w:rsid w:val="00C07C30"/>
    <w:rsid w:val="00C229D5"/>
    <w:rsid w:val="00C27126"/>
    <w:rsid w:val="00C35F1C"/>
    <w:rsid w:val="00C40785"/>
    <w:rsid w:val="00C56B0B"/>
    <w:rsid w:val="00C63A53"/>
    <w:rsid w:val="00C65D68"/>
    <w:rsid w:val="00C83CCF"/>
    <w:rsid w:val="00C90C92"/>
    <w:rsid w:val="00CA0A8D"/>
    <w:rsid w:val="00CA4BD6"/>
    <w:rsid w:val="00CA5646"/>
    <w:rsid w:val="00CA7A9F"/>
    <w:rsid w:val="00CB46AE"/>
    <w:rsid w:val="00CD4954"/>
    <w:rsid w:val="00CD4E3C"/>
    <w:rsid w:val="00D1751F"/>
    <w:rsid w:val="00D22429"/>
    <w:rsid w:val="00D41D98"/>
    <w:rsid w:val="00D54EA4"/>
    <w:rsid w:val="00D76949"/>
    <w:rsid w:val="00D96804"/>
    <w:rsid w:val="00DA0B90"/>
    <w:rsid w:val="00DA24A9"/>
    <w:rsid w:val="00DA6560"/>
    <w:rsid w:val="00DD1D55"/>
    <w:rsid w:val="00DD2C9D"/>
    <w:rsid w:val="00DD37A1"/>
    <w:rsid w:val="00DE2031"/>
    <w:rsid w:val="00DE54DD"/>
    <w:rsid w:val="00DE61B6"/>
    <w:rsid w:val="00DE755C"/>
    <w:rsid w:val="00E03683"/>
    <w:rsid w:val="00E108FF"/>
    <w:rsid w:val="00E13065"/>
    <w:rsid w:val="00E23983"/>
    <w:rsid w:val="00E30D85"/>
    <w:rsid w:val="00E37814"/>
    <w:rsid w:val="00E61123"/>
    <w:rsid w:val="00E67D43"/>
    <w:rsid w:val="00E82841"/>
    <w:rsid w:val="00E8366C"/>
    <w:rsid w:val="00E8622E"/>
    <w:rsid w:val="00E914FB"/>
    <w:rsid w:val="00E93949"/>
    <w:rsid w:val="00EC6FFB"/>
    <w:rsid w:val="00EE1B46"/>
    <w:rsid w:val="00EF048F"/>
    <w:rsid w:val="00EF602F"/>
    <w:rsid w:val="00EF71C3"/>
    <w:rsid w:val="00F14CE1"/>
    <w:rsid w:val="00F23222"/>
    <w:rsid w:val="00F32D44"/>
    <w:rsid w:val="00F3360D"/>
    <w:rsid w:val="00F34576"/>
    <w:rsid w:val="00F410BC"/>
    <w:rsid w:val="00F42EEF"/>
    <w:rsid w:val="00F44728"/>
    <w:rsid w:val="00F44B2A"/>
    <w:rsid w:val="00F61CBB"/>
    <w:rsid w:val="00F67C1F"/>
    <w:rsid w:val="00F73D81"/>
    <w:rsid w:val="00F83263"/>
    <w:rsid w:val="00F84F3B"/>
    <w:rsid w:val="00F90EA7"/>
    <w:rsid w:val="00FB6496"/>
    <w:rsid w:val="00FE0411"/>
    <w:rsid w:val="00FF4F90"/>
    <w:rsid w:val="00FF7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1FB19"/>
  <w15:docId w15:val="{92924DEC-9604-47B7-A5F1-90382A35C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C8C"/>
    <w:pPr>
      <w:ind w:left="720"/>
      <w:contextualSpacing/>
    </w:pPr>
  </w:style>
  <w:style w:type="character" w:styleId="Hyperlink">
    <w:name w:val="Hyperlink"/>
    <w:basedOn w:val="DefaultParagraphFont"/>
    <w:uiPriority w:val="99"/>
    <w:unhideWhenUsed/>
    <w:rsid w:val="008D40CD"/>
    <w:rPr>
      <w:color w:val="0563C1" w:themeColor="hyperlink"/>
      <w:u w:val="single"/>
    </w:rPr>
  </w:style>
  <w:style w:type="character" w:styleId="FollowedHyperlink">
    <w:name w:val="FollowedHyperlink"/>
    <w:basedOn w:val="DefaultParagraphFont"/>
    <w:uiPriority w:val="99"/>
    <w:semiHidden/>
    <w:unhideWhenUsed/>
    <w:rsid w:val="00163DF6"/>
    <w:rPr>
      <w:color w:val="954F72" w:themeColor="followedHyperlink"/>
      <w:u w:val="single"/>
    </w:rPr>
  </w:style>
  <w:style w:type="paragraph" w:styleId="Caption">
    <w:name w:val="caption"/>
    <w:basedOn w:val="Normal"/>
    <w:next w:val="Normal"/>
    <w:uiPriority w:val="35"/>
    <w:unhideWhenUsed/>
    <w:qFormat/>
    <w:rsid w:val="00DA6560"/>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A2681C"/>
    <w:rPr>
      <w:sz w:val="16"/>
      <w:szCs w:val="16"/>
    </w:rPr>
  </w:style>
  <w:style w:type="paragraph" w:styleId="CommentText">
    <w:name w:val="annotation text"/>
    <w:basedOn w:val="Normal"/>
    <w:link w:val="CommentTextChar"/>
    <w:uiPriority w:val="99"/>
    <w:semiHidden/>
    <w:unhideWhenUsed/>
    <w:rsid w:val="00A2681C"/>
    <w:pPr>
      <w:spacing w:line="240" w:lineRule="auto"/>
    </w:pPr>
    <w:rPr>
      <w:sz w:val="20"/>
      <w:szCs w:val="20"/>
    </w:rPr>
  </w:style>
  <w:style w:type="character" w:customStyle="1" w:styleId="CommentTextChar">
    <w:name w:val="Comment Text Char"/>
    <w:basedOn w:val="DefaultParagraphFont"/>
    <w:link w:val="CommentText"/>
    <w:uiPriority w:val="99"/>
    <w:semiHidden/>
    <w:rsid w:val="00A2681C"/>
    <w:rPr>
      <w:sz w:val="20"/>
      <w:szCs w:val="20"/>
    </w:rPr>
  </w:style>
  <w:style w:type="paragraph" w:styleId="CommentSubject">
    <w:name w:val="annotation subject"/>
    <w:basedOn w:val="CommentText"/>
    <w:next w:val="CommentText"/>
    <w:link w:val="CommentSubjectChar"/>
    <w:uiPriority w:val="99"/>
    <w:semiHidden/>
    <w:unhideWhenUsed/>
    <w:rsid w:val="00A2681C"/>
    <w:rPr>
      <w:b/>
      <w:bCs/>
    </w:rPr>
  </w:style>
  <w:style w:type="character" w:customStyle="1" w:styleId="CommentSubjectChar">
    <w:name w:val="Comment Subject Char"/>
    <w:basedOn w:val="CommentTextChar"/>
    <w:link w:val="CommentSubject"/>
    <w:uiPriority w:val="99"/>
    <w:semiHidden/>
    <w:rsid w:val="00A2681C"/>
    <w:rPr>
      <w:b/>
      <w:bCs/>
      <w:sz w:val="20"/>
      <w:szCs w:val="20"/>
    </w:rPr>
  </w:style>
  <w:style w:type="paragraph" w:styleId="BalloonText">
    <w:name w:val="Balloon Text"/>
    <w:basedOn w:val="Normal"/>
    <w:link w:val="BalloonTextChar"/>
    <w:uiPriority w:val="99"/>
    <w:semiHidden/>
    <w:unhideWhenUsed/>
    <w:rsid w:val="00A26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81C"/>
    <w:rPr>
      <w:rFonts w:ascii="Segoe UI" w:hAnsi="Segoe UI" w:cs="Segoe UI"/>
      <w:sz w:val="18"/>
      <w:szCs w:val="18"/>
    </w:rPr>
  </w:style>
  <w:style w:type="paragraph" w:customStyle="1" w:styleId="EndNoteBibliographyTitle">
    <w:name w:val="EndNote Bibliography Title"/>
    <w:basedOn w:val="Normal"/>
    <w:link w:val="EndNoteBibliographyTitleChar"/>
    <w:rsid w:val="008129AB"/>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8129AB"/>
    <w:rPr>
      <w:rFonts w:ascii="Calibri" w:hAnsi="Calibri"/>
      <w:noProof/>
      <w:lang w:val="en-US"/>
    </w:rPr>
  </w:style>
  <w:style w:type="paragraph" w:customStyle="1" w:styleId="EndNoteBibliography">
    <w:name w:val="EndNote Bibliography"/>
    <w:basedOn w:val="Normal"/>
    <w:link w:val="EndNoteBibliographyChar"/>
    <w:rsid w:val="008129AB"/>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8129AB"/>
    <w:rPr>
      <w:rFonts w:ascii="Calibri" w:hAnsi="Calibri"/>
      <w:noProof/>
      <w:lang w:val="en-US"/>
    </w:rPr>
  </w:style>
  <w:style w:type="paragraph" w:styleId="Header">
    <w:name w:val="header"/>
    <w:basedOn w:val="Normal"/>
    <w:link w:val="HeaderChar"/>
    <w:uiPriority w:val="99"/>
    <w:unhideWhenUsed/>
    <w:rsid w:val="00812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9AB"/>
  </w:style>
  <w:style w:type="paragraph" w:styleId="Footer">
    <w:name w:val="footer"/>
    <w:basedOn w:val="Normal"/>
    <w:link w:val="FooterChar"/>
    <w:uiPriority w:val="99"/>
    <w:unhideWhenUsed/>
    <w:rsid w:val="00812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66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bastian.hinde@york.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ice.org.uk/guidance/ph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2DF86-D41C-4DA6-AA46-F04712E25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A54A7F3B.dotm</Template>
  <TotalTime>1</TotalTime>
  <Pages>10</Pages>
  <Words>4287</Words>
  <Characters>24440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28670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Hinde</dc:creator>
  <cp:lastModifiedBy>Sebastian Hinde</cp:lastModifiedBy>
  <cp:revision>3</cp:revision>
  <cp:lastPrinted>2016-11-08T07:19:00Z</cp:lastPrinted>
  <dcterms:created xsi:type="dcterms:W3CDTF">2017-08-21T09:23:00Z</dcterms:created>
  <dcterms:modified xsi:type="dcterms:W3CDTF">2017-08-21T09:24:00Z</dcterms:modified>
</cp:coreProperties>
</file>