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A78" w:rsidRPr="00735C63" w:rsidRDefault="00B16B82" w:rsidP="00E00B19">
      <w:pPr>
        <w:spacing w:line="480" w:lineRule="auto"/>
        <w:contextualSpacing/>
        <w:rPr>
          <w:b/>
          <w:sz w:val="36"/>
          <w:szCs w:val="28"/>
        </w:rPr>
      </w:pPr>
      <w:r w:rsidRPr="00735C63">
        <w:rPr>
          <w:b/>
          <w:sz w:val="36"/>
          <w:szCs w:val="28"/>
        </w:rPr>
        <w:t xml:space="preserve">Exposure to nature gardens has time-dependent associations with mood improvements </w:t>
      </w:r>
      <w:r w:rsidR="002F37C4" w:rsidRPr="00735C63">
        <w:rPr>
          <w:b/>
          <w:sz w:val="36"/>
          <w:szCs w:val="28"/>
        </w:rPr>
        <w:t xml:space="preserve">for </w:t>
      </w:r>
      <w:r w:rsidR="0002744F" w:rsidRPr="00735C63">
        <w:rPr>
          <w:b/>
          <w:sz w:val="36"/>
          <w:szCs w:val="28"/>
        </w:rPr>
        <w:t xml:space="preserve">people with </w:t>
      </w:r>
      <w:r w:rsidR="002F37C4" w:rsidRPr="00735C63">
        <w:rPr>
          <w:b/>
          <w:sz w:val="36"/>
          <w:szCs w:val="28"/>
        </w:rPr>
        <w:t xml:space="preserve">mid- and late-stage </w:t>
      </w:r>
      <w:r w:rsidR="0002744F" w:rsidRPr="00735C63">
        <w:rPr>
          <w:b/>
          <w:sz w:val="36"/>
          <w:szCs w:val="28"/>
        </w:rPr>
        <w:t>dementia</w:t>
      </w:r>
      <w:r w:rsidRPr="00735C63">
        <w:rPr>
          <w:b/>
          <w:sz w:val="36"/>
          <w:szCs w:val="28"/>
        </w:rPr>
        <w:t>: Innovative practice</w:t>
      </w:r>
    </w:p>
    <w:p w:rsidR="005A7161" w:rsidRDefault="005A7161" w:rsidP="00E00B19">
      <w:pPr>
        <w:spacing w:line="480" w:lineRule="auto"/>
        <w:contextualSpacing/>
        <w:rPr>
          <w:sz w:val="24"/>
          <w:szCs w:val="24"/>
        </w:rPr>
      </w:pPr>
    </w:p>
    <w:p w:rsidR="00B16B82" w:rsidRPr="00735C63" w:rsidRDefault="0045377E" w:rsidP="00E00B19">
      <w:pPr>
        <w:spacing w:line="480" w:lineRule="auto"/>
        <w:contextualSpacing/>
        <w:rPr>
          <w:b/>
          <w:sz w:val="28"/>
          <w:szCs w:val="24"/>
        </w:rPr>
      </w:pPr>
      <w:r w:rsidRPr="00735C63">
        <w:rPr>
          <w:b/>
          <w:sz w:val="28"/>
          <w:szCs w:val="24"/>
        </w:rPr>
        <w:t>P</w:t>
      </w:r>
      <w:r w:rsidR="008D71DD" w:rsidRPr="00735C63">
        <w:rPr>
          <w:b/>
          <w:sz w:val="28"/>
          <w:szCs w:val="24"/>
        </w:rPr>
        <w:t>iran</w:t>
      </w:r>
      <w:r w:rsidRPr="00735C63">
        <w:rPr>
          <w:b/>
          <w:sz w:val="28"/>
          <w:szCs w:val="24"/>
        </w:rPr>
        <w:t xml:space="preserve"> C.L. W</w:t>
      </w:r>
      <w:r w:rsidR="008D71DD" w:rsidRPr="00735C63">
        <w:rPr>
          <w:b/>
          <w:sz w:val="28"/>
          <w:szCs w:val="24"/>
        </w:rPr>
        <w:t>hite</w:t>
      </w:r>
    </w:p>
    <w:p w:rsidR="00B16B82" w:rsidRDefault="00B16B82" w:rsidP="00E00B19">
      <w:pPr>
        <w:spacing w:line="480" w:lineRule="auto"/>
        <w:contextualSpacing/>
      </w:pPr>
      <w:r w:rsidRPr="00E83DDB">
        <w:t>Environment Department, Wentworth Way, University of York, York YO10 5NG, UK</w:t>
      </w:r>
    </w:p>
    <w:p w:rsidR="00B16B82" w:rsidRDefault="00B16B82" w:rsidP="00E00B19">
      <w:pPr>
        <w:spacing w:line="480" w:lineRule="auto"/>
        <w:contextualSpacing/>
        <w:rPr>
          <w:sz w:val="24"/>
          <w:szCs w:val="24"/>
        </w:rPr>
      </w:pPr>
    </w:p>
    <w:p w:rsidR="00B16B82" w:rsidRPr="00735C63" w:rsidRDefault="000C6256" w:rsidP="00E00B19">
      <w:pPr>
        <w:spacing w:line="480" w:lineRule="auto"/>
        <w:contextualSpacing/>
        <w:rPr>
          <w:b/>
          <w:sz w:val="28"/>
          <w:szCs w:val="24"/>
        </w:rPr>
      </w:pPr>
      <w:r w:rsidRPr="00735C63">
        <w:rPr>
          <w:b/>
          <w:sz w:val="28"/>
          <w:szCs w:val="24"/>
        </w:rPr>
        <w:t>J</w:t>
      </w:r>
      <w:r w:rsidR="008D71DD" w:rsidRPr="00735C63">
        <w:rPr>
          <w:b/>
          <w:sz w:val="28"/>
          <w:szCs w:val="24"/>
        </w:rPr>
        <w:t>onathan Wyatt</w:t>
      </w:r>
    </w:p>
    <w:p w:rsidR="00B16B82" w:rsidRDefault="00B16B82" w:rsidP="00E00B19">
      <w:pPr>
        <w:spacing w:line="480" w:lineRule="auto"/>
        <w:contextualSpacing/>
        <w:rPr>
          <w:sz w:val="24"/>
          <w:szCs w:val="24"/>
          <w:vertAlign w:val="superscript"/>
        </w:rPr>
      </w:pPr>
      <w:r w:rsidRPr="00E83DDB">
        <w:t>Environment Department, Wentworth Way, University of York, York YO10 5NG, UK</w:t>
      </w:r>
      <w:r w:rsidRPr="005A7161">
        <w:rPr>
          <w:sz w:val="24"/>
          <w:szCs w:val="24"/>
          <w:vertAlign w:val="superscript"/>
        </w:rPr>
        <w:t xml:space="preserve"> </w:t>
      </w:r>
    </w:p>
    <w:p w:rsidR="00B16B82" w:rsidRDefault="00B16B82" w:rsidP="00E00B19">
      <w:pPr>
        <w:spacing w:line="480" w:lineRule="auto"/>
        <w:contextualSpacing/>
        <w:rPr>
          <w:sz w:val="24"/>
          <w:szCs w:val="24"/>
        </w:rPr>
      </w:pPr>
    </w:p>
    <w:p w:rsidR="00B16B82" w:rsidRPr="00735C63" w:rsidRDefault="000C6256" w:rsidP="00E00B19">
      <w:pPr>
        <w:spacing w:line="480" w:lineRule="auto"/>
        <w:contextualSpacing/>
        <w:rPr>
          <w:b/>
          <w:sz w:val="28"/>
          <w:szCs w:val="24"/>
        </w:rPr>
      </w:pPr>
      <w:r w:rsidRPr="00735C63">
        <w:rPr>
          <w:b/>
          <w:sz w:val="28"/>
          <w:szCs w:val="24"/>
        </w:rPr>
        <w:t>G</w:t>
      </w:r>
      <w:r w:rsidR="008D71DD" w:rsidRPr="00735C63">
        <w:rPr>
          <w:b/>
          <w:sz w:val="28"/>
          <w:szCs w:val="24"/>
        </w:rPr>
        <w:t>aruth Chalfont</w:t>
      </w:r>
    </w:p>
    <w:p w:rsidR="00B16B82" w:rsidRDefault="00B16B82" w:rsidP="00B16B82">
      <w:pPr>
        <w:spacing w:line="480" w:lineRule="auto"/>
        <w:contextualSpacing/>
      </w:pPr>
      <w:r w:rsidRPr="00E83DDB">
        <w:t>Chalfont Design, Flat 1, The Old Rectory, Rectory Gardens, Cockerham, Lancaster LA2 0ED, UK</w:t>
      </w:r>
    </w:p>
    <w:p w:rsidR="00B16B82" w:rsidRDefault="00B16B82" w:rsidP="00E00B19">
      <w:pPr>
        <w:spacing w:line="480" w:lineRule="auto"/>
        <w:contextualSpacing/>
        <w:rPr>
          <w:sz w:val="24"/>
          <w:szCs w:val="24"/>
        </w:rPr>
      </w:pPr>
    </w:p>
    <w:p w:rsidR="00B16B82" w:rsidRPr="00735C63" w:rsidRDefault="00B2517C" w:rsidP="00E00B19">
      <w:pPr>
        <w:spacing w:line="480" w:lineRule="auto"/>
        <w:contextualSpacing/>
        <w:rPr>
          <w:b/>
          <w:sz w:val="28"/>
          <w:szCs w:val="24"/>
        </w:rPr>
      </w:pPr>
      <w:r w:rsidRPr="00735C63">
        <w:rPr>
          <w:b/>
          <w:sz w:val="28"/>
          <w:szCs w:val="24"/>
        </w:rPr>
        <w:t xml:space="preserve">J. </w:t>
      </w:r>
      <w:r w:rsidR="000C6256" w:rsidRPr="00735C63">
        <w:rPr>
          <w:b/>
          <w:sz w:val="28"/>
          <w:szCs w:val="24"/>
        </w:rPr>
        <w:t>M</w:t>
      </w:r>
      <w:r w:rsidR="008D71DD" w:rsidRPr="00735C63">
        <w:rPr>
          <w:b/>
          <w:sz w:val="28"/>
          <w:szCs w:val="24"/>
        </w:rPr>
        <w:t>artin Bland</w:t>
      </w:r>
    </w:p>
    <w:p w:rsidR="00B16B82" w:rsidRDefault="00B16B82" w:rsidP="00B16B82">
      <w:pPr>
        <w:spacing w:line="480" w:lineRule="auto"/>
        <w:contextualSpacing/>
      </w:pPr>
      <w:r w:rsidRPr="005A7161">
        <w:t>Department of Health Sciences, University of York, York YO10 5DD, UK</w:t>
      </w:r>
    </w:p>
    <w:p w:rsidR="00B16B82" w:rsidRDefault="00B16B82" w:rsidP="00E00B19">
      <w:pPr>
        <w:spacing w:line="480" w:lineRule="auto"/>
        <w:contextualSpacing/>
        <w:rPr>
          <w:sz w:val="24"/>
          <w:szCs w:val="24"/>
        </w:rPr>
      </w:pPr>
    </w:p>
    <w:p w:rsidR="00B16B82" w:rsidRPr="00735C63" w:rsidRDefault="000C6256" w:rsidP="00E00B19">
      <w:pPr>
        <w:spacing w:line="480" w:lineRule="auto"/>
        <w:contextualSpacing/>
        <w:rPr>
          <w:b/>
          <w:sz w:val="28"/>
          <w:szCs w:val="24"/>
        </w:rPr>
      </w:pPr>
      <w:r w:rsidRPr="00735C63">
        <w:rPr>
          <w:b/>
          <w:sz w:val="28"/>
          <w:szCs w:val="24"/>
        </w:rPr>
        <w:t>C</w:t>
      </w:r>
      <w:r w:rsidR="008D71DD" w:rsidRPr="00735C63">
        <w:rPr>
          <w:b/>
          <w:sz w:val="28"/>
          <w:szCs w:val="24"/>
        </w:rPr>
        <w:t>hris</w:t>
      </w:r>
      <w:r w:rsidR="00A2400C">
        <w:rPr>
          <w:b/>
          <w:sz w:val="28"/>
          <w:szCs w:val="24"/>
        </w:rPr>
        <w:t xml:space="preserve"> </w:t>
      </w:r>
      <w:r w:rsidR="008D71DD" w:rsidRPr="00735C63">
        <w:rPr>
          <w:b/>
          <w:sz w:val="28"/>
          <w:szCs w:val="24"/>
        </w:rPr>
        <w:t>Neale</w:t>
      </w:r>
    </w:p>
    <w:p w:rsidR="00B16B82" w:rsidRDefault="00B16B82" w:rsidP="00B16B82">
      <w:pPr>
        <w:spacing w:line="480" w:lineRule="auto"/>
        <w:contextualSpacing/>
      </w:pPr>
      <w:r w:rsidRPr="005A7161">
        <w:t xml:space="preserve">Stockholm Environment Institute at York, Environment Department, </w:t>
      </w:r>
      <w:r>
        <w:t xml:space="preserve">Wentworth Way, </w:t>
      </w:r>
      <w:r w:rsidRPr="005A7161">
        <w:t>University of York, York YO10 5</w:t>
      </w:r>
      <w:r>
        <w:t>NG</w:t>
      </w:r>
      <w:r w:rsidRPr="005A7161">
        <w:t>, UK</w:t>
      </w:r>
    </w:p>
    <w:p w:rsidR="00B16B82" w:rsidRDefault="00B16B82" w:rsidP="00B16B82">
      <w:pPr>
        <w:spacing w:line="480" w:lineRule="auto"/>
        <w:contextualSpacing/>
      </w:pPr>
    </w:p>
    <w:p w:rsidR="00B16B82" w:rsidRPr="00735C63" w:rsidRDefault="000C6256" w:rsidP="00E00B19">
      <w:pPr>
        <w:spacing w:line="480" w:lineRule="auto"/>
        <w:contextualSpacing/>
        <w:rPr>
          <w:b/>
          <w:sz w:val="28"/>
          <w:szCs w:val="24"/>
        </w:rPr>
      </w:pPr>
      <w:r w:rsidRPr="00735C63">
        <w:rPr>
          <w:b/>
          <w:sz w:val="28"/>
          <w:szCs w:val="24"/>
        </w:rPr>
        <w:t>D</w:t>
      </w:r>
      <w:r w:rsidR="008D71DD" w:rsidRPr="00735C63">
        <w:rPr>
          <w:b/>
          <w:sz w:val="28"/>
          <w:szCs w:val="24"/>
        </w:rPr>
        <w:t>ominic Trepel</w:t>
      </w:r>
    </w:p>
    <w:p w:rsidR="00B16B82" w:rsidRDefault="00B16B82" w:rsidP="00E00B19">
      <w:pPr>
        <w:spacing w:line="480" w:lineRule="auto"/>
        <w:contextualSpacing/>
        <w:rPr>
          <w:sz w:val="24"/>
          <w:szCs w:val="24"/>
        </w:rPr>
      </w:pPr>
      <w:r w:rsidRPr="005A7161">
        <w:t>Department of Health Sciences, University of York, York YO10 5DD, UK</w:t>
      </w:r>
      <w:r>
        <w:rPr>
          <w:sz w:val="24"/>
          <w:szCs w:val="24"/>
        </w:rPr>
        <w:t xml:space="preserve"> </w:t>
      </w:r>
    </w:p>
    <w:p w:rsidR="00B16B82" w:rsidRDefault="00B16B82" w:rsidP="00E00B19">
      <w:pPr>
        <w:spacing w:line="480" w:lineRule="auto"/>
        <w:contextualSpacing/>
        <w:rPr>
          <w:sz w:val="24"/>
          <w:szCs w:val="24"/>
        </w:rPr>
      </w:pPr>
    </w:p>
    <w:p w:rsidR="00B16B82" w:rsidRPr="00735C63" w:rsidRDefault="008D71DD" w:rsidP="00E00B19">
      <w:pPr>
        <w:spacing w:line="480" w:lineRule="auto"/>
        <w:contextualSpacing/>
        <w:rPr>
          <w:b/>
          <w:sz w:val="28"/>
          <w:szCs w:val="24"/>
        </w:rPr>
      </w:pPr>
      <w:r w:rsidRPr="00735C63">
        <w:rPr>
          <w:b/>
          <w:sz w:val="28"/>
          <w:szCs w:val="24"/>
        </w:rPr>
        <w:t>Hilary Graham</w:t>
      </w:r>
    </w:p>
    <w:p w:rsidR="001E23C4" w:rsidRDefault="00B16B82" w:rsidP="00E00B19">
      <w:pPr>
        <w:spacing w:line="480" w:lineRule="auto"/>
        <w:contextualSpacing/>
        <w:rPr>
          <w:sz w:val="24"/>
          <w:szCs w:val="24"/>
          <w:vertAlign w:val="superscript"/>
        </w:rPr>
      </w:pPr>
      <w:r w:rsidRPr="005A7161">
        <w:t>Department of Health Sciences, University of York, York YO10 5DD, UK</w:t>
      </w:r>
    </w:p>
    <w:p w:rsidR="005A7161" w:rsidRDefault="005A7161" w:rsidP="00E00B19">
      <w:pPr>
        <w:spacing w:line="480" w:lineRule="auto"/>
        <w:contextualSpacing/>
        <w:rPr>
          <w:sz w:val="24"/>
          <w:szCs w:val="24"/>
        </w:rPr>
      </w:pPr>
    </w:p>
    <w:p w:rsidR="001E23C4" w:rsidRPr="005A7161" w:rsidRDefault="001E23C4" w:rsidP="00E00B19">
      <w:pPr>
        <w:spacing w:line="480" w:lineRule="auto"/>
        <w:contextualSpacing/>
      </w:pPr>
    </w:p>
    <w:p w:rsidR="008B4BCB" w:rsidRPr="00735C63" w:rsidRDefault="008D71DD" w:rsidP="00E00B19">
      <w:pPr>
        <w:spacing w:line="480" w:lineRule="auto"/>
        <w:contextualSpacing/>
        <w:rPr>
          <w:b/>
          <w:sz w:val="28"/>
        </w:rPr>
      </w:pPr>
      <w:r w:rsidRPr="00735C63">
        <w:rPr>
          <w:b/>
          <w:sz w:val="28"/>
        </w:rPr>
        <w:t>Corresponding author</w:t>
      </w:r>
      <w:r w:rsidR="00EC0437" w:rsidRPr="00735C63">
        <w:rPr>
          <w:b/>
          <w:sz w:val="28"/>
        </w:rPr>
        <w:t>:</w:t>
      </w:r>
    </w:p>
    <w:p w:rsidR="001E23C4" w:rsidRPr="00EC0437" w:rsidRDefault="00EC0437" w:rsidP="00E00B19">
      <w:pPr>
        <w:spacing w:line="480" w:lineRule="auto"/>
        <w:contextualSpacing/>
      </w:pPr>
      <w:r w:rsidRPr="00EC0437">
        <w:t>Piran C. L. White</w:t>
      </w:r>
      <w:r w:rsidR="008D71DD">
        <w:t xml:space="preserve">, </w:t>
      </w:r>
      <w:r w:rsidR="008D71DD" w:rsidRPr="005A7161">
        <w:t>Environment Department,</w:t>
      </w:r>
      <w:r w:rsidR="008D71DD">
        <w:t xml:space="preserve"> Wentworth Way,</w:t>
      </w:r>
      <w:r w:rsidR="008D71DD" w:rsidRPr="005A7161">
        <w:t xml:space="preserve"> U</w:t>
      </w:r>
      <w:r w:rsidR="008D71DD">
        <w:t>niversity of York, York YO10 5NG</w:t>
      </w:r>
      <w:r w:rsidR="008D71DD" w:rsidRPr="005A7161">
        <w:t>, UK</w:t>
      </w:r>
      <w:r w:rsidR="008D71DD">
        <w:t xml:space="preserve">. </w:t>
      </w:r>
      <w:r w:rsidR="000C6256">
        <w:t>Email: p</w:t>
      </w:r>
      <w:r w:rsidRPr="00EC0437">
        <w:t>iran.white@york.ac.uk</w:t>
      </w:r>
    </w:p>
    <w:p w:rsidR="00FC4C47" w:rsidRDefault="00FC4C47" w:rsidP="00E00B19">
      <w:pPr>
        <w:spacing w:line="480" w:lineRule="auto"/>
        <w:contextualSpacing/>
        <w:rPr>
          <w:b/>
        </w:rPr>
      </w:pPr>
    </w:p>
    <w:p w:rsidR="00EC0437" w:rsidRPr="000C6256" w:rsidRDefault="000C6256" w:rsidP="00E00B19">
      <w:pPr>
        <w:spacing w:line="480" w:lineRule="auto"/>
        <w:contextualSpacing/>
        <w:rPr>
          <w:b/>
          <w:sz w:val="28"/>
          <w:szCs w:val="28"/>
        </w:rPr>
      </w:pPr>
      <w:r>
        <w:rPr>
          <w:b/>
          <w:sz w:val="28"/>
          <w:szCs w:val="28"/>
        </w:rPr>
        <w:br w:type="page"/>
      </w:r>
      <w:r w:rsidR="00EC0437" w:rsidRPr="000C6256">
        <w:rPr>
          <w:b/>
          <w:sz w:val="28"/>
          <w:szCs w:val="28"/>
        </w:rPr>
        <w:lastRenderedPageBreak/>
        <w:t>Abstract</w:t>
      </w:r>
    </w:p>
    <w:p w:rsidR="00EC0437" w:rsidRPr="00EC0437" w:rsidRDefault="00D85B06" w:rsidP="008D71DD">
      <w:pPr>
        <w:spacing w:after="0" w:line="480" w:lineRule="auto"/>
        <w:contextualSpacing/>
      </w:pPr>
      <w:r>
        <w:t xml:space="preserve">Exposure to green space </w:t>
      </w:r>
      <w:r w:rsidR="00911FBA">
        <w:t xml:space="preserve">and nature </w:t>
      </w:r>
      <w:r w:rsidR="005F081A">
        <w:t>ha</w:t>
      </w:r>
      <w:r>
        <w:t>s</w:t>
      </w:r>
      <w:r w:rsidR="005F081A">
        <w:t xml:space="preserve"> </w:t>
      </w:r>
      <w:r>
        <w:t>a</w:t>
      </w:r>
      <w:r w:rsidR="005F081A">
        <w:t xml:space="preserve"> potential role to play in </w:t>
      </w:r>
      <w:r w:rsidR="002B67CE">
        <w:t>the care of people with dementia</w:t>
      </w:r>
      <w:r w:rsidR="00842D1C">
        <w:t xml:space="preserve">, with </w:t>
      </w:r>
      <w:r w:rsidR="005F081A">
        <w:t>possible</w:t>
      </w:r>
      <w:r w:rsidR="00842D1C">
        <w:t xml:space="preserve"> benefits </w:t>
      </w:r>
      <w:r w:rsidR="000A30E0">
        <w:t xml:space="preserve">including </w:t>
      </w:r>
      <w:r w:rsidR="001D65C8">
        <w:t>improved mood and slower disease progression</w:t>
      </w:r>
      <w:r w:rsidR="00842D1C">
        <w:t>.</w:t>
      </w:r>
      <w:r w:rsidR="008D71DD">
        <w:t xml:space="preserve"> In this observational study at a dementia care facility in the UK, we </w:t>
      </w:r>
      <w:r w:rsidR="00911FBA">
        <w:t xml:space="preserve">used carer-assessed measures to </w:t>
      </w:r>
      <w:r w:rsidR="008D71DD">
        <w:rPr>
          <w:b/>
        </w:rPr>
        <w:t>e</w:t>
      </w:r>
      <w:r w:rsidR="005F081A">
        <w:t xml:space="preserve">valuate change in mood of </w:t>
      </w:r>
      <w:r w:rsidR="008D71DD">
        <w:t xml:space="preserve">residents </w:t>
      </w:r>
      <w:r w:rsidR="0002744F">
        <w:t xml:space="preserve">with </w:t>
      </w:r>
      <w:r w:rsidR="008D71DD">
        <w:t xml:space="preserve">mid- to late-stage </w:t>
      </w:r>
      <w:r w:rsidR="0002744F">
        <w:t>dementia</w:t>
      </w:r>
      <w:r w:rsidR="005F081A">
        <w:t xml:space="preserve"> following </w:t>
      </w:r>
      <w:r>
        <w:t xml:space="preserve">exposure to </w:t>
      </w:r>
      <w:r w:rsidR="005F081A">
        <w:t xml:space="preserve">a </w:t>
      </w:r>
      <w:r>
        <w:t>nature garden</w:t>
      </w:r>
      <w:r w:rsidR="005F081A">
        <w:t>.</w:t>
      </w:r>
      <w:r w:rsidR="008D71DD">
        <w:t xml:space="preserve"> We found that e</w:t>
      </w:r>
      <w:r w:rsidR="003534FB">
        <w:t xml:space="preserve">xposure to nature </w:t>
      </w:r>
      <w:r w:rsidR="00565E42">
        <w:t>was associated with a</w:t>
      </w:r>
      <w:r w:rsidR="003534FB">
        <w:t xml:space="preserve"> beneficial </w:t>
      </w:r>
      <w:r w:rsidR="00565E42">
        <w:t>change i</w:t>
      </w:r>
      <w:r w:rsidR="003534FB">
        <w:t>n patient mood</w:t>
      </w:r>
      <w:r w:rsidR="00565E42">
        <w:t xml:space="preserve">. </w:t>
      </w:r>
      <w:r w:rsidR="002F37C4">
        <w:t xml:space="preserve">There was a non-linear relationship </w:t>
      </w:r>
      <w:r w:rsidR="00352DA3">
        <w:t>between</w:t>
      </w:r>
      <w:r w:rsidR="002F37C4">
        <w:t xml:space="preserve"> time spent outdoors and </w:t>
      </w:r>
      <w:r w:rsidR="00565E42">
        <w:t xml:space="preserve">mood </w:t>
      </w:r>
      <w:r w:rsidR="003534FB">
        <w:t xml:space="preserve">outcome. </w:t>
      </w:r>
      <w:r w:rsidR="002F37C4">
        <w:t xml:space="preserve">Improvements in patient mood were associated with relatively short duration exposures to </w:t>
      </w:r>
      <w:r w:rsidR="001D65C8">
        <w:t>nature</w:t>
      </w:r>
      <w:r w:rsidR="002F37C4">
        <w:t xml:space="preserve">, and no additional measureable increases in mood were </w:t>
      </w:r>
      <w:r w:rsidR="00911FBA">
        <w:t xml:space="preserve">found </w:t>
      </w:r>
      <w:r w:rsidR="002F37C4">
        <w:t>with exposures beyond 80-90 minutes</w:t>
      </w:r>
      <w:r w:rsidR="001D65C8">
        <w:t xml:space="preserve"> duration</w:t>
      </w:r>
      <w:r w:rsidR="002F37C4">
        <w:t>.</w:t>
      </w:r>
      <w:r w:rsidR="000B7D28">
        <w:t xml:space="preserve"> Whilst further investigation is required before causality can be determined, </w:t>
      </w:r>
      <w:r w:rsidR="008D71DD">
        <w:t xml:space="preserve">these </w:t>
      </w:r>
      <w:r w:rsidR="000B7D28">
        <w:t xml:space="preserve">results raise important questions </w:t>
      </w:r>
      <w:r w:rsidR="002416B6">
        <w:t xml:space="preserve">for policy </w:t>
      </w:r>
      <w:r w:rsidR="00C97ECD">
        <w:t xml:space="preserve">about </w:t>
      </w:r>
      <w:r w:rsidR="002416B6">
        <w:t>the</w:t>
      </w:r>
      <w:r w:rsidR="003534FB" w:rsidRPr="003534FB">
        <w:t xml:space="preserve"> integrat</w:t>
      </w:r>
      <w:r w:rsidR="000B7D28">
        <w:t>ion</w:t>
      </w:r>
      <w:r w:rsidR="003534FB" w:rsidRPr="003534FB">
        <w:t xml:space="preserve"> </w:t>
      </w:r>
      <w:r w:rsidR="004A1445">
        <w:t xml:space="preserve">of </w:t>
      </w:r>
      <w:r w:rsidR="002416B6">
        <w:t xml:space="preserve">outdoor space into </w:t>
      </w:r>
      <w:r w:rsidR="004A1445">
        <w:t>the</w:t>
      </w:r>
      <w:r w:rsidR="000B7D28">
        <w:t xml:space="preserve"> </w:t>
      </w:r>
      <w:r w:rsidR="003534FB" w:rsidRPr="003534FB">
        <w:t xml:space="preserve">design </w:t>
      </w:r>
      <w:r w:rsidR="000B7D28">
        <w:t xml:space="preserve">of dementia </w:t>
      </w:r>
      <w:r w:rsidR="003534FB" w:rsidRPr="003534FB">
        <w:t xml:space="preserve">care </w:t>
      </w:r>
      <w:r w:rsidR="000B7D28">
        <w:t>facilities</w:t>
      </w:r>
      <w:r w:rsidR="000A30E0">
        <w:t xml:space="preserve"> and programmes</w:t>
      </w:r>
      <w:r w:rsidR="003534FB">
        <w:t>.</w:t>
      </w:r>
    </w:p>
    <w:p w:rsidR="00EC0437" w:rsidRDefault="00EC0437" w:rsidP="00E00B19">
      <w:pPr>
        <w:spacing w:line="480" w:lineRule="auto"/>
        <w:contextualSpacing/>
      </w:pPr>
    </w:p>
    <w:p w:rsidR="008D71DD" w:rsidRDefault="00E662E0" w:rsidP="00E00B19">
      <w:pPr>
        <w:spacing w:line="480" w:lineRule="auto"/>
        <w:contextualSpacing/>
        <w:rPr>
          <w:b/>
          <w:sz w:val="28"/>
          <w:szCs w:val="28"/>
        </w:rPr>
      </w:pPr>
      <w:r w:rsidRPr="008D71DD">
        <w:rPr>
          <w:b/>
          <w:sz w:val="28"/>
          <w:szCs w:val="28"/>
        </w:rPr>
        <w:t>Keywords</w:t>
      </w:r>
    </w:p>
    <w:p w:rsidR="00E662E0" w:rsidRPr="008D71DD" w:rsidRDefault="008B4BCB" w:rsidP="00E00B19">
      <w:pPr>
        <w:spacing w:line="480" w:lineRule="auto"/>
        <w:contextualSpacing/>
        <w:rPr>
          <w:b/>
        </w:rPr>
      </w:pPr>
      <w:r w:rsidRPr="008D71DD">
        <w:t>care practice</w:t>
      </w:r>
      <w:r w:rsidRPr="00E83DDB">
        <w:t xml:space="preserve">, </w:t>
      </w:r>
      <w:r w:rsidR="00E83DDB">
        <w:t>garden</w:t>
      </w:r>
      <w:r w:rsidRPr="00E83DDB">
        <w:t xml:space="preserve">, </w:t>
      </w:r>
      <w:r w:rsidR="00E24A58">
        <w:t xml:space="preserve">green care, </w:t>
      </w:r>
      <w:r w:rsidR="006570E2">
        <w:t xml:space="preserve">green space, </w:t>
      </w:r>
      <w:r w:rsidR="00F043CB">
        <w:t xml:space="preserve">health, </w:t>
      </w:r>
      <w:r w:rsidR="00BE24D0" w:rsidRPr="008D71DD">
        <w:t>nature therapy</w:t>
      </w:r>
      <w:r w:rsidR="00BE24D0" w:rsidRPr="008D71DD">
        <w:rPr>
          <w:highlight w:val="yellow"/>
        </w:rPr>
        <w:t xml:space="preserve"> </w:t>
      </w:r>
    </w:p>
    <w:p w:rsidR="008D71DD" w:rsidRDefault="008D71DD" w:rsidP="00E00B19">
      <w:pPr>
        <w:spacing w:line="480" w:lineRule="auto"/>
        <w:contextualSpacing/>
        <w:rPr>
          <w:b/>
          <w:sz w:val="28"/>
          <w:szCs w:val="28"/>
        </w:rPr>
      </w:pPr>
    </w:p>
    <w:p w:rsidR="005E2A46" w:rsidRPr="000C6256" w:rsidRDefault="008D71DD" w:rsidP="00E00B19">
      <w:pPr>
        <w:spacing w:line="480" w:lineRule="auto"/>
        <w:contextualSpacing/>
        <w:rPr>
          <w:b/>
          <w:sz w:val="28"/>
          <w:szCs w:val="28"/>
        </w:rPr>
      </w:pPr>
      <w:r>
        <w:rPr>
          <w:b/>
          <w:sz w:val="28"/>
          <w:szCs w:val="28"/>
        </w:rPr>
        <w:br w:type="page"/>
      </w:r>
      <w:r w:rsidR="005E2A46" w:rsidRPr="000C6256">
        <w:rPr>
          <w:b/>
          <w:sz w:val="28"/>
          <w:szCs w:val="28"/>
        </w:rPr>
        <w:lastRenderedPageBreak/>
        <w:t>Introduction</w:t>
      </w:r>
    </w:p>
    <w:p w:rsidR="00550C6C" w:rsidRDefault="00550C6C" w:rsidP="00DF401E">
      <w:pPr>
        <w:spacing w:line="480" w:lineRule="auto"/>
        <w:contextualSpacing/>
      </w:pPr>
      <w:r w:rsidRPr="00550C6C">
        <w:t>Symptom management in people with dementia relies primarily on antidepressant and antipsychotic medication</w:t>
      </w:r>
      <w:r w:rsidR="000A30E0">
        <w:t>. However</w:t>
      </w:r>
      <w:r w:rsidRPr="00550C6C">
        <w:t>, the evidence of overall effectiveness is not clear-cut (Banerjee, 2009</w:t>
      </w:r>
      <w:r w:rsidR="003D4C4D">
        <w:t>)</w:t>
      </w:r>
      <w:r w:rsidR="000A30E0">
        <w:t xml:space="preserve"> and t</w:t>
      </w:r>
      <w:r w:rsidRPr="00550C6C">
        <w:t xml:space="preserve">here </w:t>
      </w:r>
      <w:r w:rsidR="003D4C4D">
        <w:t xml:space="preserve">is increasing </w:t>
      </w:r>
      <w:r w:rsidRPr="00550C6C">
        <w:t xml:space="preserve">interest in non-pharmacological approaches (Hulme, Wright, Crocker, Oluboyede, &amp; House, 2010). </w:t>
      </w:r>
      <w:r w:rsidR="003D4C4D">
        <w:t xml:space="preserve">A </w:t>
      </w:r>
      <w:r w:rsidR="000A30E0">
        <w:t xml:space="preserve">limited but </w:t>
      </w:r>
      <w:r w:rsidR="003D4C4D">
        <w:t>increasing body of research links green spaces</w:t>
      </w:r>
      <w:r w:rsidR="005E2A46">
        <w:t xml:space="preserve"> to </w:t>
      </w:r>
      <w:r w:rsidR="00A42CD9">
        <w:t xml:space="preserve">a range of health benefits, including </w:t>
      </w:r>
      <w:r w:rsidR="005E2A46">
        <w:t>enhanced psychological wellbeing</w:t>
      </w:r>
      <w:r>
        <w:t xml:space="preserve"> and improved </w:t>
      </w:r>
      <w:r w:rsidR="005E2A46">
        <w:t>self-esteem and mood</w:t>
      </w:r>
      <w:r w:rsidR="003D4C4D">
        <w:t xml:space="preserve"> </w:t>
      </w:r>
      <w:r w:rsidR="003D4C4D">
        <w:fldChar w:fldCharType="begin"/>
      </w:r>
      <w:r w:rsidR="003D4C4D">
        <w:instrText xml:space="preserve"> ADDIN EN.CITE &lt;EndNote&gt;&lt;Cite&gt;&lt;Author&gt;Lee&lt;/Author&gt;&lt;Year&gt;2011&lt;/Year&gt;&lt;RecNum&gt;614&lt;/RecNum&gt;&lt;DisplayText&gt;(Lee &amp;amp; Maheswaran, 2011)&lt;/DisplayText&gt;&lt;record&gt;&lt;rec-number&gt;614&lt;/rec-number&gt;&lt;foreign-keys&gt;&lt;key app="EN" db-id="aexz05etatpr98e9r0pvrw9nepeva0z2vzrp" timestamp="1474636721"&gt;614&lt;/key&gt;&lt;/foreign-keys&gt;&lt;ref-type name="Journal Article"&gt;17&lt;/ref-type&gt;&lt;contributors&gt;&lt;authors&gt;&lt;author&gt;Lee, A.C.K.&lt;/author&gt;&lt;author&gt;Maheswaran, R.&lt;/author&gt;&lt;/authors&gt;&lt;/contributors&gt;&lt;titles&gt;&lt;title&gt;The health benefits of urban green spaces: a review of the evidence&lt;/title&gt;&lt;secondary-title&gt;Journal of Public Health&lt;/secondary-title&gt;&lt;/titles&gt;&lt;periodical&gt;&lt;full-title&gt;Journal of Public Health&lt;/full-title&gt;&lt;/periodical&gt;&lt;pages&gt;212-222&lt;/pages&gt;&lt;volume&gt;33&lt;/volume&gt;&lt;number&gt;2&lt;/number&gt;&lt;dates&gt;&lt;year&gt;2011&lt;/year&gt;&lt;pub-dates&gt;&lt;date&gt;June 1, 2011&lt;/date&gt;&lt;/pub-dates&gt;&lt;/dates&gt;&lt;urls&gt;&lt;related-urls&gt;&lt;url&gt;http://jpubhealth.oxfordjournals.org/content/33/2/212.abstract&lt;/url&gt;&lt;/related-urls&gt;&lt;/urls&gt;&lt;electronic-resource-num&gt;10.1093/pubmed/fdq068&lt;/electronic-resource-num&gt;&lt;/record&gt;&lt;/Cite&gt;&lt;/EndNote&gt;</w:instrText>
      </w:r>
      <w:r w:rsidR="003D4C4D">
        <w:fldChar w:fldCharType="separate"/>
      </w:r>
      <w:r w:rsidR="003D4C4D">
        <w:rPr>
          <w:noProof/>
        </w:rPr>
        <w:t>(Lee &amp; Maheswaran, 2011)</w:t>
      </w:r>
      <w:r w:rsidR="003D4C4D">
        <w:fldChar w:fldCharType="end"/>
      </w:r>
      <w:r>
        <w:t>.</w:t>
      </w:r>
      <w:r w:rsidR="0031794B">
        <w:t xml:space="preserve"> </w:t>
      </w:r>
      <w:r w:rsidR="00666840">
        <w:t xml:space="preserve">Awareness </w:t>
      </w:r>
      <w:r w:rsidR="006A407C">
        <w:t xml:space="preserve">is </w:t>
      </w:r>
      <w:r>
        <w:t xml:space="preserve">also </w:t>
      </w:r>
      <w:r w:rsidR="006A407C">
        <w:t xml:space="preserve">growing </w:t>
      </w:r>
      <w:r>
        <w:t>of the</w:t>
      </w:r>
      <w:r w:rsidR="00B46951">
        <w:t xml:space="preserve"> preferences of</w:t>
      </w:r>
      <w:r w:rsidR="006A407C">
        <w:t xml:space="preserve"> </w:t>
      </w:r>
      <w:r w:rsidR="00B46951">
        <w:t xml:space="preserve">people with dementia for </w:t>
      </w:r>
      <w:r w:rsidR="006A407C">
        <w:t>walk</w:t>
      </w:r>
      <w:r w:rsidR="00B46951">
        <w:t>ing, wildlife and favourite outdoor places</w:t>
      </w:r>
      <w:r w:rsidR="006A407C">
        <w:t xml:space="preserve"> (Mapes, et al.</w:t>
      </w:r>
      <w:r w:rsidR="00B46951">
        <w:t>, 2016)</w:t>
      </w:r>
      <w:r w:rsidR="006A407C">
        <w:t>.</w:t>
      </w:r>
      <w:r w:rsidR="00666840">
        <w:t xml:space="preserve"> </w:t>
      </w:r>
    </w:p>
    <w:p w:rsidR="0090248E" w:rsidRDefault="00550C6C" w:rsidP="00DF401E">
      <w:pPr>
        <w:spacing w:line="480" w:lineRule="auto"/>
        <w:ind w:firstLine="426"/>
        <w:contextualSpacing/>
      </w:pPr>
      <w:r>
        <w:t>A</w:t>
      </w:r>
      <w:r w:rsidR="00784611">
        <w:t xml:space="preserve"> depressed emotional state in persons with dementia can be caused</w:t>
      </w:r>
      <w:r w:rsidR="004F38C8">
        <w:t xml:space="preserve"> or </w:t>
      </w:r>
      <w:r w:rsidR="00784611">
        <w:t>intensified by psychosocial and physical environments, including</w:t>
      </w:r>
      <w:r w:rsidR="00E87490">
        <w:t xml:space="preserve"> poorly-designed </w:t>
      </w:r>
      <w:r w:rsidR="00784611">
        <w:t xml:space="preserve">living </w:t>
      </w:r>
      <w:r w:rsidR="00A868B3">
        <w:t>spaces</w:t>
      </w:r>
      <w:r w:rsidR="009940EB">
        <w:t xml:space="preserve"> </w:t>
      </w:r>
      <w:r w:rsidR="00AC35CA">
        <w:fldChar w:fldCharType="begin">
          <w:fldData xml:space="preserve">PEVuZE5vdGU+PENpdGU+PEF1dGhvcj5XZXJlemFrPC9BdXRob3I+PFllYXI+MjAwMzwvWWVhcj48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</w:fldData>
        </w:fldChar>
      </w:r>
      <w:r w:rsidR="009B2D61">
        <w:instrText xml:space="preserve"> ADDIN EN.CITE </w:instrText>
      </w:r>
      <w:r w:rsidR="009B2D61">
        <w:fldChar w:fldCharType="begin">
          <w:fldData xml:space="preserve">PEVuZE5vdGU+PENpdGU+PEF1dGhvcj5XZXJlemFrPC9BdXRob3I+PFllYXI+MjAwMzwvWWVhcj48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</w:fldData>
        </w:fldChar>
      </w:r>
      <w:r w:rsidR="009B2D61">
        <w:instrText xml:space="preserve"> ADDIN EN.CITE.DATA </w:instrText>
      </w:r>
      <w:r w:rsidR="009B2D61">
        <w:fldChar w:fldCharType="end"/>
      </w:r>
      <w:r w:rsidR="00AC35CA">
        <w:fldChar w:fldCharType="separate"/>
      </w:r>
      <w:r w:rsidR="00DF401E">
        <w:rPr>
          <w:noProof/>
        </w:rPr>
        <w:t>(Department of Health</w:t>
      </w:r>
      <w:r w:rsidR="007C0665">
        <w:rPr>
          <w:noProof/>
        </w:rPr>
        <w:t>, 2015)</w:t>
      </w:r>
      <w:r w:rsidR="00AC35CA">
        <w:fldChar w:fldCharType="end"/>
      </w:r>
      <w:r w:rsidR="00784611">
        <w:t>.</w:t>
      </w:r>
      <w:r w:rsidR="004F38C8">
        <w:t xml:space="preserve"> </w:t>
      </w:r>
      <w:r w:rsidR="00B47DC6">
        <w:t>O</w:t>
      </w:r>
      <w:r w:rsidR="004F38C8">
        <w:t xml:space="preserve">pportunities to </w:t>
      </w:r>
      <w:r w:rsidR="00B47DC6">
        <w:t>improve the environment</w:t>
      </w:r>
      <w:r w:rsidR="004F38C8">
        <w:t xml:space="preserve"> t</w:t>
      </w:r>
      <w:r w:rsidR="00FC251E">
        <w:t>hrough careful architectural design for dementia</w:t>
      </w:r>
      <w:r w:rsidR="004F38C8">
        <w:t>, or through the incorporation of nature and natural environments into care programmes</w:t>
      </w:r>
      <w:r w:rsidR="001C63A9">
        <w:t xml:space="preserve"> and living spaces</w:t>
      </w:r>
      <w:r w:rsidR="00EA16C0">
        <w:t xml:space="preserve"> </w:t>
      </w:r>
      <w:r w:rsidR="0090248E">
        <w:t>may provide a useful complement to other treatments (</w:t>
      </w:r>
      <w:r w:rsidR="0090248E">
        <w:rPr>
          <w:noProof/>
        </w:rPr>
        <w:t>Detweiler, Murphy, Myers, &amp; Kim, 2008</w:t>
      </w:r>
      <w:r w:rsidR="00DF401E">
        <w:t xml:space="preserve">), as well as contributing to other </w:t>
      </w:r>
      <w:r w:rsidR="00A31553" w:rsidRPr="00C71645">
        <w:t xml:space="preserve">improvements in </w:t>
      </w:r>
      <w:r w:rsidR="00DF401E">
        <w:t>h</w:t>
      </w:r>
      <w:r w:rsidR="00A31553">
        <w:t>ealth</w:t>
      </w:r>
      <w:r w:rsidR="009940EB">
        <w:t xml:space="preserve"> </w:t>
      </w:r>
      <w:r w:rsidR="00AC35CA">
        <w:fldChar w:fldCharType="begin"/>
      </w:r>
      <w:r w:rsidR="005E0919">
        <w:instrText xml:space="preserve"> ADDIN EN.CITE &lt;EndNote&gt;&lt;Cite&gt;&lt;Author&gt;Annerstedt&lt;/Author&gt;&lt;Year&gt;2011&lt;/Year&gt;&lt;RecNum&gt;634&lt;/RecNum&gt;&lt;DisplayText&gt;(Annerstedt &amp;amp; Währborg, 2011)&lt;/DisplayText&gt;&lt;record&gt;&lt;rec-number&gt;634&lt;/rec-number&gt;&lt;foreign-keys&gt;&lt;key app="EN" db-id="aexz05etatpr98e9r0pvrw9nepeva0z2vzrp" timestamp="1474636724"&gt;634&lt;/key&gt;&lt;/foreign-keys&gt;&lt;ref-type name="Journal Article"&gt;17&lt;/ref-type&gt;&lt;contributors&gt;&lt;authors&gt;&lt;author&gt;Annerstedt, Matilda&lt;/author&gt;&lt;author&gt;Währborg, Peter&lt;/author&gt;&lt;/authors&gt;&lt;/contributors&gt;&lt;titles&gt;&lt;title&gt;Nature-assisted therapy: Systematic review of controlled and observational studies&lt;/title&gt;&lt;secondary-title&gt;Scandinavian journal of public health&lt;/secondary-title&gt;&lt;/titles&gt;&lt;periodical&gt;&lt;full-title&gt;Scandinavian journal of public health&lt;/full-title&gt;&lt;/periodical&gt;&lt;pages&gt;371-388&lt;/pages&gt;&lt;volume&gt;39&lt;/volume&gt;&lt;number&gt;4&lt;/number&gt;&lt;dates&gt;&lt;year&gt;2011&lt;/year&gt;&lt;/dates&gt;&lt;isbn&gt;1403-4948&lt;/isbn&gt;&lt;urls&gt;&lt;/urls&gt;&lt;electronic-resource-num&gt;10.1177/1403494810396400&lt;/electronic-resource-num&gt;&lt;/record&gt;&lt;/Cite&gt;&lt;/EndNote&gt;</w:instrText>
      </w:r>
      <w:r w:rsidR="00AC35CA">
        <w:fldChar w:fldCharType="separate"/>
      </w:r>
      <w:r w:rsidR="007C0665">
        <w:rPr>
          <w:noProof/>
        </w:rPr>
        <w:t>(Annerstedt &amp; Währborg, 2011)</w:t>
      </w:r>
      <w:r w:rsidR="00AC35CA">
        <w:fldChar w:fldCharType="end"/>
      </w:r>
      <w:r w:rsidR="00A31553">
        <w:t xml:space="preserve">. </w:t>
      </w:r>
    </w:p>
    <w:p w:rsidR="004F38C8" w:rsidRDefault="0090248E" w:rsidP="00DF401E">
      <w:pPr>
        <w:spacing w:line="480" w:lineRule="auto"/>
        <w:ind w:firstLine="426"/>
        <w:contextualSpacing/>
      </w:pPr>
      <w:r>
        <w:t>M</w:t>
      </w:r>
      <w:r w:rsidR="003D4C4D">
        <w:t xml:space="preserve">any people with dementia depend on their carers for </w:t>
      </w:r>
      <w:r w:rsidR="00176383">
        <w:t>opportunit</w:t>
      </w:r>
      <w:r w:rsidR="003D4C4D">
        <w:t>ies</w:t>
      </w:r>
      <w:r w:rsidR="00176383">
        <w:t xml:space="preserve"> to access and experience </w:t>
      </w:r>
      <w:r w:rsidR="00D04B2C">
        <w:t>natural environments</w:t>
      </w:r>
      <w:r w:rsidR="000A30E0">
        <w:t>. T</w:t>
      </w:r>
      <w:r w:rsidR="00D04B2C">
        <w:t xml:space="preserve">herapeutic interventions that are outside the normal range of treatments </w:t>
      </w:r>
      <w:r w:rsidR="00151491">
        <w:t xml:space="preserve">or require </w:t>
      </w:r>
      <w:r w:rsidR="00AC73FF">
        <w:t xml:space="preserve">additional </w:t>
      </w:r>
      <w:r w:rsidR="00151491">
        <w:t xml:space="preserve">time and effort </w:t>
      </w:r>
      <w:r w:rsidR="00176383">
        <w:t xml:space="preserve">may present particular barriers. It is therefore important to deepen </w:t>
      </w:r>
      <w:r w:rsidR="00D04B2C">
        <w:t>understand</w:t>
      </w:r>
      <w:r w:rsidR="00986184">
        <w:t>ing</w:t>
      </w:r>
      <w:r w:rsidR="00D04B2C">
        <w:t xml:space="preserve"> </w:t>
      </w:r>
      <w:r w:rsidR="00176383">
        <w:t xml:space="preserve">of </w:t>
      </w:r>
      <w:r w:rsidR="00986184">
        <w:t>the</w:t>
      </w:r>
      <w:r w:rsidR="00D04B2C">
        <w:t xml:space="preserve"> relationship between exposure to nature and health </w:t>
      </w:r>
      <w:r w:rsidR="00176383">
        <w:t>gain</w:t>
      </w:r>
      <w:r w:rsidR="00747AD0">
        <w:t>,</w:t>
      </w:r>
      <w:r w:rsidR="00176383">
        <w:t xml:space="preserve"> </w:t>
      </w:r>
      <w:r w:rsidR="00D04B2C">
        <w:t xml:space="preserve">so that </w:t>
      </w:r>
      <w:r w:rsidR="00986184">
        <w:t xml:space="preserve">the </w:t>
      </w:r>
      <w:r w:rsidR="00176383">
        <w:t>therapeutic benefits of exposure can be maximised.</w:t>
      </w:r>
      <w:r w:rsidR="00D04B2C">
        <w:t xml:space="preserve"> </w:t>
      </w:r>
      <w:r w:rsidR="003D4C4D">
        <w:t xml:space="preserve">In this study, we </w:t>
      </w:r>
      <w:r w:rsidR="00176383">
        <w:t xml:space="preserve">examine </w:t>
      </w:r>
      <w:r w:rsidR="00DF0F4D">
        <w:t xml:space="preserve">change in mood of </w:t>
      </w:r>
      <w:r w:rsidR="0002744F">
        <w:t xml:space="preserve">people with </w:t>
      </w:r>
      <w:r w:rsidR="00334051">
        <w:t xml:space="preserve">mid- to late-stage </w:t>
      </w:r>
      <w:r w:rsidR="00DF0F4D">
        <w:t xml:space="preserve">dementia following carer-mediated exposure to </w:t>
      </w:r>
      <w:r w:rsidR="00176383">
        <w:t>a nature-rich garden.</w:t>
      </w:r>
      <w:r w:rsidR="00051D82">
        <w:t xml:space="preserve"> </w:t>
      </w:r>
      <w:r>
        <w:t>T</w:t>
      </w:r>
      <w:r w:rsidR="003D4C4D">
        <w:t xml:space="preserve">his is </w:t>
      </w:r>
      <w:r w:rsidR="00051D82">
        <w:t xml:space="preserve">the first study to </w:t>
      </w:r>
      <w:r w:rsidR="00B47DC6">
        <w:t xml:space="preserve">investigate </w:t>
      </w:r>
      <w:r>
        <w:t xml:space="preserve">specifically </w:t>
      </w:r>
      <w:r w:rsidR="00334051">
        <w:t xml:space="preserve">the </w:t>
      </w:r>
      <w:r w:rsidR="00FF6637">
        <w:t>association</w:t>
      </w:r>
      <w:r w:rsidR="00176383">
        <w:t>s</w:t>
      </w:r>
      <w:r w:rsidR="00FF6637">
        <w:t xml:space="preserve"> between duration of </w:t>
      </w:r>
      <w:r w:rsidR="00D04B2C">
        <w:t xml:space="preserve">exposure to nature and </w:t>
      </w:r>
      <w:r w:rsidR="00176383">
        <w:t xml:space="preserve">changes in </w:t>
      </w:r>
      <w:r w:rsidR="00B47DC6">
        <w:t>mood</w:t>
      </w:r>
      <w:r w:rsidR="00151491">
        <w:t xml:space="preserve"> for </w:t>
      </w:r>
      <w:r w:rsidR="003D4C4D">
        <w:t xml:space="preserve">people </w:t>
      </w:r>
      <w:r w:rsidR="00051D82">
        <w:t>at any stage</w:t>
      </w:r>
      <w:r w:rsidR="003D4C4D">
        <w:t xml:space="preserve"> of dementia</w:t>
      </w:r>
      <w:r w:rsidR="00334051">
        <w:t xml:space="preserve">. </w:t>
      </w:r>
    </w:p>
    <w:p w:rsidR="00B47DC6" w:rsidRDefault="00B47DC6" w:rsidP="00DF401E">
      <w:pPr>
        <w:spacing w:line="480" w:lineRule="auto"/>
        <w:contextualSpacing/>
      </w:pPr>
    </w:p>
    <w:p w:rsidR="00364DEB" w:rsidRDefault="00364DEB" w:rsidP="00E00B19">
      <w:pPr>
        <w:spacing w:line="480" w:lineRule="auto"/>
        <w:contextualSpacing/>
        <w:rPr>
          <w:b/>
          <w:sz w:val="28"/>
          <w:szCs w:val="28"/>
        </w:rPr>
      </w:pPr>
    </w:p>
    <w:p w:rsidR="00681EC7" w:rsidRPr="00A119E0" w:rsidRDefault="00681EC7" w:rsidP="00E00B19">
      <w:pPr>
        <w:spacing w:line="480" w:lineRule="auto"/>
        <w:contextualSpacing/>
        <w:rPr>
          <w:b/>
          <w:sz w:val="28"/>
          <w:szCs w:val="28"/>
        </w:rPr>
      </w:pPr>
      <w:r w:rsidRPr="00A119E0">
        <w:rPr>
          <w:b/>
          <w:sz w:val="28"/>
          <w:szCs w:val="28"/>
        </w:rPr>
        <w:lastRenderedPageBreak/>
        <w:t>Methods</w:t>
      </w:r>
    </w:p>
    <w:p w:rsidR="005A2BFC" w:rsidRPr="005A2BFC" w:rsidRDefault="00FD36F6" w:rsidP="005A2BFC">
      <w:pPr>
        <w:spacing w:line="480" w:lineRule="auto"/>
        <w:contextualSpacing/>
      </w:pPr>
      <w:r>
        <w:t>Quantitative d</w:t>
      </w:r>
      <w:r w:rsidR="00DC058E">
        <w:t xml:space="preserve">ata </w:t>
      </w:r>
      <w:r w:rsidR="00176383">
        <w:t xml:space="preserve">were collected during 2012 </w:t>
      </w:r>
      <w:r w:rsidR="00DC058E" w:rsidRPr="00DC058E">
        <w:t xml:space="preserve">on the </w:t>
      </w:r>
      <w:r w:rsidR="009C77AF">
        <w:t>mood</w:t>
      </w:r>
      <w:r w:rsidR="00DC058E" w:rsidRPr="00DC058E">
        <w:t xml:space="preserve"> of residents of </w:t>
      </w:r>
      <w:r w:rsidR="005E6B19">
        <w:t xml:space="preserve">a nursing home in the </w:t>
      </w:r>
      <w:r w:rsidR="00826B0D">
        <w:t>UK</w:t>
      </w:r>
      <w:r w:rsidR="00176383">
        <w:t xml:space="preserve">. </w:t>
      </w:r>
      <w:r w:rsidR="005A2BFC" w:rsidRPr="005A2BFC">
        <w:t>The</w:t>
      </w:r>
      <w:r w:rsidR="005A2BFC">
        <w:t xml:space="preserve">se data were collected as part of a </w:t>
      </w:r>
      <w:r w:rsidR="005A2BFC" w:rsidRPr="005A2BFC">
        <w:t xml:space="preserve">service development exercise in the care home during which data on the use of the outdoor space by residents, families and carers were routinely collected. </w:t>
      </w:r>
      <w:r w:rsidR="005A2BFC" w:rsidRPr="00BE24D0">
        <w:t>The residents in the study were in the middle to later stages of dementia</w:t>
      </w:r>
      <w:r w:rsidR="005A2BFC">
        <w:t>, and t</w:t>
      </w:r>
      <w:r w:rsidR="005A2BFC" w:rsidRPr="005A2BFC">
        <w:t>he patients</w:t>
      </w:r>
      <w:r w:rsidR="005A2BFC">
        <w:t xml:space="preserve"> themselves</w:t>
      </w:r>
      <w:r w:rsidR="005A2BFC" w:rsidRPr="005A2BFC">
        <w:t>, their families and carers were</w:t>
      </w:r>
      <w:r w:rsidR="005A2BFC">
        <w:t xml:space="preserve"> informed</w:t>
      </w:r>
      <w:r w:rsidR="005A2BFC" w:rsidRPr="005A2BFC">
        <w:t xml:space="preserve"> </w:t>
      </w:r>
      <w:r w:rsidR="005A2BFC">
        <w:t xml:space="preserve">about </w:t>
      </w:r>
      <w:r w:rsidR="005A2BFC" w:rsidRPr="005A2BFC">
        <w:t xml:space="preserve">the </w:t>
      </w:r>
      <w:r w:rsidR="005A2BFC">
        <w:t>service development exercise being conducted</w:t>
      </w:r>
      <w:r w:rsidR="005A2BFC" w:rsidRPr="005A2BFC">
        <w:t>.</w:t>
      </w:r>
      <w:r w:rsidR="005A2BFC">
        <w:t xml:space="preserve"> </w:t>
      </w:r>
      <w:r w:rsidR="005A2BFC" w:rsidRPr="005A2BFC">
        <w:t>Th</w:t>
      </w:r>
      <w:r w:rsidR="005A2BFC">
        <w:t>e purpose was</w:t>
      </w:r>
      <w:r w:rsidR="005A2BFC" w:rsidRPr="005A2BFC">
        <w:t xml:space="preserve"> to evaluate the effectiveness of the service development which comprised garden design, implementation and staff training. </w:t>
      </w:r>
      <w:r w:rsidR="005A2BFC">
        <w:t>E</w:t>
      </w:r>
      <w:r w:rsidR="005A2BFC" w:rsidRPr="008E03C9">
        <w:t>xternal spaces ha</w:t>
      </w:r>
      <w:r w:rsidR="005A2BFC">
        <w:t>d</w:t>
      </w:r>
      <w:r w:rsidR="005A2BFC" w:rsidRPr="008E03C9">
        <w:t xml:space="preserve"> been </w:t>
      </w:r>
      <w:r w:rsidR="005A2BFC">
        <w:t xml:space="preserve">extensively renovated and </w:t>
      </w:r>
      <w:r w:rsidR="005A2BFC" w:rsidRPr="008E03C9">
        <w:t>enhanced to encourage outdoor activity</w:t>
      </w:r>
      <w:r w:rsidR="005A2BFC">
        <w:t xml:space="preserve">, through the provision of diverse planting including fruit trees and vegetable beds, and both passive and active spaces, following previously-established guidelines (Chalfont &amp; Walker, 2013). </w:t>
      </w:r>
      <w:r w:rsidR="005A2BFC" w:rsidRPr="005A2BFC">
        <w:t xml:space="preserve">The data were anonymised ahead of the </w:t>
      </w:r>
      <w:r w:rsidR="005A2BFC" w:rsidRPr="00E238C8">
        <w:t xml:space="preserve">specific analyses conducted for </w:t>
      </w:r>
      <w:r w:rsidR="0080248C" w:rsidRPr="00E238C8">
        <w:t>t</w:t>
      </w:r>
      <w:r w:rsidR="005A2BFC" w:rsidRPr="00E238C8">
        <w:t xml:space="preserve">his paper. The </w:t>
      </w:r>
      <w:r w:rsidR="0080248C" w:rsidRPr="00E238C8">
        <w:t xml:space="preserve">academic </w:t>
      </w:r>
      <w:r w:rsidR="005A2BFC" w:rsidRPr="00E238C8">
        <w:t>authors had no access to individual details of patients</w:t>
      </w:r>
      <w:r w:rsidR="005A2BFC">
        <w:t xml:space="preserve"> or staff, and could not link data to specific individuals. </w:t>
      </w:r>
    </w:p>
    <w:p w:rsidR="00DC058E" w:rsidRDefault="00DC058E" w:rsidP="008D71DD">
      <w:pPr>
        <w:spacing w:line="480" w:lineRule="auto"/>
        <w:ind w:firstLine="426"/>
        <w:contextualSpacing/>
      </w:pPr>
      <w:r>
        <w:t xml:space="preserve">The data were derived from primary caregivers and </w:t>
      </w:r>
      <w:r w:rsidR="00BE24D0">
        <w:t>activity coordinators</w:t>
      </w:r>
      <w:r>
        <w:t xml:space="preserve">, who were asked to complete datasheets on outdoor experiences </w:t>
      </w:r>
      <w:r w:rsidR="00176383">
        <w:t>of</w:t>
      </w:r>
      <w:r>
        <w:t xml:space="preserve"> resident</w:t>
      </w:r>
      <w:r w:rsidR="00176383">
        <w:t>s</w:t>
      </w:r>
      <w:r w:rsidR="007A38AF">
        <w:t>.  R</w:t>
      </w:r>
      <w:r w:rsidR="00176383">
        <w:t xml:space="preserve">esident numbers were </w:t>
      </w:r>
      <w:r>
        <w:t>randomly assigned and anonymised</w:t>
      </w:r>
      <w:r w:rsidR="007A38AF">
        <w:t xml:space="preserve">, and data were collected on </w:t>
      </w:r>
      <w:r>
        <w:t xml:space="preserve">day of the week, day of the month, </w:t>
      </w:r>
      <w:r w:rsidR="00FD36F6">
        <w:t>m</w:t>
      </w:r>
      <w:r>
        <w:t>ood level</w:t>
      </w:r>
      <w:r w:rsidR="00FD36F6">
        <w:t xml:space="preserve"> of resident</w:t>
      </w:r>
      <w:r>
        <w:t xml:space="preserve"> before going outdoors (</w:t>
      </w:r>
      <w:r w:rsidR="00D17DF1">
        <w:t>carer-</w:t>
      </w:r>
      <w:r w:rsidR="009C77AF">
        <w:t xml:space="preserve">assessed </w:t>
      </w:r>
      <w:r w:rsidR="00D17DF1">
        <w:t>score</w:t>
      </w:r>
      <w:r w:rsidR="00FD36F6">
        <w:t xml:space="preserve"> on a s</w:t>
      </w:r>
      <w:r>
        <w:t>cale of 1-3</w:t>
      </w:r>
      <w:r w:rsidR="00D17DF1">
        <w:t>, representing poor, medium and good respectively</w:t>
      </w:r>
      <w:r>
        <w:t>)</w:t>
      </w:r>
      <w:r w:rsidR="00FD36F6">
        <w:t xml:space="preserve">, </w:t>
      </w:r>
      <w:r w:rsidR="00FD36F6" w:rsidRPr="00FD36F6">
        <w:t>time spent outdoors</w:t>
      </w:r>
      <w:r w:rsidR="00D17DF1">
        <w:t xml:space="preserve"> based on carer observation</w:t>
      </w:r>
      <w:r w:rsidR="00FD36F6" w:rsidRPr="00FD36F6">
        <w:t xml:space="preserve">, </w:t>
      </w:r>
      <w:r w:rsidR="00FD36F6">
        <w:t>and m</w:t>
      </w:r>
      <w:r>
        <w:t xml:space="preserve">ood level </w:t>
      </w:r>
      <w:r w:rsidR="00FD36F6">
        <w:t xml:space="preserve">of resident </w:t>
      </w:r>
      <w:r>
        <w:t>after</w:t>
      </w:r>
      <w:r w:rsidR="009C77AF">
        <w:t xml:space="preserve"> returning</w:t>
      </w:r>
      <w:r w:rsidR="00FD36F6">
        <w:t xml:space="preserve"> indoors again</w:t>
      </w:r>
      <w:r>
        <w:t xml:space="preserve"> (</w:t>
      </w:r>
      <w:r w:rsidR="009C77AF">
        <w:t>carer</w:t>
      </w:r>
      <w:r w:rsidR="00D17DF1">
        <w:t>-</w:t>
      </w:r>
      <w:r w:rsidR="009C77AF">
        <w:t>assess</w:t>
      </w:r>
      <w:r w:rsidR="00D17DF1">
        <w:t>ed score as previously</w:t>
      </w:r>
      <w:r>
        <w:t>)</w:t>
      </w:r>
      <w:r w:rsidR="00FD36F6">
        <w:t>.</w:t>
      </w:r>
      <w:r w:rsidR="00C21ACE">
        <w:t xml:space="preserve"> </w:t>
      </w:r>
      <w:r w:rsidR="00BE24D0" w:rsidRPr="00BE24D0">
        <w:t>Carer identities were recorded</w:t>
      </w:r>
      <w:r w:rsidR="00A356B1">
        <w:t xml:space="preserve"> in an anonymised form</w:t>
      </w:r>
      <w:r w:rsidR="00BE24D0" w:rsidRPr="00BE24D0">
        <w:t xml:space="preserve">, </w:t>
      </w:r>
      <w:r w:rsidR="005A2BFC">
        <w:t>and</w:t>
      </w:r>
      <w:r w:rsidR="00BE24D0" w:rsidRPr="00BE24D0">
        <w:t xml:space="preserve"> patients</w:t>
      </w:r>
      <w:r w:rsidR="00A94A15">
        <w:t xml:space="preserve"> were attended by different carers</w:t>
      </w:r>
      <w:r w:rsidR="00BE24D0" w:rsidRPr="00BE24D0">
        <w:t>, depending on duty hours.</w:t>
      </w:r>
      <w:r w:rsidR="00BE24D0">
        <w:t xml:space="preserve"> </w:t>
      </w:r>
      <w:r w:rsidR="00642769">
        <w:t>The study was approved by the University of York Environment Department’s Ethics Committee.</w:t>
      </w:r>
    </w:p>
    <w:p w:rsidR="00E159D1" w:rsidRDefault="00212192" w:rsidP="000A30E0">
      <w:pPr>
        <w:spacing w:line="480" w:lineRule="auto"/>
        <w:ind w:firstLine="426"/>
        <w:contextualSpacing/>
      </w:pPr>
      <w:r>
        <w:t xml:space="preserve">We used a </w:t>
      </w:r>
      <w:r w:rsidR="00A94A15">
        <w:t xml:space="preserve">robust </w:t>
      </w:r>
      <w:r>
        <w:t xml:space="preserve">standard errors approach to </w:t>
      </w:r>
      <w:r w:rsidR="000A30E0">
        <w:t>analyse</w:t>
      </w:r>
      <w:r>
        <w:t xml:space="preserve"> whether going outdoors </w:t>
      </w:r>
      <w:r w:rsidR="00F12EE9">
        <w:t xml:space="preserve">was significantly associated with </w:t>
      </w:r>
      <w:r>
        <w:t xml:space="preserve">change in mood of residents, as scored by the caregivers. </w:t>
      </w:r>
      <w:r w:rsidR="00A94A15" w:rsidRPr="00A94A15">
        <w:t xml:space="preserve">This allowed for having multiple observations on each person.  </w:t>
      </w:r>
      <w:r>
        <w:t xml:space="preserve">We then used ordered logistic regression to evaluate the </w:t>
      </w:r>
      <w:r w:rsidR="00F12EE9">
        <w:t xml:space="preserve">association between </w:t>
      </w:r>
      <w:r>
        <w:t xml:space="preserve">time spent outside </w:t>
      </w:r>
      <w:r w:rsidR="00F12EE9">
        <w:t xml:space="preserve">and </w:t>
      </w:r>
      <w:r>
        <w:t xml:space="preserve">change in mood, both using the full dataset and then </w:t>
      </w:r>
      <w:r>
        <w:lastRenderedPageBreak/>
        <w:t>curtailing it for periods spent outside greater than 200 minutes, due to the highly skewed nature of the dataset.</w:t>
      </w:r>
      <w:r w:rsidR="00980E4B">
        <w:t xml:space="preserve"> Data analysis was done using </w:t>
      </w:r>
      <w:r w:rsidR="00980E4B" w:rsidRPr="00980E4B">
        <w:t>Stata version 12 (Stata Corps., College Station, Texas)</w:t>
      </w:r>
      <w:r w:rsidR="00980E4B">
        <w:t>.</w:t>
      </w:r>
    </w:p>
    <w:p w:rsidR="00E159D1" w:rsidRDefault="00E159D1" w:rsidP="00E00B19">
      <w:pPr>
        <w:spacing w:line="480" w:lineRule="auto"/>
        <w:contextualSpacing/>
      </w:pPr>
    </w:p>
    <w:p w:rsidR="00212192" w:rsidRPr="00A119E0" w:rsidRDefault="00212192" w:rsidP="001D7DC7">
      <w:pPr>
        <w:spacing w:after="0" w:line="480" w:lineRule="auto"/>
        <w:contextualSpacing/>
        <w:rPr>
          <w:b/>
          <w:sz w:val="28"/>
        </w:rPr>
      </w:pPr>
      <w:r w:rsidRPr="00A119E0">
        <w:rPr>
          <w:b/>
          <w:sz w:val="28"/>
        </w:rPr>
        <w:t>Results</w:t>
      </w:r>
    </w:p>
    <w:p w:rsidR="009C77AF" w:rsidRPr="006301BF" w:rsidRDefault="00305790" w:rsidP="00E00B19">
      <w:pPr>
        <w:pStyle w:val="PlainText"/>
        <w:spacing w:after="120" w:line="480" w:lineRule="auto"/>
        <w:contextualSpacing/>
        <w:rPr>
          <w:rFonts w:ascii="Calibri" w:hAnsi="Calibri"/>
          <w:sz w:val="22"/>
          <w:szCs w:val="22"/>
        </w:rPr>
      </w:pPr>
      <w:r w:rsidRPr="006301BF">
        <w:rPr>
          <w:rFonts w:ascii="Calibri" w:hAnsi="Calibri"/>
          <w:sz w:val="22"/>
          <w:szCs w:val="22"/>
        </w:rPr>
        <w:t>Observations of patients were made fairly evenly during the week</w:t>
      </w:r>
      <w:r w:rsidR="009B700A" w:rsidRPr="006301BF">
        <w:rPr>
          <w:rFonts w:ascii="Calibri" w:hAnsi="Calibri"/>
          <w:sz w:val="22"/>
          <w:szCs w:val="22"/>
        </w:rPr>
        <w:t xml:space="preserve">, with daily contributions to the total observations ranging from </w:t>
      </w:r>
      <w:r w:rsidR="00F83E17" w:rsidRPr="006301BF">
        <w:rPr>
          <w:rFonts w:ascii="Calibri" w:hAnsi="Calibri"/>
          <w:sz w:val="22"/>
          <w:szCs w:val="22"/>
        </w:rPr>
        <w:t xml:space="preserve">a minimum of </w:t>
      </w:r>
      <w:r w:rsidR="009B700A" w:rsidRPr="006301BF">
        <w:rPr>
          <w:rFonts w:ascii="Calibri" w:hAnsi="Calibri"/>
          <w:sz w:val="22"/>
          <w:szCs w:val="22"/>
        </w:rPr>
        <w:t xml:space="preserve">12.1% on Fridays to </w:t>
      </w:r>
      <w:r w:rsidR="00F83E17" w:rsidRPr="006301BF">
        <w:rPr>
          <w:rFonts w:ascii="Calibri" w:hAnsi="Calibri"/>
          <w:sz w:val="22"/>
          <w:szCs w:val="22"/>
        </w:rPr>
        <w:t xml:space="preserve">a maximum of </w:t>
      </w:r>
      <w:r w:rsidR="009B700A" w:rsidRPr="006301BF">
        <w:rPr>
          <w:rFonts w:ascii="Calibri" w:hAnsi="Calibri"/>
          <w:sz w:val="22"/>
          <w:szCs w:val="22"/>
        </w:rPr>
        <w:t>16.2% on Mondays</w:t>
      </w:r>
      <w:r w:rsidRPr="006301BF">
        <w:rPr>
          <w:rFonts w:ascii="Calibri" w:hAnsi="Calibri"/>
          <w:sz w:val="22"/>
          <w:szCs w:val="22"/>
        </w:rPr>
        <w:t>. All months except January were represented</w:t>
      </w:r>
      <w:r w:rsidR="009B700A" w:rsidRPr="006301BF">
        <w:rPr>
          <w:rFonts w:ascii="Calibri" w:hAnsi="Calibri"/>
          <w:sz w:val="22"/>
          <w:szCs w:val="22"/>
        </w:rPr>
        <w:t xml:space="preserve"> in the observations</w:t>
      </w:r>
      <w:r w:rsidRPr="006301BF">
        <w:rPr>
          <w:rFonts w:ascii="Calibri" w:hAnsi="Calibri"/>
          <w:sz w:val="22"/>
          <w:szCs w:val="22"/>
        </w:rPr>
        <w:t xml:space="preserve">, but </w:t>
      </w:r>
      <w:r w:rsidR="009B700A" w:rsidRPr="006301BF">
        <w:rPr>
          <w:rFonts w:ascii="Calibri" w:hAnsi="Calibri"/>
          <w:sz w:val="22"/>
          <w:szCs w:val="22"/>
        </w:rPr>
        <w:t xml:space="preserve">76.6% of </w:t>
      </w:r>
      <w:r w:rsidRPr="006301BF">
        <w:rPr>
          <w:rFonts w:ascii="Calibri" w:hAnsi="Calibri"/>
          <w:sz w:val="22"/>
          <w:szCs w:val="22"/>
        </w:rPr>
        <w:t>outings occurred during May to September</w:t>
      </w:r>
      <w:r w:rsidR="009B700A" w:rsidRPr="006301BF">
        <w:rPr>
          <w:rFonts w:ascii="Calibri" w:hAnsi="Calibri"/>
          <w:sz w:val="22"/>
          <w:szCs w:val="22"/>
        </w:rPr>
        <w:t>, with monthly contributions to the total observations over this period ranging from 12.1% in July to 18.6% in August</w:t>
      </w:r>
      <w:r w:rsidRPr="006301BF">
        <w:rPr>
          <w:rFonts w:ascii="Calibri" w:hAnsi="Calibri"/>
          <w:sz w:val="22"/>
          <w:szCs w:val="22"/>
        </w:rPr>
        <w:t xml:space="preserve">. </w:t>
      </w:r>
      <w:r w:rsidR="00BB638B" w:rsidRPr="006301BF">
        <w:rPr>
          <w:rFonts w:ascii="Calibri" w:hAnsi="Calibri"/>
          <w:sz w:val="22"/>
          <w:szCs w:val="22"/>
        </w:rPr>
        <w:t xml:space="preserve">Patients were not observed every time they went outside, since observations depended on other duties of carers at the time. </w:t>
      </w:r>
      <w:r w:rsidRPr="006301BF">
        <w:rPr>
          <w:rFonts w:ascii="Calibri" w:hAnsi="Calibri"/>
          <w:sz w:val="22"/>
          <w:szCs w:val="22"/>
        </w:rPr>
        <w:t xml:space="preserve">A total of 853 observations were carried out on 28 different individuals, with the number of observations </w:t>
      </w:r>
      <w:r w:rsidR="00BB638B" w:rsidRPr="006301BF">
        <w:rPr>
          <w:rFonts w:ascii="Calibri" w:hAnsi="Calibri"/>
          <w:sz w:val="22"/>
          <w:szCs w:val="22"/>
        </w:rPr>
        <w:t xml:space="preserve">per individual patient </w:t>
      </w:r>
      <w:r w:rsidRPr="006301BF">
        <w:rPr>
          <w:rFonts w:ascii="Calibri" w:hAnsi="Calibri"/>
          <w:sz w:val="22"/>
          <w:szCs w:val="22"/>
        </w:rPr>
        <w:t xml:space="preserve">being highly variable, ranging from 1 to 79. </w:t>
      </w:r>
    </w:p>
    <w:p w:rsidR="002609DD" w:rsidRPr="006301BF" w:rsidRDefault="002609DD" w:rsidP="008D71DD">
      <w:pPr>
        <w:pStyle w:val="PlainText"/>
        <w:spacing w:after="120" w:line="480" w:lineRule="auto"/>
        <w:ind w:firstLine="426"/>
        <w:contextualSpacing/>
        <w:rPr>
          <w:rFonts w:ascii="Calibri" w:hAnsi="Calibri"/>
          <w:sz w:val="22"/>
          <w:szCs w:val="22"/>
        </w:rPr>
      </w:pPr>
      <w:r w:rsidRPr="006301BF">
        <w:rPr>
          <w:rFonts w:ascii="Calibri" w:hAnsi="Calibri"/>
          <w:sz w:val="22"/>
          <w:szCs w:val="22"/>
        </w:rPr>
        <w:t xml:space="preserve">Mood score before going outside was related to mood score after going outside, </w:t>
      </w:r>
      <w:r w:rsidR="00BE24D0" w:rsidRPr="006301BF">
        <w:rPr>
          <w:rFonts w:ascii="Calibri" w:hAnsi="Calibri"/>
          <w:sz w:val="22"/>
          <w:szCs w:val="22"/>
        </w:rPr>
        <w:t>and</w:t>
      </w:r>
      <w:r w:rsidRPr="006301BF">
        <w:rPr>
          <w:rFonts w:ascii="Calibri" w:hAnsi="Calibri"/>
          <w:sz w:val="22"/>
          <w:szCs w:val="22"/>
        </w:rPr>
        <w:t xml:space="preserve"> more participants increased their score than decreased it following </w:t>
      </w:r>
      <w:r w:rsidR="007A38AF" w:rsidRPr="006301BF">
        <w:rPr>
          <w:rFonts w:ascii="Calibri" w:hAnsi="Calibri"/>
          <w:sz w:val="22"/>
          <w:szCs w:val="22"/>
        </w:rPr>
        <w:t>time outside</w:t>
      </w:r>
      <w:r w:rsidRPr="006301BF">
        <w:rPr>
          <w:rFonts w:ascii="Calibri" w:hAnsi="Calibri"/>
          <w:sz w:val="22"/>
          <w:szCs w:val="22"/>
        </w:rPr>
        <w:t xml:space="preserve"> (Table </w:t>
      </w:r>
      <w:r w:rsidR="009B700A" w:rsidRPr="006301BF">
        <w:rPr>
          <w:rFonts w:ascii="Calibri" w:hAnsi="Calibri"/>
          <w:sz w:val="22"/>
          <w:szCs w:val="22"/>
        </w:rPr>
        <w:t>1</w:t>
      </w:r>
      <w:r w:rsidR="00E65D21" w:rsidRPr="006301BF">
        <w:rPr>
          <w:rFonts w:ascii="Calibri" w:hAnsi="Calibri"/>
          <w:sz w:val="22"/>
          <w:szCs w:val="22"/>
        </w:rPr>
        <w:t xml:space="preserve">). </w:t>
      </w:r>
      <w:r w:rsidR="003B6BF9" w:rsidRPr="006301BF">
        <w:rPr>
          <w:rFonts w:ascii="Calibri" w:hAnsi="Calibri"/>
          <w:sz w:val="22"/>
          <w:szCs w:val="22"/>
        </w:rPr>
        <w:t>The data</w:t>
      </w:r>
      <w:r w:rsidR="00E65D21" w:rsidRPr="006301BF">
        <w:rPr>
          <w:rFonts w:ascii="Calibri" w:hAnsi="Calibri"/>
          <w:sz w:val="22"/>
          <w:szCs w:val="22"/>
        </w:rPr>
        <w:t xml:space="preserve"> </w:t>
      </w:r>
      <w:r w:rsidR="00D82354" w:rsidRPr="006301BF">
        <w:rPr>
          <w:rFonts w:ascii="Calibri" w:hAnsi="Calibri"/>
          <w:sz w:val="22"/>
          <w:szCs w:val="22"/>
        </w:rPr>
        <w:t xml:space="preserve">on changes in mood were recoded prior to analysis </w:t>
      </w:r>
      <w:r w:rsidR="00E65D21" w:rsidRPr="006301BF">
        <w:rPr>
          <w:rFonts w:ascii="Calibri" w:hAnsi="Calibri"/>
          <w:sz w:val="22"/>
          <w:szCs w:val="22"/>
        </w:rPr>
        <w:t>to -1 for a decrease in mood</w:t>
      </w:r>
      <w:r w:rsidR="00D82354" w:rsidRPr="006301BF">
        <w:rPr>
          <w:rFonts w:ascii="Calibri" w:hAnsi="Calibri"/>
          <w:sz w:val="22"/>
          <w:szCs w:val="22"/>
        </w:rPr>
        <w:t xml:space="preserve"> (whether by 1 or 2 points in the scale)</w:t>
      </w:r>
      <w:r w:rsidR="00E65D21" w:rsidRPr="006301BF">
        <w:rPr>
          <w:rFonts w:ascii="Calibri" w:hAnsi="Calibri"/>
          <w:sz w:val="22"/>
          <w:szCs w:val="22"/>
        </w:rPr>
        <w:t>, 0 for no change, and +1 for an increase in mood</w:t>
      </w:r>
      <w:r w:rsidR="00D82354" w:rsidRPr="006301BF">
        <w:rPr>
          <w:rFonts w:ascii="Calibri" w:hAnsi="Calibri"/>
          <w:sz w:val="22"/>
          <w:szCs w:val="22"/>
        </w:rPr>
        <w:t xml:space="preserve"> (whether by 1 or 2 points on the scale). </w:t>
      </w:r>
      <w:r w:rsidR="00A94A15" w:rsidRPr="006301BF">
        <w:rPr>
          <w:rFonts w:ascii="Calibri" w:hAnsi="Calibri"/>
          <w:sz w:val="22"/>
          <w:szCs w:val="22"/>
        </w:rPr>
        <w:t xml:space="preserve">Robust standard errors showed there to be a significant increase in mood score (mean change score = 0.44, P &lt; 0.001) after going outside. </w:t>
      </w:r>
      <w:r w:rsidR="00E65D21" w:rsidRPr="006301BF">
        <w:rPr>
          <w:rFonts w:ascii="Calibri" w:hAnsi="Calibri"/>
          <w:sz w:val="22"/>
          <w:szCs w:val="22"/>
        </w:rPr>
        <w:t xml:space="preserve"> </w:t>
      </w:r>
    </w:p>
    <w:p w:rsidR="00B952B0" w:rsidRPr="006301BF" w:rsidRDefault="00B952B0" w:rsidP="008D71DD">
      <w:pPr>
        <w:pStyle w:val="PlainText"/>
        <w:spacing w:after="120" w:line="480" w:lineRule="auto"/>
        <w:ind w:firstLine="426"/>
        <w:contextualSpacing/>
        <w:rPr>
          <w:rFonts w:ascii="Calibri" w:hAnsi="Calibri"/>
          <w:sz w:val="22"/>
          <w:szCs w:val="22"/>
        </w:rPr>
      </w:pPr>
      <w:r w:rsidRPr="006301BF">
        <w:rPr>
          <w:rFonts w:ascii="Calibri" w:hAnsi="Calibri"/>
          <w:sz w:val="22"/>
          <w:szCs w:val="22"/>
        </w:rPr>
        <w:t xml:space="preserve">Mood score before going outside was used as a categorical factor in </w:t>
      </w:r>
      <w:r w:rsidR="00FC4C47" w:rsidRPr="006301BF">
        <w:rPr>
          <w:rFonts w:ascii="Calibri" w:hAnsi="Calibri"/>
          <w:sz w:val="22"/>
          <w:szCs w:val="22"/>
        </w:rPr>
        <w:t>an</w:t>
      </w:r>
      <w:r w:rsidRPr="006301BF">
        <w:rPr>
          <w:rFonts w:ascii="Calibri" w:hAnsi="Calibri"/>
          <w:sz w:val="22"/>
          <w:szCs w:val="22"/>
        </w:rPr>
        <w:t xml:space="preserve"> ordered l</w:t>
      </w:r>
      <w:r w:rsidR="00D82354" w:rsidRPr="006301BF">
        <w:rPr>
          <w:rFonts w:ascii="Calibri" w:hAnsi="Calibri"/>
          <w:sz w:val="22"/>
          <w:szCs w:val="22"/>
        </w:rPr>
        <w:t>ogistic regression to determine the factors affecting</w:t>
      </w:r>
      <w:r w:rsidRPr="006301BF">
        <w:rPr>
          <w:rFonts w:ascii="Calibri" w:hAnsi="Calibri"/>
          <w:sz w:val="22"/>
          <w:szCs w:val="22"/>
        </w:rPr>
        <w:t xml:space="preserve"> change in mood. Time spent outside was a predictor of change in mood score, but this relationship was non-linear. To investigate this statistically, we therefore applied a square transformation to the time variable, subtracting a constant close to mean time (40.97 minutes) before squaring, to give a</w:t>
      </w:r>
      <w:r w:rsidR="002C49CB" w:rsidRPr="006301BF">
        <w:rPr>
          <w:rFonts w:ascii="Calibri" w:hAnsi="Calibri"/>
          <w:sz w:val="22"/>
          <w:szCs w:val="22"/>
        </w:rPr>
        <w:t>n additional</w:t>
      </w:r>
      <w:r w:rsidRPr="006301BF">
        <w:rPr>
          <w:rFonts w:ascii="Calibri" w:hAnsi="Calibri"/>
          <w:sz w:val="22"/>
          <w:szCs w:val="22"/>
        </w:rPr>
        <w:t xml:space="preserve"> variable which is not highly correlated with time itself.  </w:t>
      </w:r>
      <w:r w:rsidR="00C83820" w:rsidRPr="006301BF">
        <w:rPr>
          <w:rFonts w:ascii="Calibri" w:hAnsi="Calibri"/>
          <w:sz w:val="22"/>
          <w:szCs w:val="22"/>
        </w:rPr>
        <w:t xml:space="preserve">Because the distribution of time spent outside was highly skewed (Table </w:t>
      </w:r>
      <w:r w:rsidR="009B700A" w:rsidRPr="006301BF">
        <w:rPr>
          <w:rFonts w:ascii="Calibri" w:hAnsi="Calibri"/>
          <w:sz w:val="22"/>
          <w:szCs w:val="22"/>
        </w:rPr>
        <w:t>2</w:t>
      </w:r>
      <w:r w:rsidR="00C83820" w:rsidRPr="006301BF">
        <w:rPr>
          <w:rFonts w:ascii="Calibri" w:hAnsi="Calibri"/>
          <w:sz w:val="22"/>
          <w:szCs w:val="22"/>
        </w:rPr>
        <w:t>), we also excluded the three observations where time spent outside was greate</w:t>
      </w:r>
      <w:r w:rsidR="00B959A4" w:rsidRPr="006301BF">
        <w:rPr>
          <w:rFonts w:ascii="Calibri" w:hAnsi="Calibri"/>
          <w:sz w:val="22"/>
          <w:szCs w:val="22"/>
        </w:rPr>
        <w:t>r than 200 minutes (240, 480 an</w:t>
      </w:r>
      <w:r w:rsidR="00C83820" w:rsidRPr="006301BF">
        <w:rPr>
          <w:rFonts w:ascii="Calibri" w:hAnsi="Calibri"/>
          <w:sz w:val="22"/>
          <w:szCs w:val="22"/>
        </w:rPr>
        <w:t>d 640 minutes</w:t>
      </w:r>
      <w:r w:rsidR="00D82354" w:rsidRPr="006301BF">
        <w:rPr>
          <w:rFonts w:ascii="Calibri" w:hAnsi="Calibri"/>
          <w:sz w:val="22"/>
          <w:szCs w:val="22"/>
        </w:rPr>
        <w:t>, recorded from three different patients</w:t>
      </w:r>
      <w:r w:rsidR="00C83820" w:rsidRPr="006301BF">
        <w:rPr>
          <w:rFonts w:ascii="Calibri" w:hAnsi="Calibri"/>
          <w:sz w:val="22"/>
          <w:szCs w:val="22"/>
        </w:rPr>
        <w:t xml:space="preserve">). </w:t>
      </w:r>
      <w:r w:rsidR="002C49CB" w:rsidRPr="006301BF">
        <w:rPr>
          <w:rFonts w:ascii="Calibri" w:hAnsi="Calibri"/>
          <w:sz w:val="22"/>
          <w:szCs w:val="22"/>
        </w:rPr>
        <w:t xml:space="preserve">Day of the week and month of the year </w:t>
      </w:r>
      <w:r w:rsidR="002C49CB" w:rsidRPr="006301BF">
        <w:rPr>
          <w:rFonts w:ascii="Calibri" w:hAnsi="Calibri"/>
          <w:sz w:val="22"/>
          <w:szCs w:val="22"/>
        </w:rPr>
        <w:lastRenderedPageBreak/>
        <w:t>were also included in the logistic regression model, but the only significant factors were mood before going outside, time and time</w:t>
      </w:r>
      <w:r w:rsidR="002C49CB" w:rsidRPr="006301BF">
        <w:rPr>
          <w:rFonts w:ascii="Calibri" w:hAnsi="Calibri"/>
          <w:sz w:val="22"/>
          <w:szCs w:val="22"/>
          <w:vertAlign w:val="superscript"/>
        </w:rPr>
        <w:t>2</w:t>
      </w:r>
      <w:r w:rsidR="002C49CB" w:rsidRPr="006301BF">
        <w:rPr>
          <w:rFonts w:ascii="Calibri" w:hAnsi="Calibri"/>
          <w:sz w:val="22"/>
          <w:szCs w:val="22"/>
        </w:rPr>
        <w:t xml:space="preserve">. Increasing </w:t>
      </w:r>
      <w:r w:rsidR="00F13EAC" w:rsidRPr="006301BF">
        <w:rPr>
          <w:rFonts w:ascii="Calibri" w:hAnsi="Calibri"/>
          <w:sz w:val="22"/>
          <w:szCs w:val="22"/>
        </w:rPr>
        <w:t xml:space="preserve">duration of </w:t>
      </w:r>
      <w:r w:rsidR="002C49CB" w:rsidRPr="006301BF">
        <w:rPr>
          <w:rFonts w:ascii="Calibri" w:hAnsi="Calibri"/>
          <w:sz w:val="22"/>
          <w:szCs w:val="22"/>
        </w:rPr>
        <w:t xml:space="preserve">time spent outside </w:t>
      </w:r>
      <w:r w:rsidR="002F37C4" w:rsidRPr="006301BF">
        <w:rPr>
          <w:rFonts w:ascii="Calibri" w:hAnsi="Calibri"/>
          <w:sz w:val="22"/>
          <w:szCs w:val="22"/>
        </w:rPr>
        <w:t xml:space="preserve">was associated with </w:t>
      </w:r>
      <w:r w:rsidR="002C49CB" w:rsidRPr="006301BF">
        <w:rPr>
          <w:rFonts w:ascii="Calibri" w:hAnsi="Calibri"/>
          <w:sz w:val="22"/>
          <w:szCs w:val="22"/>
        </w:rPr>
        <w:t>increasing positive change in mood score</w:t>
      </w:r>
      <w:r w:rsidR="00F13EAC" w:rsidRPr="006301BF">
        <w:rPr>
          <w:rFonts w:ascii="Calibri" w:hAnsi="Calibri"/>
          <w:sz w:val="22"/>
          <w:szCs w:val="22"/>
        </w:rPr>
        <w:t xml:space="preserve"> but in a non-linear fashion</w:t>
      </w:r>
      <w:r w:rsidR="00BA51A4">
        <w:rPr>
          <w:rFonts w:ascii="Calibri" w:hAnsi="Calibri"/>
          <w:sz w:val="22"/>
          <w:szCs w:val="22"/>
        </w:rPr>
        <w:t xml:space="preserve"> (Figure 1)</w:t>
      </w:r>
      <w:r w:rsidR="00F13EAC" w:rsidRPr="006301BF">
        <w:rPr>
          <w:rFonts w:ascii="Calibri" w:hAnsi="Calibri"/>
          <w:sz w:val="22"/>
          <w:szCs w:val="22"/>
        </w:rPr>
        <w:t xml:space="preserve">. </w:t>
      </w:r>
      <w:r w:rsidR="00466567" w:rsidRPr="006301BF">
        <w:rPr>
          <w:rFonts w:ascii="Calibri" w:hAnsi="Calibri"/>
          <w:sz w:val="22"/>
          <w:szCs w:val="22"/>
        </w:rPr>
        <w:t xml:space="preserve">Marked </w:t>
      </w:r>
      <w:r w:rsidR="00A2400C">
        <w:rPr>
          <w:rFonts w:ascii="Calibri" w:hAnsi="Calibri"/>
          <w:sz w:val="22"/>
          <w:szCs w:val="22"/>
        </w:rPr>
        <w:t>i</w:t>
      </w:r>
      <w:r w:rsidR="00466567" w:rsidRPr="006301BF">
        <w:rPr>
          <w:rFonts w:ascii="Calibri" w:hAnsi="Calibri"/>
          <w:sz w:val="22"/>
          <w:szCs w:val="22"/>
        </w:rPr>
        <w:t xml:space="preserve">mprovements </w:t>
      </w:r>
      <w:r w:rsidR="00A2400C">
        <w:rPr>
          <w:rFonts w:ascii="Calibri" w:hAnsi="Calibri"/>
          <w:sz w:val="22"/>
          <w:szCs w:val="22"/>
        </w:rPr>
        <w:t xml:space="preserve">in </w:t>
      </w:r>
      <w:r w:rsidR="00466567" w:rsidRPr="006301BF">
        <w:rPr>
          <w:rFonts w:ascii="Calibri" w:hAnsi="Calibri"/>
          <w:sz w:val="22"/>
          <w:szCs w:val="22"/>
        </w:rPr>
        <w:t>mood were</w:t>
      </w:r>
      <w:r w:rsidR="00F13EAC" w:rsidRPr="006301BF">
        <w:rPr>
          <w:rFonts w:ascii="Calibri" w:hAnsi="Calibri"/>
          <w:sz w:val="22"/>
          <w:szCs w:val="22"/>
        </w:rPr>
        <w:t xml:space="preserve"> </w:t>
      </w:r>
      <w:r w:rsidR="002F37C4" w:rsidRPr="006301BF">
        <w:rPr>
          <w:rFonts w:ascii="Calibri" w:hAnsi="Calibri"/>
          <w:sz w:val="22"/>
          <w:szCs w:val="22"/>
        </w:rPr>
        <w:t xml:space="preserve">associated with outdoor time of </w:t>
      </w:r>
      <w:r w:rsidR="00F13EAC" w:rsidRPr="006301BF">
        <w:rPr>
          <w:rFonts w:ascii="Calibri" w:hAnsi="Calibri"/>
          <w:sz w:val="22"/>
          <w:szCs w:val="22"/>
        </w:rPr>
        <w:t xml:space="preserve">only 20 minutes’ duration and </w:t>
      </w:r>
      <w:r w:rsidR="009B700A" w:rsidRPr="006301BF">
        <w:rPr>
          <w:rFonts w:ascii="Calibri" w:hAnsi="Calibri"/>
          <w:sz w:val="22"/>
          <w:szCs w:val="22"/>
        </w:rPr>
        <w:t>the greatest</w:t>
      </w:r>
      <w:r w:rsidR="00A62FC8" w:rsidRPr="006301BF">
        <w:rPr>
          <w:rFonts w:ascii="Calibri" w:hAnsi="Calibri"/>
          <w:sz w:val="22"/>
          <w:szCs w:val="22"/>
        </w:rPr>
        <w:t xml:space="preserve"> </w:t>
      </w:r>
      <w:r w:rsidR="002F37C4" w:rsidRPr="006301BF">
        <w:rPr>
          <w:rFonts w:ascii="Calibri" w:hAnsi="Calibri"/>
          <w:sz w:val="22"/>
          <w:szCs w:val="22"/>
        </w:rPr>
        <w:t xml:space="preserve">benefits were associated with an outdoor time of </w:t>
      </w:r>
      <w:r w:rsidR="00A62FC8" w:rsidRPr="006301BF">
        <w:rPr>
          <w:rFonts w:ascii="Calibri" w:hAnsi="Calibri"/>
          <w:sz w:val="22"/>
          <w:szCs w:val="22"/>
        </w:rPr>
        <w:t>80-90 minutes</w:t>
      </w:r>
      <w:r w:rsidR="00F13EAC" w:rsidRPr="006301BF">
        <w:rPr>
          <w:rFonts w:ascii="Calibri" w:hAnsi="Calibri"/>
          <w:sz w:val="22"/>
          <w:szCs w:val="22"/>
        </w:rPr>
        <w:t>’ duration</w:t>
      </w:r>
      <w:r w:rsidR="00A62FC8" w:rsidRPr="006301BF">
        <w:rPr>
          <w:rFonts w:ascii="Calibri" w:hAnsi="Calibri"/>
          <w:sz w:val="22"/>
          <w:szCs w:val="22"/>
        </w:rPr>
        <w:t>. After this point, t</w:t>
      </w:r>
      <w:r w:rsidR="002C49CB" w:rsidRPr="006301BF">
        <w:rPr>
          <w:rFonts w:ascii="Calibri" w:hAnsi="Calibri"/>
          <w:sz w:val="22"/>
          <w:szCs w:val="22"/>
        </w:rPr>
        <w:t xml:space="preserve">he </w:t>
      </w:r>
      <w:r w:rsidR="00B447EE" w:rsidRPr="006301BF">
        <w:rPr>
          <w:rFonts w:ascii="Calibri" w:hAnsi="Calibri"/>
          <w:sz w:val="22"/>
          <w:szCs w:val="22"/>
        </w:rPr>
        <w:t xml:space="preserve">extent of </w:t>
      </w:r>
      <w:r w:rsidR="002C49CB" w:rsidRPr="006301BF">
        <w:rPr>
          <w:rFonts w:ascii="Calibri" w:hAnsi="Calibri"/>
          <w:sz w:val="22"/>
          <w:szCs w:val="22"/>
        </w:rPr>
        <w:t>positi</w:t>
      </w:r>
      <w:r w:rsidR="00B959A4" w:rsidRPr="006301BF">
        <w:rPr>
          <w:rFonts w:ascii="Calibri" w:hAnsi="Calibri"/>
          <w:sz w:val="22"/>
          <w:szCs w:val="22"/>
        </w:rPr>
        <w:t>ve change in mood score declined</w:t>
      </w:r>
      <w:r w:rsidR="002C49CB" w:rsidRPr="006301BF">
        <w:rPr>
          <w:rFonts w:ascii="Calibri" w:hAnsi="Calibri"/>
          <w:sz w:val="22"/>
          <w:szCs w:val="22"/>
        </w:rPr>
        <w:t xml:space="preserve"> with greater time spent outside</w:t>
      </w:r>
      <w:r w:rsidR="00B959A4" w:rsidRPr="006301BF">
        <w:rPr>
          <w:rFonts w:ascii="Calibri" w:hAnsi="Calibri"/>
          <w:sz w:val="22"/>
          <w:szCs w:val="22"/>
        </w:rPr>
        <w:t>, although the shape of this relationship is uncertain due to the relative lack of observations beyond this time.</w:t>
      </w:r>
    </w:p>
    <w:p w:rsidR="00E662E0" w:rsidRPr="006301BF" w:rsidRDefault="00E662E0" w:rsidP="00E00B19">
      <w:pPr>
        <w:pStyle w:val="PlainText"/>
        <w:spacing w:after="120" w:line="480" w:lineRule="auto"/>
        <w:contextualSpacing/>
        <w:rPr>
          <w:rFonts w:ascii="Calibri" w:hAnsi="Calibri"/>
          <w:sz w:val="22"/>
          <w:szCs w:val="22"/>
        </w:rPr>
      </w:pPr>
    </w:p>
    <w:p w:rsidR="00C24D01" w:rsidRPr="00A119E0" w:rsidRDefault="00C24D01" w:rsidP="00E00B19">
      <w:pPr>
        <w:spacing w:line="480" w:lineRule="auto"/>
        <w:contextualSpacing/>
        <w:rPr>
          <w:b/>
          <w:sz w:val="28"/>
        </w:rPr>
      </w:pPr>
      <w:r w:rsidRPr="00A119E0">
        <w:rPr>
          <w:b/>
          <w:sz w:val="28"/>
        </w:rPr>
        <w:t>Discussion</w:t>
      </w:r>
    </w:p>
    <w:p w:rsidR="00C24D01" w:rsidRDefault="000B2CE2" w:rsidP="00E00B19">
      <w:pPr>
        <w:spacing w:line="480" w:lineRule="auto"/>
        <w:contextualSpacing/>
      </w:pPr>
      <w:r>
        <w:t xml:space="preserve">We </w:t>
      </w:r>
      <w:r w:rsidR="007A38AF">
        <w:t xml:space="preserve">found </w:t>
      </w:r>
      <w:r w:rsidR="002D1B87">
        <w:t xml:space="preserve">that </w:t>
      </w:r>
      <w:r w:rsidR="00A94250">
        <w:t>exposure to natur</w:t>
      </w:r>
      <w:r w:rsidR="0020682C">
        <w:t xml:space="preserve">e </w:t>
      </w:r>
      <w:r w:rsidR="007A38AF">
        <w:t>wa</w:t>
      </w:r>
      <w:r w:rsidR="002F37C4">
        <w:t xml:space="preserve">s associated with </w:t>
      </w:r>
      <w:r w:rsidR="00A94250">
        <w:t>an improvement in mood</w:t>
      </w:r>
      <w:r w:rsidR="00A62FC8">
        <w:t xml:space="preserve"> as measured by carer assessment</w:t>
      </w:r>
      <w:r w:rsidR="00A94250">
        <w:t xml:space="preserve">, </w:t>
      </w:r>
      <w:r w:rsidR="008C1B0C">
        <w:t xml:space="preserve">and </w:t>
      </w:r>
      <w:r w:rsidR="00FF6637">
        <w:t xml:space="preserve">that the </w:t>
      </w:r>
      <w:r w:rsidR="004B6BDB">
        <w:t>magnitude of</w:t>
      </w:r>
      <w:r w:rsidR="00A2400C">
        <w:t xml:space="preserve"> b</w:t>
      </w:r>
      <w:r w:rsidR="00FF6637">
        <w:t xml:space="preserve">enefit </w:t>
      </w:r>
      <w:r w:rsidR="000C0DA6">
        <w:t>wa</w:t>
      </w:r>
      <w:r w:rsidR="00FF6637">
        <w:t xml:space="preserve">s associated with </w:t>
      </w:r>
      <w:r w:rsidR="00A94250">
        <w:t xml:space="preserve">the length of time for which the patient is exposed to the natural environment. </w:t>
      </w:r>
      <w:r>
        <w:t xml:space="preserve">The </w:t>
      </w:r>
      <w:r w:rsidR="00E03F78">
        <w:t xml:space="preserve">correlation </w:t>
      </w:r>
      <w:r>
        <w:t>between benefits obtained with time of exposure was non-linea</w:t>
      </w:r>
      <w:r w:rsidR="007A38AF">
        <w:t>r,</w:t>
      </w:r>
      <w:r w:rsidR="00E03F78">
        <w:t xml:space="preserve"> suggesting a target level of exposure </w:t>
      </w:r>
      <w:r w:rsidR="000C0DA6">
        <w:t>may exist</w:t>
      </w:r>
      <w:r>
        <w:t xml:space="preserve">. </w:t>
      </w:r>
      <w:r w:rsidR="00A94250">
        <w:t xml:space="preserve">The extent of benefits </w:t>
      </w:r>
      <w:r w:rsidR="002F37C4">
        <w:t xml:space="preserve">associated with </w:t>
      </w:r>
      <w:r w:rsidR="00A94250">
        <w:t>exposure to a natural environment increased initially with time, but only up to a certain level. Above 80-90 minutes</w:t>
      </w:r>
      <w:r>
        <w:t xml:space="preserve"> of exposure</w:t>
      </w:r>
      <w:r w:rsidR="00A94250">
        <w:t xml:space="preserve">, there were no additional benefits </w:t>
      </w:r>
      <w:r w:rsidR="002F37C4">
        <w:t>associate</w:t>
      </w:r>
      <w:r w:rsidR="00FF6637">
        <w:t>d</w:t>
      </w:r>
      <w:r w:rsidR="002F37C4">
        <w:t xml:space="preserve"> with </w:t>
      </w:r>
      <w:r w:rsidR="00A94250">
        <w:t xml:space="preserve">spending more time outside, and </w:t>
      </w:r>
      <w:r>
        <w:t xml:space="preserve">at durations of exposure greater than 100 minutes, the benefits reduced rapidly. </w:t>
      </w:r>
    </w:p>
    <w:p w:rsidR="000C0DA6" w:rsidRDefault="00F17A29" w:rsidP="008D71DD">
      <w:pPr>
        <w:spacing w:line="480" w:lineRule="auto"/>
        <w:ind w:firstLine="426"/>
        <w:contextualSpacing/>
      </w:pPr>
      <w:r>
        <w:t xml:space="preserve">The </w:t>
      </w:r>
      <w:r w:rsidR="000B0ED6">
        <w:t>na</w:t>
      </w:r>
      <w:r w:rsidR="004846CC">
        <w:t>ture</w:t>
      </w:r>
      <w:r w:rsidR="001449A5">
        <w:t>-enhanced</w:t>
      </w:r>
      <w:r w:rsidR="004846CC">
        <w:t xml:space="preserve"> garden created at the nursing home</w:t>
      </w:r>
      <w:r w:rsidR="000B0ED6">
        <w:t xml:space="preserve">, which formed the case study for this research, </w:t>
      </w:r>
      <w:r w:rsidR="000A4B6F">
        <w:t xml:space="preserve">is just one example of </w:t>
      </w:r>
      <w:r w:rsidR="0053499D">
        <w:t xml:space="preserve">a </w:t>
      </w:r>
      <w:r w:rsidR="001449A5">
        <w:t xml:space="preserve">beneficial </w:t>
      </w:r>
      <w:r w:rsidR="000A4B6F">
        <w:t>outdoor space</w:t>
      </w:r>
      <w:r w:rsidR="001449A5">
        <w:t xml:space="preserve"> </w:t>
      </w:r>
      <w:r w:rsidR="0053499D">
        <w:t>for</w:t>
      </w:r>
      <w:r w:rsidR="001449A5">
        <w:t xml:space="preserve"> dementia </w:t>
      </w:r>
      <w:r w:rsidR="0053499D">
        <w:t>care</w:t>
      </w:r>
      <w:r w:rsidR="001449A5">
        <w:t>.</w:t>
      </w:r>
      <w:r w:rsidR="000A4B6F">
        <w:t xml:space="preserve"> </w:t>
      </w:r>
      <w:r w:rsidR="000C0DA6">
        <w:t>F</w:t>
      </w:r>
      <w:r w:rsidR="000A4B6F">
        <w:t xml:space="preserve">urther investigation could </w:t>
      </w:r>
      <w:r w:rsidR="00960CFA">
        <w:t>also be made into the wide range of</w:t>
      </w:r>
      <w:r w:rsidR="000A4B6F">
        <w:t xml:space="preserve"> green spaces</w:t>
      </w:r>
      <w:r w:rsidR="00960CFA">
        <w:t xml:space="preserve"> known to benefit people with dementia living in the community</w:t>
      </w:r>
      <w:r w:rsidR="000F1B4E">
        <w:t xml:space="preserve">. These findings </w:t>
      </w:r>
      <w:r w:rsidR="0053499D">
        <w:t>indeed</w:t>
      </w:r>
      <w:r w:rsidR="000F1B4E">
        <w:t xml:space="preserve"> corroborate the ‘Greening Dementia’ report (Clark et al, 2013) </w:t>
      </w:r>
      <w:r w:rsidR="0053499D">
        <w:t>which demonstrated</w:t>
      </w:r>
      <w:r w:rsidR="000F1B4E">
        <w:t xml:space="preserve"> that over 95% of stakeholders identified ‘enhanced mood’ as a benefit of ac</w:t>
      </w:r>
      <w:r w:rsidR="0053499D">
        <w:t>cess to nature for people</w:t>
      </w:r>
      <w:r w:rsidR="000F1B4E">
        <w:t xml:space="preserve"> with dementia.</w:t>
      </w:r>
      <w:r w:rsidR="00747AD0">
        <w:t xml:space="preserve"> There is potential for some of the beneficial </w:t>
      </w:r>
      <w:r w:rsidR="004E1F5F">
        <w:t xml:space="preserve">features of </w:t>
      </w:r>
      <w:r w:rsidR="006831FB">
        <w:t xml:space="preserve">these </w:t>
      </w:r>
      <w:r w:rsidR="00747AD0">
        <w:t xml:space="preserve">natural </w:t>
      </w:r>
      <w:r w:rsidR="006831FB">
        <w:t xml:space="preserve">environments </w:t>
      </w:r>
      <w:r w:rsidR="00747AD0">
        <w:t>to be</w:t>
      </w:r>
      <w:r w:rsidR="006831FB">
        <w:t xml:space="preserve"> </w:t>
      </w:r>
      <w:r w:rsidR="004E1F5F">
        <w:t xml:space="preserve">increased </w:t>
      </w:r>
      <w:r w:rsidR="00747AD0">
        <w:t>i</w:t>
      </w:r>
      <w:r w:rsidR="004E1F5F">
        <w:t xml:space="preserve">n </w:t>
      </w:r>
      <w:r>
        <w:t>larger</w:t>
      </w:r>
      <w:r w:rsidR="006831FB">
        <w:t>, integrated design and care scheme</w:t>
      </w:r>
      <w:r w:rsidR="004E1F5F">
        <w:t>s</w:t>
      </w:r>
      <w:r>
        <w:t xml:space="preserve"> that </w:t>
      </w:r>
      <w:r w:rsidR="004E1F5F">
        <w:t xml:space="preserve">include </w:t>
      </w:r>
      <w:r w:rsidR="00945F50">
        <w:t xml:space="preserve">both </w:t>
      </w:r>
      <w:r w:rsidR="006831FB">
        <w:t xml:space="preserve">natural </w:t>
      </w:r>
      <w:r w:rsidR="00945F50">
        <w:t xml:space="preserve">and built </w:t>
      </w:r>
      <w:r w:rsidR="006831FB">
        <w:t>environments</w:t>
      </w:r>
      <w:r w:rsidR="009940EB">
        <w:t xml:space="preserve"> </w:t>
      </w:r>
      <w:r w:rsidR="00601925">
        <w:fldChar w:fldCharType="begin"/>
      </w:r>
      <w:r w:rsidR="00C00DB3">
        <w:instrText xml:space="preserve"> ADDIN EN.CITE &lt;EndNote&gt;&lt;Cite&gt;&lt;Author&gt;Alcock&lt;/Author&gt;&lt;Year&gt;2014&lt;/Year&gt;&lt;RecNum&gt;642&lt;/RecNum&gt;&lt;DisplayText&gt;(Alcock, White, Wheeler, Fleming, &amp;amp; Depledge, 2014; Calkins, Szmerekovsky, &amp;amp; Biddle, 2007)&lt;/DisplayText&gt;&lt;record&gt;&lt;rec-number&gt;642&lt;/rec-number&gt;&lt;foreign-keys&gt;&lt;key app="EN" db-id="aexz05etatpr98e9r0pvrw9nepeva0z2vzrp" timestamp="1474636725"&gt;642&lt;/key&gt;&lt;/foreign-keys&gt;&lt;ref-type name="Journal Article"&gt;17&lt;/ref-type&gt;&lt;contributors&gt;&lt;authors&gt;&lt;author&gt;Alcock, Ian&lt;/author&gt;&lt;author&gt;White, Mathew P&lt;/author&gt;&lt;author&gt;Wheeler, Benedict W&lt;/author&gt;&lt;author&gt;Fleming, Lora E&lt;/author&gt;&lt;author&gt;Depledge, Michael H&lt;/author&gt;&lt;/authors&gt;&lt;/contributors&gt;&lt;titles&gt;&lt;title&gt;Longitudinal effects on mental health of moving to greener and less green urban areas&lt;/title&gt;&lt;secondary-title&gt;Environmental science &amp;amp; technology&lt;/secondary-title&gt;&lt;/titles&gt;&lt;periodical&gt;&lt;full-title&gt;Environmental science &amp;amp; technology&lt;/full-title&gt;&lt;/periodical&gt;&lt;pages&gt;1247-1255&lt;/pages&gt;&lt;volume&gt;48&lt;/volume&gt;&lt;number&gt;2&lt;/number&gt;&lt;dates&gt;&lt;year&gt;2014&lt;/year&gt;&lt;/dates&gt;&lt;isbn&gt;0013-936X&lt;/isbn&gt;&lt;urls&gt;&lt;/urls&gt;&lt;electronic-resource-num&gt;10.1021/es403688w&lt;/electronic-resource-num&gt;&lt;/record&gt;&lt;/Cite&gt;&lt;Cite&gt;&lt;Author&gt;Calkins&lt;/Author&gt;&lt;Year&gt;2007&lt;/Year&gt;&lt;RecNum&gt;643&lt;/RecNum&gt;&lt;record&gt;&lt;rec-number&gt;643&lt;/rec-number&gt;&lt;foreign-keys&gt;&lt;key app="EN" db-id="aexz05etatpr98e9r0pvrw9nepeva0z2vzrp" timestamp="1474636726"&gt;643&lt;/key&gt;&lt;/foreign-keys&gt;&lt;ref-type name="Journal Article"&gt;17&lt;/ref-type&gt;&lt;contributors&gt;&lt;authors&gt;&lt;author&gt;Calkins, Margaret&lt;/author&gt;&lt;author&gt;Szmerekovsky, Joseph G&lt;/author&gt;&lt;author&gt;Biddle, Stacey&lt;/author&gt;&lt;/authors&gt;&lt;/contributors&gt;&lt;titles&gt;&lt;title&gt;Effect of increased time spent outdoors on individuals with dementia residing in nursing homes&lt;/title&gt;&lt;secondary-title&gt;Journal of Housing for the Elderly&lt;/secondary-title&gt;&lt;/titles&gt;&lt;periodical&gt;&lt;full-title&gt;Journal of Housing for the Elderly&lt;/full-title&gt;&lt;/periodical&gt;&lt;pages&gt;211-228&lt;/pages&gt;&lt;volume&gt;21&lt;/volume&gt;&lt;number&gt;3-4&lt;/number&gt;&lt;dates&gt;&lt;year&gt;2007&lt;/year&gt;&lt;/dates&gt;&lt;isbn&gt;0276-3893&lt;/isbn&gt;&lt;urls&gt;&lt;/urls&gt;&lt;electronic-resource-num&gt;10.1300/J081v21n03_11&lt;/electronic-resource-num&gt;&lt;/record&gt;&lt;/Cite&gt;&lt;/EndNote&gt;</w:instrText>
      </w:r>
      <w:r w:rsidR="00601925">
        <w:fldChar w:fldCharType="separate"/>
      </w:r>
      <w:r w:rsidR="007C0665">
        <w:rPr>
          <w:noProof/>
        </w:rPr>
        <w:t>(Alcock, White, Wheeler, Fleming, &amp; Depledge, 2014)</w:t>
      </w:r>
      <w:r w:rsidR="00601925">
        <w:fldChar w:fldCharType="end"/>
      </w:r>
      <w:r>
        <w:t>.</w:t>
      </w:r>
      <w:r w:rsidR="000B2A5E" w:rsidRPr="000B2A5E">
        <w:t xml:space="preserve"> </w:t>
      </w:r>
      <w:r w:rsidR="000B2A5E">
        <w:lastRenderedPageBreak/>
        <w:t xml:space="preserve">Further work should be conducted to </w:t>
      </w:r>
      <w:r w:rsidR="00FF6637">
        <w:t xml:space="preserve">determine causality and investigate mechanisms, with a long-term goal of </w:t>
      </w:r>
      <w:r w:rsidR="000B2A5E">
        <w:t>provid</w:t>
      </w:r>
      <w:r w:rsidR="00FF6637">
        <w:t>ing</w:t>
      </w:r>
      <w:r w:rsidR="000B2A5E">
        <w:t xml:space="preserve"> specific recommendations to inform </w:t>
      </w:r>
      <w:r w:rsidR="000B2A5E" w:rsidRPr="000B2A5E">
        <w:t>policies</w:t>
      </w:r>
      <w:r w:rsidR="00C276B7">
        <w:t xml:space="preserve"> and</w:t>
      </w:r>
      <w:r w:rsidR="000B2A5E">
        <w:t xml:space="preserve"> </w:t>
      </w:r>
      <w:r w:rsidR="000B2A5E" w:rsidRPr="000B2A5E">
        <w:t xml:space="preserve">regulations on </w:t>
      </w:r>
      <w:r w:rsidR="000B2A5E">
        <w:t xml:space="preserve">the development of dementia </w:t>
      </w:r>
      <w:r w:rsidR="000B2A5E" w:rsidRPr="000B2A5E">
        <w:t>facilities</w:t>
      </w:r>
      <w:r w:rsidR="000B2A5E">
        <w:t>, i</w:t>
      </w:r>
      <w:r w:rsidR="00C276B7">
        <w:t>n terms of the size, quality and components</w:t>
      </w:r>
      <w:r w:rsidR="006A407C">
        <w:t xml:space="preserve"> of outdoor areas to supplement </w:t>
      </w:r>
      <w:r w:rsidR="00C276B7">
        <w:t>existing design recommendations</w:t>
      </w:r>
      <w:r w:rsidR="000B2A5E">
        <w:t xml:space="preserve"> </w:t>
      </w:r>
      <w:r w:rsidR="006A407C">
        <w:t>and building regulations</w:t>
      </w:r>
      <w:r w:rsidR="000B2A5E">
        <w:t xml:space="preserve"> currently in place for the indoor environment</w:t>
      </w:r>
      <w:r w:rsidR="006A407C">
        <w:t xml:space="preserve">. </w:t>
      </w:r>
    </w:p>
    <w:p w:rsidR="00A119E0" w:rsidRDefault="000C0DA6" w:rsidP="008D71DD">
      <w:pPr>
        <w:spacing w:line="480" w:lineRule="auto"/>
        <w:ind w:firstLine="426"/>
        <w:contextualSpacing/>
      </w:pPr>
      <w:r>
        <w:t>I</w:t>
      </w:r>
      <w:r w:rsidR="000B5D28">
        <w:t xml:space="preserve">t should be recognised that </w:t>
      </w:r>
      <w:r w:rsidR="0076315C">
        <w:t xml:space="preserve">both </w:t>
      </w:r>
      <w:r w:rsidR="000B5D28">
        <w:t>t</w:t>
      </w:r>
      <w:r w:rsidR="002C0041">
        <w:t>his patient group and nature as a</w:t>
      </w:r>
      <w:r w:rsidR="0076315C">
        <w:t xml:space="preserve">n intervention </w:t>
      </w:r>
      <w:r w:rsidR="002C0041">
        <w:t xml:space="preserve">pose considerable challenges for a </w:t>
      </w:r>
      <w:r w:rsidR="0076315C">
        <w:t xml:space="preserve">methodologically-robust </w:t>
      </w:r>
      <w:r w:rsidR="002C0041">
        <w:t>intervention study. Our approach was observational, and causality should not be inferred from the associations we recorded. However, the associations observed may provide the impetus for further, more detailed research focusing on causality and underlying mechanisms</w:t>
      </w:r>
      <w:r w:rsidR="000B5D28">
        <w:t>, and replicated across different residential care settings</w:t>
      </w:r>
      <w:r w:rsidR="002C0041">
        <w:t xml:space="preserve">. </w:t>
      </w:r>
      <w:r w:rsidR="000B5D28">
        <w:t>Such research could also be extended usefully to other settings such as private homes, given the increase in dementia care at home</w:t>
      </w:r>
      <w:r>
        <w:t xml:space="preserve"> </w:t>
      </w:r>
      <w:r w:rsidRPr="00550C6C">
        <w:t>(Hulme, Wright, Crocker, Oluboyede, &amp; House, 2010)</w:t>
      </w:r>
      <w:r w:rsidR="0076315C">
        <w:t xml:space="preserve"> and include an analysis of the cost</w:t>
      </w:r>
      <w:r w:rsidR="000B5D28">
        <w:t>-effectiveness of such non-pharmacological treatments</w:t>
      </w:r>
      <w:r w:rsidR="009940EB">
        <w:t xml:space="preserve"> </w:t>
      </w:r>
      <w:r w:rsidR="00601925">
        <w:fldChar w:fldCharType="begin"/>
      </w:r>
      <w:r w:rsidR="00F459F3">
        <w:instrText xml:space="preserve"> ADDIN EN.CITE &lt;EndNote&gt;&lt;Cite&gt;&lt;Author&gt;Banerjee&lt;/Author&gt;&lt;Year&gt;2009&lt;/Year&gt;&lt;RecNum&gt;624&lt;/RecNum&gt;&lt;DisplayText&gt;(Banerjee, 2009)&lt;/DisplayText&gt;&lt;record&gt;&lt;rec-number&gt;624&lt;/rec-number&gt;&lt;foreign-keys&gt;&lt;key app="EN" db-id="aexz05etatpr98e9r0pvrw9nepeva0z2vzrp" timestamp="1474636722"&gt;624&lt;/key&gt;&lt;/foreign-keys&gt;&lt;ref-type name="Unpublished Work"&gt;34&lt;/ref-type&gt;&lt;contributors&gt;&lt;authors&gt;&lt;author&gt;Banerjee, Sube&lt;/author&gt;&lt;/authors&gt;&lt;/contributors&gt;&lt;titles&gt;&lt;title&gt;The use of antipsychotic medication for people with dementia: time for action&lt;/title&gt;&lt;secondary-title&gt;London, UK: Department of Health&lt;/secondary-title&gt;&lt;/titles&gt;&lt;dates&gt;&lt;year&gt;2009&lt;/year&gt;&lt;/dates&gt;&lt;urls&gt;&lt;related-urls&gt;&lt;url&gt;http://psychrights.org/research/digest/nlps/banerjeereportongeriatricneurolepticuse.pdf&lt;/url&gt;&lt;/related-urls&gt;&lt;/urls&gt;&lt;/record&gt;&lt;/Cite&gt;&lt;/EndNote&gt;</w:instrText>
      </w:r>
      <w:r w:rsidR="00601925">
        <w:fldChar w:fldCharType="separate"/>
      </w:r>
      <w:r w:rsidR="007C0665">
        <w:rPr>
          <w:noProof/>
        </w:rPr>
        <w:t>(Banerjee, 2009)</w:t>
      </w:r>
      <w:r w:rsidR="00601925">
        <w:fldChar w:fldCharType="end"/>
      </w:r>
      <w:r w:rsidR="0076315C">
        <w:t>.</w:t>
      </w:r>
    </w:p>
    <w:p w:rsidR="000C0DA6" w:rsidRPr="0076315C" w:rsidRDefault="000C0DA6" w:rsidP="008D71DD">
      <w:pPr>
        <w:spacing w:line="480" w:lineRule="auto"/>
        <w:ind w:firstLine="426"/>
        <w:contextualSpacing/>
      </w:pPr>
    </w:p>
    <w:p w:rsidR="00A119E0" w:rsidRPr="006301BF" w:rsidRDefault="00A119E0" w:rsidP="00E00B19">
      <w:pPr>
        <w:pStyle w:val="PlainText"/>
        <w:spacing w:after="120" w:line="480" w:lineRule="auto"/>
        <w:contextualSpacing/>
        <w:rPr>
          <w:rFonts w:ascii="Calibri" w:hAnsi="Calibri"/>
          <w:b/>
          <w:sz w:val="28"/>
          <w:szCs w:val="28"/>
        </w:rPr>
      </w:pPr>
      <w:r w:rsidRPr="006301BF">
        <w:rPr>
          <w:rFonts w:ascii="Calibri" w:hAnsi="Calibri"/>
          <w:b/>
          <w:sz w:val="28"/>
          <w:szCs w:val="28"/>
        </w:rPr>
        <w:t>Conclusions</w:t>
      </w:r>
    </w:p>
    <w:p w:rsidR="00921350" w:rsidRPr="006301BF" w:rsidRDefault="00945F50" w:rsidP="00E00B19">
      <w:pPr>
        <w:pStyle w:val="PlainText"/>
        <w:spacing w:after="120" w:line="480" w:lineRule="auto"/>
        <w:contextualSpacing/>
        <w:rPr>
          <w:rFonts w:ascii="Calibri" w:hAnsi="Calibri"/>
          <w:sz w:val="22"/>
          <w:szCs w:val="22"/>
        </w:rPr>
      </w:pPr>
      <w:r w:rsidRPr="006301BF">
        <w:rPr>
          <w:rFonts w:ascii="Calibri" w:hAnsi="Calibri"/>
          <w:sz w:val="22"/>
          <w:szCs w:val="22"/>
        </w:rPr>
        <w:t xml:space="preserve">This </w:t>
      </w:r>
      <w:r w:rsidR="000C6256" w:rsidRPr="006301BF">
        <w:rPr>
          <w:rFonts w:ascii="Calibri" w:hAnsi="Calibri"/>
          <w:sz w:val="22"/>
          <w:szCs w:val="22"/>
        </w:rPr>
        <w:t xml:space="preserve">study </w:t>
      </w:r>
      <w:r w:rsidR="0058058C" w:rsidRPr="006301BF">
        <w:rPr>
          <w:rFonts w:ascii="Calibri" w:hAnsi="Calibri"/>
          <w:sz w:val="22"/>
          <w:szCs w:val="22"/>
        </w:rPr>
        <w:t>has</w:t>
      </w:r>
      <w:r w:rsidRPr="006301BF">
        <w:rPr>
          <w:rFonts w:ascii="Calibri" w:hAnsi="Calibri"/>
          <w:sz w:val="22"/>
          <w:szCs w:val="22"/>
        </w:rPr>
        <w:t xml:space="preserve"> demonstrated </w:t>
      </w:r>
      <w:r w:rsidR="00FF6637" w:rsidRPr="006301BF">
        <w:rPr>
          <w:rFonts w:ascii="Calibri" w:hAnsi="Calibri"/>
          <w:sz w:val="22"/>
          <w:szCs w:val="22"/>
        </w:rPr>
        <w:t xml:space="preserve">an association between </w:t>
      </w:r>
      <w:r w:rsidR="000B5D28" w:rsidRPr="006301BF">
        <w:rPr>
          <w:rFonts w:ascii="Calibri" w:hAnsi="Calibri"/>
          <w:sz w:val="22"/>
          <w:szCs w:val="22"/>
        </w:rPr>
        <w:t xml:space="preserve">duration of </w:t>
      </w:r>
      <w:r w:rsidR="00FF6637" w:rsidRPr="006301BF">
        <w:rPr>
          <w:rFonts w:ascii="Calibri" w:hAnsi="Calibri"/>
          <w:sz w:val="22"/>
          <w:szCs w:val="22"/>
        </w:rPr>
        <w:t xml:space="preserve">exposure to </w:t>
      </w:r>
      <w:r w:rsidR="0058058C" w:rsidRPr="006301BF">
        <w:rPr>
          <w:rFonts w:ascii="Calibri" w:hAnsi="Calibri"/>
          <w:sz w:val="22"/>
          <w:szCs w:val="22"/>
        </w:rPr>
        <w:t xml:space="preserve">a </w:t>
      </w:r>
      <w:r w:rsidR="000B5D28" w:rsidRPr="006301BF">
        <w:rPr>
          <w:rFonts w:ascii="Calibri" w:hAnsi="Calibri"/>
          <w:sz w:val="22"/>
          <w:szCs w:val="22"/>
        </w:rPr>
        <w:t>nature</w:t>
      </w:r>
      <w:r w:rsidR="0058058C" w:rsidRPr="006301BF">
        <w:rPr>
          <w:rFonts w:ascii="Calibri" w:hAnsi="Calibri"/>
          <w:sz w:val="22"/>
          <w:szCs w:val="22"/>
        </w:rPr>
        <w:t>-rich garden</w:t>
      </w:r>
      <w:r w:rsidR="00F17A29" w:rsidRPr="006301BF">
        <w:rPr>
          <w:rFonts w:ascii="Calibri" w:hAnsi="Calibri"/>
          <w:sz w:val="22"/>
          <w:szCs w:val="22"/>
        </w:rPr>
        <w:t xml:space="preserve"> </w:t>
      </w:r>
      <w:r w:rsidR="00FF6637" w:rsidRPr="006301BF">
        <w:rPr>
          <w:rFonts w:ascii="Calibri" w:hAnsi="Calibri"/>
          <w:sz w:val="22"/>
          <w:szCs w:val="22"/>
        </w:rPr>
        <w:t xml:space="preserve">and </w:t>
      </w:r>
      <w:r w:rsidR="00F17A29" w:rsidRPr="006301BF">
        <w:rPr>
          <w:rFonts w:ascii="Calibri" w:hAnsi="Calibri"/>
          <w:sz w:val="22"/>
          <w:szCs w:val="22"/>
        </w:rPr>
        <w:t>the mood of patients with dementia</w:t>
      </w:r>
      <w:r w:rsidR="000B5D28" w:rsidRPr="006301BF">
        <w:rPr>
          <w:rFonts w:ascii="Calibri" w:hAnsi="Calibri"/>
          <w:sz w:val="22"/>
          <w:szCs w:val="22"/>
        </w:rPr>
        <w:t xml:space="preserve">. Specifically, it has shown that </w:t>
      </w:r>
      <w:r w:rsidRPr="006301BF">
        <w:rPr>
          <w:rFonts w:ascii="Calibri" w:hAnsi="Calibri"/>
          <w:sz w:val="22"/>
          <w:szCs w:val="22"/>
        </w:rPr>
        <w:t xml:space="preserve">this </w:t>
      </w:r>
      <w:r w:rsidR="00FF6637" w:rsidRPr="006301BF">
        <w:rPr>
          <w:rFonts w:ascii="Calibri" w:hAnsi="Calibri"/>
          <w:sz w:val="22"/>
          <w:szCs w:val="22"/>
        </w:rPr>
        <w:t xml:space="preserve">association is </w:t>
      </w:r>
      <w:r w:rsidRPr="006301BF">
        <w:rPr>
          <w:rFonts w:ascii="Calibri" w:hAnsi="Calibri"/>
          <w:sz w:val="22"/>
          <w:szCs w:val="22"/>
        </w:rPr>
        <w:t xml:space="preserve">non-linear </w:t>
      </w:r>
      <w:r w:rsidR="000C0DA6">
        <w:rPr>
          <w:rFonts w:ascii="Calibri" w:hAnsi="Calibri"/>
          <w:sz w:val="22"/>
          <w:szCs w:val="22"/>
        </w:rPr>
        <w:t xml:space="preserve">and that substantial </w:t>
      </w:r>
      <w:r w:rsidRPr="006301BF">
        <w:rPr>
          <w:rFonts w:ascii="Calibri" w:hAnsi="Calibri"/>
          <w:sz w:val="22"/>
          <w:szCs w:val="22"/>
        </w:rPr>
        <w:t xml:space="preserve">benefits </w:t>
      </w:r>
      <w:r w:rsidR="000C0DA6">
        <w:rPr>
          <w:rFonts w:ascii="Calibri" w:hAnsi="Calibri"/>
          <w:sz w:val="22"/>
          <w:szCs w:val="22"/>
        </w:rPr>
        <w:t xml:space="preserve">through </w:t>
      </w:r>
      <w:r w:rsidRPr="006301BF">
        <w:rPr>
          <w:rFonts w:ascii="Calibri" w:hAnsi="Calibri"/>
          <w:sz w:val="22"/>
          <w:szCs w:val="22"/>
        </w:rPr>
        <w:t xml:space="preserve">increases in mood </w:t>
      </w:r>
      <w:r w:rsidR="00FF6637" w:rsidRPr="006301BF">
        <w:rPr>
          <w:rFonts w:ascii="Calibri" w:hAnsi="Calibri"/>
          <w:sz w:val="22"/>
          <w:szCs w:val="22"/>
        </w:rPr>
        <w:t xml:space="preserve">are associated with </w:t>
      </w:r>
      <w:r w:rsidRPr="006301BF">
        <w:rPr>
          <w:rFonts w:ascii="Calibri" w:hAnsi="Calibri"/>
          <w:sz w:val="22"/>
          <w:szCs w:val="22"/>
        </w:rPr>
        <w:t xml:space="preserve">relatively low levels of exposure to nature. </w:t>
      </w:r>
    </w:p>
    <w:p w:rsidR="00B959A4" w:rsidRPr="006301BF" w:rsidRDefault="00B959A4" w:rsidP="00E00B19">
      <w:pPr>
        <w:pStyle w:val="PlainText"/>
        <w:spacing w:after="120" w:line="480" w:lineRule="auto"/>
        <w:contextualSpacing/>
        <w:rPr>
          <w:rFonts w:ascii="Calibri" w:hAnsi="Calibri"/>
          <w:sz w:val="22"/>
          <w:szCs w:val="22"/>
        </w:rPr>
      </w:pPr>
    </w:p>
    <w:p w:rsidR="00735C63" w:rsidRPr="0082160C" w:rsidRDefault="000C6256" w:rsidP="00735C63">
      <w:pPr>
        <w:autoSpaceDE w:val="0"/>
        <w:autoSpaceDN w:val="0"/>
        <w:adjustRightInd w:val="0"/>
        <w:spacing w:after="0" w:line="480" w:lineRule="auto"/>
        <w:rPr>
          <w:rFonts w:cs="Calibri"/>
          <w:b/>
          <w:sz w:val="28"/>
          <w:lang w:eastAsia="en-GB"/>
        </w:rPr>
      </w:pPr>
      <w:r>
        <w:rPr>
          <w:b/>
        </w:rPr>
        <w:br w:type="page"/>
      </w:r>
      <w:r w:rsidR="00735C63" w:rsidRPr="0082160C">
        <w:rPr>
          <w:rFonts w:cs="Calibri"/>
          <w:b/>
          <w:sz w:val="28"/>
          <w:lang w:eastAsia="en-GB"/>
        </w:rPr>
        <w:lastRenderedPageBreak/>
        <w:t>Declaration of Conflicting Interests</w:t>
      </w:r>
    </w:p>
    <w:p w:rsidR="002609DD" w:rsidRPr="0082160C" w:rsidRDefault="00735C63" w:rsidP="00735C63">
      <w:pPr>
        <w:autoSpaceDE w:val="0"/>
        <w:autoSpaceDN w:val="0"/>
        <w:adjustRightInd w:val="0"/>
        <w:spacing w:after="0" w:line="480" w:lineRule="auto"/>
        <w:rPr>
          <w:rFonts w:cs="Calibri"/>
          <w:lang w:eastAsia="en-GB"/>
        </w:rPr>
      </w:pPr>
      <w:r w:rsidRPr="0082160C">
        <w:rPr>
          <w:rFonts w:cs="Calibri"/>
          <w:lang w:eastAsia="en-GB"/>
        </w:rPr>
        <w:t>The author declared no potential conflicts of interest with respect to the research, authorship and/or publication of this article.</w:t>
      </w:r>
    </w:p>
    <w:p w:rsidR="00735C63" w:rsidRPr="0082160C" w:rsidRDefault="00735C63" w:rsidP="00735C63">
      <w:pPr>
        <w:spacing w:line="480" w:lineRule="auto"/>
        <w:contextualSpacing/>
        <w:rPr>
          <w:rFonts w:cs="Calibri"/>
          <w:lang w:eastAsia="en-GB"/>
        </w:rPr>
      </w:pPr>
    </w:p>
    <w:p w:rsidR="00735C63" w:rsidRPr="0082160C" w:rsidRDefault="00735C63" w:rsidP="00735C63">
      <w:pPr>
        <w:spacing w:after="0" w:line="480" w:lineRule="auto"/>
        <w:contextualSpacing/>
        <w:rPr>
          <w:rFonts w:cs="Calibri"/>
          <w:b/>
          <w:sz w:val="28"/>
        </w:rPr>
      </w:pPr>
      <w:r w:rsidRPr="0082160C">
        <w:rPr>
          <w:rFonts w:cs="Calibri"/>
          <w:b/>
          <w:sz w:val="28"/>
          <w:lang w:eastAsia="en-GB"/>
        </w:rPr>
        <w:t>Funding and Other Acknowledgements</w:t>
      </w:r>
    </w:p>
    <w:p w:rsidR="00576D4E" w:rsidRPr="006301BF" w:rsidRDefault="003E5E17" w:rsidP="00735C63">
      <w:pPr>
        <w:pStyle w:val="PlainText"/>
        <w:spacing w:after="120" w:line="480" w:lineRule="auto"/>
        <w:contextualSpacing/>
        <w:rPr>
          <w:rFonts w:ascii="Calibri" w:hAnsi="Calibri"/>
          <w:sz w:val="22"/>
          <w:szCs w:val="22"/>
        </w:rPr>
      </w:pPr>
      <w:r w:rsidRPr="0082160C">
        <w:rPr>
          <w:rFonts w:ascii="Calibri" w:hAnsi="Calibri" w:cs="Calibri"/>
          <w:sz w:val="22"/>
          <w:szCs w:val="22"/>
        </w:rPr>
        <w:t>HG and PCLW are grateful</w:t>
      </w:r>
      <w:r w:rsidRPr="006301BF">
        <w:rPr>
          <w:rFonts w:ascii="Calibri" w:hAnsi="Calibri"/>
          <w:sz w:val="22"/>
          <w:szCs w:val="22"/>
        </w:rPr>
        <w:t xml:space="preserve"> to the Economic and Social Research Council (ESRC) for funding</w:t>
      </w:r>
      <w:r w:rsidR="00735C63">
        <w:rPr>
          <w:rFonts w:ascii="Calibri" w:hAnsi="Calibri"/>
          <w:sz w:val="22"/>
          <w:szCs w:val="22"/>
        </w:rPr>
        <w:t xml:space="preserve"> </w:t>
      </w:r>
      <w:r w:rsidRPr="006301BF">
        <w:rPr>
          <w:rFonts w:ascii="Calibri" w:hAnsi="Calibri"/>
          <w:sz w:val="22"/>
          <w:szCs w:val="22"/>
        </w:rPr>
        <w:t xml:space="preserve">through the Health of Populations and Ecosystems (HOPE) project (Grant Number ES/L003015/1). The views expressed are those of the authors and not necessarily those of the ESRC. GC is grateful to </w:t>
      </w:r>
      <w:r w:rsidR="000573C0">
        <w:rPr>
          <w:rFonts w:ascii="Calibri" w:hAnsi="Calibri"/>
          <w:sz w:val="22"/>
          <w:szCs w:val="22"/>
        </w:rPr>
        <w:t xml:space="preserve">AW and </w:t>
      </w:r>
      <w:r w:rsidR="008237C1">
        <w:rPr>
          <w:rFonts w:ascii="Calibri" w:hAnsi="Calibri"/>
          <w:sz w:val="22"/>
          <w:szCs w:val="22"/>
        </w:rPr>
        <w:t xml:space="preserve">the </w:t>
      </w:r>
      <w:r w:rsidR="000573C0">
        <w:rPr>
          <w:rFonts w:ascii="Calibri" w:hAnsi="Calibri"/>
          <w:sz w:val="22"/>
          <w:szCs w:val="22"/>
        </w:rPr>
        <w:t>HIEC, NHS Central Lancashire as well as PH and</w:t>
      </w:r>
      <w:r w:rsidR="00E83DDB">
        <w:rPr>
          <w:rFonts w:ascii="Calibri" w:hAnsi="Calibri"/>
          <w:sz w:val="22"/>
          <w:szCs w:val="22"/>
        </w:rPr>
        <w:t xml:space="preserve"> Hica</w:t>
      </w:r>
      <w:r w:rsidR="000573C0">
        <w:rPr>
          <w:rFonts w:ascii="Calibri" w:hAnsi="Calibri"/>
          <w:sz w:val="22"/>
          <w:szCs w:val="22"/>
        </w:rPr>
        <w:t xml:space="preserve"> who made this</w:t>
      </w:r>
      <w:r w:rsidR="008237C1">
        <w:rPr>
          <w:rFonts w:ascii="Calibri" w:hAnsi="Calibri"/>
          <w:sz w:val="22"/>
          <w:szCs w:val="22"/>
        </w:rPr>
        <w:t xml:space="preserve"> service development work</w:t>
      </w:r>
      <w:r w:rsidR="000573C0">
        <w:rPr>
          <w:rFonts w:ascii="Calibri" w:hAnsi="Calibri"/>
          <w:sz w:val="22"/>
          <w:szCs w:val="22"/>
        </w:rPr>
        <w:t xml:space="preserve"> possible</w:t>
      </w:r>
      <w:r w:rsidRPr="006301BF">
        <w:rPr>
          <w:rFonts w:ascii="Calibri" w:hAnsi="Calibri"/>
          <w:sz w:val="22"/>
          <w:szCs w:val="22"/>
        </w:rPr>
        <w:t xml:space="preserve">. We are especially grateful to the </w:t>
      </w:r>
      <w:r w:rsidR="008237C1">
        <w:rPr>
          <w:rFonts w:ascii="Calibri" w:hAnsi="Calibri"/>
          <w:sz w:val="22"/>
          <w:szCs w:val="22"/>
        </w:rPr>
        <w:t xml:space="preserve">residents and </w:t>
      </w:r>
      <w:r w:rsidR="003D6C58">
        <w:rPr>
          <w:rFonts w:ascii="Calibri" w:hAnsi="Calibri"/>
          <w:sz w:val="22"/>
          <w:szCs w:val="22"/>
        </w:rPr>
        <w:t>care staff</w:t>
      </w:r>
      <w:r w:rsidRPr="006301BF">
        <w:rPr>
          <w:rFonts w:ascii="Calibri" w:hAnsi="Calibri"/>
          <w:sz w:val="22"/>
          <w:szCs w:val="22"/>
        </w:rPr>
        <w:t xml:space="preserve"> at </w:t>
      </w:r>
      <w:r w:rsidR="008237C1">
        <w:rPr>
          <w:rFonts w:ascii="Calibri" w:hAnsi="Calibri"/>
          <w:sz w:val="22"/>
          <w:szCs w:val="22"/>
        </w:rPr>
        <w:t>the home</w:t>
      </w:r>
      <w:r w:rsidRPr="006301BF">
        <w:rPr>
          <w:rFonts w:ascii="Calibri" w:hAnsi="Calibri"/>
          <w:sz w:val="22"/>
          <w:szCs w:val="22"/>
        </w:rPr>
        <w:t xml:space="preserve">, who contributed the data on which this study was based. </w:t>
      </w:r>
    </w:p>
    <w:p w:rsidR="00C64874" w:rsidRPr="005B7A18" w:rsidRDefault="005B7A18" w:rsidP="00E00B19">
      <w:pPr>
        <w:spacing w:line="480" w:lineRule="auto"/>
        <w:contextualSpacing/>
      </w:pPr>
      <w:r>
        <w:br w:type="page"/>
      </w:r>
      <w:r w:rsidR="00C64874" w:rsidRPr="00C64874">
        <w:rPr>
          <w:b/>
          <w:sz w:val="28"/>
        </w:rPr>
        <w:lastRenderedPageBreak/>
        <w:t>References</w:t>
      </w:r>
    </w:p>
    <w:p w:rsidR="00550C6C" w:rsidRPr="00E159D1" w:rsidRDefault="00550C6C" w:rsidP="001D7DC7">
      <w:pPr>
        <w:spacing w:line="480" w:lineRule="auto"/>
        <w:ind w:left="709" w:hanging="709"/>
        <w:contextualSpacing/>
      </w:pPr>
      <w:r w:rsidRPr="00E159D1">
        <w:t>Alcock, I., White, M. P., Wheeler, B. W., Fleming, L. E., &amp; Depledge, M. H. (2014). Longitudinal effects on mental health of moving to greener and less green urban areas. Environmental Science &amp; Technology, 48(2), 1247-1255. doi:10.1021/es403688w</w:t>
      </w:r>
    </w:p>
    <w:p w:rsidR="00550C6C" w:rsidRPr="00E159D1" w:rsidRDefault="00550C6C" w:rsidP="001D7DC7">
      <w:pPr>
        <w:spacing w:line="480" w:lineRule="auto"/>
        <w:ind w:left="709" w:hanging="709"/>
        <w:contextualSpacing/>
      </w:pPr>
      <w:r w:rsidRPr="00E159D1">
        <w:t>Annerstedt, M., &amp; Währborg, P. (2011). Nature-assisted therapy: Systematic review of controlled and observational studies. Scandinavian Journal of Public Health, 39(4), 371-388. doi:10.1177/1403494810396400</w:t>
      </w:r>
    </w:p>
    <w:p w:rsidR="00550C6C" w:rsidRPr="00E159D1" w:rsidRDefault="00550C6C" w:rsidP="001D7DC7">
      <w:pPr>
        <w:spacing w:line="480" w:lineRule="auto"/>
        <w:ind w:left="709" w:hanging="709"/>
        <w:contextualSpacing/>
      </w:pPr>
      <w:r w:rsidRPr="00E159D1">
        <w:t>Banerjee, S. (2009). The use of antipsychotic medication for people with dementia: time for action. London, UK: Department of Health.  Retrieved from http://psychrights.org/research/digest/nlps/banerjeereportongeriatricneurolepticuse.pdf</w:t>
      </w:r>
    </w:p>
    <w:p w:rsidR="00550C6C" w:rsidRPr="00E159D1" w:rsidRDefault="00550C6C" w:rsidP="001D7DC7">
      <w:pPr>
        <w:spacing w:line="480" w:lineRule="auto"/>
        <w:ind w:left="709" w:hanging="709"/>
        <w:contextualSpacing/>
      </w:pPr>
      <w:r w:rsidRPr="00E159D1">
        <w:t xml:space="preserve">Chalfont, G., &amp; Walker, A. (2013). Dementia green care handbook of therapeutic design and practice. Mesa, Arizona, USA: safehouse books. ISBN 978-0-9744912-1-9.  Retrieved from http://www.chalfontdesign.com/media/Dementia_Green_Care_Handbook.pdf </w:t>
      </w:r>
    </w:p>
    <w:p w:rsidR="00550C6C" w:rsidRPr="00E159D1" w:rsidRDefault="00550C6C" w:rsidP="001D7DC7">
      <w:pPr>
        <w:spacing w:line="480" w:lineRule="auto"/>
        <w:ind w:left="709" w:hanging="709"/>
        <w:contextualSpacing/>
      </w:pPr>
      <w:r w:rsidRPr="00E159D1">
        <w:t>Clark, P., Mapes, N., Burt, J. &amp; Preston, S. 2013. Greening Dementia - a literature review of the benefits and barriers facing individuals living with dementia in accessing the natural environment and local greenspace. Natural England Commissioned Reports, Number 137.</w:t>
      </w:r>
    </w:p>
    <w:p w:rsidR="00550C6C" w:rsidRPr="00E159D1" w:rsidRDefault="00550C6C" w:rsidP="001D7DC7">
      <w:pPr>
        <w:spacing w:line="480" w:lineRule="auto"/>
        <w:ind w:left="709" w:hanging="709"/>
        <w:contextualSpacing/>
      </w:pPr>
      <w:r w:rsidRPr="00E159D1">
        <w:t>Department of Health (DoH) (2015). Health Building Note 08-02, Dementia-friendly Health and Social Care Environments Retrieved from https://www.gov.uk/government/publications/dementia-friendly-health-and-social-care-environments-hbn-08-02</w:t>
      </w:r>
    </w:p>
    <w:p w:rsidR="00550C6C" w:rsidRPr="00E159D1" w:rsidRDefault="00550C6C" w:rsidP="001D7DC7">
      <w:pPr>
        <w:spacing w:line="480" w:lineRule="auto"/>
        <w:ind w:left="709" w:hanging="709"/>
        <w:contextualSpacing/>
      </w:pPr>
      <w:r w:rsidRPr="00E159D1">
        <w:t xml:space="preserve">Detweiler, M. B., Sharma, T., Detweiler, J. G., Murphy, P. F., Lane, S., Carman, J., . . . Kim, K. Y. (2012). What is the evidence to support the use of therapeutic gardens for the elderly? Psychiatry Investigation, 9(2), 100-110. doi:10.4306/pi.2012.9.2.100 </w:t>
      </w:r>
    </w:p>
    <w:p w:rsidR="00550C6C" w:rsidRPr="00E159D1" w:rsidRDefault="00550C6C" w:rsidP="001D7DC7">
      <w:pPr>
        <w:spacing w:line="480" w:lineRule="auto"/>
        <w:ind w:left="709" w:hanging="709"/>
        <w:contextualSpacing/>
      </w:pPr>
      <w:r w:rsidRPr="00E159D1">
        <w:t>Hulme, C., Wright, J., Crocker, T., Oluboyede, Y., &amp; House, A. (2010). Non‐pharmacological approaches for dementia that informal carers might try or access: a systematic review. International Journal of Geriatric Psychiatry, 25(7), 756-763. doi:10.1002/gps.2429</w:t>
      </w:r>
    </w:p>
    <w:p w:rsidR="00550C6C" w:rsidRPr="00E159D1" w:rsidRDefault="00550C6C" w:rsidP="001D7DC7">
      <w:pPr>
        <w:spacing w:line="480" w:lineRule="auto"/>
        <w:ind w:left="709" w:hanging="709"/>
        <w:contextualSpacing/>
      </w:pPr>
      <w:r w:rsidRPr="00E159D1">
        <w:lastRenderedPageBreak/>
        <w:t>Lee, A. C. K., &amp; Maheswaran, R. (2011). The health benefits of urban green spaces: a review of the evidence. Journal of Public Health, 33(2), 212-222. doi:10.1093/pubmed/fdq068</w:t>
      </w:r>
    </w:p>
    <w:p w:rsidR="00550C6C" w:rsidRPr="00E159D1" w:rsidRDefault="00550C6C" w:rsidP="001D7DC7">
      <w:pPr>
        <w:spacing w:line="480" w:lineRule="auto"/>
        <w:ind w:left="709" w:hanging="709"/>
        <w:contextualSpacing/>
      </w:pPr>
      <w:r w:rsidRPr="00E159D1">
        <w:t xml:space="preserve">Mapes, N., Milton, S., Nicholls, V., Williamson, T. 2016. Is it Nice Outside? - Consulting people living with dementia and carers about engaging with the natural environment. Natural England Commissioned Reports, Number211. </w:t>
      </w:r>
    </w:p>
    <w:p w:rsidR="00550C6C" w:rsidRDefault="00550C6C" w:rsidP="00550C6C">
      <w:pPr>
        <w:spacing w:line="240" w:lineRule="auto"/>
        <w:ind w:left="709" w:hanging="709"/>
        <w:contextualSpacing/>
      </w:pPr>
    </w:p>
    <w:p w:rsidR="00A95080" w:rsidRDefault="00A95080" w:rsidP="00550C6C">
      <w:pPr>
        <w:spacing w:line="240" w:lineRule="auto"/>
        <w:ind w:left="709" w:hanging="709"/>
        <w:contextualSpacing/>
      </w:pPr>
    </w:p>
    <w:p w:rsidR="00A95080" w:rsidRDefault="00A95080">
      <w:pPr>
        <w:spacing w:after="0" w:line="240" w:lineRule="auto"/>
      </w:pPr>
      <w:r>
        <w:br w:type="page"/>
      </w:r>
    </w:p>
    <w:p w:rsidR="00A95080" w:rsidRPr="00F7696E" w:rsidRDefault="00A95080" w:rsidP="00A95080">
      <w:pPr>
        <w:spacing w:line="480" w:lineRule="auto"/>
        <w:contextualSpacing/>
        <w:rPr>
          <w:b/>
        </w:rPr>
      </w:pPr>
      <w:r>
        <w:rPr>
          <w:b/>
        </w:rPr>
        <w:lastRenderedPageBreak/>
        <w:t>Figure 1</w:t>
      </w:r>
    </w:p>
    <w:p w:rsidR="00A95080" w:rsidRDefault="00A95080" w:rsidP="00A95080">
      <w:pPr>
        <w:spacing w:line="480" w:lineRule="auto"/>
        <w:contextualSpacing/>
      </w:pPr>
      <w:r>
        <w:t xml:space="preserve"> (a)</w:t>
      </w:r>
    </w:p>
    <w:p w:rsidR="00A95080" w:rsidRDefault="00A95080" w:rsidP="00A95080">
      <w:pPr>
        <w:spacing w:line="480" w:lineRule="auto"/>
        <w:contextualSpacing/>
      </w:pPr>
      <w:r>
        <w:rPr>
          <w:rFonts w:ascii="Times New Roman" w:hAnsi="Times New Roman"/>
          <w:noProof/>
          <w:sz w:val="24"/>
          <w:szCs w:val="24"/>
          <w:lang w:eastAsia="en-GB"/>
        </w:rPr>
        <w:drawing>
          <wp:inline distT="0" distB="0" distL="0" distR="0" wp14:anchorId="1FC14E08" wp14:editId="55DB3B7B">
            <wp:extent cx="3629025" cy="26574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9025" cy="2657475"/>
                    </a:xfrm>
                    <a:prstGeom prst="rect">
                      <a:avLst/>
                    </a:prstGeom>
                    <a:noFill/>
                    <a:ln w="6350" cmpd="sng">
                      <a:solidFill>
                        <a:srgbClr val="000000"/>
                      </a:solidFill>
                      <a:miter lim="800000"/>
                      <a:headEnd/>
                      <a:tailEnd/>
                    </a:ln>
                    <a:effectLst/>
                  </pic:spPr>
                </pic:pic>
              </a:graphicData>
            </a:graphic>
          </wp:inline>
        </w:drawing>
      </w:r>
    </w:p>
    <w:p w:rsidR="00A95080" w:rsidRDefault="00A95080" w:rsidP="00A95080">
      <w:pPr>
        <w:spacing w:line="480" w:lineRule="auto"/>
        <w:contextualSpacing/>
      </w:pPr>
      <w:r>
        <w:t>(b)</w:t>
      </w:r>
    </w:p>
    <w:p w:rsidR="00A95080" w:rsidRDefault="00A95080" w:rsidP="00A95080">
      <w:pPr>
        <w:spacing w:before="120" w:line="480" w:lineRule="auto"/>
        <w:contextualSpacing/>
        <w:rPr>
          <w:rFonts w:ascii="Times New Roman" w:hAnsi="Times New Roman"/>
          <w:noProof/>
          <w:sz w:val="24"/>
          <w:szCs w:val="24"/>
          <w:lang w:eastAsia="en-GB"/>
        </w:rPr>
      </w:pPr>
      <w:r>
        <w:rPr>
          <w:rFonts w:ascii="Times New Roman" w:hAnsi="Times New Roman"/>
          <w:noProof/>
          <w:sz w:val="24"/>
          <w:szCs w:val="24"/>
          <w:lang w:eastAsia="en-GB"/>
        </w:rPr>
        <w:drawing>
          <wp:inline distT="0" distB="0" distL="0" distR="0" wp14:anchorId="5685CED3" wp14:editId="665C5921">
            <wp:extent cx="3667125" cy="26765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7125" cy="2676525"/>
                    </a:xfrm>
                    <a:prstGeom prst="rect">
                      <a:avLst/>
                    </a:prstGeom>
                    <a:noFill/>
                    <a:ln w="6350" cmpd="sng">
                      <a:solidFill>
                        <a:srgbClr val="000000"/>
                      </a:solidFill>
                      <a:miter lim="800000"/>
                      <a:headEnd/>
                      <a:tailEnd/>
                    </a:ln>
                    <a:effectLst/>
                  </pic:spPr>
                </pic:pic>
              </a:graphicData>
            </a:graphic>
          </wp:inline>
        </w:drawing>
      </w:r>
    </w:p>
    <w:p w:rsidR="00A95080" w:rsidRDefault="00A95080" w:rsidP="00A95080">
      <w:r w:rsidRPr="005B7A18">
        <w:rPr>
          <w:b/>
        </w:rPr>
        <w:t>Figure</w:t>
      </w:r>
      <w:r>
        <w:rPr>
          <w:b/>
        </w:rPr>
        <w:t>s</w:t>
      </w:r>
      <w:r w:rsidRPr="005B7A18">
        <w:rPr>
          <w:b/>
        </w:rPr>
        <w:t xml:space="preserve"> 1</w:t>
      </w:r>
      <w:r>
        <w:rPr>
          <w:b/>
        </w:rPr>
        <w:t>(a) and (b)</w:t>
      </w:r>
      <w:r w:rsidRPr="005B7A18">
        <w:rPr>
          <w:b/>
        </w:rPr>
        <w:t>.</w:t>
      </w:r>
      <w:r w:rsidRPr="005B7A18">
        <w:t xml:space="preserve"> Pattern of association between change in mood score and time spent outside for (a) statistically modelled curve and (b) actual data. The skewed nature of the data means that the shape of the modelled curve beyond the peak has a high degree of uncertainty. Actual data are shown on a logarithmic scale, with the size of the symbol proportional to the number of episodes for that recorded time.</w:t>
      </w:r>
    </w:p>
    <w:p w:rsidR="00A95080" w:rsidRDefault="00A95080">
      <w:pPr>
        <w:spacing w:after="0" w:line="240" w:lineRule="auto"/>
      </w:pPr>
      <w:r>
        <w:br w:type="page"/>
      </w:r>
    </w:p>
    <w:p w:rsidR="00A95080" w:rsidRPr="00A95080" w:rsidRDefault="00A95080" w:rsidP="00A95080">
      <w:pPr>
        <w:spacing w:line="480" w:lineRule="auto"/>
        <w:contextualSpacing/>
        <w:rPr>
          <w:b/>
        </w:rPr>
      </w:pPr>
      <w:r w:rsidRPr="00A95080">
        <w:rPr>
          <w:b/>
        </w:rPr>
        <w:lastRenderedPageBreak/>
        <w:t xml:space="preserve">Table 1. </w:t>
      </w:r>
      <w:r w:rsidRPr="00A95080">
        <w:t>Frequency table of observations showing mood scores before and after going outside.</w:t>
      </w:r>
    </w:p>
    <w:tbl>
      <w:tblPr>
        <w:tblW w:w="0" w:type="auto"/>
        <w:tblLook w:val="04A0" w:firstRow="1" w:lastRow="0" w:firstColumn="1" w:lastColumn="0" w:noHBand="0" w:noVBand="1"/>
      </w:tblPr>
      <w:tblGrid>
        <w:gridCol w:w="2322"/>
        <w:gridCol w:w="1292"/>
        <w:gridCol w:w="1802"/>
        <w:gridCol w:w="1803"/>
        <w:gridCol w:w="1807"/>
      </w:tblGrid>
      <w:tr w:rsidR="00A95080" w:rsidRPr="00A95080" w:rsidTr="00F82FCB">
        <w:tc>
          <w:tcPr>
            <w:tcW w:w="2376" w:type="dxa"/>
            <w:tcBorders>
              <w:top w:val="single" w:sz="4" w:space="0" w:color="auto"/>
            </w:tcBorders>
            <w:shd w:val="clear" w:color="auto" w:fill="auto"/>
          </w:tcPr>
          <w:p w:rsidR="00A95080" w:rsidRPr="00A95080" w:rsidRDefault="00A95080" w:rsidP="00A95080">
            <w:pPr>
              <w:spacing w:after="0" w:line="480" w:lineRule="auto"/>
              <w:contextualSpacing/>
            </w:pPr>
            <w:r w:rsidRPr="00A95080">
              <w:t>Mood score before going outside</w:t>
            </w:r>
          </w:p>
        </w:tc>
        <w:tc>
          <w:tcPr>
            <w:tcW w:w="5017" w:type="dxa"/>
            <w:gridSpan w:val="3"/>
            <w:tcBorders>
              <w:top w:val="single" w:sz="4" w:space="0" w:color="auto"/>
            </w:tcBorders>
            <w:shd w:val="clear" w:color="auto" w:fill="auto"/>
          </w:tcPr>
          <w:p w:rsidR="00A95080" w:rsidRPr="00A95080" w:rsidRDefault="00A95080" w:rsidP="00A95080">
            <w:pPr>
              <w:spacing w:after="0" w:line="480" w:lineRule="auto"/>
              <w:contextualSpacing/>
            </w:pPr>
            <w:r w:rsidRPr="00A95080">
              <w:t>Mood score after going outside</w:t>
            </w:r>
          </w:p>
        </w:tc>
        <w:tc>
          <w:tcPr>
            <w:tcW w:w="1849" w:type="dxa"/>
            <w:tcBorders>
              <w:top w:val="single" w:sz="4" w:space="0" w:color="auto"/>
            </w:tcBorders>
            <w:shd w:val="clear" w:color="auto" w:fill="auto"/>
          </w:tcPr>
          <w:p w:rsidR="00A95080" w:rsidRPr="00A95080" w:rsidRDefault="00A95080" w:rsidP="00A95080">
            <w:pPr>
              <w:spacing w:after="0" w:line="480" w:lineRule="auto"/>
              <w:contextualSpacing/>
            </w:pPr>
            <w:r w:rsidRPr="00A95080">
              <w:t>Total</w:t>
            </w:r>
          </w:p>
        </w:tc>
      </w:tr>
      <w:tr w:rsidR="00A95080" w:rsidRPr="00A95080" w:rsidTr="00F82FCB">
        <w:tc>
          <w:tcPr>
            <w:tcW w:w="2376" w:type="dxa"/>
            <w:tcBorders>
              <w:bottom w:val="dashed" w:sz="4" w:space="0" w:color="auto"/>
            </w:tcBorders>
            <w:shd w:val="clear" w:color="auto" w:fill="auto"/>
          </w:tcPr>
          <w:p w:rsidR="00A95080" w:rsidRPr="00A95080" w:rsidRDefault="00A95080" w:rsidP="00A95080">
            <w:pPr>
              <w:spacing w:after="0" w:line="480" w:lineRule="auto"/>
              <w:contextualSpacing/>
            </w:pPr>
          </w:p>
        </w:tc>
        <w:tc>
          <w:tcPr>
            <w:tcW w:w="1320"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1</w:t>
            </w:r>
          </w:p>
        </w:tc>
        <w:tc>
          <w:tcPr>
            <w:tcW w:w="1848"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2</w:t>
            </w:r>
          </w:p>
        </w:tc>
        <w:tc>
          <w:tcPr>
            <w:tcW w:w="1849"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3</w:t>
            </w:r>
          </w:p>
        </w:tc>
        <w:tc>
          <w:tcPr>
            <w:tcW w:w="1849" w:type="dxa"/>
            <w:tcBorders>
              <w:bottom w:val="dashed" w:sz="4" w:space="0" w:color="auto"/>
            </w:tcBorders>
            <w:shd w:val="clear" w:color="auto" w:fill="auto"/>
          </w:tcPr>
          <w:p w:rsidR="00A95080" w:rsidRPr="00A95080" w:rsidRDefault="00A95080" w:rsidP="00A95080">
            <w:pPr>
              <w:spacing w:after="0" w:line="480" w:lineRule="auto"/>
              <w:contextualSpacing/>
            </w:pPr>
          </w:p>
        </w:tc>
      </w:tr>
      <w:tr w:rsidR="00A95080" w:rsidRPr="00A95080" w:rsidTr="00F82FCB">
        <w:tc>
          <w:tcPr>
            <w:tcW w:w="2376" w:type="dxa"/>
            <w:tcBorders>
              <w:top w:val="dashed" w:sz="4" w:space="0" w:color="auto"/>
            </w:tcBorders>
            <w:shd w:val="clear" w:color="auto" w:fill="auto"/>
          </w:tcPr>
          <w:p w:rsidR="00A95080" w:rsidRPr="00A95080" w:rsidRDefault="00A95080" w:rsidP="00A95080">
            <w:pPr>
              <w:spacing w:after="0" w:line="480" w:lineRule="auto"/>
              <w:contextualSpacing/>
            </w:pPr>
            <w:r w:rsidRPr="00A95080">
              <w:t>1</w:t>
            </w:r>
          </w:p>
        </w:tc>
        <w:tc>
          <w:tcPr>
            <w:tcW w:w="1320" w:type="dxa"/>
            <w:tcBorders>
              <w:top w:val="dashed" w:sz="4" w:space="0" w:color="auto"/>
            </w:tcBorders>
            <w:shd w:val="clear" w:color="auto" w:fill="auto"/>
          </w:tcPr>
          <w:p w:rsidR="00A95080" w:rsidRPr="00A95080" w:rsidRDefault="00A95080" w:rsidP="00A95080">
            <w:pPr>
              <w:spacing w:after="0" w:line="480" w:lineRule="auto"/>
              <w:contextualSpacing/>
            </w:pPr>
            <w:r w:rsidRPr="00A95080">
              <w:t>75</w:t>
            </w:r>
          </w:p>
        </w:tc>
        <w:tc>
          <w:tcPr>
            <w:tcW w:w="1848" w:type="dxa"/>
            <w:tcBorders>
              <w:top w:val="dashed" w:sz="4" w:space="0" w:color="auto"/>
            </w:tcBorders>
            <w:shd w:val="clear" w:color="auto" w:fill="auto"/>
          </w:tcPr>
          <w:p w:rsidR="00A95080" w:rsidRPr="00A95080" w:rsidRDefault="00A95080" w:rsidP="00A95080">
            <w:pPr>
              <w:spacing w:after="0" w:line="480" w:lineRule="auto"/>
              <w:contextualSpacing/>
            </w:pPr>
            <w:r w:rsidRPr="00A95080">
              <w:t>121</w:t>
            </w:r>
          </w:p>
        </w:tc>
        <w:tc>
          <w:tcPr>
            <w:tcW w:w="1849" w:type="dxa"/>
            <w:tcBorders>
              <w:top w:val="dashed" w:sz="4" w:space="0" w:color="auto"/>
            </w:tcBorders>
            <w:shd w:val="clear" w:color="auto" w:fill="auto"/>
          </w:tcPr>
          <w:p w:rsidR="00A95080" w:rsidRPr="00A95080" w:rsidRDefault="00A95080" w:rsidP="00A95080">
            <w:pPr>
              <w:spacing w:after="0" w:line="480" w:lineRule="auto"/>
              <w:contextualSpacing/>
            </w:pPr>
            <w:r w:rsidRPr="00A95080">
              <w:t>105</w:t>
            </w:r>
          </w:p>
        </w:tc>
        <w:tc>
          <w:tcPr>
            <w:tcW w:w="1849" w:type="dxa"/>
            <w:tcBorders>
              <w:top w:val="dashed" w:sz="4" w:space="0" w:color="auto"/>
            </w:tcBorders>
            <w:shd w:val="clear" w:color="auto" w:fill="auto"/>
          </w:tcPr>
          <w:p w:rsidR="00A95080" w:rsidRPr="00A95080" w:rsidRDefault="00A95080" w:rsidP="00A95080">
            <w:pPr>
              <w:spacing w:after="0" w:line="480" w:lineRule="auto"/>
              <w:contextualSpacing/>
            </w:pPr>
            <w:r w:rsidRPr="00A95080">
              <w:t>301</w:t>
            </w:r>
          </w:p>
        </w:tc>
      </w:tr>
      <w:tr w:rsidR="00A95080" w:rsidRPr="00A95080" w:rsidTr="00F82FCB">
        <w:tc>
          <w:tcPr>
            <w:tcW w:w="2376" w:type="dxa"/>
            <w:shd w:val="clear" w:color="auto" w:fill="auto"/>
          </w:tcPr>
          <w:p w:rsidR="00A95080" w:rsidRPr="00A95080" w:rsidRDefault="00A95080" w:rsidP="00A95080">
            <w:pPr>
              <w:spacing w:after="0" w:line="480" w:lineRule="auto"/>
              <w:contextualSpacing/>
            </w:pPr>
            <w:r w:rsidRPr="00A95080">
              <w:t>2</w:t>
            </w:r>
          </w:p>
        </w:tc>
        <w:tc>
          <w:tcPr>
            <w:tcW w:w="1320" w:type="dxa"/>
            <w:shd w:val="clear" w:color="auto" w:fill="auto"/>
          </w:tcPr>
          <w:p w:rsidR="00A95080" w:rsidRPr="00A95080" w:rsidRDefault="00A95080" w:rsidP="00A95080">
            <w:pPr>
              <w:spacing w:after="0" w:line="480" w:lineRule="auto"/>
              <w:contextualSpacing/>
            </w:pPr>
            <w:r w:rsidRPr="00A95080">
              <w:t>34</w:t>
            </w:r>
          </w:p>
        </w:tc>
        <w:tc>
          <w:tcPr>
            <w:tcW w:w="1848" w:type="dxa"/>
            <w:shd w:val="clear" w:color="auto" w:fill="auto"/>
          </w:tcPr>
          <w:p w:rsidR="00A95080" w:rsidRPr="00A95080" w:rsidRDefault="00A95080" w:rsidP="00A95080">
            <w:pPr>
              <w:spacing w:after="0" w:line="480" w:lineRule="auto"/>
              <w:contextualSpacing/>
            </w:pPr>
            <w:r w:rsidRPr="00A95080">
              <w:t>303</w:t>
            </w:r>
          </w:p>
        </w:tc>
        <w:tc>
          <w:tcPr>
            <w:tcW w:w="1849" w:type="dxa"/>
            <w:shd w:val="clear" w:color="auto" w:fill="auto"/>
          </w:tcPr>
          <w:p w:rsidR="00A95080" w:rsidRPr="00A95080" w:rsidRDefault="00A95080" w:rsidP="00A95080">
            <w:pPr>
              <w:spacing w:after="0" w:line="480" w:lineRule="auto"/>
              <w:contextualSpacing/>
            </w:pPr>
            <w:r w:rsidRPr="00A95080">
              <w:t>190</w:t>
            </w:r>
          </w:p>
        </w:tc>
        <w:tc>
          <w:tcPr>
            <w:tcW w:w="1849" w:type="dxa"/>
            <w:shd w:val="clear" w:color="auto" w:fill="auto"/>
          </w:tcPr>
          <w:p w:rsidR="00A95080" w:rsidRPr="00A95080" w:rsidRDefault="00A95080" w:rsidP="00A95080">
            <w:pPr>
              <w:spacing w:after="0" w:line="480" w:lineRule="auto"/>
              <w:contextualSpacing/>
            </w:pPr>
            <w:r w:rsidRPr="00A95080">
              <w:t>527</w:t>
            </w:r>
          </w:p>
        </w:tc>
      </w:tr>
      <w:tr w:rsidR="00A95080" w:rsidRPr="00A95080" w:rsidTr="00F82FCB">
        <w:tc>
          <w:tcPr>
            <w:tcW w:w="2376"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3</w:t>
            </w:r>
          </w:p>
        </w:tc>
        <w:tc>
          <w:tcPr>
            <w:tcW w:w="1320"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4</w:t>
            </w:r>
          </w:p>
        </w:tc>
        <w:tc>
          <w:tcPr>
            <w:tcW w:w="1848"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1</w:t>
            </w:r>
          </w:p>
        </w:tc>
        <w:tc>
          <w:tcPr>
            <w:tcW w:w="1849"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20</w:t>
            </w:r>
          </w:p>
        </w:tc>
        <w:tc>
          <w:tcPr>
            <w:tcW w:w="1849"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25</w:t>
            </w:r>
          </w:p>
        </w:tc>
      </w:tr>
      <w:tr w:rsidR="00A95080" w:rsidRPr="00A95080" w:rsidTr="00F82FCB">
        <w:tc>
          <w:tcPr>
            <w:tcW w:w="2376"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Total</w:t>
            </w:r>
          </w:p>
        </w:tc>
        <w:tc>
          <w:tcPr>
            <w:tcW w:w="1320"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113</w:t>
            </w:r>
          </w:p>
        </w:tc>
        <w:tc>
          <w:tcPr>
            <w:tcW w:w="1848"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425</w:t>
            </w:r>
          </w:p>
        </w:tc>
        <w:tc>
          <w:tcPr>
            <w:tcW w:w="1849"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315</w:t>
            </w:r>
          </w:p>
        </w:tc>
        <w:tc>
          <w:tcPr>
            <w:tcW w:w="1849"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853</w:t>
            </w:r>
          </w:p>
        </w:tc>
      </w:tr>
    </w:tbl>
    <w:p w:rsidR="00A95080" w:rsidRPr="00A95080" w:rsidRDefault="00A95080" w:rsidP="00A95080">
      <w:pPr>
        <w:spacing w:line="480" w:lineRule="auto"/>
        <w:contextualSpacing/>
      </w:pPr>
    </w:p>
    <w:p w:rsidR="00A95080" w:rsidRDefault="00A95080">
      <w:pPr>
        <w:spacing w:after="0" w:line="240" w:lineRule="auto"/>
      </w:pPr>
      <w:r>
        <w:br w:type="page"/>
      </w:r>
    </w:p>
    <w:p w:rsidR="00A95080" w:rsidRPr="00A95080" w:rsidRDefault="00A95080" w:rsidP="00A95080">
      <w:pPr>
        <w:spacing w:line="480" w:lineRule="auto"/>
        <w:contextualSpacing/>
        <w:rPr>
          <w:b/>
        </w:rPr>
      </w:pPr>
      <w:r w:rsidRPr="00A95080">
        <w:rPr>
          <w:b/>
        </w:rPr>
        <w:lastRenderedPageBreak/>
        <w:t xml:space="preserve">Table 2. </w:t>
      </w:r>
      <w:r w:rsidRPr="00A95080">
        <w:t>Frequency distribution of time spent outside during each observation.</w:t>
      </w:r>
    </w:p>
    <w:tbl>
      <w:tblPr>
        <w:tblW w:w="0" w:type="auto"/>
        <w:tblLook w:val="04A0" w:firstRow="1" w:lastRow="0" w:firstColumn="1" w:lastColumn="0" w:noHBand="0" w:noVBand="1"/>
      </w:tblPr>
      <w:tblGrid>
        <w:gridCol w:w="3000"/>
        <w:gridCol w:w="3013"/>
        <w:gridCol w:w="3013"/>
      </w:tblGrid>
      <w:tr w:rsidR="00A95080" w:rsidRPr="00A95080" w:rsidTr="00F82FCB">
        <w:tc>
          <w:tcPr>
            <w:tcW w:w="3080" w:type="dxa"/>
            <w:tcBorders>
              <w:top w:val="single" w:sz="4" w:space="0" w:color="auto"/>
              <w:bottom w:val="dashed" w:sz="4" w:space="0" w:color="auto"/>
            </w:tcBorders>
            <w:shd w:val="clear" w:color="auto" w:fill="auto"/>
          </w:tcPr>
          <w:p w:rsidR="00A95080" w:rsidRPr="00A95080" w:rsidRDefault="00A95080" w:rsidP="00A95080">
            <w:pPr>
              <w:spacing w:after="0" w:line="480" w:lineRule="auto"/>
              <w:contextualSpacing/>
            </w:pPr>
            <w:r w:rsidRPr="00A95080">
              <w:t>Time (minutes)</w:t>
            </w:r>
          </w:p>
        </w:tc>
        <w:tc>
          <w:tcPr>
            <w:tcW w:w="3081" w:type="dxa"/>
            <w:tcBorders>
              <w:top w:val="single" w:sz="4" w:space="0" w:color="auto"/>
              <w:bottom w:val="dashed" w:sz="4" w:space="0" w:color="auto"/>
            </w:tcBorders>
            <w:shd w:val="clear" w:color="auto" w:fill="auto"/>
          </w:tcPr>
          <w:p w:rsidR="00A95080" w:rsidRPr="00A95080" w:rsidRDefault="00A95080" w:rsidP="00A95080">
            <w:pPr>
              <w:spacing w:after="0" w:line="480" w:lineRule="auto"/>
              <w:contextualSpacing/>
            </w:pPr>
            <w:r w:rsidRPr="00A95080">
              <w:t>Frequency of observations</w:t>
            </w:r>
          </w:p>
        </w:tc>
        <w:tc>
          <w:tcPr>
            <w:tcW w:w="3081" w:type="dxa"/>
            <w:tcBorders>
              <w:top w:val="single" w:sz="4" w:space="0" w:color="auto"/>
              <w:bottom w:val="dashed" w:sz="4" w:space="0" w:color="auto"/>
            </w:tcBorders>
            <w:shd w:val="clear" w:color="auto" w:fill="auto"/>
          </w:tcPr>
          <w:p w:rsidR="00A95080" w:rsidRPr="00A95080" w:rsidRDefault="00A95080" w:rsidP="00A95080">
            <w:pPr>
              <w:spacing w:after="0" w:line="480" w:lineRule="auto"/>
              <w:contextualSpacing/>
            </w:pPr>
            <w:r w:rsidRPr="00A95080">
              <w:t>Percentage of observations</w:t>
            </w:r>
          </w:p>
        </w:tc>
      </w:tr>
      <w:tr w:rsidR="00A95080" w:rsidRPr="00A95080" w:rsidTr="00F82FCB">
        <w:tc>
          <w:tcPr>
            <w:tcW w:w="3080" w:type="dxa"/>
            <w:tcBorders>
              <w:top w:val="dashed" w:sz="4" w:space="0" w:color="auto"/>
            </w:tcBorders>
            <w:shd w:val="clear" w:color="auto" w:fill="auto"/>
          </w:tcPr>
          <w:p w:rsidR="00A95080" w:rsidRPr="00A95080" w:rsidRDefault="00A95080" w:rsidP="00A95080">
            <w:pPr>
              <w:spacing w:after="0" w:line="480" w:lineRule="auto"/>
              <w:contextualSpacing/>
            </w:pPr>
            <w:r w:rsidRPr="00A95080">
              <w:t>10</w:t>
            </w:r>
          </w:p>
        </w:tc>
        <w:tc>
          <w:tcPr>
            <w:tcW w:w="3081" w:type="dxa"/>
            <w:tcBorders>
              <w:top w:val="dashed" w:sz="4" w:space="0" w:color="auto"/>
            </w:tcBorders>
            <w:shd w:val="clear" w:color="auto" w:fill="auto"/>
          </w:tcPr>
          <w:p w:rsidR="00A95080" w:rsidRPr="00A95080" w:rsidRDefault="00A95080" w:rsidP="00A95080">
            <w:pPr>
              <w:spacing w:after="0" w:line="480" w:lineRule="auto"/>
              <w:contextualSpacing/>
            </w:pPr>
            <w:r w:rsidRPr="00A95080">
              <w:t>11</w:t>
            </w:r>
          </w:p>
        </w:tc>
        <w:tc>
          <w:tcPr>
            <w:tcW w:w="3081" w:type="dxa"/>
            <w:tcBorders>
              <w:top w:val="dashed" w:sz="4" w:space="0" w:color="auto"/>
            </w:tcBorders>
            <w:shd w:val="clear" w:color="auto" w:fill="auto"/>
          </w:tcPr>
          <w:p w:rsidR="00A95080" w:rsidRPr="00A95080" w:rsidRDefault="00A95080" w:rsidP="00A95080">
            <w:pPr>
              <w:spacing w:after="0" w:line="480" w:lineRule="auto"/>
              <w:contextualSpacing/>
            </w:pPr>
            <w:r w:rsidRPr="00A95080">
              <w:t>1.82</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15</w:t>
            </w:r>
          </w:p>
        </w:tc>
        <w:tc>
          <w:tcPr>
            <w:tcW w:w="3081" w:type="dxa"/>
            <w:shd w:val="clear" w:color="auto" w:fill="auto"/>
          </w:tcPr>
          <w:p w:rsidR="00A95080" w:rsidRPr="00A95080" w:rsidRDefault="00A95080" w:rsidP="00A95080">
            <w:pPr>
              <w:spacing w:after="0" w:line="480" w:lineRule="auto"/>
              <w:contextualSpacing/>
            </w:pPr>
            <w:r w:rsidRPr="00A95080">
              <w:t>44</w:t>
            </w:r>
          </w:p>
        </w:tc>
        <w:tc>
          <w:tcPr>
            <w:tcW w:w="3081" w:type="dxa"/>
            <w:shd w:val="clear" w:color="auto" w:fill="auto"/>
          </w:tcPr>
          <w:p w:rsidR="00A95080" w:rsidRPr="00A95080" w:rsidRDefault="00A95080" w:rsidP="00A95080">
            <w:pPr>
              <w:spacing w:after="0" w:line="480" w:lineRule="auto"/>
              <w:contextualSpacing/>
            </w:pPr>
            <w:r w:rsidRPr="00A95080">
              <w:t>7.27</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25</w:t>
            </w:r>
          </w:p>
        </w:tc>
        <w:tc>
          <w:tcPr>
            <w:tcW w:w="3081" w:type="dxa"/>
            <w:shd w:val="clear" w:color="auto" w:fill="auto"/>
          </w:tcPr>
          <w:p w:rsidR="00A95080" w:rsidRPr="00A95080" w:rsidRDefault="00A95080" w:rsidP="00A95080">
            <w:pPr>
              <w:spacing w:after="0" w:line="480" w:lineRule="auto"/>
              <w:contextualSpacing/>
            </w:pPr>
            <w:r w:rsidRPr="00A95080">
              <w:t>12</w:t>
            </w:r>
          </w:p>
        </w:tc>
        <w:tc>
          <w:tcPr>
            <w:tcW w:w="3081" w:type="dxa"/>
            <w:shd w:val="clear" w:color="auto" w:fill="auto"/>
          </w:tcPr>
          <w:p w:rsidR="00A95080" w:rsidRPr="00A95080" w:rsidRDefault="00A95080" w:rsidP="00A95080">
            <w:pPr>
              <w:spacing w:after="0" w:line="480" w:lineRule="auto"/>
              <w:contextualSpacing/>
            </w:pPr>
            <w:r w:rsidRPr="00A95080">
              <w:t>1.98</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30</w:t>
            </w:r>
          </w:p>
        </w:tc>
        <w:tc>
          <w:tcPr>
            <w:tcW w:w="3081" w:type="dxa"/>
            <w:shd w:val="clear" w:color="auto" w:fill="auto"/>
          </w:tcPr>
          <w:p w:rsidR="00A95080" w:rsidRPr="00A95080" w:rsidRDefault="00A95080" w:rsidP="00A95080">
            <w:pPr>
              <w:spacing w:after="0" w:line="480" w:lineRule="auto"/>
              <w:contextualSpacing/>
            </w:pPr>
            <w:r w:rsidRPr="00A95080">
              <w:t>200</w:t>
            </w:r>
          </w:p>
        </w:tc>
        <w:tc>
          <w:tcPr>
            <w:tcW w:w="3081" w:type="dxa"/>
            <w:shd w:val="clear" w:color="auto" w:fill="auto"/>
          </w:tcPr>
          <w:p w:rsidR="00A95080" w:rsidRPr="00A95080" w:rsidRDefault="00A95080" w:rsidP="00A95080">
            <w:pPr>
              <w:spacing w:after="0" w:line="480" w:lineRule="auto"/>
              <w:contextualSpacing/>
            </w:pPr>
            <w:r w:rsidRPr="00A95080">
              <w:t>33.06</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35</w:t>
            </w:r>
          </w:p>
        </w:tc>
        <w:tc>
          <w:tcPr>
            <w:tcW w:w="3081" w:type="dxa"/>
            <w:shd w:val="clear" w:color="auto" w:fill="auto"/>
          </w:tcPr>
          <w:p w:rsidR="00A95080" w:rsidRPr="00A95080" w:rsidRDefault="00A95080" w:rsidP="00A95080">
            <w:pPr>
              <w:spacing w:after="0" w:line="480" w:lineRule="auto"/>
              <w:contextualSpacing/>
            </w:pPr>
            <w:r w:rsidRPr="00A95080">
              <w:t>1</w:t>
            </w:r>
          </w:p>
        </w:tc>
        <w:tc>
          <w:tcPr>
            <w:tcW w:w="3081" w:type="dxa"/>
            <w:shd w:val="clear" w:color="auto" w:fill="auto"/>
          </w:tcPr>
          <w:p w:rsidR="00A95080" w:rsidRPr="00A95080" w:rsidRDefault="00A95080" w:rsidP="00A95080">
            <w:pPr>
              <w:spacing w:after="0" w:line="480" w:lineRule="auto"/>
              <w:contextualSpacing/>
            </w:pPr>
            <w:r w:rsidRPr="00A95080">
              <w:t>0.17</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40</w:t>
            </w:r>
          </w:p>
        </w:tc>
        <w:tc>
          <w:tcPr>
            <w:tcW w:w="3081" w:type="dxa"/>
            <w:shd w:val="clear" w:color="auto" w:fill="auto"/>
          </w:tcPr>
          <w:p w:rsidR="00A95080" w:rsidRPr="00A95080" w:rsidRDefault="00A95080" w:rsidP="00A95080">
            <w:pPr>
              <w:spacing w:after="0" w:line="480" w:lineRule="auto"/>
              <w:contextualSpacing/>
            </w:pPr>
            <w:r w:rsidRPr="00A95080">
              <w:t>11</w:t>
            </w:r>
          </w:p>
        </w:tc>
        <w:tc>
          <w:tcPr>
            <w:tcW w:w="3081" w:type="dxa"/>
            <w:shd w:val="clear" w:color="auto" w:fill="auto"/>
          </w:tcPr>
          <w:p w:rsidR="00A95080" w:rsidRPr="00A95080" w:rsidRDefault="00A95080" w:rsidP="00A95080">
            <w:pPr>
              <w:spacing w:after="0" w:line="480" w:lineRule="auto"/>
              <w:contextualSpacing/>
            </w:pPr>
            <w:r w:rsidRPr="00A95080">
              <w:t>1.82</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45</w:t>
            </w:r>
          </w:p>
        </w:tc>
        <w:tc>
          <w:tcPr>
            <w:tcW w:w="3081" w:type="dxa"/>
            <w:shd w:val="clear" w:color="auto" w:fill="auto"/>
          </w:tcPr>
          <w:p w:rsidR="00A95080" w:rsidRPr="00A95080" w:rsidRDefault="00A95080" w:rsidP="00A95080">
            <w:pPr>
              <w:spacing w:after="0" w:line="480" w:lineRule="auto"/>
              <w:contextualSpacing/>
            </w:pPr>
            <w:r w:rsidRPr="00A95080">
              <w:t>18</w:t>
            </w:r>
          </w:p>
        </w:tc>
        <w:tc>
          <w:tcPr>
            <w:tcW w:w="3081" w:type="dxa"/>
            <w:shd w:val="clear" w:color="auto" w:fill="auto"/>
          </w:tcPr>
          <w:p w:rsidR="00A95080" w:rsidRPr="00A95080" w:rsidRDefault="00A95080" w:rsidP="00A95080">
            <w:pPr>
              <w:spacing w:after="0" w:line="480" w:lineRule="auto"/>
              <w:contextualSpacing/>
            </w:pPr>
            <w:r w:rsidRPr="00A95080">
              <w:t>2.98</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60</w:t>
            </w:r>
          </w:p>
        </w:tc>
        <w:tc>
          <w:tcPr>
            <w:tcW w:w="3081" w:type="dxa"/>
            <w:shd w:val="clear" w:color="auto" w:fill="auto"/>
          </w:tcPr>
          <w:p w:rsidR="00A95080" w:rsidRPr="00A95080" w:rsidRDefault="00A95080" w:rsidP="00A95080">
            <w:pPr>
              <w:spacing w:after="0" w:line="480" w:lineRule="auto"/>
              <w:contextualSpacing/>
            </w:pPr>
            <w:r w:rsidRPr="00A95080">
              <w:t>79</w:t>
            </w:r>
          </w:p>
        </w:tc>
        <w:tc>
          <w:tcPr>
            <w:tcW w:w="3081" w:type="dxa"/>
            <w:shd w:val="clear" w:color="auto" w:fill="auto"/>
          </w:tcPr>
          <w:p w:rsidR="00A95080" w:rsidRPr="00A95080" w:rsidRDefault="00A95080" w:rsidP="00A95080">
            <w:pPr>
              <w:spacing w:after="0" w:line="480" w:lineRule="auto"/>
              <w:contextualSpacing/>
            </w:pPr>
            <w:r w:rsidRPr="00A95080">
              <w:t>13.06</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90</w:t>
            </w:r>
          </w:p>
        </w:tc>
        <w:tc>
          <w:tcPr>
            <w:tcW w:w="3081" w:type="dxa"/>
            <w:shd w:val="clear" w:color="auto" w:fill="auto"/>
          </w:tcPr>
          <w:p w:rsidR="00A95080" w:rsidRPr="00A95080" w:rsidRDefault="00A95080" w:rsidP="00A95080">
            <w:pPr>
              <w:spacing w:after="0" w:line="480" w:lineRule="auto"/>
              <w:contextualSpacing/>
            </w:pPr>
            <w:r w:rsidRPr="00A95080">
              <w:t>17</w:t>
            </w:r>
          </w:p>
        </w:tc>
        <w:tc>
          <w:tcPr>
            <w:tcW w:w="3081" w:type="dxa"/>
            <w:shd w:val="clear" w:color="auto" w:fill="auto"/>
          </w:tcPr>
          <w:p w:rsidR="00A95080" w:rsidRPr="00A95080" w:rsidRDefault="00A95080" w:rsidP="00A95080">
            <w:pPr>
              <w:spacing w:after="0" w:line="480" w:lineRule="auto"/>
              <w:contextualSpacing/>
            </w:pPr>
            <w:r w:rsidRPr="00A95080">
              <w:t>2.81</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120</w:t>
            </w:r>
          </w:p>
        </w:tc>
        <w:tc>
          <w:tcPr>
            <w:tcW w:w="3081" w:type="dxa"/>
            <w:shd w:val="clear" w:color="auto" w:fill="auto"/>
          </w:tcPr>
          <w:p w:rsidR="00A95080" w:rsidRPr="00A95080" w:rsidRDefault="00A95080" w:rsidP="00A95080">
            <w:pPr>
              <w:spacing w:after="0" w:line="480" w:lineRule="auto"/>
              <w:contextualSpacing/>
            </w:pPr>
            <w:r w:rsidRPr="00A95080">
              <w:t>41</w:t>
            </w:r>
          </w:p>
        </w:tc>
        <w:tc>
          <w:tcPr>
            <w:tcW w:w="3081" w:type="dxa"/>
            <w:shd w:val="clear" w:color="auto" w:fill="auto"/>
          </w:tcPr>
          <w:p w:rsidR="00A95080" w:rsidRPr="00A95080" w:rsidRDefault="00A95080" w:rsidP="00A95080">
            <w:pPr>
              <w:spacing w:after="0" w:line="480" w:lineRule="auto"/>
              <w:contextualSpacing/>
            </w:pPr>
            <w:r w:rsidRPr="00A95080">
              <w:t>6.78</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150</w:t>
            </w:r>
          </w:p>
        </w:tc>
        <w:tc>
          <w:tcPr>
            <w:tcW w:w="3081" w:type="dxa"/>
            <w:shd w:val="clear" w:color="auto" w:fill="auto"/>
          </w:tcPr>
          <w:p w:rsidR="00A95080" w:rsidRPr="00A95080" w:rsidRDefault="00A95080" w:rsidP="00A95080">
            <w:pPr>
              <w:spacing w:after="0" w:line="480" w:lineRule="auto"/>
              <w:contextualSpacing/>
            </w:pPr>
            <w:r w:rsidRPr="00A95080">
              <w:t>4</w:t>
            </w:r>
          </w:p>
        </w:tc>
        <w:tc>
          <w:tcPr>
            <w:tcW w:w="3081" w:type="dxa"/>
            <w:shd w:val="clear" w:color="auto" w:fill="auto"/>
          </w:tcPr>
          <w:p w:rsidR="00A95080" w:rsidRPr="00A95080" w:rsidRDefault="00A95080" w:rsidP="00A95080">
            <w:pPr>
              <w:spacing w:after="0" w:line="480" w:lineRule="auto"/>
              <w:contextualSpacing/>
            </w:pPr>
            <w:r w:rsidRPr="00A95080">
              <w:t>0.66</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240</w:t>
            </w:r>
          </w:p>
        </w:tc>
        <w:tc>
          <w:tcPr>
            <w:tcW w:w="3081" w:type="dxa"/>
            <w:shd w:val="clear" w:color="auto" w:fill="auto"/>
          </w:tcPr>
          <w:p w:rsidR="00A95080" w:rsidRPr="00A95080" w:rsidRDefault="00A95080" w:rsidP="00A95080">
            <w:pPr>
              <w:spacing w:after="0" w:line="480" w:lineRule="auto"/>
              <w:contextualSpacing/>
            </w:pPr>
            <w:r w:rsidRPr="00A95080">
              <w:t>1</w:t>
            </w:r>
          </w:p>
        </w:tc>
        <w:tc>
          <w:tcPr>
            <w:tcW w:w="3081" w:type="dxa"/>
            <w:shd w:val="clear" w:color="auto" w:fill="auto"/>
          </w:tcPr>
          <w:p w:rsidR="00A95080" w:rsidRPr="00A95080" w:rsidRDefault="00A95080" w:rsidP="00A95080">
            <w:pPr>
              <w:spacing w:after="0" w:line="480" w:lineRule="auto"/>
              <w:contextualSpacing/>
            </w:pPr>
            <w:r w:rsidRPr="00A95080">
              <w:t>0.17</w:t>
            </w:r>
          </w:p>
        </w:tc>
      </w:tr>
      <w:tr w:rsidR="00A95080" w:rsidRPr="00A95080" w:rsidTr="00F82FCB">
        <w:tc>
          <w:tcPr>
            <w:tcW w:w="3080" w:type="dxa"/>
            <w:shd w:val="clear" w:color="auto" w:fill="auto"/>
          </w:tcPr>
          <w:p w:rsidR="00A95080" w:rsidRPr="00A95080" w:rsidRDefault="00A95080" w:rsidP="00A95080">
            <w:pPr>
              <w:spacing w:after="0" w:line="480" w:lineRule="auto"/>
              <w:contextualSpacing/>
            </w:pPr>
            <w:r w:rsidRPr="00A95080">
              <w:t>480</w:t>
            </w:r>
          </w:p>
        </w:tc>
        <w:tc>
          <w:tcPr>
            <w:tcW w:w="3081" w:type="dxa"/>
            <w:shd w:val="clear" w:color="auto" w:fill="auto"/>
          </w:tcPr>
          <w:p w:rsidR="00A95080" w:rsidRPr="00A95080" w:rsidRDefault="00A95080" w:rsidP="00A95080">
            <w:pPr>
              <w:spacing w:after="0" w:line="480" w:lineRule="auto"/>
              <w:contextualSpacing/>
            </w:pPr>
            <w:r w:rsidRPr="00A95080">
              <w:t>1</w:t>
            </w:r>
          </w:p>
        </w:tc>
        <w:tc>
          <w:tcPr>
            <w:tcW w:w="3081" w:type="dxa"/>
            <w:shd w:val="clear" w:color="auto" w:fill="auto"/>
          </w:tcPr>
          <w:p w:rsidR="00A95080" w:rsidRPr="00A95080" w:rsidRDefault="00A95080" w:rsidP="00A95080">
            <w:pPr>
              <w:spacing w:after="0" w:line="480" w:lineRule="auto"/>
              <w:contextualSpacing/>
            </w:pPr>
            <w:r w:rsidRPr="00A95080">
              <w:t>0.17</w:t>
            </w:r>
          </w:p>
        </w:tc>
      </w:tr>
      <w:tr w:rsidR="00A95080" w:rsidRPr="00A95080" w:rsidTr="00F82FCB">
        <w:tc>
          <w:tcPr>
            <w:tcW w:w="3080"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640</w:t>
            </w:r>
          </w:p>
        </w:tc>
        <w:tc>
          <w:tcPr>
            <w:tcW w:w="3081"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1</w:t>
            </w:r>
          </w:p>
        </w:tc>
        <w:tc>
          <w:tcPr>
            <w:tcW w:w="3081" w:type="dxa"/>
            <w:tcBorders>
              <w:bottom w:val="dashed" w:sz="4" w:space="0" w:color="auto"/>
            </w:tcBorders>
            <w:shd w:val="clear" w:color="auto" w:fill="auto"/>
          </w:tcPr>
          <w:p w:rsidR="00A95080" w:rsidRPr="00A95080" w:rsidRDefault="00A95080" w:rsidP="00A95080">
            <w:pPr>
              <w:spacing w:after="0" w:line="480" w:lineRule="auto"/>
              <w:contextualSpacing/>
            </w:pPr>
            <w:r w:rsidRPr="00A95080">
              <w:t>0.17</w:t>
            </w:r>
          </w:p>
        </w:tc>
      </w:tr>
      <w:tr w:rsidR="00A95080" w:rsidRPr="00A95080" w:rsidTr="00F82FCB">
        <w:tc>
          <w:tcPr>
            <w:tcW w:w="3080"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Total</w:t>
            </w:r>
          </w:p>
        </w:tc>
        <w:tc>
          <w:tcPr>
            <w:tcW w:w="3081"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605</w:t>
            </w:r>
          </w:p>
        </w:tc>
        <w:tc>
          <w:tcPr>
            <w:tcW w:w="3081" w:type="dxa"/>
            <w:tcBorders>
              <w:top w:val="dashed" w:sz="4" w:space="0" w:color="auto"/>
              <w:bottom w:val="single" w:sz="4" w:space="0" w:color="auto"/>
            </w:tcBorders>
            <w:shd w:val="clear" w:color="auto" w:fill="auto"/>
          </w:tcPr>
          <w:p w:rsidR="00A95080" w:rsidRPr="00A95080" w:rsidRDefault="00A95080" w:rsidP="00A95080">
            <w:pPr>
              <w:spacing w:after="0" w:line="480" w:lineRule="auto"/>
              <w:contextualSpacing/>
            </w:pPr>
            <w:r w:rsidRPr="00A95080">
              <w:t>100.00</w:t>
            </w:r>
          </w:p>
        </w:tc>
      </w:tr>
    </w:tbl>
    <w:p w:rsidR="00A95080" w:rsidRPr="00A95080" w:rsidRDefault="00A95080" w:rsidP="00A95080">
      <w:pPr>
        <w:spacing w:line="480" w:lineRule="auto"/>
        <w:contextualSpacing/>
      </w:pPr>
    </w:p>
    <w:p w:rsidR="00A95080" w:rsidRDefault="00A95080" w:rsidP="00550C6C">
      <w:pPr>
        <w:spacing w:line="240" w:lineRule="auto"/>
        <w:ind w:left="709" w:hanging="709"/>
        <w:contextualSpacing/>
      </w:pPr>
      <w:bookmarkStart w:id="0" w:name="_GoBack"/>
      <w:bookmarkEnd w:id="0"/>
    </w:p>
    <w:sectPr w:rsidR="00A95080" w:rsidSect="00E00B1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D26" w:rsidRDefault="00296D26" w:rsidP="00784611">
      <w:pPr>
        <w:spacing w:after="0" w:line="240" w:lineRule="auto"/>
      </w:pPr>
      <w:r>
        <w:separator/>
      </w:r>
    </w:p>
  </w:endnote>
  <w:endnote w:type="continuationSeparator" w:id="0">
    <w:p w:rsidR="00296D26" w:rsidRDefault="00296D26" w:rsidP="0078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5D" w:rsidRDefault="004B375D">
    <w:pPr>
      <w:pStyle w:val="Footer"/>
      <w:jc w:val="right"/>
    </w:pPr>
    <w:r>
      <w:fldChar w:fldCharType="begin"/>
    </w:r>
    <w:r>
      <w:instrText xml:space="preserve"> PAGE   \* MERGEFORMAT </w:instrText>
    </w:r>
    <w:r>
      <w:fldChar w:fldCharType="separate"/>
    </w:r>
    <w:r w:rsidR="00A95080">
      <w:rPr>
        <w:noProof/>
      </w:rPr>
      <w:t>14</w:t>
    </w:r>
    <w:r>
      <w:rPr>
        <w:noProof/>
      </w:rPr>
      <w:fldChar w:fldCharType="end"/>
    </w:r>
  </w:p>
  <w:p w:rsidR="004B375D" w:rsidRDefault="004B37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D26" w:rsidRDefault="00296D26" w:rsidP="00784611">
      <w:pPr>
        <w:spacing w:after="0" w:line="240" w:lineRule="auto"/>
      </w:pPr>
      <w:r>
        <w:separator/>
      </w:r>
    </w:p>
  </w:footnote>
  <w:footnote w:type="continuationSeparator" w:id="0">
    <w:p w:rsidR="00296D26" w:rsidRDefault="00296D26" w:rsidP="0078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296"/>
    <w:multiLevelType w:val="multilevel"/>
    <w:tmpl w:val="8D600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333B5E"/>
    <w:multiLevelType w:val="hybridMultilevel"/>
    <w:tmpl w:val="6070232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83477F"/>
    <w:multiLevelType w:val="hybridMultilevel"/>
    <w:tmpl w:val="35E4E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5052BA"/>
    <w:multiLevelType w:val="multilevel"/>
    <w:tmpl w:val="00F4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origina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exz05etatpr98e9r0pvrw9nepeva0z2vzrp&quot;&gt;HG EndNote library&lt;record-ids&gt;&lt;item&gt;329&lt;/item&gt;&lt;item&gt;614&lt;/item&gt;&lt;item&gt;615&lt;/item&gt;&lt;item&gt;616&lt;/item&gt;&lt;item&gt;617&lt;/item&gt;&lt;item&gt;618&lt;/item&gt;&lt;item&gt;619&lt;/item&gt;&lt;item&gt;620&lt;/item&gt;&lt;item&gt;621&lt;/item&gt;&lt;item&gt;622&lt;/item&gt;&lt;item&gt;623&lt;/item&gt;&lt;item&gt;624&lt;/item&gt;&lt;item&gt;625&lt;/item&gt;&lt;item&gt;626&lt;/item&gt;&lt;item&gt;627&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record-ids&gt;&lt;/item&gt;&lt;/Libraries&gt;"/>
  </w:docVars>
  <w:rsids>
    <w:rsidRoot w:val="005E2A46"/>
    <w:rsid w:val="000264D3"/>
    <w:rsid w:val="0002744F"/>
    <w:rsid w:val="00035523"/>
    <w:rsid w:val="00045910"/>
    <w:rsid w:val="00051D82"/>
    <w:rsid w:val="00052409"/>
    <w:rsid w:val="000573C0"/>
    <w:rsid w:val="00087619"/>
    <w:rsid w:val="000A0AB1"/>
    <w:rsid w:val="000A30E0"/>
    <w:rsid w:val="000A4B6F"/>
    <w:rsid w:val="000A7833"/>
    <w:rsid w:val="000B0ED6"/>
    <w:rsid w:val="000B2A5E"/>
    <w:rsid w:val="000B2CE2"/>
    <w:rsid w:val="000B5D28"/>
    <w:rsid w:val="000B7D28"/>
    <w:rsid w:val="000C0DA6"/>
    <w:rsid w:val="000C161D"/>
    <w:rsid w:val="000C3E1E"/>
    <w:rsid w:val="000C6256"/>
    <w:rsid w:val="000E23DD"/>
    <w:rsid w:val="000F04D6"/>
    <w:rsid w:val="000F0C2D"/>
    <w:rsid w:val="000F0F9F"/>
    <w:rsid w:val="000F1B4E"/>
    <w:rsid w:val="00102FE0"/>
    <w:rsid w:val="00103A0E"/>
    <w:rsid w:val="001077F7"/>
    <w:rsid w:val="00110E43"/>
    <w:rsid w:val="00117DF6"/>
    <w:rsid w:val="00126E9F"/>
    <w:rsid w:val="00135B46"/>
    <w:rsid w:val="00141DBF"/>
    <w:rsid w:val="0014417D"/>
    <w:rsid w:val="001449A5"/>
    <w:rsid w:val="00151491"/>
    <w:rsid w:val="00176383"/>
    <w:rsid w:val="001864DC"/>
    <w:rsid w:val="001C62DB"/>
    <w:rsid w:val="001C63A9"/>
    <w:rsid w:val="001C677D"/>
    <w:rsid w:val="001D256F"/>
    <w:rsid w:val="001D65C8"/>
    <w:rsid w:val="001D7DC7"/>
    <w:rsid w:val="001E0212"/>
    <w:rsid w:val="001E23C4"/>
    <w:rsid w:val="0020682C"/>
    <w:rsid w:val="00212192"/>
    <w:rsid w:val="00225527"/>
    <w:rsid w:val="002256F2"/>
    <w:rsid w:val="002304EE"/>
    <w:rsid w:val="0023362C"/>
    <w:rsid w:val="002416B6"/>
    <w:rsid w:val="00254C27"/>
    <w:rsid w:val="00255668"/>
    <w:rsid w:val="002609DD"/>
    <w:rsid w:val="00280391"/>
    <w:rsid w:val="002850B2"/>
    <w:rsid w:val="00296783"/>
    <w:rsid w:val="00296D26"/>
    <w:rsid w:val="002A1C2D"/>
    <w:rsid w:val="002B67CE"/>
    <w:rsid w:val="002C0041"/>
    <w:rsid w:val="002C49CB"/>
    <w:rsid w:val="002D1B87"/>
    <w:rsid w:val="002D7A78"/>
    <w:rsid w:val="002F1651"/>
    <w:rsid w:val="002F2EB7"/>
    <w:rsid w:val="002F37C4"/>
    <w:rsid w:val="0030086B"/>
    <w:rsid w:val="00305790"/>
    <w:rsid w:val="0031745A"/>
    <w:rsid w:val="0031794B"/>
    <w:rsid w:val="00323B0D"/>
    <w:rsid w:val="00325A79"/>
    <w:rsid w:val="00334051"/>
    <w:rsid w:val="00337D5F"/>
    <w:rsid w:val="00352DA3"/>
    <w:rsid w:val="003534FB"/>
    <w:rsid w:val="0036077C"/>
    <w:rsid w:val="00364DEB"/>
    <w:rsid w:val="003700FB"/>
    <w:rsid w:val="00383E92"/>
    <w:rsid w:val="003B6BF9"/>
    <w:rsid w:val="003D4C4D"/>
    <w:rsid w:val="003D6C58"/>
    <w:rsid w:val="003E5E17"/>
    <w:rsid w:val="003E5EC9"/>
    <w:rsid w:val="003E6009"/>
    <w:rsid w:val="004202C5"/>
    <w:rsid w:val="00421E19"/>
    <w:rsid w:val="00422BD2"/>
    <w:rsid w:val="00422F74"/>
    <w:rsid w:val="0042539A"/>
    <w:rsid w:val="004328A8"/>
    <w:rsid w:val="0043329C"/>
    <w:rsid w:val="00435154"/>
    <w:rsid w:val="00436F48"/>
    <w:rsid w:val="00446DCD"/>
    <w:rsid w:val="0045377E"/>
    <w:rsid w:val="00466567"/>
    <w:rsid w:val="00476419"/>
    <w:rsid w:val="00477327"/>
    <w:rsid w:val="004846CC"/>
    <w:rsid w:val="004A1445"/>
    <w:rsid w:val="004A24B1"/>
    <w:rsid w:val="004B375D"/>
    <w:rsid w:val="004B6BDB"/>
    <w:rsid w:val="004C035E"/>
    <w:rsid w:val="004E1F5F"/>
    <w:rsid w:val="004F38C8"/>
    <w:rsid w:val="005027B9"/>
    <w:rsid w:val="005310D0"/>
    <w:rsid w:val="0053499D"/>
    <w:rsid w:val="0053681A"/>
    <w:rsid w:val="00550C6C"/>
    <w:rsid w:val="00551817"/>
    <w:rsid w:val="00556A91"/>
    <w:rsid w:val="005607FD"/>
    <w:rsid w:val="005612BC"/>
    <w:rsid w:val="00565E42"/>
    <w:rsid w:val="00572F90"/>
    <w:rsid w:val="00576D4E"/>
    <w:rsid w:val="0058058C"/>
    <w:rsid w:val="005A2BFC"/>
    <w:rsid w:val="005A3194"/>
    <w:rsid w:val="005A7161"/>
    <w:rsid w:val="005B3C69"/>
    <w:rsid w:val="005B7A18"/>
    <w:rsid w:val="005C61A6"/>
    <w:rsid w:val="005E0919"/>
    <w:rsid w:val="005E2A46"/>
    <w:rsid w:val="005E5A90"/>
    <w:rsid w:val="005E6B19"/>
    <w:rsid w:val="005F081A"/>
    <w:rsid w:val="00601925"/>
    <w:rsid w:val="00601A24"/>
    <w:rsid w:val="00603160"/>
    <w:rsid w:val="0060418F"/>
    <w:rsid w:val="0062629F"/>
    <w:rsid w:val="00626F2D"/>
    <w:rsid w:val="006301BF"/>
    <w:rsid w:val="006304AF"/>
    <w:rsid w:val="00634422"/>
    <w:rsid w:val="00637B0F"/>
    <w:rsid w:val="00642769"/>
    <w:rsid w:val="00646CDB"/>
    <w:rsid w:val="00647F44"/>
    <w:rsid w:val="0065032E"/>
    <w:rsid w:val="006570E2"/>
    <w:rsid w:val="00662AF2"/>
    <w:rsid w:val="00666840"/>
    <w:rsid w:val="00677FE4"/>
    <w:rsid w:val="00681EC7"/>
    <w:rsid w:val="006831FB"/>
    <w:rsid w:val="00683CC8"/>
    <w:rsid w:val="006860A2"/>
    <w:rsid w:val="006A407C"/>
    <w:rsid w:val="006B4A13"/>
    <w:rsid w:val="006B59A2"/>
    <w:rsid w:val="006D0C6F"/>
    <w:rsid w:val="006D0D4C"/>
    <w:rsid w:val="006D6454"/>
    <w:rsid w:val="006E4CF3"/>
    <w:rsid w:val="006F3893"/>
    <w:rsid w:val="006F4FDE"/>
    <w:rsid w:val="00700A29"/>
    <w:rsid w:val="00714EF4"/>
    <w:rsid w:val="00732D0D"/>
    <w:rsid w:val="00735411"/>
    <w:rsid w:val="00735C63"/>
    <w:rsid w:val="00746D8B"/>
    <w:rsid w:val="00747AD0"/>
    <w:rsid w:val="007557CD"/>
    <w:rsid w:val="0076315C"/>
    <w:rsid w:val="00765EE6"/>
    <w:rsid w:val="00771DD0"/>
    <w:rsid w:val="0078057E"/>
    <w:rsid w:val="00784611"/>
    <w:rsid w:val="007901EE"/>
    <w:rsid w:val="007A1174"/>
    <w:rsid w:val="007A38AF"/>
    <w:rsid w:val="007A3B06"/>
    <w:rsid w:val="007B6392"/>
    <w:rsid w:val="007C0665"/>
    <w:rsid w:val="007C56F9"/>
    <w:rsid w:val="007D3986"/>
    <w:rsid w:val="007D4BE9"/>
    <w:rsid w:val="007D62D9"/>
    <w:rsid w:val="007D762C"/>
    <w:rsid w:val="007E07B1"/>
    <w:rsid w:val="007F748B"/>
    <w:rsid w:val="0080248C"/>
    <w:rsid w:val="0082160C"/>
    <w:rsid w:val="00822C51"/>
    <w:rsid w:val="008237C1"/>
    <w:rsid w:val="00826B0D"/>
    <w:rsid w:val="008274EE"/>
    <w:rsid w:val="008410EE"/>
    <w:rsid w:val="00842D1C"/>
    <w:rsid w:val="00843A08"/>
    <w:rsid w:val="00856943"/>
    <w:rsid w:val="00862FC6"/>
    <w:rsid w:val="00872522"/>
    <w:rsid w:val="00877F1A"/>
    <w:rsid w:val="00894792"/>
    <w:rsid w:val="008A135F"/>
    <w:rsid w:val="008A16D5"/>
    <w:rsid w:val="008A6386"/>
    <w:rsid w:val="008B4BCB"/>
    <w:rsid w:val="008C1B0C"/>
    <w:rsid w:val="008D71DD"/>
    <w:rsid w:val="008E03C9"/>
    <w:rsid w:val="008F5095"/>
    <w:rsid w:val="008F55EF"/>
    <w:rsid w:val="009005FB"/>
    <w:rsid w:val="0090248E"/>
    <w:rsid w:val="00911FBA"/>
    <w:rsid w:val="0091632D"/>
    <w:rsid w:val="00921350"/>
    <w:rsid w:val="00945F50"/>
    <w:rsid w:val="00960CFA"/>
    <w:rsid w:val="00980E4B"/>
    <w:rsid w:val="00986184"/>
    <w:rsid w:val="0099409B"/>
    <w:rsid w:val="009940EB"/>
    <w:rsid w:val="00995093"/>
    <w:rsid w:val="009A2291"/>
    <w:rsid w:val="009B2D61"/>
    <w:rsid w:val="009B4269"/>
    <w:rsid w:val="009B700A"/>
    <w:rsid w:val="009C6E26"/>
    <w:rsid w:val="009C77AF"/>
    <w:rsid w:val="009D1C20"/>
    <w:rsid w:val="009E4341"/>
    <w:rsid w:val="00A00E79"/>
    <w:rsid w:val="00A056A1"/>
    <w:rsid w:val="00A10A2B"/>
    <w:rsid w:val="00A119E0"/>
    <w:rsid w:val="00A21117"/>
    <w:rsid w:val="00A2400C"/>
    <w:rsid w:val="00A24D5A"/>
    <w:rsid w:val="00A24DAC"/>
    <w:rsid w:val="00A31553"/>
    <w:rsid w:val="00A32256"/>
    <w:rsid w:val="00A356B1"/>
    <w:rsid w:val="00A36C7D"/>
    <w:rsid w:val="00A42CD9"/>
    <w:rsid w:val="00A50514"/>
    <w:rsid w:val="00A53A1D"/>
    <w:rsid w:val="00A62FC8"/>
    <w:rsid w:val="00A868B3"/>
    <w:rsid w:val="00A94250"/>
    <w:rsid w:val="00A94A15"/>
    <w:rsid w:val="00A95080"/>
    <w:rsid w:val="00AB08D4"/>
    <w:rsid w:val="00AB5F77"/>
    <w:rsid w:val="00AC120A"/>
    <w:rsid w:val="00AC35CA"/>
    <w:rsid w:val="00AC73FF"/>
    <w:rsid w:val="00B010B3"/>
    <w:rsid w:val="00B1348B"/>
    <w:rsid w:val="00B16B82"/>
    <w:rsid w:val="00B2517C"/>
    <w:rsid w:val="00B447EE"/>
    <w:rsid w:val="00B46951"/>
    <w:rsid w:val="00B47DC6"/>
    <w:rsid w:val="00B518CF"/>
    <w:rsid w:val="00B53E78"/>
    <w:rsid w:val="00B610CD"/>
    <w:rsid w:val="00B611E3"/>
    <w:rsid w:val="00B65D28"/>
    <w:rsid w:val="00B711B2"/>
    <w:rsid w:val="00B71320"/>
    <w:rsid w:val="00B724A5"/>
    <w:rsid w:val="00B94AA4"/>
    <w:rsid w:val="00B94D01"/>
    <w:rsid w:val="00B952B0"/>
    <w:rsid w:val="00B959A4"/>
    <w:rsid w:val="00BA51A4"/>
    <w:rsid w:val="00BA547F"/>
    <w:rsid w:val="00BB638B"/>
    <w:rsid w:val="00BC3605"/>
    <w:rsid w:val="00BC3D72"/>
    <w:rsid w:val="00BC6F32"/>
    <w:rsid w:val="00BD2B2A"/>
    <w:rsid w:val="00BE24D0"/>
    <w:rsid w:val="00C00DB3"/>
    <w:rsid w:val="00C030FE"/>
    <w:rsid w:val="00C1541D"/>
    <w:rsid w:val="00C21ACE"/>
    <w:rsid w:val="00C24847"/>
    <w:rsid w:val="00C24D01"/>
    <w:rsid w:val="00C276B7"/>
    <w:rsid w:val="00C31D84"/>
    <w:rsid w:val="00C31F5B"/>
    <w:rsid w:val="00C34914"/>
    <w:rsid w:val="00C376F0"/>
    <w:rsid w:val="00C64874"/>
    <w:rsid w:val="00C6652F"/>
    <w:rsid w:val="00C71645"/>
    <w:rsid w:val="00C83820"/>
    <w:rsid w:val="00C84136"/>
    <w:rsid w:val="00C8507B"/>
    <w:rsid w:val="00C97ECD"/>
    <w:rsid w:val="00CA2132"/>
    <w:rsid w:val="00CB019E"/>
    <w:rsid w:val="00CB0FDA"/>
    <w:rsid w:val="00CB25DB"/>
    <w:rsid w:val="00CB5211"/>
    <w:rsid w:val="00CB7D93"/>
    <w:rsid w:val="00CE6F33"/>
    <w:rsid w:val="00D04B2C"/>
    <w:rsid w:val="00D05150"/>
    <w:rsid w:val="00D17DF1"/>
    <w:rsid w:val="00D2173A"/>
    <w:rsid w:val="00D36546"/>
    <w:rsid w:val="00D51283"/>
    <w:rsid w:val="00D602E1"/>
    <w:rsid w:val="00D61072"/>
    <w:rsid w:val="00D61CA7"/>
    <w:rsid w:val="00D65525"/>
    <w:rsid w:val="00D82354"/>
    <w:rsid w:val="00D84085"/>
    <w:rsid w:val="00D85B06"/>
    <w:rsid w:val="00DB64F7"/>
    <w:rsid w:val="00DC058E"/>
    <w:rsid w:val="00DD2A8B"/>
    <w:rsid w:val="00DD6468"/>
    <w:rsid w:val="00DE4285"/>
    <w:rsid w:val="00DE4884"/>
    <w:rsid w:val="00DE4C51"/>
    <w:rsid w:val="00DE7F3F"/>
    <w:rsid w:val="00DF0F4D"/>
    <w:rsid w:val="00DF401E"/>
    <w:rsid w:val="00E00B19"/>
    <w:rsid w:val="00E03F78"/>
    <w:rsid w:val="00E159D1"/>
    <w:rsid w:val="00E15C17"/>
    <w:rsid w:val="00E1713C"/>
    <w:rsid w:val="00E238C8"/>
    <w:rsid w:val="00E24A58"/>
    <w:rsid w:val="00E24E66"/>
    <w:rsid w:val="00E4500A"/>
    <w:rsid w:val="00E61A40"/>
    <w:rsid w:val="00E65D21"/>
    <w:rsid w:val="00E662E0"/>
    <w:rsid w:val="00E73726"/>
    <w:rsid w:val="00E81AD6"/>
    <w:rsid w:val="00E81EB8"/>
    <w:rsid w:val="00E83DDB"/>
    <w:rsid w:val="00E87490"/>
    <w:rsid w:val="00E87F58"/>
    <w:rsid w:val="00EA16C0"/>
    <w:rsid w:val="00EA71F6"/>
    <w:rsid w:val="00EB094A"/>
    <w:rsid w:val="00EC0437"/>
    <w:rsid w:val="00ED32AE"/>
    <w:rsid w:val="00ED3977"/>
    <w:rsid w:val="00EE2A88"/>
    <w:rsid w:val="00EE35CC"/>
    <w:rsid w:val="00EF7A8F"/>
    <w:rsid w:val="00F043CB"/>
    <w:rsid w:val="00F12EE9"/>
    <w:rsid w:val="00F13EAC"/>
    <w:rsid w:val="00F17057"/>
    <w:rsid w:val="00F17A29"/>
    <w:rsid w:val="00F300A8"/>
    <w:rsid w:val="00F37F4E"/>
    <w:rsid w:val="00F459F3"/>
    <w:rsid w:val="00F54A9B"/>
    <w:rsid w:val="00F60C51"/>
    <w:rsid w:val="00F67486"/>
    <w:rsid w:val="00F71603"/>
    <w:rsid w:val="00F7696E"/>
    <w:rsid w:val="00F8381B"/>
    <w:rsid w:val="00F83D8E"/>
    <w:rsid w:val="00F83E17"/>
    <w:rsid w:val="00FB0F26"/>
    <w:rsid w:val="00FB7F66"/>
    <w:rsid w:val="00FC1EF6"/>
    <w:rsid w:val="00FC251E"/>
    <w:rsid w:val="00FC4C47"/>
    <w:rsid w:val="00FD36F6"/>
    <w:rsid w:val="00FD7D0C"/>
    <w:rsid w:val="00FE4051"/>
    <w:rsid w:val="00FE7427"/>
    <w:rsid w:val="00FF655F"/>
    <w:rsid w:val="00FF66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EB927F"/>
  <w15:docId w15:val="{2386EC5E-2244-408E-889A-CF26777A8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A5E"/>
    <w:pPr>
      <w:spacing w:after="200" w:line="276" w:lineRule="auto"/>
    </w:pPr>
    <w:rPr>
      <w:sz w:val="22"/>
      <w:szCs w:val="22"/>
      <w:lang w:eastAsia="en-US"/>
    </w:rPr>
  </w:style>
  <w:style w:type="paragraph" w:styleId="Heading1">
    <w:name w:val="heading 1"/>
    <w:basedOn w:val="Normal"/>
    <w:next w:val="Normal"/>
    <w:link w:val="Heading1Char"/>
    <w:uiPriority w:val="9"/>
    <w:qFormat/>
    <w:rsid w:val="00E1713C"/>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1713C"/>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1794B"/>
    <w:rPr>
      <w:sz w:val="16"/>
      <w:szCs w:val="16"/>
    </w:rPr>
  </w:style>
  <w:style w:type="paragraph" w:styleId="CommentText">
    <w:name w:val="annotation text"/>
    <w:basedOn w:val="Normal"/>
    <w:link w:val="CommentTextChar"/>
    <w:uiPriority w:val="99"/>
    <w:unhideWhenUsed/>
    <w:rsid w:val="0031794B"/>
    <w:pPr>
      <w:spacing w:line="240" w:lineRule="auto"/>
    </w:pPr>
    <w:rPr>
      <w:sz w:val="20"/>
      <w:szCs w:val="20"/>
    </w:rPr>
  </w:style>
  <w:style w:type="character" w:customStyle="1" w:styleId="CommentTextChar">
    <w:name w:val="Comment Text Char"/>
    <w:link w:val="CommentText"/>
    <w:uiPriority w:val="99"/>
    <w:rsid w:val="0031794B"/>
    <w:rPr>
      <w:sz w:val="20"/>
      <w:szCs w:val="20"/>
    </w:rPr>
  </w:style>
  <w:style w:type="paragraph" w:styleId="CommentSubject">
    <w:name w:val="annotation subject"/>
    <w:basedOn w:val="CommentText"/>
    <w:next w:val="CommentText"/>
    <w:link w:val="CommentSubjectChar"/>
    <w:uiPriority w:val="99"/>
    <w:semiHidden/>
    <w:unhideWhenUsed/>
    <w:rsid w:val="0031794B"/>
    <w:rPr>
      <w:b/>
      <w:bCs/>
    </w:rPr>
  </w:style>
  <w:style w:type="character" w:customStyle="1" w:styleId="CommentSubjectChar">
    <w:name w:val="Comment Subject Char"/>
    <w:link w:val="CommentSubject"/>
    <w:uiPriority w:val="99"/>
    <w:semiHidden/>
    <w:rsid w:val="0031794B"/>
    <w:rPr>
      <w:b/>
      <w:bCs/>
      <w:sz w:val="20"/>
      <w:szCs w:val="20"/>
    </w:rPr>
  </w:style>
  <w:style w:type="paragraph" w:styleId="BalloonText">
    <w:name w:val="Balloon Text"/>
    <w:basedOn w:val="Normal"/>
    <w:link w:val="BalloonTextChar"/>
    <w:uiPriority w:val="99"/>
    <w:semiHidden/>
    <w:unhideWhenUsed/>
    <w:rsid w:val="003179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794B"/>
    <w:rPr>
      <w:rFonts w:ascii="Tahoma" w:hAnsi="Tahoma" w:cs="Tahoma"/>
      <w:sz w:val="16"/>
      <w:szCs w:val="16"/>
    </w:rPr>
  </w:style>
  <w:style w:type="paragraph" w:styleId="Header">
    <w:name w:val="header"/>
    <w:basedOn w:val="Normal"/>
    <w:link w:val="HeaderChar"/>
    <w:uiPriority w:val="99"/>
    <w:unhideWhenUsed/>
    <w:rsid w:val="007846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611"/>
  </w:style>
  <w:style w:type="paragraph" w:styleId="Footer">
    <w:name w:val="footer"/>
    <w:basedOn w:val="Normal"/>
    <w:link w:val="FooterChar"/>
    <w:uiPriority w:val="99"/>
    <w:unhideWhenUsed/>
    <w:rsid w:val="007846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611"/>
  </w:style>
  <w:style w:type="paragraph" w:styleId="PlainText">
    <w:name w:val="Plain Text"/>
    <w:basedOn w:val="Normal"/>
    <w:link w:val="PlainTextChar"/>
    <w:uiPriority w:val="99"/>
    <w:unhideWhenUsed/>
    <w:rsid w:val="002609DD"/>
    <w:pPr>
      <w:spacing w:after="0" w:line="240" w:lineRule="auto"/>
    </w:pPr>
    <w:rPr>
      <w:rFonts w:ascii="Consolas" w:hAnsi="Consolas"/>
      <w:sz w:val="21"/>
      <w:szCs w:val="21"/>
    </w:rPr>
  </w:style>
  <w:style w:type="character" w:customStyle="1" w:styleId="PlainTextChar">
    <w:name w:val="Plain Text Char"/>
    <w:link w:val="PlainText"/>
    <w:uiPriority w:val="99"/>
    <w:rsid w:val="002609DD"/>
    <w:rPr>
      <w:rFonts w:ascii="Consolas" w:hAnsi="Consolas"/>
      <w:sz w:val="21"/>
      <w:szCs w:val="21"/>
    </w:rPr>
  </w:style>
  <w:style w:type="table" w:customStyle="1" w:styleId="LightShading1">
    <w:name w:val="Light Shading1"/>
    <w:basedOn w:val="TableNormal"/>
    <w:uiPriority w:val="60"/>
    <w:rsid w:val="00C31F5B"/>
    <w:rPr>
      <w:rFonts w:eastAsia="MS Mincho"/>
      <w:color w:val="000000"/>
      <w:lang w:eastAsia="zh-CN"/>
    </w:rPr>
    <w:tblPr>
      <w:tblStyleRowBandSize w:val="1"/>
      <w:tblStyleColBandSize w:val="1"/>
      <w:tblBorders>
        <w:top w:val="single" w:sz="8" w:space="0" w:color="000000"/>
        <w:bottom w:val="single" w:sz="8" w:space="0" w:color="000000"/>
      </w:tblBorders>
    </w:tblPr>
    <w:tblStylePr w:type="fir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uiPriority w:val="99"/>
    <w:unhideWhenUsed/>
    <w:rsid w:val="005027B9"/>
    <w:rPr>
      <w:strike w:val="0"/>
      <w:dstrike w:val="0"/>
      <w:color w:val="316C9D"/>
      <w:u w:val="none"/>
      <w:effect w:val="none"/>
    </w:rPr>
  </w:style>
  <w:style w:type="character" w:customStyle="1" w:styleId="authordegrees">
    <w:name w:val="authordegrees"/>
    <w:rsid w:val="00AC120A"/>
    <w:rPr>
      <w:sz w:val="24"/>
      <w:szCs w:val="24"/>
      <w:bdr w:val="none" w:sz="0" w:space="0" w:color="auto" w:frame="1"/>
      <w:vertAlign w:val="baseline"/>
    </w:rPr>
  </w:style>
  <w:style w:type="character" w:customStyle="1" w:styleId="collabtext">
    <w:name w:val="collabtext"/>
    <w:rsid w:val="00AC120A"/>
    <w:rPr>
      <w:sz w:val="24"/>
      <w:szCs w:val="24"/>
      <w:bdr w:val="none" w:sz="0" w:space="0" w:color="auto" w:frame="1"/>
      <w:vertAlign w:val="baseline"/>
    </w:rPr>
  </w:style>
  <w:style w:type="table" w:styleId="TableGrid">
    <w:name w:val="Table Grid"/>
    <w:basedOn w:val="TableNormal"/>
    <w:uiPriority w:val="59"/>
    <w:rsid w:val="00F76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5B06"/>
    <w:rPr>
      <w:sz w:val="22"/>
      <w:szCs w:val="22"/>
      <w:lang w:eastAsia="en-US"/>
    </w:rPr>
  </w:style>
  <w:style w:type="paragraph" w:styleId="ListParagraph">
    <w:name w:val="List Paragraph"/>
    <w:basedOn w:val="Normal"/>
    <w:uiPriority w:val="34"/>
    <w:qFormat/>
    <w:rsid w:val="00A42CD9"/>
    <w:pPr>
      <w:ind w:left="720"/>
      <w:contextualSpacing/>
    </w:pPr>
  </w:style>
  <w:style w:type="character" w:customStyle="1" w:styleId="Heading2Char">
    <w:name w:val="Heading 2 Char"/>
    <w:link w:val="Heading2"/>
    <w:uiPriority w:val="9"/>
    <w:rsid w:val="00E1713C"/>
    <w:rPr>
      <w:rFonts w:ascii="Times New Roman" w:eastAsia="Times New Roman" w:hAnsi="Times New Roman" w:cs="Times New Roman"/>
      <w:b/>
      <w:bCs/>
      <w:sz w:val="36"/>
      <w:szCs w:val="36"/>
      <w:lang w:eastAsia="en-GB"/>
    </w:rPr>
  </w:style>
  <w:style w:type="paragraph" w:customStyle="1" w:styleId="articledetails">
    <w:name w:val="articledetails"/>
    <w:basedOn w:val="Normal"/>
    <w:rsid w:val="00E1713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link w:val="Heading1"/>
    <w:uiPriority w:val="9"/>
    <w:rsid w:val="00E1713C"/>
    <w:rPr>
      <w:rFonts w:ascii="Cambria" w:eastAsia="MS Gothic" w:hAnsi="Cambria" w:cs="Times New Roman"/>
      <w:b/>
      <w:bCs/>
      <w:color w:val="365F91"/>
      <w:sz w:val="28"/>
      <w:szCs w:val="28"/>
    </w:rPr>
  </w:style>
  <w:style w:type="character" w:customStyle="1" w:styleId="maintitle">
    <w:name w:val="maintitle"/>
    <w:basedOn w:val="DefaultParagraphFont"/>
    <w:rsid w:val="00E1713C"/>
  </w:style>
  <w:style w:type="character" w:customStyle="1" w:styleId="exlresultdetails">
    <w:name w:val="exlresultdetails"/>
    <w:basedOn w:val="DefaultParagraphFont"/>
    <w:rsid w:val="00DE4884"/>
  </w:style>
  <w:style w:type="paragraph" w:customStyle="1" w:styleId="EndNoteBibliographyTitle">
    <w:name w:val="EndNote Bibliography Title"/>
    <w:basedOn w:val="Normal"/>
    <w:link w:val="EndNoteBibliographyTitleChar"/>
    <w:rsid w:val="00862FC6"/>
    <w:pPr>
      <w:spacing w:after="0"/>
      <w:jc w:val="center"/>
    </w:pPr>
    <w:rPr>
      <w:noProof/>
      <w:lang w:val="en-US"/>
    </w:rPr>
  </w:style>
  <w:style w:type="character" w:customStyle="1" w:styleId="EndNoteBibliographyTitleChar">
    <w:name w:val="EndNote Bibliography Title Char"/>
    <w:link w:val="EndNoteBibliographyTitle"/>
    <w:rsid w:val="00862FC6"/>
    <w:rPr>
      <w:noProof/>
      <w:sz w:val="22"/>
      <w:szCs w:val="22"/>
      <w:lang w:val="en-US" w:eastAsia="en-US"/>
    </w:rPr>
  </w:style>
  <w:style w:type="paragraph" w:customStyle="1" w:styleId="EndNoteBibliography">
    <w:name w:val="EndNote Bibliography"/>
    <w:basedOn w:val="Normal"/>
    <w:link w:val="EndNoteBibliographyChar"/>
    <w:rsid w:val="00862FC6"/>
    <w:pPr>
      <w:spacing w:line="240" w:lineRule="auto"/>
    </w:pPr>
    <w:rPr>
      <w:noProof/>
      <w:lang w:val="en-US"/>
    </w:rPr>
  </w:style>
  <w:style w:type="character" w:customStyle="1" w:styleId="EndNoteBibliographyChar">
    <w:name w:val="EndNote Bibliography Char"/>
    <w:link w:val="EndNoteBibliography"/>
    <w:rsid w:val="00862FC6"/>
    <w:rPr>
      <w:noProof/>
      <w:sz w:val="22"/>
      <w:szCs w:val="22"/>
      <w:lang w:val="en-US" w:eastAsia="en-US"/>
    </w:rPr>
  </w:style>
  <w:style w:type="character" w:styleId="FollowedHyperlink">
    <w:name w:val="FollowedHyperlink"/>
    <w:uiPriority w:val="99"/>
    <w:semiHidden/>
    <w:unhideWhenUsed/>
    <w:rsid w:val="00626F2D"/>
    <w:rPr>
      <w:color w:val="954F72"/>
      <w:u w:val="single"/>
    </w:rPr>
  </w:style>
  <w:style w:type="character" w:styleId="Emphasis">
    <w:name w:val="Emphasis"/>
    <w:uiPriority w:val="20"/>
    <w:qFormat/>
    <w:rsid w:val="00FC25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05983">
      <w:bodyDiv w:val="1"/>
      <w:marLeft w:val="0"/>
      <w:marRight w:val="0"/>
      <w:marTop w:val="0"/>
      <w:marBottom w:val="0"/>
      <w:divBdr>
        <w:top w:val="none" w:sz="0" w:space="0" w:color="auto"/>
        <w:left w:val="single" w:sz="6" w:space="0" w:color="8C8C8A"/>
        <w:bottom w:val="none" w:sz="0" w:space="0" w:color="auto"/>
        <w:right w:val="single" w:sz="6" w:space="0" w:color="8C8C8A"/>
      </w:divBdr>
      <w:divsChild>
        <w:div w:id="950087850">
          <w:marLeft w:val="0"/>
          <w:marRight w:val="0"/>
          <w:marTop w:val="0"/>
          <w:marBottom w:val="0"/>
          <w:divBdr>
            <w:top w:val="none" w:sz="0" w:space="0" w:color="auto"/>
            <w:left w:val="none" w:sz="0" w:space="0" w:color="auto"/>
            <w:bottom w:val="none" w:sz="0" w:space="0" w:color="auto"/>
            <w:right w:val="none" w:sz="0" w:space="0" w:color="auto"/>
          </w:divBdr>
          <w:divsChild>
            <w:div w:id="422334441">
              <w:marLeft w:val="0"/>
              <w:marRight w:val="0"/>
              <w:marTop w:val="0"/>
              <w:marBottom w:val="0"/>
              <w:divBdr>
                <w:top w:val="none" w:sz="0" w:space="0" w:color="auto"/>
                <w:left w:val="none" w:sz="0" w:space="0" w:color="auto"/>
                <w:bottom w:val="none" w:sz="0" w:space="0" w:color="auto"/>
                <w:right w:val="none" w:sz="0" w:space="0" w:color="auto"/>
              </w:divBdr>
              <w:divsChild>
                <w:div w:id="1117722429">
                  <w:marLeft w:val="0"/>
                  <w:marRight w:val="0"/>
                  <w:marTop w:val="0"/>
                  <w:marBottom w:val="0"/>
                  <w:divBdr>
                    <w:top w:val="none" w:sz="0" w:space="0" w:color="auto"/>
                    <w:left w:val="none" w:sz="0" w:space="0" w:color="auto"/>
                    <w:bottom w:val="none" w:sz="0" w:space="0" w:color="auto"/>
                    <w:right w:val="none" w:sz="0" w:space="0" w:color="auto"/>
                  </w:divBdr>
                  <w:divsChild>
                    <w:div w:id="1465081614">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1875532068">
                              <w:marLeft w:val="0"/>
                              <w:marRight w:val="0"/>
                              <w:marTop w:val="0"/>
                              <w:marBottom w:val="0"/>
                              <w:divBdr>
                                <w:top w:val="none" w:sz="0" w:space="0" w:color="auto"/>
                                <w:left w:val="none" w:sz="0" w:space="0" w:color="auto"/>
                                <w:bottom w:val="none" w:sz="0" w:space="0" w:color="auto"/>
                                <w:right w:val="none" w:sz="0" w:space="0" w:color="auto"/>
                              </w:divBdr>
                              <w:divsChild>
                                <w:div w:id="26597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88979">
      <w:bodyDiv w:val="1"/>
      <w:marLeft w:val="0"/>
      <w:marRight w:val="0"/>
      <w:marTop w:val="0"/>
      <w:marBottom w:val="0"/>
      <w:divBdr>
        <w:top w:val="none" w:sz="0" w:space="0" w:color="auto"/>
        <w:left w:val="none" w:sz="0" w:space="0" w:color="auto"/>
        <w:bottom w:val="none" w:sz="0" w:space="0" w:color="auto"/>
        <w:right w:val="none" w:sz="0" w:space="0" w:color="auto"/>
      </w:divBdr>
      <w:divsChild>
        <w:div w:id="136075851">
          <w:marLeft w:val="0"/>
          <w:marRight w:val="0"/>
          <w:marTop w:val="0"/>
          <w:marBottom w:val="0"/>
          <w:divBdr>
            <w:top w:val="none" w:sz="0" w:space="0" w:color="auto"/>
            <w:left w:val="none" w:sz="0" w:space="0" w:color="auto"/>
            <w:bottom w:val="none" w:sz="0" w:space="0" w:color="auto"/>
            <w:right w:val="none" w:sz="0" w:space="0" w:color="auto"/>
          </w:divBdr>
          <w:divsChild>
            <w:div w:id="1361978924">
              <w:marLeft w:val="0"/>
              <w:marRight w:val="0"/>
              <w:marTop w:val="0"/>
              <w:marBottom w:val="0"/>
              <w:divBdr>
                <w:top w:val="none" w:sz="0" w:space="0" w:color="auto"/>
                <w:left w:val="none" w:sz="0" w:space="0" w:color="auto"/>
                <w:bottom w:val="none" w:sz="0" w:space="0" w:color="auto"/>
                <w:right w:val="none" w:sz="0" w:space="0" w:color="auto"/>
              </w:divBdr>
              <w:divsChild>
                <w:div w:id="1892956883">
                  <w:marLeft w:val="0"/>
                  <w:marRight w:val="0"/>
                  <w:marTop w:val="0"/>
                  <w:marBottom w:val="0"/>
                  <w:divBdr>
                    <w:top w:val="none" w:sz="0" w:space="0" w:color="auto"/>
                    <w:left w:val="none" w:sz="0" w:space="0" w:color="auto"/>
                    <w:bottom w:val="none" w:sz="0" w:space="0" w:color="auto"/>
                    <w:right w:val="none" w:sz="0" w:space="0" w:color="auto"/>
                  </w:divBdr>
                  <w:divsChild>
                    <w:div w:id="1558056237">
                      <w:marLeft w:val="0"/>
                      <w:marRight w:val="0"/>
                      <w:marTop w:val="0"/>
                      <w:marBottom w:val="0"/>
                      <w:divBdr>
                        <w:top w:val="none" w:sz="0" w:space="0" w:color="auto"/>
                        <w:left w:val="none" w:sz="0" w:space="0" w:color="auto"/>
                        <w:bottom w:val="none" w:sz="0" w:space="0" w:color="auto"/>
                        <w:right w:val="none" w:sz="0" w:space="0" w:color="auto"/>
                      </w:divBdr>
                      <w:divsChild>
                        <w:div w:id="762141204">
                          <w:marLeft w:val="0"/>
                          <w:marRight w:val="0"/>
                          <w:marTop w:val="0"/>
                          <w:marBottom w:val="0"/>
                          <w:divBdr>
                            <w:top w:val="none" w:sz="0" w:space="0" w:color="auto"/>
                            <w:left w:val="none" w:sz="0" w:space="0" w:color="auto"/>
                            <w:bottom w:val="none" w:sz="0" w:space="0" w:color="auto"/>
                            <w:right w:val="none" w:sz="0" w:space="0" w:color="auto"/>
                          </w:divBdr>
                          <w:divsChild>
                            <w:div w:id="516626335">
                              <w:marLeft w:val="0"/>
                              <w:marRight w:val="0"/>
                              <w:marTop w:val="0"/>
                              <w:marBottom w:val="0"/>
                              <w:divBdr>
                                <w:top w:val="none" w:sz="0" w:space="0" w:color="auto"/>
                                <w:left w:val="none" w:sz="0" w:space="0" w:color="auto"/>
                                <w:bottom w:val="none" w:sz="0" w:space="0" w:color="auto"/>
                                <w:right w:val="none" w:sz="0" w:space="0" w:color="auto"/>
                              </w:divBdr>
                              <w:divsChild>
                                <w:div w:id="1619530027">
                                  <w:marLeft w:val="0"/>
                                  <w:marRight w:val="0"/>
                                  <w:marTop w:val="0"/>
                                  <w:marBottom w:val="0"/>
                                  <w:divBdr>
                                    <w:top w:val="none" w:sz="0" w:space="0" w:color="auto"/>
                                    <w:left w:val="none" w:sz="0" w:space="0" w:color="auto"/>
                                    <w:bottom w:val="none" w:sz="0" w:space="0" w:color="auto"/>
                                    <w:right w:val="none" w:sz="0" w:space="0" w:color="auto"/>
                                  </w:divBdr>
                                  <w:divsChild>
                                    <w:div w:id="312872109">
                                      <w:marLeft w:val="0"/>
                                      <w:marRight w:val="0"/>
                                      <w:marTop w:val="0"/>
                                      <w:marBottom w:val="0"/>
                                      <w:divBdr>
                                        <w:top w:val="none" w:sz="0" w:space="0" w:color="auto"/>
                                        <w:left w:val="none" w:sz="0" w:space="0" w:color="auto"/>
                                        <w:bottom w:val="none" w:sz="0" w:space="0" w:color="auto"/>
                                        <w:right w:val="none" w:sz="0" w:space="0" w:color="auto"/>
                                      </w:divBdr>
                                      <w:divsChild>
                                        <w:div w:id="812334411">
                                          <w:marLeft w:val="0"/>
                                          <w:marRight w:val="0"/>
                                          <w:marTop w:val="0"/>
                                          <w:marBottom w:val="0"/>
                                          <w:divBdr>
                                            <w:top w:val="none" w:sz="0" w:space="0" w:color="auto"/>
                                            <w:left w:val="none" w:sz="0" w:space="0" w:color="auto"/>
                                            <w:bottom w:val="none" w:sz="0" w:space="0" w:color="auto"/>
                                            <w:right w:val="none" w:sz="0" w:space="0" w:color="auto"/>
                                          </w:divBdr>
                                          <w:divsChild>
                                            <w:div w:id="6668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27678">
      <w:bodyDiv w:val="1"/>
      <w:marLeft w:val="0"/>
      <w:marRight w:val="0"/>
      <w:marTop w:val="0"/>
      <w:marBottom w:val="0"/>
      <w:divBdr>
        <w:top w:val="none" w:sz="0" w:space="0" w:color="auto"/>
        <w:left w:val="none" w:sz="0" w:space="0" w:color="auto"/>
        <w:bottom w:val="none" w:sz="0" w:space="0" w:color="auto"/>
        <w:right w:val="none" w:sz="0" w:space="0" w:color="auto"/>
      </w:divBdr>
      <w:divsChild>
        <w:div w:id="1038970631">
          <w:marLeft w:val="0"/>
          <w:marRight w:val="0"/>
          <w:marTop w:val="0"/>
          <w:marBottom w:val="0"/>
          <w:divBdr>
            <w:top w:val="none" w:sz="0" w:space="0" w:color="auto"/>
            <w:left w:val="none" w:sz="0" w:space="0" w:color="auto"/>
            <w:bottom w:val="none" w:sz="0" w:space="0" w:color="auto"/>
            <w:right w:val="none" w:sz="0" w:space="0" w:color="auto"/>
          </w:divBdr>
          <w:divsChild>
            <w:div w:id="683868418">
              <w:marLeft w:val="0"/>
              <w:marRight w:val="0"/>
              <w:marTop w:val="0"/>
              <w:marBottom w:val="0"/>
              <w:divBdr>
                <w:top w:val="none" w:sz="0" w:space="0" w:color="auto"/>
                <w:left w:val="none" w:sz="0" w:space="0" w:color="auto"/>
                <w:bottom w:val="none" w:sz="0" w:space="0" w:color="auto"/>
                <w:right w:val="none" w:sz="0" w:space="0" w:color="auto"/>
              </w:divBdr>
              <w:divsChild>
                <w:div w:id="1270968849">
                  <w:marLeft w:val="0"/>
                  <w:marRight w:val="0"/>
                  <w:marTop w:val="900"/>
                  <w:marBottom w:val="0"/>
                  <w:divBdr>
                    <w:top w:val="none" w:sz="0" w:space="0" w:color="auto"/>
                    <w:left w:val="none" w:sz="0" w:space="0" w:color="auto"/>
                    <w:bottom w:val="none" w:sz="0" w:space="0" w:color="auto"/>
                    <w:right w:val="none" w:sz="0" w:space="0" w:color="auto"/>
                  </w:divBdr>
                  <w:divsChild>
                    <w:div w:id="1866557786">
                      <w:marLeft w:val="0"/>
                      <w:marRight w:val="0"/>
                      <w:marTop w:val="0"/>
                      <w:marBottom w:val="0"/>
                      <w:divBdr>
                        <w:top w:val="none" w:sz="0" w:space="0" w:color="auto"/>
                        <w:left w:val="none" w:sz="0" w:space="0" w:color="auto"/>
                        <w:bottom w:val="none" w:sz="0" w:space="0" w:color="auto"/>
                        <w:right w:val="none" w:sz="0" w:space="0" w:color="auto"/>
                      </w:divBdr>
                      <w:divsChild>
                        <w:div w:id="1770082459">
                          <w:marLeft w:val="0"/>
                          <w:marRight w:val="0"/>
                          <w:marTop w:val="0"/>
                          <w:marBottom w:val="0"/>
                          <w:divBdr>
                            <w:top w:val="none" w:sz="0" w:space="0" w:color="auto"/>
                            <w:left w:val="none" w:sz="0" w:space="0" w:color="auto"/>
                            <w:bottom w:val="none" w:sz="0" w:space="0" w:color="auto"/>
                            <w:right w:val="none" w:sz="0" w:space="0" w:color="auto"/>
                          </w:divBdr>
                          <w:divsChild>
                            <w:div w:id="982732481">
                              <w:marLeft w:val="0"/>
                              <w:marRight w:val="0"/>
                              <w:marTop w:val="0"/>
                              <w:marBottom w:val="0"/>
                              <w:divBdr>
                                <w:top w:val="none" w:sz="0" w:space="0" w:color="auto"/>
                                <w:left w:val="none" w:sz="0" w:space="0" w:color="auto"/>
                                <w:bottom w:val="none" w:sz="0" w:space="0" w:color="auto"/>
                                <w:right w:val="none" w:sz="0" w:space="0" w:color="auto"/>
                              </w:divBdr>
                              <w:divsChild>
                                <w:div w:id="953168160">
                                  <w:marLeft w:val="0"/>
                                  <w:marRight w:val="0"/>
                                  <w:marTop w:val="0"/>
                                  <w:marBottom w:val="0"/>
                                  <w:divBdr>
                                    <w:top w:val="none" w:sz="0" w:space="0" w:color="auto"/>
                                    <w:left w:val="none" w:sz="0" w:space="0" w:color="auto"/>
                                    <w:bottom w:val="none" w:sz="0" w:space="0" w:color="auto"/>
                                    <w:right w:val="none" w:sz="0" w:space="0" w:color="auto"/>
                                  </w:divBdr>
                                  <w:divsChild>
                                    <w:div w:id="1515923073">
                                      <w:marLeft w:val="0"/>
                                      <w:marRight w:val="0"/>
                                      <w:marTop w:val="0"/>
                                      <w:marBottom w:val="0"/>
                                      <w:divBdr>
                                        <w:top w:val="none" w:sz="0" w:space="0" w:color="auto"/>
                                        <w:left w:val="none" w:sz="0" w:space="0" w:color="auto"/>
                                        <w:bottom w:val="none" w:sz="0" w:space="0" w:color="auto"/>
                                        <w:right w:val="none" w:sz="0" w:space="0" w:color="auto"/>
                                      </w:divBdr>
                                      <w:divsChild>
                                        <w:div w:id="1352296141">
                                          <w:marLeft w:val="0"/>
                                          <w:marRight w:val="0"/>
                                          <w:marTop w:val="0"/>
                                          <w:marBottom w:val="0"/>
                                          <w:divBdr>
                                            <w:top w:val="none" w:sz="0" w:space="0" w:color="auto"/>
                                            <w:left w:val="none" w:sz="0" w:space="0" w:color="auto"/>
                                            <w:bottom w:val="none" w:sz="0" w:space="0" w:color="auto"/>
                                            <w:right w:val="none" w:sz="0" w:space="0" w:color="auto"/>
                                          </w:divBdr>
                                          <w:divsChild>
                                            <w:div w:id="821969860">
                                              <w:marLeft w:val="0"/>
                                              <w:marRight w:val="0"/>
                                              <w:marTop w:val="0"/>
                                              <w:marBottom w:val="0"/>
                                              <w:divBdr>
                                                <w:top w:val="none" w:sz="0" w:space="0" w:color="auto"/>
                                                <w:left w:val="none" w:sz="0" w:space="0" w:color="auto"/>
                                                <w:bottom w:val="none" w:sz="0" w:space="0" w:color="auto"/>
                                                <w:right w:val="none" w:sz="0" w:space="0" w:color="auto"/>
                                              </w:divBdr>
                                              <w:divsChild>
                                                <w:div w:id="1824194702">
                                                  <w:marLeft w:val="0"/>
                                                  <w:marRight w:val="0"/>
                                                  <w:marTop w:val="0"/>
                                                  <w:marBottom w:val="300"/>
                                                  <w:divBdr>
                                                    <w:top w:val="none" w:sz="0" w:space="0" w:color="auto"/>
                                                    <w:left w:val="none" w:sz="0" w:space="0" w:color="auto"/>
                                                    <w:bottom w:val="none" w:sz="0" w:space="0" w:color="auto"/>
                                                    <w:right w:val="none" w:sz="0" w:space="0" w:color="auto"/>
                                                  </w:divBdr>
                                                  <w:divsChild>
                                                    <w:div w:id="1792673592">
                                                      <w:marLeft w:val="0"/>
                                                      <w:marRight w:val="0"/>
                                                      <w:marTop w:val="75"/>
                                                      <w:marBottom w:val="0"/>
                                                      <w:divBdr>
                                                        <w:top w:val="none" w:sz="0" w:space="0" w:color="auto"/>
                                                        <w:left w:val="none" w:sz="0" w:space="0" w:color="auto"/>
                                                        <w:bottom w:val="none" w:sz="0" w:space="0" w:color="auto"/>
                                                        <w:right w:val="none" w:sz="0" w:space="0" w:color="auto"/>
                                                      </w:divBdr>
                                                    </w:div>
                                                  </w:divsChild>
                                                </w:div>
                                                <w:div w:id="1992058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4556293">
      <w:bodyDiv w:val="1"/>
      <w:marLeft w:val="0"/>
      <w:marRight w:val="0"/>
      <w:marTop w:val="0"/>
      <w:marBottom w:val="0"/>
      <w:divBdr>
        <w:top w:val="none" w:sz="0" w:space="0" w:color="auto"/>
        <w:left w:val="none" w:sz="0" w:space="0" w:color="auto"/>
        <w:bottom w:val="none" w:sz="0" w:space="0" w:color="auto"/>
        <w:right w:val="none" w:sz="0" w:space="0" w:color="auto"/>
      </w:divBdr>
      <w:divsChild>
        <w:div w:id="634724698">
          <w:marLeft w:val="0"/>
          <w:marRight w:val="0"/>
          <w:marTop w:val="0"/>
          <w:marBottom w:val="0"/>
          <w:divBdr>
            <w:top w:val="single" w:sz="2" w:space="0" w:color="2E2E2E"/>
            <w:left w:val="single" w:sz="2" w:space="0" w:color="2E2E2E"/>
            <w:bottom w:val="single" w:sz="2" w:space="0" w:color="2E2E2E"/>
            <w:right w:val="single" w:sz="2" w:space="0" w:color="2E2E2E"/>
          </w:divBdr>
          <w:divsChild>
            <w:div w:id="1457798456">
              <w:marLeft w:val="0"/>
              <w:marRight w:val="0"/>
              <w:marTop w:val="0"/>
              <w:marBottom w:val="0"/>
              <w:divBdr>
                <w:top w:val="single" w:sz="6" w:space="0" w:color="C9C9C9"/>
                <w:left w:val="none" w:sz="0" w:space="0" w:color="auto"/>
                <w:bottom w:val="none" w:sz="0" w:space="0" w:color="auto"/>
                <w:right w:val="none" w:sz="0" w:space="0" w:color="auto"/>
              </w:divBdr>
              <w:divsChild>
                <w:div w:id="983697637">
                  <w:marLeft w:val="0"/>
                  <w:marRight w:val="0"/>
                  <w:marTop w:val="0"/>
                  <w:marBottom w:val="0"/>
                  <w:divBdr>
                    <w:top w:val="none" w:sz="0" w:space="0" w:color="auto"/>
                    <w:left w:val="none" w:sz="0" w:space="0" w:color="auto"/>
                    <w:bottom w:val="none" w:sz="0" w:space="0" w:color="auto"/>
                    <w:right w:val="none" w:sz="0" w:space="0" w:color="auto"/>
                  </w:divBdr>
                  <w:divsChild>
                    <w:div w:id="1758864154">
                      <w:marLeft w:val="0"/>
                      <w:marRight w:val="0"/>
                      <w:marTop w:val="0"/>
                      <w:marBottom w:val="0"/>
                      <w:divBdr>
                        <w:top w:val="none" w:sz="0" w:space="0" w:color="auto"/>
                        <w:left w:val="none" w:sz="0" w:space="0" w:color="auto"/>
                        <w:bottom w:val="none" w:sz="0" w:space="0" w:color="auto"/>
                        <w:right w:val="none" w:sz="0" w:space="0" w:color="auto"/>
                      </w:divBdr>
                      <w:divsChild>
                        <w:div w:id="31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158610">
      <w:bodyDiv w:val="1"/>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412162919">
      <w:bodyDiv w:val="1"/>
      <w:marLeft w:val="0"/>
      <w:marRight w:val="0"/>
      <w:marTop w:val="0"/>
      <w:marBottom w:val="0"/>
      <w:divBdr>
        <w:top w:val="none" w:sz="0" w:space="0" w:color="auto"/>
        <w:left w:val="none" w:sz="0" w:space="0" w:color="auto"/>
        <w:bottom w:val="none" w:sz="0" w:space="0" w:color="auto"/>
        <w:right w:val="none" w:sz="0" w:space="0" w:color="auto"/>
      </w:divBdr>
      <w:divsChild>
        <w:div w:id="405807201">
          <w:marLeft w:val="0"/>
          <w:marRight w:val="0"/>
          <w:marTop w:val="0"/>
          <w:marBottom w:val="0"/>
          <w:divBdr>
            <w:top w:val="none" w:sz="0" w:space="0" w:color="auto"/>
            <w:left w:val="none" w:sz="0" w:space="0" w:color="auto"/>
            <w:bottom w:val="none" w:sz="0" w:space="0" w:color="auto"/>
            <w:right w:val="none" w:sz="0" w:space="0" w:color="auto"/>
          </w:divBdr>
        </w:div>
        <w:div w:id="1049451213">
          <w:marLeft w:val="0"/>
          <w:marRight w:val="0"/>
          <w:marTop w:val="0"/>
          <w:marBottom w:val="0"/>
          <w:divBdr>
            <w:top w:val="none" w:sz="0" w:space="0" w:color="auto"/>
            <w:left w:val="none" w:sz="0" w:space="0" w:color="auto"/>
            <w:bottom w:val="none" w:sz="0" w:space="0" w:color="auto"/>
            <w:right w:val="none" w:sz="0" w:space="0" w:color="auto"/>
          </w:divBdr>
        </w:div>
      </w:divsChild>
    </w:div>
    <w:div w:id="615870554">
      <w:bodyDiv w:val="1"/>
      <w:marLeft w:val="0"/>
      <w:marRight w:val="0"/>
      <w:marTop w:val="0"/>
      <w:marBottom w:val="0"/>
      <w:divBdr>
        <w:top w:val="none" w:sz="0" w:space="0" w:color="auto"/>
        <w:left w:val="none" w:sz="0" w:space="0" w:color="auto"/>
        <w:bottom w:val="none" w:sz="0" w:space="0" w:color="auto"/>
        <w:right w:val="none" w:sz="0" w:space="0" w:color="auto"/>
      </w:divBdr>
      <w:divsChild>
        <w:div w:id="1640838969">
          <w:marLeft w:val="0"/>
          <w:marRight w:val="0"/>
          <w:marTop w:val="0"/>
          <w:marBottom w:val="0"/>
          <w:divBdr>
            <w:top w:val="none" w:sz="0" w:space="0" w:color="auto"/>
            <w:left w:val="none" w:sz="0" w:space="0" w:color="auto"/>
            <w:bottom w:val="none" w:sz="0" w:space="0" w:color="auto"/>
            <w:right w:val="none" w:sz="0" w:space="0" w:color="auto"/>
          </w:divBdr>
          <w:divsChild>
            <w:div w:id="845897050">
              <w:marLeft w:val="0"/>
              <w:marRight w:val="0"/>
              <w:marTop w:val="0"/>
              <w:marBottom w:val="0"/>
              <w:divBdr>
                <w:top w:val="none" w:sz="0" w:space="0" w:color="auto"/>
                <w:left w:val="none" w:sz="0" w:space="0" w:color="auto"/>
                <w:bottom w:val="none" w:sz="0" w:space="0" w:color="auto"/>
                <w:right w:val="none" w:sz="0" w:space="0" w:color="auto"/>
              </w:divBdr>
              <w:divsChild>
                <w:div w:id="1937983598">
                  <w:marLeft w:val="0"/>
                  <w:marRight w:val="0"/>
                  <w:marTop w:val="0"/>
                  <w:marBottom w:val="0"/>
                  <w:divBdr>
                    <w:top w:val="none" w:sz="0" w:space="0" w:color="auto"/>
                    <w:left w:val="none" w:sz="0" w:space="0" w:color="auto"/>
                    <w:bottom w:val="none" w:sz="0" w:space="0" w:color="auto"/>
                    <w:right w:val="none" w:sz="0" w:space="0" w:color="auto"/>
                  </w:divBdr>
                  <w:divsChild>
                    <w:div w:id="1225674871">
                      <w:marLeft w:val="0"/>
                      <w:marRight w:val="0"/>
                      <w:marTop w:val="0"/>
                      <w:marBottom w:val="0"/>
                      <w:divBdr>
                        <w:top w:val="none" w:sz="0" w:space="0" w:color="auto"/>
                        <w:left w:val="none" w:sz="0" w:space="0" w:color="auto"/>
                        <w:bottom w:val="none" w:sz="0" w:space="0" w:color="auto"/>
                        <w:right w:val="none" w:sz="0" w:space="0" w:color="auto"/>
                      </w:divBdr>
                      <w:divsChild>
                        <w:div w:id="1101292629">
                          <w:marLeft w:val="0"/>
                          <w:marRight w:val="0"/>
                          <w:marTop w:val="0"/>
                          <w:marBottom w:val="0"/>
                          <w:divBdr>
                            <w:top w:val="none" w:sz="0" w:space="0" w:color="auto"/>
                            <w:left w:val="none" w:sz="0" w:space="0" w:color="auto"/>
                            <w:bottom w:val="none" w:sz="0" w:space="0" w:color="auto"/>
                            <w:right w:val="none" w:sz="0" w:space="0" w:color="auto"/>
                          </w:divBdr>
                          <w:divsChild>
                            <w:div w:id="603801416">
                              <w:marLeft w:val="0"/>
                              <w:marRight w:val="0"/>
                              <w:marTop w:val="0"/>
                              <w:marBottom w:val="0"/>
                              <w:divBdr>
                                <w:top w:val="none" w:sz="0" w:space="0" w:color="auto"/>
                                <w:left w:val="none" w:sz="0" w:space="0" w:color="auto"/>
                                <w:bottom w:val="none" w:sz="0" w:space="0" w:color="auto"/>
                                <w:right w:val="none" w:sz="0" w:space="0" w:color="auto"/>
                              </w:divBdr>
                              <w:divsChild>
                                <w:div w:id="1013803406">
                                  <w:marLeft w:val="0"/>
                                  <w:marRight w:val="0"/>
                                  <w:marTop w:val="0"/>
                                  <w:marBottom w:val="0"/>
                                  <w:divBdr>
                                    <w:top w:val="none" w:sz="0" w:space="0" w:color="auto"/>
                                    <w:left w:val="none" w:sz="0" w:space="0" w:color="auto"/>
                                    <w:bottom w:val="none" w:sz="0" w:space="0" w:color="auto"/>
                                    <w:right w:val="none" w:sz="0" w:space="0" w:color="auto"/>
                                  </w:divBdr>
                                  <w:divsChild>
                                    <w:div w:id="592325910">
                                      <w:marLeft w:val="0"/>
                                      <w:marRight w:val="0"/>
                                      <w:marTop w:val="0"/>
                                      <w:marBottom w:val="0"/>
                                      <w:divBdr>
                                        <w:top w:val="none" w:sz="0" w:space="0" w:color="auto"/>
                                        <w:left w:val="none" w:sz="0" w:space="0" w:color="auto"/>
                                        <w:bottom w:val="none" w:sz="0" w:space="0" w:color="auto"/>
                                        <w:right w:val="none" w:sz="0" w:space="0" w:color="auto"/>
                                      </w:divBdr>
                                    </w:div>
                                    <w:div w:id="11337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44937">
      <w:bodyDiv w:val="1"/>
      <w:marLeft w:val="0"/>
      <w:marRight w:val="0"/>
      <w:marTop w:val="0"/>
      <w:marBottom w:val="0"/>
      <w:divBdr>
        <w:top w:val="none" w:sz="0" w:space="0" w:color="auto"/>
        <w:left w:val="single" w:sz="6" w:space="0" w:color="8C8C8A"/>
        <w:bottom w:val="none" w:sz="0" w:space="0" w:color="auto"/>
        <w:right w:val="single" w:sz="6" w:space="0" w:color="8C8C8A"/>
      </w:divBdr>
      <w:divsChild>
        <w:div w:id="1061754853">
          <w:marLeft w:val="0"/>
          <w:marRight w:val="0"/>
          <w:marTop w:val="0"/>
          <w:marBottom w:val="0"/>
          <w:divBdr>
            <w:top w:val="none" w:sz="0" w:space="0" w:color="auto"/>
            <w:left w:val="none" w:sz="0" w:space="0" w:color="auto"/>
            <w:bottom w:val="none" w:sz="0" w:space="0" w:color="auto"/>
            <w:right w:val="none" w:sz="0" w:space="0" w:color="auto"/>
          </w:divBdr>
          <w:divsChild>
            <w:div w:id="1391155925">
              <w:marLeft w:val="0"/>
              <w:marRight w:val="0"/>
              <w:marTop w:val="0"/>
              <w:marBottom w:val="0"/>
              <w:divBdr>
                <w:top w:val="none" w:sz="0" w:space="0" w:color="auto"/>
                <w:left w:val="none" w:sz="0" w:space="0" w:color="auto"/>
                <w:bottom w:val="none" w:sz="0" w:space="0" w:color="auto"/>
                <w:right w:val="none" w:sz="0" w:space="0" w:color="auto"/>
              </w:divBdr>
              <w:divsChild>
                <w:div w:id="1620455987">
                  <w:marLeft w:val="0"/>
                  <w:marRight w:val="0"/>
                  <w:marTop w:val="0"/>
                  <w:marBottom w:val="0"/>
                  <w:divBdr>
                    <w:top w:val="none" w:sz="0" w:space="0" w:color="auto"/>
                    <w:left w:val="none" w:sz="0" w:space="0" w:color="auto"/>
                    <w:bottom w:val="none" w:sz="0" w:space="0" w:color="auto"/>
                    <w:right w:val="none" w:sz="0" w:space="0" w:color="auto"/>
                  </w:divBdr>
                  <w:divsChild>
                    <w:div w:id="1034959165">
                      <w:marLeft w:val="0"/>
                      <w:marRight w:val="0"/>
                      <w:marTop w:val="0"/>
                      <w:marBottom w:val="0"/>
                      <w:divBdr>
                        <w:top w:val="none" w:sz="0" w:space="0" w:color="auto"/>
                        <w:left w:val="none" w:sz="0" w:space="0" w:color="auto"/>
                        <w:bottom w:val="none" w:sz="0" w:space="0" w:color="auto"/>
                        <w:right w:val="none" w:sz="0" w:space="0" w:color="auto"/>
                      </w:divBdr>
                      <w:divsChild>
                        <w:div w:id="154302477">
                          <w:marLeft w:val="0"/>
                          <w:marRight w:val="0"/>
                          <w:marTop w:val="0"/>
                          <w:marBottom w:val="0"/>
                          <w:divBdr>
                            <w:top w:val="none" w:sz="0" w:space="0" w:color="auto"/>
                            <w:left w:val="none" w:sz="0" w:space="0" w:color="auto"/>
                            <w:bottom w:val="none" w:sz="0" w:space="0" w:color="auto"/>
                            <w:right w:val="none" w:sz="0" w:space="0" w:color="auto"/>
                          </w:divBdr>
                          <w:divsChild>
                            <w:div w:id="314183117">
                              <w:marLeft w:val="0"/>
                              <w:marRight w:val="0"/>
                              <w:marTop w:val="0"/>
                              <w:marBottom w:val="0"/>
                              <w:divBdr>
                                <w:top w:val="none" w:sz="0" w:space="0" w:color="auto"/>
                                <w:left w:val="none" w:sz="0" w:space="0" w:color="auto"/>
                                <w:bottom w:val="none" w:sz="0" w:space="0" w:color="auto"/>
                                <w:right w:val="none" w:sz="0" w:space="0" w:color="auto"/>
                              </w:divBdr>
                              <w:divsChild>
                                <w:div w:id="854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28856">
      <w:bodyDiv w:val="1"/>
      <w:marLeft w:val="0"/>
      <w:marRight w:val="0"/>
      <w:marTop w:val="0"/>
      <w:marBottom w:val="0"/>
      <w:divBdr>
        <w:top w:val="none" w:sz="0" w:space="0" w:color="auto"/>
        <w:left w:val="none" w:sz="0" w:space="0" w:color="auto"/>
        <w:bottom w:val="none" w:sz="0" w:space="0" w:color="auto"/>
        <w:right w:val="none" w:sz="0" w:space="0" w:color="auto"/>
      </w:divBdr>
      <w:divsChild>
        <w:div w:id="1814134504">
          <w:marLeft w:val="0"/>
          <w:marRight w:val="0"/>
          <w:marTop w:val="0"/>
          <w:marBottom w:val="0"/>
          <w:divBdr>
            <w:top w:val="none" w:sz="0" w:space="0" w:color="auto"/>
            <w:left w:val="none" w:sz="0" w:space="0" w:color="auto"/>
            <w:bottom w:val="none" w:sz="0" w:space="0" w:color="auto"/>
            <w:right w:val="none" w:sz="0" w:space="0" w:color="auto"/>
          </w:divBdr>
          <w:divsChild>
            <w:div w:id="159659822">
              <w:marLeft w:val="0"/>
              <w:marRight w:val="0"/>
              <w:marTop w:val="0"/>
              <w:marBottom w:val="0"/>
              <w:divBdr>
                <w:top w:val="none" w:sz="0" w:space="0" w:color="auto"/>
                <w:left w:val="none" w:sz="0" w:space="0" w:color="auto"/>
                <w:bottom w:val="none" w:sz="0" w:space="0" w:color="auto"/>
                <w:right w:val="none" w:sz="0" w:space="0" w:color="auto"/>
              </w:divBdr>
              <w:divsChild>
                <w:div w:id="1958827955">
                  <w:marLeft w:val="0"/>
                  <w:marRight w:val="0"/>
                  <w:marTop w:val="900"/>
                  <w:marBottom w:val="0"/>
                  <w:divBdr>
                    <w:top w:val="none" w:sz="0" w:space="0" w:color="auto"/>
                    <w:left w:val="none" w:sz="0" w:space="0" w:color="auto"/>
                    <w:bottom w:val="none" w:sz="0" w:space="0" w:color="auto"/>
                    <w:right w:val="none" w:sz="0" w:space="0" w:color="auto"/>
                  </w:divBdr>
                  <w:divsChild>
                    <w:div w:id="933438693">
                      <w:marLeft w:val="0"/>
                      <w:marRight w:val="0"/>
                      <w:marTop w:val="0"/>
                      <w:marBottom w:val="0"/>
                      <w:divBdr>
                        <w:top w:val="none" w:sz="0" w:space="0" w:color="auto"/>
                        <w:left w:val="none" w:sz="0" w:space="0" w:color="auto"/>
                        <w:bottom w:val="none" w:sz="0" w:space="0" w:color="auto"/>
                        <w:right w:val="none" w:sz="0" w:space="0" w:color="auto"/>
                      </w:divBdr>
                      <w:divsChild>
                        <w:div w:id="1769616829">
                          <w:marLeft w:val="0"/>
                          <w:marRight w:val="0"/>
                          <w:marTop w:val="0"/>
                          <w:marBottom w:val="0"/>
                          <w:divBdr>
                            <w:top w:val="none" w:sz="0" w:space="0" w:color="auto"/>
                            <w:left w:val="none" w:sz="0" w:space="0" w:color="auto"/>
                            <w:bottom w:val="none" w:sz="0" w:space="0" w:color="auto"/>
                            <w:right w:val="none" w:sz="0" w:space="0" w:color="auto"/>
                          </w:divBdr>
                          <w:divsChild>
                            <w:div w:id="756173231">
                              <w:marLeft w:val="0"/>
                              <w:marRight w:val="0"/>
                              <w:marTop w:val="0"/>
                              <w:marBottom w:val="0"/>
                              <w:divBdr>
                                <w:top w:val="none" w:sz="0" w:space="0" w:color="auto"/>
                                <w:left w:val="none" w:sz="0" w:space="0" w:color="auto"/>
                                <w:bottom w:val="none" w:sz="0" w:space="0" w:color="auto"/>
                                <w:right w:val="none" w:sz="0" w:space="0" w:color="auto"/>
                              </w:divBdr>
                              <w:divsChild>
                                <w:div w:id="1361662292">
                                  <w:marLeft w:val="0"/>
                                  <w:marRight w:val="0"/>
                                  <w:marTop w:val="0"/>
                                  <w:marBottom w:val="0"/>
                                  <w:divBdr>
                                    <w:top w:val="none" w:sz="0" w:space="0" w:color="auto"/>
                                    <w:left w:val="none" w:sz="0" w:space="0" w:color="auto"/>
                                    <w:bottom w:val="none" w:sz="0" w:space="0" w:color="auto"/>
                                    <w:right w:val="none" w:sz="0" w:space="0" w:color="auto"/>
                                  </w:divBdr>
                                  <w:divsChild>
                                    <w:div w:id="1743989335">
                                      <w:marLeft w:val="0"/>
                                      <w:marRight w:val="0"/>
                                      <w:marTop w:val="0"/>
                                      <w:marBottom w:val="0"/>
                                      <w:divBdr>
                                        <w:top w:val="none" w:sz="0" w:space="0" w:color="auto"/>
                                        <w:left w:val="none" w:sz="0" w:space="0" w:color="auto"/>
                                        <w:bottom w:val="none" w:sz="0" w:space="0" w:color="auto"/>
                                        <w:right w:val="none" w:sz="0" w:space="0" w:color="auto"/>
                                      </w:divBdr>
                                      <w:divsChild>
                                        <w:div w:id="1421951764">
                                          <w:marLeft w:val="0"/>
                                          <w:marRight w:val="0"/>
                                          <w:marTop w:val="0"/>
                                          <w:marBottom w:val="0"/>
                                          <w:divBdr>
                                            <w:top w:val="none" w:sz="0" w:space="0" w:color="auto"/>
                                            <w:left w:val="none" w:sz="0" w:space="0" w:color="auto"/>
                                            <w:bottom w:val="none" w:sz="0" w:space="0" w:color="auto"/>
                                            <w:right w:val="none" w:sz="0" w:space="0" w:color="auto"/>
                                          </w:divBdr>
                                          <w:divsChild>
                                            <w:div w:id="394402610">
                                              <w:marLeft w:val="0"/>
                                              <w:marRight w:val="0"/>
                                              <w:marTop w:val="0"/>
                                              <w:marBottom w:val="0"/>
                                              <w:divBdr>
                                                <w:top w:val="none" w:sz="0" w:space="0" w:color="auto"/>
                                                <w:left w:val="none" w:sz="0" w:space="0" w:color="auto"/>
                                                <w:bottom w:val="none" w:sz="0" w:space="0" w:color="auto"/>
                                                <w:right w:val="none" w:sz="0" w:space="0" w:color="auto"/>
                                              </w:divBdr>
                                              <w:divsChild>
                                                <w:div w:id="1090585070">
                                                  <w:marLeft w:val="0"/>
                                                  <w:marRight w:val="0"/>
                                                  <w:marTop w:val="0"/>
                                                  <w:marBottom w:val="300"/>
                                                  <w:divBdr>
                                                    <w:top w:val="none" w:sz="0" w:space="0" w:color="auto"/>
                                                    <w:left w:val="none" w:sz="0" w:space="0" w:color="auto"/>
                                                    <w:bottom w:val="none" w:sz="0" w:space="0" w:color="auto"/>
                                                    <w:right w:val="none" w:sz="0" w:space="0" w:color="auto"/>
                                                  </w:divBdr>
                                                  <w:divsChild>
                                                    <w:div w:id="2112892926">
                                                      <w:marLeft w:val="0"/>
                                                      <w:marRight w:val="0"/>
                                                      <w:marTop w:val="75"/>
                                                      <w:marBottom w:val="0"/>
                                                      <w:divBdr>
                                                        <w:top w:val="none" w:sz="0" w:space="0" w:color="auto"/>
                                                        <w:left w:val="none" w:sz="0" w:space="0" w:color="auto"/>
                                                        <w:bottom w:val="none" w:sz="0" w:space="0" w:color="auto"/>
                                                        <w:right w:val="none" w:sz="0" w:space="0" w:color="auto"/>
                                                      </w:divBdr>
                                                    </w:div>
                                                  </w:divsChild>
                                                </w:div>
                                                <w:div w:id="11444714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7649249">
      <w:bodyDiv w:val="1"/>
      <w:marLeft w:val="0"/>
      <w:marRight w:val="0"/>
      <w:marTop w:val="0"/>
      <w:marBottom w:val="0"/>
      <w:divBdr>
        <w:top w:val="none" w:sz="0" w:space="0" w:color="auto"/>
        <w:left w:val="none" w:sz="0" w:space="0" w:color="auto"/>
        <w:bottom w:val="none" w:sz="0" w:space="0" w:color="auto"/>
        <w:right w:val="none" w:sz="0" w:space="0" w:color="auto"/>
      </w:divBdr>
      <w:divsChild>
        <w:div w:id="15665127">
          <w:marLeft w:val="0"/>
          <w:marRight w:val="0"/>
          <w:marTop w:val="0"/>
          <w:marBottom w:val="0"/>
          <w:divBdr>
            <w:top w:val="none" w:sz="0" w:space="0" w:color="auto"/>
            <w:left w:val="none" w:sz="0" w:space="0" w:color="auto"/>
            <w:bottom w:val="none" w:sz="0" w:space="0" w:color="auto"/>
            <w:right w:val="none" w:sz="0" w:space="0" w:color="auto"/>
          </w:divBdr>
        </w:div>
        <w:div w:id="622153596">
          <w:marLeft w:val="0"/>
          <w:marRight w:val="0"/>
          <w:marTop w:val="0"/>
          <w:marBottom w:val="0"/>
          <w:divBdr>
            <w:top w:val="none" w:sz="0" w:space="0" w:color="auto"/>
            <w:left w:val="none" w:sz="0" w:space="0" w:color="auto"/>
            <w:bottom w:val="none" w:sz="0" w:space="0" w:color="auto"/>
            <w:right w:val="none" w:sz="0" w:space="0" w:color="auto"/>
          </w:divBdr>
        </w:div>
        <w:div w:id="923537455">
          <w:marLeft w:val="0"/>
          <w:marRight w:val="0"/>
          <w:marTop w:val="0"/>
          <w:marBottom w:val="0"/>
          <w:divBdr>
            <w:top w:val="none" w:sz="0" w:space="0" w:color="auto"/>
            <w:left w:val="none" w:sz="0" w:space="0" w:color="auto"/>
            <w:bottom w:val="none" w:sz="0" w:space="0" w:color="auto"/>
            <w:right w:val="none" w:sz="0" w:space="0" w:color="auto"/>
          </w:divBdr>
        </w:div>
        <w:div w:id="1745452929">
          <w:marLeft w:val="0"/>
          <w:marRight w:val="0"/>
          <w:marTop w:val="0"/>
          <w:marBottom w:val="0"/>
          <w:divBdr>
            <w:top w:val="none" w:sz="0" w:space="0" w:color="auto"/>
            <w:left w:val="none" w:sz="0" w:space="0" w:color="auto"/>
            <w:bottom w:val="none" w:sz="0" w:space="0" w:color="auto"/>
            <w:right w:val="none" w:sz="0" w:space="0" w:color="auto"/>
          </w:divBdr>
        </w:div>
        <w:div w:id="1770656699">
          <w:marLeft w:val="0"/>
          <w:marRight w:val="0"/>
          <w:marTop w:val="0"/>
          <w:marBottom w:val="0"/>
          <w:divBdr>
            <w:top w:val="none" w:sz="0" w:space="0" w:color="auto"/>
            <w:left w:val="none" w:sz="0" w:space="0" w:color="auto"/>
            <w:bottom w:val="none" w:sz="0" w:space="0" w:color="auto"/>
            <w:right w:val="none" w:sz="0" w:space="0" w:color="auto"/>
          </w:divBdr>
        </w:div>
        <w:div w:id="1870338329">
          <w:marLeft w:val="0"/>
          <w:marRight w:val="0"/>
          <w:marTop w:val="0"/>
          <w:marBottom w:val="0"/>
          <w:divBdr>
            <w:top w:val="none" w:sz="0" w:space="0" w:color="auto"/>
            <w:left w:val="none" w:sz="0" w:space="0" w:color="auto"/>
            <w:bottom w:val="none" w:sz="0" w:space="0" w:color="auto"/>
            <w:right w:val="none" w:sz="0" w:space="0" w:color="auto"/>
          </w:divBdr>
        </w:div>
        <w:div w:id="1883901569">
          <w:marLeft w:val="0"/>
          <w:marRight w:val="0"/>
          <w:marTop w:val="0"/>
          <w:marBottom w:val="0"/>
          <w:divBdr>
            <w:top w:val="none" w:sz="0" w:space="0" w:color="auto"/>
            <w:left w:val="none" w:sz="0" w:space="0" w:color="auto"/>
            <w:bottom w:val="none" w:sz="0" w:space="0" w:color="auto"/>
            <w:right w:val="none" w:sz="0" w:space="0" w:color="auto"/>
          </w:divBdr>
        </w:div>
        <w:div w:id="1984843603">
          <w:marLeft w:val="0"/>
          <w:marRight w:val="0"/>
          <w:marTop w:val="0"/>
          <w:marBottom w:val="0"/>
          <w:divBdr>
            <w:top w:val="none" w:sz="0" w:space="0" w:color="auto"/>
            <w:left w:val="none" w:sz="0" w:space="0" w:color="auto"/>
            <w:bottom w:val="none" w:sz="0" w:space="0" w:color="auto"/>
            <w:right w:val="none" w:sz="0" w:space="0" w:color="auto"/>
          </w:divBdr>
        </w:div>
      </w:divsChild>
    </w:div>
    <w:div w:id="1291471628">
      <w:bodyDiv w:val="1"/>
      <w:marLeft w:val="0"/>
      <w:marRight w:val="0"/>
      <w:marTop w:val="0"/>
      <w:marBottom w:val="0"/>
      <w:divBdr>
        <w:top w:val="none" w:sz="0" w:space="0" w:color="auto"/>
        <w:left w:val="none" w:sz="0" w:space="0" w:color="auto"/>
        <w:bottom w:val="none" w:sz="0" w:space="0" w:color="auto"/>
        <w:right w:val="none" w:sz="0" w:space="0" w:color="auto"/>
      </w:divBdr>
      <w:divsChild>
        <w:div w:id="807404156">
          <w:marLeft w:val="0"/>
          <w:marRight w:val="0"/>
          <w:marTop w:val="0"/>
          <w:marBottom w:val="0"/>
          <w:divBdr>
            <w:top w:val="none" w:sz="0" w:space="0" w:color="auto"/>
            <w:left w:val="none" w:sz="0" w:space="0" w:color="auto"/>
            <w:bottom w:val="none" w:sz="0" w:space="0" w:color="auto"/>
            <w:right w:val="none" w:sz="0" w:space="0" w:color="auto"/>
          </w:divBdr>
          <w:divsChild>
            <w:div w:id="1160388852">
              <w:marLeft w:val="0"/>
              <w:marRight w:val="0"/>
              <w:marTop w:val="0"/>
              <w:marBottom w:val="0"/>
              <w:divBdr>
                <w:top w:val="none" w:sz="0" w:space="0" w:color="auto"/>
                <w:left w:val="none" w:sz="0" w:space="0" w:color="auto"/>
                <w:bottom w:val="none" w:sz="0" w:space="0" w:color="auto"/>
                <w:right w:val="none" w:sz="0" w:space="0" w:color="auto"/>
              </w:divBdr>
              <w:divsChild>
                <w:div w:id="858738799">
                  <w:marLeft w:val="0"/>
                  <w:marRight w:val="0"/>
                  <w:marTop w:val="900"/>
                  <w:marBottom w:val="0"/>
                  <w:divBdr>
                    <w:top w:val="none" w:sz="0" w:space="0" w:color="auto"/>
                    <w:left w:val="none" w:sz="0" w:space="0" w:color="auto"/>
                    <w:bottom w:val="none" w:sz="0" w:space="0" w:color="auto"/>
                    <w:right w:val="none" w:sz="0" w:space="0" w:color="auto"/>
                  </w:divBdr>
                  <w:divsChild>
                    <w:div w:id="312104260">
                      <w:marLeft w:val="0"/>
                      <w:marRight w:val="0"/>
                      <w:marTop w:val="0"/>
                      <w:marBottom w:val="0"/>
                      <w:divBdr>
                        <w:top w:val="none" w:sz="0" w:space="0" w:color="auto"/>
                        <w:left w:val="none" w:sz="0" w:space="0" w:color="auto"/>
                        <w:bottom w:val="none" w:sz="0" w:space="0" w:color="auto"/>
                        <w:right w:val="none" w:sz="0" w:space="0" w:color="auto"/>
                      </w:divBdr>
                      <w:divsChild>
                        <w:div w:id="1024018130">
                          <w:marLeft w:val="0"/>
                          <w:marRight w:val="0"/>
                          <w:marTop w:val="0"/>
                          <w:marBottom w:val="0"/>
                          <w:divBdr>
                            <w:top w:val="none" w:sz="0" w:space="0" w:color="auto"/>
                            <w:left w:val="none" w:sz="0" w:space="0" w:color="auto"/>
                            <w:bottom w:val="none" w:sz="0" w:space="0" w:color="auto"/>
                            <w:right w:val="none" w:sz="0" w:space="0" w:color="auto"/>
                          </w:divBdr>
                          <w:divsChild>
                            <w:div w:id="1752387875">
                              <w:marLeft w:val="0"/>
                              <w:marRight w:val="0"/>
                              <w:marTop w:val="0"/>
                              <w:marBottom w:val="0"/>
                              <w:divBdr>
                                <w:top w:val="none" w:sz="0" w:space="0" w:color="auto"/>
                                <w:left w:val="none" w:sz="0" w:space="0" w:color="auto"/>
                                <w:bottom w:val="none" w:sz="0" w:space="0" w:color="auto"/>
                                <w:right w:val="none" w:sz="0" w:space="0" w:color="auto"/>
                              </w:divBdr>
                              <w:divsChild>
                                <w:div w:id="1041587509">
                                  <w:marLeft w:val="0"/>
                                  <w:marRight w:val="0"/>
                                  <w:marTop w:val="0"/>
                                  <w:marBottom w:val="0"/>
                                  <w:divBdr>
                                    <w:top w:val="none" w:sz="0" w:space="0" w:color="auto"/>
                                    <w:left w:val="none" w:sz="0" w:space="0" w:color="auto"/>
                                    <w:bottom w:val="none" w:sz="0" w:space="0" w:color="auto"/>
                                    <w:right w:val="none" w:sz="0" w:space="0" w:color="auto"/>
                                  </w:divBdr>
                                  <w:divsChild>
                                    <w:div w:id="206723276">
                                      <w:marLeft w:val="0"/>
                                      <w:marRight w:val="0"/>
                                      <w:marTop w:val="0"/>
                                      <w:marBottom w:val="0"/>
                                      <w:divBdr>
                                        <w:top w:val="none" w:sz="0" w:space="0" w:color="auto"/>
                                        <w:left w:val="none" w:sz="0" w:space="0" w:color="auto"/>
                                        <w:bottom w:val="none" w:sz="0" w:space="0" w:color="auto"/>
                                        <w:right w:val="none" w:sz="0" w:space="0" w:color="auto"/>
                                      </w:divBdr>
                                      <w:divsChild>
                                        <w:div w:id="1690256672">
                                          <w:marLeft w:val="0"/>
                                          <w:marRight w:val="0"/>
                                          <w:marTop w:val="0"/>
                                          <w:marBottom w:val="0"/>
                                          <w:divBdr>
                                            <w:top w:val="none" w:sz="0" w:space="0" w:color="auto"/>
                                            <w:left w:val="none" w:sz="0" w:space="0" w:color="auto"/>
                                            <w:bottom w:val="none" w:sz="0" w:space="0" w:color="auto"/>
                                            <w:right w:val="none" w:sz="0" w:space="0" w:color="auto"/>
                                          </w:divBdr>
                                          <w:divsChild>
                                            <w:div w:id="359473013">
                                              <w:marLeft w:val="0"/>
                                              <w:marRight w:val="0"/>
                                              <w:marTop w:val="0"/>
                                              <w:marBottom w:val="0"/>
                                              <w:divBdr>
                                                <w:top w:val="none" w:sz="0" w:space="0" w:color="auto"/>
                                                <w:left w:val="none" w:sz="0" w:space="0" w:color="auto"/>
                                                <w:bottom w:val="none" w:sz="0" w:space="0" w:color="auto"/>
                                                <w:right w:val="none" w:sz="0" w:space="0" w:color="auto"/>
                                              </w:divBdr>
                                              <w:divsChild>
                                                <w:div w:id="2055343721">
                                                  <w:marLeft w:val="0"/>
                                                  <w:marRight w:val="0"/>
                                                  <w:marTop w:val="0"/>
                                                  <w:marBottom w:val="300"/>
                                                  <w:divBdr>
                                                    <w:top w:val="none" w:sz="0" w:space="0" w:color="auto"/>
                                                    <w:left w:val="none" w:sz="0" w:space="0" w:color="auto"/>
                                                    <w:bottom w:val="none" w:sz="0" w:space="0" w:color="auto"/>
                                                    <w:right w:val="none" w:sz="0" w:space="0" w:color="auto"/>
                                                  </w:divBdr>
                                                  <w:divsChild>
                                                    <w:div w:id="304165054">
                                                      <w:marLeft w:val="0"/>
                                                      <w:marRight w:val="0"/>
                                                      <w:marTop w:val="75"/>
                                                      <w:marBottom w:val="0"/>
                                                      <w:divBdr>
                                                        <w:top w:val="none" w:sz="0" w:space="0" w:color="auto"/>
                                                        <w:left w:val="none" w:sz="0" w:space="0" w:color="auto"/>
                                                        <w:bottom w:val="none" w:sz="0" w:space="0" w:color="auto"/>
                                                        <w:right w:val="none" w:sz="0" w:space="0" w:color="auto"/>
                                                      </w:divBdr>
                                                    </w:div>
                                                  </w:divsChild>
                                                </w:div>
                                                <w:div w:id="2124566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0139853">
      <w:bodyDiv w:val="1"/>
      <w:marLeft w:val="0"/>
      <w:marRight w:val="0"/>
      <w:marTop w:val="0"/>
      <w:marBottom w:val="0"/>
      <w:divBdr>
        <w:top w:val="none" w:sz="0" w:space="0" w:color="auto"/>
        <w:left w:val="none" w:sz="0" w:space="0" w:color="auto"/>
        <w:bottom w:val="none" w:sz="0" w:space="0" w:color="auto"/>
        <w:right w:val="none" w:sz="0" w:space="0" w:color="auto"/>
      </w:divBdr>
      <w:divsChild>
        <w:div w:id="773325830">
          <w:marLeft w:val="0"/>
          <w:marRight w:val="0"/>
          <w:marTop w:val="0"/>
          <w:marBottom w:val="0"/>
          <w:divBdr>
            <w:top w:val="none" w:sz="0" w:space="0" w:color="auto"/>
            <w:left w:val="none" w:sz="0" w:space="0" w:color="auto"/>
            <w:bottom w:val="none" w:sz="0" w:space="0" w:color="auto"/>
            <w:right w:val="none" w:sz="0" w:space="0" w:color="auto"/>
          </w:divBdr>
          <w:divsChild>
            <w:div w:id="1060909658">
              <w:marLeft w:val="0"/>
              <w:marRight w:val="0"/>
              <w:marTop w:val="0"/>
              <w:marBottom w:val="0"/>
              <w:divBdr>
                <w:top w:val="none" w:sz="0" w:space="0" w:color="auto"/>
                <w:left w:val="none" w:sz="0" w:space="0" w:color="auto"/>
                <w:bottom w:val="none" w:sz="0" w:space="0" w:color="auto"/>
                <w:right w:val="none" w:sz="0" w:space="0" w:color="auto"/>
              </w:divBdr>
              <w:divsChild>
                <w:div w:id="1149596592">
                  <w:marLeft w:val="0"/>
                  <w:marRight w:val="0"/>
                  <w:marTop w:val="900"/>
                  <w:marBottom w:val="0"/>
                  <w:divBdr>
                    <w:top w:val="none" w:sz="0" w:space="0" w:color="auto"/>
                    <w:left w:val="none" w:sz="0" w:space="0" w:color="auto"/>
                    <w:bottom w:val="none" w:sz="0" w:space="0" w:color="auto"/>
                    <w:right w:val="none" w:sz="0" w:space="0" w:color="auto"/>
                  </w:divBdr>
                  <w:divsChild>
                    <w:div w:id="1002591243">
                      <w:marLeft w:val="0"/>
                      <w:marRight w:val="0"/>
                      <w:marTop w:val="0"/>
                      <w:marBottom w:val="0"/>
                      <w:divBdr>
                        <w:top w:val="none" w:sz="0" w:space="0" w:color="auto"/>
                        <w:left w:val="none" w:sz="0" w:space="0" w:color="auto"/>
                        <w:bottom w:val="none" w:sz="0" w:space="0" w:color="auto"/>
                        <w:right w:val="none" w:sz="0" w:space="0" w:color="auto"/>
                      </w:divBdr>
                      <w:divsChild>
                        <w:div w:id="335812755">
                          <w:marLeft w:val="0"/>
                          <w:marRight w:val="0"/>
                          <w:marTop w:val="0"/>
                          <w:marBottom w:val="0"/>
                          <w:divBdr>
                            <w:top w:val="none" w:sz="0" w:space="0" w:color="auto"/>
                            <w:left w:val="none" w:sz="0" w:space="0" w:color="auto"/>
                            <w:bottom w:val="none" w:sz="0" w:space="0" w:color="auto"/>
                            <w:right w:val="none" w:sz="0" w:space="0" w:color="auto"/>
                          </w:divBdr>
                          <w:divsChild>
                            <w:div w:id="125781217">
                              <w:marLeft w:val="0"/>
                              <w:marRight w:val="0"/>
                              <w:marTop w:val="0"/>
                              <w:marBottom w:val="0"/>
                              <w:divBdr>
                                <w:top w:val="none" w:sz="0" w:space="0" w:color="auto"/>
                                <w:left w:val="none" w:sz="0" w:space="0" w:color="auto"/>
                                <w:bottom w:val="none" w:sz="0" w:space="0" w:color="auto"/>
                                <w:right w:val="none" w:sz="0" w:space="0" w:color="auto"/>
                              </w:divBdr>
                              <w:divsChild>
                                <w:div w:id="355813988">
                                  <w:marLeft w:val="0"/>
                                  <w:marRight w:val="0"/>
                                  <w:marTop w:val="0"/>
                                  <w:marBottom w:val="0"/>
                                  <w:divBdr>
                                    <w:top w:val="none" w:sz="0" w:space="0" w:color="auto"/>
                                    <w:left w:val="none" w:sz="0" w:space="0" w:color="auto"/>
                                    <w:bottom w:val="none" w:sz="0" w:space="0" w:color="auto"/>
                                    <w:right w:val="none" w:sz="0" w:space="0" w:color="auto"/>
                                  </w:divBdr>
                                  <w:divsChild>
                                    <w:div w:id="1273316908">
                                      <w:marLeft w:val="0"/>
                                      <w:marRight w:val="0"/>
                                      <w:marTop w:val="0"/>
                                      <w:marBottom w:val="0"/>
                                      <w:divBdr>
                                        <w:top w:val="none" w:sz="0" w:space="0" w:color="auto"/>
                                        <w:left w:val="none" w:sz="0" w:space="0" w:color="auto"/>
                                        <w:bottom w:val="none" w:sz="0" w:space="0" w:color="auto"/>
                                        <w:right w:val="none" w:sz="0" w:space="0" w:color="auto"/>
                                      </w:divBdr>
                                      <w:divsChild>
                                        <w:div w:id="1379280323">
                                          <w:marLeft w:val="0"/>
                                          <w:marRight w:val="0"/>
                                          <w:marTop w:val="0"/>
                                          <w:marBottom w:val="0"/>
                                          <w:divBdr>
                                            <w:top w:val="none" w:sz="0" w:space="0" w:color="auto"/>
                                            <w:left w:val="none" w:sz="0" w:space="0" w:color="auto"/>
                                            <w:bottom w:val="none" w:sz="0" w:space="0" w:color="auto"/>
                                            <w:right w:val="none" w:sz="0" w:space="0" w:color="auto"/>
                                          </w:divBdr>
                                          <w:divsChild>
                                            <w:div w:id="28383022">
                                              <w:marLeft w:val="0"/>
                                              <w:marRight w:val="0"/>
                                              <w:marTop w:val="300"/>
                                              <w:marBottom w:val="300"/>
                                              <w:divBdr>
                                                <w:top w:val="none" w:sz="0" w:space="0" w:color="auto"/>
                                                <w:left w:val="none" w:sz="0" w:space="0" w:color="auto"/>
                                                <w:bottom w:val="none" w:sz="0" w:space="0" w:color="auto"/>
                                                <w:right w:val="none" w:sz="0" w:space="0" w:color="auto"/>
                                              </w:divBdr>
                                              <w:divsChild>
                                                <w:div w:id="160780725">
                                                  <w:marLeft w:val="0"/>
                                                  <w:marRight w:val="0"/>
                                                  <w:marTop w:val="0"/>
                                                  <w:marBottom w:val="343"/>
                                                  <w:divBdr>
                                                    <w:top w:val="none" w:sz="0" w:space="0" w:color="auto"/>
                                                    <w:left w:val="none" w:sz="0" w:space="0" w:color="auto"/>
                                                    <w:bottom w:val="none" w:sz="0" w:space="0" w:color="auto"/>
                                                    <w:right w:val="none" w:sz="0" w:space="0" w:color="auto"/>
                                                  </w:divBdr>
                                                </w:div>
                                                <w:div w:id="56688820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0820707">
      <w:bodyDiv w:val="1"/>
      <w:marLeft w:val="0"/>
      <w:marRight w:val="0"/>
      <w:marTop w:val="0"/>
      <w:marBottom w:val="0"/>
      <w:divBdr>
        <w:top w:val="none" w:sz="0" w:space="0" w:color="auto"/>
        <w:left w:val="none" w:sz="0" w:space="0" w:color="auto"/>
        <w:bottom w:val="none" w:sz="0" w:space="0" w:color="auto"/>
        <w:right w:val="none" w:sz="0" w:space="0" w:color="auto"/>
      </w:divBdr>
      <w:divsChild>
        <w:div w:id="940454258">
          <w:marLeft w:val="0"/>
          <w:marRight w:val="0"/>
          <w:marTop w:val="0"/>
          <w:marBottom w:val="0"/>
          <w:divBdr>
            <w:top w:val="none" w:sz="0" w:space="0" w:color="auto"/>
            <w:left w:val="none" w:sz="0" w:space="0" w:color="auto"/>
            <w:bottom w:val="none" w:sz="0" w:space="0" w:color="auto"/>
            <w:right w:val="none" w:sz="0" w:space="0" w:color="auto"/>
          </w:divBdr>
          <w:divsChild>
            <w:div w:id="1633713679">
              <w:marLeft w:val="0"/>
              <w:marRight w:val="0"/>
              <w:marTop w:val="0"/>
              <w:marBottom w:val="0"/>
              <w:divBdr>
                <w:top w:val="none" w:sz="0" w:space="0" w:color="auto"/>
                <w:left w:val="none" w:sz="0" w:space="0" w:color="auto"/>
                <w:bottom w:val="none" w:sz="0" w:space="0" w:color="auto"/>
                <w:right w:val="none" w:sz="0" w:space="0" w:color="auto"/>
              </w:divBdr>
              <w:divsChild>
                <w:div w:id="1071928885">
                  <w:marLeft w:val="0"/>
                  <w:marRight w:val="0"/>
                  <w:marTop w:val="0"/>
                  <w:marBottom w:val="0"/>
                  <w:divBdr>
                    <w:top w:val="none" w:sz="0" w:space="0" w:color="auto"/>
                    <w:left w:val="none" w:sz="0" w:space="0" w:color="auto"/>
                    <w:bottom w:val="none" w:sz="0" w:space="0" w:color="auto"/>
                    <w:right w:val="none" w:sz="0" w:space="0" w:color="auto"/>
                  </w:divBdr>
                  <w:divsChild>
                    <w:div w:id="1355158030">
                      <w:marLeft w:val="0"/>
                      <w:marRight w:val="0"/>
                      <w:marTop w:val="0"/>
                      <w:marBottom w:val="0"/>
                      <w:divBdr>
                        <w:top w:val="none" w:sz="0" w:space="0" w:color="auto"/>
                        <w:left w:val="none" w:sz="0" w:space="0" w:color="auto"/>
                        <w:bottom w:val="none" w:sz="0" w:space="0" w:color="auto"/>
                        <w:right w:val="none" w:sz="0" w:space="0" w:color="auto"/>
                      </w:divBdr>
                      <w:divsChild>
                        <w:div w:id="660158824">
                          <w:marLeft w:val="0"/>
                          <w:marRight w:val="0"/>
                          <w:marTop w:val="0"/>
                          <w:marBottom w:val="0"/>
                          <w:divBdr>
                            <w:top w:val="none" w:sz="0" w:space="0" w:color="auto"/>
                            <w:left w:val="none" w:sz="0" w:space="0" w:color="auto"/>
                            <w:bottom w:val="none" w:sz="0" w:space="0" w:color="auto"/>
                            <w:right w:val="none" w:sz="0" w:space="0" w:color="auto"/>
                          </w:divBdr>
                          <w:divsChild>
                            <w:div w:id="1816143725">
                              <w:marLeft w:val="0"/>
                              <w:marRight w:val="0"/>
                              <w:marTop w:val="0"/>
                              <w:marBottom w:val="0"/>
                              <w:divBdr>
                                <w:top w:val="none" w:sz="0" w:space="0" w:color="auto"/>
                                <w:left w:val="none" w:sz="0" w:space="0" w:color="auto"/>
                                <w:bottom w:val="none" w:sz="0" w:space="0" w:color="auto"/>
                                <w:right w:val="none" w:sz="0" w:space="0" w:color="auto"/>
                              </w:divBdr>
                              <w:divsChild>
                                <w:div w:id="1441028795">
                                  <w:marLeft w:val="0"/>
                                  <w:marRight w:val="0"/>
                                  <w:marTop w:val="0"/>
                                  <w:marBottom w:val="0"/>
                                  <w:divBdr>
                                    <w:top w:val="none" w:sz="0" w:space="0" w:color="auto"/>
                                    <w:left w:val="none" w:sz="0" w:space="0" w:color="auto"/>
                                    <w:bottom w:val="none" w:sz="0" w:space="0" w:color="auto"/>
                                    <w:right w:val="none" w:sz="0" w:space="0" w:color="auto"/>
                                  </w:divBdr>
                                  <w:divsChild>
                                    <w:div w:id="481311093">
                                      <w:marLeft w:val="0"/>
                                      <w:marRight w:val="0"/>
                                      <w:marTop w:val="0"/>
                                      <w:marBottom w:val="0"/>
                                      <w:divBdr>
                                        <w:top w:val="none" w:sz="0" w:space="0" w:color="auto"/>
                                        <w:left w:val="none" w:sz="0" w:space="0" w:color="auto"/>
                                        <w:bottom w:val="none" w:sz="0" w:space="0" w:color="auto"/>
                                        <w:right w:val="none" w:sz="0" w:space="0" w:color="auto"/>
                                      </w:divBdr>
                                      <w:divsChild>
                                        <w:div w:id="2099207459">
                                          <w:marLeft w:val="0"/>
                                          <w:marRight w:val="0"/>
                                          <w:marTop w:val="0"/>
                                          <w:marBottom w:val="0"/>
                                          <w:divBdr>
                                            <w:top w:val="none" w:sz="0" w:space="0" w:color="auto"/>
                                            <w:left w:val="none" w:sz="0" w:space="0" w:color="auto"/>
                                            <w:bottom w:val="none" w:sz="0" w:space="0" w:color="auto"/>
                                            <w:right w:val="none" w:sz="0" w:space="0" w:color="auto"/>
                                          </w:divBdr>
                                          <w:divsChild>
                                            <w:div w:id="198430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953867">
      <w:bodyDiv w:val="1"/>
      <w:marLeft w:val="0"/>
      <w:marRight w:val="0"/>
      <w:marTop w:val="0"/>
      <w:marBottom w:val="0"/>
      <w:divBdr>
        <w:top w:val="none" w:sz="0" w:space="0" w:color="auto"/>
        <w:left w:val="none" w:sz="0" w:space="0" w:color="auto"/>
        <w:bottom w:val="none" w:sz="0" w:space="0" w:color="auto"/>
        <w:right w:val="none" w:sz="0" w:space="0" w:color="auto"/>
      </w:divBdr>
      <w:divsChild>
        <w:div w:id="204946918">
          <w:marLeft w:val="0"/>
          <w:marRight w:val="0"/>
          <w:marTop w:val="0"/>
          <w:marBottom w:val="0"/>
          <w:divBdr>
            <w:top w:val="none" w:sz="0" w:space="0" w:color="auto"/>
            <w:left w:val="none" w:sz="0" w:space="0" w:color="auto"/>
            <w:bottom w:val="none" w:sz="0" w:space="0" w:color="auto"/>
            <w:right w:val="none" w:sz="0" w:space="0" w:color="auto"/>
          </w:divBdr>
        </w:div>
        <w:div w:id="485778689">
          <w:marLeft w:val="0"/>
          <w:marRight w:val="0"/>
          <w:marTop w:val="0"/>
          <w:marBottom w:val="0"/>
          <w:divBdr>
            <w:top w:val="none" w:sz="0" w:space="0" w:color="auto"/>
            <w:left w:val="none" w:sz="0" w:space="0" w:color="auto"/>
            <w:bottom w:val="none" w:sz="0" w:space="0" w:color="auto"/>
            <w:right w:val="none" w:sz="0" w:space="0" w:color="auto"/>
          </w:divBdr>
        </w:div>
        <w:div w:id="787896831">
          <w:marLeft w:val="0"/>
          <w:marRight w:val="0"/>
          <w:marTop w:val="0"/>
          <w:marBottom w:val="0"/>
          <w:divBdr>
            <w:top w:val="none" w:sz="0" w:space="0" w:color="auto"/>
            <w:left w:val="none" w:sz="0" w:space="0" w:color="auto"/>
            <w:bottom w:val="none" w:sz="0" w:space="0" w:color="auto"/>
            <w:right w:val="none" w:sz="0" w:space="0" w:color="auto"/>
          </w:divBdr>
        </w:div>
        <w:div w:id="839201873">
          <w:marLeft w:val="0"/>
          <w:marRight w:val="0"/>
          <w:marTop w:val="0"/>
          <w:marBottom w:val="0"/>
          <w:divBdr>
            <w:top w:val="none" w:sz="0" w:space="0" w:color="auto"/>
            <w:left w:val="none" w:sz="0" w:space="0" w:color="auto"/>
            <w:bottom w:val="none" w:sz="0" w:space="0" w:color="auto"/>
            <w:right w:val="none" w:sz="0" w:space="0" w:color="auto"/>
          </w:divBdr>
        </w:div>
        <w:div w:id="97074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01B6070-5204-41C2-AA16-7FA3DA60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426CA410.dotm</Template>
  <TotalTime>1</TotalTime>
  <Pages>14</Pages>
  <Words>3178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21251</CharactersWithSpaces>
  <SharedDoc>false</SharedDoc>
  <HLinks>
    <vt:vector size="12" baseType="variant">
      <vt:variant>
        <vt:i4>7995507</vt:i4>
      </vt:variant>
      <vt:variant>
        <vt:i4>92</vt:i4>
      </vt:variant>
      <vt:variant>
        <vt:i4>0</vt:i4>
      </vt:variant>
      <vt:variant>
        <vt:i4>5</vt:i4>
      </vt:variant>
      <vt:variant>
        <vt:lpwstr>http://www.chalfontdesign.com/media/The Lodge_proposed courtyard renovation_A3.pdf</vt:lpwstr>
      </vt:variant>
      <vt:variant>
        <vt:lpwstr/>
      </vt:variant>
      <vt:variant>
        <vt:i4>3932183</vt:i4>
      </vt:variant>
      <vt:variant>
        <vt:i4>89</vt:i4>
      </vt:variant>
      <vt:variant>
        <vt:i4>0</vt:i4>
      </vt:variant>
      <vt:variant>
        <vt:i4>5</vt:i4>
      </vt:variant>
      <vt:variant>
        <vt:lpwstr>http://www.chalfontdesign.com/media/Dementia_Green_Care_Handbook.pdf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dc:creator>
  <cp:lastModifiedBy>Piran White</cp:lastModifiedBy>
  <cp:revision>2</cp:revision>
  <cp:lastPrinted>2016-05-20T14:24:00Z</cp:lastPrinted>
  <dcterms:created xsi:type="dcterms:W3CDTF">2017-10-03T09:21:00Z</dcterms:created>
  <dcterms:modified xsi:type="dcterms:W3CDTF">2017-10-03T09:21:00Z</dcterms:modified>
</cp:coreProperties>
</file>