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35F60" w14:textId="77777777" w:rsidR="00232D39" w:rsidRDefault="00232D39" w:rsidP="00232D39">
      <w:pPr>
        <w:pStyle w:val="ListParagraph"/>
        <w:numPr>
          <w:ilvl w:val="0"/>
          <w:numId w:val="1"/>
        </w:numPr>
        <w:jc w:val="center"/>
        <w:rPr>
          <w:b/>
        </w:rPr>
      </w:pPr>
      <w:bookmarkStart w:id="0" w:name="_GoBack"/>
      <w:bookmarkEnd w:id="0"/>
      <w:r w:rsidRPr="00F46D88">
        <w:rPr>
          <w:b/>
        </w:rPr>
        <w:t>Introduction</w:t>
      </w:r>
    </w:p>
    <w:p w14:paraId="4BEEEB52" w14:textId="77777777" w:rsidR="008C0380" w:rsidRDefault="008C0380" w:rsidP="007C4F7B">
      <w:pPr>
        <w:ind w:firstLine="204"/>
      </w:pPr>
    </w:p>
    <w:p w14:paraId="27C695F6" w14:textId="77777777" w:rsidR="005626FD" w:rsidRDefault="005626FD" w:rsidP="005626FD">
      <w:pPr>
        <w:ind w:firstLine="204"/>
      </w:pPr>
      <w:r w:rsidRPr="00452DE9">
        <w:t xml:space="preserve">HIV/AIDS </w:t>
      </w:r>
      <w:r>
        <w:t xml:space="preserve">is a leading cause morbidity and mortality in sub-Saharan Africa, where </w:t>
      </w:r>
      <w:r w:rsidR="0055497E">
        <w:t>25</w:t>
      </w:r>
      <w:r>
        <w:t xml:space="preserve"> million people are living with </w:t>
      </w:r>
      <w:r w:rsidR="00496FE9">
        <w:t>the disease</w:t>
      </w:r>
      <w:r>
        <w:t xml:space="preserve">.  </w:t>
      </w:r>
      <w:r w:rsidRPr="003E2891">
        <w:t>Antiretroviral therapy (ART) has been shown to reduce mortality among those infected</w:t>
      </w:r>
      <w:r>
        <w:t xml:space="preserve">, </w:t>
      </w:r>
      <w:r w:rsidRPr="003E2891">
        <w:t>and</w:t>
      </w:r>
      <w:r>
        <w:t xml:space="preserve"> global health policies such as the UNAIDS "3 by 5" campaign (</w:t>
      </w:r>
      <w:r w:rsidRPr="000B14D3">
        <w:t xml:space="preserve">to provide ART to 3 million people living with </w:t>
      </w:r>
      <w:r w:rsidR="00152AAE">
        <w:t>HIV/</w:t>
      </w:r>
      <w:r w:rsidRPr="000B14D3">
        <w:t xml:space="preserve">AIDS in </w:t>
      </w:r>
      <w:r w:rsidR="00152AAE">
        <w:t>low- and middle-income countries</w:t>
      </w:r>
      <w:r w:rsidR="004634A6">
        <w:t>,</w:t>
      </w:r>
      <w:r w:rsidR="00152AAE">
        <w:t xml:space="preserve"> LMICs</w:t>
      </w:r>
      <w:r w:rsidR="004634A6">
        <w:t>,</w:t>
      </w:r>
      <w:r w:rsidRPr="000B14D3">
        <w:t xml:space="preserve"> by 2005</w:t>
      </w:r>
      <w:r>
        <w:t>) have promoted the provision of ART.</w:t>
      </w:r>
      <w:r w:rsidRPr="00C066D3">
        <w:rPr>
          <w:rStyle w:val="FootnoteReference"/>
        </w:rPr>
        <w:footnoteReference w:id="2"/>
      </w:r>
      <w:r>
        <w:t xml:space="preserve">  As a result of action around initiatives like this, AIDS related deaths fell by 39% in sub-Saharan Africa between 2005 and </w:t>
      </w:r>
      <w:r w:rsidRPr="006F2FC8">
        <w:t xml:space="preserve">2013 </w:t>
      </w:r>
      <w:r w:rsidR="005D7F89">
        <w:fldChar w:fldCharType="begin" w:fldLock="1"/>
      </w:r>
      <w:r>
        <w:instrText>ADDIN CSL_CITATION { "citationItems" : [ { "id" : "ITEM-1", "itemData" : { "author" : [ { "dropping-particle" : "", "family" : "UNAIDS", "given" : "", "non-dropping-particle" : "", "parse-names" : false, "suffix" : "" } ], "id" : "ITEM-1", "issued" : { "date-parts" : [ [ "2014" ] ] }, "publisher-place" : "Geneva", "title" : "The Gap Report", "type" : "report" }, "uris" : [ "http://www.mendeley.com/documents/?uuid=0450a4bd-9f9c-4c94-8c84-ee7888af1aa3" ] } ], "mendeley" : { "formattedCitation" : "(UNAIDS 2014)", "plainTextFormattedCitation" : "(UNAIDS 2014)", "previouslyFormattedCitation" : "(UNAIDS 2014)" }, "properties" : { "noteIndex" : 0 }, "schema" : "https://github.com/citation-style-language/schema/raw/master/csl-citation.json" }</w:instrText>
      </w:r>
      <w:r w:rsidR="005D7F89">
        <w:fldChar w:fldCharType="separate"/>
      </w:r>
      <w:r w:rsidRPr="00FA090D">
        <w:rPr>
          <w:noProof/>
        </w:rPr>
        <w:t>(UNAIDS 2014)</w:t>
      </w:r>
      <w:r w:rsidR="005D7F89">
        <w:fldChar w:fldCharType="end"/>
      </w:r>
      <w:r>
        <w:t>.  In 2015</w:t>
      </w:r>
      <w:r w:rsidR="004634A6">
        <w:t>,</w:t>
      </w:r>
      <w:r>
        <w:t xml:space="preserve"> the World Health Organization (WHO) adopted a “treat all” </w:t>
      </w:r>
      <w:r w:rsidR="004634A6">
        <w:t>approach, recommend</w:t>
      </w:r>
      <w:r w:rsidR="00BA1690">
        <w:t>ing</w:t>
      </w:r>
      <w:r w:rsidR="004634A6">
        <w:t xml:space="preserve"> that</w:t>
      </w:r>
      <w:r>
        <w:t xml:space="preserve"> countries treat</w:t>
      </w:r>
      <w:r w:rsidR="004634A6">
        <w:t xml:space="preserve"> all HIV-infected individuals</w:t>
      </w:r>
      <w:r w:rsidRPr="00361B8B">
        <w:t xml:space="preserve"> </w:t>
      </w:r>
      <w:r>
        <w:t>with</w:t>
      </w:r>
      <w:r w:rsidRPr="00361B8B">
        <w:t xml:space="preserve"> </w:t>
      </w:r>
      <w:r>
        <w:t>ART</w:t>
      </w:r>
      <w:r w:rsidRPr="00361B8B">
        <w:t xml:space="preserve"> as soon after diagnosis as possible</w:t>
      </w:r>
      <w:r>
        <w:t xml:space="preserve">.  Despite this, the </w:t>
      </w:r>
      <w:r w:rsidR="00152AAE">
        <w:t>proportion of</w:t>
      </w:r>
      <w:r>
        <w:t xml:space="preserve"> people living </w:t>
      </w:r>
      <w:r w:rsidR="00152AAE">
        <w:t xml:space="preserve">with HIV in Sub-Saharan Africa on ART </w:t>
      </w:r>
      <w:r>
        <w:t xml:space="preserve">remains </w:t>
      </w:r>
      <w:r w:rsidR="00152AAE">
        <w:t>approximately</w:t>
      </w:r>
      <w:r>
        <w:t xml:space="preserve"> 50%</w:t>
      </w:r>
      <w:r w:rsidR="00E81A36">
        <w:t xml:space="preserve"> </w:t>
      </w:r>
      <w:r w:rsidR="00E81A36">
        <w:fldChar w:fldCharType="begin" w:fldLock="1"/>
      </w:r>
      <w:r w:rsidR="00A83CC7">
        <w:instrText>ADDIN CSL_CITATION { "citationItems" : [ { "id" : "ITEM-1", "itemData" : { "URL" : "http://data.worldbank.org/indicator/SH.HIV.ARTC.ZS?page=1", "accessed" : { "date-parts" : [ [ "2017", "8", "9" ] ] }, "author" : [ { "dropping-particle" : "", "family" : "World Bank", "given" : "", "non-dropping-particle" : "", "parse-names" : false, "suffix" : "" } ], "id" : "ITEM-1", "issued" : { "date-parts" : [ [ "2017" ] ] }, "title" : "Antiretroviral therapy coverage (% of people living with HIV)", "type" : "webpage" }, "uris" : [ "http://www.mendeley.com/documents/?uuid=4a8f3b47-015e-3fed-bae4-32d4e117ef5a" ] } ], "mendeley" : { "formattedCitation" : "(World Bank 2017a)", "plainTextFormattedCitation" : "(World Bank 2017a)", "previouslyFormattedCitation" : "(World Bank 2017a)" }, "properties" : { "noteIndex" : 0 }, "schema" : "https://github.com/citation-style-language/schema/raw/master/csl-citation.json" }</w:instrText>
      </w:r>
      <w:r w:rsidR="00E81A36">
        <w:fldChar w:fldCharType="separate"/>
      </w:r>
      <w:r w:rsidR="00427EED" w:rsidRPr="00427EED">
        <w:rPr>
          <w:noProof/>
        </w:rPr>
        <w:t>(World Bank 2017a)</w:t>
      </w:r>
      <w:r w:rsidR="00E81A36">
        <w:fldChar w:fldCharType="end"/>
      </w:r>
      <w:r>
        <w:t>.</w:t>
      </w:r>
      <w:r w:rsidRPr="009F3686">
        <w:t xml:space="preserve"> </w:t>
      </w:r>
    </w:p>
    <w:p w14:paraId="0873CACC" w14:textId="7D9343FB" w:rsidR="005626FD" w:rsidRDefault="005626FD" w:rsidP="005626FD">
      <w:pPr>
        <w:ind w:firstLine="204"/>
      </w:pPr>
      <w:r>
        <w:t xml:space="preserve">In addition to the </w:t>
      </w:r>
      <w:r w:rsidR="00697942">
        <w:t xml:space="preserve">reduction in mortality </w:t>
      </w:r>
      <w:r>
        <w:t>that results from increases in ART uptake, there are also improved</w:t>
      </w:r>
      <w:r w:rsidRPr="00C234B1">
        <w:t xml:space="preserve"> employment </w:t>
      </w:r>
      <w:r>
        <w:t>outcomes in terms of labor market participation</w:t>
      </w:r>
      <w:r w:rsidRPr="00C234B1">
        <w:t xml:space="preserve"> and productivity</w:t>
      </w:r>
      <w:r>
        <w:t xml:space="preserve"> </w:t>
      </w:r>
      <w:r w:rsidR="005D7F89">
        <w:fldChar w:fldCharType="begin" w:fldLock="1"/>
      </w:r>
      <w:r w:rsidR="00F77306">
        <w:instrText>ADDIN CSL_CITATION { "citationItems" : [ { "id" : "ITEM-1", "itemData" : { "DOI" : "10.1111/j.1365-3156.2004.01207.x", "ISSN" : "1360-2276", "author" : [ { "dropping-particle" : "", "family" : "Fox", "given" : "Matthew P.", "non-dropping-particle" : "", "parse-names" : false, "suffix" : "" }, { "dropping-particle" : "", "family" : "Rosen", "given" : "Sydney", "non-dropping-particle" : "", "parse-names" : false, "suffix" : "" }, { "dropping-particle" : "", "family" : "MacLeod", "given" : "William B.", "non-dropping-particle" : "", "parse-names" : false, "suffix" : "" }, { "dropping-particle" : "", "family" : "Wasunna", "given" : "Monique", "non-dropping-particle" : "", "parse-names" : false, "suffix" : "" }, { "dropping-particle" : "", "family" : "Bii", "given" : "Margaret", "non-dropping-particle" : "", "parse-names" : false, "suffix" : "" }, { "dropping-particle" : "", "family" : "Foglia", "given" : "Ginamarie", "non-dropping-particle" : "", "parse-names" : false, "suffix" : "" }, { "dropping-particle" : "", "family" : "Simon", "given" : "Jonathon L.", "non-dropping-particle" : "", "parse-names" : false, "suffix" : "" } ], "container-title" : "Tropical Medicine and International Health", "id" : "ITEM-1", "issue" : "3", "issued" : { "date-parts" : [ [ "2004", "3" ] ] }, "page" : "318-324", "title" : "The impact of HIV/AIDS on labour productivity in Kenya", "type" : "article-journal", "volume" : "9" }, "uris" : [ "http://www.mendeley.com/documents/?uuid=97bbe47c-7f16-448a-abe5-f2983f49072e" ] }, { "id" : "ITEM-2", "itemData" : { "DOI" : "10.1097/QAD.0b013e3282f3cc0c", "ISSN" : "1473-5571", "PMID" : "18195569", "abstract" : "OBJECTIVE: This paper estimates the impact of antiretroviral therapy (ART) on days harvesting tea per month for tea-estate workers in Kenya. Such information is needed to assess the potential economic benefits of providing treatment to working adults.\n\nMETHODS: Data for this analysis come from company payroll records for 59 HIV-infected workers and a comparison group of all workers assigned to the same work teams (reference group, n = 1992) for a period covering 2 years before and 1 year after initiating ART. Mean difference tests were used to obtain overall trends in days harvesting tea by month. A difference in difference approach was used to estimate the impact of HIV/AIDS on days working in the pre-ART period. Information on likely trends in the absence of the therapy was used to estimate the positive impacts on days harvesting tea over the initial 12 months on ART.\n\nRESULTS: No significant difference existed in days plucking tea each month until the ninth month before initiating ART, when workers worked -2.79 fewer days than references (15% less). This difference grew to 5.09 fewer days (27% less) in the final month before initiating ART. After 12 months on ART, we conservatively estimate that workers worked at least twice as many days in the month than they would have in the absence of ART.\n\nCONCLUSIONS: Treatment had a large, positive impact on the ability of workers to undertake their primary work activity, harvesting tea, in the first year on ART.", "author" : [ { "dropping-particle" : "", "family" : "Larson", "given" : "Bruce A", "non-dropping-particle" : "", "parse-names" : false, "suffix" : "" }, { "dropping-particle" : "", "family" : "Fox", "given" : "Matthew P", "non-dropping-particle" : "", "parse-names" : false, "suffix" : "" }, { "dropping-particle" : "", "family" : "Rosen", "given" : "Sydney", "non-dropping-particle" : "", "parse-names" : false, "suffix" : "" }, { "dropping-particle" : "", "family" : "Bii", "given" : "Margaret", "non-dropping-particle" : "", "parse-names" : false, "suffix" : "" }, { "dropping-particle" : "", "family" : "Sigei", "given" : "Carolyne", "non-dropping-particle" : "", "parse-names" : false, "suffix" : "" }, { "dropping-particle" : "", "family" : "Shaffer", "given" : "Douglas", "non-dropping-particle" : "", "parse-names" : false, "suffix" : "" }, { "dropping-particle" : "", "family" : "Sawe", "given" : "Fredrick", "non-dropping-particle" : "", "parse-names" : false, "suffix" : "" }, { "dropping-particle" : "", "family" : "Wasunna", "given" : "Monique", "non-dropping-particle" : "", "parse-names" : false, "suffix" : "" }, { "dropping-particle" : "", "family" : "Simon", "given" : "Jonathon L", "non-dropping-particle" : "", "parse-names" : false, "suffix" : "" } ], "container-title" : "AIDS (London, England)", "id" : "ITEM-2", "issue" : "3", "issued" : { "date-parts" : [ [ "2008", "1", "30" ] ] }, "page" : "421-5", "title" : "Early effects of antiretroviral therapy on work performance: preliminary results from a cohort study of Kenyan agricultural workers.", "type" : "article-journal", "volume" : "22" }, "uris" : [ "http://www.mendeley.com/documents/?uuid=a1bc2a23-79bb-41a3-8e2b-7ec978087a74" ] }, { "id" : "ITEM-3", "itemData" : { "ISSN" : "0022-166X", "PMID" : "22180664", "abstract" : "Using longitudinal survey data collected in collaboration with a treatment program, this paper estimates the economic impacts of antiretroviral treatment. The responses in two outcomes are studied: (1) labor supply of treated adult AIDS patients; and (2) labor supply of individuals in patients' households. Within six months after treatment initiation, there is a 20 percent increase in the likelihood of the patient participating in the labor force and a 35 percent increase in weekly hours worked. Young boys in treated patients' households work significantly less after treatment initiation, while girls and adult household members do not change their labor supply.", "author" : [ { "dropping-particle" : "", "family" : "Thirumurthy", "given" : "Harsha", "non-dropping-particle" : "", "parse-names" : false, "suffix" : "" }, { "dropping-particle" : "", "family" : "Zivin", "given" : "Joshua Graff", "non-dropping-particle" : "", "parse-names" : false, "suffix" : "" }, { "dropping-particle" : "", "family" : "Goldstein", "given" : "Markus", "non-dropping-particle" : "", "parse-names" : false, "suffix" : "" } ], "container-title" : "The Journal of human resources", "id" : "ITEM-3", "issue" : "3", "issued" : { "date-parts" : [ [ "2008", "1" ] ] }, "language" : "en", "page" : "511-552", "publisher" : "NIH Public Access", "title" : "The Economic Impact of AIDS Treatment: Labor Supply in Western Kenya.", "type" : "article-journal", "volume" : "43" }, "uris" : [ "http://www.mendeley.com/documents/?uuid=4d40eaa9-5ce6-4248-abe2-fc2eb24b4a5d" ] }, { "id" : "ITEM-4", "itemData" : { "DOI" : "10.1097/QAD.0b013e328341b928", "ISSN" : "0269-9370", "PMID" : "21150560", "abstract" : "OBJECTIVES: to estimate the economic impact of antiretroviral therapy (ART) on employment and income of treated patients as well as a comparison group of pre-ART patients who receive care and support in Tamil Nadu, India.\n\nMETHODS: a cohort of 1238 HIV-infected patients was followed between 2005 and 2007. Socioeconomic data were collected at 6-month intervals. A total of 515 patients initiated ART during the study period, whereas a comparison group of 723 patients were pre-ART. The impact of ART on four employment outcomes was analyzed: participation in economic activities in the past week, number of hours worked in the past week, individual income earned in the past 30 days and 6 months. Regression models including patient fixed effects were estimated. Data from the comparison group of patients were used to adjust for time trends in employment outcomes.\n\nRESULTS: At 6 months after initiation of ART, patients were 10 percentage points more likely to be economically active (P &lt; 0.01) and worked 5.5 additional hours per week (P &lt; 0.01). These increases were over and above those experienced by the comparison group. The estimated 24-month impacts represent a doubling of patients' employment levels at baseline. At 24 months after ART initiation, employment increases remained large and significant. Effects were almost twice as large for men compared with women. Income earned in the past 30 days and 6 months also rose significantly.\n\nCONCLUSION: ART resulted in a rapid and sustained increase in employment and income for patients. The results demonstrate that ART can improve the economic outcomes of HIV-infected patients.", "author" : [ { "dropping-particle" : "", "family" : "Thirumurthy", "given" : "Harsha", "non-dropping-particle" : "", "parse-names" : false, "suffix" : "" }, { "dropping-particle" : "", "family" : "Jafri", "given" : "Aisha", "non-dropping-particle" : "", "parse-names" : false, "suffix" : "" }, { "dropping-particle" : "", "family" : "Srinivas", "given" : "Govindarajulu", "non-dropping-particle" : "", "parse-names" : false, "suffix" : "" }, { "dropping-particle" : "", "family" : "Arumugam", "given" : "Viswanathan", "non-dropping-particle" : "", "parse-names" : false, "suffix" : "" }, { "dropping-particle" : "", "family" : "Saravanan", "given" : "Ramasamy M", "non-dropping-particle" : "", "parse-names" : false, "suffix" : "" }, { "dropping-particle" : "", "family" : "Angappan", "given" : "Sathish K", "non-dropping-particle" : "", "parse-names" : false, "suffix" : "" }, { "dropping-particle" : "", "family" : "Ponnusamy", "given" : "Manivannan", "non-dropping-particle" : "", "parse-names" : false, "suffix" : "" }, { "dropping-particle" : "", "family" : "Raghavan", "given" : "Subhasree", "non-dropping-particle" : "", "parse-names" : false, "suffix" : "" }, { "dropping-particle" : "", "family" : "Merson", "given" : "Michael", "non-dropping-particle" : "", "parse-names" : false, "suffix" : "" }, { "dropping-particle" : "", "family" : "Kallolikar", "given" : "Shambhu", "non-dropping-particle" : "", "parse-names" : false, "suffix" : "" } ], "container-title" : "AIDS", "id" : "ITEM-4", "issue" : "2", "issued" : { "date-parts" : [ [ "2011", "1", "14" ] ] }, "page" : "239-246", "title" : "Two-year impacts on employment and income among adults receiving antiretroviral therapy in Tamil Nadu, India: a cohort study", "type" : "article-journal", "volume" : "25" }, "uris" : [ "http://www.mendeley.com/documents/?uuid=825d6080-e4ff-47d7-8f51-89a2783da487" ] }, { "id" : "ITEM-5", "itemData" : { "DOI" : "10.3368/jhr.45.4.809", "ISSN" : "0022-166X", "abstract" : "We characterize medium and long-run labor market impacts of HIV/AIDS and ARV treatment using unique panel data of worker absenteeism and information from an AIDS treatment program at a large mining firm in Botswana. We present robust evidence of an inverse-V shaped pattern in worker absenteeism around the time of ARV treatment inception. Absenteeism one to four years after treatment start is low and similar to nonenrolled workers at the firm. Furthermore, our analysis suggests that for the typical manufacturing firm in Africa, the benefits of treatment to the firm cover 8-22 percent of the cost of treatment.", "author" : [ { "dropping-particle" : "", "family" : "Habyarimana", "given" : "James", "non-dropping-particle" : "", "parse-names" : false, "suffix" : "" }, { "dropping-particle" : "", "family" : "Mbakile", "given" : "Bekezela", "non-dropping-particle" : "", "parse-names" : false, "suffix" : "" }, { "dropping-particle" : "", "family" : "Pop-Eleches", "given" : "Cristian", "non-dropping-particle" : "", "parse-names" : false, "suffix" : "" } ], "container-title" : "Journal of Human Resources", "id" : "ITEM-5", "issue" : "4", "issued" : { "date-parts" : [ [ "2010", "9", "29" ] ] }, "page" : "809-839", "title" : "The Impact of HIV/AIDS and ARV Treatment on Worker Absenteeism", "type" : "article-journal", "volume" : "45" }, "uris" : [ "http://www.mendeley.com/documents/?uuid=e72eb6f5-8170-4eca-b5e8-6b199426c7e4" ] }, { "id" : "ITEM-6", "itemData" : { "DOI" : "10.1371/journal.pone.0012731", "ISSN" : "1932-6203", "PMID" : "20856821", "abstract" : "BACKGROUND: Although the medical outcomes of antiretroviral therapy (ART) for HIV/AIDS are well described, less is known about how ART affects patients' economic activities and quality of life, especially after the first year on ART. We assessed symptom prevalence, general health, ability to perform normal activities, and employment status among adult antiretroviral therapy patients in South Africa over three full years following ART initiation.\n\nMETHODOLOGY/PRINCIPAL FINDINGS: A cohort of 855 adult pre-ART patients and patients on ART for &lt;6 months was enrolled and interviewed an average of 4.4 times each during routine clinic visits for up to three years after treatment initiation using an instrument designed for the study. The probability of pain in the previous week fell from 74% before ART initiation to 32% after three years on ART, fatigue from 66% to 12%, nausea from 28% to 4%, and skin problems from 55% to 10%. The probability of not feeling well physically yesterday fell from 46% to 23%. Before starting ART, 39% of subjects reported not being able to perform their normal activities sometime during the previous week; after three years, this proportion fell to 10%. Employment rose from 27% to 42% of the cohort. Improvement in all outcomes was sustained over 3 years and for some outcomes increased in the second and third year.\n\nCONCLUSIONS/SIGNIFICANCE: Improvements in adult ART patients' symptom prevalence, general health, ability to perform normal activities, and employment status were large and were sustained through the first three years on treatment. These results suggest that some of the positive economic and social externalities anticipated as a result of large-scale treatment provision, such as increases in workforce participation and productivity and the ability of patients to carry on normal lives, may indeed be accruing.", "author" : [ { "dropping-particle" : "", "family" : "Rosen", "given" : "Sydney", "non-dropping-particle" : "", "parse-names" : false, "suffix" : "" }, { "dropping-particle" : "", "family" : "Larson", "given" : "Bruce", "non-dropping-particle" : "", "parse-names" : false, "suffix" : "" }, { "dropping-particle" : "", "family" : "Brennan", "given" : "Alana", "non-dropping-particle" : "", "parse-names" : false, "suffix" : "" }, { "dropping-particle" : "", "family" : "Long", "given" : "Lawrence", "non-dropping-particle" : "", "parse-names" : false, "suffix" : "" }, { "dropping-particle" : "", "family" : "Fox", "given" : "Matthew", "non-dropping-particle" : "", "parse-names" : false, "suffix" : "" }, { "dropping-particle" : "", "family" : "Mongwenyana", "given" : "Constance", "non-dropping-particle" : "", "parse-names" : false, "suffix" : "" }, { "dropping-particle" : "", "family" : "Ketlhapile", "given" : "Mpefe", "non-dropping-particle" : "", "parse-names" : false, "suffix" : "" }, { "dropping-particle" : "", "family" : "Sanne", "given" : "Ian", "non-dropping-particle" : "", "parse-names" : false, "suffix" : "" } ], "container-title" : "PloS one", "id" : "ITEM-6", "issue" : "9", "issued" : { "date-parts" : [ [ "2010", "1" ] ] }, "page" : "e12731", "title" : "Economic outcomes of patients receiving antiretroviral therapy for HIV/AIDS in South Africa are sustained through three years on treatment.", "type" : "article-journal", "volume" : "5" }, "uris" : [ "http://www.mendeley.com/documents/?uuid=14c5ef37-bb21-487d-8d16-aa6d66d6b2fa" ] } ], "mendeley" : { "formattedCitation" : "(Fox et al. 2004; Larson et al. 2008; Thirumurthy et al. 2008; Thirumurthy et al. 2011; Habyarimana et al. 2010; Rosen et al. 2010)", "manualFormatting" : "(Larson et al. 2008; Thirumurthy et al. 2008; Thirumurthy et al. 2011; Habyarimana et al. 2010; Rosen et al. 2010)", "plainTextFormattedCitation" : "(Fox et al. 2004; Larson et al. 2008; Thirumurthy et al. 2008; Thirumurthy et al. 2011; Habyarimana et al. 2010; Rosen et al. 2010)", "previouslyFormattedCitation" : "(Fox et al. 2004; Larson et al. 2008; Thirumurthy et al. 2008; Thirumurthy et al. 2011; Habyarimana et al. 2010; Rosen et al. 2010)" }, "properties" : { "noteIndex" : 0 }, "schema" : "https://github.com/citation-style-language/schema/raw/master/csl-citation.json" }</w:instrText>
      </w:r>
      <w:r w:rsidR="005D7F89">
        <w:fldChar w:fldCharType="separate"/>
      </w:r>
      <w:r w:rsidR="00FA090D" w:rsidRPr="00FA090D">
        <w:rPr>
          <w:noProof/>
        </w:rPr>
        <w:t>(Larson et al. 2008; Thirumurthy et al. 2008; Thirumurthy et al. 2011; Habyarimana et al. 2010; Rosen et al. 2010)</w:t>
      </w:r>
      <w:r w:rsidR="005D7F89">
        <w:fldChar w:fldCharType="end"/>
      </w:r>
      <w:r w:rsidR="00C234B1" w:rsidRPr="00C234B1">
        <w:t>.</w:t>
      </w:r>
      <w:r w:rsidR="009628E6">
        <w:t xml:space="preserve"> </w:t>
      </w:r>
      <w:r w:rsidR="00EF6D7F">
        <w:t xml:space="preserve"> </w:t>
      </w:r>
      <w:r w:rsidR="00691621">
        <w:t>However, d</w:t>
      </w:r>
      <w:r w:rsidR="00603020">
        <w:t xml:space="preserve">ue to </w:t>
      </w:r>
      <w:r w:rsidR="005F5628">
        <w:t xml:space="preserve">the </w:t>
      </w:r>
      <w:r w:rsidR="00603020">
        <w:t>cost</w:t>
      </w:r>
      <w:r w:rsidR="005F5628">
        <w:t xml:space="preserve"> of ART</w:t>
      </w:r>
      <w:r w:rsidR="00603020">
        <w:t>, low budgets for health care and human resources constraints, the scale up of ART coverage remains slow</w:t>
      </w:r>
      <w:r w:rsidR="009628E6">
        <w:t xml:space="preserve"> </w:t>
      </w:r>
      <w:r w:rsidR="005D7F89" w:rsidRPr="00BA1690">
        <w:fldChar w:fldCharType="begin" w:fldLock="1"/>
      </w:r>
      <w:r w:rsidRPr="00BA1690">
        <w:instrText>ADDIN CSL_CITATION { "citationItems" : [ { "id" : "ITEM-1", "itemData" : { "ISBN" : "0230112110", "abstract" : "This book presents a comprehensive history of Africa's best-known AIDS \"success story,\" from the start of the epidemic in the early 1980s up until 2005. It focuses on the various ways in which evidence and ideology have contributed to AIDS policy in Uganda, and it places the development of the country's innovative prevention and treatment strategies into the context of international, national, and local processes. Through this, John Kinsman shows how the country became an important influence in defining global AIDS control strategies.", "author" : [ { "dropping-particle" : "", "family" : "Kinsman", "given" : "John", "non-dropping-particle" : "", "parse-names" : false, "suffix" : "" } ], "id" : "ITEM-1", "issued" : { "date-parts" : [ [ "2010" ] ] }, "number-of-pages" : "258", "publisher" : "Palgrave Macmillan", "title" : "AIDS Policy in Uganda: Evidence, Ideology, and the Making of an African Success Story", "type" : "book" }, "uris" : [ "http://www.mendeley.com/documents/?uuid=c9d0b82a-2726-4286-be7c-e5931555b6ae" ] } ], "mendeley" : { "formattedCitation" : "(Kinsman 2010)", "plainTextFormattedCitation" : "(Kinsman 2010)", "previouslyFormattedCitation" : "(Kinsman 2010)" }, "properties" : { "noteIndex" : 0 }, "schema" : "https://github.com/citation-style-language/schema/raw/master/csl-citation.json" }</w:instrText>
      </w:r>
      <w:r w:rsidR="005D7F89" w:rsidRPr="00BA1690">
        <w:fldChar w:fldCharType="separate"/>
      </w:r>
      <w:r w:rsidRPr="00BA1690">
        <w:rPr>
          <w:noProof/>
        </w:rPr>
        <w:t>(Kinsman 2010)</w:t>
      </w:r>
      <w:r w:rsidR="005D7F89" w:rsidRPr="00BA1690">
        <w:fldChar w:fldCharType="end"/>
      </w:r>
      <w:r w:rsidR="00EF6D7F" w:rsidRPr="00BA1690">
        <w:t>.</w:t>
      </w:r>
      <w:r w:rsidR="00596344" w:rsidRPr="00BA1690">
        <w:t xml:space="preserve">  </w:t>
      </w:r>
      <w:r w:rsidRPr="00BA1690">
        <w:t xml:space="preserve">Decisions around how to allocate health system resources, </w:t>
      </w:r>
      <w:r w:rsidR="004634A6" w:rsidRPr="00BA1690">
        <w:t>e.g., to</w:t>
      </w:r>
      <w:r w:rsidR="00D3214A" w:rsidRPr="00BA1690">
        <w:t xml:space="preserve"> </w:t>
      </w:r>
      <w:r w:rsidRPr="00BA1690">
        <w:t>ART scale up or to other interventions for HIV/AIDS</w:t>
      </w:r>
      <w:r w:rsidR="00EB673F" w:rsidRPr="00BA1690">
        <w:t xml:space="preserve"> (e.g., prevention or cure, should one become available)</w:t>
      </w:r>
      <w:r w:rsidRPr="00BA1690">
        <w:t xml:space="preserve"> or other </w:t>
      </w:r>
      <w:r w:rsidR="004F04D7" w:rsidRPr="00BA1690">
        <w:t>illnesses</w:t>
      </w:r>
      <w:r w:rsidRPr="00BA1690">
        <w:t xml:space="preserve"> are generally made on the basis of costs and health effects</w:t>
      </w:r>
      <w:r w:rsidR="00D3214A" w:rsidRPr="00BA1690">
        <w:t>, but health is not the only thing that is socially valuable</w:t>
      </w:r>
      <w:r w:rsidR="00AE36B8">
        <w:t>.</w:t>
      </w:r>
      <w:r w:rsidR="004634A6" w:rsidRPr="00BA1690">
        <w:t xml:space="preserve"> </w:t>
      </w:r>
      <w:r w:rsidR="00727C2F">
        <w:t xml:space="preserve"> </w:t>
      </w:r>
      <w:r w:rsidR="00AE36B8" w:rsidRPr="00AE36B8">
        <w:t xml:space="preserve">Recognising that decision makers </w:t>
      </w:r>
      <w:r w:rsidR="005D6A15">
        <w:t>are often</w:t>
      </w:r>
      <w:r w:rsidR="00AE36B8" w:rsidRPr="00AE36B8">
        <w:t xml:space="preserve"> interested in a broader range of outcomes, the Second Panel on Cost-Effectiveness in Health and Medicine</w:t>
      </w:r>
      <w:r w:rsidR="00727C2F">
        <w:t xml:space="preserve"> has</w:t>
      </w:r>
      <w:r w:rsidR="00AE36B8" w:rsidRPr="00AE36B8">
        <w:t xml:space="preserve"> recommended </w:t>
      </w:r>
      <w:r w:rsidR="001E0EAF">
        <w:t>quantifying the impact across different sectors including the labor market</w:t>
      </w:r>
      <w:r w:rsidR="00AE36B8" w:rsidRPr="00AE36B8">
        <w:t xml:space="preserve"> </w:t>
      </w:r>
      <w:r w:rsidR="00AE36B8">
        <w:fldChar w:fldCharType="begin" w:fldLock="1"/>
      </w:r>
      <w:r w:rsidR="00A94A77">
        <w:instrText>ADDIN CSL_CITATION { "citationItems" : [ { "id" : "ITEM-1", "itemData" : { "DOI" : "10.1001/jama.2016.12195", "ISSN" : "0098-7484", "abstract" : "&lt;h3&gt;Importance&lt;/h3&gt;&lt;p&gt;Since publication of the report by the Panel on Cost-Effectiveness in Health and Medicine in 1996, researchers have advanced the methods of cost-effectiveness analysis, and policy makers have experimented with its application. The need to deliver health care efficiently and the importance of using analytic techniques to understand the clinical and economic consequences of strategies to improve health have increased in recent years.&lt;/p&gt;&lt;h3&gt;Objective&lt;/h3&gt;&lt;p&gt;To review the state of the field and provide recommendations to improve the quality of cost-effectiveness analyses. The intended audiences include researchers, government policy makers, public health officials, health care administrators, payers, businesses, clinicians, patients, and consumers.&lt;/p&gt;&lt;h3&gt;Design&lt;/h3&gt;&lt;p&gt;In 2012, the Second Panel on Cost-Effectiveness in Health and Medicine was formed and included 2 co-chairs, 13 members, and 3 additional members of a leadership group. These members were selected on the basis of their experience in the field to provide broad expertise in the design, conduct, and use of cost-effectiveness analyses. Over the next 3.5 years, the panel developed recommendations by consensus. These recommendations were then reviewed by invited external reviewers and through a public posting process.&lt;/p&gt;&lt;h3&gt;Findings&lt;/h3&gt;&lt;p&gt;The concept of a \u201creference case\u201d and a set of standard methodological practices that all cost-effectiveness analyses should follow to improve quality and comparability are recommended. All cost-effectiveness analyses should report 2 reference case analyses: one based on a health care sector perspective and another based on a societal perspective. The use of an \u201cimpact inventory,\u201d which is a structured table that contains consequences (both inside and outside the formal health care sector), intended to clarify the scope and boundaries of the 2 reference case analyses is also recommended. This special communication reviews these recommendations and others concerning the estimation of the consequences of interventions, the valuation of health outcomes, and the reporting of cost-effectiveness analyses.&lt;/p&gt;&lt;h3&gt;Conclusions and Relevance&lt;/h3&gt;&lt;p&gt;The Second Panel reviewed the current status of the field of cost-effectiveness analysis and developed a new set of recommendations. Major changes include the recommendation to perform analyses from 2 reference case perspectives and to provide an impact inventory to clarify included consequences.&lt;/p&gt;", "author" : [ { "dropping-particle" : "", "family" : "Sanders", "given" : "Gillian D.", "non-dropping-particle" : "", "parse-names" : false, "suffix" : "" }, { "dropping-particle" : "", "family" : "Neumann", "given" : "Peter J.", "non-dropping-particle" : "", "parse-names" : false, "suffix" : "" }, { "dropping-particle" : "", "family" : "Basu", "given" : "Anirban", "non-dropping-particle" : "", "parse-names" : false, "suffix" : "" }, { "dropping-particle" : "", "family" : "Brock", "given" : "Dan W.", "non-dropping-particle" : "", "parse-names" : false, "suffix" : "" }, { "dropping-particle" : "", "family" : "Feeny", "given" : "David", "non-dropping-particle" : "", "parse-names" : false, "suffix" : "" }, { "dropping-particle" : "", "family" : "Krahn", "given" : "Murray", "non-dropping-particle" : "", "parse-names" : false, "suffix" : "" }, { "dropping-particle" : "", "family" : "Kuntz", "given" : "Karen M.", "non-dropping-particle" : "", "parse-names" : false, "suffix" : "" }, { "dropping-particle" : "", "family" : "Meltzer", "given" : "David O.", "non-dropping-particle" : "", "parse-names" : false, "suffix" : "" }, { "dropping-particle" : "", "family" : "Owens", "given" : "Douglas K.", "non-dropping-particle" : "", "parse-names" : false, "suffix" : "" }, { "dropping-particle" : "", "family" : "Prosser", "given" : "Lisa A.", "non-dropping-particle" : "", "parse-names" : false, "suffix" : "" }, { "dropping-particle" : "", "family" : "Salomon", "given" : "Joshua A.", "non-dropping-particle" : "", "parse-names" : false, "suffix" : "" }, { "dropping-particle" : "", "family" : "Sculpher", "given" : "Mark J.", "non-dropping-particle" : "", "parse-names" : false, "suffix" : "" }, { "dropping-particle" : "", "family" : "Trikalinos", "given" : "Thomas A.", "non-dropping-particle" : "", "parse-names" : false, "suffix" : "" }, { "dropping-particle" : "", "family" : "Russell", "given" : "Louise B.", "non-dropping-particle" : "", "parse-names" : false, "suffix" : "" }, { "dropping-particle" : "", "family" : "Siegel", "given" : "Joanna E.", "non-dropping-particle" : "", "parse-names" : false, "suffix" : "" }, { "dropping-particle" : "", "family" : "Ganiats", "given" : "Theodore G.", "non-dropping-particle" : "", "parse-names" : false, "suffix" : "" } ], "container-title" : "JAMA", "id" : "ITEM-1", "issue" : "10", "issued" : { "date-parts" : [ [ "2016", "9", "13" ] ] }, "page" : "1093", "publisher" : "American Medical Association", "title" : "Recommendations for Conduct, Methodological Practices, and Reporting of Cost-effectiveness Analyses", "type" : "article-journal", "volume" : "316" }, "uris" : [ "http://www.mendeley.com/documents/?uuid=5f70ab45-fc62-3eca-bca3-eefbaa8ceda5" ] } ], "mendeley" : { "formattedCitation" : "(Sanders et al. 2016)", "plainTextFormattedCitation" : "(Sanders et al. 2016)", "previouslyFormattedCitation" : "(Sanders et al. 2016)" }, "properties" : { "noteIndex" : 0 }, "schema" : "https://github.com/citation-style-language/schema/raw/master/csl-citation.json" }</w:instrText>
      </w:r>
      <w:r w:rsidR="00AE36B8">
        <w:fldChar w:fldCharType="separate"/>
      </w:r>
      <w:r w:rsidR="00AE36B8" w:rsidRPr="00AE36B8">
        <w:rPr>
          <w:noProof/>
        </w:rPr>
        <w:t>(Sanders et al. 2016)</w:t>
      </w:r>
      <w:r w:rsidR="00AE36B8">
        <w:fldChar w:fldCharType="end"/>
      </w:r>
      <w:r w:rsidR="00331D16">
        <w:t xml:space="preserve">.  </w:t>
      </w:r>
      <w:r w:rsidRPr="00BA1690">
        <w:t xml:space="preserve">It is </w:t>
      </w:r>
      <w:r w:rsidR="004365CE" w:rsidRPr="00BA1690">
        <w:t xml:space="preserve">therefore </w:t>
      </w:r>
      <w:r w:rsidRPr="00BA1690">
        <w:t>important to understand the causal effect of HIV on employment.</w:t>
      </w:r>
      <w:r w:rsidRPr="00FE0469">
        <w:t xml:space="preserve">  </w:t>
      </w:r>
    </w:p>
    <w:p w14:paraId="5D37B213" w14:textId="77777777" w:rsidR="005626FD" w:rsidRDefault="005626FD" w:rsidP="005626FD">
      <w:r>
        <w:t>E</w:t>
      </w:r>
      <w:r w:rsidRPr="00F46D88">
        <w:t xml:space="preserve">stimating </w:t>
      </w:r>
      <w:r>
        <w:t>a casual</w:t>
      </w:r>
      <w:r w:rsidRPr="00F46D88">
        <w:t xml:space="preserve"> effect of HIV/AIDS on </w:t>
      </w:r>
      <w:r>
        <w:t>employment</w:t>
      </w:r>
      <w:r w:rsidRPr="00F46D88">
        <w:t xml:space="preserve"> is challenging, and requires careful consideration of three interrelated issues.  </w:t>
      </w:r>
      <w:r>
        <w:t xml:space="preserve">The first concern is justification bias where respondents seek to justify their reduced labor supply via ill health or because government or insurance programs involve financial incentives to report being unhealthy </w:t>
      </w:r>
      <w:r w:rsidR="005D7F89">
        <w:fldChar w:fldCharType="begin" w:fldLock="1"/>
      </w:r>
      <w:r>
        <w:instrText>ADDIN CSL_CITATION { "citationItems" : [ { "id" : "ITEM-1", "itemData" : { "abstract" : "This chapter provides an overview of the literature linking health, health insurance and labor market outcomes such as wages, earnings, employment, hours, occupational choice, job turnover, retirement, and the structure of employment. The first part of the paper focuses on the relationship between health and labor market outcomes. The empirical literature surveyed suggests that poor health reduces the capacity to work and has substantive effects on wages, labor force participation and job choice. The exact magnitudes, however, are sensitive to both the choice of health measures and to identification assumptions. The second part of the paper considers the link between health insurance and labor market outcomes. The empirical literature here suggests that access to health insurance has important effects on both labor force participation and job choice; the link between health insurance and wages is less clear.", "author" : [ { "dropping-particle" : "", "family" : "Currie", "given" : "Janet", "non-dropping-particle" : "", "parse-names" : false, "suffix" : "" }, { "dropping-particle" : "", "family" : "Madrian", "given" : "Brigitte C.", "non-dropping-particle" : "", "parse-names" : false, "suffix" : "" } ], "container-title" : "Handbook of Labor Economics", "id" : "ITEM-1", "issued" : { "date-parts" : [ [ "1999" ] ] }, "page" : "3309-3416", "publisher" : "Elsevier", "title" : "Health, health insurance and the labor market", "type" : "chapter", "volume" : "3, Part C" }, "uris" : [ "http://www.mendeley.com/documents/?uuid=6452a9f6-e6e8-4ba9-9435-87d5746caef6" ] }, { "id" : "ITEM-2", "itemData" : { "abstract" : "Many studies have examined the influence of health on retirement, but there may be problems with the various health measures used. A major criticism of the most frequently used variables is that they may reflect ex post rationalizations of retirement. In this paper I examine a variety of health variables, focusing directly on the health measurement issue as it relates to retirement research. New measures of health are developed with individual self-evaluations of health status. Unlike most previous findings, the empirical results suggest that economic variables play a more important role than health in retirement decisions.", "author" : [ { "dropping-particle" : "", "family" : "Bazzoli", "given" : "Gloria J.", "non-dropping-particle" : "", "parse-names" : false, "suffix" : "" } ], "container-title" : "Journal of Human Resources", "id" : "ITEM-2", "issue" : "2", "issued" : { "date-parts" : [ [ "1985" ] ] }, "page" : "214-234", "publisher" : "University of Wisconsin Press", "title" : "The Early Retirement Decision: New Empirical Evidence on the Influence of Health", "type" : "article-journal", "volume" : "20" }, "uris" : [ "http://www.mendeley.com/documents/?uuid=a7f49a8e-e5a5-4c3c-933f-b82e31f5c65d" ] } ], "mendeley" : { "formattedCitation" : "(Currie &amp; Madrian 1999; Bazzoli 1985)", "plainTextFormattedCitation" : "(Currie &amp; Madrian 1999; Bazzoli 1985)", "previouslyFormattedCitation" : "(Currie &amp; Madrian 1999; Bazzoli 1985)" }, "properties" : { "noteIndex" : 0 }, "schema" : "https://github.com/citation-style-language/schema/raw/master/csl-citation.json" }</w:instrText>
      </w:r>
      <w:r w:rsidR="005D7F89">
        <w:fldChar w:fldCharType="separate"/>
      </w:r>
      <w:r w:rsidRPr="00FA090D">
        <w:rPr>
          <w:noProof/>
        </w:rPr>
        <w:t>(Currie &amp; Madrian 1999; Bazzoli 1985)</w:t>
      </w:r>
      <w:r w:rsidR="005D7F89">
        <w:fldChar w:fldCharType="end"/>
      </w:r>
      <w:r>
        <w:t xml:space="preserve">.  The second is simultaneity bias, which arises when the outcome and treatment variable of interest affect the other concurrently.  The third concern is </w:t>
      </w:r>
      <w:r w:rsidRPr="00FC114D">
        <w:t xml:space="preserve">omitted </w:t>
      </w:r>
      <w:r w:rsidRPr="00FC114D">
        <w:lastRenderedPageBreak/>
        <w:t xml:space="preserve">variable bias, </w:t>
      </w:r>
      <w:r>
        <w:t xml:space="preserve">where </w:t>
      </w:r>
      <w:r w:rsidRPr="00FC114D">
        <w:t xml:space="preserve">health and </w:t>
      </w:r>
      <w:r>
        <w:t>employment</w:t>
      </w:r>
      <w:r w:rsidRPr="00FC114D">
        <w:t xml:space="preserve"> are jointly determined by an unobserved variable</w:t>
      </w:r>
      <w:r>
        <w:t xml:space="preserve"> </w:t>
      </w:r>
      <w:r w:rsidR="005D7F89">
        <w:fldChar w:fldCharType="begin" w:fldLock="1"/>
      </w:r>
      <w:r>
        <w:instrText>ADDIN CSL_CITATION { "citationItems" : [ { "id" : "ITEM-1", "itemData" : { "abstract" : "This comprehensive collection brings together more than 50 contributions from some of the most influential researchers in health economics. It authoritatively covers theoretical and empirical issues in health economics, with a balanced range of material on equity and efficiency in health care systems, health technology assessment and issues of concern for developing countries. This thoroughly revised second edition is expanded to include four new chapters, while all existing chapters have been extensively updated.", "author" : [ { "dropping-particle" : "", "family" : "Lindeboom", "given" : "Maarten", "non-dropping-particle" : "", "parse-names" : false, "suffix" : "" } ], "chapter-number" : "3", "container-title" : "The Elgar Companion to Health Economics", "editor" : [ { "dropping-particle" : "", "family" : "Jones", "given" : "Andrew M.", "non-dropping-particle" : "", "parse-names" : false, "suffix" : "" } ], "id" : "ITEM-1", "issued" : { "date-parts" : [ [ "2006" ] ] }, "publisher" : "Edward Elgar Publishing", "publisher-place" : "Cheltenham", "title" : "Health and Work of Older Workers", "type" : "chapter" }, "uris" : [ "http://www.mendeley.com/documents/?uuid=e4e4453b-b14f-45be-825b-c86b00fea949" ] } ], "mendeley" : { "formattedCitation" : "(Lindeboom 2006)", "plainTextFormattedCitation" : "(Lindeboom 2006)", "previouslyFormattedCitation" : "(Lindeboom 2006)" }, "properties" : { "noteIndex" : 0 }, "schema" : "https://github.com/citation-style-language/schema/raw/master/csl-citation.json" }</w:instrText>
      </w:r>
      <w:r w:rsidR="005D7F89">
        <w:fldChar w:fldCharType="separate"/>
      </w:r>
      <w:r w:rsidRPr="00FA090D">
        <w:rPr>
          <w:noProof/>
        </w:rPr>
        <w:t>(Lindeboom 2006)</w:t>
      </w:r>
      <w:r w:rsidR="005D7F89">
        <w:fldChar w:fldCharType="end"/>
      </w:r>
      <w:r w:rsidRPr="00FC114D">
        <w:t>. Consequently health status should be treated as an endogenous variable in labor supply equations.</w:t>
      </w:r>
    </w:p>
    <w:p w14:paraId="3CB7650F" w14:textId="77777777" w:rsidR="00AF45D7" w:rsidRDefault="00500A50" w:rsidP="00AF45D7">
      <w:r>
        <w:t>T</w:t>
      </w:r>
      <w:r w:rsidR="009B7629" w:rsidRPr="009B7629">
        <w:t>he sectoral pattern of employment growth and productivity growth ha</w:t>
      </w:r>
      <w:r>
        <w:t>ve</w:t>
      </w:r>
      <w:r w:rsidR="009B7629" w:rsidRPr="009B7629">
        <w:t xml:space="preserve"> been shown to be important for poverty reduction </w:t>
      </w:r>
      <w:r w:rsidR="007B2A4D">
        <w:fldChar w:fldCharType="begin" w:fldLock="1"/>
      </w:r>
      <w:r w:rsidR="00AE36B8">
        <w:instrText>ADDIN CSL_CITATION { "citationItems" : [ { "id" : "ITEM-1", "itemData" : { "author" : [ { "dropping-particle" : "", "family" : "Gutierrez", "given" : "Catalina", "non-dropping-particle" : "", "parse-names" : false, "suffix" : "" }, { "dropping-particle" : "", "family" : "Orecchia", "given" : "Carlo", "non-dropping-particle" : "", "parse-names" : false, "suffix" : "" }, { "dropping-particle" : "", "family" : "Paci", "given" : "Pierella", "non-dropping-particle" : "", "parse-names" : false, "suffix" : "" }, { "dropping-particle" : "", "family" : "Serneels", "given" : "Pieter", "non-dropping-particle" : "", "parse-names" : false, "suffix" : "" } ], "container-title" : "Policy Research Working Papers", "id" : "ITEM-1", "issued" : { "date-parts" : [ [ "2007" ] ] }, "language" : "en", "title" : "Does Employment Generation Really Matter For Poverty Reduction?", "type" : "article-journal" }, "uris" : [ "http://www.mendeley.com/documents/?uuid=620a0727-38a4-49a8-976b-8ca47cd6d136" ] } ], "mendeley" : { "formattedCitation" : "(Gutierrez et al. 2007)", "plainTextFormattedCitation" : "(Gutierrez et al. 2007)", "previouslyFormattedCitation" : "(Gutierrez et al. 2007)" }, "properties" : { "noteIndex" : 0 }, "schema" : "https://github.com/citation-style-language/schema/raw/master/csl-citation.json" }</w:instrText>
      </w:r>
      <w:r w:rsidR="007B2A4D">
        <w:fldChar w:fldCharType="separate"/>
      </w:r>
      <w:r w:rsidR="007B2A4D" w:rsidRPr="007B2A4D">
        <w:rPr>
          <w:noProof/>
        </w:rPr>
        <w:t>(Gutierrez et al. 2007)</w:t>
      </w:r>
      <w:r w:rsidR="007B2A4D">
        <w:fldChar w:fldCharType="end"/>
      </w:r>
      <w:r>
        <w:t>, and we explore this by evaluating the effect of HIV on employment among manual versus non-manual laborers</w:t>
      </w:r>
      <w:r w:rsidR="009B7629">
        <w:t xml:space="preserve">.  As the </w:t>
      </w:r>
      <w:r w:rsidR="009B7629" w:rsidRPr="009B7629">
        <w:t xml:space="preserve">labor demand side should not be a factor for those who practice subsistence agriculture, </w:t>
      </w:r>
      <w:r w:rsidR="009B7629">
        <w:t>we estimate the effect on</w:t>
      </w:r>
      <w:r w:rsidR="009B7629" w:rsidRPr="009B7629">
        <w:t xml:space="preserve"> that subsample </w:t>
      </w:r>
      <w:r w:rsidR="009B7629">
        <w:t xml:space="preserve">in an effort to identify </w:t>
      </w:r>
      <w:r w:rsidR="009B7629" w:rsidRPr="009B7629">
        <w:t xml:space="preserve">the labor supply side impact.  </w:t>
      </w:r>
      <w:r w:rsidR="00AF45D7" w:rsidRPr="008D18C3">
        <w:t>Another issue concerns the disease pathway, in particular, whether the severity of disease has an impact</w:t>
      </w:r>
      <w:r w:rsidR="00AF45D7">
        <w:t xml:space="preserve"> on employment</w:t>
      </w:r>
      <w:r w:rsidR="00AF45D7" w:rsidRPr="008D18C3">
        <w:t xml:space="preserve">. </w:t>
      </w:r>
      <w:r w:rsidR="00AF45D7">
        <w:t xml:space="preserve"> If the effect occurs </w:t>
      </w:r>
      <w:r w:rsidR="00AF45D7" w:rsidRPr="00BA1690">
        <w:t>largely on the supply side, we would expect the effect size to be greater as disease becomes more severe.  Information on this is important for the optimal prioritization of HIV policy and care, and can possibly be captured through analysis of different observed levels of CD4 count.  CD4 cell count is affected by both duration of HIV-infection and treatment with ART</w:t>
      </w:r>
      <w:r w:rsidR="003501AA">
        <w:t xml:space="preserve"> </w:t>
      </w:r>
      <w:r w:rsidR="003501AA">
        <w:fldChar w:fldCharType="begin" w:fldLock="1"/>
      </w:r>
      <w:r w:rsidR="003501AA">
        <w:instrText>ADDIN CSL_CITATION { "citationItems" : [ { "id" : "ITEM-1", "itemData" : { "DOI" : "10.1016/S0140-6736(04)17225-5", "ISSN" : "01406736", "author" : [ { "dropping-particle" : "", "family" : "Mermin", "given" : "Jonathan", "non-dropping-particle" : "", "parse-names" : false, "suffix" : "" }, { "dropping-particle" : "", "family" : "Lule", "given" : "John", "non-dropping-particle" : "", "parse-names" : false, "suffix" : "" }, { "dropping-particle" : "", "family" : "Ekwaru", "given" : "John Paul", "non-dropping-particle" : "", "parse-names" : false, "suffix" : "" }, { "dropping-particle" : "", "family" : "Malamba", "given" : "Samuel", "non-dropping-particle" : "", "parse-names" : false, "suffix" : "" }, { "dropping-particle" : "", "family" : "Downing", "given" : "Robert", "non-dropping-particle" : "", "parse-names" : false, "suffix" : "" }, { "dropping-particle" : "", "family" : "Ransom", "given" : "Ray", "non-dropping-particle" : "", "parse-names" : false, "suffix" : "" }, { "dropping-particle" : "", "family" : "Kaharuza", "given" : "Frank", "non-dropping-particle" : "", "parse-names" : false, "suffix" : "" }, { "dropping-particle" : "", "family" : "Culver", "given" : "David", "non-dropping-particle" : "", "parse-names" : false, "suffix" : "" }, { "dropping-particle" : "", "family" : "Kizito", "given" : "Francis", "non-dropping-particle" : "", "parse-names" : false, "suffix" : "" }, { "dropping-particle" : "", "family" : "Bunnell", "given" : "Rebecca", "non-dropping-particle" : "", "parse-names" : false, "suffix" : "" }, { "dropping-particle" : "", "family" : "Kigozi", "given" : "Aminah", "non-dropping-particle" : "", "parse-names" : false, "suffix" : "" }, { "dropping-particle" : "", "family" : "Nakanjako", "given" : "Damalie", "non-dropping-particle" : "", "parse-names" : false, "suffix" : "" }, { "dropping-particle" : "", "family" : "Wafula", "given" : "Winnie", "non-dropping-particle" : "", "parse-names" : false, "suffix" : "" }, { "dropping-particle" : "", "family" : "Quick", "given" : "Robert", "non-dropping-particle" : "", "parse-names" : false, "suffix" : "" } ], "container-title" : "The Lancet", "id" : "ITEM-1", "issue" : "9443", "issued" : { "date-parts" : [ [ "2004", "10" ] ] }, "page" : "1428-1434", "title" : "Effect of co-trimoxazole prophylaxis on morbidity, mortality, CD4-cell count, and viral load in HIV infection in rural Uganda", "type" : "article-journal", "volume" : "364" }, "uris" : [ "http://www.mendeley.com/documents/?uuid=dd527e90-e086-3968-a9b5-f69747ca657b" ] }, { "id" : "ITEM-2", "itemData" : { "ISSN" : "0269-9370", "PMID" : "11684945", "author" : [ { "dropping-particle" : "", "family" : "Girardi", "given" : "E", "non-dropping-particle" : "", "parse-names" : false, "suffix" : "" }, { "dropping-particle" : "", "family" : "Arici", "given" : "C", "non-dropping-particle" : "", "parse-names" : false, "suffix" : "" }, { "dropping-particle" : "", "family" : "Ferrara", "given" : "M", "non-dropping-particle" : "", "parse-names" : false, "suffix" : "" }, { "dropping-particle" : "", "family" : "Ripamonti", "given" : "D", "non-dropping-particle" : "", "parse-names" : false, "suffix" : "" }, { "dropping-particle" : "", "family" : "Aloisi", "given" : "M S", "non-dropping-particle" : "", "parse-names" : false, "suffix" : "" }, { "dropping-particle" : "", "family" : "Alessandrini", "given" : "A", "non-dropping-particle" : "", "parse-names" : false, "suffix" : "" }, { "dropping-particle" : "", "family" : "Scalzini", "given" : "A", "non-dropping-particle" : "", "parse-names" : false, "suffix" : "" }, { "dropping-particle" : "", "family" : "d'Arminio Monforte", "given" : "A", "non-dropping-particle" : "", "parse-names" : false, "suffix" : "" }, { "dropping-particle" : "", "family" : "Serraino", "given" : "D", "non-dropping-particle" : "", "parse-names" : false, "suffix" : "" }, { "dropping-particle" : "", "family" : "Ippolito", "given" : "G", "non-dropping-particle" : "", "parse-names" : false, "suffix" : "" }, { "dropping-particle" : "", "family" : "Italian Cohort Naive Antiretroviral (ICONA) Behavioural Epidemiology Study", "given" : "", "non-dropping-particle" : "", "parse-names" : false, "suffix" : "" } ], "container-title" : "AIDS (London, England)", "id" : "ITEM-2", "issue" : "16", "issued" : { "date-parts" : [ [ "2001", "11", "9" ] ] }, "page" : "2201-3", "title" : "Estimating duration of HIV infection with CD4 cell count and HIV-1 RNA at presentation.", "type" : "article-journal", "volume" : "15" }, "uris" : [ "http://www.mendeley.com/documents/?uuid=b22e8c44-b5ed-3d60-add8-6279e8daf919" ] }, { "id" : "ITEM-3", "itemData" : { "ISSN" : "0269-9370", "PMID" : "11192871", "abstract" : "OBJECTIVE To examine delayed presentation for HIV testing and primary care in the second decade of the AIDS epidemic. DESIGN Cohort study in two urban hospitals in the USA between February 1994 and April 1996. METHODS A total of 203 consecutive outpatients on initial HIV primary care presentation were interviewed about sociodemographic characteristics, alcohol and drug use, social support, sexual practices, HIV testing, awareness of possible HIV infection, and CD4 cell count. MAIN OUTCOME MEASURE Duration of delay to medical presentation in years based on CD4 cell count, factors independently associated with low CD4 cell counts, frequency of awareness of HIV risk before testing. RESULTS The estimated mean duration between acquiring HIV infection and initial presentation to primary care was 8.1 years (95% CI 7.5, 8.6) based on our cohort's median initial CD4 cell count of 280/microl. Male sex, older age, and no jail time were associated with lower CD4 cell counts; 34% reported not being aware that they were at risk of HIV before testing. Heterosexual intercourse as a risk behavior for HIV was the most statistically significant factor for personal unawareness of HIV risk. Of those who acknowledged awareness, the mean time between awareness of HIV risk and testing was 2.5 years (median 1.0 year). CONCLUSION In the pre-highly active antiretroviral therapy era, HIV-infected patients frequently initiated primary medical care years after initial infection, at a time of advanced immunosuppression. Over one-third of HIV-infected patients were not cognisant of their HIV risk before testing, a condition significantly associated with heterosexual intercourse as the only HIV risk behavior.", "author" : [ { "dropping-particle" : "", "family" : "Samet", "given" : "J H", "non-dropping-particle" : "", "parse-names" : false, "suffix" : "" }, { "dropping-particle" : "", "family" : "Freedberg", "given" : "K A", "non-dropping-particle" : "", "parse-names" : false, "suffix" : "" }, { "dropping-particle" : "", "family" : "Savetsky", "given" : "J B", "non-dropping-particle" : "", "parse-names" : false, "suffix" : "" }, { "dropping-particle" : "", "family" : "Sullivan", "given" : "L M", "non-dropping-particle" : "", "parse-names" : false, "suffix" : "" }, { "dropping-particle" : "", "family" : "Stein", "given" : "M D", "non-dropping-particle" : "", "parse-names" : false, "suffix" : "" } ], "container-title" : "AIDS (London, England)", "id" : "ITEM-3", "issue" : "1", "issued" : { "date-parts" : [ [ "2001", "1", "5" ] ] }, "page" : "77-85", "title" : "Understanding delay to medical care for HIV infection: the long-term non-presenter.", "type" : "article-journal", "volume" : "15" }, "uris" : [ "http://www.mendeley.com/documents/?uuid=03d50759-d012-3000-8f2c-7268c0ae75a6" ] } ], "mendeley" : { "formattedCitation" : "(Mermin et al. 2004; Girardi et al. 2001; Samet et al. 2001)", "plainTextFormattedCitation" : "(Mermin et al. 2004; Girardi et al. 2001; Samet et al. 2001)", "previouslyFormattedCitation" : "(Mermin et al. 2004; Girardi et al. 2001; Samet et al. 2001)" }, "properties" : { "noteIndex" : 0 }, "schema" : "https://github.com/citation-style-language/schema/raw/master/csl-citation.json" }</w:instrText>
      </w:r>
      <w:r w:rsidR="003501AA">
        <w:fldChar w:fldCharType="separate"/>
      </w:r>
      <w:r w:rsidR="003501AA" w:rsidRPr="003501AA">
        <w:rPr>
          <w:noProof/>
        </w:rPr>
        <w:t>(Mermin et al. 2004; Girardi et al. 2001; Samet et al. 2001)</w:t>
      </w:r>
      <w:r w:rsidR="003501AA">
        <w:fldChar w:fldCharType="end"/>
      </w:r>
      <w:r w:rsidR="00AF45D7" w:rsidRPr="00BA1690">
        <w:t>.  CD4 cells</w:t>
      </w:r>
      <w:r w:rsidR="00AF45D7" w:rsidRPr="008D18C3">
        <w:t xml:space="preserve"> are white blood cells that play an important role in fighting infections.  HIV-negative individuals typically have CD4 cell counts of above 500 cells/mm3</w:t>
      </w:r>
      <w:r w:rsidR="003501AA">
        <w:t xml:space="preserve"> </w:t>
      </w:r>
      <w:r w:rsidR="003501AA">
        <w:fldChar w:fldCharType="begin" w:fldLock="1"/>
      </w:r>
      <w:r w:rsidR="00E81A36">
        <w:instrText>ADDIN CSL_CITATION { "citationItems" : [ { "id" : "ITEM-1", "itemData" : { "URL" : "http://www.aidsmap.com/CD4-cell-counts/page/1044596/", "accessed" : { "date-parts" : [ [ "2017", "8", "8" ] ] }, "author" : [ { "dropping-particle" : "", "family" : "Hughson", "given" : "Greta", "non-dropping-particle" : "", "parse-names" : false, "suffix" : "" } ], "container-title" : "HIV &amp; AIDS Information", "id" : "ITEM-1", "issued" : { "date-parts" : [ [ "2017" ] ] }, "title" : "Factsheet CD4 cell counts", "type" : "webpage" }, "uris" : [ "http://www.mendeley.com/documents/?uuid=e86c6ec6-1daa-3d40-8e06-b81c5ad3d148" ] } ], "mendeley" : { "formattedCitation" : "(Hughson 2017)", "plainTextFormattedCitation" : "(Hughson 2017)", "previouslyFormattedCitation" : "(Hughson 2017)" }, "properties" : { "noteIndex" : 0 }, "schema" : "https://github.com/citation-style-language/schema/raw/master/csl-citation.json" }</w:instrText>
      </w:r>
      <w:r w:rsidR="003501AA">
        <w:fldChar w:fldCharType="separate"/>
      </w:r>
      <w:r w:rsidR="003501AA" w:rsidRPr="003501AA">
        <w:rPr>
          <w:noProof/>
        </w:rPr>
        <w:t>(Hughson 2017)</w:t>
      </w:r>
      <w:r w:rsidR="003501AA">
        <w:fldChar w:fldCharType="end"/>
      </w:r>
      <w:r w:rsidR="00AF45D7" w:rsidRPr="008D18C3">
        <w:t>.  HIV uses CD4 cells to replicate, resulting in the destruction of these cells over time following infection.  In the absence of ART, CD4 cell count declines over time as the virus replicates subsequently</w:t>
      </w:r>
      <w:r w:rsidR="00AF45D7">
        <w:t xml:space="preserve"> leading to AIDS</w:t>
      </w:r>
      <w:r w:rsidR="00AF45D7" w:rsidRPr="008D18C3">
        <w:t xml:space="preserve"> over the course of 6-10 years</w:t>
      </w:r>
      <w:r w:rsidR="00AF45D7">
        <w:t xml:space="preserve">.  As the illness progresses flu-like symptoms may be present, as well as diarrhea, fatigue and balance issues among others that may affect an individual’s ability to maintain employment.  </w:t>
      </w:r>
    </w:p>
    <w:p w14:paraId="62ACC857" w14:textId="77777777" w:rsidR="00DA3685" w:rsidRDefault="005626FD" w:rsidP="00274F09">
      <w:pPr>
        <w:rPr>
          <w:lang w:val="en-GB"/>
        </w:rPr>
      </w:pPr>
      <w:r>
        <w:t>The effect that HIV has on individual employment, as well as the labor market more broadly, has been the subject of previous investigation in both low- and middle-income countries. At the micro</w:t>
      </w:r>
      <w:r w:rsidRPr="00F46D88">
        <w:rPr>
          <w:lang w:val="en-GB"/>
        </w:rPr>
        <w:t>economic level,</w:t>
      </w:r>
      <w:r w:rsidR="00C066D3">
        <w:rPr>
          <w:lang w:val="en-GB"/>
        </w:rPr>
        <w:t xml:space="preserve"> </w:t>
      </w:r>
      <w:r w:rsidR="005D7F89">
        <w:rPr>
          <w:lang w:val="en-GB"/>
        </w:rPr>
        <w:fldChar w:fldCharType="begin" w:fldLock="1"/>
      </w:r>
      <w:r w:rsidR="00C066D3">
        <w:rPr>
          <w:lang w:val="en-GB"/>
        </w:rPr>
        <w:instrText>ADDIN CSL_CITATION { "citationItems" : [ { "id" : "ITEM-1", "itemData" : { "DOI" : "10.1111/j.1365-3156.2004.01207.x", "ISSN" : "1360-2276", "author" : [ { "dropping-particle" : "", "family" : "Fox", "given" : "Matthew P.", "non-dropping-particle" : "", "parse-names" : false, "suffix" : "" }, { "dropping-particle" : "", "family" : "Rosen", "given" : "Sydney", "non-dropping-particle" : "", "parse-names" : false, "suffix" : "" }, { "dropping-particle" : "", "family" : "MacLeod", "given" : "William B.", "non-dropping-particle" : "", "parse-names" : false, "suffix" : "" }, { "dropping-particle" : "", "family" : "Wasunna", "given" : "Monique", "non-dropping-particle" : "", "parse-names" : false, "suffix" : "" }, { "dropping-particle" : "", "family" : "Bii", "given" : "Margaret", "non-dropping-particle" : "", "parse-names" : false, "suffix" : "" }, { "dropping-particle" : "", "family" : "Foglia", "given" : "Ginamarie", "non-dropping-particle" : "", "parse-names" : false, "suffix" : "" }, { "dropping-particle" : "", "family" : "Simon", "given" : "Jonathon L.", "non-dropping-particle" : "", "parse-names" : false, "suffix" : "" } ], "container-title" : "Tropical Medicine and International Health", "id" : "ITEM-1", "issue" : "3", "issued" : { "date-parts" : [ [ "2004", "3" ] ] }, "page" : "318-324", "title" : "The impact of HIV/AIDS on labour productivity in Kenya", "type" : "article-journal", "volume" : "9" }, "uris" : [ "http://www.mendeley.com/documents/?uuid=97bbe47c-7f16-448a-abe5-f2983f49072e" ] } ], "mendeley" : { "formattedCitation" : "(Fox et al. 2004)", "manualFormatting" : "Fox et al. (2004)", "plainTextFormattedCitation" : "(Fox et al. 2004)", "previouslyFormattedCitation" : "(Fox et al. 2004)" }, "properties" : { "noteIndex" : 0 }, "schema" : "https://github.com/citation-style-language/schema/raw/master/csl-citation.json" }</w:instrText>
      </w:r>
      <w:r w:rsidR="005D7F89">
        <w:rPr>
          <w:lang w:val="en-GB"/>
        </w:rPr>
        <w:fldChar w:fldCharType="separate"/>
      </w:r>
      <w:r w:rsidR="00C066D3" w:rsidRPr="00EA553E">
        <w:rPr>
          <w:noProof/>
          <w:lang w:val="en-GB"/>
        </w:rPr>
        <w:t xml:space="preserve">Fox et al. </w:t>
      </w:r>
      <w:r w:rsidR="00C066D3">
        <w:rPr>
          <w:noProof/>
          <w:lang w:val="en-GB"/>
        </w:rPr>
        <w:t>(</w:t>
      </w:r>
      <w:r w:rsidR="00C066D3" w:rsidRPr="00EA553E">
        <w:rPr>
          <w:noProof/>
          <w:lang w:val="en-GB"/>
        </w:rPr>
        <w:t>2004)</w:t>
      </w:r>
      <w:r w:rsidR="005D7F89">
        <w:rPr>
          <w:lang w:val="en-GB"/>
        </w:rPr>
        <w:fldChar w:fldCharType="end"/>
      </w:r>
      <w:r w:rsidR="00C066D3">
        <w:rPr>
          <w:lang w:val="en-GB"/>
        </w:rPr>
        <w:t xml:space="preserve"> assess the productivity of HIV-positive workers on a tea estate in Kenya using a retrospective cohort study design. </w:t>
      </w:r>
      <w:r w:rsidR="00C066D3">
        <w:rPr>
          <w:rFonts w:eastAsiaTheme="minorHAnsi"/>
          <w:lang w:val="en-GB"/>
        </w:rPr>
        <w:t xml:space="preserve"> </w:t>
      </w:r>
      <w:r w:rsidR="005D7F89">
        <w:rPr>
          <w:rFonts w:eastAsiaTheme="minorHAnsi"/>
          <w:lang w:val="en-GB"/>
        </w:rPr>
        <w:fldChar w:fldCharType="begin" w:fldLock="1"/>
      </w:r>
      <w:r>
        <w:rPr>
          <w:rFonts w:eastAsiaTheme="minorHAnsi"/>
          <w:lang w:val="en-GB"/>
        </w:rPr>
        <w:instrText>ADDIN CSL_CITATION { "citationItems" : [ { "id" : "ITEM-1", "itemData" : { "author" : [ { "dropping-particle" : "", "family" : "McKelvey", "given" : "Christopher", "non-dropping-particle" : "", "parse-names" : false, "suffix" : "" } ], "id" : "ITEM-1", "issued" : { "date-parts" : [ [ "2010" ] ] }, "title" : "Circumcision and the Labor Market Consequences of HIV in Developing Countries", "type" : "report" }, "uris" : [ "http://www.mendeley.com/documents/?uuid=3312bd80-5760-4e08-b780-f99a9225159b" ] } ], "mendeley" : { "formattedCitation" : "(McKelvey 2010)", "manualFormatting" : "McKelvey (2010)", "plainTextFormattedCitation" : "(McKelvey 2010)", "previouslyFormattedCitation" : "(McKelvey 2010)" }, "properties" : { "noteIndex" : 0 }, "schema" : "https://github.com/citation-style-language/schema/raw/master/csl-citation.json" }</w:instrText>
      </w:r>
      <w:r w:rsidR="005D7F89">
        <w:rPr>
          <w:rFonts w:eastAsiaTheme="minorHAnsi"/>
          <w:lang w:val="en-GB"/>
        </w:rPr>
        <w:fldChar w:fldCharType="separate"/>
      </w:r>
      <w:r w:rsidRPr="00200371">
        <w:rPr>
          <w:rFonts w:eastAsiaTheme="minorHAnsi"/>
          <w:noProof/>
          <w:lang w:val="en-GB"/>
        </w:rPr>
        <w:t xml:space="preserve">McKelvey </w:t>
      </w:r>
      <w:r>
        <w:rPr>
          <w:rFonts w:eastAsiaTheme="minorHAnsi"/>
          <w:noProof/>
          <w:lang w:val="en-GB"/>
        </w:rPr>
        <w:t>(</w:t>
      </w:r>
      <w:r w:rsidRPr="00200371">
        <w:rPr>
          <w:rFonts w:eastAsiaTheme="minorHAnsi"/>
          <w:noProof/>
          <w:lang w:val="en-GB"/>
        </w:rPr>
        <w:t>2010)</w:t>
      </w:r>
      <w:r w:rsidR="005D7F89">
        <w:rPr>
          <w:rFonts w:eastAsiaTheme="minorHAnsi"/>
          <w:lang w:val="en-GB"/>
        </w:rPr>
        <w:fldChar w:fldCharType="end"/>
      </w:r>
      <w:r>
        <w:rPr>
          <w:lang w:val="en-GB"/>
        </w:rPr>
        <w:t xml:space="preserve"> uses cross-sectional household data from 13 other countries in Sub-Saharan Africa to analyse the effect of circumcision on HIV status and HIV status on employment status.  </w:t>
      </w:r>
      <w:r w:rsidR="005D7F89">
        <w:rPr>
          <w:lang w:val="en-GB"/>
        </w:rPr>
        <w:fldChar w:fldCharType="begin" w:fldLock="1"/>
      </w:r>
      <w:r>
        <w:rPr>
          <w:lang w:val="en-GB"/>
        </w:rPr>
        <w:instrText>ADDIN CSL_CITATION { "citationItems" : [ { "id" : "ITEM-1", "itemData" : { "DOI" : "10.1162/REST_a_00237", "ISSN" : "0034-6535", "abstract" : "Abstract We use econometric methods based on the propensity score to estimate the causal effect of HIV status on employment outcomes in South Africa. Relying on rich data from a national survey, which included HIV testing, we control for systematic differences between HIV-positive and HIV-negative individuals. We provide the first nationally representative estimates of the impact of HIV status on employment outcomes for southern Africa. Being HIV positive is associated with an increase of 6 to 7 percentage points in the likelihood of unemployment overall and 10 to 11 percentage points for those who are less educated. This disadvantage reinforces existing inequalities in South Africa.", "author" : [ { "dropping-particle" : "", "family" : "Levinsohn", "given" : "James", "non-dropping-particle" : "", "parse-names" : false, "suffix" : "" }, { "dropping-particle" : "", "family" : "McLaren", "given" : "Zo\u00eb M.", "non-dropping-particle" : "", "parse-names" : false, "suffix" : "" }, { "dropping-particle" : "", "family" : "Shisana", "given" : "Olive", "non-dropping-particle" : "", "parse-names" : false, "suffix" : "" }, { "dropping-particle" : "", "family" : "Zuma", "given" : "Khangelani", "non-dropping-particle" : "", "parse-names" : false, "suffix" : "" } ], "container-title" : "Review of Economics and Statistics", "id" : "ITEM-1", "issue" : "1", "issued" : { "date-parts" : [ [ "2013", "3", "19" ] ] }, "language" : "en", "page" : "98-108", "publisher" : "The MIT Press", "title" : "HIV Status and Labor Market Participation in South Africa", "type" : "article-journal", "volume" : "95" }, "uris" : [ "http://www.mendeley.com/documents/?uuid=ad663861-0162-4c6c-9cf2-d1f01c1e44cd" ] } ], "mendeley" : { "formattedCitation" : "(Levinsohn et al. 2013)", "manualFormatting" : "Levinsohn et al. (2013)", "plainTextFormattedCitation" : "(Levinsohn et al. 2013)", "previouslyFormattedCitation" : "(Levinsohn et al. 2013)" }, "properties" : { "noteIndex" : 0 }, "schema" : "https://github.com/citation-style-language/schema/raw/master/csl-citation.json" }</w:instrText>
      </w:r>
      <w:r w:rsidR="005D7F89">
        <w:rPr>
          <w:lang w:val="en-GB"/>
        </w:rPr>
        <w:fldChar w:fldCharType="separate"/>
      </w:r>
      <w:r w:rsidRPr="00C67D2C">
        <w:rPr>
          <w:noProof/>
          <w:lang w:val="en-GB"/>
        </w:rPr>
        <w:t xml:space="preserve">Levinsohn et al. </w:t>
      </w:r>
      <w:r>
        <w:rPr>
          <w:noProof/>
          <w:lang w:val="en-GB"/>
        </w:rPr>
        <w:t>(</w:t>
      </w:r>
      <w:r w:rsidRPr="00C67D2C">
        <w:rPr>
          <w:noProof/>
          <w:lang w:val="en-GB"/>
        </w:rPr>
        <w:t>2013)</w:t>
      </w:r>
      <w:r w:rsidR="005D7F89">
        <w:rPr>
          <w:lang w:val="en-GB"/>
        </w:rPr>
        <w:fldChar w:fldCharType="end"/>
      </w:r>
      <w:r w:rsidRPr="00F46D88">
        <w:rPr>
          <w:lang w:val="en-GB"/>
        </w:rPr>
        <w:t xml:space="preserve"> use a propensity score matching approach to examine the impact of HIV/AIDS on employment in South Africa, a middle-income country</w:t>
      </w:r>
      <w:r w:rsidR="00F615EA">
        <w:rPr>
          <w:lang w:val="en-GB"/>
        </w:rPr>
        <w:t>.</w:t>
      </w:r>
      <w:r w:rsidRPr="00F46D88">
        <w:rPr>
          <w:lang w:val="en-GB"/>
        </w:rPr>
        <w:t xml:space="preserve"> </w:t>
      </w:r>
      <w:r>
        <w:rPr>
          <w:lang w:val="en-GB"/>
        </w:rPr>
        <w:t xml:space="preserve">  </w:t>
      </w:r>
      <w:r w:rsidRPr="00F46D88">
        <w:t xml:space="preserve">At the macroeconomic level, male circumcision has been used as an instrument to evaluate the </w:t>
      </w:r>
      <w:r w:rsidRPr="00F46D88">
        <w:rPr>
          <w:lang w:val="en-GB"/>
        </w:rPr>
        <w:t xml:space="preserve">impact of HIV/AIDS on economic growth and savings in African nations </w:t>
      </w:r>
      <w:r w:rsidR="005D7F89">
        <w:rPr>
          <w:lang w:val="en-GB"/>
        </w:rPr>
        <w:fldChar w:fldCharType="begin" w:fldLock="1"/>
      </w:r>
      <w:r w:rsidR="00500A50">
        <w:rPr>
          <w:lang w:val="en-GB"/>
        </w:rPr>
        <w:instrText>ADDIN CSL_CITATION { "citationItems" : [ { "id" : "ITEM-1", "itemData" : { "author" : [ { "dropping-particle" : "", "family" : "Ahuja", "given" : "Amrita", "non-dropping-particle" : "", "parse-names" : false, "suffix" : "" }, { "dropping-particle" : "", "family" : "Wendell", "given" : "Brian", "non-dropping-particle" : "", "parse-names" : false, "suffix" : "" }, { "dropping-particle" : "", "family" : "Werker", "given" : "Eric", "non-dropping-particle" : "", "parse-names" : false, "suffix" : "" } ], "id" : "ITEM-1", "issued" : { "date-parts" : [ [ "2009" ] ] }, "publisher-place" : "Boston", "title" : "Male circumcision and AIDS: the macroeconomic impact of a health crisis", "type" : "report" }, "uris" : [ "http://www.mendeley.com/documents/?uuid=13091ad6-1684-4d0d-8e56-4d51359dc2e3" ] } ], "mendeley" : { "formattedCitation" : "(Ahuja et al. 2009)", "plainTextFormattedCitation" : "(Ahuja et al. 2009)", "previouslyFormattedCitation" : "(Ahuja et al. 2009)" }, "properties" : { "noteIndex" : 0 }, "schema" : "https://github.com/citation-style-language/schema/raw/master/csl-citation.json" }</w:instrText>
      </w:r>
      <w:r w:rsidR="005D7F89">
        <w:rPr>
          <w:lang w:val="en-GB"/>
        </w:rPr>
        <w:fldChar w:fldCharType="separate"/>
      </w:r>
      <w:r w:rsidR="00500A50" w:rsidRPr="00FA090D">
        <w:rPr>
          <w:noProof/>
          <w:lang w:val="en-GB"/>
        </w:rPr>
        <w:t>(Ahuja et al. 2009)</w:t>
      </w:r>
      <w:r w:rsidR="005D7F89">
        <w:rPr>
          <w:lang w:val="en-GB"/>
        </w:rPr>
        <w:fldChar w:fldCharType="end"/>
      </w:r>
      <w:r w:rsidR="00500A50">
        <w:rPr>
          <w:lang w:val="en-GB"/>
        </w:rPr>
        <w:t>,</w:t>
      </w:r>
      <w:r w:rsidR="00500A50" w:rsidRPr="00F46D88">
        <w:rPr>
          <w:lang w:val="en-GB"/>
        </w:rPr>
        <w:t xml:space="preserve"> </w:t>
      </w:r>
      <w:r w:rsidRPr="00F46D88">
        <w:rPr>
          <w:lang w:val="en-GB"/>
        </w:rPr>
        <w:t xml:space="preserve">the skill premium in Sub-Saharan Africa </w:t>
      </w:r>
      <w:r w:rsidR="005D7F89">
        <w:rPr>
          <w:lang w:val="en-GB"/>
        </w:rPr>
        <w:fldChar w:fldCharType="begin" w:fldLock="1"/>
      </w:r>
      <w:r>
        <w:rPr>
          <w:lang w:val="en-GB"/>
        </w:rPr>
        <w:instrText>ADDIN CSL_CITATION { "citationItems" : [ { "id" : "ITEM-1", "itemData" : { "author" : [ { "dropping-particle" : "", "family" : "Marinescu", "given" : "Ioana Elena", "non-dropping-particle" : "", "parse-names" : false, "suffix" : "" } ], "container-title" : "Journal of health economics", "id" : "ITEM-1", "issued" : { "date-parts" : [ [ "2014" ] ] }, "page" : "181-97", "title" : "HIV, wages, and the skill premium", "type" : "article-journal", "volume" : "37" }, "uris" : [ "http://www.mendeley.com/documents/?uuid=694d04ae-45c8-489a-b24a-88237cb10fef" ] } ], "mendeley" : { "formattedCitation" : "(Marinescu 2014)", "plainTextFormattedCitation" : "(Marinescu 2014)", "previouslyFormattedCitation" : "(Marinescu 2014)" }, "properties" : { "noteIndex" : 0 }, "schema" : "https://github.com/citation-style-language/schema/raw/master/csl-citation.json" }</w:instrText>
      </w:r>
      <w:r w:rsidR="005D7F89">
        <w:rPr>
          <w:lang w:val="en-GB"/>
        </w:rPr>
        <w:fldChar w:fldCharType="separate"/>
      </w:r>
      <w:r w:rsidRPr="00FA090D">
        <w:rPr>
          <w:noProof/>
          <w:lang w:val="en-GB"/>
        </w:rPr>
        <w:t>(Marinescu 2014)</w:t>
      </w:r>
      <w:r w:rsidR="005D7F89">
        <w:rPr>
          <w:lang w:val="en-GB"/>
        </w:rPr>
        <w:fldChar w:fldCharType="end"/>
      </w:r>
      <w:r w:rsidRPr="00F46D88">
        <w:rPr>
          <w:lang w:val="en-GB"/>
        </w:rPr>
        <w:t xml:space="preserve"> and the impact of self-reported HIV status on employment status across countries</w:t>
      </w:r>
      <w:r>
        <w:rPr>
          <w:lang w:val="en-GB"/>
        </w:rPr>
        <w:t xml:space="preserve"> </w:t>
      </w:r>
      <w:r w:rsidR="005D7F89">
        <w:rPr>
          <w:lang w:val="en-GB"/>
        </w:rPr>
        <w:fldChar w:fldCharType="begin" w:fldLock="1"/>
      </w:r>
      <w:r>
        <w:rPr>
          <w:lang w:val="en-GB"/>
        </w:rPr>
        <w:instrText>ADDIN CSL_CITATION { "citationItems" : [ { "id" : "ITEM-1", "itemData" : { "author" : [ { "dropping-particle" : "", "family" : "McKelvey", "given" : "Christopher", "non-dropping-particle" : "", "parse-names" : false, "suffix" : "" } ], "id" : "ITEM-1", "issued" : { "date-parts" : [ [ "2010" ] ] }, "title" : "Circumcision and the Labor Market Consequences of HIV in Developing Countries", "type" : "report" }, "uris" : [ "http://www.mendeley.com/documents/?uuid=3312bd80-5760-4e08-b780-f99a9225159b" ] } ], "mendeley" : { "formattedCitation" : "(McKelvey 2010)", "plainTextFormattedCitation" : "(McKelvey 2010)", "previouslyFormattedCitation" : "(McKelvey 2010)" }, "properties" : { "noteIndex" : 0 }, "schema" : "https://github.com/citation-style-language/schema/raw/master/csl-citation.json" }</w:instrText>
      </w:r>
      <w:r w:rsidR="005D7F89">
        <w:rPr>
          <w:lang w:val="en-GB"/>
        </w:rPr>
        <w:fldChar w:fldCharType="separate"/>
      </w:r>
      <w:r w:rsidRPr="00FA090D">
        <w:rPr>
          <w:noProof/>
          <w:lang w:val="en-GB"/>
        </w:rPr>
        <w:t>(McKelvey 2010)</w:t>
      </w:r>
      <w:r w:rsidR="005D7F89">
        <w:rPr>
          <w:lang w:val="en-GB"/>
        </w:rPr>
        <w:fldChar w:fldCharType="end"/>
      </w:r>
      <w:r w:rsidRPr="00F46D88">
        <w:rPr>
          <w:lang w:val="en-GB"/>
        </w:rPr>
        <w:t xml:space="preserve">.  </w:t>
      </w:r>
      <w:r>
        <w:rPr>
          <w:lang w:val="en-GB"/>
        </w:rPr>
        <w:t xml:space="preserve">Few studies </w:t>
      </w:r>
      <w:r w:rsidR="001E6D1F">
        <w:rPr>
          <w:lang w:val="en-GB"/>
        </w:rPr>
        <w:t xml:space="preserve">explore </w:t>
      </w:r>
      <w:r>
        <w:rPr>
          <w:lang w:val="en-GB"/>
        </w:rPr>
        <w:t xml:space="preserve">the pathway through which this effect occurs.  </w:t>
      </w:r>
      <w:r w:rsidR="005D7F89">
        <w:rPr>
          <w:lang w:val="en-GB"/>
        </w:rPr>
        <w:fldChar w:fldCharType="begin" w:fldLock="1"/>
      </w:r>
      <w:r w:rsidR="00596A91">
        <w:rPr>
          <w:lang w:val="en-GB"/>
        </w:rPr>
        <w:instrText>ADDIN CSL_CITATION { "citationItems" : [ { "id" : "ITEM-1", "itemData" : { "DOI" : "10.1097/QAD.0b013e32835c54d8", "ISSN" : "0269-9370", "PMID" : "23169332", "abstract" : "BACKGROUND: There is limited evidence on the association between socioeconomic outcomes and CD4 counts in populations that include HIV-infected adults who have high CD4 counts or have not been diagnosed. We examined this association among adults in a rural Ugandan parish.\n\nMETHODS: A community health campaign offering diagnostic and treatment services for HIV and other diseases was conducted with Ministry of Health support. Data on campaign participants' education and employment were collected and a detailed household socioeconomic survey was conducted among a subset of participants. Regression analyses were used to assess relationships between CD4 count and employment and education outcomes.\n\nRESULTS: A total of 2323 adults (74% of the community) participated in the campaign; 179 of 2282 (7.8%) tested HIV-positive and 46% were newly diagnosed. Among HIV-infected adults not on antiretroviral therapy (ART), those with CD4 at least 500 worked 6.9 more days/month (P\u200a&lt;\u200a0.01; 39% more) and 2.5 more h per day (P\u200a&lt;\u200a0.05, 44% more) than those with CD4 less than 200. These effects were not significantly different from the effects for those with CD4 350-499. Children aged 6-11 years in households of adults with CD4 at least 350 did not have significantly different school enrollment rates than children in households of adults with CD4 less than 350, but differences were larger among children aged 12-18 years.\n\nCONCLUSION: Outcomes of HIV-infected adults with CD4 at least 350 were better than those of adults with CD4 less than 200 and resembled those of HIV-uninfected adults. The results suggest that early ART initiation may generate economic benefits by preventing a decline in socioeconomic status, but further research is needed to determine the CD4 threshold at which these benefits would be largest.", "author" : [ { "dropping-particle" : "", "family" : "Thirumurthy", "given" : "Harsha", "non-dropping-particle" : "", "parse-names" : false, "suffix" : "" }, { "dropping-particle" : "", "family" : "Chamie", "given" : "Gabriel", "non-dropping-particle" : "", "parse-names" : false, "suffix" : "" }, { "dropping-particle" : "", "family" : "Jain", "given" : "Vivek", "non-dropping-particle" : "", "parse-names" : false, "suffix" : "" }, { "dropping-particle" : "", "family" : "Kabami", "given" : "Jane", "non-dropping-particle" : "", "parse-names" : false, "suffix" : "" }, { "dropping-particle" : "", "family" : "Kwarisiima", "given" : "Dalsone", "non-dropping-particle" : "", "parse-names" : false, "suffix" : "" }, { "dropping-particle" : "", "family" : "Clark", "given" : "Tamara D.", "non-dropping-particle" : "", "parse-names" : false, "suffix" : "" }, { "dropping-particle" : "", "family" : "Geng", "given" : "Elvin", "non-dropping-particle" : "", "parse-names" : false, "suffix" : "" }, { "dropping-particle" : "", "family" : "Petersen", "given" : "Maya L.", "non-dropping-particle" : "", "parse-names" : false, "suffix" : "" }, { "dropping-particle" : "", "family" : "Charlebois", "given" : "Edwin D.", "non-dropping-particle" : "", "parse-names" : false, "suffix" : "" }, { "dropping-particle" : "", "family" : "Kamya", "given" : "Moses R.", "non-dropping-particle" : "", "parse-names" : false, "suffix" : "" }, { "dropping-particle" : "V.", "family" : "Havlir", "given" : "Diane", "non-dropping-particle" : "", "parse-names" : false, "suffix" : "" } ], "container-title" : "AIDS", "id" : "ITEM-1", "issue" : "4", "issued" : { "date-parts" : [ [ "2013", "2", "20" ] ] }, "page" : "627-634", "title" : "Improved employment and education outcomes in households of HIV-infected adults with high CD4 cell counts", "type" : "article-journal", "volume" : "27" }, "uris" : [ "http://www.mendeley.com/documents/?uuid=084b1b86-e9a2-4460-898b-ca93469c7ee5" ] } ], "mendeley" : { "formattedCitation" : "(Thirumurthy et al. 2013)", "manualFormatting" : "Thirumurthy et al. (2013)", "plainTextFormattedCitation" : "(Thirumurthy et al. 2013)", "previouslyFormattedCitation" : "(Thirumurthy et al. 2013)" }, "properties" : { "noteIndex" : 0 }, "schema" : "https://github.com/citation-style-language/schema/raw/master/csl-citation.json" }</w:instrText>
      </w:r>
      <w:r w:rsidR="005D7F89">
        <w:rPr>
          <w:lang w:val="en-GB"/>
        </w:rPr>
        <w:fldChar w:fldCharType="separate"/>
      </w:r>
      <w:r w:rsidR="00596A91" w:rsidRPr="00596A91">
        <w:rPr>
          <w:noProof/>
          <w:lang w:val="en-GB"/>
        </w:rPr>
        <w:t xml:space="preserve">Thirumurthy et al. </w:t>
      </w:r>
      <w:r w:rsidR="00596A91">
        <w:rPr>
          <w:noProof/>
          <w:lang w:val="en-GB"/>
        </w:rPr>
        <w:t>(</w:t>
      </w:r>
      <w:r w:rsidR="00596A91" w:rsidRPr="00596A91">
        <w:rPr>
          <w:noProof/>
          <w:lang w:val="en-GB"/>
        </w:rPr>
        <w:t>2013)</w:t>
      </w:r>
      <w:r w:rsidR="005D7F89">
        <w:rPr>
          <w:lang w:val="en-GB"/>
        </w:rPr>
        <w:fldChar w:fldCharType="end"/>
      </w:r>
      <w:r w:rsidRPr="008D18C3">
        <w:rPr>
          <w:lang w:val="en-GB"/>
        </w:rPr>
        <w:t xml:space="preserve"> </w:t>
      </w:r>
      <w:r>
        <w:rPr>
          <w:lang w:val="en-GB"/>
        </w:rPr>
        <w:t>analyse</w:t>
      </w:r>
      <w:r w:rsidRPr="008D18C3">
        <w:rPr>
          <w:lang w:val="en-GB"/>
        </w:rPr>
        <w:t xml:space="preserve"> the </w:t>
      </w:r>
      <w:r w:rsidRPr="008D18C3">
        <w:rPr>
          <w:lang w:val="en-GB"/>
        </w:rPr>
        <w:lastRenderedPageBreak/>
        <w:t xml:space="preserve">impact of severity of disease using data from Kakyerere parish in Mbarara District, Uganda, and find that higher CD4 count is associated with more days worked </w:t>
      </w:r>
      <w:r>
        <w:rPr>
          <w:lang w:val="en-GB"/>
        </w:rPr>
        <w:t>over the course of a past month</w:t>
      </w:r>
      <w:r w:rsidRPr="008D18C3">
        <w:rPr>
          <w:lang w:val="en-GB"/>
        </w:rPr>
        <w:t xml:space="preserve">.  </w:t>
      </w:r>
      <w:r w:rsidR="00E15A51">
        <w:rPr>
          <w:lang w:val="en-GB"/>
        </w:rPr>
        <w:t>We build upon this by using national data.</w:t>
      </w:r>
    </w:p>
    <w:p w14:paraId="198E8DEB" w14:textId="77777777" w:rsidR="005626FD" w:rsidRDefault="005626FD" w:rsidP="005626FD">
      <w:pPr>
        <w:ind w:firstLine="204"/>
      </w:pPr>
      <w:r w:rsidRPr="00F46D88">
        <w:t xml:space="preserve">This paper estimates a causal effect of HIV status on employment, which is achieved by using an instrumental variable in a recursive bivariate probit model using recent, publically available household survey data from Uganda.  </w:t>
      </w:r>
      <w:r w:rsidR="00B0634F">
        <w:t>W</w:t>
      </w:r>
      <w:r w:rsidR="00B0634F">
        <w:rPr>
          <w:lang w:val="en-GB"/>
        </w:rPr>
        <w:t>e use</w:t>
      </w:r>
      <w:r w:rsidR="00B0634F">
        <w:t xml:space="preserve"> data from the </w:t>
      </w:r>
      <w:r w:rsidR="00B0634F" w:rsidRPr="00F46D88">
        <w:t>2011</w:t>
      </w:r>
      <w:r w:rsidR="00B0634F">
        <w:t xml:space="preserve"> Uganda AIDS Indicator Survey, the only Demographic and Health Survey to collect CD4 cell count in addition to biometric HIV status.  </w:t>
      </w:r>
      <w:r w:rsidR="00500A50">
        <w:t>The instrument, m</w:t>
      </w:r>
      <w:r>
        <w:t xml:space="preserve">ale circumcision has been shown in the medical literature to </w:t>
      </w:r>
      <w:r w:rsidRPr="001E1D74">
        <w:t>substantially decrease the probability of HIV infection. In 2007</w:t>
      </w:r>
      <w:r w:rsidR="00500A50">
        <w:t>,</w:t>
      </w:r>
      <w:r w:rsidRPr="001E1D74">
        <w:t xml:space="preserve"> clinical evidence from three major trials undertaken in South Africa, Kenya and Uganda showed </w:t>
      </w:r>
      <w:r w:rsidR="000F7080">
        <w:t xml:space="preserve">the efficacy of </w:t>
      </w:r>
      <w:r w:rsidRPr="001E1D74">
        <w:t xml:space="preserve">male circumcision </w:t>
      </w:r>
      <w:r w:rsidR="000F7080">
        <w:t xml:space="preserve">in protecting against HIV infection to be </w:t>
      </w:r>
      <w:r w:rsidRPr="001E1D74">
        <w:t>a risk reduction</w:t>
      </w:r>
      <w:r w:rsidR="000F7080">
        <w:t xml:space="preserve"> of 60 percent</w:t>
      </w:r>
      <w:r w:rsidRPr="001E1D74">
        <w:t xml:space="preserve"> </w:t>
      </w:r>
      <w:r w:rsidR="005D7F89">
        <w:fldChar w:fldCharType="begin" w:fldLock="1"/>
      </w:r>
      <w:r>
        <w:instrText>ADDIN CSL_CITATION { "citationItems" : [ { "id" : "ITEM-1", "itemData" : { "DOI" : "10.1371/journal.pmed.0020298", "ISBN" : "10.1371/journal.pmed.0020298", "ISSN" : "1549-1676", "PMID" : "16231970", "abstract" : "BACKGROUND: Observational studies suggest that male circumcision may provide protection against HIV-1 infection. A randomized, controlled intervention trial was conducted in a general population of South Africa to test this hypothesis.\n\nMETHODS AND FINDINGS: A total of 3,274 uncircumcised men, aged 18-24 y, were randomized to a control or an intervention group with follow-up visits at months 3, 12, and 21. Male circumcision was offered to the intervention group immediately after randomization and to the control group at the end of the follow-up. The grouped censored data were analyzed in intention-to-treat, univariate and multivariate, analyses, using piecewise exponential, proportional hazards models. Rate ratios (RR) of HIV incidence were determined with 95% CI. Protection against HIV infection was calculated as 1 - RR. The trial was stopped at the interim analysis, and the mean (interquartile range) follow-up was 18.1 mo (13.0-21.0) when the data were analyzed. There were 20 HIV infections (incidence rate = 0.85 per 100 person-years) in the intervention group and 49 (2.1 per 100 person-years) in the control group, corresponding to an RR of 0.40 (95% CI: 0.24%-0.68%; p &lt; 0.001). This RR corresponds to a protection of 60% (95% CI: 32%-76%). When controlling for behavioural factors, including sexual behaviour that increased slightly in the intervention group, condom use, and health-seeking behaviour, the protection was of 61% (95% CI: 34%-77%).\n\nCONCLUSION: Male circumcision provides a degree of protection against acquiring HIV infection, equivalent to what a vaccine of high efficacy would have achieved. Male circumcision may provide an important way of reducing the spread of HIV infection in sub-Saharan Africa. (Preliminary and partial results were presented at the International AIDS Society 2005 Conference, on 26 July 2005, in Rio de Janeiro, Brazil.).", "author" : [ { "dropping-particle" : "", "family" : "Auvert", "given" : "Bertran", "non-dropping-particle" : "", "parse-names" : false, "suffix" : "" }, { "dropping-particle" : "", "family" : "Taljaard", "given" : "Dirk", "non-dropping-particle" : "", "parse-names" : false, "suffix" : "" }, { "dropping-particle" : "", "family" : "Lagarde", "given" : "Emmanuel", "non-dropping-particle" : "", "parse-names" : false, "suffix" : "" }, { "dropping-particle" : "", "family" : "Sobngwi-Tambekou", "given" : "Jo\u00eblle", "non-dropping-particle" : "", "parse-names" : false, "suffix" : "" }, { "dropping-particle" : "", "family" : "Sitta", "given" : "R\u00e9mi", "non-dropping-particle" : "", "parse-names" : false, "suffix" : "" }, { "dropping-particle" : "", "family" : "Puren", "given" : "Adrian", "non-dropping-particle" : "", "parse-names" : false, "suffix" : "" } ], "container-title" : "PLoS medicine", "id" : "ITEM-1", "issue" : "11", "issued" : { "date-parts" : [ [ "2005", "11", "25" ] ] }, "page" : "e298", "publisher" : "Public Library of Science", "title" : "Randomized, controlled intervention trial of male circumcision for reduction of HIV infection risk: the ANRS 1265 Trial.", "type" : "article-journal", "volume" : "2" }, "uris" : [ "http://www.mendeley.com/documents/?uuid=5a2162f3-c7f0-4bcb-89bd-8058e8064559" ] }, { "id" : "ITEM-2", "itemData" : { "DOI" : "10.1016/S0140-6736(07)60312-2", "ISSN" : "1474-547X", "PMID" : "17321310", "abstract" : "BACKGROUND: Male circumcision could provide substantial protection against acquisition of HIV-1 infection. Our aim was to determine whether male circumcision had a protective effect against HIV infection, and to assess safety and changes in sexual behaviour related to this intervention.\n\nMETHODS: We did a randomised controlled trial of 2784 men aged 18-24 years in Kisumu, Kenya. Men were randomly assigned to an intervention group (circumcision; n=1391) or a control group (delayed circumcision, 1393), and assessed by HIV testing, medical examinations, and behavioural interviews during follow-ups at 1, 3, 6, 12, 18, and 24 months. HIV seroincidence was estimated in an intention-to-treat analysis. This trial is registered with ClinicalTrials.gov, with the number NCT00059371.\n\nFINDINGS: The trial was stopped early on December 12, 2006, after a third interim analysis reviewed by the data and safety monitoring board. The median length of follow-up was 24 months. Follow-up for HIV status was incomplete for 240 (8.6%) participants. 22 men in the intervention group and 47 in the control group had tested positive for HIV when the study was stopped. The 2-year HIV incidence was 2.1% (95% CI 1.2-3.0) in the circumcision group and 4.2% (3.0-5.4) in the control group (p=0.0065); the relative risk of HIV infection in circumcised men was 0.47 (0.28-0.78), which corresponds to a reduction in the risk of acquiring an HIV infection of 53% (22-72). Adjusting for non-adherence to treatment and excluding four men found to be seropositive at enrollment, the protective effect of circumcision was 60% (32-77). Adverse events related to the intervention (21 events in 1.5% of those circumcised) resolved quickly. No behavioural risk compensation after circumcision was observed.\n\nINTERPRETATION: Male circumcision significantly reduces the risk of HIV acquisition in young men in Africa. Where appropriate, voluntary, safe, and affordable circumcision services should be integrated with other HIV preventive interventions and provided as expeditiously as possible.", "author" : [ { "dropping-particle" : "", "family" : "Bailey", "given" : "Robert C", "non-dropping-particle" : "", "parse-names" : false, "suffix" : "" }, { "dropping-particle" : "", "family" : "Moses", "given" : "Stephen", "non-dropping-particle" : "", "parse-names" : false, "suffix" : "" }, { "dropping-particle" : "", "family" : "Parker", "given" : "Corette B", "non-dropping-particle" : "", "parse-names" : false, "suffix" : "" }, { "dropping-particle" : "", "family" : "Agot", "given" : "Kawango", "non-dropping-particle" : "", "parse-names" : false, "suffix" : "" }, { "dropping-particle" : "", "family" : "Maclean", "given" : "Ian", "non-dropping-particle" : "", "parse-names" : false, "suffix" : "" }, { "dropping-particle" : "", "family" : "Krieger", "given" : "John N", "non-dropping-particle" : "", "parse-names" : false, "suffix" : "" }, { "dropping-particle" : "", "family" : "Williams", "given" : "Carolyn F M", "non-dropping-particle" : "", "parse-names" : false, "suffix" : "" }, { "dropping-particle" : "", "family" : "Campbell", "given" : "Richard T", "non-dropping-particle" : "", "parse-names" : false, "suffix" : "" }, { "dropping-particle" : "", "family" : "Ndinya-Achola", "given" : "Jeckoniah O", "non-dropping-particle" : "", "parse-names" : false, "suffix" : "" } ], "container-title" : "Lancet (London, England)", "id" : "ITEM-2", "issue" : "9562", "issued" : { "date-parts" : [ [ "2007", "2", "24" ] ] }, "language" : "English", "page" : "643-56", "publisher" : "Elsevier", "title" : "Male circumcision for HIV prevention in young men in Kisumu, Kenya: a randomised controlled trial.", "type" : "article-journal", "volume" : "369" }, "uris" : [ "http://www.mendeley.com/documents/?uuid=b06f5eef-2fd8-4f43-84a0-e62f65616ffe" ] }, { "id" : "ITEM-3", "itemData" : { "DOI" : "10.1016/S0140-6736(07)60313-4", "ISSN" : "1474-547X", "PMID" : "17321311", "abstract" : "BACKGROUND: Ecological and observational studies suggest that male circumcision reduces the risk of HIV acquisition in men. Our aim was to investigate the effect of male circumcision on HIV incidence in men.\n\nMETHODS: 4996 uncircumcised, HIV-negative men aged 15-49 years who agreed to HIV testing and counselling were enrolled in this randomised trial in rural Rakai district, Uganda. Men were randomly assigned to receive immediate circumcision (n=2474) or circumcision delayed for 24 months (2522). HIV testing, physical examination, and interviews were repeated at 6, 12, and 24 month follow-up visits. The primary outcome was HIV incidence. Analyses were done on a modified intention-to-treat basis. This trial is registered with ClinicalTrials.gov, with the number NCT00425984.\n\nFINDINGS: Baseline characteristics of the men in the intervention and control groups were much the same at enrollment. Retention rates were much the same in the two groups, with 90-92% of participants retained at all time points. In the modified intention-to-treat analysis, HIV incidence over 24 months was 0.66 cases per 100 person-years in the intervention group and 1.33 cases per 100 person-years in the control group (estimated efficacy of intervention 51%, 95% CI 16-72; p=0.006). The as-treated efficacy was 55% (95% CI 22-75; p=0.002); efficacy from the Kaplan-Meier time-to-HIV-detection as-treated analysis was 60% (30-77; p=0.003). HIV incidence was lower in the intervention group than it was in the control group in all sociodemographic, behavioural, and sexually transmitted disease symptom subgroups. Moderate or severe adverse events occurred in 84 (3.6%) circumcisions; all resolved with treatment. Behaviours were much the same in both groups during follow-up.\n\nINTERPRETATION: Male circumcision reduced HIV incidence in men without behavioural disinhibition. Circumcision can be recommended for HIV prevention in men.", "author" : [ { "dropping-particle" : "", "family" : "Gray", "given" : "Ronald H", "non-dropping-particle" : "", "parse-names" : false, "suffix" : "" }, { "dropping-particle" : "", "family" : "Kigozi", "given" : "Godfrey", "non-dropping-particle" : "", "parse-names" : false, "suffix" : "" }, { "dropping-particle" : "", "family" : "Serwadda", "given" : "David", "non-dropping-particle" : "", "parse-names" : false, "suffix" : "" }, { "dropping-particle" : "", "family" : "Makumbi", "given" : "Frederick", "non-dropping-particle" : "", "parse-names" : false, "suffix" : "" }, { "dropping-particle" : "", "family" : "Watya", "given" : "Stephen", "non-dropping-particle" : "", "parse-names" : false, "suffix" : "" }, { "dropping-particle" : "", "family" : "Nalugoda", "given" : "Fred", "non-dropping-particle" : "", "parse-names" : false, "suffix" : "" }, { "dropping-particle" : "", "family" : "Kiwanuka", "given" : "Noah", "non-dropping-particle" : "", "parse-names" : false, "suffix" : "" }, { "dropping-particle" : "", "family" : "Moulton", "given" : "Lawrence H", "non-dropping-particle" : "", "parse-names" : false, "suffix" : "" }, { "dropping-particle" : "", "family" : "Chaudhary", "given" : "Mohammad A", "non-dropping-particle" : "", "parse-names" : false, "suffix" : "" }, { "dropping-particle" : "", "family" : "Chen", "given" : "Michael Z", "non-dropping-particle" : "", "parse-names" : false, "suffix" : "" }, { "dropping-particle" : "", "family" : "Sewankambo", "given" : "Nelson K", "non-dropping-particle" : "", "parse-names" : false, "suffix" : "" }, { "dropping-particle" : "", "family" : "Wabwire-Mangen", "given" : "Fred", "non-dropping-particle" : "", "parse-names" : false, "suffix" : "" }, { "dropping-particle" : "", "family" : "Bacon", "given" : "Melanie C", "non-dropping-particle" : "", "parse-names" : false, "suffix" : "" }, { "dropping-particle" : "", "family" : "Williams", "given" : "Carolyn F M", "non-dropping-particle" : "", "parse-names" : false, "suffix" : "" }, { "dropping-particle" : "", "family" : "Opendi", "given" : "Pius", "non-dropping-particle" : "", "parse-names" : false, "suffix" : "" }, { "dropping-particle" : "", "family" : "Reynolds", "given" : "Steven J", "non-dropping-particle" : "", "parse-names" : false, "suffix" : "" }, { "dropping-particle" : "", "family" : "Laeyendecker", "given" : "Oliver", "non-dropping-particle" : "", "parse-names" : false, "suffix" : "" }, { "dropping-particle" : "", "family" : "Quinn", "given" : "Thomas C", "non-dropping-particle" : "", "parse-names" : false, "suffix" : "" }, { "dropping-particle" : "", "family" : "Wawer", "given" : "Maria J", "non-dropping-particle" : "", "parse-names" : false, "suffix" : "" } ], "container-title" : "Lancet (London, England)", "id" : "ITEM-3", "issue" : "9562", "issued" : { "date-parts" : [ [ "2007", "2", "24" ] ] }, "language" : "English", "page" : "657-66", "publisher" : "Elsevier", "title" : "Male circumcision for HIV prevention in men in Rakai, Uganda: a randomised trial.", "type" : "article-journal", "volume" : "369" }, "uris" : [ "http://www.mendeley.com/documents/?uuid=bd901eb6-f126-42f2-b86e-368e0d0c5e42" ] } ], "mendeley" : { "formattedCitation" : "(Auvert et al. 2005; Bailey et al. 2007; Gray et al. 2007)", "plainTextFormattedCitation" : "(Auvert et al. 2005; Bailey et al. 2007; Gray et al. 2007)", "previouslyFormattedCitation" : "(Auvert et al. 2005; Bailey et al. 2007; Gray et al. 2007)" }, "properties" : { "noteIndex" : 0 }, "schema" : "https://github.com/citation-style-language/schema/raw/master/csl-citation.json" }</w:instrText>
      </w:r>
      <w:r w:rsidR="005D7F89">
        <w:fldChar w:fldCharType="separate"/>
      </w:r>
      <w:r w:rsidRPr="00FA090D">
        <w:rPr>
          <w:noProof/>
        </w:rPr>
        <w:t>(Auvert et al. 2005; Bailey et al. 2007; Gray et al. 2007)</w:t>
      </w:r>
      <w:r w:rsidR="005D7F89">
        <w:fldChar w:fldCharType="end"/>
      </w:r>
      <w:r>
        <w:t>.</w:t>
      </w:r>
      <w:r w:rsidRPr="001E1D74">
        <w:t xml:space="preserve">  </w:t>
      </w:r>
      <w:r>
        <w:t>The</w:t>
      </w:r>
      <w:r w:rsidRPr="00F46D88">
        <w:t xml:space="preserve"> </w:t>
      </w:r>
      <w:r w:rsidR="00B52859">
        <w:t>IV strategy</w:t>
      </w:r>
      <w:r w:rsidRPr="00F46D88">
        <w:t xml:space="preserve"> overcomes simultaneity bias arising from the effect that employment status has on the likelihood of becoming HIV infected, and, unlike the control function and propensity score matching approach applied by </w:t>
      </w:r>
      <w:r w:rsidR="005D7F89">
        <w:fldChar w:fldCharType="begin" w:fldLock="1"/>
      </w:r>
      <w:r>
        <w:instrText>ADDIN CSL_CITATION { "citationItems" : [ { "id" : "ITEM-1", "itemData" : { "DOI" : "10.1162/REST_a_00237", "ISSN" : "0034-6535", "abstract" : "Abstract We use econometric methods based on the propensity score to estimate the causal effect of HIV status on employment outcomes in South Africa. Relying on rich data from a national survey, which included HIV testing, we control for systematic differences between HIV-positive and HIV-negative individuals. We provide the first nationally representative estimates of the impact of HIV status on employment outcomes for southern Africa. Being HIV positive is associated with an increase of 6 to 7 percentage points in the likelihood of unemployment overall and 10 to 11 percentage points for those who are less educated. This disadvantage reinforces existing inequalities in South Africa.", "author" : [ { "dropping-particle" : "", "family" : "Levinsohn", "given" : "James", "non-dropping-particle" : "", "parse-names" : false, "suffix" : "" }, { "dropping-particle" : "", "family" : "McLaren", "given" : "Zo\u00eb M.", "non-dropping-particle" : "", "parse-names" : false, "suffix" : "" }, { "dropping-particle" : "", "family" : "Shisana", "given" : "Olive", "non-dropping-particle" : "", "parse-names" : false, "suffix" : "" }, { "dropping-particle" : "", "family" : "Zuma", "given" : "Khangelani", "non-dropping-particle" : "", "parse-names" : false, "suffix" : "" } ], "container-title" : "Review of Economics and Statistics", "id" : "ITEM-1", "issue" : "1", "issued" : { "date-parts" : [ [ "2013", "3", "19" ] ] }, "language" : "en", "page" : "98-108", "publisher" : "The MIT Press", "title" : "HIV Status and Labor Market Participation in South Africa", "type" : "article-journal", "volume" : "95" }, "uris" : [ "http://www.mendeley.com/documents/?uuid=ad663861-0162-4c6c-9cf2-d1f01c1e44cd" ] } ], "mendeley" : { "formattedCitation" : "(Levinsohn et al. 2013)", "manualFormatting" : "Levinsohn et al. (2013)", "plainTextFormattedCitation" : "(Levinsohn et al. 2013)", "previouslyFormattedCitation" : "(Levinsohn et al. 2013)" }, "properties" : { "noteIndex" : 0 }, "schema" : "https://github.com/citation-style-language/schema/raw/master/csl-citation.json" }</w:instrText>
      </w:r>
      <w:r w:rsidR="005D7F89">
        <w:fldChar w:fldCharType="separate"/>
      </w:r>
      <w:r w:rsidRPr="0058362A">
        <w:rPr>
          <w:noProof/>
        </w:rPr>
        <w:t xml:space="preserve">Levinsohn et al. </w:t>
      </w:r>
      <w:r>
        <w:rPr>
          <w:noProof/>
        </w:rPr>
        <w:t>(</w:t>
      </w:r>
      <w:r w:rsidRPr="0058362A">
        <w:rPr>
          <w:noProof/>
        </w:rPr>
        <w:t>2013)</w:t>
      </w:r>
      <w:r w:rsidR="005D7F89">
        <w:fldChar w:fldCharType="end"/>
      </w:r>
      <w:r w:rsidRPr="00F46D88">
        <w:t xml:space="preserve">, this approach does not rely on selection on observables </w:t>
      </w:r>
      <w:r w:rsidR="005D7F89">
        <w:fldChar w:fldCharType="begin" w:fldLock="1"/>
      </w:r>
      <w:r>
        <w:instrText>ADDIN CSL_CITATION { "citationItems" : [ { "id" : "ITEM-1", "itemData" : { "author" : [ { "dropping-particle" : "", "family" : "Jones", "given" : "Andrew M.", "non-dropping-particle" : "", "parse-names" : false, "suffix" : "" } ], "edition" : "2", "id" : "ITEM-1", "issued" : { "date-parts" : [ [ "2007" ] ] }, "number-of-pages" : "128", "publisher" : "Radcliffe Publishing", "publisher-place" : "Oxford", "title" : "Applied Econometrics for Health Economists: A Practical Guide: Amazon.co.uk: Andrew Jones: 9781846191718: Books", "type" : "book" }, "uris" : [ "http://www.mendeley.com/documents/?uuid=15976c59-5f0b-4db7-b35c-45e38c4ab12c" ] } ], "mendeley" : { "formattedCitation" : "(Jones 2007)", "plainTextFormattedCitation" : "(Jones 2007)", "previouslyFormattedCitation" : "(Jones 2007)" }, "properties" : { "noteIndex" : 0 }, "schema" : "https://github.com/citation-style-language/schema/raw/master/csl-citation.json" }</w:instrText>
      </w:r>
      <w:r w:rsidR="005D7F89">
        <w:fldChar w:fldCharType="separate"/>
      </w:r>
      <w:r w:rsidRPr="00FA090D">
        <w:rPr>
          <w:noProof/>
        </w:rPr>
        <w:t>(Jones 2007)</w:t>
      </w:r>
      <w:r w:rsidR="005D7F89">
        <w:fldChar w:fldCharType="end"/>
      </w:r>
      <w:r w:rsidRPr="00F46D88">
        <w:t>.</w:t>
      </w:r>
      <w:r>
        <w:t xml:space="preserve">  Unlike </w:t>
      </w:r>
      <w:r w:rsidR="005D7F89">
        <w:fldChar w:fldCharType="begin" w:fldLock="1"/>
      </w:r>
      <w:r>
        <w:instrText>ADDIN CSL_CITATION { "citationItems" : [ { "id" : "ITEM-1", "itemData" : { "author" : [ { "dropping-particle" : "", "family" : "McKelvey", "given" : "Christopher", "non-dropping-particle" : "", "parse-names" : false, "suffix" : "" } ], "id" : "ITEM-1", "issued" : { "date-parts" : [ [ "2010" ] ] }, "title" : "Circumcision and the Labor Market Consequences of HIV in Developing Countries", "type" : "report" }, "uris" : [ "http://www.mendeley.com/documents/?uuid=3312bd80-5760-4e08-b780-f99a9225159b" ] } ], "mendeley" : { "formattedCitation" : "(McKelvey 2010)", "manualFormatting" : "McKelvey (2010)", "plainTextFormattedCitation" : "(McKelvey 2010)", "previouslyFormattedCitation" : "(McKelvey 2010)" }, "properties" : { "noteIndex" : 0 }, "schema" : "https://github.com/citation-style-language/schema/raw/master/csl-citation.json" }</w:instrText>
      </w:r>
      <w:r w:rsidR="005D7F89">
        <w:fldChar w:fldCharType="separate"/>
      </w:r>
      <w:r w:rsidRPr="0058362A">
        <w:rPr>
          <w:noProof/>
        </w:rPr>
        <w:t xml:space="preserve">McKelvey </w:t>
      </w:r>
      <w:r>
        <w:rPr>
          <w:noProof/>
        </w:rPr>
        <w:t>(</w:t>
      </w:r>
      <w:r w:rsidRPr="0058362A">
        <w:rPr>
          <w:noProof/>
        </w:rPr>
        <w:t>2010)</w:t>
      </w:r>
      <w:r w:rsidR="005D7F89">
        <w:fldChar w:fldCharType="end"/>
      </w:r>
      <w:r>
        <w:t>, who considers 13 countries, w</w:t>
      </w:r>
      <w:r>
        <w:rPr>
          <w:lang w:val="en-GB"/>
        </w:rPr>
        <w:t xml:space="preserve">e focus on Uganda, </w:t>
      </w:r>
      <w:r>
        <w:t xml:space="preserve">using data from the </w:t>
      </w:r>
      <w:r w:rsidRPr="00F46D88">
        <w:t>2011</w:t>
      </w:r>
      <w:r>
        <w:t xml:space="preserve"> Uganda AIDS </w:t>
      </w:r>
      <w:r w:rsidR="00500A50">
        <w:t xml:space="preserve">Indicator </w:t>
      </w:r>
      <w:r>
        <w:t>Survey</w:t>
      </w:r>
      <w:r w:rsidR="000A2198">
        <w:t xml:space="preserve"> (UAIS)</w:t>
      </w:r>
      <w:r>
        <w:t xml:space="preserve">.  The pathway through which HIV </w:t>
      </w:r>
      <w:r w:rsidR="0046473D">
        <w:t xml:space="preserve">might </w:t>
      </w:r>
      <w:r>
        <w:t>affect employment is e</w:t>
      </w:r>
      <w:r w:rsidR="0046473D">
        <w:t xml:space="preserve">xplored </w:t>
      </w:r>
      <w:r>
        <w:t>by assessing the association between different levels of HIV illness (as measured by CD4 cell count)</w:t>
      </w:r>
      <w:r w:rsidR="00EF76AA">
        <w:t xml:space="preserve"> and </w:t>
      </w:r>
      <w:r>
        <w:t>employment outcomes.</w:t>
      </w:r>
      <w:r w:rsidR="00EF76AA">
        <w:t xml:space="preserve">  We further address the question of whether the effect occurs on the supply or demand side by evaluating the effect by employment sector and for agricultural manual laborers only.</w:t>
      </w:r>
    </w:p>
    <w:p w14:paraId="0CE741D2" w14:textId="77777777" w:rsidR="00493624" w:rsidRPr="00F46D88" w:rsidRDefault="003D059E" w:rsidP="00493624">
      <w:pPr>
        <w:ind w:firstLine="204"/>
      </w:pPr>
      <w:r>
        <w:t>O</w:t>
      </w:r>
      <w:r w:rsidR="00D1230E">
        <w:t>ver 90%, the majority of Uganda’s labor force is informally</w:t>
      </w:r>
      <w:r>
        <w:t xml:space="preserve"> employed and more than half of individuals are self-employed</w:t>
      </w:r>
      <w:r w:rsidR="00F37541">
        <w:t>.</w:t>
      </w:r>
      <w:r w:rsidR="00D1230E">
        <w:t xml:space="preserve"> </w:t>
      </w:r>
      <w:r w:rsidR="00F37541">
        <w:t xml:space="preserve"> </w:t>
      </w:r>
      <w:r w:rsidR="00D1230E">
        <w:t>Most</w:t>
      </w:r>
      <w:r w:rsidR="00F37541">
        <w:t xml:space="preserve"> </w:t>
      </w:r>
      <w:r w:rsidR="00D1230E">
        <w:t xml:space="preserve">(66% of males and 77% of females) work in agriculture, forestry and fishing, almost a quarter (24% of males and 19% of females) </w:t>
      </w:r>
      <w:r w:rsidR="00F37541">
        <w:t xml:space="preserve">are </w:t>
      </w:r>
      <w:r w:rsidR="00D1230E">
        <w:t xml:space="preserve">employed in service, and </w:t>
      </w:r>
      <w:r w:rsidR="00F37541">
        <w:t xml:space="preserve">the remainder are employed in manufacturing </w:t>
      </w:r>
      <w:r w:rsidR="005D7F89">
        <w:fldChar w:fldCharType="begin" w:fldLock="1"/>
      </w:r>
      <w:r w:rsidR="007B0F77">
        <w:instrText>ADDIN CSL_CITATION { "citationItems" : [ { "id" : "ITEM-1", "itemData" : { "abstract" : "PREFACE Statistics on Labour are vital in the measurement of economic growth and development of a nation. These statistics furnish an indicator of the number of persons who, during a specified period, contributed to the production of goods and services in the country. Labour statistics support analysis of the relationships between employment, income and other socio-economic variables and is necessary to plan and monitor employment, training and similar types of programmes. Traditionally, the Uganda Bureau of Statistics (UBOS) has been generating data on employment through population censuses and household based sample surveys. However, these are not sufficient to meet the current data needs on labour issues. In response to this, the Bureau conducted the 2011/12 National Labour Force and Child Activities Survey (NLF&amp;CAS). The survey was the first survey of its kind to be conducted in the country to collect information on the activity status of the population, characteristics of their places of work as well as information on occupational health and safety issues. The survey provided essential information for monitoring employment and labour market developments in the country.", "author" : [ { "dropping-particle" : "", "family" : "Uganda Bureau of Statistics", "given" : "", "non-dropping-particle" : "", "parse-names" : false, "suffix" : "" } ], "id" : "ITEM-1", "issued" : { "date-parts" : [ [ "2013" ] ] }, "publisher-place" : "Kampala", "title" : "The National Labour Force and Child Activities Survey, 2011/12", "type" : "report" }, "uris" : [ "http://www.mendeley.com/documents/?uuid=f5e150f6-0f1f-3f9d-864c-ee859cd9605b" ] } ], "mendeley" : { "formattedCitation" : "(Uganda Bureau of Statistics 2013)", "plainTextFormattedCitation" : "(Uganda Bureau of Statistics 2013)", "previouslyFormattedCitation" : "(Uganda Bureau of Statistics 2013)" }, "properties" : { "noteIndex" : 0 }, "schema" : "https://github.com/citation-style-language/schema/raw/master/csl-citation.json" }</w:instrText>
      </w:r>
      <w:r w:rsidR="005D7F89">
        <w:fldChar w:fldCharType="separate"/>
      </w:r>
      <w:r w:rsidR="00F37541" w:rsidRPr="00F37541">
        <w:rPr>
          <w:noProof/>
        </w:rPr>
        <w:t>(Uganda Bureau of Statistics 2013)</w:t>
      </w:r>
      <w:r w:rsidR="005D7F89">
        <w:fldChar w:fldCharType="end"/>
      </w:r>
      <w:r w:rsidR="00F37541">
        <w:t>.</w:t>
      </w:r>
      <w:r w:rsidR="00D1230E">
        <w:t xml:space="preserve"> </w:t>
      </w:r>
      <w:r w:rsidR="00F37541">
        <w:t xml:space="preserve"> </w:t>
      </w:r>
      <w:r w:rsidR="00882FD0">
        <w:t xml:space="preserve">Uganda </w:t>
      </w:r>
      <w:r w:rsidR="007124F2">
        <w:t>is</w:t>
      </w:r>
      <w:r w:rsidR="00F37541">
        <w:t xml:space="preserve"> broadly</w:t>
      </w:r>
      <w:r w:rsidR="00CE5C93">
        <w:t xml:space="preserve"> representative of low-income countries in the region, with a labor force participation rate of 78% (compared to the region average of 76%) and an ART coverage rate of </w:t>
      </w:r>
      <w:r w:rsidR="00955677">
        <w:t>57</w:t>
      </w:r>
      <w:r w:rsidR="00CE5C93">
        <w:t xml:space="preserve">% (compared to the region average of </w:t>
      </w:r>
      <w:r w:rsidR="00955677">
        <w:t>51</w:t>
      </w:r>
      <w:r w:rsidR="00CE5C93">
        <w:t>%)</w:t>
      </w:r>
      <w:r w:rsidR="00955677">
        <w:t xml:space="preserve"> </w:t>
      </w:r>
      <w:r w:rsidR="00955677">
        <w:fldChar w:fldCharType="begin" w:fldLock="1"/>
      </w:r>
      <w:r w:rsidR="00A83CC7">
        <w:instrText>ADDIN CSL_CITATION { "citationItems" : [ { "id" : "ITEM-1", "itemData" : { "URL" : "http://data.worldbank.org/indicator/SH.HIV.ARTC.ZS?page=1", "accessed" : { "date-parts" : [ [ "2017", "8", "9" ] ] }, "author" : [ { "dropping-particle" : "", "family" : "World Bank", "given" : "", "non-dropping-particle" : "", "parse-names" : false, "suffix" : "" } ], "id" : "ITEM-1", "issued" : { "date-parts" : [ [ "2017" ] ] }, "title" : "Antiretroviral therapy coverage (% of people living with HIV)", "type" : "webpage" }, "uris" : [ "http://www.mendeley.com/documents/?uuid=4a8f3b47-015e-3fed-bae4-32d4e117ef5a" ] } ], "mendeley" : { "formattedCitation" : "(World Bank 2017a)", "plainTextFormattedCitation" : "(World Bank 2017a)", "previouslyFormattedCitation" : "(World Bank 2017a)" }, "properties" : { "noteIndex" : 0 }, "schema" : "https://github.com/citation-style-language/schema/raw/master/csl-citation.json" }</w:instrText>
      </w:r>
      <w:r w:rsidR="00955677">
        <w:fldChar w:fldCharType="separate"/>
      </w:r>
      <w:r w:rsidR="00427EED" w:rsidRPr="00427EED">
        <w:rPr>
          <w:noProof/>
        </w:rPr>
        <w:t>(World Bank 2017a)</w:t>
      </w:r>
      <w:r w:rsidR="00955677">
        <w:fldChar w:fldCharType="end"/>
      </w:r>
      <w:r w:rsidR="00CE5C93">
        <w:t xml:space="preserve">.  The prevalence of HIV within low-income countries </w:t>
      </w:r>
      <w:r w:rsidR="00CE5C93" w:rsidRPr="0064129C">
        <w:t>in Sub-Saharan Africa ranges from less than 1% in Madagascar to 15% in Zimbabwe, and is 7% in Uganda</w:t>
      </w:r>
      <w:r w:rsidR="00427EED">
        <w:t xml:space="preserve"> </w:t>
      </w:r>
      <w:r w:rsidR="00427EED">
        <w:fldChar w:fldCharType="begin" w:fldLock="1"/>
      </w:r>
      <w:r w:rsidR="00A83CC7">
        <w:instrText>ADDIN CSL_CITATION { "citationItems" : [ { "id" : "ITEM-1", "itemData" : { "URL" : "http://data.worldbank.org/indicator/SH.DYN.AIDS.ZS", "accessed" : { "date-parts" : [ [ "2017", "8", "9" ] ] }, "author" : [ { "dropping-particle" : "", "family" : "World Bank", "given" : "", "non-dropping-particle" : "", "parse-names" : false, "suffix" : "" } ], "id" : "ITEM-1", "issued" : { "date-parts" : [ [ "2017" ] ] }, "title" : "Prevalence of HIV, total (% of population ages 15-49)", "type" : "webpage" }, "uris" : [ "http://www.mendeley.com/documents/?uuid=15e13fc1-963a-30b2-9294-464ee3cea0f6" ] } ], "mendeley" : { "formattedCitation" : "(World Bank 2017b)", "plainTextFormattedCitation" : "(World Bank 2017b)", "previouslyFormattedCitation" : "(World Bank 2017b)" }, "properties" : { "noteIndex" : 0 }, "schema" : "https://github.com/citation-style-language/schema/raw/master/csl-citation.json" }</w:instrText>
      </w:r>
      <w:r w:rsidR="00427EED">
        <w:fldChar w:fldCharType="separate"/>
      </w:r>
      <w:r w:rsidR="00427EED" w:rsidRPr="00427EED">
        <w:rPr>
          <w:noProof/>
        </w:rPr>
        <w:t>(World Bank 2017b)</w:t>
      </w:r>
      <w:r w:rsidR="00427EED">
        <w:fldChar w:fldCharType="end"/>
      </w:r>
      <w:r w:rsidR="00CE5C93" w:rsidRPr="0064129C">
        <w:t xml:space="preserve">. </w:t>
      </w:r>
      <w:r w:rsidR="00E95C63">
        <w:t xml:space="preserve"> </w:t>
      </w:r>
      <w:r w:rsidR="00493624">
        <w:t>The Ugandan government has made employment a central focus in its plans to continue to grow the economy, and as a</w:t>
      </w:r>
      <w:r w:rsidR="00493624" w:rsidRPr="00493624">
        <w:t xml:space="preserve">griculture is the primary </w:t>
      </w:r>
      <w:r w:rsidR="00493624">
        <w:t xml:space="preserve">employment sector, the government has committed to </w:t>
      </w:r>
      <w:r w:rsidR="00493624" w:rsidRPr="00493624">
        <w:t>improving productivity</w:t>
      </w:r>
      <w:r w:rsidR="00493624">
        <w:t xml:space="preserve"> in that sector </w:t>
      </w:r>
      <w:r w:rsidR="005D7F89">
        <w:fldChar w:fldCharType="begin" w:fldLock="1"/>
      </w:r>
      <w:r w:rsidR="00596A91">
        <w:instrText>ADDIN CSL_CITATION { "citationItems" : [ { "id" : "ITEM-1", "itemData" : { "abstract" : "The negative GDP growth rate recorded in the first quarter of FY 2016/17 is indicative of the recent difficulties that Uganda has faced in achieving the rates of growth required to enable the country to fulfill its aspirations. In the period from the 1990s to 2010, Uganda achieved average annual rates of economic growth of around seven percent, far higher than many peers. The sustained growth was the result of macroeconomic stability, post-conflict rebound, and market and institutional reforms which transformed Uganda from a failed state to one of the fastest growing economies in the world. However, the average annual growth in the five-year period to FY 2015/16 has decelerated to 4.5 percent. In sharp contrast to the earlier period, this is significantly lower than the average rate recorded by low income countries in the same period. The decline since 2011 is partly related to the increasingly volatile external environment and partly to domestic policy slippages. Policy frameworks held up well during the 2016 election cycle, but serious strains related to the impact of the drought on agriculture and of the civil strife in South Sudan are now materializing. It is important to ensure that the fiscal impact of these shocks does not transmit into macro policy slippages, with past experiences showing how damaging such slippagescan be to growth. In order to return to the levels of economic growth recorded in the immediate post-reform era, it is vitally necessary to address binding constraints and to transform the economy to facilitate the achievement of higher levels of productivity through diversification into a more resilient range of economic activities. As with previous editions of this update, the eighth Uganda Economic Update provides an analysis of the current state of the economy, while also focusing on a particular subject of significance. In this update, the focus is on the state ofthe financial system, with an analysis of the means by which this system can be leveraged to accelerate growth and development through higher levels of financial inclusion. A well-functioning financial sector enables financial institutions to provide affordable credit and other financial services to a greater proportion of the population. This encourages the emergence of new businesses and facilitates the growth of existing businesses. At the household level, it enables tosmooth the patterns of consumption, to invest in human capital development, and to accumulate physic\u2026", "author" : [ { "dropping-particle" : "", "family" : "Safavian", "given" : "Mehnaz S.", "non-dropping-particle" : "", "parse-names" : false, "suffix" : "" }, { "dropping-particle" : "", "family" : "Sebudde", "given" : "Rachel K.", "non-dropping-particle" : "", "parse-names" : false, "suffix" : "" }, { "dropping-particle" : "", "family" : "Daka", "given" : "Dorothy", "non-dropping-particle" : "", "parse-names" : false, "suffix" : "" }, { "dropping-particle" : "", "family" : "Goffe", "given" : "Valeriya", "non-dropping-particle" : "", "parse-names" : false, "suffix" : "" } ], "id" : "ITEM-1", "issued" : { "date-parts" : [ [ "2017" ] ] }, "number-of-pages" : "1-72", "title" : "Step by step : let\u2019s solve the finance puzzle to accelerate growth and shared prosperity", "type" : "report" }, "uris" : [ "http://www.mendeley.com/documents/?uuid=222f79ae-ec05-3881-b6cd-afacd1dbede9" ] } ], "mendeley" : { "formattedCitation" : "(Safavian et al. 2017)", "plainTextFormattedCitation" : "(Safavian et al. 2017)", "previouslyFormattedCitation" : "(Safavian et al. 2017)" }, "properties" : { "noteIndex" : 0 }, "schema" : "https://github.com/citation-style-language/schema/raw/master/csl-citation.json" }</w:instrText>
      </w:r>
      <w:r w:rsidR="005D7F89">
        <w:fldChar w:fldCharType="separate"/>
      </w:r>
      <w:r w:rsidR="00493624" w:rsidRPr="00493624">
        <w:rPr>
          <w:noProof/>
        </w:rPr>
        <w:t>(Safavian et al. 2017)</w:t>
      </w:r>
      <w:r w:rsidR="005D7F89">
        <w:fldChar w:fldCharType="end"/>
      </w:r>
      <w:r w:rsidR="00493624">
        <w:t xml:space="preserve">. </w:t>
      </w:r>
      <w:r w:rsidR="004A1A48">
        <w:t xml:space="preserve"> </w:t>
      </w:r>
      <w:r w:rsidR="00343118">
        <w:t>An estimate of the effect of HIV on employment</w:t>
      </w:r>
      <w:r w:rsidR="004A1A48" w:rsidRPr="000173E2">
        <w:t xml:space="preserve"> can </w:t>
      </w:r>
      <w:r w:rsidR="004A1A48">
        <w:t xml:space="preserve">help </w:t>
      </w:r>
      <w:r w:rsidR="004A1A48" w:rsidRPr="000173E2">
        <w:t>guide policy makers</w:t>
      </w:r>
      <w:r w:rsidR="004A1A48">
        <w:t xml:space="preserve"> </w:t>
      </w:r>
      <w:r w:rsidR="004A1A48" w:rsidRPr="000173E2">
        <w:t>making decision</w:t>
      </w:r>
      <w:r w:rsidR="004A1A48">
        <w:t>s</w:t>
      </w:r>
      <w:r w:rsidR="004A1A48" w:rsidRPr="000173E2">
        <w:t xml:space="preserve"> </w:t>
      </w:r>
      <w:r w:rsidR="004A1A48">
        <w:t>around where to target resources</w:t>
      </w:r>
      <w:r w:rsidR="00343118">
        <w:t xml:space="preserve"> to achieve this aim</w:t>
      </w:r>
      <w:r w:rsidR="004A1A48">
        <w:t xml:space="preserve">.  </w:t>
      </w:r>
    </w:p>
    <w:p w14:paraId="1ED4D9C7" w14:textId="77777777" w:rsidR="00232D39" w:rsidRPr="00F46D88" w:rsidRDefault="00232D39" w:rsidP="007C4F7B"/>
    <w:p w14:paraId="66B35B84" w14:textId="77777777" w:rsidR="00A3585F" w:rsidRPr="00A3585F" w:rsidRDefault="00232D39" w:rsidP="00A3585F">
      <w:pPr>
        <w:pStyle w:val="ListParagraph"/>
        <w:numPr>
          <w:ilvl w:val="0"/>
          <w:numId w:val="1"/>
        </w:numPr>
        <w:spacing w:line="480" w:lineRule="auto"/>
        <w:jc w:val="center"/>
        <w:rPr>
          <w:b/>
        </w:rPr>
      </w:pPr>
      <w:r w:rsidRPr="00F46D88">
        <w:rPr>
          <w:b/>
        </w:rPr>
        <w:t>Data</w:t>
      </w:r>
      <w:r w:rsidR="00467109">
        <w:rPr>
          <w:b/>
        </w:rPr>
        <w:t xml:space="preserve"> and </w:t>
      </w:r>
      <w:r w:rsidR="009F30A5">
        <w:rPr>
          <w:b/>
        </w:rPr>
        <w:t>Sample</w:t>
      </w:r>
      <w:r w:rsidR="00EE0C00">
        <w:rPr>
          <w:b/>
        </w:rPr>
        <w:t xml:space="preserve"> </w:t>
      </w:r>
    </w:p>
    <w:p w14:paraId="09CAC7F3" w14:textId="77777777" w:rsidR="00B77CE7" w:rsidRPr="00B77CE7" w:rsidRDefault="00B77CE7" w:rsidP="00B77CE7">
      <w:pPr>
        <w:ind w:firstLine="0"/>
        <w:rPr>
          <w:i/>
        </w:rPr>
      </w:pPr>
      <w:r w:rsidRPr="00B77CE7">
        <w:rPr>
          <w:i/>
        </w:rPr>
        <w:t>2.1.</w:t>
      </w:r>
      <w:r w:rsidR="00A3585F">
        <w:rPr>
          <w:i/>
        </w:rPr>
        <w:t xml:space="preserve"> </w:t>
      </w:r>
      <w:r w:rsidRPr="00B77CE7">
        <w:rPr>
          <w:i/>
        </w:rPr>
        <w:t>Data</w:t>
      </w:r>
    </w:p>
    <w:p w14:paraId="43656575" w14:textId="77777777" w:rsidR="000A632F" w:rsidRDefault="00B77CE7" w:rsidP="00B77CE7">
      <w:r w:rsidRPr="00F46D88">
        <w:t>The data used for empirical analysis were collected in 2011 in Uganda via the 2011</w:t>
      </w:r>
      <w:r>
        <w:t xml:space="preserve"> </w:t>
      </w:r>
      <w:r w:rsidR="000A2198">
        <w:t>UAIS</w:t>
      </w:r>
      <w:r>
        <w:t xml:space="preserve">, a </w:t>
      </w:r>
      <w:r w:rsidRPr="00F46D88">
        <w:t xml:space="preserve">nationally representative </w:t>
      </w:r>
      <w:r>
        <w:t xml:space="preserve">dataset that contains </w:t>
      </w:r>
      <w:r w:rsidRPr="00F46D88">
        <w:t>biometric HIV data in addition to inf</w:t>
      </w:r>
      <w:r>
        <w:t>ormation on employment status.  I</w:t>
      </w:r>
      <w:r w:rsidRPr="00F46D88">
        <w:t xml:space="preserve">nterviews and HIV tests were conducted by trained interviewers among all men and women aged 15-59 in each of 11,750 randomly selected households.   </w:t>
      </w:r>
    </w:p>
    <w:p w14:paraId="23F20B7A" w14:textId="77777777" w:rsidR="006C4A9E" w:rsidRDefault="00232D39" w:rsidP="009F30A5">
      <w:pPr>
        <w:ind w:firstLine="204"/>
      </w:pPr>
      <w:r w:rsidRPr="00F46D88">
        <w:t xml:space="preserve">The binary outcome variable </w:t>
      </w:r>
      <w:r w:rsidR="0046473D">
        <w:t xml:space="preserve">employment status </w:t>
      </w:r>
      <w:r w:rsidRPr="00F46D88">
        <w:t xml:space="preserve">is ‘currently employed.’  </w:t>
      </w:r>
      <w:r w:rsidR="00404472">
        <w:t xml:space="preserve">‘Currently employed’ </w:t>
      </w:r>
      <w:r w:rsidRPr="00F46D88">
        <w:t>is defined as having done work in the past seven days and includes individuals who are regularly employed and were absent from work for leave, illness, vacation, or any other such reason in the past seven days.</w:t>
      </w:r>
      <w:r w:rsidR="007613AE">
        <w:rPr>
          <w:rStyle w:val="FootnoteReference"/>
        </w:rPr>
        <w:footnoteReference w:id="3"/>
      </w:r>
      <w:r w:rsidRPr="00F46D88">
        <w:t xml:space="preserve">   This matches the International Labor Organization’s definition of employment, which includes all individuals in a specified age group who were engaged either in paid employment or self-employment over the period of a week (or day, whichever is specified) </w:t>
      </w:r>
      <w:r w:rsidR="005D7F89">
        <w:fldChar w:fldCharType="begin" w:fldLock="1"/>
      </w:r>
      <w:r w:rsidR="0026353B">
        <w:instrText>ADDIN CSL_CITATION { "citationItems" : [ { "id" : "ITEM-1", "itemData" : { "URL" : "http://data.worldbank.org/indicator/SL.TLF.TOTL.IN/countries/1W-C9?display=default", "accessed" : { "date-parts" : [ [ "2016", "4", "19" ] ] }, "author" : [ { "dropping-particle" : "", "family" : "World Bank", "given" : "", "non-dropping-particle" : "", "parse-names" : false, "suffix" : "" } ], "id" : "ITEM-1", "issued" : { "date-parts" : [ [ "2015" ] ] }, "title" : "Labor force, total", "type" : "webpage" }, "uris" : [ "http://www.mendeley.com/documents/?uuid=c746aa81-77c5-4897-a635-69e7d0d9b0d0" ] } ], "mendeley" : { "formattedCitation" : "(World Bank 2015)", "plainTextFormattedCitation" : "(World Bank 2015)", "previouslyFormattedCitation" : "(World Bank 2015)" }, "properties" : { "noteIndex" : 0 }, "schema" : "https://github.com/citation-style-language/schema/raw/master/csl-citation.json" }</w:instrText>
      </w:r>
      <w:r w:rsidR="005D7F89">
        <w:fldChar w:fldCharType="separate"/>
      </w:r>
      <w:r w:rsidR="00FA090D" w:rsidRPr="00FA090D">
        <w:rPr>
          <w:noProof/>
        </w:rPr>
        <w:t>(World Bank 2015)</w:t>
      </w:r>
      <w:r w:rsidR="005D7F89">
        <w:fldChar w:fldCharType="end"/>
      </w:r>
      <w:r w:rsidRPr="00F46D88">
        <w:t xml:space="preserve">.  </w:t>
      </w:r>
      <w:r w:rsidR="00482F82">
        <w:t xml:space="preserve">Individuals who respond that they have not been in employment over the last week may therefore be unemployed or have withdrawn from the </w:t>
      </w:r>
      <w:r w:rsidR="00D01B00">
        <w:t>labor</w:t>
      </w:r>
      <w:r w:rsidR="00482F82">
        <w:t xml:space="preserve"> market.</w:t>
      </w:r>
    </w:p>
    <w:p w14:paraId="17AF1639" w14:textId="77777777" w:rsidR="006D1873" w:rsidRDefault="00232D39" w:rsidP="00546945">
      <w:pPr>
        <w:ind w:firstLine="204"/>
      </w:pPr>
      <w:r w:rsidRPr="00F46D88">
        <w:t>The treatment variable is HIV status.  Data on this was collected biometrically via a</w:t>
      </w:r>
      <w:r w:rsidR="009F30A5">
        <w:t xml:space="preserve"> rapid test during the survey, and the </w:t>
      </w:r>
      <w:r w:rsidRPr="00F46D88">
        <w:t xml:space="preserve">results were later confirmed in laboratory.  </w:t>
      </w:r>
      <w:r w:rsidR="0048508C">
        <w:t>The HIV test uptake rate was 96% (</w:t>
      </w:r>
      <w:r w:rsidRPr="00F46D88">
        <w:t>1% of interviewed respondents refused the HIV test</w:t>
      </w:r>
      <w:r w:rsidR="0048508C">
        <w:t xml:space="preserve"> and </w:t>
      </w:r>
      <w:r w:rsidR="00EA1FAF">
        <w:t>3% were not interviewed</w:t>
      </w:r>
      <w:r w:rsidR="0048508C">
        <w:t>)</w:t>
      </w:r>
      <w:r w:rsidRPr="00F46D88">
        <w:t>.</w:t>
      </w:r>
      <w:r w:rsidR="00F46D88">
        <w:t xml:space="preserve">  </w:t>
      </w:r>
      <w:r w:rsidR="00CD6430">
        <w:t>CD4 cell count tests were done in the central laboratory for individuals who tested HIV-positive.</w:t>
      </w:r>
      <w:r w:rsidR="00CD6430" w:rsidRPr="00C066D3">
        <w:rPr>
          <w:rStyle w:val="FootnoteReference"/>
        </w:rPr>
        <w:footnoteReference w:id="4"/>
      </w:r>
      <w:r w:rsidR="00CD6430">
        <w:t xml:space="preserve">  </w:t>
      </w:r>
      <w:r w:rsidR="00CD6430" w:rsidRPr="00CD6430">
        <w:t xml:space="preserve">Population based surveys are considered the gold standard for determining HIV prevalence </w:t>
      </w:r>
      <w:r w:rsidR="005D7F89">
        <w:fldChar w:fldCharType="begin" w:fldLock="1"/>
      </w:r>
      <w:r w:rsidR="00F37541">
        <w:instrText>ADDIN CSL_CITATION { "citationItems" : [ { "id" : "ITEM-1", "itemData" : { "abstract" : "Objectives To describe the methods used in the Demographic and Health Surveys (DHS) to collect nationally representative data on the prevalence of human immunodeficiency virus (HIV) and assess the value of such data to country HIV surveillance systems. Methods During 2001\u201304, national samples of adult women and men in Burkina Faso, Cameroon, Dominican Republic, Ghana, Mali, Kenya, United Republic of Tanzania and Zambia were tested for HIV. Dried blood spot samples were collected for HIV testing, following internationally accepted ethical standards. The results for each country are presented by age, sex, and urban versus rural residence. To estimate the effects of non-response, HIV prevalence among non-responding males and females was predicted using multivariate statistical models for those who were tested, with a common set of predictor variables. Results Rates of HIV testing varied from 70% among Kenyan men to 92% among women in Burkina Faso and Cameroon. Despite large differences in HIV prevalence between the surveys (1\u201316%), fairly consistent patterns of HIV infection were observed by age, sex and urban versus rural residence, with considerably higher rates in urban areas and in women, especially at younger ages. Analysis of non-response bias indicates that although predicted HIV prevalence tended to be higher in non-tested males and females than in those tested, the overall effects of non-response on the observed national estimates of HIV prevalence are insignificant. Conclusions Population-based surveys can provide reliable, direct estimates of national and regional HIV seroprevalence among men and women irrespective of pregnancy status. Survey data greatly enhance surveillance systems and the accuracy of national estimates in generalized epidemics. Bulletin of the World Health Organization 2006;84:537-545. Voir page 543 le r\u00e9sum\u00e9 en fran\u00e7ais. En la p\u00e1gina 544 figura un resumen en espa\u00f1ol.", "author" : [ { "dropping-particle" : "", "family" : "Mishra", "given" : "Vinod", "non-dropping-particle" : "", "parse-names" : false, "suffix" : "" }, { "dropping-particle" : "", "family" : "Vaessen", "given" : "Martin", "non-dropping-particle" : "", "parse-names" : false, "suffix" : "" }, { "dropping-particle" : "", "family" : "Arnold", "given" : "Fred", "non-dropping-particle" : "", "parse-names" : false, "suffix" : "" }, { "dropping-particle" : "", "family" : "Way", "given" : "Ann", "non-dropping-particle" : "", "parse-names" : false, "suffix" : "" }, { "dropping-particle" : "", "family" : "Barrere", "given" : "Bernard", "non-dropping-particle" : "", "parse-names" : false, "suffix" : "" }, { "dropping-particle" : "", "family" : "Cross", "given" : "Anne", "non-dropping-particle" : "", "parse-names" : false, "suffix" : "" }, { "dropping-particle" : "", "family" : "Hong", "given" : "Rathavuth", "non-dropping-particle" : "", "parse-names" : false, "suffix" : "" }, { "dropping-particle" : "", "family" : "Sangha", "given" : "Jasbir", "non-dropping-particle" : "", "parse-names" : false, "suffix" : "" } ], "container-title" : "Bulletin of the World Health Organization", "id" : "ITEM-1", "issue" : "7", "issued" : { "date-parts" : [ [ "2006" ] ] }, "title" : "HIV testing in national population-based surveys: experience from the Demographic and Health Surveys", "type" : "article-journal", "volume" : "84" }, "uris" : [ "http://www.mendeley.com/documents/?uuid=85645fc9-3a5b-352d-aa1a-78859884a3f3" ] }, { "id" : "ITEM-2", "itemData" : { "DOI" : "10.1007/s13524-014-0290-0", "ISSN" : "0070-3370", "author" : [ { "dropping-particle" : "", "family" : "Janssens", "given" : "Wendy", "non-dropping-particle" : "", "parse-names" : false, "suffix" : "" }, { "dropping-particle" : "", "family" : "Gaag", "given" : "Jacques", "non-dropping-particle" : "van der", "parse-names" : false, "suffix" : "" }, { "dropping-particle" : "", "family" : "Rinke de Wit", "given" : "Tobias F.", "non-dropping-particle" : "", "parse-names" : false, "suffix" : "" }, { "dropping-particle" : "", "family" : "Tanovi\u0107", "given" : "Zlata", "non-dropping-particle" : "", "parse-names" : false, "suffix" : "" } ], "container-title" : "Demography", "id" : "ITEM-2", "issue" : "3", "issued" : { "date-parts" : [ [ "2014", "6", "2" ] ] }, "page" : "1131-1157", "publisher" : "Springer US", "title" : "Refusal Bias in the Estimation of HIV Prevalence", "type" : "article-journal", "volume" : "51" }, "uris" : [ "http://www.mendeley.com/documents/?uuid=736ede54-5b88-3f4e-944b-647e7e2b0208" ] } ], "mendeley" : { "formattedCitation" : "(Mishra et al. 2006; Janssens et al. 2014)", "plainTextFormattedCitation" : "(Mishra et al. 2006; Janssens et al. 2014)", "previouslyFormattedCitation" : "(Mishra et al. 2006; Janssens et al. 2014)" }, "properties" : { "noteIndex" : 0 }, "schema" : "https://github.com/citation-style-language/schema/raw/master/csl-citation.json" }</w:instrText>
      </w:r>
      <w:r w:rsidR="005D7F89">
        <w:fldChar w:fldCharType="separate"/>
      </w:r>
      <w:r w:rsidR="003C6B4A" w:rsidRPr="003C6B4A">
        <w:rPr>
          <w:noProof/>
        </w:rPr>
        <w:t>(Mishra et al. 2006; Janssens et al. 2014)</w:t>
      </w:r>
      <w:r w:rsidR="005D7F89">
        <w:fldChar w:fldCharType="end"/>
      </w:r>
      <w:r w:rsidR="000A2198">
        <w:t>, and b</w:t>
      </w:r>
      <w:r w:rsidR="000A2198" w:rsidRPr="0064129C">
        <w:t xml:space="preserve">iometric HIV data is important as </w:t>
      </w:r>
      <w:r w:rsidR="005D7F89">
        <w:fldChar w:fldCharType="begin" w:fldLock="1"/>
      </w:r>
      <w:r w:rsidR="000A2198">
        <w:instrText>ADDIN CSL_CITATION { "citationItems" : [ { "id" : "ITEM-1", "itemData" : { "author" : [ { "dropping-particle" : "", "family" : "Fishel", "given" : "Joy D", "non-dropping-particle" : "", "parse-names" : false, "suffix" : "" }, { "dropping-particle" : "", "family" : "Barr\u00e8re", "given" : "Bernard", "non-dropping-particle" : "", "parse-names" : false, "suffix" : "" }, { "dropping-particle" : "", "family" : "Kishor", "given" : "Sunita", "non-dropping-particle" : "", "parse-names" : false, "suffix" : "" } ], "id" : "ITEM-1", "issued" : { "date-parts" : [ [ "2014" ] ] }, "title" : "Validity of Data on Self-reported HIV Status in Malawi and Uganda and Implications for Measurement of ARV Coverage - DHS Methodological Reports No. 10", "type" : "report" }, "uris" : [ "http://www.mendeley.com/documents/?uuid=3be2c538-6a76-43ee-9d12-41b714e4da26" ] } ], "mendeley" : { "formattedCitation" : "(Fishel et al. 2014)", "manualFormatting" : "Fishel et al. (2014)", "plainTextFormattedCitation" : "(Fishel et al. 2014)", "previouslyFormattedCitation" : "(Fishel et al. 2014)" }, "properties" : { "noteIndex" : 0 }, "schema" : "https://github.com/citation-style-language/schema/raw/master/csl-citation.json" }</w:instrText>
      </w:r>
      <w:r w:rsidR="005D7F89">
        <w:fldChar w:fldCharType="separate"/>
      </w:r>
      <w:r w:rsidR="000A2198" w:rsidRPr="009C1FE3">
        <w:rPr>
          <w:noProof/>
        </w:rPr>
        <w:t xml:space="preserve">Fishel et al. </w:t>
      </w:r>
      <w:r w:rsidR="000A2198">
        <w:rPr>
          <w:noProof/>
        </w:rPr>
        <w:t>(</w:t>
      </w:r>
      <w:r w:rsidR="000A2198" w:rsidRPr="009C1FE3">
        <w:rPr>
          <w:noProof/>
        </w:rPr>
        <w:t>2014)</w:t>
      </w:r>
      <w:r w:rsidR="005D7F89">
        <w:fldChar w:fldCharType="end"/>
      </w:r>
      <w:r w:rsidR="000A2198" w:rsidRPr="0064129C">
        <w:t xml:space="preserve"> find that substantial underreporting of positive HIV status exists among respondents who are likely to know they have HIV</w:t>
      </w:r>
      <w:r w:rsidR="006F6B55">
        <w:t xml:space="preserve">.  </w:t>
      </w:r>
      <w:r w:rsidR="003C6B4A">
        <w:t>In general, across the Demographic and Health Surveys,</w:t>
      </w:r>
      <w:r w:rsidR="00A8138F">
        <w:t xml:space="preserve"> </w:t>
      </w:r>
      <w:r w:rsidR="006F6B55">
        <w:t>HIV testing coverage</w:t>
      </w:r>
      <w:r w:rsidR="00EA1FAF">
        <w:t xml:space="preserve"> rates have improved over time and vary between countries</w:t>
      </w:r>
      <w:r w:rsidR="00A8138F">
        <w:t xml:space="preserve"> </w:t>
      </w:r>
      <w:r w:rsidR="003C6B4A">
        <w:t xml:space="preserve">(e.g., </w:t>
      </w:r>
      <w:r w:rsidR="00A8138F">
        <w:t>with Rwanda also having very high HIV testing coverage rates</w:t>
      </w:r>
      <w:r w:rsidR="003C6B4A">
        <w:t>)</w:t>
      </w:r>
      <w:r w:rsidR="00EA1FAF">
        <w:t>.</w:t>
      </w:r>
      <w:r w:rsidR="00EA1FAF" w:rsidRPr="00CD6430">
        <w:t xml:space="preserve">  </w:t>
      </w:r>
      <w:r w:rsidR="00335C64">
        <w:t>T</w:t>
      </w:r>
      <w:r w:rsidR="000A2198">
        <w:t>he</w:t>
      </w:r>
      <w:r w:rsidR="000A2198" w:rsidRPr="000A2198">
        <w:t xml:space="preserve"> Ugandan HIV prevalence estimates are based upon </w:t>
      </w:r>
      <w:r w:rsidR="00335C64">
        <w:t>the UAIS</w:t>
      </w:r>
      <w:r w:rsidR="000A2198" w:rsidRPr="000A2198">
        <w:t>, indicating its veracity</w:t>
      </w:r>
      <w:r w:rsidR="007B0F77">
        <w:t xml:space="preserve"> </w:t>
      </w:r>
      <w:r w:rsidR="005D7F89">
        <w:fldChar w:fldCharType="begin" w:fldLock="1"/>
      </w:r>
      <w:r w:rsidR="005B4C83">
        <w:instrText>ADDIN CSL_CITATION { "citationItems" : [ { "id" : "ITEM-1", "itemData" : { "author" : [ { "dropping-particle" : "", "family" : "Uganda AIDS Commission", "given" : "", "non-dropping-particle" : "", "parse-names" : false, "suffix" : "" } ], "id" : "ITEM-1", "issued" : { "date-parts" : [ [ "2015" ] ] }, "publisher-place" : "Kampala", "title" : "The HIV and AIDS Uganda Country Progress Report 2014", "type" : "report" }, "uris" : [ "http://www.mendeley.com/documents/?uuid=76ba6585-14e8-3fc1-9dd5-4eeace91d765" ] } ], "mendeley" : { "formattedCitation" : "(Uganda AIDS Commission 2015)", "plainTextFormattedCitation" : "(Uganda AIDS Commission 2015)", "previouslyFormattedCitation" : "(Uganda AIDS Commission 2015)" }, "properties" : { "noteIndex" : 0 }, "schema" : "https://github.com/citation-style-language/schema/raw/master/csl-citation.json" }</w:instrText>
      </w:r>
      <w:r w:rsidR="005D7F89">
        <w:fldChar w:fldCharType="separate"/>
      </w:r>
      <w:r w:rsidR="007B0F77" w:rsidRPr="007B0F77">
        <w:rPr>
          <w:noProof/>
        </w:rPr>
        <w:t>(Uganda AIDS Commission 2015)</w:t>
      </w:r>
      <w:r w:rsidR="005D7F89">
        <w:fldChar w:fldCharType="end"/>
      </w:r>
      <w:r w:rsidR="000A2198" w:rsidRPr="000A2198">
        <w:t>.</w:t>
      </w:r>
    </w:p>
    <w:p w14:paraId="32F44673" w14:textId="77777777" w:rsidR="00F46D88" w:rsidRDefault="00F46D88" w:rsidP="00DE5333">
      <w:pPr>
        <w:ind w:firstLine="204"/>
      </w:pPr>
      <w:r>
        <w:t>The dataset includes information on whether a male is circumcised or not for all males in the sample, as well as information on each respondent's age at circumcision, whether they were circumcised at a health care facility, at home, at a mosque or religious provider or elsewhere</w:t>
      </w:r>
      <w:r w:rsidR="00404472">
        <w:t>. A</w:t>
      </w:r>
      <w:r>
        <w:t xml:space="preserve">mong </w:t>
      </w:r>
      <w:r w:rsidR="00185D37">
        <w:t xml:space="preserve">intact (not </w:t>
      </w:r>
      <w:r>
        <w:t>circumcised</w:t>
      </w:r>
      <w:r w:rsidR="00185D37">
        <w:t>)</w:t>
      </w:r>
      <w:r>
        <w:t xml:space="preserve"> males, </w:t>
      </w:r>
      <w:r w:rsidR="00404472">
        <w:t xml:space="preserve">the dataset includes information on </w:t>
      </w:r>
      <w:r>
        <w:t>whether they would like to be circumcised.  The survey also includes variables that may affect b</w:t>
      </w:r>
      <w:r w:rsidR="00F016AE">
        <w:t>oth employment and HIV status.</w:t>
      </w:r>
      <w:r w:rsidR="00BA2FEF">
        <w:t xml:space="preserve"> </w:t>
      </w:r>
      <w:r w:rsidR="00215001">
        <w:t>There is also data on</w:t>
      </w:r>
      <w:r w:rsidRPr="00F46D88">
        <w:t xml:space="preserve"> occupation and sector, however; only for those individuals who reported working in the last year.  Men in the sample reported working in 100 distinct jobs.  These occupations are categorized into four sectors: non-manual labor, agricultural manual labor, skilled manual labor and unskilled manual labor.</w:t>
      </w:r>
    </w:p>
    <w:p w14:paraId="603F7707" w14:textId="77777777" w:rsidR="00B77CE7" w:rsidRDefault="00B77CE7" w:rsidP="00B77CE7">
      <w:pPr>
        <w:ind w:firstLine="0"/>
      </w:pPr>
    </w:p>
    <w:p w14:paraId="7DC62BCB" w14:textId="77777777" w:rsidR="00B77CE7" w:rsidRPr="00A3585F" w:rsidRDefault="00A3585F" w:rsidP="00A3585F">
      <w:pPr>
        <w:ind w:firstLine="0"/>
        <w:rPr>
          <w:i/>
        </w:rPr>
      </w:pPr>
      <w:r w:rsidRPr="00A3585F">
        <w:rPr>
          <w:i/>
        </w:rPr>
        <w:t>2.2. Sample</w:t>
      </w:r>
    </w:p>
    <w:p w14:paraId="368B0C4C" w14:textId="77777777" w:rsidR="00B77CE7" w:rsidRDefault="00B77CE7" w:rsidP="00B77CE7">
      <w:pPr>
        <w:ind w:firstLine="204"/>
      </w:pPr>
      <w:r w:rsidRPr="00F46D88">
        <w:t xml:space="preserve">  </w:t>
      </w:r>
      <w:r w:rsidRPr="000A632F">
        <w:t xml:space="preserve">This study </w:t>
      </w:r>
      <w:r>
        <w:t>focuses on</w:t>
      </w:r>
      <w:r w:rsidRPr="000A632F">
        <w:t xml:space="preserve"> men</w:t>
      </w:r>
      <w:r w:rsidR="00E84DD8">
        <w:t xml:space="preserve"> </w:t>
      </w:r>
      <w:r w:rsidR="00E84DD8" w:rsidRPr="000A632F">
        <w:t>aged 25-59</w:t>
      </w:r>
      <w:r>
        <w:t xml:space="preserve">. </w:t>
      </w:r>
      <w:r w:rsidR="00E84DD8">
        <w:t xml:space="preserve"> </w:t>
      </w:r>
      <w:r w:rsidRPr="00F46D88">
        <w:t>The response rate among men was 96% resulting in data for 9,588 men between the ages of 15 and 59.</w:t>
      </w:r>
      <w:r w:rsidRPr="000A632F">
        <w:t xml:space="preserve"> </w:t>
      </w:r>
      <w:r w:rsidR="00E84DD8">
        <w:t xml:space="preserve"> A</w:t>
      </w:r>
      <w:r w:rsidRPr="000A632F">
        <w:t>lthough the 15-44 year old age group is more commonly given in reports by UNAIDS and WHO as the working age population (see, for example, Global Report: UNAIDS report on the global AIDS epidemic</w:t>
      </w:r>
      <w:r w:rsidR="005D7F89">
        <w:fldChar w:fldCharType="begin" w:fldLock="1"/>
      </w:r>
      <w:r w:rsidR="0026353B">
        <w:instrText>ADDIN CSL_CITATION { "citationItems" : [ { "id" : "ITEM-1", "itemData" : { "author" : [ { "dropping-particle" : "", "family" : "UNAIDS", "given" : "", "non-dropping-particle" : "", "parse-names" : false, "suffix" : "" } ], "id" : "ITEM-1", "issued" : { "date-parts" : [ [ "2013" ] ] }, "publisher-place" : "Geneva", "title" : "Global report: UNAIDS report on the global AIDS epidemic 2013", "type" : "report" }, "uris" : [ "http://www.mendeley.com/documents/?uuid=a2986f48-9aef-4caa-8817-ae65772eb5d4" ] } ], "mendeley" : { "formattedCitation" : "(UNAIDS 2013)", "manualFormatting" : " 2013)", "plainTextFormattedCitation" : "(UNAIDS 2013)", "previouslyFormattedCitation" : "(UNAIDS 2013)" }, "properties" : { "noteIndex" : 0 }, "schema" : "https://github.com/citation-style-language/schema/raw/master/csl-citation.json" }</w:instrText>
      </w:r>
      <w:r w:rsidR="005D7F89">
        <w:fldChar w:fldCharType="separate"/>
      </w:r>
      <w:r w:rsidR="004A6208" w:rsidRPr="004A6208">
        <w:rPr>
          <w:noProof/>
        </w:rPr>
        <w:t xml:space="preserve"> 2013)</w:t>
      </w:r>
      <w:r w:rsidR="005D7F89">
        <w:fldChar w:fldCharType="end"/>
      </w:r>
      <w:r w:rsidRPr="000A632F">
        <w:t>, Global Update on th</w:t>
      </w:r>
      <w:r w:rsidR="004A6208">
        <w:t xml:space="preserve">e Health Sector Response to HIV </w:t>
      </w:r>
      <w:r w:rsidR="005D7F89">
        <w:fldChar w:fldCharType="begin" w:fldLock="1"/>
      </w:r>
      <w:r w:rsidR="0026353B">
        <w:instrText>ADDIN CSL_CITATION { "citationItems" : [ { "id" : "ITEM-1", "itemData" : { "author" : [ { "dropping-particle" : "", "family" : "WHO", "given" : "", "non-dropping-particle" : "", "parse-names" : false, "suffix" : "" } ], "id" : "ITEM-1", "issued" : { "date-parts" : [ [ "2014" ] ] }, "publisher" : "World Health Organization", "publisher-place" : "Geneva", "title" : "Global update on the health sector response to HIV, 2014", "type" : "report" }, "uris" : [ "http://www.mendeley.com/documents/?uuid=83d7c1fc-adff-4d9f-91cf-7855ffe5c87b" ] } ], "mendeley" : { "formattedCitation" : "(WHO 2014)", "manualFormatting" : "2014", "plainTextFormattedCitation" : "(WHO 2014)", "previouslyFormattedCitation" : "(WHO 2014)" }, "properties" : { "noteIndex" : 0 }, "schema" : "https://github.com/citation-style-language/schema/raw/master/csl-citation.json" }</w:instrText>
      </w:r>
      <w:r w:rsidR="005D7F89">
        <w:fldChar w:fldCharType="separate"/>
      </w:r>
      <w:r w:rsidR="004A6208" w:rsidRPr="004A6208">
        <w:rPr>
          <w:noProof/>
        </w:rPr>
        <w:t>2014</w:t>
      </w:r>
      <w:r w:rsidR="005D7F89">
        <w:fldChar w:fldCharType="end"/>
      </w:r>
      <w:r w:rsidRPr="000A632F">
        <w:t>)</w:t>
      </w:r>
      <w:r w:rsidR="00E84DD8">
        <w:t>, we exclude</w:t>
      </w:r>
      <w:r w:rsidRPr="000A632F">
        <w:t xml:space="preserve"> 15-24 year olds to ensure that the sample captures those in the labor market and not enrolled in education.  In addition, analysis has been restricted to non-Muslim men, as Muslim men (who make up 13% of males) </w:t>
      </w:r>
      <w:r w:rsidR="009B071D">
        <w:t xml:space="preserve">have </w:t>
      </w:r>
      <w:r w:rsidRPr="000A632F">
        <w:t xml:space="preserve">higher rates of circumcision (99%) and may also be subject to unobservable factors like discrimination that may affect employment.  </w:t>
      </w:r>
    </w:p>
    <w:p w14:paraId="0F639BB3" w14:textId="77777777" w:rsidR="00F46D88" w:rsidRDefault="00F46D88" w:rsidP="00F46D88"/>
    <w:p w14:paraId="7B58DE91" w14:textId="77777777" w:rsidR="00F46D88" w:rsidRPr="00F46D88" w:rsidRDefault="006C4A9E" w:rsidP="00F46D88">
      <w:pPr>
        <w:pStyle w:val="ListParagraph"/>
        <w:numPr>
          <w:ilvl w:val="0"/>
          <w:numId w:val="1"/>
        </w:numPr>
        <w:jc w:val="center"/>
        <w:rPr>
          <w:b/>
        </w:rPr>
      </w:pPr>
      <w:r>
        <w:rPr>
          <w:b/>
        </w:rPr>
        <w:t xml:space="preserve">Econometric </w:t>
      </w:r>
      <w:r w:rsidR="00F46D88" w:rsidRPr="00F46D88">
        <w:rPr>
          <w:b/>
        </w:rPr>
        <w:t>Method</w:t>
      </w:r>
      <w:r w:rsidR="00AD49AB">
        <w:rPr>
          <w:b/>
        </w:rPr>
        <w:t>ology, Instrumental Variable and Empirical Strategy</w:t>
      </w:r>
    </w:p>
    <w:p w14:paraId="1B5F57E4" w14:textId="77777777" w:rsidR="00F7259D" w:rsidRDefault="00EC31DC" w:rsidP="00C20CFD">
      <w:pPr>
        <w:ind w:firstLine="204"/>
        <w:jc w:val="left"/>
      </w:pPr>
      <w:r>
        <w:t xml:space="preserve">An instrumental variable (IV) approach is used to estimate a joint model of </w:t>
      </w:r>
      <w:r w:rsidR="000F789F">
        <w:t>HIV status</w:t>
      </w:r>
      <w:r>
        <w:t xml:space="preserve"> and </w:t>
      </w:r>
      <w:r w:rsidR="002F62C6">
        <w:t>employment status</w:t>
      </w:r>
      <w:r>
        <w:t xml:space="preserve">, which overcomes endogeneity arising from simulteneity bias, with exclusion restrictions imposed upon the chosen instrument. This does not rely upon selection on observables and can be estimated by full information maximum likelihood estimation, which can take account of binary health and </w:t>
      </w:r>
      <w:r w:rsidR="002F62C6">
        <w:t>employment</w:t>
      </w:r>
      <w:r>
        <w:t xml:space="preserve"> variables </w:t>
      </w:r>
      <w:r w:rsidR="005D7F89">
        <w:fldChar w:fldCharType="begin" w:fldLock="1"/>
      </w:r>
      <w:r w:rsidR="0026353B">
        <w:instrText>ADDIN CSL_CITATION { "citationItems" : [ { "id" : "ITEM-1", "itemData" : { "author" : [ { "dropping-particle" : "", "family" : "Jones", "given" : "Andrew M.", "non-dropping-particle" : "", "parse-names" : false, "suffix" : "" } ], "edition" : "2", "id" : "ITEM-1", "issued" : { "date-parts" : [ [ "2007" ] ] }, "number-of-pages" : "128", "publisher" : "Radcliffe Publishing", "publisher-place" : "Oxford", "title" : "Applied Econometrics for Health Economists: A Practical Guide: Amazon.co.uk: Andrew Jones: 9781846191718: Books", "type" : "book" }, "uris" : [ "http://www.mendeley.com/documents/?uuid=15976c59-5f0b-4db7-b35c-45e38c4ab12c" ] } ], "mendeley" : { "formattedCitation" : "(Jones 2007)", "plainTextFormattedCitation" : "(Jones 2007)", "previouslyFormattedCitation" : "(Jones 2007)" }, "properties" : { "noteIndex" : 0 }, "schema" : "https://github.com/citation-style-language/schema/raw/master/csl-citation.json" }</w:instrText>
      </w:r>
      <w:r w:rsidR="005D7F89">
        <w:fldChar w:fldCharType="separate"/>
      </w:r>
      <w:r w:rsidR="00FA090D" w:rsidRPr="00FA090D">
        <w:rPr>
          <w:noProof/>
        </w:rPr>
        <w:t>(Jones 2007)</w:t>
      </w:r>
      <w:r w:rsidR="005D7F89">
        <w:fldChar w:fldCharType="end"/>
      </w:r>
      <w:r>
        <w:t xml:space="preserve">.  </w:t>
      </w:r>
      <w:r w:rsidR="00176657" w:rsidRPr="00176657">
        <w:t xml:space="preserve">A probit model was chosen over a linear model </w:t>
      </w:r>
      <w:r w:rsidR="00E84DD8">
        <w:t>as</w:t>
      </w:r>
      <w:r w:rsidR="00F7259D">
        <w:t xml:space="preserve"> </w:t>
      </w:r>
      <w:r w:rsidR="00176657" w:rsidRPr="00176657">
        <w:t>in inherently nonlinear settings involving endogeneity 2SLS can result in substantial bias</w:t>
      </w:r>
      <w:r w:rsidR="00176657">
        <w:t xml:space="preserve"> </w:t>
      </w:r>
      <w:r w:rsidR="005D7F89">
        <w:fldChar w:fldCharType="begin" w:fldLock="1"/>
      </w:r>
      <w:r w:rsidR="002D6E22">
        <w:instrText>ADDIN CSL_CITATION { "citationItems" : [ { "id" : "ITEM-1", "itemData" : { "DOI" : "10.1111/j.1475-6773.2007.00807.x", "ISSN" : "00179124", "author" : [ { "dropping-particle" : "V.", "family" : "Terza", "given" : "Joseph", "non-dropping-particle" : "", "parse-names" : false, "suffix" : "" }, { "dropping-particle" : "", "family" : "Bradford", "given" : "W. David", "non-dropping-particle" : "", "parse-names" : false, "suffix" : "" }, { "dropping-particle" : "", "family" : "Dismuke", "given" : "Clara E.", "non-dropping-particle" : "", "parse-names" : false, "suffix" : "" } ], "container-title" : "Health Services Research", "id" : "ITEM-1", "issue" : "3", "issued" : { "date-parts" : [ [ "2008", "11", "26" ] ] }, "page" : "1102-1120", "title" : "The Use of Linear Instrumental Variables Methods in Health Services Research and Health Economics: A Cautionary Note", "type" : "article-journal", "volume" : "43" }, "uris" : [ "http://www.mendeley.com/documents/?uuid=94f4a80d-09b9-30d9-9934-fc9827e37d4d" ] } ], "mendeley" : { "formattedCitation" : "(Terza et al. 2008)", "plainTextFormattedCitation" : "(Terza et al. 2008)", "previouslyFormattedCitation" : "(Terza et al. 2008)" }, "properties" : { "noteIndex" : 0 }, "schema" : "https://github.com/citation-style-language/schema/raw/master/csl-citation.json" }</w:instrText>
      </w:r>
      <w:r w:rsidR="005D7F89">
        <w:fldChar w:fldCharType="separate"/>
      </w:r>
      <w:r w:rsidR="00BD3539" w:rsidRPr="00BD3539">
        <w:rPr>
          <w:noProof/>
        </w:rPr>
        <w:t>(Terza et al. 2008)</w:t>
      </w:r>
      <w:r w:rsidR="005D7F89">
        <w:fldChar w:fldCharType="end"/>
      </w:r>
      <w:r w:rsidR="00E84DD8">
        <w:t xml:space="preserve"> and </w:t>
      </w:r>
      <w:r w:rsidR="00176657" w:rsidRPr="00176657">
        <w:t>bivariate probit estimators are more robust to non-normality than</w:t>
      </w:r>
      <w:r w:rsidR="00F7259D">
        <w:t xml:space="preserve"> linear IV</w:t>
      </w:r>
      <w:r w:rsidR="00176657" w:rsidRPr="00176657">
        <w:t xml:space="preserve"> </w:t>
      </w:r>
      <w:r w:rsidR="005D7F89">
        <w:fldChar w:fldCharType="begin" w:fldLock="1"/>
      </w:r>
      <w:r w:rsidR="00BD3539">
        <w:instrText>ADDIN CSL_CITATION { "citationItems" : [ { "id" : "ITEM-1", "itemData" : { "DOI" : "10.1002/sim.2226", "ISSN" : "0277-6715", "PMID" : "16382420", "abstract" : "Outcomes research often requires estimating the impact of a binary treatment on a binary outcome in a non-randomized setting, such as the effect of taking a drug on mortality. The data often come from self-selected samples, leading to a spurious correlation between the treatment and outcome when standard binary dependent variable techniques, like logit or probit, are used. Intuition suggests that a two-step procedure (analogous to two-stage least squares) might be sufficient to deal with this problem if variables are available that are correlated with the treatment choice but not the outcome. This paper demonstrates the limitations of such a two-step procedure. We show that such estimators will not generally be consistent. We conduct a Monte Carlo exercise to compare the performance of the two-step probit estimator, the two-stage least squares linear probability model estimator, and the multivariate probit. The results from this exercise argue in favour of using the multivariate probit rather than the two-step or linear probability model estimators, especially when there is more than one treatment, when the average probability of the dependent variable is close to 0 or 1, or when the data generating process is not normal. We demonstrate how these different methods perform in an empirical example examining the effect of private and public insurance coverage on the mortality of HIV+ patients.", "author" : [ { "dropping-particle" : "", "family" : "Bhattacharya", "given" : "Jay", "non-dropping-particle" : "", "parse-names" : false, "suffix" : "" }, { "dropping-particle" : "", "family" : "Goldman", "given" : "Dana", "non-dropping-particle" : "", "parse-names" : false, "suffix" : "" }, { "dropping-particle" : "", "family" : "McCaffrey", "given" : "Daniel", "non-dropping-particle" : "", "parse-names" : false, "suffix" : "" } ], "container-title" : "Statistics in medicine", "id" : "ITEM-1", "issue" : "3", "issued" : { "date-parts" : [ [ "2006", "3", "15" ] ] }, "page" : "389-413", "title" : "Estimating probit models with self-selected treatments.", "type" : "article-journal", "volume" : "25" }, "uris" : [ "http://www.mendeley.com/documents/?uuid=6d2a894e-16c9-4406-919a-b0e5b4a77efa" ] } ], "mendeley" : { "formattedCitation" : "(Bhattacharya et al. 2006)", "plainTextFormattedCitation" : "(Bhattacharya et al. 2006)", "previouslyFormattedCitation" : "(Bhattacharya et al. 2006)" }, "properties" : { "noteIndex" : 0 }, "schema" : "https://github.com/citation-style-language/schema/raw/master/csl-citation.json" }</w:instrText>
      </w:r>
      <w:r w:rsidR="005D7F89">
        <w:fldChar w:fldCharType="separate"/>
      </w:r>
      <w:r w:rsidR="00176657" w:rsidRPr="00176657">
        <w:rPr>
          <w:noProof/>
        </w:rPr>
        <w:t>(Bhattacharya et al. 2006)</w:t>
      </w:r>
      <w:r w:rsidR="005D7F89">
        <w:fldChar w:fldCharType="end"/>
      </w:r>
      <w:r w:rsidR="009F78B3">
        <w:t xml:space="preserve">. </w:t>
      </w:r>
    </w:p>
    <w:p w14:paraId="33BB7901" w14:textId="77777777" w:rsidR="00572CC8" w:rsidRDefault="00572CC8" w:rsidP="00C20CFD">
      <w:pPr>
        <w:ind w:firstLine="204"/>
        <w:jc w:val="left"/>
      </w:pPr>
      <w:r>
        <w:t>Biometrically measured HIV status</w:t>
      </w:r>
      <w:r w:rsidR="00E84DD8">
        <w:t xml:space="preserve"> is used</w:t>
      </w:r>
      <w:r>
        <w:t xml:space="preserve"> </w:t>
      </w:r>
      <w:r w:rsidR="00E84DD8">
        <w:t>(</w:t>
      </w:r>
      <w:r>
        <w:t>as opposed to self-reported HIV status, which also exists in the data</w:t>
      </w:r>
      <w:r w:rsidR="00E84DD8">
        <w:t>)</w:t>
      </w:r>
      <w:r>
        <w:t xml:space="preserve"> to overcome the potential for overestimating the impact on employment due to justification bias.</w:t>
      </w:r>
    </w:p>
    <w:p w14:paraId="3A1DF787" w14:textId="77777777" w:rsidR="00146571" w:rsidRPr="00350D4F" w:rsidRDefault="00146571" w:rsidP="00350D4F">
      <w:pPr>
        <w:ind w:firstLine="204"/>
        <w:jc w:val="left"/>
        <w:rPr>
          <w:highlight w:val="yellow"/>
        </w:rPr>
      </w:pPr>
    </w:p>
    <w:p w14:paraId="2AADB98E" w14:textId="77777777" w:rsidR="00C20CFD" w:rsidRDefault="00A3585F" w:rsidP="00A3585F">
      <w:pPr>
        <w:ind w:firstLine="0"/>
      </w:pPr>
      <w:r>
        <w:rPr>
          <w:i/>
        </w:rPr>
        <w:t xml:space="preserve">3.1. </w:t>
      </w:r>
      <w:r w:rsidR="00EC31DC">
        <w:rPr>
          <w:i/>
        </w:rPr>
        <w:t>Univariate probit</w:t>
      </w:r>
    </w:p>
    <w:p w14:paraId="65B4494F" w14:textId="77777777" w:rsidR="00EC31DC" w:rsidRDefault="00EC31DC" w:rsidP="00C20CFD">
      <w:pPr>
        <w:ind w:firstLine="204"/>
      </w:pPr>
      <w:r>
        <w:t xml:space="preserve">In order to illustrate the magnitude of bias present when HIV status is assumed to be independent of employment a univariate probit is estimated.  </w:t>
      </w:r>
      <w:r w:rsidRPr="006C6E70">
        <w:t xml:space="preserve">Employment is </w:t>
      </w:r>
      <w:r>
        <w:t xml:space="preserve">empirically </w:t>
      </w:r>
      <w:r w:rsidRPr="006C6E70">
        <w:t xml:space="preserve">observed as a binary variable </w:t>
      </w:r>
      <m:oMath>
        <m:sSub>
          <m:sSubPr>
            <m:ctrlPr>
              <w:rPr>
                <w:rFonts w:ascii="Cambria Math" w:eastAsia="MS Mincho" w:hAnsi="Cambria Math"/>
                <w:i/>
                <w:lang w:eastAsia="en-GB"/>
              </w:rPr>
            </m:ctrlPr>
          </m:sSubPr>
          <m:e>
            <m:r>
              <w:rPr>
                <w:rFonts w:ascii="Cambria Math" w:eastAsia="MS Mincho" w:hAnsi="Cambria Math"/>
                <w:lang w:eastAsia="en-GB"/>
              </w:rPr>
              <m:t>y</m:t>
            </m:r>
          </m:e>
          <m:sub>
            <m:r>
              <w:rPr>
                <w:rFonts w:ascii="Cambria Math" w:eastAsia="MS Mincho" w:hAnsi="Cambria Math"/>
                <w:lang w:eastAsia="en-GB"/>
              </w:rPr>
              <m:t>i</m:t>
            </m:r>
          </m:sub>
        </m:sSub>
      </m:oMath>
      <w:r w:rsidRPr="006C6E70">
        <w:t xml:space="preserve"> that takes the value one if the individual is in employment and zero otherwise.  </w:t>
      </w:r>
      <w:r w:rsidR="0031789B">
        <w:t xml:space="preserve">Equation (1) assumes </w:t>
      </w:r>
      <w:r w:rsidRPr="006C6E70">
        <w:t xml:space="preserve">that </w:t>
      </w:r>
      <m:oMath>
        <m:sSub>
          <m:sSubPr>
            <m:ctrlPr>
              <w:rPr>
                <w:rFonts w:ascii="Cambria Math" w:eastAsia="MS Mincho" w:hAnsi="Cambria Math"/>
                <w:i/>
                <w:lang w:eastAsia="en-GB"/>
              </w:rPr>
            </m:ctrlPr>
          </m:sSubPr>
          <m:e>
            <m:r>
              <w:rPr>
                <w:rFonts w:ascii="Cambria Math" w:eastAsia="MS Mincho" w:hAnsi="Cambria Math"/>
                <w:lang w:eastAsia="en-GB"/>
              </w:rPr>
              <m:t>y</m:t>
            </m:r>
          </m:e>
          <m:sub>
            <m:r>
              <w:rPr>
                <w:rFonts w:ascii="Cambria Math" w:eastAsia="MS Mincho" w:hAnsi="Cambria Math"/>
                <w:lang w:eastAsia="en-GB"/>
              </w:rPr>
              <m:t>i</m:t>
            </m:r>
          </m:sub>
        </m:sSub>
      </m:oMath>
      <w:r w:rsidRPr="006C6E70">
        <w:t xml:space="preserve"> is determined by a latent variable </w:t>
      </w:r>
      <m:oMath>
        <m:sSubSup>
          <m:sSubSupPr>
            <m:ctrlPr>
              <w:rPr>
                <w:rFonts w:ascii="Cambria Math" w:eastAsia="MS Mincho" w:hAnsi="Cambria Math"/>
                <w:i/>
                <w:lang w:val="en-GB" w:eastAsia="en-GB"/>
              </w:rPr>
            </m:ctrlPr>
          </m:sSubSupPr>
          <m:e>
            <m:r>
              <w:rPr>
                <w:rFonts w:ascii="Cambria Math" w:eastAsia="MS Mincho" w:hAnsi="Cambria Math"/>
                <w:lang w:val="en-GB" w:eastAsia="en-GB"/>
              </w:rPr>
              <m:t>y</m:t>
            </m:r>
          </m:e>
          <m:sub>
            <m:r>
              <w:rPr>
                <w:rFonts w:ascii="Cambria Math" w:eastAsia="MS Mincho" w:hAnsi="Cambria Math"/>
                <w:lang w:val="en-GB" w:eastAsia="en-GB"/>
              </w:rPr>
              <m:t>i</m:t>
            </m:r>
          </m:sub>
          <m:sup>
            <m:r>
              <w:rPr>
                <w:rFonts w:ascii="Cambria Math" w:eastAsia="MS Mincho" w:hAnsi="Cambria Math"/>
                <w:lang w:val="en-GB" w:eastAsia="en-GB"/>
              </w:rPr>
              <m:t>*</m:t>
            </m:r>
          </m:sup>
        </m:sSubSup>
      </m:oMath>
      <w:r w:rsidRPr="006C6E70">
        <w:rPr>
          <w:lang w:val="en-GB"/>
        </w:rPr>
        <w:t xml:space="preserve">, where </w:t>
      </w:r>
      <m:oMath>
        <m:sSub>
          <m:sSubPr>
            <m:ctrlPr>
              <w:rPr>
                <w:rFonts w:ascii="Cambria Math" w:eastAsia="MS Mincho" w:hAnsi="Cambria Math"/>
                <w:i/>
                <w:lang w:val="en-GB" w:eastAsia="en-GB"/>
              </w:rPr>
            </m:ctrlPr>
          </m:sSubPr>
          <m:e>
            <m:r>
              <w:rPr>
                <w:rFonts w:ascii="Cambria Math" w:eastAsia="MS Mincho" w:hAnsi="Cambria Math"/>
                <w:lang w:val="en-GB" w:eastAsia="en-GB"/>
              </w:rPr>
              <m:t>y</m:t>
            </m:r>
          </m:e>
          <m:sub>
            <m:r>
              <w:rPr>
                <w:rFonts w:ascii="Cambria Math" w:eastAsia="MS Mincho" w:hAnsi="Cambria Math"/>
                <w:lang w:val="en-GB" w:eastAsia="en-GB"/>
              </w:rPr>
              <m:t>i</m:t>
            </m:r>
          </m:sub>
        </m:sSub>
        <m:r>
          <w:rPr>
            <w:rFonts w:ascii="Cambria Math" w:eastAsia="MS Mincho" w:hAnsi="Cambria Math"/>
            <w:lang w:val="en-GB" w:eastAsia="en-GB"/>
          </w:rPr>
          <m:t>=0</m:t>
        </m:r>
      </m:oMath>
      <w:r w:rsidRPr="006C6E70">
        <w:rPr>
          <w:lang w:val="en-GB"/>
        </w:rPr>
        <w:t xml:space="preserve"> if </w:t>
      </w:r>
      <m:oMath>
        <m:sSubSup>
          <m:sSubSupPr>
            <m:ctrlPr>
              <w:rPr>
                <w:rFonts w:ascii="Cambria Math" w:eastAsia="MS Mincho" w:hAnsi="Cambria Math"/>
                <w:i/>
                <w:lang w:val="en-GB" w:eastAsia="en-GB"/>
              </w:rPr>
            </m:ctrlPr>
          </m:sSubSupPr>
          <m:e>
            <m:r>
              <w:rPr>
                <w:rFonts w:ascii="Cambria Math" w:eastAsia="MS Mincho" w:hAnsi="Cambria Math"/>
                <w:lang w:val="en-GB" w:eastAsia="en-GB"/>
              </w:rPr>
              <m:t>y</m:t>
            </m:r>
          </m:e>
          <m:sub>
            <m:r>
              <w:rPr>
                <w:rFonts w:ascii="Cambria Math" w:eastAsia="MS Mincho" w:hAnsi="Cambria Math"/>
                <w:lang w:val="en-GB" w:eastAsia="en-GB"/>
              </w:rPr>
              <m:t>i</m:t>
            </m:r>
          </m:sub>
          <m:sup>
            <m:r>
              <w:rPr>
                <w:rFonts w:ascii="Cambria Math" w:eastAsia="MS Mincho" w:hAnsi="Cambria Math"/>
                <w:lang w:val="en-GB" w:eastAsia="en-GB"/>
              </w:rPr>
              <m:t>*</m:t>
            </m:r>
          </m:sup>
        </m:sSubSup>
        <m:r>
          <w:rPr>
            <w:rFonts w:ascii="Cambria Math" w:eastAsia="MS Mincho" w:hAnsi="Cambria Math"/>
            <w:lang w:val="en-GB" w:eastAsia="en-GB"/>
          </w:rPr>
          <m:t>≤0</m:t>
        </m:r>
      </m:oMath>
      <w:r w:rsidRPr="006C6E70">
        <w:rPr>
          <w:lang w:val="en-GB"/>
        </w:rPr>
        <w:t xml:space="preserve"> and </w:t>
      </w:r>
      <m:oMath>
        <m:sSub>
          <m:sSubPr>
            <m:ctrlPr>
              <w:rPr>
                <w:rFonts w:ascii="Cambria Math" w:eastAsia="MS Mincho" w:hAnsi="Cambria Math"/>
                <w:i/>
                <w:lang w:val="en-GB" w:eastAsia="en-GB"/>
              </w:rPr>
            </m:ctrlPr>
          </m:sSubPr>
          <m:e>
            <m:r>
              <w:rPr>
                <w:rFonts w:ascii="Cambria Math" w:eastAsia="MS Mincho" w:hAnsi="Cambria Math"/>
                <w:lang w:val="en-GB" w:eastAsia="en-GB"/>
              </w:rPr>
              <m:t>y</m:t>
            </m:r>
          </m:e>
          <m:sub>
            <m:r>
              <w:rPr>
                <w:rFonts w:ascii="Cambria Math" w:eastAsia="MS Mincho" w:hAnsi="Cambria Math"/>
                <w:lang w:val="en-GB" w:eastAsia="en-GB"/>
              </w:rPr>
              <m:t>i</m:t>
            </m:r>
          </m:sub>
        </m:sSub>
        <m:r>
          <w:rPr>
            <w:rFonts w:ascii="Cambria Math" w:eastAsia="MS Mincho" w:hAnsi="Cambria Math"/>
            <w:lang w:val="en-GB" w:eastAsia="en-GB"/>
          </w:rPr>
          <m:t>=1</m:t>
        </m:r>
      </m:oMath>
      <w:r w:rsidRPr="006C6E70">
        <w:rPr>
          <w:lang w:val="en-GB"/>
        </w:rPr>
        <w:t xml:space="preserve"> if </w:t>
      </w:r>
      <m:oMath>
        <m:sSubSup>
          <m:sSubSupPr>
            <m:ctrlPr>
              <w:rPr>
                <w:rFonts w:ascii="Cambria Math" w:eastAsia="MS Mincho" w:hAnsi="Cambria Math"/>
                <w:i/>
                <w:lang w:val="en-GB" w:eastAsia="en-GB"/>
              </w:rPr>
            </m:ctrlPr>
          </m:sSubSupPr>
          <m:e>
            <m:r>
              <w:rPr>
                <w:rFonts w:ascii="Cambria Math" w:eastAsia="MS Mincho" w:hAnsi="Cambria Math"/>
                <w:lang w:val="en-GB" w:eastAsia="en-GB"/>
              </w:rPr>
              <m:t>y</m:t>
            </m:r>
          </m:e>
          <m:sub>
            <m:r>
              <w:rPr>
                <w:rFonts w:ascii="Cambria Math" w:eastAsia="MS Mincho" w:hAnsi="Cambria Math"/>
                <w:lang w:val="en-GB" w:eastAsia="en-GB"/>
              </w:rPr>
              <m:t>i</m:t>
            </m:r>
          </m:sub>
          <m:sup>
            <m:r>
              <w:rPr>
                <w:rFonts w:ascii="Cambria Math" w:eastAsia="MS Mincho" w:hAnsi="Cambria Math"/>
                <w:lang w:val="en-GB" w:eastAsia="en-GB"/>
              </w:rPr>
              <m:t>*</m:t>
            </m:r>
          </m:sup>
        </m:sSubSup>
        <m:r>
          <w:rPr>
            <w:rFonts w:ascii="Cambria Math" w:eastAsia="MS Mincho" w:hAnsi="Cambria Math"/>
            <w:lang w:val="en-GB" w:eastAsia="en-GB"/>
          </w:rPr>
          <m:t>&gt;0</m:t>
        </m:r>
      </m:oMath>
      <w:r w:rsidRPr="006C6E70">
        <w:rPr>
          <w:lang w:val="en-GB"/>
        </w:rPr>
        <w:t xml:space="preserve"> and that </w:t>
      </w:r>
      <m:oMath>
        <m:sSubSup>
          <m:sSubSupPr>
            <m:ctrlPr>
              <w:rPr>
                <w:rFonts w:ascii="Cambria Math" w:eastAsia="MS Mincho" w:hAnsi="Cambria Math"/>
                <w:i/>
                <w:lang w:val="en-GB" w:eastAsia="en-GB"/>
              </w:rPr>
            </m:ctrlPr>
          </m:sSubSupPr>
          <m:e>
            <m:r>
              <w:rPr>
                <w:rFonts w:ascii="Cambria Math" w:eastAsia="MS Mincho" w:hAnsi="Cambria Math"/>
                <w:lang w:val="en-GB" w:eastAsia="en-GB"/>
              </w:rPr>
              <m:t>y</m:t>
            </m:r>
          </m:e>
          <m:sub>
            <m:r>
              <w:rPr>
                <w:rFonts w:ascii="Cambria Math" w:eastAsia="MS Mincho" w:hAnsi="Cambria Math"/>
                <w:lang w:val="en-GB" w:eastAsia="en-GB"/>
              </w:rPr>
              <m:t>i</m:t>
            </m:r>
          </m:sub>
          <m:sup>
            <m:r>
              <w:rPr>
                <w:rFonts w:ascii="Cambria Math" w:eastAsia="MS Mincho" w:hAnsi="Cambria Math"/>
                <w:lang w:val="en-GB" w:eastAsia="en-GB"/>
              </w:rPr>
              <m:t>*</m:t>
            </m:r>
          </m:sup>
        </m:sSubSup>
      </m:oMath>
      <w:r w:rsidRPr="006C6E70">
        <w:rPr>
          <w:lang w:val="en-GB"/>
        </w:rPr>
        <w:t xml:space="preserve"> is a linear function of HIV status (</w:t>
      </w:r>
      <m:oMath>
        <m:sSubSup>
          <m:sSubSupPr>
            <m:ctrlPr>
              <w:rPr>
                <w:rFonts w:ascii="Cambria Math" w:eastAsia="MS Mincho" w:hAnsi="Cambria Math"/>
                <w:i/>
                <w:lang w:val="en-GB" w:eastAsia="en-GB"/>
              </w:rPr>
            </m:ctrlPr>
          </m:sSubSupPr>
          <m:e>
            <m:r>
              <w:rPr>
                <w:rFonts w:ascii="Cambria Math" w:eastAsia="MS Mincho" w:hAnsi="Cambria Math"/>
                <w:lang w:val="en-GB" w:eastAsia="en-GB"/>
              </w:rPr>
              <m:t>B</m:t>
            </m:r>
          </m:e>
          <m:sub>
            <m:r>
              <w:rPr>
                <w:rFonts w:ascii="Cambria Math" w:eastAsia="MS Mincho" w:hAnsi="Cambria Math"/>
                <w:lang w:val="en-GB" w:eastAsia="en-GB"/>
              </w:rPr>
              <m:t>i</m:t>
            </m:r>
          </m:sub>
          <m:sup>
            <m:r>
              <w:rPr>
                <w:rFonts w:ascii="Cambria Math" w:eastAsia="MS Mincho" w:hAnsi="Cambria Math"/>
                <w:lang w:val="en-GB" w:eastAsia="en-GB"/>
              </w:rPr>
              <m:t>HIV</m:t>
            </m:r>
          </m:sup>
        </m:sSubSup>
      </m:oMath>
      <w:r w:rsidRPr="006C6E70">
        <w:rPr>
          <w:lang w:val="en-GB"/>
        </w:rPr>
        <w:t xml:space="preserve">) </w:t>
      </w:r>
      <w:r w:rsidRPr="006C6E70">
        <w:t>and other variables (</w:t>
      </w:r>
      <m:oMath>
        <m:sSub>
          <m:sSubPr>
            <m:ctrlPr>
              <w:rPr>
                <w:rFonts w:ascii="Cambria Math" w:eastAsia="MS Mincho" w:hAnsi="Cambria Math"/>
                <w:i/>
                <w:lang w:val="en-GB" w:eastAsia="en-GB"/>
              </w:rPr>
            </m:ctrlPr>
          </m:sSubPr>
          <m:e>
            <m:r>
              <w:rPr>
                <w:rFonts w:ascii="Cambria Math" w:eastAsia="MS Mincho" w:hAnsi="Cambria Math"/>
                <w:lang w:val="en-GB" w:eastAsia="en-GB"/>
              </w:rPr>
              <m:t>x</m:t>
            </m:r>
          </m:e>
          <m:sub>
            <m:r>
              <w:rPr>
                <w:rFonts w:ascii="Cambria Math" w:eastAsia="MS Mincho" w:hAnsi="Cambria Math"/>
                <w:lang w:val="en-GB" w:eastAsia="en-GB"/>
              </w:rPr>
              <m:t>i</m:t>
            </m:r>
          </m:sub>
        </m:sSub>
      </m:oMath>
      <w:r w:rsidRPr="006C6E70">
        <w:rPr>
          <w:lang w:val="en-GB"/>
        </w:rPr>
        <w:t>)</w:t>
      </w:r>
      <w:r w:rsidRPr="006C6E70">
        <w:t>:</w:t>
      </w:r>
    </w:p>
    <w:p w14:paraId="506D5BE7" w14:textId="77777777" w:rsidR="006B7676" w:rsidRPr="000C7BC7" w:rsidRDefault="006B7676" w:rsidP="00EC31DC"/>
    <w:p w14:paraId="0E6B7E98" w14:textId="77777777" w:rsidR="00EC31DC" w:rsidRPr="006C6E70" w:rsidRDefault="00EC31DC" w:rsidP="00EC31DC">
      <w:pPr>
        <w:pStyle w:val="Equation"/>
        <w:spacing w:before="0"/>
        <w:rPr>
          <w:lang w:val="en-GB"/>
        </w:rPr>
      </w:pPr>
      <w:r w:rsidRPr="00615F2D">
        <w:t>(1)</w:t>
      </w:r>
      <w:r w:rsidRPr="00615F2D">
        <w:tab/>
      </w:r>
      <m:oMath>
        <m:sSubSup>
          <m:sSubSupPr>
            <m:ctrlPr>
              <w:rPr>
                <w:rFonts w:ascii="Cambria Math" w:eastAsia="MS Mincho" w:hAnsi="Cambria Math"/>
                <w:i/>
                <w:lang w:val="en-GB" w:eastAsia="en-GB"/>
              </w:rPr>
            </m:ctrlPr>
          </m:sSubSupPr>
          <m:e>
            <m:r>
              <w:rPr>
                <w:rFonts w:ascii="Cambria Math" w:eastAsia="MS Mincho" w:hAnsi="Cambria Math"/>
                <w:lang w:val="en-GB" w:eastAsia="en-GB"/>
              </w:rPr>
              <m:t>y</m:t>
            </m:r>
          </m:e>
          <m:sub>
            <m:r>
              <w:rPr>
                <w:rFonts w:ascii="Cambria Math" w:eastAsia="MS Mincho" w:hAnsi="Cambria Math"/>
                <w:lang w:val="en-GB" w:eastAsia="en-GB"/>
              </w:rPr>
              <m:t>i</m:t>
            </m:r>
          </m:sub>
          <m:sup>
            <m:r>
              <w:rPr>
                <w:rFonts w:ascii="Cambria Math" w:eastAsia="MS Mincho" w:hAnsi="Cambria Math"/>
                <w:lang w:val="en-GB" w:eastAsia="en-GB"/>
              </w:rPr>
              <m:t>*</m:t>
            </m:r>
          </m:sup>
        </m:sSubSup>
        <m:r>
          <w:rPr>
            <w:rFonts w:ascii="Cambria Math" w:eastAsia="MS Mincho" w:hAnsi="Cambria Math"/>
            <w:lang w:val="en-GB" w:eastAsia="en-GB"/>
          </w:rPr>
          <m:t xml:space="preserve">= </m:t>
        </m:r>
        <m:sSup>
          <m:sSupPr>
            <m:ctrlPr>
              <w:rPr>
                <w:rFonts w:ascii="Cambria Math" w:eastAsia="MS Mincho" w:hAnsi="Cambria Math"/>
                <w:i/>
                <w:lang w:val="en-GB" w:eastAsia="en-GB"/>
              </w:rPr>
            </m:ctrlPr>
          </m:sSupPr>
          <m:e>
            <m:r>
              <w:rPr>
                <w:rFonts w:ascii="Cambria Math" w:eastAsia="MS Mincho" w:hAnsi="Cambria Math"/>
                <w:lang w:val="en-GB" w:eastAsia="en-GB"/>
              </w:rPr>
              <m:t xml:space="preserve"> δ</m:t>
            </m:r>
            <m:sSubSup>
              <m:sSubSupPr>
                <m:ctrlPr>
                  <w:rPr>
                    <w:rFonts w:ascii="Cambria Math" w:eastAsia="MS Mincho" w:hAnsi="Cambria Math"/>
                    <w:i/>
                    <w:lang w:val="en-GB" w:eastAsia="en-GB"/>
                  </w:rPr>
                </m:ctrlPr>
              </m:sSubSupPr>
              <m:e>
                <m:r>
                  <w:rPr>
                    <w:rFonts w:ascii="Cambria Math" w:eastAsia="MS Mincho" w:hAnsi="Cambria Math"/>
                    <w:lang w:val="en-GB" w:eastAsia="en-GB"/>
                  </w:rPr>
                  <m:t>B</m:t>
                </m:r>
              </m:e>
              <m:sub>
                <m:r>
                  <w:rPr>
                    <w:rFonts w:ascii="Cambria Math" w:eastAsia="MS Mincho" w:hAnsi="Cambria Math"/>
                    <w:lang w:val="en-GB" w:eastAsia="en-GB"/>
                  </w:rPr>
                  <m:t>i</m:t>
                </m:r>
              </m:sub>
              <m:sup>
                <m:r>
                  <w:rPr>
                    <w:rFonts w:ascii="Cambria Math" w:eastAsia="MS Mincho" w:hAnsi="Cambria Math"/>
                    <w:lang w:val="en-GB" w:eastAsia="en-GB"/>
                  </w:rPr>
                  <m:t>HIV</m:t>
                </m:r>
              </m:sup>
            </m:sSubSup>
            <m:r>
              <w:rPr>
                <w:rFonts w:ascii="Cambria Math" w:eastAsia="MS Mincho" w:hAnsi="Cambria Math"/>
                <w:lang w:val="en-GB" w:eastAsia="en-GB"/>
              </w:rPr>
              <m:t>+</m:t>
            </m:r>
            <m:sSub>
              <m:sSubPr>
                <m:ctrlPr>
                  <w:rPr>
                    <w:rFonts w:ascii="Cambria Math" w:eastAsia="MS Mincho" w:hAnsi="Cambria Math"/>
                    <w:i/>
                    <w:lang w:val="en-GB" w:eastAsia="en-GB"/>
                  </w:rPr>
                </m:ctrlPr>
              </m:sSubPr>
              <m:e>
                <m:r>
                  <w:rPr>
                    <w:rFonts w:ascii="Cambria Math" w:eastAsia="MS Mincho" w:hAnsi="Cambria Math"/>
                    <w:lang w:val="en-GB" w:eastAsia="en-GB"/>
                  </w:rPr>
                  <m:t>x</m:t>
                </m:r>
              </m:e>
              <m:sub>
                <m:r>
                  <w:rPr>
                    <w:rFonts w:ascii="Cambria Math" w:eastAsia="MS Mincho" w:hAnsi="Cambria Math"/>
                    <w:lang w:val="en-GB" w:eastAsia="en-GB"/>
                  </w:rPr>
                  <m:t>i</m:t>
                </m:r>
              </m:sub>
            </m:sSub>
          </m:e>
          <m:sup>
            <m:r>
              <w:rPr>
                <w:rFonts w:ascii="Cambria Math" w:eastAsia="MS Mincho" w:hAnsi="Cambria Math"/>
                <w:lang w:val="en-GB" w:eastAsia="en-GB"/>
              </w:rPr>
              <m:t>'</m:t>
            </m:r>
          </m:sup>
        </m:sSup>
        <m:sSub>
          <m:sSubPr>
            <m:ctrlPr>
              <w:rPr>
                <w:rFonts w:ascii="Cambria Math" w:eastAsia="MS Mincho" w:hAnsi="Cambria Math"/>
                <w:i/>
                <w:lang w:val="en-GB" w:eastAsia="en-GB"/>
              </w:rPr>
            </m:ctrlPr>
          </m:sSubPr>
          <m:e>
            <m:r>
              <w:rPr>
                <w:rFonts w:ascii="Cambria Math" w:eastAsia="MS Mincho" w:hAnsi="Cambria Math"/>
                <w:lang w:val="en-GB" w:eastAsia="en-GB"/>
              </w:rPr>
              <m:t>β</m:t>
            </m:r>
          </m:e>
          <m:sub>
            <m:r>
              <w:rPr>
                <w:rFonts w:ascii="Cambria Math" w:eastAsia="MS Mincho" w:hAnsi="Cambria Math"/>
                <w:lang w:val="en-GB" w:eastAsia="en-GB"/>
              </w:rPr>
              <m:t>1</m:t>
            </m:r>
          </m:sub>
        </m:sSub>
        <m:r>
          <w:rPr>
            <w:rFonts w:ascii="Cambria Math" w:eastAsia="MS Mincho" w:hAnsi="Cambria Math"/>
            <w:lang w:val="en-GB" w:eastAsia="en-GB"/>
          </w:rPr>
          <m:t xml:space="preserve"> + </m:t>
        </m:r>
        <m:sSub>
          <m:sSubPr>
            <m:ctrlPr>
              <w:rPr>
                <w:rFonts w:ascii="Cambria Math" w:eastAsia="MS Mincho" w:hAnsi="Cambria Math"/>
                <w:i/>
                <w:lang w:val="en-GB" w:eastAsia="en-GB"/>
              </w:rPr>
            </m:ctrlPr>
          </m:sSubPr>
          <m:e>
            <m:r>
              <w:rPr>
                <w:rFonts w:ascii="Cambria Math" w:eastAsia="MS Mincho" w:hAnsi="Cambria Math"/>
                <w:lang w:val="en-GB" w:eastAsia="en-GB"/>
              </w:rPr>
              <m:t>ε</m:t>
            </m:r>
          </m:e>
          <m:sub>
            <m:r>
              <w:rPr>
                <w:rFonts w:ascii="Cambria Math" w:eastAsia="MS Mincho" w:hAnsi="Cambria Math"/>
                <w:lang w:val="en-GB" w:eastAsia="en-GB"/>
              </w:rPr>
              <m:t>i</m:t>
            </m:r>
          </m:sub>
        </m:sSub>
      </m:oMath>
    </w:p>
    <w:p w14:paraId="4CE4403F" w14:textId="77777777" w:rsidR="00EC31DC" w:rsidRPr="00615F2D" w:rsidRDefault="00EC31DC" w:rsidP="00EC31DC">
      <w:pPr>
        <w:ind w:firstLine="0"/>
      </w:pPr>
    </w:p>
    <w:p w14:paraId="6B817F1C" w14:textId="77777777" w:rsidR="00F1144B" w:rsidRDefault="00EC31DC" w:rsidP="00EC31DC">
      <w:pPr>
        <w:pStyle w:val="NormalNoIndent"/>
        <w:rPr>
          <w:lang w:val="en-GB"/>
        </w:rPr>
      </w:pPr>
      <w:r w:rsidRPr="006C6E70">
        <w:rPr>
          <w:lang w:val="en-GB"/>
        </w:rPr>
        <w:t xml:space="preserve">where </w:t>
      </w:r>
      <w:r w:rsidRPr="006C6E70">
        <w:rPr>
          <w:i/>
          <w:lang w:val="en-GB"/>
        </w:rPr>
        <w:t>i</w:t>
      </w:r>
      <w:r w:rsidRPr="006C6E70">
        <w:rPr>
          <w:lang w:val="en-GB"/>
        </w:rPr>
        <w:t xml:space="preserve"> indexes individuals; </w:t>
      </w:r>
      <m:oMath>
        <m:sSubSup>
          <m:sSubSupPr>
            <m:ctrlPr>
              <w:rPr>
                <w:rFonts w:ascii="Cambria Math" w:hAnsi="Cambria Math"/>
                <w:i/>
                <w:lang w:val="en-GB"/>
              </w:rPr>
            </m:ctrlPr>
          </m:sSubSupPr>
          <m:e>
            <m:r>
              <w:rPr>
                <w:rFonts w:ascii="Cambria Math" w:hAnsi="Cambria Math"/>
                <w:lang w:val="en-GB"/>
              </w:rPr>
              <m:t>B</m:t>
            </m:r>
          </m:e>
          <m:sub>
            <m:r>
              <w:rPr>
                <w:rFonts w:ascii="Cambria Math" w:hAnsi="Cambria Math"/>
                <w:lang w:val="en-GB"/>
              </w:rPr>
              <m:t>i</m:t>
            </m:r>
          </m:sub>
          <m:sup>
            <m:r>
              <w:rPr>
                <w:rFonts w:ascii="Cambria Math" w:hAnsi="Cambria Math"/>
                <w:lang w:val="en-GB"/>
              </w:rPr>
              <m:t>HIV</m:t>
            </m:r>
          </m:sup>
        </m:sSubSup>
      </m:oMath>
      <w:r w:rsidR="00F1144B">
        <w:rPr>
          <w:lang w:val="en-GB"/>
        </w:rPr>
        <w:t xml:space="preserve"> </w:t>
      </w:r>
      <w:r w:rsidRPr="006C6E70">
        <w:t xml:space="preserve">is a binary variable taking the value one if the individual has HIV and zero otherwise; </w:t>
      </w:r>
      <m:oMath>
        <m:sSub>
          <m:sSubPr>
            <m:ctrlPr>
              <w:rPr>
                <w:rFonts w:ascii="Cambria Math" w:eastAsia="MS Mincho" w:hAnsi="Cambria Math"/>
                <w:i/>
                <w:lang w:val="en-GB" w:eastAsia="en-GB"/>
              </w:rPr>
            </m:ctrlPr>
          </m:sSubPr>
          <m:e>
            <m:r>
              <w:rPr>
                <w:rFonts w:ascii="Cambria Math" w:eastAsia="MS Mincho" w:hAnsi="Cambria Math"/>
                <w:lang w:val="en-GB" w:eastAsia="en-GB"/>
              </w:rPr>
              <m:t>x</m:t>
            </m:r>
          </m:e>
          <m:sub>
            <m:r>
              <w:rPr>
                <w:rFonts w:ascii="Cambria Math" w:eastAsia="MS Mincho" w:hAnsi="Cambria Math"/>
                <w:lang w:val="en-GB" w:eastAsia="en-GB"/>
              </w:rPr>
              <m:t>i</m:t>
            </m:r>
          </m:sub>
        </m:sSub>
      </m:oMath>
      <w:r w:rsidRPr="006C6E70">
        <w:rPr>
          <w:lang w:val="en-GB"/>
        </w:rPr>
        <w:t xml:space="preserve"> is a vector of covariates, </w:t>
      </w:r>
      <w:r w:rsidR="00F1144B">
        <w:rPr>
          <w:lang w:val="en-GB"/>
        </w:rPr>
        <w:t xml:space="preserve">assuming these are all </w:t>
      </w:r>
      <w:r w:rsidR="00F1144B" w:rsidRPr="006C6E70">
        <w:rPr>
          <w:lang w:val="en-GB"/>
        </w:rPr>
        <w:t>exogenous variables, then a univariate probit model can be used to evaluate the causal impact of HIV status on employment status.</w:t>
      </w:r>
      <w:r w:rsidR="00F1144B">
        <w:rPr>
          <w:lang w:val="en-GB"/>
        </w:rPr>
        <w:t xml:space="preserve"> </w:t>
      </w:r>
      <m:oMath>
        <m:sSub>
          <m:sSubPr>
            <m:ctrlPr>
              <w:rPr>
                <w:rFonts w:ascii="Cambria Math" w:eastAsia="MS Mincho" w:hAnsi="Cambria Math"/>
                <w:i/>
                <w:lang w:val="en-GB" w:eastAsia="en-GB"/>
              </w:rPr>
            </m:ctrlPr>
          </m:sSubPr>
          <m:e>
            <m:r>
              <w:rPr>
                <w:rFonts w:ascii="Cambria Math" w:eastAsia="MS Mincho" w:hAnsi="Cambria Math"/>
                <w:lang w:val="en-GB" w:eastAsia="en-GB"/>
              </w:rPr>
              <m:t>ε</m:t>
            </m:r>
          </m:e>
          <m:sub>
            <m:r>
              <w:rPr>
                <w:rFonts w:ascii="Cambria Math" w:eastAsia="MS Mincho" w:hAnsi="Cambria Math"/>
                <w:lang w:val="en-GB" w:eastAsia="en-GB"/>
              </w:rPr>
              <m:t>i</m:t>
            </m:r>
          </m:sub>
        </m:sSub>
      </m:oMath>
      <w:r w:rsidR="0031789B">
        <w:rPr>
          <w:lang w:val="en-GB"/>
        </w:rPr>
        <w:t xml:space="preserve"> is the error term</w:t>
      </w:r>
      <w:r w:rsidR="00FA6319">
        <w:rPr>
          <w:lang w:val="en-GB"/>
        </w:rPr>
        <w:t>, which is assumed to be normally distributed</w:t>
      </w:r>
      <w:r w:rsidR="00F1144B">
        <w:rPr>
          <w:lang w:val="en-GB"/>
        </w:rPr>
        <w:t>.</w:t>
      </w:r>
    </w:p>
    <w:p w14:paraId="61F64749" w14:textId="77777777" w:rsidR="00572CC8" w:rsidRDefault="00572CC8" w:rsidP="00EC31DC">
      <w:pPr>
        <w:pStyle w:val="NormalNoIndent"/>
        <w:rPr>
          <w:lang w:val="en-GB"/>
        </w:rPr>
      </w:pPr>
    </w:p>
    <w:p w14:paraId="4019ADEF" w14:textId="77777777" w:rsidR="00C20CFD" w:rsidRDefault="00EC31DC" w:rsidP="00C20CFD">
      <w:pPr>
        <w:pStyle w:val="NormalNoIndent"/>
        <w:ind w:firstLine="202"/>
        <w:rPr>
          <w:lang w:val="en-GB"/>
        </w:rPr>
      </w:pPr>
      <w:r w:rsidRPr="006C6E70">
        <w:rPr>
          <w:lang w:val="en-GB"/>
        </w:rPr>
        <w:t xml:space="preserve">Given the likelihood of endogeneity arising from employment status affecting HIV status, the resulting average treatment effect (ATE), average treatment effect on the treated (ATT) and average treatment effect on the not treated (ATNT) from (1) could be biased.  </w:t>
      </w:r>
    </w:p>
    <w:p w14:paraId="343291AD" w14:textId="77777777" w:rsidR="00EC31DC" w:rsidRDefault="00EC31DC" w:rsidP="00C20CFD">
      <w:pPr>
        <w:ind w:firstLine="0"/>
      </w:pPr>
    </w:p>
    <w:p w14:paraId="130B6A40" w14:textId="77777777" w:rsidR="00C20CFD" w:rsidRPr="00C20CFD" w:rsidRDefault="00C20CFD" w:rsidP="00C20CFD">
      <w:pPr>
        <w:ind w:firstLine="0"/>
        <w:rPr>
          <w:i/>
          <w:lang w:val="en-GB"/>
        </w:rPr>
      </w:pPr>
      <w:r w:rsidRPr="00C20CFD">
        <w:rPr>
          <w:i/>
        </w:rPr>
        <w:t>3.2. Recursive bivariate probit</w:t>
      </w:r>
    </w:p>
    <w:p w14:paraId="37F7C8E8" w14:textId="77777777" w:rsidR="00EC31DC" w:rsidRDefault="00EC31DC" w:rsidP="00EC31DC">
      <w:pPr>
        <w:rPr>
          <w:lang w:val="en-GB"/>
        </w:rPr>
      </w:pPr>
      <w:r w:rsidRPr="004A6B93">
        <w:rPr>
          <w:lang w:val="en-GB"/>
        </w:rPr>
        <w:t>Due to the binary nature of the treatment and outcome variables</w:t>
      </w:r>
      <w:r w:rsidR="00F85B4D">
        <w:rPr>
          <w:lang w:val="en-GB"/>
        </w:rPr>
        <w:t xml:space="preserve">, </w:t>
      </w:r>
      <w:r w:rsidR="00F85B4D" w:rsidRPr="006C6E70">
        <w:rPr>
          <w:lang w:val="en-GB"/>
        </w:rPr>
        <w:t>the likelihood of endogeneity arising from employment status affecting HIV status</w:t>
      </w:r>
      <w:r w:rsidRPr="004A6B93">
        <w:rPr>
          <w:lang w:val="en-GB"/>
        </w:rPr>
        <w:t xml:space="preserve"> and the potential correlation between unobservable characteristics affecting health and </w:t>
      </w:r>
      <w:r w:rsidR="002F62C6">
        <w:rPr>
          <w:lang w:val="en-GB"/>
        </w:rPr>
        <w:t>employment</w:t>
      </w:r>
      <w:r w:rsidRPr="004A6B93">
        <w:rPr>
          <w:lang w:val="en-GB"/>
        </w:rPr>
        <w:t xml:space="preserve"> in the health and </w:t>
      </w:r>
      <w:r w:rsidR="002F62C6">
        <w:rPr>
          <w:lang w:val="en-GB"/>
        </w:rPr>
        <w:t>employment</w:t>
      </w:r>
      <w:r w:rsidRPr="004A6B93">
        <w:rPr>
          <w:lang w:val="en-GB"/>
        </w:rPr>
        <w:t xml:space="preserve"> equations, a recursive bivariate probit using an instrumental variable is employed.</w:t>
      </w:r>
      <w:r w:rsidR="00772BF6" w:rsidRPr="00274F09">
        <w:rPr>
          <w:rStyle w:val="FootnoteReference"/>
        </w:rPr>
        <w:footnoteReference w:id="5"/>
      </w:r>
      <w:r w:rsidRPr="004A6B93">
        <w:rPr>
          <w:lang w:val="en-GB"/>
        </w:rPr>
        <w:t xml:space="preserve">  In our context, the recursive bivariate probit model takes the following form:</w:t>
      </w:r>
    </w:p>
    <w:p w14:paraId="37E333D7" w14:textId="77777777" w:rsidR="006B7676" w:rsidRPr="004A6B93" w:rsidRDefault="006B7676" w:rsidP="00EC31DC">
      <w:pPr>
        <w:rPr>
          <w:lang w:val="en-GB"/>
        </w:rPr>
      </w:pPr>
    </w:p>
    <w:p w14:paraId="2248847E" w14:textId="77777777" w:rsidR="00EC31DC" w:rsidRPr="004A6B93" w:rsidRDefault="00EC31DC" w:rsidP="00EC31DC">
      <w:pPr>
        <w:pStyle w:val="Equation"/>
        <w:spacing w:before="0"/>
        <w:rPr>
          <w:rFonts w:cs="Times New Roman"/>
          <w:szCs w:val="24"/>
          <w:lang w:val="en-GB"/>
        </w:rPr>
      </w:pPr>
      <w:r w:rsidRPr="004A6B93">
        <w:rPr>
          <w:rFonts w:cs="Times New Roman"/>
          <w:szCs w:val="24"/>
        </w:rPr>
        <w:t xml:space="preserve"> (2)</w:t>
      </w:r>
      <w:r w:rsidRPr="004A6B93">
        <w:rPr>
          <w:rFonts w:cs="Times New Roman"/>
          <w:szCs w:val="24"/>
        </w:rPr>
        <w:tab/>
        <w:t xml:space="preserve">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y</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m:t>
            </m:r>
          </m:sup>
        </m:sSubSup>
        <m:r>
          <w:rPr>
            <w:rFonts w:ascii="Cambria Math" w:eastAsia="MS Mincho" w:hAnsi="Cambria Math" w:cs="Times New Roman"/>
            <w:szCs w:val="24"/>
            <w:lang w:val="en-GB" w:eastAsia="en-GB"/>
          </w:rPr>
          <m:t xml:space="preserve">= </m:t>
        </m:r>
        <m:sSup>
          <m:sSupPr>
            <m:ctrlPr>
              <w:rPr>
                <w:rFonts w:ascii="Cambria Math" w:eastAsia="MS Mincho" w:hAnsi="Cambria Math" w:cs="Times New Roman"/>
                <w:i/>
                <w:szCs w:val="24"/>
                <w:lang w:val="en-GB" w:eastAsia="en-GB"/>
              </w:rPr>
            </m:ctrlPr>
          </m:sSupPr>
          <m:e>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x</m:t>
                </m:r>
              </m:e>
              <m:sub>
                <m:r>
                  <w:rPr>
                    <w:rFonts w:ascii="Cambria Math" w:eastAsia="MS Mincho" w:hAnsi="Cambria Math" w:cs="Times New Roman"/>
                    <w:szCs w:val="24"/>
                    <w:lang w:val="en-GB" w:eastAsia="en-GB"/>
                  </w:rPr>
                  <m:t>i</m:t>
                </m:r>
              </m:sub>
            </m:sSub>
          </m:e>
          <m:sup>
            <m:r>
              <w:rPr>
                <w:rFonts w:ascii="Cambria Math" w:eastAsia="MS Mincho" w:hAnsi="Cambria Math" w:cs="Times New Roman"/>
                <w:szCs w:val="24"/>
                <w:lang w:val="en-GB" w:eastAsia="en-GB"/>
              </w:rPr>
              <m:t>'</m:t>
            </m:r>
          </m:sup>
        </m:sSup>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β</m:t>
            </m:r>
          </m:e>
          <m:sub>
            <m:r>
              <w:rPr>
                <w:rFonts w:ascii="Cambria Math" w:eastAsia="MS Mincho" w:hAnsi="Cambria Math" w:cs="Times New Roman"/>
                <w:szCs w:val="24"/>
                <w:lang w:val="en-GB" w:eastAsia="en-GB"/>
              </w:rPr>
              <m:t>2</m:t>
            </m:r>
          </m:sub>
        </m:sSub>
        <m:r>
          <w:rPr>
            <w:rFonts w:ascii="Cambria Math" w:eastAsia="MS Mincho" w:hAnsi="Cambria Math" w:cs="Times New Roman"/>
            <w:szCs w:val="24"/>
            <w:lang w:val="en-GB" w:eastAsia="en-GB"/>
          </w:rPr>
          <m:t xml:space="preserve"> + γ</m:t>
        </m:r>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sup>
        </m:sSubSup>
        <m:r>
          <w:rPr>
            <w:rFonts w:ascii="Cambria Math" w:eastAsia="MS Mincho" w:hAnsi="Cambria Math" w:cs="Times New Roman"/>
            <w:szCs w:val="24"/>
            <w:lang w:val="en-GB" w:eastAsia="en-GB"/>
          </w:rPr>
          <m:t xml:space="preserve">+ </m:t>
        </m:r>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λ</m:t>
            </m:r>
          </m:e>
          <m:sub>
            <m:r>
              <w:rPr>
                <w:rFonts w:ascii="Cambria Math" w:eastAsia="MS Mincho" w:hAnsi="Cambria Math" w:cs="Times New Roman"/>
                <w:szCs w:val="24"/>
                <w:lang w:val="en-GB" w:eastAsia="en-GB"/>
              </w:rPr>
              <m:t>i</m:t>
            </m:r>
          </m:sub>
        </m:sSub>
      </m:oMath>
    </w:p>
    <w:p w14:paraId="530F90E4" w14:textId="77777777" w:rsidR="00EC31DC" w:rsidRPr="004A6B93" w:rsidRDefault="00EC31DC" w:rsidP="00EC31DC">
      <w:pPr>
        <w:pStyle w:val="Equation"/>
        <w:spacing w:before="0"/>
        <w:rPr>
          <w:rFonts w:cs="Times New Roman"/>
          <w:szCs w:val="24"/>
          <w:lang w:val="en-GB"/>
        </w:rPr>
      </w:pPr>
      <w:r w:rsidRPr="004A6B93">
        <w:rPr>
          <w:rFonts w:cs="Times New Roman"/>
          <w:szCs w:val="24"/>
          <w:lang w:val="en-GB"/>
        </w:rPr>
        <w:tab/>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r>
              <m:rPr>
                <m:nor/>
              </m:rPr>
              <w:rPr>
                <w:rFonts w:eastAsia="MS Mincho" w:cs="Times New Roman"/>
                <w:szCs w:val="24"/>
                <w:lang w:val="en-GB" w:eastAsia="en-GB"/>
              </w:rPr>
              <m:t>*</m:t>
            </m:r>
          </m:sup>
        </m:sSubSup>
        <m:r>
          <w:rPr>
            <w:rFonts w:ascii="Cambria Math" w:eastAsia="MS Mincho" w:hAnsi="Cambria Math" w:cs="Times New Roman"/>
            <w:szCs w:val="24"/>
            <w:lang w:val="en-GB" w:eastAsia="en-GB"/>
          </w:rPr>
          <m:t xml:space="preserve">= </m:t>
        </m:r>
        <m:sSup>
          <m:sSupPr>
            <m:ctrlPr>
              <w:rPr>
                <w:rFonts w:ascii="Cambria Math" w:eastAsia="MS Mincho" w:hAnsi="Cambria Math" w:cs="Times New Roman"/>
                <w:i/>
                <w:szCs w:val="24"/>
                <w:lang w:val="en-GB" w:eastAsia="en-GB"/>
              </w:rPr>
            </m:ctrlPr>
          </m:sSupPr>
          <m:e>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x</m:t>
                </m:r>
              </m:e>
              <m:sub>
                <m:r>
                  <w:rPr>
                    <w:rFonts w:ascii="Cambria Math" w:eastAsia="MS Mincho" w:hAnsi="Cambria Math" w:cs="Times New Roman"/>
                    <w:szCs w:val="24"/>
                    <w:lang w:val="en-GB" w:eastAsia="en-GB"/>
                  </w:rPr>
                  <m:t>i</m:t>
                </m:r>
              </m:sub>
            </m:sSub>
          </m:e>
          <m:sup>
            <m:r>
              <w:rPr>
                <w:rFonts w:ascii="Cambria Math" w:eastAsia="MS Mincho" w:hAnsi="Cambria Math" w:cs="Times New Roman"/>
                <w:szCs w:val="24"/>
                <w:lang w:val="en-GB" w:eastAsia="en-GB"/>
              </w:rPr>
              <m:t>'</m:t>
            </m:r>
          </m:sup>
        </m:sSup>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β</m:t>
            </m:r>
          </m:e>
          <m:sub>
            <m:r>
              <w:rPr>
                <w:rFonts w:ascii="Cambria Math" w:eastAsia="MS Mincho" w:hAnsi="Cambria Math" w:cs="Times New Roman"/>
                <w:szCs w:val="24"/>
                <w:lang w:val="en-GB" w:eastAsia="en-GB"/>
              </w:rPr>
              <m:t>3</m:t>
            </m:r>
          </m:sub>
        </m:sSub>
        <m:r>
          <w:rPr>
            <w:rFonts w:ascii="Cambria Math" w:eastAsia="MS Mincho" w:hAnsi="Cambria Math" w:cs="Times New Roman"/>
            <w:szCs w:val="24"/>
            <w:lang w:val="en-GB" w:eastAsia="en-GB"/>
          </w:rPr>
          <m:t>+α</m:t>
        </m:r>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Z</m:t>
            </m:r>
          </m:e>
          <m:sub>
            <m:r>
              <w:rPr>
                <w:rFonts w:ascii="Cambria Math" w:eastAsia="MS Mincho" w:hAnsi="Cambria Math" w:cs="Times New Roman"/>
                <w:szCs w:val="24"/>
                <w:lang w:val="en-GB" w:eastAsia="en-GB"/>
              </w:rPr>
              <m:t>i</m:t>
            </m:r>
          </m:sub>
        </m:sSub>
        <m:r>
          <w:rPr>
            <w:rFonts w:ascii="Cambria Math" w:eastAsia="MS Mincho" w:hAnsi="Cambria Math" w:cs="Times New Roman"/>
            <w:szCs w:val="24"/>
            <w:lang w:val="en-GB" w:eastAsia="en-GB"/>
          </w:rPr>
          <m:t>+</m:t>
        </m:r>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μ</m:t>
            </m:r>
          </m:e>
          <m:sub>
            <m:r>
              <w:rPr>
                <w:rFonts w:ascii="Cambria Math" w:eastAsia="MS Mincho" w:hAnsi="Cambria Math" w:cs="Times New Roman"/>
                <w:szCs w:val="24"/>
                <w:lang w:val="en-GB" w:eastAsia="en-GB"/>
              </w:rPr>
              <m:t>i</m:t>
            </m:r>
          </m:sub>
        </m:sSub>
      </m:oMath>
    </w:p>
    <w:p w14:paraId="173660BC" w14:textId="77777777" w:rsidR="00EC31DC" w:rsidRDefault="00EC31DC" w:rsidP="00EC31DC">
      <w:pPr>
        <w:pStyle w:val="Equation"/>
        <w:spacing w:before="0"/>
        <w:rPr>
          <w:rFonts w:cs="Times New Roman"/>
          <w:szCs w:val="24"/>
          <w:lang w:val="en-GB"/>
        </w:rPr>
      </w:pPr>
      <w:r w:rsidRPr="004A6B93">
        <w:rPr>
          <w:rFonts w:cs="Times New Roman"/>
          <w:szCs w:val="24"/>
          <w:lang w:val="en-GB"/>
        </w:rPr>
        <w:t xml:space="preserve">where </w:t>
      </w:r>
      <w:r w:rsidRPr="004A6B93">
        <w:rPr>
          <w:rFonts w:cs="Times New Roman"/>
          <w:i/>
          <w:szCs w:val="24"/>
          <w:lang w:val="en-GB"/>
        </w:rPr>
        <w:t>y</w:t>
      </w:r>
      <w:r w:rsidRPr="004A6B93">
        <w:rPr>
          <w:rFonts w:cs="Times New Roman"/>
          <w:i/>
          <w:szCs w:val="24"/>
          <w:vertAlign w:val="subscript"/>
          <w:lang w:val="en-GB"/>
        </w:rPr>
        <w:t>i</w:t>
      </w:r>
      <w:r w:rsidRPr="004A6B93">
        <w:rPr>
          <w:rFonts w:cs="Times New Roman"/>
          <w:i/>
          <w:szCs w:val="24"/>
          <w:vertAlign w:val="superscript"/>
          <w:lang w:val="en-GB"/>
        </w:rPr>
        <w:t xml:space="preserve">* </w:t>
      </w:r>
      <w:r w:rsidRPr="004A6B93">
        <w:rPr>
          <w:rFonts w:cs="Times New Roman"/>
          <w:szCs w:val="24"/>
          <w:lang w:val="en-GB"/>
        </w:rPr>
        <w:t>is a latent variable underlying an individual’s employment status;</w:t>
      </w:r>
      <w:r w:rsidRPr="004A6B93">
        <w:rPr>
          <w:rFonts w:cs="Times New Roman"/>
          <w:i/>
          <w:szCs w:val="24"/>
          <w:lang w:val="en-GB"/>
        </w:rPr>
        <w:t xml:space="preserve"> </w:t>
      </w:r>
      <m:oMath>
        <m:sSubSup>
          <m:sSubSupPr>
            <m:ctrlPr>
              <w:rPr>
                <w:rFonts w:ascii="Cambria Math" w:hAnsi="Cambria Math" w:cs="Times New Roman"/>
                <w:i/>
                <w:szCs w:val="24"/>
                <w:lang w:val="en-GB"/>
              </w:rPr>
            </m:ctrlPr>
          </m:sSubSupPr>
          <m:e>
            <m:r>
              <w:rPr>
                <w:rFonts w:ascii="Cambria Math" w:hAnsi="Cambria Math" w:cs="Times New Roman"/>
                <w:szCs w:val="24"/>
                <w:lang w:val="en-GB"/>
              </w:rPr>
              <m:t>B</m:t>
            </m:r>
          </m:e>
          <m:sub>
            <m:r>
              <w:rPr>
                <w:rFonts w:ascii="Cambria Math" w:hAnsi="Cambria Math" w:cs="Times New Roman"/>
                <w:szCs w:val="24"/>
                <w:lang w:val="en-GB"/>
              </w:rPr>
              <m:t>i</m:t>
            </m:r>
          </m:sub>
          <m:sup>
            <m:r>
              <w:rPr>
                <w:rFonts w:ascii="Cambria Math" w:hAnsi="Cambria Math" w:cs="Times New Roman"/>
                <w:szCs w:val="24"/>
                <w:lang w:val="en-GB"/>
              </w:rPr>
              <m:t>HIV</m:t>
            </m:r>
          </m:sup>
        </m:sSubSup>
      </m:oMath>
      <w:r w:rsidR="00F1144B">
        <w:rPr>
          <w:rFonts w:cs="Times New Roman"/>
          <w:i/>
          <w:szCs w:val="24"/>
          <w:lang w:val="en-GB"/>
        </w:rPr>
        <w:t xml:space="preserve"> </w:t>
      </w:r>
      <w:r w:rsidRPr="004A6B93">
        <w:rPr>
          <w:rFonts w:cs="Times New Roman"/>
          <w:szCs w:val="24"/>
          <w:lang w:val="en-GB"/>
        </w:rPr>
        <w:t xml:space="preserve">is an individual’s HIV status; </w:t>
      </w:r>
      <m:oMath>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x</m:t>
            </m:r>
          </m:e>
          <m:sub>
            <m:r>
              <w:rPr>
                <w:rFonts w:ascii="Cambria Math" w:eastAsia="MS Mincho" w:hAnsi="Cambria Math" w:cs="Times New Roman"/>
                <w:szCs w:val="24"/>
                <w:lang w:val="en-GB" w:eastAsia="en-GB"/>
              </w:rPr>
              <m:t>i</m:t>
            </m:r>
          </m:sub>
        </m:sSub>
      </m:oMath>
      <w:r w:rsidRPr="004A6B93">
        <w:rPr>
          <w:rFonts w:cs="Times New Roman"/>
          <w:szCs w:val="24"/>
          <w:lang w:val="en-GB"/>
        </w:rPr>
        <w:t xml:space="preserve"> is the same vector of controls presented in (1);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r>
              <m:rPr>
                <m:nor/>
              </m:rPr>
              <w:rPr>
                <w:rFonts w:eastAsia="MS Mincho" w:cs="Times New Roman"/>
                <w:szCs w:val="24"/>
                <w:lang w:val="en-GB" w:eastAsia="en-GB"/>
              </w:rPr>
              <m:t>*</m:t>
            </m:r>
          </m:sup>
        </m:sSubSup>
      </m:oMath>
      <w:r w:rsidRPr="004A6B93">
        <w:rPr>
          <w:rFonts w:cs="Times New Roman"/>
          <w:szCs w:val="24"/>
          <w:lang w:val="en-GB"/>
        </w:rPr>
        <w:t xml:space="preserve"> is a latent variable determining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sup>
        </m:sSubSup>
      </m:oMath>
      <w:r w:rsidRPr="004A6B93">
        <w:rPr>
          <w:rFonts w:cs="Times New Roman"/>
          <w:szCs w:val="24"/>
          <w:lang w:val="en-GB"/>
        </w:rPr>
        <w:t xml:space="preserve"> where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sup>
        </m:sSubSup>
        <m:r>
          <w:rPr>
            <w:rFonts w:ascii="Cambria Math" w:eastAsia="MS Mincho" w:hAnsi="Cambria Math" w:cs="Times New Roman"/>
            <w:szCs w:val="24"/>
            <w:lang w:val="en-GB" w:eastAsia="en-GB"/>
          </w:rPr>
          <m:t>=0</m:t>
        </m:r>
      </m:oMath>
      <w:r w:rsidRPr="004A6B93">
        <w:rPr>
          <w:rFonts w:cs="Times New Roman"/>
          <w:szCs w:val="24"/>
          <w:lang w:val="en-GB"/>
        </w:rPr>
        <w:t xml:space="preserve"> if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sup>
        </m:sSubSup>
        <m:r>
          <w:rPr>
            <w:rFonts w:ascii="Cambria Math" w:eastAsia="MS Mincho" w:hAnsi="Cambria Math" w:cs="Times New Roman"/>
            <w:szCs w:val="24"/>
            <w:lang w:val="en-GB" w:eastAsia="en-GB"/>
          </w:rPr>
          <m:t>≤0</m:t>
        </m:r>
      </m:oMath>
      <w:r w:rsidRPr="004A6B93">
        <w:rPr>
          <w:rFonts w:cs="Times New Roman"/>
          <w:szCs w:val="24"/>
          <w:lang w:val="en-GB"/>
        </w:rPr>
        <w:t xml:space="preserve"> and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sup>
        </m:sSubSup>
        <m:r>
          <w:rPr>
            <w:rFonts w:ascii="Cambria Math" w:eastAsia="MS Mincho" w:hAnsi="Cambria Math" w:cs="Times New Roman"/>
            <w:szCs w:val="24"/>
            <w:lang w:val="en-GB" w:eastAsia="en-GB"/>
          </w:rPr>
          <m:t>=1</m:t>
        </m:r>
      </m:oMath>
      <w:r w:rsidRPr="004A6B93">
        <w:rPr>
          <w:rFonts w:cs="Times New Roman"/>
          <w:szCs w:val="24"/>
          <w:lang w:val="en-GB"/>
        </w:rPr>
        <w:t xml:space="preserve"> if  </w:t>
      </w:r>
      <m:oMath>
        <m:sSubSup>
          <m:sSubSupPr>
            <m:ctrlPr>
              <w:rPr>
                <w:rFonts w:ascii="Cambria Math" w:eastAsia="MS Mincho" w:hAnsi="Cambria Math" w:cs="Times New Roman"/>
                <w:i/>
                <w:szCs w:val="24"/>
                <w:lang w:val="en-GB" w:eastAsia="en-GB"/>
              </w:rPr>
            </m:ctrlPr>
          </m:sSubSupPr>
          <m:e>
            <m:r>
              <w:rPr>
                <w:rFonts w:ascii="Cambria Math" w:eastAsia="MS Mincho" w:hAnsi="Cambria Math" w:cs="Times New Roman"/>
                <w:szCs w:val="24"/>
                <w:lang w:val="en-GB" w:eastAsia="en-GB"/>
              </w:rPr>
              <m:t>B</m:t>
            </m:r>
          </m:e>
          <m:sub>
            <m:r>
              <w:rPr>
                <w:rFonts w:ascii="Cambria Math" w:eastAsia="MS Mincho" w:hAnsi="Cambria Math" w:cs="Times New Roman"/>
                <w:szCs w:val="24"/>
                <w:lang w:val="en-GB" w:eastAsia="en-GB"/>
              </w:rPr>
              <m:t>i</m:t>
            </m:r>
          </m:sub>
          <m:sup>
            <m:r>
              <w:rPr>
                <w:rFonts w:ascii="Cambria Math" w:eastAsia="MS Mincho" w:hAnsi="Cambria Math" w:cs="Times New Roman"/>
                <w:szCs w:val="24"/>
                <w:lang w:val="en-GB" w:eastAsia="en-GB"/>
              </w:rPr>
              <m:t>HIV*</m:t>
            </m:r>
          </m:sup>
        </m:sSubSup>
        <m:r>
          <w:rPr>
            <w:rFonts w:ascii="Cambria Math" w:eastAsia="MS Mincho" w:hAnsi="Cambria Math" w:cs="Times New Roman"/>
            <w:szCs w:val="24"/>
            <w:lang w:val="en-GB" w:eastAsia="en-GB"/>
          </w:rPr>
          <m:t>&gt;0</m:t>
        </m:r>
      </m:oMath>
      <w:r w:rsidRPr="004A6B93">
        <w:rPr>
          <w:rFonts w:cs="Times New Roman"/>
          <w:szCs w:val="24"/>
          <w:lang w:val="en-GB"/>
        </w:rPr>
        <w:t xml:space="preserve">; </w:t>
      </w:r>
      <m:oMath>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Z</m:t>
            </m:r>
          </m:e>
          <m:sub>
            <m:r>
              <w:rPr>
                <w:rFonts w:ascii="Cambria Math" w:eastAsia="MS Mincho" w:hAnsi="Cambria Math" w:cs="Times New Roman"/>
                <w:szCs w:val="24"/>
                <w:lang w:val="en-GB" w:eastAsia="en-GB"/>
              </w:rPr>
              <m:t>i</m:t>
            </m:r>
          </m:sub>
        </m:sSub>
      </m:oMath>
      <w:r w:rsidRPr="004A6B93">
        <w:rPr>
          <w:rFonts w:cs="Times New Roman"/>
          <w:szCs w:val="24"/>
          <w:lang w:val="en-GB"/>
        </w:rPr>
        <w:t xml:space="preserve"> is a binary variable for male circumcision (the instrument); λ</w:t>
      </w:r>
      <w:r w:rsidRPr="004A6B93">
        <w:rPr>
          <w:rFonts w:cs="Times New Roman"/>
          <w:i/>
          <w:szCs w:val="24"/>
          <w:vertAlign w:val="subscript"/>
          <w:lang w:val="en-GB"/>
        </w:rPr>
        <w:t>i</w:t>
      </w:r>
      <w:r w:rsidRPr="004A6B93">
        <w:rPr>
          <w:rFonts w:cs="Times New Roman"/>
          <w:szCs w:val="24"/>
          <w:lang w:val="en-GB"/>
        </w:rPr>
        <w:t xml:space="preserve"> is the error term of the first equation and μ</w:t>
      </w:r>
      <w:r w:rsidRPr="004A6B93">
        <w:rPr>
          <w:rFonts w:cs="Times New Roman"/>
          <w:i/>
          <w:szCs w:val="24"/>
          <w:vertAlign w:val="subscript"/>
          <w:lang w:val="en-GB"/>
        </w:rPr>
        <w:t>i</w:t>
      </w:r>
      <w:r w:rsidRPr="004A6B93">
        <w:rPr>
          <w:rFonts w:cs="Times New Roman"/>
          <w:szCs w:val="24"/>
          <w:lang w:val="en-GB"/>
        </w:rPr>
        <w:t xml:space="preserve"> is the error term of the second equation, which are assumed to follow a bivariate Normal distribution with correlation coefficient </w:t>
      </w:r>
      <m:oMath>
        <m:r>
          <w:rPr>
            <w:rFonts w:ascii="Cambria Math" w:eastAsia="MS Mincho" w:hAnsi="Cambria Math" w:cs="Times New Roman"/>
            <w:szCs w:val="24"/>
            <w:lang w:val="en-GB" w:eastAsia="en-GB"/>
          </w:rPr>
          <m:t>ρ</m:t>
        </m:r>
      </m:oMath>
      <w:r w:rsidRPr="004A6B93">
        <w:rPr>
          <w:rFonts w:cs="Times New Roman"/>
          <w:szCs w:val="24"/>
          <w:lang w:val="en-GB"/>
        </w:rPr>
        <w:t>.  The second equation predicts HIV status using an instrument</w:t>
      </w:r>
      <w:r w:rsidR="0068538F">
        <w:rPr>
          <w:rFonts w:cs="Times New Roman"/>
          <w:szCs w:val="24"/>
          <w:lang w:val="en-GB"/>
        </w:rPr>
        <w:t xml:space="preserve">al variable </w:t>
      </w:r>
      <m:oMath>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Z</m:t>
            </m:r>
          </m:e>
          <m:sub>
            <m:r>
              <w:rPr>
                <w:rFonts w:ascii="Cambria Math" w:eastAsia="MS Mincho" w:hAnsi="Cambria Math" w:cs="Times New Roman"/>
                <w:szCs w:val="24"/>
                <w:lang w:val="en-GB" w:eastAsia="en-GB"/>
              </w:rPr>
              <m:t>i</m:t>
            </m:r>
          </m:sub>
        </m:sSub>
      </m:oMath>
      <w:r w:rsidRPr="004A6B93">
        <w:rPr>
          <w:rFonts w:cs="Times New Roman"/>
          <w:szCs w:val="24"/>
          <w:lang w:val="en-GB"/>
        </w:rPr>
        <w:t>, male circumcision, in order to get around the endogeneity present in</w:t>
      </w:r>
      <w:r w:rsidR="0068538F">
        <w:rPr>
          <w:rFonts w:cs="Times New Roman"/>
          <w:szCs w:val="24"/>
          <w:lang w:val="en-GB"/>
        </w:rPr>
        <w:t xml:space="preserve"> equation</w:t>
      </w:r>
      <w:r w:rsidRPr="004A6B93">
        <w:rPr>
          <w:rFonts w:cs="Times New Roman"/>
          <w:szCs w:val="24"/>
          <w:lang w:val="en-GB"/>
        </w:rPr>
        <w:t xml:space="preserve"> (1).  </w:t>
      </w:r>
      <w:r w:rsidR="006773BE">
        <w:rPr>
          <w:rFonts w:cs="Times New Roman"/>
          <w:szCs w:val="24"/>
          <w:lang w:val="en-GB"/>
        </w:rPr>
        <w:t>For comparison we also estimate this model using 2SLS.</w:t>
      </w:r>
    </w:p>
    <w:p w14:paraId="1C29C0F9" w14:textId="77777777" w:rsidR="00C20CFD" w:rsidRDefault="00C20CFD" w:rsidP="00C20CFD">
      <w:pPr>
        <w:ind w:firstLine="0"/>
        <w:rPr>
          <w:i/>
          <w:lang w:val="en-GB"/>
        </w:rPr>
      </w:pPr>
    </w:p>
    <w:p w14:paraId="08DCDE89" w14:textId="77777777" w:rsidR="00C20CFD" w:rsidRDefault="00C20CFD" w:rsidP="00C20CFD">
      <w:pPr>
        <w:ind w:firstLine="0"/>
        <w:rPr>
          <w:i/>
          <w:lang w:val="en-GB"/>
        </w:rPr>
      </w:pPr>
      <w:r>
        <w:rPr>
          <w:i/>
          <w:lang w:val="en-GB"/>
        </w:rPr>
        <w:t>3.</w:t>
      </w:r>
      <w:r w:rsidR="006773BE">
        <w:rPr>
          <w:i/>
          <w:lang w:val="en-GB"/>
        </w:rPr>
        <w:t>3</w:t>
      </w:r>
      <w:r>
        <w:rPr>
          <w:i/>
          <w:lang w:val="en-GB"/>
        </w:rPr>
        <w:t>. Calculating treatment effects</w:t>
      </w:r>
    </w:p>
    <w:p w14:paraId="1C51EB96" w14:textId="77777777" w:rsidR="00EC31DC" w:rsidRDefault="00EC31DC" w:rsidP="00EC31DC">
      <w:pPr>
        <w:rPr>
          <w:lang w:val="en-GB"/>
        </w:rPr>
      </w:pPr>
      <w:r w:rsidRPr="004A6B93">
        <w:rPr>
          <w:lang w:val="en-GB"/>
        </w:rPr>
        <w:t xml:space="preserve">The ATT is computed using the partial effect on the conditional probability for only the </w:t>
      </w:r>
      <m:oMath>
        <m:r>
          <w:rPr>
            <w:rFonts w:ascii="Cambria Math" w:eastAsia="MS Mincho" w:hAnsi="Cambria Math"/>
            <w:lang w:val="en-GB" w:eastAsia="en-GB"/>
          </w:rPr>
          <m:t xml:space="preserve"> </m:t>
        </m:r>
        <m:sSub>
          <m:sSubPr>
            <m:ctrlPr>
              <w:rPr>
                <w:rFonts w:ascii="Cambria Math" w:eastAsia="MS Mincho" w:hAnsi="Cambria Math"/>
                <w:i/>
                <w:lang w:val="en-GB" w:eastAsia="en-GB"/>
              </w:rPr>
            </m:ctrlPr>
          </m:sSubPr>
          <m:e>
            <m:r>
              <w:rPr>
                <w:rFonts w:ascii="Cambria Math" w:eastAsia="MS Mincho" w:hAnsi="Cambria Math"/>
                <w:lang w:val="en-GB" w:eastAsia="en-GB"/>
              </w:rPr>
              <m:t>n</m:t>
            </m:r>
          </m:e>
          <m:sub>
            <m:sSup>
              <m:sSupPr>
                <m:ctrlPr>
                  <w:rPr>
                    <w:rFonts w:ascii="Cambria Math" w:eastAsia="MS Mincho" w:hAnsi="Cambria Math"/>
                    <w:i/>
                    <w:lang w:val="en-GB" w:eastAsia="en-GB"/>
                  </w:rPr>
                </m:ctrlPr>
              </m:sSupPr>
              <m:e>
                <m:r>
                  <w:rPr>
                    <w:rFonts w:ascii="Cambria Math" w:eastAsia="MS Mincho" w:hAnsi="Cambria Math"/>
                    <w:lang w:val="en-GB" w:eastAsia="en-GB"/>
                  </w:rPr>
                  <m:t>B</m:t>
                </m:r>
              </m:e>
              <m:sup>
                <m:r>
                  <w:rPr>
                    <w:rFonts w:ascii="Cambria Math" w:eastAsia="MS Mincho" w:hAnsi="Cambria Math"/>
                    <w:lang w:val="en-GB" w:eastAsia="en-GB"/>
                  </w:rPr>
                  <m:t>HIV</m:t>
                </m:r>
              </m:sup>
            </m:sSup>
          </m:sub>
        </m:sSub>
      </m:oMath>
      <w:r w:rsidRPr="004A6B93">
        <w:rPr>
          <w:lang w:val="en-GB"/>
        </w:rPr>
        <w:t xml:space="preserve"> individuals that are HIV positive </w:t>
      </w:r>
      <w:r w:rsidR="005D7F89">
        <w:rPr>
          <w:lang w:val="en-GB"/>
        </w:rPr>
        <w:fldChar w:fldCharType="begin" w:fldLock="1"/>
      </w:r>
      <w:r w:rsidR="0026353B">
        <w:rPr>
          <w:lang w:val="en-GB"/>
        </w:rPr>
        <w:instrText>ADDIN CSL_CITATION { "citationItems" : [ { "id" : "ITEM-1", "itemData" : { "author" : [ { "dropping-particle" : "", "family" : "Chiburis", "given" : "Richard C.", "non-dropping-particle" : "", "parse-names" : false, "suffix" : "" }, { "dropping-particle" : "", "family" : "Das", "given" : "Jishnu", "non-dropping-particle" : "", "parse-names" : false, "suffix" : "" }, { "dropping-particle" : "", "family" : "Lokshin", "given" : "Michael", "non-dropping-particle" : "", "parse-names" : false, "suffix" : "" } ], "container-title" : "Policy Research Working Papers", "id" : "ITEM-1", "issued" : { "date-parts" : [ [ "2011" ] ] }, "language" : "en", "title" : "A practical comparison of the bivariate probit and linear IV estimators: Policy Research Working Papers", "type" : "article-journal" }, "uris" : [ "http://www.mendeley.com/documents/?uuid=d86a32af-7e6f-47a7-916c-6a69a04730c9" ] } ], "mendeley" : { "formattedCitation" : "(Chiburis et al. 2011)", "plainTextFormattedCitation" : "(Chiburis et al. 2011)", "previouslyFormattedCitation" : "(Chiburis et al. 2011)" }, "properties" : { "noteIndex" : 0 }, "schema" : "https://github.com/citation-style-language/schema/raw/master/csl-citation.json" }</w:instrText>
      </w:r>
      <w:r w:rsidR="005D7F89">
        <w:rPr>
          <w:lang w:val="en-GB"/>
        </w:rPr>
        <w:fldChar w:fldCharType="separate"/>
      </w:r>
      <w:r w:rsidR="00FA090D" w:rsidRPr="00FA090D">
        <w:rPr>
          <w:noProof/>
          <w:lang w:val="en-GB"/>
        </w:rPr>
        <w:t>(Chiburis et al. 2011)</w:t>
      </w:r>
      <w:r w:rsidR="005D7F89">
        <w:rPr>
          <w:lang w:val="en-GB"/>
        </w:rPr>
        <w:fldChar w:fldCharType="end"/>
      </w:r>
      <w:r w:rsidRPr="004A6B93">
        <w:rPr>
          <w:lang w:val="en-GB"/>
        </w:rPr>
        <w:t>, such that:</w:t>
      </w:r>
    </w:p>
    <w:p w14:paraId="0DC7ADB7" w14:textId="77777777" w:rsidR="00EC31DC" w:rsidRPr="004A6B93" w:rsidRDefault="00EC31DC" w:rsidP="00EC31DC">
      <w:pPr>
        <w:rPr>
          <w:lang w:val="en-GB"/>
        </w:rPr>
      </w:pPr>
    </w:p>
    <w:p w14:paraId="405FFF40" w14:textId="77777777" w:rsidR="00EC31DC" w:rsidRDefault="00EC31DC" w:rsidP="00EC31DC">
      <w:pPr>
        <w:pStyle w:val="Equation"/>
        <w:spacing w:before="0"/>
        <w:rPr>
          <w:rFonts w:cs="Times New Roman"/>
          <w:szCs w:val="24"/>
        </w:rPr>
      </w:pPr>
      <w:r w:rsidRPr="004A6B93">
        <w:rPr>
          <w:rFonts w:cs="Times New Roman"/>
          <w:szCs w:val="24"/>
        </w:rPr>
        <w:t>(3)</w:t>
      </w:r>
      <w:r w:rsidRPr="004A6B93">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ATT</m:t>
            </m:r>
          </m:sub>
        </m:sSub>
        <m:r>
          <w:rPr>
            <w:rFonts w:ascii="Cambria Math" w:hAnsi="Cambria Math" w:cs="Times New Roman"/>
            <w:szCs w:val="24"/>
          </w:rPr>
          <m:t>=E</m:t>
        </m:r>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1</m:t>
                </m:r>
              </m:sub>
            </m:sSub>
            <m:r>
              <w:rPr>
                <w:rFonts w:ascii="Cambria Math" w:hAnsi="Cambria Math" w:cs="Times New Roman"/>
                <w:szCs w:val="24"/>
              </w:rPr>
              <m:t>|B=1</m:t>
            </m:r>
          </m:e>
        </m:d>
        <m:r>
          <w:rPr>
            <w:rFonts w:ascii="Cambria Math" w:hAnsi="Cambria Math" w:cs="Times New Roman"/>
            <w:szCs w:val="24"/>
          </w:rPr>
          <m:t>-E</m:t>
        </m:r>
        <m:d>
          <m:dPr>
            <m:begChr m:val="["/>
            <m:endChr m:val="]"/>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0</m:t>
                </m:r>
              </m:sub>
            </m:sSub>
            <m:r>
              <w:rPr>
                <w:rFonts w:ascii="Cambria Math" w:hAnsi="Cambria Math" w:cs="Times New Roman"/>
                <w:szCs w:val="24"/>
              </w:rPr>
              <m:t>|B=1</m:t>
            </m:r>
          </m:e>
        </m:d>
      </m:oMath>
      <w:r w:rsidRPr="004A6B93">
        <w:rPr>
          <w:rFonts w:cs="Times New Roman"/>
          <w:szCs w:val="24"/>
        </w:rPr>
        <w:tab/>
      </w:r>
    </w:p>
    <w:p w14:paraId="3DD015D0" w14:textId="77777777" w:rsidR="00EC31DC" w:rsidRPr="00EC31DC" w:rsidRDefault="00EC31DC" w:rsidP="00EC31DC"/>
    <w:p w14:paraId="72E1A50D" w14:textId="77777777" w:rsidR="00EC31DC" w:rsidRPr="004A6B93" w:rsidRDefault="00EC31DC" w:rsidP="00EC31DC">
      <w:pPr>
        <w:pStyle w:val="Equation"/>
        <w:spacing w:before="0"/>
        <w:rPr>
          <w:rFonts w:cs="Times New Roman"/>
          <w:szCs w:val="24"/>
          <w:lang w:val="en-GB"/>
        </w:rPr>
      </w:pPr>
      <w:r w:rsidRPr="004A6B93">
        <w:rPr>
          <w:rFonts w:cs="Times New Roman"/>
          <w:szCs w:val="24"/>
        </w:rPr>
        <w:t>(4)</w:t>
      </w:r>
      <w:r w:rsidRPr="004A6B93">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ATT</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n</m:t>
                </m:r>
              </m:e>
              <m:sub>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HIV</m:t>
                    </m:r>
                  </m:sup>
                </m:sSup>
              </m:sub>
            </m:sSub>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n</m:t>
                </m:r>
              </m:e>
              <m:sub>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HIV</m:t>
                    </m:r>
                  </m:sup>
                </m:sSup>
              </m:sub>
            </m:sSub>
          </m:sup>
          <m:e>
            <m:f>
              <m:fPr>
                <m:ctrlPr>
                  <w:rPr>
                    <w:rFonts w:ascii="Cambria Math" w:hAnsi="Cambria Math" w:cs="Times New Roman"/>
                    <w:i/>
                    <w:szCs w:val="24"/>
                  </w:rPr>
                </m:ctrlPr>
              </m:fPr>
              <m:num>
                <m:sSub>
                  <m:sSubPr>
                    <m:ctrlPr>
                      <w:rPr>
                        <w:rFonts w:ascii="Cambria Math" w:hAnsi="Cambria Math" w:cs="Times New Roman"/>
                        <w:i/>
                        <w:szCs w:val="24"/>
                      </w:rPr>
                    </m:ctrlPr>
                  </m:sSubPr>
                  <m:e>
                    <m:r>
                      <m:rPr>
                        <m:sty m:val="p"/>
                      </m:rPr>
                      <w:rPr>
                        <w:rFonts w:ascii="Cambria Math" w:hAnsi="Cambria Math" w:cs="Times New Roman"/>
                        <w:szCs w:val="24"/>
                      </w:rPr>
                      <m:t>Φ</m:t>
                    </m:r>
                  </m:e>
                  <m:sub>
                    <m:r>
                      <w:rPr>
                        <w:rFonts w:ascii="Cambria Math" w:hAnsi="Cambria Math" w:cs="Times New Roman"/>
                        <w:szCs w:val="24"/>
                      </w:rPr>
                      <m:t>2</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 xml:space="preserve"> + γ,</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+α</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i</m:t>
                        </m:r>
                      </m:sub>
                    </m:sSub>
                    <m:r>
                      <w:rPr>
                        <w:rFonts w:ascii="Cambria Math" w:hAnsi="Cambria Math" w:cs="Times New Roman"/>
                        <w:szCs w:val="24"/>
                      </w:rPr>
                      <m:t>,ρ</m:t>
                    </m:r>
                  </m:e>
                </m:d>
                <m:r>
                  <w:rPr>
                    <w:rFonts w:ascii="Cambria Math" w:hAnsi="Cambria Math" w:cs="Times New Roman"/>
                    <w:szCs w:val="24"/>
                  </w:rPr>
                  <m:t xml:space="preserve">- </m:t>
                </m:r>
                <m:sSub>
                  <m:sSubPr>
                    <m:ctrlPr>
                      <w:rPr>
                        <w:rFonts w:ascii="Cambria Math" w:hAnsi="Cambria Math" w:cs="Times New Roman"/>
                        <w:i/>
                        <w:szCs w:val="24"/>
                      </w:rPr>
                    </m:ctrlPr>
                  </m:sSubPr>
                  <m:e>
                    <m:r>
                      <m:rPr>
                        <m:sty m:val="p"/>
                      </m:rPr>
                      <w:rPr>
                        <w:rFonts w:ascii="Cambria Math" w:hAnsi="Cambria Math" w:cs="Times New Roman"/>
                        <w:szCs w:val="24"/>
                      </w:rPr>
                      <m:t>Φ</m:t>
                    </m:r>
                  </m:e>
                  <m:sub>
                    <m:r>
                      <w:rPr>
                        <w:rFonts w:ascii="Cambria Math" w:hAnsi="Cambria Math" w:cs="Times New Roman"/>
                        <w:szCs w:val="24"/>
                      </w:rPr>
                      <m:t>2</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+α</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i</m:t>
                        </m:r>
                      </m:sub>
                    </m:sSub>
                    <m:r>
                      <w:rPr>
                        <w:rFonts w:ascii="Cambria Math" w:hAnsi="Cambria Math" w:cs="Times New Roman"/>
                        <w:szCs w:val="24"/>
                      </w:rPr>
                      <m:t>,ρ</m:t>
                    </m:r>
                  </m:e>
                </m:d>
              </m:num>
              <m:den>
                <m:r>
                  <m:rPr>
                    <m:sty m:val="p"/>
                  </m:rPr>
                  <w:rPr>
                    <w:rFonts w:ascii="Cambria Math" w:hAnsi="Cambria Math" w:cs="Times New Roman"/>
                    <w:szCs w:val="24"/>
                  </w:rPr>
                  <m:t>Φ(</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den>
            </m:f>
          </m:e>
        </m:nary>
      </m:oMath>
    </w:p>
    <w:p w14:paraId="5585D16B" w14:textId="77777777" w:rsidR="00EC31DC" w:rsidRPr="004A6B93" w:rsidRDefault="00EC31DC" w:rsidP="00EC31DC"/>
    <w:p w14:paraId="09BFCCB7" w14:textId="77777777" w:rsidR="00EC31DC" w:rsidRDefault="00EC31DC" w:rsidP="00EC31DC">
      <w:r w:rsidRPr="004A6B93">
        <w:t xml:space="preserve">The average treatment effect for the </w:t>
      </w:r>
      <m:oMath>
        <m:r>
          <w:rPr>
            <w:rFonts w:ascii="Cambria Math" w:hAnsi="Cambria Math"/>
          </w:rPr>
          <m:t xml:space="preserve">(n- </m:t>
        </m:r>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B</m:t>
                </m:r>
              </m:e>
              <m:sup>
                <m:r>
                  <w:rPr>
                    <w:rFonts w:ascii="Cambria Math" w:hAnsi="Cambria Math"/>
                  </w:rPr>
                  <m:t>HIV</m:t>
                </m:r>
              </m:sup>
            </m:sSup>
          </m:sub>
        </m:sSub>
        <m:r>
          <w:rPr>
            <w:rFonts w:ascii="Cambria Math" w:hAnsi="Cambria Math"/>
          </w:rPr>
          <m:t>)</m:t>
        </m:r>
      </m:oMath>
      <w:r w:rsidRPr="004A6B93">
        <w:t xml:space="preserve"> HIV negative individuals (ATNT) is given by:</w:t>
      </w:r>
    </w:p>
    <w:p w14:paraId="1E1D4FF7" w14:textId="77777777" w:rsidR="00EC31DC" w:rsidRPr="004A6B93" w:rsidRDefault="00EC31DC" w:rsidP="00EC31DC"/>
    <w:p w14:paraId="65917525" w14:textId="77777777" w:rsidR="00EC31DC" w:rsidRPr="004A6B93" w:rsidRDefault="00EC31DC" w:rsidP="00EC31DC">
      <w:pPr>
        <w:pStyle w:val="Equation"/>
        <w:spacing w:before="0"/>
        <w:rPr>
          <w:rFonts w:cs="Times New Roman"/>
          <w:szCs w:val="24"/>
          <w:lang w:val="en-GB"/>
        </w:rPr>
      </w:pPr>
      <w:r w:rsidRPr="004A6B93">
        <w:rPr>
          <w:rFonts w:cs="Times New Roman"/>
          <w:szCs w:val="24"/>
        </w:rPr>
        <w:t xml:space="preserve"> (5)</w:t>
      </w:r>
      <w:r w:rsidRPr="004A6B93">
        <w:rPr>
          <w:rFonts w:cs="Times New Roman"/>
          <w:szCs w:val="24"/>
        </w:rPr>
        <w:tab/>
      </w:r>
      <m:oMath>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m:t>
            </m:r>
          </m:e>
          <m:sub>
            <m:r>
              <w:rPr>
                <w:rFonts w:ascii="Cambria Math" w:eastAsia="MS Mincho" w:hAnsi="Cambria Math" w:cs="Times New Roman"/>
                <w:szCs w:val="24"/>
                <w:lang w:val="en-GB" w:eastAsia="en-GB"/>
              </w:rPr>
              <m:t>ATNT</m:t>
            </m:r>
          </m:sub>
        </m:sSub>
        <m:r>
          <w:rPr>
            <w:rFonts w:ascii="Cambria Math" w:eastAsia="MS Mincho" w:hAnsi="Cambria Math" w:cs="Times New Roman"/>
            <w:szCs w:val="24"/>
            <w:lang w:val="en-GB" w:eastAsia="en-GB"/>
          </w:rPr>
          <m:t>=E</m:t>
        </m:r>
        <m:d>
          <m:dPr>
            <m:begChr m:val="["/>
            <m:endChr m:val="]"/>
            <m:ctrlPr>
              <w:rPr>
                <w:rFonts w:ascii="Cambria Math" w:eastAsia="MS Mincho" w:hAnsi="Cambria Math" w:cs="Times New Roman"/>
                <w:i/>
                <w:szCs w:val="24"/>
                <w:lang w:val="en-GB" w:eastAsia="en-GB"/>
              </w:rPr>
            </m:ctrlPr>
          </m:dPr>
          <m:e>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Y</m:t>
                </m:r>
              </m:e>
              <m:sub>
                <m:r>
                  <w:rPr>
                    <w:rFonts w:ascii="Cambria Math" w:eastAsia="MS Mincho" w:hAnsi="Cambria Math" w:cs="Times New Roman"/>
                    <w:szCs w:val="24"/>
                    <w:lang w:val="en-GB" w:eastAsia="en-GB"/>
                  </w:rPr>
                  <m:t>1</m:t>
                </m:r>
              </m:sub>
            </m:sSub>
            <m:r>
              <w:rPr>
                <w:rFonts w:ascii="Cambria Math" w:eastAsia="MS Mincho" w:hAnsi="Cambria Math" w:cs="Times New Roman"/>
                <w:szCs w:val="24"/>
                <w:lang w:val="en-GB" w:eastAsia="en-GB"/>
              </w:rPr>
              <m:t>|B=0</m:t>
            </m:r>
          </m:e>
        </m:d>
        <m:r>
          <w:rPr>
            <w:rFonts w:ascii="Cambria Math" w:eastAsia="MS Mincho" w:hAnsi="Cambria Math" w:cs="Times New Roman"/>
            <w:szCs w:val="24"/>
            <w:lang w:val="en-GB" w:eastAsia="en-GB"/>
          </w:rPr>
          <m:t>-E</m:t>
        </m:r>
        <m:d>
          <m:dPr>
            <m:begChr m:val="["/>
            <m:endChr m:val="]"/>
            <m:ctrlPr>
              <w:rPr>
                <w:rFonts w:ascii="Cambria Math" w:eastAsia="MS Mincho" w:hAnsi="Cambria Math" w:cs="Times New Roman"/>
                <w:i/>
                <w:szCs w:val="24"/>
                <w:lang w:val="en-GB" w:eastAsia="en-GB"/>
              </w:rPr>
            </m:ctrlPr>
          </m:dPr>
          <m:e>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Y</m:t>
                </m:r>
              </m:e>
              <m:sub>
                <m:r>
                  <w:rPr>
                    <w:rFonts w:ascii="Cambria Math" w:eastAsia="MS Mincho" w:hAnsi="Cambria Math" w:cs="Times New Roman"/>
                    <w:szCs w:val="24"/>
                    <w:lang w:val="en-GB" w:eastAsia="en-GB"/>
                  </w:rPr>
                  <m:t>0</m:t>
                </m:r>
              </m:sub>
            </m:sSub>
            <m:r>
              <w:rPr>
                <w:rFonts w:ascii="Cambria Math" w:eastAsia="MS Mincho" w:hAnsi="Cambria Math" w:cs="Times New Roman"/>
                <w:szCs w:val="24"/>
                <w:lang w:val="en-GB" w:eastAsia="en-GB"/>
              </w:rPr>
              <m:t>|B=0</m:t>
            </m:r>
          </m:e>
        </m:d>
      </m:oMath>
      <w:r w:rsidRPr="004A6B93">
        <w:rPr>
          <w:rFonts w:cs="Times New Roman"/>
          <w:szCs w:val="24"/>
          <w:lang w:val="en-GB"/>
        </w:rPr>
        <w:tab/>
      </w:r>
    </w:p>
    <w:p w14:paraId="1847F20C" w14:textId="77777777" w:rsidR="00EC31DC" w:rsidRPr="004A6B93" w:rsidRDefault="00EC31DC" w:rsidP="00EC31DC">
      <w:pPr>
        <w:pStyle w:val="ListParagraph"/>
        <w:ind w:left="0"/>
      </w:pPr>
    </w:p>
    <w:p w14:paraId="1B1D7587" w14:textId="77777777" w:rsidR="00EC31DC" w:rsidRPr="004A6B93" w:rsidRDefault="00EC31DC" w:rsidP="00EC31DC">
      <w:pPr>
        <w:rPr>
          <w:lang w:val="en-GB"/>
        </w:rPr>
      </w:pPr>
      <w:r w:rsidRPr="004A6B93">
        <w:rPr>
          <w:lang w:val="en-GB"/>
        </w:rPr>
        <w:t>It can be computed by:</w:t>
      </w:r>
    </w:p>
    <w:p w14:paraId="5432743D" w14:textId="77777777" w:rsidR="00EC31DC" w:rsidRPr="004A6B93" w:rsidRDefault="00EC31DC" w:rsidP="00EC31DC">
      <w:pPr>
        <w:rPr>
          <w:lang w:val="en-GB"/>
        </w:rPr>
      </w:pPr>
    </w:p>
    <w:p w14:paraId="2EA22AD8" w14:textId="77777777" w:rsidR="00EC31DC" w:rsidRPr="004A6B93" w:rsidRDefault="00EC31DC" w:rsidP="00EC31DC">
      <w:pPr>
        <w:ind w:firstLine="0"/>
      </w:pPr>
      <w:r w:rsidRPr="004A6B93">
        <w:t>(6)</w:t>
      </w:r>
      <w:r w:rsidRPr="004A6B93">
        <w:tab/>
      </w:r>
      <m:oMath>
        <m:sSub>
          <m:sSubPr>
            <m:ctrlPr>
              <w:rPr>
                <w:rFonts w:ascii="Cambria Math" w:hAnsi="Cambria Math"/>
                <w:i/>
              </w:rPr>
            </m:ctrlPr>
          </m:sSubPr>
          <m:e>
            <m:r>
              <w:rPr>
                <w:rFonts w:ascii="Cambria Math" w:hAnsi="Cambria Math"/>
              </w:rPr>
              <m:t>∆</m:t>
            </m:r>
          </m:e>
          <m:sub>
            <m:r>
              <w:rPr>
                <w:rFonts w:ascii="Cambria Math" w:hAnsi="Cambria Math"/>
              </w:rPr>
              <m:t>ATNT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 xml:space="preserve">n- </m:t>
            </m:r>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B</m:t>
                    </m:r>
                  </m:e>
                  <m:sup>
                    <m:r>
                      <w:rPr>
                        <w:rFonts w:ascii="Cambria Math" w:hAnsi="Cambria Math"/>
                      </w:rPr>
                      <m:t>HIV</m:t>
                    </m:r>
                  </m:sup>
                </m:sSup>
              </m:sub>
            </m:sSub>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 xml:space="preserve">(n- </m:t>
            </m:r>
            <m:sSub>
              <m:sSubPr>
                <m:ctrlPr>
                  <w:rPr>
                    <w:rFonts w:ascii="Cambria Math" w:hAnsi="Cambria Math"/>
                    <w:i/>
                  </w:rPr>
                </m:ctrlPr>
              </m:sSubPr>
              <m:e>
                <m:r>
                  <w:rPr>
                    <w:rFonts w:ascii="Cambria Math" w:hAnsi="Cambria Math"/>
                  </w:rPr>
                  <m:t>n</m:t>
                </m:r>
              </m:e>
              <m:sub>
                <m:sSup>
                  <m:sSupPr>
                    <m:ctrlPr>
                      <w:rPr>
                        <w:rFonts w:ascii="Cambria Math" w:hAnsi="Cambria Math"/>
                        <w:i/>
                      </w:rPr>
                    </m:ctrlPr>
                  </m:sSupPr>
                  <m:e>
                    <m:r>
                      <w:rPr>
                        <w:rFonts w:ascii="Cambria Math" w:hAnsi="Cambria Math"/>
                      </w:rPr>
                      <m:t>B</m:t>
                    </m:r>
                  </m:e>
                  <m:sup>
                    <m:r>
                      <w:rPr>
                        <w:rFonts w:ascii="Cambria Math" w:hAnsi="Cambria Math"/>
                      </w:rPr>
                      <m:t>HIV</m:t>
                    </m:r>
                  </m:sup>
                </m:sSup>
              </m:sub>
            </m:sSub>
            <m:r>
              <w:rPr>
                <w:rFonts w:ascii="Cambria Math" w:hAnsi="Cambria Math"/>
              </w:rPr>
              <m:t>)</m:t>
            </m:r>
          </m:sup>
          <m:e>
            <m:f>
              <m:fPr>
                <m:ctrlPr>
                  <w:rPr>
                    <w:rFonts w:ascii="Cambria Math" w:hAnsi="Cambria Math"/>
                    <w:i/>
                  </w:rPr>
                </m:ctrlPr>
              </m:fPr>
              <m:num>
                <m:sSub>
                  <m:sSubPr>
                    <m:ctrlPr>
                      <w:rPr>
                        <w:rFonts w:ascii="Cambria Math" w:hAnsi="Cambria Math"/>
                        <w:i/>
                      </w:rPr>
                    </m:ctrlPr>
                  </m:sSubPr>
                  <m:e>
                    <m:r>
                      <m:rPr>
                        <m:sty m:val="p"/>
                      </m:rPr>
                      <w:rPr>
                        <w:rFonts w:ascii="Cambria Math" w:hAnsi="Cambria Math"/>
                      </w:rPr>
                      <m:t>Φ</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 γ,-(</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),ρ</m:t>
                    </m:r>
                  </m:e>
                </m:d>
                <m:r>
                  <w:rPr>
                    <w:rFonts w:ascii="Cambria Math" w:hAnsi="Cambria Math"/>
                  </w:rPr>
                  <m:t xml:space="preserve">- </m:t>
                </m:r>
                <m:sSub>
                  <m:sSubPr>
                    <m:ctrlPr>
                      <w:rPr>
                        <w:rFonts w:ascii="Cambria Math" w:hAnsi="Cambria Math"/>
                        <w:i/>
                      </w:rPr>
                    </m:ctrlPr>
                  </m:sSubPr>
                  <m:e>
                    <m:r>
                      <m:rPr>
                        <m:sty m:val="p"/>
                      </m:rPr>
                      <w:rPr>
                        <w:rFonts w:ascii="Cambria Math" w:hAnsi="Cambria Math"/>
                      </w:rPr>
                      <m:t>Φ</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+α</m:t>
                    </m:r>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),ρ</m:t>
                    </m:r>
                  </m:e>
                </m:d>
              </m:num>
              <m:den>
                <m:r>
                  <m:rPr>
                    <m:sty m:val="p"/>
                  </m:rPr>
                  <w:rPr>
                    <w:rFonts w:ascii="Cambria Math" w:hAnsi="Cambria Math"/>
                  </w:rPr>
                  <m:t>1-Φ(</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en>
            </m:f>
          </m:e>
        </m:nary>
      </m:oMath>
    </w:p>
    <w:p w14:paraId="1E525C6A" w14:textId="77777777" w:rsidR="00EC31DC" w:rsidRPr="004A6B93" w:rsidRDefault="00EC31DC" w:rsidP="00EC31DC">
      <w:pPr>
        <w:ind w:firstLine="0"/>
      </w:pPr>
    </w:p>
    <w:p w14:paraId="58B00DF9" w14:textId="77777777" w:rsidR="00EC31DC" w:rsidRDefault="00EC31DC" w:rsidP="00EC31DC">
      <w:pPr>
        <w:rPr>
          <w:lang w:val="en-GB"/>
        </w:rPr>
      </w:pPr>
      <w:r w:rsidRPr="004A6B93">
        <w:rPr>
          <w:lang w:val="en-GB"/>
        </w:rPr>
        <w:t>The ATE is given by:</w:t>
      </w:r>
    </w:p>
    <w:p w14:paraId="7514DD86" w14:textId="77777777" w:rsidR="00EC31DC" w:rsidRPr="004A6B93" w:rsidRDefault="00EC31DC" w:rsidP="00EC31DC">
      <w:pPr>
        <w:rPr>
          <w:lang w:val="en-GB"/>
        </w:rPr>
      </w:pPr>
    </w:p>
    <w:p w14:paraId="3C83563D" w14:textId="77777777" w:rsidR="00EC31DC" w:rsidRPr="004A6B93" w:rsidRDefault="00EC31DC" w:rsidP="00EC31DC">
      <w:pPr>
        <w:pStyle w:val="Equation"/>
        <w:spacing w:before="0"/>
        <w:rPr>
          <w:rFonts w:cs="Times New Roman"/>
          <w:szCs w:val="24"/>
          <w:lang w:val="en-GB"/>
        </w:rPr>
      </w:pPr>
      <w:r w:rsidRPr="004A6B93">
        <w:rPr>
          <w:rFonts w:cs="Times New Roman"/>
          <w:szCs w:val="24"/>
        </w:rPr>
        <w:t>(7)</w:t>
      </w:r>
      <w:r w:rsidRPr="004A6B93">
        <w:rPr>
          <w:rFonts w:cs="Times New Roman"/>
          <w:szCs w:val="24"/>
        </w:rPr>
        <w:tab/>
      </w:r>
      <m:oMath>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m:t>
            </m:r>
          </m:e>
          <m:sub>
            <m:r>
              <w:rPr>
                <w:rFonts w:ascii="Cambria Math" w:eastAsia="MS Mincho" w:hAnsi="Cambria Math" w:cs="Times New Roman"/>
                <w:szCs w:val="24"/>
                <w:lang w:val="en-GB" w:eastAsia="en-GB"/>
              </w:rPr>
              <m:t>ATE</m:t>
            </m:r>
          </m:sub>
        </m:sSub>
        <m:r>
          <w:rPr>
            <w:rFonts w:ascii="Cambria Math" w:eastAsia="MS Mincho" w:hAnsi="Cambria Math" w:cs="Times New Roman"/>
            <w:szCs w:val="24"/>
            <w:lang w:val="en-GB" w:eastAsia="en-GB"/>
          </w:rPr>
          <m:t>=E</m:t>
        </m:r>
        <m:d>
          <m:dPr>
            <m:begChr m:val="["/>
            <m:endChr m:val="]"/>
            <m:ctrlPr>
              <w:rPr>
                <w:rFonts w:ascii="Cambria Math" w:eastAsia="MS Mincho" w:hAnsi="Cambria Math" w:cs="Times New Roman"/>
                <w:i/>
                <w:szCs w:val="24"/>
                <w:lang w:val="en-GB" w:eastAsia="en-GB"/>
              </w:rPr>
            </m:ctrlPr>
          </m:dPr>
          <m:e>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Y</m:t>
                </m:r>
              </m:e>
              <m:sub>
                <m:r>
                  <w:rPr>
                    <w:rFonts w:ascii="Cambria Math" w:eastAsia="MS Mincho" w:hAnsi="Cambria Math" w:cs="Times New Roman"/>
                    <w:szCs w:val="24"/>
                    <w:lang w:val="en-GB" w:eastAsia="en-GB"/>
                  </w:rPr>
                  <m:t>1</m:t>
                </m:r>
              </m:sub>
            </m:sSub>
          </m:e>
        </m:d>
        <m:r>
          <w:rPr>
            <w:rFonts w:ascii="Cambria Math" w:eastAsia="MS Mincho" w:hAnsi="Cambria Math" w:cs="Times New Roman"/>
            <w:szCs w:val="24"/>
            <w:lang w:val="en-GB" w:eastAsia="en-GB"/>
          </w:rPr>
          <m:t>-E</m:t>
        </m:r>
        <m:d>
          <m:dPr>
            <m:begChr m:val="["/>
            <m:endChr m:val="]"/>
            <m:ctrlPr>
              <w:rPr>
                <w:rFonts w:ascii="Cambria Math" w:eastAsia="MS Mincho" w:hAnsi="Cambria Math" w:cs="Times New Roman"/>
                <w:i/>
                <w:szCs w:val="24"/>
                <w:lang w:val="en-GB" w:eastAsia="en-GB"/>
              </w:rPr>
            </m:ctrlPr>
          </m:dPr>
          <m:e>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Y</m:t>
                </m:r>
              </m:e>
              <m:sub>
                <m:r>
                  <w:rPr>
                    <w:rFonts w:ascii="Cambria Math" w:eastAsia="MS Mincho" w:hAnsi="Cambria Math" w:cs="Times New Roman"/>
                    <w:szCs w:val="24"/>
                    <w:lang w:val="en-GB" w:eastAsia="en-GB"/>
                  </w:rPr>
                  <m:t>0</m:t>
                </m:r>
              </m:sub>
            </m:sSub>
          </m:e>
        </m:d>
      </m:oMath>
    </w:p>
    <w:p w14:paraId="1590460B" w14:textId="77777777" w:rsidR="00EC31DC" w:rsidRPr="004A6B93" w:rsidRDefault="00EC31DC" w:rsidP="00EC31DC"/>
    <w:p w14:paraId="5ADBCC57" w14:textId="77777777" w:rsidR="00EC31DC" w:rsidRDefault="00EC31DC" w:rsidP="00EC31DC">
      <w:pPr>
        <w:rPr>
          <w:lang w:val="en-GB"/>
        </w:rPr>
      </w:pPr>
      <w:r w:rsidRPr="004A6B93">
        <w:rPr>
          <w:lang w:val="en-GB"/>
        </w:rPr>
        <w:t>It can be computed by taking the proportion of HIV negative individuals in the sample multiplied by the ATNT and adding that to the proportion of HIV positive individuals in the sample multiplies by the ATT, such that:</w:t>
      </w:r>
    </w:p>
    <w:p w14:paraId="3D3B1639" w14:textId="77777777" w:rsidR="00EC31DC" w:rsidRPr="004A6B93" w:rsidRDefault="00EC31DC" w:rsidP="00EC31DC">
      <w:pPr>
        <w:rPr>
          <w:lang w:val="en-GB"/>
        </w:rPr>
      </w:pPr>
    </w:p>
    <w:p w14:paraId="1ED062C6" w14:textId="77777777" w:rsidR="00EC31DC" w:rsidRPr="004A6B93" w:rsidRDefault="00EC31DC" w:rsidP="00EC31DC">
      <w:pPr>
        <w:pStyle w:val="Equation"/>
        <w:spacing w:before="0"/>
        <w:rPr>
          <w:rFonts w:cs="Times New Roman"/>
          <w:szCs w:val="24"/>
          <w:lang w:val="en-GB"/>
        </w:rPr>
      </w:pPr>
      <w:r w:rsidRPr="004A6B93">
        <w:rPr>
          <w:rFonts w:cs="Times New Roman"/>
          <w:szCs w:val="24"/>
        </w:rPr>
        <w:t>(8)</w:t>
      </w:r>
      <w:r w:rsidRPr="004A6B93">
        <w:rPr>
          <w:rFonts w:cs="Times New Roman"/>
          <w:szCs w:val="24"/>
        </w:rPr>
        <w:tab/>
      </w:r>
      <m:oMath>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ATE</m:t>
            </m:r>
          </m:sub>
        </m:sSub>
        <m:r>
          <w:rPr>
            <w:rFonts w:ascii="Cambria Math" w:hAnsi="Cambria Math" w:cs="Times New Roman"/>
            <w:szCs w:val="24"/>
          </w:rPr>
          <m:t xml:space="preserve">= </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HIV</m:t>
                    </m:r>
                  </m:sup>
                </m:sSup>
              </m:sub>
            </m:sSub>
          </m:num>
          <m:den>
            <m:r>
              <w:rPr>
                <w:rFonts w:ascii="Cambria Math" w:hAnsi="Cambria Math" w:cs="Times New Roman"/>
                <w:szCs w:val="24"/>
              </w:rPr>
              <m:t xml:space="preserve"> n</m:t>
            </m:r>
          </m:den>
        </m:f>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ATT</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 xml:space="preserve">n- </m:t>
            </m:r>
            <m:sSub>
              <m:sSubPr>
                <m:ctrlPr>
                  <w:rPr>
                    <w:rFonts w:ascii="Cambria Math" w:hAnsi="Cambria Math" w:cs="Times New Roman"/>
                    <w:i/>
                    <w:szCs w:val="24"/>
                  </w:rPr>
                </m:ctrlPr>
              </m:sSubPr>
              <m:e>
                <m:r>
                  <w:rPr>
                    <w:rFonts w:ascii="Cambria Math" w:hAnsi="Cambria Math" w:cs="Times New Roman"/>
                    <w:szCs w:val="24"/>
                  </w:rPr>
                  <m:t>n</m:t>
                </m:r>
              </m:e>
              <m:sub>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HIV</m:t>
                    </m:r>
                  </m:sup>
                </m:sSup>
              </m:sub>
            </m:sSub>
          </m:num>
          <m:den>
            <m:r>
              <w:rPr>
                <w:rFonts w:ascii="Cambria Math" w:hAnsi="Cambria Math" w:cs="Times New Roman"/>
                <w:szCs w:val="24"/>
              </w:rPr>
              <m:t>n</m:t>
            </m:r>
          </m:den>
        </m:f>
        <m:sSub>
          <m:sSubPr>
            <m:ctrlPr>
              <w:rPr>
                <w:rFonts w:ascii="Cambria Math" w:hAnsi="Cambria Math" w:cs="Times New Roman"/>
                <w:i/>
                <w:szCs w:val="24"/>
              </w:rPr>
            </m:ctrlPr>
          </m:sSubPr>
          <m:e>
            <m:r>
              <w:rPr>
                <w:rFonts w:ascii="Cambria Math" w:hAnsi="Cambria Math" w:cs="Times New Roman"/>
                <w:szCs w:val="24"/>
              </w:rPr>
              <m:t>∆</m:t>
            </m:r>
          </m:e>
          <m:sub>
            <m:r>
              <w:rPr>
                <w:rFonts w:ascii="Cambria Math" w:hAnsi="Cambria Math" w:cs="Times New Roman"/>
                <w:szCs w:val="24"/>
              </w:rPr>
              <m:t>ATNT</m:t>
            </m:r>
          </m:sub>
        </m:sSub>
      </m:oMath>
    </w:p>
    <w:p w14:paraId="3B6A0625" w14:textId="77777777" w:rsidR="00EC31DC" w:rsidRPr="004A6B93" w:rsidRDefault="00EC31DC" w:rsidP="00EC31DC">
      <w:pPr>
        <w:rPr>
          <w:lang w:val="en-GB"/>
        </w:rPr>
      </w:pPr>
    </w:p>
    <w:p w14:paraId="6D7A8677" w14:textId="77777777" w:rsidR="00C20CFD" w:rsidRDefault="00EC31DC" w:rsidP="00C20CFD">
      <w:pPr>
        <w:rPr>
          <w:lang w:val="en-GB"/>
        </w:rPr>
      </w:pPr>
      <w:r w:rsidRPr="004A6B93">
        <w:rPr>
          <w:lang w:val="en-GB"/>
        </w:rPr>
        <w:t>Where observable characteristics that affect employment differ between HIV positive and HIV negative individuals, in a non-linear model the treatment effects for treated individuals may differ from the average treatment effect for the full sample.  The ATT better reflects the transmission process of HIV, where newly infected individuals are more likely to be similar to the treatment group (i.e., those already HIV positive) in the analysis, rather than a random draw from the population.</w:t>
      </w:r>
    </w:p>
    <w:p w14:paraId="108578F2" w14:textId="77777777" w:rsidR="006773BE" w:rsidRPr="006773BE" w:rsidRDefault="006773BE" w:rsidP="00C20CFD">
      <w:pPr>
        <w:ind w:firstLine="0"/>
        <w:rPr>
          <w:lang w:val="en-GB"/>
        </w:rPr>
      </w:pPr>
    </w:p>
    <w:p w14:paraId="6B7D9D2D" w14:textId="77777777" w:rsidR="00246E69" w:rsidRDefault="00C20CFD" w:rsidP="00C20CFD">
      <w:pPr>
        <w:ind w:firstLine="0"/>
        <w:rPr>
          <w:lang w:val="en-GB"/>
        </w:rPr>
      </w:pPr>
      <w:r w:rsidRPr="00C20CFD">
        <w:rPr>
          <w:i/>
          <w:lang w:val="en-GB"/>
        </w:rPr>
        <w:t>3.</w:t>
      </w:r>
      <w:r w:rsidR="00A31E36">
        <w:rPr>
          <w:i/>
          <w:lang w:val="en-GB"/>
        </w:rPr>
        <w:t>4</w:t>
      </w:r>
      <w:r w:rsidRPr="00C20CFD">
        <w:rPr>
          <w:i/>
          <w:lang w:val="en-GB"/>
        </w:rPr>
        <w:t>.</w:t>
      </w:r>
      <w:r>
        <w:rPr>
          <w:lang w:val="en-GB"/>
        </w:rPr>
        <w:t xml:space="preserve"> </w:t>
      </w:r>
      <w:r w:rsidR="00246E69">
        <w:rPr>
          <w:i/>
        </w:rPr>
        <w:t xml:space="preserve">The </w:t>
      </w:r>
      <w:r w:rsidR="00D92D93">
        <w:rPr>
          <w:i/>
        </w:rPr>
        <w:t>instrumental variable</w:t>
      </w:r>
    </w:p>
    <w:p w14:paraId="4D03A934" w14:textId="77777777" w:rsidR="00A81816" w:rsidRDefault="00246E69" w:rsidP="00246E69">
      <w:pPr>
        <w:ind w:firstLine="204"/>
        <w:jc w:val="left"/>
      </w:pPr>
      <w:r>
        <w:t xml:space="preserve">The instrument, male circumcision, has precedent within the literature and has been used by </w:t>
      </w:r>
      <w:r w:rsidR="005D7F89">
        <w:fldChar w:fldCharType="begin" w:fldLock="1"/>
      </w:r>
      <w:r w:rsidR="0026353B">
        <w:instrText>ADDIN CSL_CITATION { "citationItems" : [ { "id" : "ITEM-1", "itemData" : { "author" : [ { "dropping-particle" : "", "family" : "Marinescu", "given" : "Ioana Elena", "non-dropping-particle" : "", "parse-names" : false, "suffix" : "" } ], "container-title" : "Journal of health economics", "id" : "ITEM-1", "issued" : { "date-parts" : [ [ "2014" ] ] }, "page" : "181-97", "title" : "HIV, wages, and the skill premium", "type" : "article-journal", "volume" : "37" }, "uris" : [ "http://www.mendeley.com/documents/?uuid=694d04ae-45c8-489a-b24a-88237cb10fef" ] } ], "mendeley" : { "formattedCitation" : "(Marinescu 2014)", "manualFormatting" : "Marinescu (2014)", "plainTextFormattedCitation" : "(Marinescu 2014)", "previouslyFormattedCitation" : "(Marinescu 2014)" }, "properties" : { "noteIndex" : 0 }, "schema" : "https://github.com/citation-style-language/schema/raw/master/csl-citation.json" }</w:instrText>
      </w:r>
      <w:r w:rsidR="005D7F89">
        <w:fldChar w:fldCharType="separate"/>
      </w:r>
      <w:r w:rsidR="00856A3E" w:rsidRPr="00856A3E">
        <w:rPr>
          <w:noProof/>
        </w:rPr>
        <w:t xml:space="preserve">Marinescu </w:t>
      </w:r>
      <w:r w:rsidR="00856A3E">
        <w:rPr>
          <w:noProof/>
        </w:rPr>
        <w:t>(</w:t>
      </w:r>
      <w:r w:rsidR="00856A3E" w:rsidRPr="00856A3E">
        <w:rPr>
          <w:noProof/>
        </w:rPr>
        <w:t>2014)</w:t>
      </w:r>
      <w:r w:rsidR="005D7F89">
        <w:fldChar w:fldCharType="end"/>
      </w:r>
      <w:r>
        <w:t>, who</w:t>
      </w:r>
      <w:r w:rsidRPr="00820ADE">
        <w:t xml:space="preserve"> finds there to be no correlation between male circumcision and major determinants of wages and human capital and </w:t>
      </w:r>
      <w:r w:rsidR="005D7F89">
        <w:fldChar w:fldCharType="begin" w:fldLock="1"/>
      </w:r>
      <w:r w:rsidR="0026353B">
        <w:instrText>ADDIN CSL_CITATION { "citationItems" : [ { "id" : "ITEM-1", "itemData" : { "author" : [ { "dropping-particle" : "", "family" : "Ahuja", "given" : "Amrita", "non-dropping-particle" : "", "parse-names" : false, "suffix" : "" }, { "dropping-particle" : "", "family" : "Wendell", "given" : "Brian", "non-dropping-particle" : "", "parse-names" : false, "suffix" : "" }, { "dropping-particle" : "", "family" : "Werker", "given" : "Eric", "non-dropping-particle" : "", "parse-names" : false, "suffix" : "" } ], "id" : "ITEM-1", "issued" : { "date-parts" : [ [ "2009" ] ] }, "publisher-place" : "Boston", "title" : "Male circumcision and AIDS: the macroeconomic impact of a health crisis", "type" : "report" }, "uris" : [ "http://www.mendeley.com/documents/?uuid=13091ad6-1684-4d0d-8e56-4d51359dc2e3" ] } ], "mendeley" : { "formattedCitation" : "(Ahuja et al. 2009)", "manualFormatting" : "Ahuja et al. (2009)", "plainTextFormattedCitation" : "(Ahuja et al. 2009)", "previouslyFormattedCitation" : "(Ahuja et al. 2009)" }, "properties" : { "noteIndex" : 0 }, "schema" : "https://github.com/citation-style-language/schema/raw/master/csl-citation.json" }</w:instrText>
      </w:r>
      <w:r w:rsidR="005D7F89">
        <w:fldChar w:fldCharType="separate"/>
      </w:r>
      <w:r w:rsidR="00856A3E" w:rsidRPr="00856A3E">
        <w:rPr>
          <w:noProof/>
        </w:rPr>
        <w:t xml:space="preserve">Ahuja et al. </w:t>
      </w:r>
      <w:r w:rsidR="00856A3E">
        <w:rPr>
          <w:noProof/>
        </w:rPr>
        <w:t>(</w:t>
      </w:r>
      <w:r w:rsidR="00856A3E" w:rsidRPr="00856A3E">
        <w:rPr>
          <w:noProof/>
        </w:rPr>
        <w:t>2009)</w:t>
      </w:r>
      <w:r w:rsidR="005D7F89">
        <w:fldChar w:fldCharType="end"/>
      </w:r>
      <w:r>
        <w:t xml:space="preserve"> who</w:t>
      </w:r>
      <w:r w:rsidRPr="00820ADE">
        <w:t xml:space="preserve"> show that neither country-level income or life expectancy are related to male circumcision rate.</w:t>
      </w:r>
      <w:r>
        <w:t xml:space="preserve">  </w:t>
      </w:r>
      <w:r w:rsidR="00E656F8">
        <w:t xml:space="preserve">It also forms a component of the instrument used by </w:t>
      </w:r>
      <w:r w:rsidR="005D7F89">
        <w:fldChar w:fldCharType="begin" w:fldLock="1"/>
      </w:r>
      <w:r w:rsidR="0026353B">
        <w:instrText>ADDIN CSL_CITATION { "citationItems" : [ { "id" : "ITEM-1", "itemData" : { "author" : [ { "dropping-particle" : "", "family" : "McKelvey", "given" : "Christopher", "non-dropping-particle" : "", "parse-names" : false, "suffix" : "" } ], "id" : "ITEM-1", "issued" : { "date-parts" : [ [ "2010" ] ] }, "title" : "Circumcision and the Labor Market Consequences of HIV in Developing Countries", "type" : "report" }, "uris" : [ "http://www.mendeley.com/documents/?uuid=3312bd80-5760-4e08-b780-f99a9225159b" ] } ], "mendeley" : { "formattedCitation" : "(McKelvey 2010)", "manualFormatting" : "McKelvey (2010)", "plainTextFormattedCitation" : "(McKelvey 2010)", "previouslyFormattedCitation" : "(McKelvey 2010)" }, "properties" : { "noteIndex" : 0 }, "schema" : "https://github.com/citation-style-language/schema/raw/master/csl-citation.json" }</w:instrText>
      </w:r>
      <w:r w:rsidR="005D7F89">
        <w:fldChar w:fldCharType="separate"/>
      </w:r>
      <w:r w:rsidR="006D42AF" w:rsidRPr="00856A3E">
        <w:rPr>
          <w:noProof/>
        </w:rPr>
        <w:t xml:space="preserve">McKelvey </w:t>
      </w:r>
      <w:r w:rsidR="006D42AF">
        <w:rPr>
          <w:noProof/>
        </w:rPr>
        <w:t>(</w:t>
      </w:r>
      <w:r w:rsidR="006D42AF" w:rsidRPr="00856A3E">
        <w:rPr>
          <w:noProof/>
        </w:rPr>
        <w:t>2010)</w:t>
      </w:r>
      <w:r w:rsidR="005D7F89">
        <w:fldChar w:fldCharType="end"/>
      </w:r>
      <w:r w:rsidR="006D42AF">
        <w:t>.</w:t>
      </w:r>
    </w:p>
    <w:p w14:paraId="207F126C" w14:textId="77777777" w:rsidR="00C20CFD" w:rsidRDefault="00DD4425" w:rsidP="00C20CFD">
      <w:pPr>
        <w:ind w:firstLine="204"/>
        <w:jc w:val="left"/>
      </w:pPr>
      <w:r w:rsidRPr="00D57587">
        <w:t>In 2007, the WHO began to recommend</w:t>
      </w:r>
      <w:r w:rsidR="00A035E8">
        <w:t xml:space="preserve"> male circumcision</w:t>
      </w:r>
      <w:r w:rsidRPr="00D57587">
        <w:t xml:space="preserve"> as a partial prevention against HIV infection on the back of strong evidence from randomized controlled trials </w:t>
      </w:r>
      <w:r w:rsidR="00420898">
        <w:fldChar w:fldCharType="begin" w:fldLock="1"/>
      </w:r>
      <w:r w:rsidR="00420898">
        <w:instrText>ADDIN CSL_CITATION { "citationItems" : [ { "id" : "ITEM-1", "itemData" : { "URL" : "http://www.who.int/hiv/mediacentre/news68/en/", "accessed" : { "date-parts" : [ [ "2016", "4", "19" ] ] }, "author" : [ { "dropping-particle" : "", "family" : "WHO", "given" : "", "non-dropping-particle" : "", "parse-names" : false, "suffix" : "" } ], "id" : "ITEM-1", "issued" : { "date-parts" : [ [ "2007" ] ] }, "publisher" : "World Health Organization", "title" : "WHO and UNAIDS announce recommendations from expert consultation on male circumcision for HIV prevention", "type" : "webpage" }, "uris" : [ "http://www.mendeley.com/documents/?uuid=73794bd9-e096-42d4-b077-e40a595e5772" ] } ], "mendeley" : { "formattedCitation" : "(WHO 2007)", "plainTextFormattedCitation" : "(WHO 2007)", "previouslyFormattedCitation" : "(WHO 2007)" }, "properties" : { "noteIndex" : 0 }, "schema" : "https://github.com/citation-style-language/schema/raw/master/csl-citation.json" }</w:instrText>
      </w:r>
      <w:r w:rsidR="00420898">
        <w:fldChar w:fldCharType="separate"/>
      </w:r>
      <w:r w:rsidR="00420898" w:rsidRPr="00420898">
        <w:rPr>
          <w:noProof/>
        </w:rPr>
        <w:t>(WHO 2007)</w:t>
      </w:r>
      <w:r w:rsidR="00420898">
        <w:fldChar w:fldCharType="end"/>
      </w:r>
      <w:r w:rsidRPr="00D57587">
        <w:t xml:space="preserve">.  It has been argued that after this time, men who were more educated or more able to access and afford the procedure were more likely to have it performed (McKelvey 2010).  </w:t>
      </w:r>
      <w:r w:rsidR="00A035E8">
        <w:t xml:space="preserve">Contrary to this, recent evidence from Malawi, where individuals were randomized to receive or not receive information about the preventative effects of circumcision against HIV, found no evidence that individuals or parents of individuals altered their behavior on the back of this information </w:t>
      </w:r>
      <w:r w:rsidR="005D7F89">
        <w:fldChar w:fldCharType="begin" w:fldLock="1"/>
      </w:r>
      <w:r w:rsidR="0026353B">
        <w:instrText>ADDIN CSL_CITATION { "citationItems" : [ { "id" : "ITEM-1", "itemData" : { "DOI" : "10.1162/REST_a_00516", "ISSN" : "0034-6535", "abstract" : "Abstract Understanding behavioral responses to changes in actual or perceived risk is important because risk-reduction goals can be undermined by risk-compensating behavior. This paper examines the response to new information about the risk of HIV infection. Approximately 1,200 circumcised and uncircumcised men in rural Malawi are randomly informed that male circumcision reduces the HIV transmission rate, predicting asymmetric behavioral responses. We find no evidence that the information induces circumcised men to engage in riskier sex while uncircumcised men practice safer sex in response to the information. There were no significant effects of the information on child circumcisions after one year.", "author" : [ { "dropping-particle" : "", "family" : "Godlonton", "given" : "Susan", "non-dropping-particle" : "", "parse-names" : false, "suffix" : "" }, { "dropping-particle" : "", "family" : "Munthali", "given" : "Alister", "non-dropping-particle" : "", "parse-names" : false, "suffix" : "" }, { "dropping-particle" : "", "family" : "Thornton", "given" : "Rebecca", "non-dropping-particle" : "", "parse-names" : false, "suffix" : "" } ], "container-title" : "Review of Economics and Statistics", "id" : "ITEM-1", "issue" : "2", "issued" : { "date-parts" : [ [ "2016", "5", "21" ] ] }, "language" : "en", "page" : "333-349", "publisher" : "The MIT Press", "title" : "Responding to Risk: Circumcision, Information, and HIV Prevention", "type" : "article-journal", "volume" : "98" }, "uris" : [ "http://www.mendeley.com/documents/?uuid=57381b92-30ab-4483-8ae5-3813a9a86435" ] } ], "mendeley" : { "formattedCitation" : "(Godlonton et al. 2016)", "plainTextFormattedCitation" : "(Godlonton et al. 2016)", "previouslyFormattedCitation" : "(Godlonton et al. 2016)" }, "properties" : { "noteIndex" : 0 }, "schema" : "https://github.com/citation-style-language/schema/raw/master/csl-citation.json" }</w:instrText>
      </w:r>
      <w:r w:rsidR="005D7F89">
        <w:fldChar w:fldCharType="separate"/>
      </w:r>
      <w:r w:rsidR="00FA090D" w:rsidRPr="00FA090D">
        <w:rPr>
          <w:noProof/>
        </w:rPr>
        <w:t>(Godlonton et al. 2016)</w:t>
      </w:r>
      <w:r w:rsidR="005D7F89">
        <w:fldChar w:fldCharType="end"/>
      </w:r>
      <w:r w:rsidR="00A035E8">
        <w:t xml:space="preserve">.   </w:t>
      </w:r>
      <w:r>
        <w:t>To test this</w:t>
      </w:r>
      <w:r w:rsidR="0055064B">
        <w:t xml:space="preserve"> in our sample</w:t>
      </w:r>
      <w:r>
        <w:t>, sensitivity analyses where first all men circumcised as adults and second all men circumcised after 2006 were eliminated from the sample are also conducted.</w:t>
      </w:r>
      <w:r w:rsidR="0055064B">
        <w:t xml:space="preserve">  T</w:t>
      </w:r>
      <w:r w:rsidR="00246E69" w:rsidRPr="00D57587">
        <w:t xml:space="preserve">o address the possibility that socioeconomic status is correlated with both circumcision and employment, circumcision was regressed against wealth and the vector of controls, and the coefficient was </w:t>
      </w:r>
      <w:r w:rsidR="003C0CBF">
        <w:t xml:space="preserve">not found to be </w:t>
      </w:r>
      <w:r w:rsidR="00246E69" w:rsidRPr="00D57587">
        <w:t>significant (p=0.</w:t>
      </w:r>
      <w:r w:rsidR="00A72CCD" w:rsidRPr="00D57587">
        <w:t>1</w:t>
      </w:r>
      <w:r w:rsidR="00A72CCD">
        <w:t>92</w:t>
      </w:r>
      <w:r w:rsidR="00246E69" w:rsidRPr="00D57587">
        <w:t xml:space="preserve">).  Additionally, in a 2010 cross-sectional study on awareness of male circumcision for HIV prevention in Uganda, </w:t>
      </w:r>
      <w:r w:rsidR="005D7F89">
        <w:fldChar w:fldCharType="begin" w:fldLock="1"/>
      </w:r>
      <w:r w:rsidR="0026353B">
        <w:instrText>ADDIN CSL_CITATION { "citationItems" : [ { "id" : "ITEM-1", "itemData" : { "DOI" : "10.1186/1471-2458-10-209", "ISSN" : "1471-2458", "abstract" : "Medical male circumcision is now part of a comprehensive approach to HIV prevention. It has been shown that awareness of the protective effect of male circumcision leads to high acceptability towards the introduction of medical male circumcision services within countries. The objective of this survey was to identify factors determining awareness of male circumcision for HIV prevention.We interviewed 452 participants (267 adults &gt;24 years of age; 185 youths 14-24 years) living in three rural Ugandan districts in 2008. Using a standardized questionnaire, we assessed socio-demographic parameters, awareness of MC for HIV prevention, general beliefs/attitudes regarding MC and MC status. Determinants for awareness of MC for HIV prevention were examined with multiple logistic regression models.Out of all adults, 52.1% were male (mean \u00b1 SD age 39.8 \u00b1 11 years), of whom 39.1% reported to be circumcised. Out of all youths, 58.4% were male (18.4 \u00b1 2.5), 35.0% circumcised.Adults were more aware of MC for HIV prevention than youths (87.1% vs. 76.5%; p = 0.004). In adults, awareness was increased with higher educational level compared to no school: primary school (adjusted OR 9.32; 95%CI 1.80-48.11), secondary (5.04; 1.01-25.25), tertiary (9.91; 0.76-129.18), university education (8.03; 0.59-109.95). Younger age and male sex were further significant determinants of increased awareness, but not marital status, religion, district, ethnicity, employment status, and circumcision status. In youths, we found a borderline statistically significant decrease of awareness of MC for HIV prevention with higher educational level, but not with any other socio-demographic factors.Particularly Ugandans with low education, youths, and women, playing an important role in decision-making of MC for their partners and sons, should be increasingly targeted by information campaigns about positive health effects of MC.", "author" : [ { "dropping-particle" : "", "family" : "Wilcken", "given" : "Andrea", "non-dropping-particle" : "", "parse-names" : false, "suffix" : "" }, { "dropping-particle" : "", "family" : "Miiro-Nakayima", "given" : "Flavia", "non-dropping-particle" : "", "parse-names" : false, "suffix" : "" }, { "dropping-particle" : "", "family" : "Hizaamu", "given" : "Ramadhan NB", "non-dropping-particle" : "", "parse-names" : false, "suffix" : "" }, { "dropping-particle" : "", "family" : "Keil", "given" : "Thomas", "non-dropping-particle" : "", "parse-names" : false, "suffix" : "" }, { "dropping-particle" : "", "family" : "Balaba-Byansi", "given" : "Dorothy", "non-dropping-particle" : "", "parse-names" : false, "suffix" : "" } ], "container-title" : "BMC Public Health", "id" : "ITEM-1", "issue" : "1", "issued" : { "date-parts" : [ [ "2010", "4", "26" ] ] }, "language" : "En", "page" : "209", "publisher" : "BioMed Central", "title" : "Male circumcision for HIV prevention - a cross-sectional study on awareness among young people and adults in rural Uganda", "type" : "article-journal", "volume" : "10" }, "uris" : [ "http://www.mendeley.com/documents/?uuid=78f8d20b-a2ed-44fa-b768-381668643a22" ] } ], "mendeley" : { "formattedCitation" : "(Wilcken et al. 2010)", "manualFormatting" : "Wilcken et al. (2010)", "plainTextFormattedCitation" : "(Wilcken et al. 2010)", "previouslyFormattedCitation" : "(Wilcken et al. 2010)" }, "properties" : { "noteIndex" : 0 }, "schema" : "https://github.com/citation-style-language/schema/raw/master/csl-citation.json" }</w:instrText>
      </w:r>
      <w:r w:rsidR="005D7F89">
        <w:fldChar w:fldCharType="separate"/>
      </w:r>
      <w:r w:rsidR="006D42AF" w:rsidRPr="006D42AF">
        <w:rPr>
          <w:noProof/>
        </w:rPr>
        <w:t xml:space="preserve">Wilcken et al. </w:t>
      </w:r>
      <w:r w:rsidR="006D42AF">
        <w:rPr>
          <w:noProof/>
        </w:rPr>
        <w:t>(</w:t>
      </w:r>
      <w:r w:rsidR="006D42AF" w:rsidRPr="006D42AF">
        <w:rPr>
          <w:noProof/>
        </w:rPr>
        <w:t>2010)</w:t>
      </w:r>
      <w:r w:rsidR="005D7F89">
        <w:fldChar w:fldCharType="end"/>
      </w:r>
      <w:r w:rsidR="00246E69" w:rsidRPr="00D57587">
        <w:t xml:space="preserve"> found that although youth are concerned with the cost and accessibility of circumcision services, adults, who are the primary decision-makers around the circumcision of their younger</w:t>
      </w:r>
      <w:r w:rsidR="00C20CFD">
        <w:t xml:space="preserve"> male family members, were not</w:t>
      </w:r>
      <w:r w:rsidR="00246E69" w:rsidRPr="00D57587">
        <w:t xml:space="preserve">.  </w:t>
      </w:r>
    </w:p>
    <w:p w14:paraId="45F28D9B" w14:textId="77777777" w:rsidR="00C20CFD" w:rsidRDefault="00C20CFD" w:rsidP="00C20CFD">
      <w:pPr>
        <w:ind w:firstLine="0"/>
        <w:jc w:val="left"/>
      </w:pPr>
    </w:p>
    <w:p w14:paraId="052F3B05" w14:textId="77777777" w:rsidR="00F1144B" w:rsidRPr="00C20CFD" w:rsidRDefault="00F1144B" w:rsidP="00F1144B">
      <w:pPr>
        <w:ind w:firstLine="0"/>
        <w:rPr>
          <w:i/>
          <w:lang w:val="en-GB"/>
        </w:rPr>
      </w:pPr>
      <w:r w:rsidRPr="00C20CFD">
        <w:rPr>
          <w:i/>
          <w:lang w:val="en-GB"/>
        </w:rPr>
        <w:t>3.</w:t>
      </w:r>
      <w:r>
        <w:rPr>
          <w:i/>
          <w:lang w:val="en-GB"/>
        </w:rPr>
        <w:t>5.</w:t>
      </w:r>
      <w:r w:rsidRPr="00C20CFD">
        <w:rPr>
          <w:i/>
          <w:lang w:val="en-GB"/>
        </w:rPr>
        <w:t xml:space="preserve"> Control variables</w:t>
      </w:r>
    </w:p>
    <w:p w14:paraId="7FF7DBC5" w14:textId="77777777" w:rsidR="00F1144B" w:rsidRPr="00C20CFD" w:rsidRDefault="00F1144B" w:rsidP="00F1144B">
      <w:pPr>
        <w:pStyle w:val="NormalNoIndent"/>
        <w:ind w:firstLine="202"/>
        <w:rPr>
          <w:lang w:val="en-GB"/>
        </w:rPr>
      </w:pPr>
      <w:r w:rsidRPr="00A3585F">
        <w:t>Variables that may affect both employment and HIV status are controlled for.  Following</w:t>
      </w:r>
      <w:r w:rsidR="00420898">
        <w:t xml:space="preserve"> </w:t>
      </w:r>
      <w:r w:rsidR="00420898">
        <w:fldChar w:fldCharType="begin" w:fldLock="1"/>
      </w:r>
      <w:r w:rsidR="00420898">
        <w:instrText>ADDIN CSL_CITATION { "citationItems" : [ { "id" : "ITEM-1", "itemData" : { "DOI" : "10.1016/j.labeco.2006.02.008", "ISSN" : "09275371", "abstract" : "Using data from two rounds of the Health Survey for England I investigate the impact of obesity on employment. I use three approaches: a univariate probit model; propensity score matching; and IV regression using a recursive bivariate probit model. Conditional on a comprehensive set of covariates, the findings show that obesity has a statistically significant and negative effect on employment in both males and females. In males the endogeneity of obesity does not significantly affect the estimates, and the magnitude of effect is similar across the three methods. In females, failure to account for endogeneity leads to underestimation of the negative impact of obesity on employment.", "author" : [ { "dropping-particle" : "", "family" : "Morris", "given" : "Stephen", "non-dropping-particle" : "", "parse-names" : false, "suffix" : "" } ], "container-title" : "Labour Economics", "id" : "ITEM-1", "issue" : "3", "issued" : { "date-parts" : [ [ "2007", "6" ] ] }, "page" : "413-433", "title" : "The impact of obesity on employment", "type" : "article-journal", "volume" : "14" }, "uris" : [ "http://www.mendeley.com/documents/?uuid=c2540dbc-7a6c-4478-ac28-7716ceb51bcf" ] } ], "mendeley" : { "formattedCitation" : "(Morris 2007)", "manualFormatting" : "Morris (2007)", "plainTextFormattedCitation" : "(Morris 2007)", "previouslyFormattedCitation" : "(Morris 2007)" }, "properties" : { "noteIndex" : 0 }, "schema" : "https://github.com/citation-style-language/schema/raw/master/csl-citation.json" }</w:instrText>
      </w:r>
      <w:r w:rsidR="00420898">
        <w:fldChar w:fldCharType="separate"/>
      </w:r>
      <w:r w:rsidR="00420898" w:rsidRPr="00420898">
        <w:rPr>
          <w:noProof/>
        </w:rPr>
        <w:t xml:space="preserve">Morris </w:t>
      </w:r>
      <w:r w:rsidR="00420898">
        <w:rPr>
          <w:noProof/>
        </w:rPr>
        <w:t>(</w:t>
      </w:r>
      <w:r w:rsidR="00420898" w:rsidRPr="00420898">
        <w:rPr>
          <w:noProof/>
        </w:rPr>
        <w:t>2007)</w:t>
      </w:r>
      <w:r w:rsidR="00420898">
        <w:fldChar w:fldCharType="end"/>
      </w:r>
      <w:r w:rsidRPr="00A3585F">
        <w:t xml:space="preserve">, we grouped these into four categories: labor market factors, education, home life and additional controls as set out in the empirical framework.  Labor market factors include </w:t>
      </w:r>
      <w:r>
        <w:t>non-</w:t>
      </w:r>
      <w:r w:rsidRPr="00A3585F">
        <w:t>employment rate</w:t>
      </w:r>
      <w:r>
        <w:t>s</w:t>
      </w:r>
      <w:r w:rsidRPr="00A3585F">
        <w:t xml:space="preserve"> by ethnicity</w:t>
      </w:r>
      <w:r>
        <w:t xml:space="preserve"> and </w:t>
      </w:r>
      <w:r w:rsidRPr="00A3585F">
        <w:t xml:space="preserve">Uganda Bureau of Statistics (UBOS) region, and </w:t>
      </w:r>
      <w:r>
        <w:t xml:space="preserve">the </w:t>
      </w:r>
      <w:r w:rsidRPr="00A3585F">
        <w:t xml:space="preserve">interaction between the </w:t>
      </w:r>
      <w:r>
        <w:t>two.  Non-</w:t>
      </w:r>
      <w:r w:rsidRPr="00A3585F">
        <w:t>employment rate by ethnicity</w:t>
      </w:r>
      <w:r>
        <w:t xml:space="preserve"> was</w:t>
      </w:r>
      <w:r w:rsidRPr="00A3585F">
        <w:t xml:space="preserve"> constructed using the present dataset and sample to reflect the different average labor market activity of ethnicities. </w:t>
      </w:r>
      <w:r>
        <w:t xml:space="preserve"> Non-</w:t>
      </w:r>
      <w:r w:rsidRPr="00A3585F">
        <w:t xml:space="preserve">employment rate by </w:t>
      </w:r>
      <w:r>
        <w:t xml:space="preserve">region was taken from Uganda Bureau of Statistics data </w:t>
      </w:r>
      <w:r>
        <w:fldChar w:fldCharType="begin" w:fldLock="1"/>
      </w:r>
      <w:r w:rsidR="00A77D8E">
        <w:instrText>ADDIN CSL_CITATION { "citationItems" : [ { "id" : "ITEM-1", "itemData" : { "author" : [ { "dropping-particle" : "", "family" : "Uganda Bureau of Statistics", "given" : "", "non-dropping-particle" : "", "parse-names" : false, "suffix" : "" } ], "id" : "ITEM-1", "issued" : { "date-parts" : [ [ "2014" ] ] }, "publisher-place" : "Kampala", "title" : "Uganda - Uganda National Household Survey 2009/2010", "type" : "report" }, "uris" : [ "http://www.mendeley.com/documents/?uuid=d74ad763-46a1-4bb5-b6d9-c6f457f3c17f" ] } ], "mendeley" : { "formattedCitation" : "(Uganda Bureau of Statistics 2014)", "plainTextFormattedCitation" : "(Uganda Bureau of Statistics 2014)", "previouslyFormattedCitation" : "(Uganda Bureau of Statistics - Ministry of Finance Planning and Economic Development 2014)" }, "properties" : { "noteIndex" : 0 }, "schema" : "https://github.com/citation-style-language/schema/raw/master/csl-citation.json" }</w:instrText>
      </w:r>
      <w:r>
        <w:fldChar w:fldCharType="separate"/>
      </w:r>
      <w:r w:rsidR="00A77D8E" w:rsidRPr="00A77D8E">
        <w:rPr>
          <w:noProof/>
        </w:rPr>
        <w:t>(Uganda Bureau of Statistics 2014)</w:t>
      </w:r>
      <w:r>
        <w:fldChar w:fldCharType="end"/>
      </w:r>
      <w:r w:rsidRPr="00A3585F">
        <w:t xml:space="preserve">.  </w:t>
      </w:r>
      <w:r>
        <w:t>Continuous variables were</w:t>
      </w:r>
      <w:r w:rsidRPr="00A3585F">
        <w:t xml:space="preserve"> preferred over dumm</w:t>
      </w:r>
      <w:r>
        <w:t xml:space="preserve">ies </w:t>
      </w:r>
      <w:r w:rsidRPr="00A3585F">
        <w:t>for each region/ethnicity in the interest of preserving degrees of freedom.  Month of interview is also included as more than one third of the sample is engaged in subsistence agriculture, highly seasonal work that is likely to be a strong determinant of current employment.  Education is measured by dummies indicating whether an individual has completed primary, secondary, higher or no education.  Home life factors that influence work and HIV status are measured by dummies for marital status and gender of an individual’s head of household</w:t>
      </w:r>
      <w:r>
        <w:t xml:space="preserve"> and</w:t>
      </w:r>
      <w:r w:rsidRPr="00A3585F">
        <w:t xml:space="preserve"> the age and of the individual’s head of household</w:t>
      </w:r>
      <w:r w:rsidR="004B5734">
        <w:t xml:space="preserve"> and </w:t>
      </w:r>
      <w:r>
        <w:t xml:space="preserve">a </w:t>
      </w:r>
      <w:r w:rsidRPr="0003206D">
        <w:t xml:space="preserve">dummy variable indicating </w:t>
      </w:r>
      <w:r>
        <w:t xml:space="preserve">whether there are </w:t>
      </w:r>
      <w:r w:rsidRPr="0003206D">
        <w:t xml:space="preserve">children under-5 in </w:t>
      </w:r>
      <w:r>
        <w:t>the</w:t>
      </w:r>
      <w:r w:rsidRPr="0003206D">
        <w:t xml:space="preserve"> household</w:t>
      </w:r>
      <w:r w:rsidRPr="00A3585F">
        <w:t xml:space="preserve">.  Additional controls include dummies for 5-year age categories, religion (Christian or other, of which only 1% fall into the </w:t>
      </w:r>
      <w:r>
        <w:t xml:space="preserve">latter </w:t>
      </w:r>
      <w:r w:rsidRPr="00A3585F">
        <w:t>category), and a dummy</w:t>
      </w:r>
      <w:r>
        <w:t xml:space="preserve"> variable</w:t>
      </w:r>
      <w:r w:rsidRPr="00A3585F">
        <w:t xml:space="preserve"> for living in a rural area.</w:t>
      </w:r>
    </w:p>
    <w:p w14:paraId="62B7142B" w14:textId="77777777" w:rsidR="00F1144B" w:rsidRDefault="00F1144B" w:rsidP="00C20CFD">
      <w:pPr>
        <w:ind w:firstLine="0"/>
        <w:jc w:val="left"/>
      </w:pPr>
    </w:p>
    <w:p w14:paraId="248D9C5A" w14:textId="77777777" w:rsidR="00C20CFD" w:rsidRPr="00C20CFD" w:rsidRDefault="00C20CFD" w:rsidP="00C20CFD">
      <w:pPr>
        <w:ind w:firstLine="0"/>
        <w:jc w:val="left"/>
        <w:rPr>
          <w:i/>
        </w:rPr>
      </w:pPr>
      <w:r w:rsidRPr="00C20CFD">
        <w:rPr>
          <w:i/>
        </w:rPr>
        <w:t>3.</w:t>
      </w:r>
      <w:r w:rsidR="00F1144B">
        <w:rPr>
          <w:i/>
        </w:rPr>
        <w:t>6</w:t>
      </w:r>
      <w:r w:rsidRPr="00C20CFD">
        <w:rPr>
          <w:i/>
        </w:rPr>
        <w:t>. Sub-analyses on employment sector</w:t>
      </w:r>
    </w:p>
    <w:p w14:paraId="67B3DD4B" w14:textId="77777777" w:rsidR="00DA3685" w:rsidRDefault="0076656A" w:rsidP="00274F09">
      <w:pPr>
        <w:ind w:firstLine="720"/>
      </w:pPr>
      <w:r w:rsidRPr="00D57587">
        <w:t>Whether t</w:t>
      </w:r>
      <w:r w:rsidR="006B7676" w:rsidRPr="00D57587">
        <w:t>he effect of HIV on employment status differ</w:t>
      </w:r>
      <w:r w:rsidRPr="00D57587">
        <w:t>s</w:t>
      </w:r>
      <w:r w:rsidR="006B7676" w:rsidRPr="00D57587">
        <w:t xml:space="preserve"> depending upon which sector an individual is employed in</w:t>
      </w:r>
      <w:r w:rsidRPr="00D57587">
        <w:t xml:space="preserve"> is also tested.  </w:t>
      </w:r>
      <w:r w:rsidR="001410AA">
        <w:t>There is data on occupation for all individuals who were employed at any point in the past year at the time of survey; however there is no occupation data for the 3.3% of individuals who were not employed during the past year.  As such, in order to split the sample by sector it was necessary to impute sector for those individuals.  The imputation is described in Appendix 2.</w:t>
      </w:r>
      <w:r w:rsidR="00B05E83" w:rsidRPr="00D57587">
        <w:t xml:space="preserve">  </w:t>
      </w:r>
      <w:r w:rsidR="00B05E83" w:rsidRPr="00B05E83">
        <w:t xml:space="preserve"> </w:t>
      </w:r>
    </w:p>
    <w:p w14:paraId="7A3D73B7" w14:textId="77777777" w:rsidR="00DA3685" w:rsidRDefault="00557ECC" w:rsidP="00274F09">
      <w:pPr>
        <w:ind w:firstLine="720"/>
      </w:pPr>
      <w:r>
        <w:t>The main model specification</w:t>
      </w:r>
      <w:r w:rsidR="00B05E83" w:rsidRPr="00B05E83">
        <w:t xml:space="preserve"> </w:t>
      </w:r>
      <w:r>
        <w:t>is replicated on each of th</w:t>
      </w:r>
      <w:r w:rsidR="001410AA">
        <w:t>re</w:t>
      </w:r>
      <w:r>
        <w:t>e sub-samples using exactly the same vector of controls</w:t>
      </w:r>
      <w:r w:rsidR="001410AA">
        <w:t>.  These sub-samples are</w:t>
      </w:r>
      <w:r w:rsidR="00AF02F1">
        <w:t>:</w:t>
      </w:r>
      <w:r w:rsidR="001410AA">
        <w:t xml:space="preserve"> </w:t>
      </w:r>
      <w:r w:rsidR="001410AA" w:rsidRPr="00D57587">
        <w:t>non-manual labor</w:t>
      </w:r>
      <w:r w:rsidR="001410AA">
        <w:t>ers; manual laborers</w:t>
      </w:r>
      <w:r w:rsidR="001410AA" w:rsidRPr="00D57587">
        <w:t xml:space="preserve"> </w:t>
      </w:r>
      <w:r w:rsidR="001410AA">
        <w:t xml:space="preserve">(i.e., individuals working in </w:t>
      </w:r>
      <w:r w:rsidR="001410AA" w:rsidRPr="00D57587">
        <w:t>agricultural manual labor, skilled manual labor and unskilled manual labor</w:t>
      </w:r>
      <w:r w:rsidR="001410AA">
        <w:t xml:space="preserve">); and </w:t>
      </w:r>
      <w:r w:rsidR="00621CA5">
        <w:t xml:space="preserve">subsistence farmers (i.e., </w:t>
      </w:r>
      <w:r w:rsidR="001410AA">
        <w:t>individuals working in agricultural manual labor</w:t>
      </w:r>
      <w:r w:rsidR="00621CA5">
        <w:t>, which is a subset of all manual laborers)</w:t>
      </w:r>
      <w:r>
        <w:t>.</w:t>
      </w:r>
      <w:r w:rsidR="006926C7">
        <w:t xml:space="preserve">  If the magnitude of the effect is larger among manual laborers, this may imply that it is the physical effects of illness (rather than, for example, stigma) that is driving the effect.  However, </w:t>
      </w:r>
      <w:r w:rsidR="003420B7">
        <w:t xml:space="preserve">given that the manual labor category comprises self-employed and non-self-employed occupations, it is not possible to tell from this alone whether the effect is supply side (i.e., driven by the physical effects of illness) or demand side (i.e., driven by, for example, employers not hiring HIV-positive individuals due to stigma).  </w:t>
      </w:r>
      <w:r w:rsidR="00AF02F1">
        <w:t>T</w:t>
      </w:r>
      <w:r w:rsidR="00B5691E">
        <w:t xml:space="preserve">he model </w:t>
      </w:r>
      <w:r w:rsidR="00AF02F1">
        <w:t xml:space="preserve">is run </w:t>
      </w:r>
      <w:r w:rsidR="00B5691E">
        <w:t xml:space="preserve">on a sub-sample of only individuals </w:t>
      </w:r>
      <w:r w:rsidR="003420B7">
        <w:t>in the agricultural manual labor</w:t>
      </w:r>
      <w:r w:rsidR="00B5691E">
        <w:t xml:space="preserve"> category</w:t>
      </w:r>
      <w:r w:rsidR="00AF02F1">
        <w:t xml:space="preserve"> in an effort to identify the labor supply side effect</w:t>
      </w:r>
      <w:r w:rsidR="00B5691E">
        <w:t>.</w:t>
      </w:r>
      <w:r w:rsidR="00A30B6B">
        <w:rPr>
          <w:rStyle w:val="FootnoteReference"/>
        </w:rPr>
        <w:footnoteReference w:id="6"/>
      </w:r>
    </w:p>
    <w:p w14:paraId="228D1BC8" w14:textId="77777777" w:rsidR="00DA3685" w:rsidRDefault="00DA3685" w:rsidP="00274F09">
      <w:pPr>
        <w:ind w:firstLine="720"/>
        <w:rPr>
          <w:lang w:val="en-GB"/>
        </w:rPr>
      </w:pPr>
    </w:p>
    <w:p w14:paraId="1A6F9B81" w14:textId="77777777" w:rsidR="00160132" w:rsidRPr="00160132" w:rsidRDefault="00160132" w:rsidP="00544D89">
      <w:pPr>
        <w:ind w:firstLine="0"/>
        <w:rPr>
          <w:i/>
          <w:lang w:val="en-GB"/>
        </w:rPr>
      </w:pPr>
      <w:r w:rsidRPr="00160132">
        <w:rPr>
          <w:i/>
          <w:lang w:val="en-GB"/>
        </w:rPr>
        <w:t>3.</w:t>
      </w:r>
      <w:r w:rsidR="00F1144B">
        <w:rPr>
          <w:i/>
          <w:lang w:val="en-GB"/>
        </w:rPr>
        <w:t>7</w:t>
      </w:r>
      <w:r w:rsidRPr="00160132">
        <w:rPr>
          <w:i/>
          <w:lang w:val="en-GB"/>
        </w:rPr>
        <w:t>. Evaluating the association between different levels of HIV illness and employment</w:t>
      </w:r>
    </w:p>
    <w:p w14:paraId="46AD6128" w14:textId="77777777" w:rsidR="00160132" w:rsidRDefault="00160132" w:rsidP="00160132">
      <w:pPr>
        <w:ind w:firstLine="204"/>
      </w:pPr>
      <w:r>
        <w:t xml:space="preserve">In an effort to illuminate the pathway through which HIV might affect employment status we consider the relationship between different levels of CD4 cell count and employment among HIV-positive individuals. </w:t>
      </w:r>
      <w:r w:rsidR="00B7456C">
        <w:t xml:space="preserve"> </w:t>
      </w:r>
      <w:r>
        <w:t>Male circumcision affects HIV status, but has no effect on the trajectory of illness once infected</w:t>
      </w:r>
      <w:r w:rsidR="0016492A">
        <w:t>. I</w:t>
      </w:r>
      <w:r w:rsidR="00920F98">
        <w:t xml:space="preserve">n the absence of a suitable instrumental variable </w:t>
      </w:r>
      <w:r>
        <w:t xml:space="preserve">a probit is used to </w:t>
      </w:r>
      <w:r w:rsidR="0016492A">
        <w:t xml:space="preserve">estimate </w:t>
      </w:r>
      <w:r>
        <w:t>the association between different levels of CD4 cell count and employment:</w:t>
      </w:r>
    </w:p>
    <w:p w14:paraId="04750557" w14:textId="77777777" w:rsidR="00160132" w:rsidRPr="004A6B93" w:rsidRDefault="00160132" w:rsidP="00544D89">
      <w:pPr>
        <w:ind w:firstLine="0"/>
        <w:rPr>
          <w:lang w:val="en-GB"/>
        </w:rPr>
      </w:pPr>
    </w:p>
    <w:p w14:paraId="185A8ADD" w14:textId="77777777" w:rsidR="00867162" w:rsidRPr="004A6B93" w:rsidRDefault="00867162" w:rsidP="00867162">
      <w:pPr>
        <w:pStyle w:val="Equation"/>
        <w:spacing w:before="0"/>
        <w:rPr>
          <w:rFonts w:cs="Times New Roman"/>
          <w:szCs w:val="24"/>
          <w:lang w:val="en-GB"/>
        </w:rPr>
      </w:pPr>
      <w:r w:rsidRPr="004A6B93">
        <w:rPr>
          <w:rFonts w:cs="Times New Roman"/>
          <w:szCs w:val="24"/>
        </w:rPr>
        <w:t>(</w:t>
      </w:r>
      <w:r>
        <w:rPr>
          <w:rFonts w:cs="Times New Roman"/>
          <w:szCs w:val="24"/>
        </w:rPr>
        <w:t>9</w:t>
      </w:r>
      <w:r w:rsidRPr="004A6B93">
        <w:rPr>
          <w:rFonts w:cs="Times New Roman"/>
          <w:szCs w:val="24"/>
        </w:rPr>
        <w:t>)</w:t>
      </w:r>
      <w:r w:rsidRPr="004A6B93">
        <w:rPr>
          <w:rFonts w:cs="Times New Roman"/>
          <w:szCs w:val="24"/>
        </w:rPr>
        <w:tab/>
      </w:r>
      <m:oMath>
        <m:sSubSup>
          <m:sSubSupPr>
            <m:ctrlPr>
              <w:rPr>
                <w:rFonts w:ascii="Cambria Math" w:hAnsi="Cambria Math" w:cs="Times New Roman"/>
                <w:i/>
                <w:szCs w:val="24"/>
              </w:rPr>
            </m:ctrlPr>
          </m:sSubSupPr>
          <m:e>
            <m:r>
              <w:rPr>
                <w:rFonts w:ascii="Cambria Math" w:hAnsi="Cambria Math" w:cs="Times New Roman"/>
                <w:szCs w:val="24"/>
              </w:rPr>
              <m:t>y</m:t>
            </m:r>
          </m:e>
          <m:sub>
            <m:r>
              <w:rPr>
                <w:rFonts w:ascii="Cambria Math" w:hAnsi="Cambria Math" w:cs="Times New Roman"/>
                <w:szCs w:val="24"/>
              </w:rPr>
              <m:t>i</m:t>
            </m:r>
          </m:sub>
          <m:sup>
            <m:r>
              <w:rPr>
                <w:rFonts w:ascii="Cambria Math" w:hAnsi="Cambria Math" w:cs="Times New Roman"/>
                <w:szCs w:val="24"/>
              </w:rPr>
              <m:t>*</m:t>
            </m:r>
          </m:sup>
        </m:sSub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γB</m:t>
            </m:r>
          </m:e>
          <m:sub>
            <m:r>
              <w:rPr>
                <w:rFonts w:ascii="Cambria Math" w:hAnsi="Cambria Math" w:cs="Times New Roman"/>
                <w:szCs w:val="24"/>
              </w:rPr>
              <m:t>i</m:t>
            </m:r>
          </m:sub>
          <m:sup>
            <m:r>
              <w:rPr>
                <w:rFonts w:ascii="Cambria Math" w:hAnsi="Cambria Math" w:cs="Times New Roman"/>
                <w:szCs w:val="24"/>
              </w:rPr>
              <m:t>CD4</m:t>
            </m:r>
          </m:sup>
        </m:sSub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i</m:t>
            </m:r>
          </m:sub>
        </m:sSub>
      </m:oMath>
    </w:p>
    <w:p w14:paraId="648DF2DC" w14:textId="77777777" w:rsidR="00867162" w:rsidRDefault="00867162" w:rsidP="00867162">
      <w:pPr>
        <w:ind w:firstLine="204"/>
      </w:pPr>
    </w:p>
    <w:p w14:paraId="34AAD311" w14:textId="77777777" w:rsidR="003127ED" w:rsidRDefault="003127ED" w:rsidP="003127ED">
      <w:pPr>
        <w:pStyle w:val="Equation"/>
        <w:spacing w:before="0"/>
        <w:rPr>
          <w:rFonts w:cs="Times New Roman"/>
          <w:szCs w:val="24"/>
        </w:rPr>
      </w:pPr>
      <w:r w:rsidRPr="004A6B93">
        <w:rPr>
          <w:rFonts w:cs="Times New Roman"/>
          <w:szCs w:val="24"/>
          <w:lang w:val="en-GB"/>
        </w:rPr>
        <w:t xml:space="preserve">where </w:t>
      </w:r>
      <w:r w:rsidRPr="004A6B93">
        <w:rPr>
          <w:rFonts w:cs="Times New Roman"/>
          <w:i/>
          <w:szCs w:val="24"/>
          <w:lang w:val="en-GB"/>
        </w:rPr>
        <w:t>y</w:t>
      </w:r>
      <w:r w:rsidRPr="004A6B93">
        <w:rPr>
          <w:rFonts w:cs="Times New Roman"/>
          <w:i/>
          <w:szCs w:val="24"/>
          <w:vertAlign w:val="subscript"/>
          <w:lang w:val="en-GB"/>
        </w:rPr>
        <w:t>i</w:t>
      </w:r>
      <w:r w:rsidRPr="004A6B93">
        <w:rPr>
          <w:rFonts w:cs="Times New Roman"/>
          <w:i/>
          <w:szCs w:val="24"/>
          <w:vertAlign w:val="superscript"/>
          <w:lang w:val="en-GB"/>
        </w:rPr>
        <w:t xml:space="preserve">* </w:t>
      </w:r>
      <w:r w:rsidRPr="004A6B93">
        <w:rPr>
          <w:rFonts w:cs="Times New Roman"/>
          <w:szCs w:val="24"/>
          <w:lang w:val="en-GB"/>
        </w:rPr>
        <w:t xml:space="preserve">is </w:t>
      </w:r>
      <w:r>
        <w:rPr>
          <w:rFonts w:cs="Times New Roman"/>
          <w:szCs w:val="24"/>
          <w:lang w:val="en-GB"/>
        </w:rPr>
        <w:t xml:space="preserve">again </w:t>
      </w:r>
      <w:r w:rsidRPr="004A6B93">
        <w:rPr>
          <w:rFonts w:cs="Times New Roman"/>
          <w:szCs w:val="24"/>
          <w:lang w:val="en-GB"/>
        </w:rPr>
        <w:t>a latent variable underlying an individual’s employment status;</w:t>
      </w:r>
      <w:r w:rsidRPr="004A6B93">
        <w:rPr>
          <w:rFonts w:cs="Times New Roman"/>
          <w:i/>
          <w:szCs w:val="24"/>
          <w:lang w:val="en-GB"/>
        </w:rPr>
        <w:t xml:space="preserve"> </w:t>
      </w:r>
      <m:oMath>
        <m:sSubSup>
          <m:sSubSupPr>
            <m:ctrlPr>
              <w:rPr>
                <w:rFonts w:ascii="Cambria Math" w:hAnsi="Cambria Math" w:cs="Times New Roman"/>
                <w:i/>
                <w:szCs w:val="24"/>
              </w:rPr>
            </m:ctrlPr>
          </m:sSubSupPr>
          <m:e>
            <m:r>
              <w:rPr>
                <w:rFonts w:ascii="Cambria Math" w:hAnsi="Cambria Math" w:cs="Times New Roman"/>
                <w:szCs w:val="24"/>
              </w:rPr>
              <m:t>B</m:t>
            </m:r>
          </m:e>
          <m:sub>
            <m:r>
              <w:rPr>
                <w:rFonts w:ascii="Cambria Math" w:hAnsi="Cambria Math" w:cs="Times New Roman"/>
                <w:szCs w:val="24"/>
              </w:rPr>
              <m:t>i</m:t>
            </m:r>
          </m:sub>
          <m:sup>
            <m:r>
              <w:rPr>
                <w:rFonts w:ascii="Cambria Math" w:hAnsi="Cambria Math" w:cs="Times New Roman"/>
                <w:szCs w:val="24"/>
              </w:rPr>
              <m:t>CD4</m:t>
            </m:r>
          </m:sup>
        </m:sSubSup>
      </m:oMath>
      <w:r>
        <w:rPr>
          <w:rFonts w:cs="Times New Roman"/>
          <w:i/>
          <w:szCs w:val="24"/>
        </w:rPr>
        <w:t xml:space="preserve"> </w:t>
      </w:r>
      <w:r w:rsidRPr="003127ED">
        <w:rPr>
          <w:rFonts w:cs="Times New Roman"/>
          <w:szCs w:val="24"/>
          <w:lang w:val="en-GB"/>
        </w:rPr>
        <w:t>is a dummy variable indicating whether an individual’s CD4 cell count is above or below a certain threshold</w:t>
      </w:r>
      <w:r w:rsidRPr="004A6B93">
        <w:rPr>
          <w:rFonts w:cs="Times New Roman"/>
          <w:szCs w:val="24"/>
          <w:lang w:val="en-GB"/>
        </w:rPr>
        <w:t xml:space="preserve">; </w:t>
      </w:r>
      <m:oMath>
        <m:sSub>
          <m:sSubPr>
            <m:ctrlPr>
              <w:rPr>
                <w:rFonts w:ascii="Cambria Math" w:eastAsia="MS Mincho" w:hAnsi="Cambria Math" w:cs="Times New Roman"/>
                <w:i/>
                <w:szCs w:val="24"/>
                <w:lang w:val="en-GB" w:eastAsia="en-GB"/>
              </w:rPr>
            </m:ctrlPr>
          </m:sSubPr>
          <m:e>
            <m:r>
              <w:rPr>
                <w:rFonts w:ascii="Cambria Math" w:eastAsia="MS Mincho" w:hAnsi="Cambria Math" w:cs="Times New Roman"/>
                <w:szCs w:val="24"/>
                <w:lang w:val="en-GB" w:eastAsia="en-GB"/>
              </w:rPr>
              <m:t>x</m:t>
            </m:r>
          </m:e>
          <m:sub>
            <m:r>
              <w:rPr>
                <w:rFonts w:ascii="Cambria Math" w:eastAsia="MS Mincho" w:hAnsi="Cambria Math" w:cs="Times New Roman"/>
                <w:szCs w:val="24"/>
                <w:lang w:val="en-GB" w:eastAsia="en-GB"/>
              </w:rPr>
              <m:t>i</m:t>
            </m:r>
          </m:sub>
        </m:sSub>
      </m:oMath>
      <w:r w:rsidRPr="004A6B93">
        <w:rPr>
          <w:rFonts w:cs="Times New Roman"/>
          <w:szCs w:val="24"/>
          <w:lang w:val="en-GB"/>
        </w:rPr>
        <w:t xml:space="preserve"> is the same vector of controls presented in (1); </w:t>
      </w:r>
      <w:r>
        <w:rPr>
          <w:rFonts w:cs="Times New Roman"/>
          <w:szCs w:val="24"/>
          <w:lang w:val="en-GB"/>
        </w:rPr>
        <w:t xml:space="preserve">and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i</m:t>
            </m:r>
          </m:sub>
        </m:sSub>
      </m:oMath>
      <w:r>
        <w:rPr>
          <w:rFonts w:cs="Times New Roman"/>
          <w:szCs w:val="24"/>
        </w:rPr>
        <w:t xml:space="preserve"> is the error term</w:t>
      </w:r>
      <w:r w:rsidR="004B5734">
        <w:rPr>
          <w:rFonts w:cs="Times New Roman"/>
          <w:szCs w:val="24"/>
        </w:rPr>
        <w:t>, which is normally distributed</w:t>
      </w:r>
      <w:r>
        <w:rPr>
          <w:rFonts w:cs="Times New Roman"/>
          <w:szCs w:val="24"/>
        </w:rPr>
        <w:t xml:space="preserve">.  </w:t>
      </w:r>
      <w:r w:rsidRPr="003127ED">
        <w:rPr>
          <w:rFonts w:cs="Times New Roman"/>
          <w:szCs w:val="24"/>
        </w:rPr>
        <w:t>Thresholds of 200, 250, 300, 350, 400, 450 and 500 cells/mm</w:t>
      </w:r>
      <w:r w:rsidRPr="003127ED">
        <w:rPr>
          <w:rFonts w:cs="Times New Roman"/>
          <w:szCs w:val="24"/>
          <w:vertAlign w:val="superscript"/>
        </w:rPr>
        <w:t>3</w:t>
      </w:r>
      <w:r w:rsidRPr="003127ED">
        <w:rPr>
          <w:rFonts w:cs="Times New Roman"/>
          <w:szCs w:val="24"/>
        </w:rPr>
        <w:t xml:space="preserve"> are used</w:t>
      </w:r>
      <w:r>
        <w:rPr>
          <w:rFonts w:cs="Times New Roman"/>
          <w:szCs w:val="24"/>
        </w:rPr>
        <w:t>.</w:t>
      </w:r>
      <w:r w:rsidR="002D6E22" w:rsidRPr="00C066D3">
        <w:rPr>
          <w:rStyle w:val="FootnoteReference"/>
        </w:rPr>
        <w:footnoteReference w:id="7"/>
      </w:r>
      <w:r w:rsidR="00971EB7">
        <w:rPr>
          <w:rFonts w:cs="Times New Roman"/>
          <w:szCs w:val="24"/>
        </w:rPr>
        <w:t xml:space="preserve">  If indeed there is a supply side effect, we might expect the magnitude of the effect to be greater for individuals with lower CD4 cell counts compared to higher ones</w:t>
      </w:r>
      <w:r w:rsidR="0016492A">
        <w:rPr>
          <w:rFonts w:cs="Times New Roman"/>
          <w:szCs w:val="24"/>
        </w:rPr>
        <w:t xml:space="preserve"> as CD4 cell counts reflect </w:t>
      </w:r>
      <w:r w:rsidR="0016492A">
        <w:t xml:space="preserve">the </w:t>
      </w:r>
      <w:r w:rsidR="004B5734">
        <w:t>progression of disease and worsening morbidity</w:t>
      </w:r>
      <w:r w:rsidR="00971EB7">
        <w:rPr>
          <w:rFonts w:cs="Times New Roman"/>
          <w:szCs w:val="24"/>
        </w:rPr>
        <w:t xml:space="preserve">. </w:t>
      </w:r>
    </w:p>
    <w:p w14:paraId="186FF14B" w14:textId="77777777" w:rsidR="009F2210" w:rsidRPr="00274F09" w:rsidRDefault="009F2210" w:rsidP="00274F09"/>
    <w:p w14:paraId="198893FA" w14:textId="77777777" w:rsidR="009E6C3E" w:rsidRDefault="009E6C3E" w:rsidP="009E6C3E">
      <w:pPr>
        <w:ind w:firstLine="204"/>
        <w:jc w:val="center"/>
        <w:rPr>
          <w:b/>
        </w:rPr>
      </w:pPr>
      <w:r>
        <w:rPr>
          <w:b/>
        </w:rPr>
        <w:t>4. Results</w:t>
      </w:r>
    </w:p>
    <w:p w14:paraId="27A1AD79" w14:textId="77777777" w:rsidR="0076656A" w:rsidRPr="009E6C3E" w:rsidRDefault="009E6C3E" w:rsidP="009E6C3E">
      <w:pPr>
        <w:ind w:firstLine="0"/>
        <w:jc w:val="left"/>
      </w:pPr>
      <w:r w:rsidRPr="009E6C3E">
        <w:rPr>
          <w:i/>
        </w:rPr>
        <w:t xml:space="preserve">4.1. </w:t>
      </w:r>
      <w:r w:rsidR="0076656A" w:rsidRPr="009E6C3E">
        <w:rPr>
          <w:i/>
        </w:rPr>
        <w:t>Descriptive statistics</w:t>
      </w:r>
    </w:p>
    <w:p w14:paraId="0088B1A9" w14:textId="77777777" w:rsidR="00092FEF" w:rsidRDefault="0076656A" w:rsidP="003556C9">
      <w:pPr>
        <w:ind w:firstLine="204"/>
      </w:pPr>
      <w:r>
        <w:t xml:space="preserve">Summary statistics are given in </w:t>
      </w:r>
      <w:r w:rsidRPr="004E3275">
        <w:t>Table 1.</w:t>
      </w:r>
      <w:r>
        <w:t xml:space="preserve">  There appears to be little difference in HIV prevalence between </w:t>
      </w:r>
      <w:r w:rsidR="00FC77FC">
        <w:t xml:space="preserve">non-employed </w:t>
      </w:r>
      <w:r>
        <w:t xml:space="preserve">and employed individuals.  However, this may be driven by observable or unobservable characteristics between HIV-positive and HIV-negative individuals.  Female headed households are more common among </w:t>
      </w:r>
      <w:r w:rsidR="00FC77FC">
        <w:t xml:space="preserve">non-employed </w:t>
      </w:r>
      <w:r>
        <w:t>individuals than employed individuals, as well as being in a lower wealth quintile.</w:t>
      </w:r>
    </w:p>
    <w:p w14:paraId="17144470" w14:textId="77777777" w:rsidR="00092FEF" w:rsidRDefault="00092FEF" w:rsidP="00F245AD">
      <w:pPr>
        <w:ind w:firstLine="0"/>
      </w:pPr>
    </w:p>
    <w:p w14:paraId="7F923E53" w14:textId="77777777" w:rsidR="00F245AD" w:rsidRDefault="00656974" w:rsidP="00F245AD">
      <w:pPr>
        <w:ind w:firstLine="0"/>
      </w:pPr>
      <w:r>
        <w:rPr>
          <w:noProof/>
          <w:lang w:val="en-GB" w:eastAsia="en-GB"/>
        </w:rPr>
        <w:t>TABLE 1</w:t>
      </w:r>
    </w:p>
    <w:p w14:paraId="286DDFFE" w14:textId="77777777" w:rsidR="0076656A" w:rsidRDefault="0076656A" w:rsidP="00655496"/>
    <w:p w14:paraId="1A36C973" w14:textId="77777777" w:rsidR="00CA1800" w:rsidRPr="009E6C3E" w:rsidRDefault="00CA1800" w:rsidP="009E6C3E">
      <w:pPr>
        <w:ind w:firstLine="0"/>
        <w:jc w:val="left"/>
        <w:rPr>
          <w:i/>
        </w:rPr>
      </w:pPr>
      <w:r w:rsidRPr="009E6C3E">
        <w:rPr>
          <w:i/>
        </w:rPr>
        <w:t>4.2</w:t>
      </w:r>
      <w:r w:rsidR="009E6C3E" w:rsidRPr="009E6C3E">
        <w:rPr>
          <w:i/>
        </w:rPr>
        <w:t xml:space="preserve">. </w:t>
      </w:r>
      <w:r w:rsidR="00A1438B" w:rsidRPr="009E6C3E">
        <w:rPr>
          <w:i/>
        </w:rPr>
        <w:t xml:space="preserve">The impact of HIV on </w:t>
      </w:r>
      <w:r w:rsidR="002F62C6">
        <w:rPr>
          <w:i/>
        </w:rPr>
        <w:t>employment</w:t>
      </w:r>
      <w:r w:rsidR="00A1438B" w:rsidRPr="009E6C3E">
        <w:rPr>
          <w:i/>
        </w:rPr>
        <w:t>: assuming exogeneity</w:t>
      </w:r>
    </w:p>
    <w:p w14:paraId="42DB00C4" w14:textId="77777777" w:rsidR="00AD49AB" w:rsidRDefault="00A1438B" w:rsidP="004D39B3">
      <w:pPr>
        <w:ind w:firstLine="204"/>
        <w:jc w:val="left"/>
      </w:pPr>
      <w:r>
        <w:t>Table 2 presents the results of a univariate probit where HIV status is assumed t</w:t>
      </w:r>
      <w:r w:rsidR="00607427">
        <w:t xml:space="preserve">o be exogenous to employment.  </w:t>
      </w:r>
      <w:r>
        <w:t xml:space="preserve">The marginal effect of being HIV positive on employment status is -0.01, which can be interpreted as showing that being HIV positive is associated with a 1% reduction in the likelihood of being employed.  This reduction is, however, not </w:t>
      </w:r>
      <w:r w:rsidR="00476821">
        <w:t xml:space="preserve">statistically </w:t>
      </w:r>
      <w:r>
        <w:t xml:space="preserve">significant.  </w:t>
      </w:r>
      <w:r w:rsidR="00843630">
        <w:t xml:space="preserve">This model does not account for possible endogeneity, on which </w:t>
      </w:r>
      <w:r w:rsidR="00E40F98">
        <w:t xml:space="preserve">there is </w:t>
      </w:r>
      <w:r w:rsidR="00843630">
        <w:t xml:space="preserve">more in section 4.3, and so coefficients should </w:t>
      </w:r>
      <w:r w:rsidR="00476821">
        <w:t>only be used for comparison</w:t>
      </w:r>
      <w:r w:rsidR="00843630">
        <w:t xml:space="preserve">. </w:t>
      </w:r>
      <w:r w:rsidR="00E40F98">
        <w:t xml:space="preserve"> </w:t>
      </w:r>
      <w:r w:rsidR="00843630">
        <w:t>However, the</w:t>
      </w:r>
      <w:r w:rsidR="004D3C72">
        <w:t xml:space="preserve"> </w:t>
      </w:r>
      <w:r w:rsidR="00342F79">
        <w:t xml:space="preserve">statistically </w:t>
      </w:r>
      <w:r w:rsidR="004D3C72">
        <w:t>significant</w:t>
      </w:r>
      <w:r w:rsidR="00843630">
        <w:t xml:space="preserve"> coefficients are broadly in line with a priori intuition</w:t>
      </w:r>
      <w:r w:rsidR="00B727FD">
        <w:t>;</w:t>
      </w:r>
      <w:r w:rsidR="00843630">
        <w:t xml:space="preserve"> for example</w:t>
      </w:r>
      <w:r w:rsidR="00B727FD">
        <w:t>,</w:t>
      </w:r>
      <w:r w:rsidR="00843630">
        <w:t xml:space="preserve"> </w:t>
      </w:r>
      <w:r w:rsidR="00E23CA9">
        <w:t>months of interview beside the baseline category of February</w:t>
      </w:r>
      <w:r w:rsidR="00200CC2">
        <w:t xml:space="preserve"> and</w:t>
      </w:r>
      <w:r w:rsidR="00442845">
        <w:t xml:space="preserve"> the month of</w:t>
      </w:r>
      <w:r w:rsidR="00200CC2">
        <w:t xml:space="preserve"> September</w:t>
      </w:r>
      <w:r w:rsidR="00E23CA9">
        <w:t xml:space="preserve"> mostly</w:t>
      </w:r>
      <w:r w:rsidR="00843630">
        <w:t xml:space="preserve"> show a significant </w:t>
      </w:r>
      <w:r w:rsidR="00E23CA9">
        <w:t>positive</w:t>
      </w:r>
      <w:r w:rsidR="00843630">
        <w:t xml:space="preserve"> effect on employment, in line with expectations </w:t>
      </w:r>
      <w:r w:rsidR="00E23CA9">
        <w:t>given that</w:t>
      </w:r>
      <w:r w:rsidR="005B4C83">
        <w:t xml:space="preserve"> harvesting did not take place during these months in 2011 </w:t>
      </w:r>
      <w:r w:rsidR="005D7F89">
        <w:fldChar w:fldCharType="begin" w:fldLock="1"/>
      </w:r>
      <w:r w:rsidR="00A4496D">
        <w:instrText>ADDIN CSL_CITATION { "citationItems" : [ { "id" : "ITEM-1", "itemData" : { "author" : [ { "dropping-particle" : "", "family" : "Famine Early Warning Systems Network", "given" : "", "non-dropping-particle" : "", "parse-names" : false, "suffix" : "" } ], "id" : "ITEM-1", "issued" : { "date-parts" : [ [ "2011" ] ] }, "title" : "Uganda Food Security Outlook: July to December 2011", "type" : "report" }, "uris" : [ "http://www.mendeley.com/documents/?uuid=1b86ef9f-3d8c-3377-bb46-8a704487b84c" ] }, { "id" : "ITEM-2", "itemData" : { "author" : [ { "dropping-particle" : "", "family" : "Famine Early Warning Systems Network", "given" : "", "non-dropping-particle" : "", "parse-names" : false, "suffix" : "" } ], "id" : "ITEM-2", "issued" : { "date-parts" : [ [ "2010" ] ] }, "title" : "Uganda Food Security Outlook July to December 2010", "type" : "report" }, "uris" : [ "http://www.mendeley.com/documents/?uuid=7d198f96-bd37-3afa-b616-bc29c7cf8491" ] } ], "mendeley" : { "formattedCitation" : "(Famine Early Warning Systems Network 2011; Famine Early Warning Systems Network 2010)", "plainTextFormattedCitation" : "(Famine Early Warning Systems Network 2011; Famine Early Warning Systems Network 2010)", "previouslyFormattedCitation" : "(Famine Early Warning Systems Network 2011; Famine Early Warning Systems Network 2010)" }, "properties" : { "noteIndex" : 0 }, "schema" : "https://github.com/citation-style-language/schema/raw/master/csl-citation.json" }</w:instrText>
      </w:r>
      <w:r w:rsidR="005D7F89">
        <w:fldChar w:fldCharType="separate"/>
      </w:r>
      <w:r w:rsidR="005B4C83" w:rsidRPr="005B4C83">
        <w:rPr>
          <w:noProof/>
        </w:rPr>
        <w:t>(Famine Early Warning Systems Network 2011; Famine Early Warning Systems Network 2010)</w:t>
      </w:r>
      <w:r w:rsidR="005D7F89">
        <w:fldChar w:fldCharType="end"/>
      </w:r>
      <w:r w:rsidR="00E23CA9">
        <w:t>.</w:t>
      </w:r>
      <w:r w:rsidR="00E23CA9">
        <w:rPr>
          <w:rStyle w:val="FootnoteReference"/>
        </w:rPr>
        <w:footnoteReference w:id="8"/>
      </w:r>
      <w:r w:rsidR="00E23CA9">
        <w:t xml:space="preserve"> </w:t>
      </w:r>
    </w:p>
    <w:p w14:paraId="66B93DB0" w14:textId="77777777" w:rsidR="00B873FC" w:rsidRDefault="00B873FC" w:rsidP="00A1438B">
      <w:pPr>
        <w:ind w:firstLine="204"/>
        <w:jc w:val="left"/>
      </w:pPr>
    </w:p>
    <w:p w14:paraId="6B8064A6" w14:textId="77777777" w:rsidR="00C86717" w:rsidRDefault="00656974" w:rsidP="009D1734">
      <w:pPr>
        <w:ind w:firstLine="0"/>
        <w:jc w:val="left"/>
        <w:rPr>
          <w:noProof/>
          <w:lang w:val="en-GB" w:eastAsia="en-GB"/>
        </w:rPr>
      </w:pPr>
      <w:r>
        <w:rPr>
          <w:noProof/>
          <w:lang w:val="en-GB" w:eastAsia="en-GB"/>
        </w:rPr>
        <w:t>TABLE 2</w:t>
      </w:r>
    </w:p>
    <w:p w14:paraId="37A21ABC" w14:textId="77777777" w:rsidR="00656974" w:rsidRDefault="00656974" w:rsidP="009D1734">
      <w:pPr>
        <w:ind w:firstLine="0"/>
        <w:jc w:val="left"/>
      </w:pPr>
    </w:p>
    <w:p w14:paraId="60E85D76" w14:textId="77777777" w:rsidR="00A1438B" w:rsidRPr="0037360B" w:rsidRDefault="00A1438B" w:rsidP="0037360B">
      <w:pPr>
        <w:ind w:firstLine="0"/>
        <w:rPr>
          <w:i/>
        </w:rPr>
      </w:pPr>
      <w:r w:rsidRPr="0037360B">
        <w:rPr>
          <w:i/>
        </w:rPr>
        <w:t xml:space="preserve">4.3. The impact of HIV on </w:t>
      </w:r>
      <w:r w:rsidR="0037360B">
        <w:rPr>
          <w:i/>
        </w:rPr>
        <w:t>employment status</w:t>
      </w:r>
      <w:r w:rsidR="005647F0">
        <w:rPr>
          <w:i/>
        </w:rPr>
        <w:t>:</w:t>
      </w:r>
      <w:r w:rsidRPr="0037360B">
        <w:rPr>
          <w:i/>
        </w:rPr>
        <w:t xml:space="preserve"> controlling for endogeneity</w:t>
      </w:r>
    </w:p>
    <w:p w14:paraId="4D56566D" w14:textId="2EBF7BEB" w:rsidR="00895582" w:rsidRDefault="001E0EAF" w:rsidP="00895582">
      <w:pPr>
        <w:widowControl w:val="0"/>
        <w:autoSpaceDE w:val="0"/>
        <w:autoSpaceDN w:val="0"/>
        <w:adjustRightInd w:val="0"/>
        <w:ind w:firstLine="0"/>
      </w:pPr>
      <w:r>
        <w:t>T</w:t>
      </w:r>
      <w:r w:rsidRPr="001E0EAF">
        <w:t>he ATE and ATT from results of the recursive bivariate probit are given in Table 3, calculated from the joint and marginal distributions, while Table 4 presents all coefficients from both parts of the simultaneously estimated equation and their marginal effects, calculated from the marginal distributions.</w:t>
      </w:r>
      <w:r>
        <w:t xml:space="preserve">  </w:t>
      </w:r>
      <w:r w:rsidR="006901BC">
        <w:t xml:space="preserve"> Table 5 provides the results of a 2SLS model for comparative purposes</w:t>
      </w:r>
      <w:r w:rsidR="00920F98">
        <w:t>.</w:t>
      </w:r>
      <w:r w:rsidR="00A96C12">
        <w:rPr>
          <w:rStyle w:val="FootnoteReference"/>
        </w:rPr>
        <w:footnoteReference w:id="9"/>
      </w:r>
      <w:r w:rsidR="00920F98">
        <w:t xml:space="preserve"> </w:t>
      </w:r>
      <w:r w:rsidR="00A96C12">
        <w:t xml:space="preserve"> </w:t>
      </w:r>
    </w:p>
    <w:p w14:paraId="043E7648" w14:textId="77777777" w:rsidR="00DA3685" w:rsidRDefault="00DA3685" w:rsidP="00274F09">
      <w:pPr>
        <w:ind w:firstLine="0"/>
        <w:jc w:val="left"/>
        <w:rPr>
          <w:noProof/>
          <w:lang w:val="en-GB" w:eastAsia="en-GB"/>
        </w:rPr>
      </w:pPr>
    </w:p>
    <w:p w14:paraId="6B4C6419" w14:textId="77777777" w:rsidR="00895582" w:rsidRDefault="00895582" w:rsidP="00895582">
      <w:pPr>
        <w:ind w:firstLine="204"/>
        <w:jc w:val="left"/>
        <w:rPr>
          <w:noProof/>
          <w:lang w:val="en-GB" w:eastAsia="en-GB"/>
        </w:rPr>
      </w:pPr>
      <w:r>
        <w:rPr>
          <w:noProof/>
          <w:lang w:val="en-GB" w:eastAsia="en-GB"/>
        </w:rPr>
        <w:t>TABLE 3</w:t>
      </w:r>
    </w:p>
    <w:p w14:paraId="6CA8F8E8" w14:textId="77777777" w:rsidR="00895582" w:rsidRDefault="00895582" w:rsidP="00895582">
      <w:pPr>
        <w:ind w:firstLine="204"/>
        <w:jc w:val="left"/>
        <w:rPr>
          <w:noProof/>
          <w:lang w:val="en-GB" w:eastAsia="en-GB"/>
        </w:rPr>
      </w:pPr>
      <w:r>
        <w:rPr>
          <w:noProof/>
          <w:lang w:val="en-GB" w:eastAsia="en-GB"/>
        </w:rPr>
        <w:t>TABLE 4</w:t>
      </w:r>
    </w:p>
    <w:p w14:paraId="2961D6CA" w14:textId="77777777" w:rsidR="00895582" w:rsidRPr="009D1734" w:rsidRDefault="00895582" w:rsidP="00895582">
      <w:pPr>
        <w:ind w:firstLine="204"/>
        <w:jc w:val="left"/>
      </w:pPr>
      <w:r>
        <w:rPr>
          <w:noProof/>
          <w:lang w:val="en-GB" w:eastAsia="en-GB"/>
        </w:rPr>
        <w:t>TABLE 5</w:t>
      </w:r>
    </w:p>
    <w:p w14:paraId="2979DCA0" w14:textId="77777777" w:rsidR="00895582" w:rsidRDefault="00895582" w:rsidP="00895582">
      <w:pPr>
        <w:widowControl w:val="0"/>
        <w:autoSpaceDE w:val="0"/>
        <w:autoSpaceDN w:val="0"/>
        <w:adjustRightInd w:val="0"/>
        <w:ind w:firstLine="0"/>
      </w:pPr>
    </w:p>
    <w:p w14:paraId="1DAE905F" w14:textId="71077986" w:rsidR="00AE39C8" w:rsidRDefault="00FB53AB" w:rsidP="001C4762">
      <w:pPr>
        <w:ind w:firstLine="0"/>
        <w:jc w:val="left"/>
      </w:pPr>
      <w:r>
        <w:t>As shown in</w:t>
      </w:r>
      <w:r w:rsidR="00895582">
        <w:t xml:space="preserve"> Table 3,</w:t>
      </w:r>
      <w:r w:rsidR="0006447A">
        <w:t xml:space="preserve"> t</w:t>
      </w:r>
      <w:r w:rsidR="0006447A" w:rsidRPr="00A1438B">
        <w:t xml:space="preserve">he </w:t>
      </w:r>
      <w:r w:rsidR="00A1438B" w:rsidRPr="00A1438B">
        <w:t xml:space="preserve">correlation coefficient of the disturbances ρ(ε,η) is positive and significant at the </w:t>
      </w:r>
      <w:r w:rsidR="009D50E7">
        <w:t>10</w:t>
      </w:r>
      <w:r w:rsidR="00A1438B" w:rsidRPr="00A1438B">
        <w:t>% level according to the Wald ratio test.  Thus, HIV is endogenous for males</w:t>
      </w:r>
      <w:r w:rsidR="00041524">
        <w:t xml:space="preserve"> and the bivariate probit is the appropriate model</w:t>
      </w:r>
      <w:r w:rsidR="00A1438B" w:rsidRPr="00A1438B">
        <w:t>.</w:t>
      </w:r>
      <w:r w:rsidR="00A1438B" w:rsidRPr="00C066D3">
        <w:rPr>
          <w:rStyle w:val="FootnoteReference"/>
        </w:rPr>
        <w:footnoteReference w:id="10"/>
      </w:r>
      <w:r w:rsidR="00A1438B" w:rsidRPr="00A1438B">
        <w:t xml:space="preserve">  The positive sign of the correlation coefficient implies that the effect of HIV on employment is underestimated by the univariate probit.  </w:t>
      </w:r>
      <w:r w:rsidR="00FD0067" w:rsidRPr="00A1438B">
        <w:t>The ATT</w:t>
      </w:r>
      <w:r w:rsidR="00EF7911">
        <w:t xml:space="preserve"> is -0.</w:t>
      </w:r>
      <w:r w:rsidR="009D50E7">
        <w:t>052</w:t>
      </w:r>
      <w:r w:rsidR="00EF7911">
        <w:t>, which</w:t>
      </w:r>
      <w:r w:rsidR="00FD0067" w:rsidRPr="00A1438B">
        <w:t xml:space="preserve"> indicates a 5.</w:t>
      </w:r>
      <w:r w:rsidR="009D50E7">
        <w:t>2</w:t>
      </w:r>
      <w:r w:rsidR="00FD0067" w:rsidRPr="00A1438B">
        <w:t xml:space="preserve"> percentage </w:t>
      </w:r>
      <w:r w:rsidR="00FD0067" w:rsidRPr="00E72B13">
        <w:t xml:space="preserve">point reduction in the likelihood of employment for HIV-positive males.  </w:t>
      </w:r>
      <w:r w:rsidR="00EF7911" w:rsidRPr="00E72B13">
        <w:t>The ATE is -0.</w:t>
      </w:r>
      <w:r w:rsidR="009D50E7" w:rsidRPr="00E72B13">
        <w:t>1</w:t>
      </w:r>
      <w:r w:rsidR="009D50E7">
        <w:t>37</w:t>
      </w:r>
      <w:r w:rsidR="00CB1E9B">
        <w:t xml:space="preserve"> from this model is significant compared to a marginal effect of 1 percentage point from the univariate probit</w:t>
      </w:r>
      <w:r w:rsidR="003C0CBF">
        <w:t>, which was not statistically significant</w:t>
      </w:r>
      <w:r w:rsidR="00CB1E9B">
        <w:t xml:space="preserve">.  </w:t>
      </w:r>
      <w:r w:rsidR="00A4496D">
        <w:t>This</w:t>
      </w:r>
      <w:r w:rsidR="00CB1E9B">
        <w:t xml:space="preserve"> difference in magnitude and significance</w:t>
      </w:r>
      <w:r w:rsidR="00A4496D">
        <w:t xml:space="preserve"> </w:t>
      </w:r>
      <w:r w:rsidR="002A2306" w:rsidRPr="00E72B13">
        <w:t xml:space="preserve">likely arises from an unobserved selection process into HIV status that causes this bias. Two potential sources are either that employment increases the likelihood of having HIV or that HIV is positively (negatively) correlated with unobservables that are themselves positively (negatively) associated with employment status. </w:t>
      </w:r>
      <w:r w:rsidR="00E72B13" w:rsidRPr="00E72B13">
        <w:t xml:space="preserve"> These are known as reverse causality/simultaneity bias and omitted variable bias, respectively. An example of reverse causality may be more access to sex markets where HIV can be transmitted resulting from employment while an example of an unobservable variable may be risk preference, which may be correlated with both HIV and employment, but, we argue, not with circumcision status after having controlled for a number of other variables. The exogenous variation in HIV status caused by male circumcision provides an appropriate identification strategy for the causal effect that should control for the endogeneity and therefore provide an unbiased estimate.</w:t>
      </w:r>
      <w:r w:rsidR="00895582">
        <w:t xml:space="preserve"> </w:t>
      </w:r>
    </w:p>
    <w:p w14:paraId="61742EDA" w14:textId="77777777" w:rsidR="00015B89" w:rsidRDefault="00015B89" w:rsidP="001C4762">
      <w:pPr>
        <w:ind w:firstLine="0"/>
        <w:jc w:val="left"/>
      </w:pPr>
    </w:p>
    <w:p w14:paraId="41FB9417" w14:textId="3BF62B9D" w:rsidR="007C4ABD" w:rsidRDefault="007A43DA" w:rsidP="001C4762">
      <w:pPr>
        <w:ind w:firstLine="0"/>
        <w:jc w:val="left"/>
      </w:pPr>
      <w:r>
        <w:t>The marginal effects of the coefficients in each equation are presented in</w:t>
      </w:r>
      <w:r w:rsidR="00895582">
        <w:t xml:space="preserve"> Table 4</w:t>
      </w:r>
      <w:r w:rsidR="0064585E">
        <w:t xml:space="preserve">. </w:t>
      </w:r>
      <w:r w:rsidR="00CC11EF">
        <w:t xml:space="preserve"> </w:t>
      </w:r>
      <w:r w:rsidR="0064585E">
        <w:t>As expected, the instrument, male circumcision, reduces the likelihood of having HIV, and the predicted 3 percentage point reduction is statistically significant.  Being married and having children under-5 in the household are associated with a 5 and 3 percentage point reduction in the likelihood of being HIV positive respectively.</w:t>
      </w:r>
      <w:r w:rsidR="00AE2B51">
        <w:rPr>
          <w:rStyle w:val="FootnoteReference"/>
        </w:rPr>
        <w:footnoteReference w:id="11"/>
      </w:r>
      <w:r w:rsidR="005E078F">
        <w:t xml:space="preserve">  </w:t>
      </w:r>
      <w:r w:rsidR="00D45D50">
        <w:t>R</w:t>
      </w:r>
      <w:r w:rsidR="00895582">
        <w:t xml:space="preserve">eductions in the likelihood of employment result from </w:t>
      </w:r>
      <w:r w:rsidR="00B37DC8">
        <w:t>non-</w:t>
      </w:r>
      <w:r w:rsidR="00895582">
        <w:t>employment rates by region and ethnicity</w:t>
      </w:r>
      <w:r w:rsidR="00193479">
        <w:t xml:space="preserve"> </w:t>
      </w:r>
      <w:r w:rsidR="00895582">
        <w:t>reflecting the effect of macroeconomic conditions on individuals</w:t>
      </w:r>
      <w:r w:rsidR="00193479">
        <w:t xml:space="preserve">’ employment status. </w:t>
      </w:r>
      <w:r w:rsidR="001760F0">
        <w:t xml:space="preserve"> </w:t>
      </w:r>
      <w:r w:rsidR="00A43E71">
        <w:t>Just as in the univariate model where exogeneity</w:t>
      </w:r>
      <w:r w:rsidR="003C2821">
        <w:t xml:space="preserve"> of being HIV-positive</w:t>
      </w:r>
      <w:r w:rsidR="00A43E71">
        <w:t xml:space="preserve"> is assumed, individuals interviewed from March to August are </w:t>
      </w:r>
      <w:r w:rsidR="00B53CBD">
        <w:t>3-8 percentage points</w:t>
      </w:r>
      <w:r w:rsidR="00A43E71">
        <w:t xml:space="preserve"> </w:t>
      </w:r>
      <w:r w:rsidR="001B62AC">
        <w:t xml:space="preserve">more likely </w:t>
      </w:r>
      <w:r w:rsidR="00A43E71">
        <w:t xml:space="preserve">to be employed compared to those interviewed in February, which </w:t>
      </w:r>
      <w:r w:rsidR="00015B89">
        <w:t>is</w:t>
      </w:r>
      <w:r w:rsidR="00A43E71">
        <w:t xml:space="preserve"> not</w:t>
      </w:r>
      <w:r w:rsidR="00015B89">
        <w:t xml:space="preserve"> </w:t>
      </w:r>
      <w:r w:rsidR="00A43E71">
        <w:t>a harvest month</w:t>
      </w:r>
      <w:r w:rsidR="00015B89">
        <w:t xml:space="preserve"> in Uganda</w:t>
      </w:r>
      <w:r w:rsidR="009453FD">
        <w:t xml:space="preserve">. </w:t>
      </w:r>
      <w:r w:rsidR="00137432">
        <w:t xml:space="preserve"> These </w:t>
      </w:r>
      <w:r w:rsidR="00D45D50">
        <w:t>m</w:t>
      </w:r>
      <w:r w:rsidR="00137432">
        <w:t xml:space="preserve">onth dummies are statistically significant and </w:t>
      </w:r>
      <w:r w:rsidR="009453FD">
        <w:t xml:space="preserve"> follow the typical patterns in agricultural activity known to exist in Uganda </w:t>
      </w:r>
      <w:r w:rsidR="005D7F89">
        <w:fldChar w:fldCharType="begin" w:fldLock="1"/>
      </w:r>
      <w:r w:rsidR="009453FD">
        <w:instrText>ADDIN CSL_CITATION { "citationItems" : [ { "id" : "ITEM-1", "itemData" : { "author" : [ { "dropping-particle" : "", "family" : "Famine Early Warning Systems Network", "given" : "", "non-dropping-particle" : "", "parse-names" : false, "suffix" : "" } ], "id" : "ITEM-1", "issued" : { "date-parts" : [ [ "2011" ] ] }, "title" : "Uganda Food Security Outlook: July to December 2011", "type" : "report" }, "uris" : [ "http://www.mendeley.com/documents/?uuid=1b86ef9f-3d8c-3377-bb46-8a704487b84c" ] }, { "id" : "ITEM-2", "itemData" : { "author" : [ { "dropping-particle" : "", "family" : "Famine Early Warning Systems Network", "given" : "", "non-dropping-particle" : "", "parse-names" : false, "suffix" : "" } ], "id" : "ITEM-2", "issued" : { "date-parts" : [ [ "2010" ] ] }, "title" : "Uganda Food Security Outlook July to December 2010", "type" : "report" }, "uris" : [ "http://www.mendeley.com/documents/?uuid=7d198f96-bd37-3afa-b616-bc29c7cf8491" ] } ], "mendeley" : { "formattedCitation" : "(Famine Early Warning Systems Network 2011; Famine Early Warning Systems Network 2010)", "plainTextFormattedCitation" : "(Famine Early Warning Systems Network 2011; Famine Early Warning Systems Network 2010)", "previouslyFormattedCitation" : "(Famine Early Warning Systems Network 2011; Famine Early Warning Systems Network 2010)" }, "properties" : { "noteIndex" : 0 }, "schema" : "https://github.com/citation-style-language/schema/raw/master/csl-citation.json" }</w:instrText>
      </w:r>
      <w:r w:rsidR="005D7F89">
        <w:fldChar w:fldCharType="separate"/>
      </w:r>
      <w:r w:rsidR="009453FD" w:rsidRPr="00A4496D">
        <w:rPr>
          <w:noProof/>
        </w:rPr>
        <w:t>(Famine Early Warning Systems Network 2011; Famine Early Warning Systems Network 2010)</w:t>
      </w:r>
      <w:r w:rsidR="005D7F89">
        <w:fldChar w:fldCharType="end"/>
      </w:r>
      <w:r w:rsidR="00A43E71">
        <w:t xml:space="preserve">. </w:t>
      </w:r>
      <w:r w:rsidR="009453FD">
        <w:t>Individuals in the sample with</w:t>
      </w:r>
      <w:r w:rsidR="00A43E71">
        <w:t xml:space="preserve"> primary or secondary education</w:t>
      </w:r>
      <w:r w:rsidR="009453FD">
        <w:t xml:space="preserve"> were also more likely </w:t>
      </w:r>
      <w:r w:rsidR="00B53CBD">
        <w:t xml:space="preserve">by 1-3 percentage points </w:t>
      </w:r>
      <w:r w:rsidR="009453FD">
        <w:t>to be employ</w:t>
      </w:r>
      <w:r w:rsidR="00956C67">
        <w:t>ed than those with no education.</w:t>
      </w:r>
      <w:r w:rsidR="00956C67">
        <w:rPr>
          <w:rStyle w:val="FootnoteReference"/>
        </w:rPr>
        <w:footnoteReference w:id="12"/>
      </w:r>
      <w:r w:rsidR="009453FD">
        <w:t xml:space="preserve">  Being married and having a male hea</w:t>
      </w:r>
      <w:r w:rsidR="00D45D50">
        <w:t>d</w:t>
      </w:r>
      <w:r w:rsidR="009453FD">
        <w:t xml:space="preserve"> of household were also predictors of employment</w:t>
      </w:r>
      <w:r w:rsidR="00B53CBD">
        <w:t xml:space="preserve"> (both by 3 percentage points)</w:t>
      </w:r>
      <w:r w:rsidR="009453FD">
        <w:t>.  Being in the oldest age category of individuals included in the analysis (i.e., 55-59)</w:t>
      </w:r>
      <w:r w:rsidR="002C3ECD">
        <w:t xml:space="preserve"> statistically</w:t>
      </w:r>
      <w:r w:rsidR="009453FD">
        <w:t xml:space="preserve"> significantly decreased the likelihood of </w:t>
      </w:r>
      <w:r w:rsidR="002C3ECD">
        <w:t xml:space="preserve">being </w:t>
      </w:r>
      <w:r w:rsidR="009453FD">
        <w:t>employ</w:t>
      </w:r>
      <w:r w:rsidR="00D45D50">
        <w:t>ed</w:t>
      </w:r>
      <w:r w:rsidR="00B53CBD">
        <w:t xml:space="preserve"> by five percentage points</w:t>
      </w:r>
      <w:r w:rsidR="002C3ECD">
        <w:t xml:space="preserve"> compared with being in the youngest age category (25-29 years of age).</w:t>
      </w:r>
      <w:r w:rsidR="003C0B71">
        <w:t xml:space="preserve">  Nearly 10% of individuals in this age category </w:t>
      </w:r>
      <w:r w:rsidR="00B53CBD">
        <w:t>are</w:t>
      </w:r>
      <w:r w:rsidR="003C0B71">
        <w:t xml:space="preserve"> </w:t>
      </w:r>
      <w:r w:rsidR="00E23214">
        <w:t xml:space="preserve">not </w:t>
      </w:r>
      <w:r w:rsidR="003C0B71">
        <w:t xml:space="preserve">employed (compared to between 4 and 7% in the other categories), and among </w:t>
      </w:r>
      <w:r w:rsidR="00B53CBD">
        <w:t>non-employed</w:t>
      </w:r>
      <w:r w:rsidR="003C0B71">
        <w:t xml:space="preserve"> individuals in this age category 41% reported being unable to work due to a handicap and 29% reported being retired. </w:t>
      </w:r>
      <w:r w:rsidR="002B47D9">
        <w:t xml:space="preserve">  </w:t>
      </w:r>
    </w:p>
    <w:p w14:paraId="6B6D1E47" w14:textId="7C3283C2" w:rsidR="00AD49AB" w:rsidRDefault="00AD49AB" w:rsidP="006901BC">
      <w:pPr>
        <w:ind w:firstLine="204"/>
        <w:jc w:val="left"/>
      </w:pPr>
    </w:p>
    <w:p w14:paraId="3E6EF1BA" w14:textId="41EBBBDC" w:rsidR="00DA3685" w:rsidRDefault="00E23CA9" w:rsidP="00274F09">
      <w:pPr>
        <w:ind w:firstLine="0"/>
      </w:pPr>
      <w:r>
        <w:t xml:space="preserve">The results of the 2SLS model shown in full in Table 5 </w:t>
      </w:r>
      <w:r w:rsidR="00FB53AB">
        <w:t xml:space="preserve">are presented for comparison and </w:t>
      </w:r>
      <w:r>
        <w:t xml:space="preserve">are generally consistent with the </w:t>
      </w:r>
      <w:r w:rsidR="00895582">
        <w:t>recursive bivariate probit analysis</w:t>
      </w:r>
      <w:r w:rsidR="0064585E">
        <w:t xml:space="preserve">. </w:t>
      </w:r>
      <w:r>
        <w:t>Specifically, the key</w:t>
      </w:r>
      <w:r w:rsidR="00895582">
        <w:t xml:space="preserve"> results are</w:t>
      </w:r>
      <w:r>
        <w:t xml:space="preserve"> qualitatively</w:t>
      </w:r>
      <w:r w:rsidR="00895582">
        <w:t xml:space="preserve"> consistent between specifications,</w:t>
      </w:r>
      <w:r>
        <w:t xml:space="preserve"> in the</w:t>
      </w:r>
      <w:r w:rsidR="00895582">
        <w:t xml:space="preserve"> </w:t>
      </w:r>
      <w:r>
        <w:t>2SLS model,</w:t>
      </w:r>
      <w:r w:rsidR="00895582">
        <w:t xml:space="preserve"> </w:t>
      </w:r>
      <w:r w:rsidR="0064585E">
        <w:t xml:space="preserve">being </w:t>
      </w:r>
      <w:r w:rsidR="00895582">
        <w:t>HIV</w:t>
      </w:r>
      <w:r w:rsidR="0064585E">
        <w:t>-positive</w:t>
      </w:r>
      <w:r>
        <w:t xml:space="preserve"> is</w:t>
      </w:r>
      <w:r w:rsidR="00895582">
        <w:t xml:space="preserve"> found to </w:t>
      </w:r>
      <w:r w:rsidR="00A4496D">
        <w:t>be endogenous (p=0.036</w:t>
      </w:r>
      <w:r>
        <w:t>)</w:t>
      </w:r>
      <w:r>
        <w:rPr>
          <w:rStyle w:val="FootnoteReference"/>
        </w:rPr>
        <w:footnoteReference w:id="13"/>
      </w:r>
      <w:r>
        <w:t xml:space="preserve"> and has</w:t>
      </w:r>
      <w:r w:rsidR="00895582">
        <w:t xml:space="preserve"> a negative significant effect on employment (p=</w:t>
      </w:r>
      <w:r w:rsidR="00895582" w:rsidRPr="00A96C12">
        <w:t>0.08</w:t>
      </w:r>
      <w:r w:rsidR="00895582">
        <w:t>3).</w:t>
      </w:r>
      <w:r w:rsidR="0064585E">
        <w:t xml:space="preserve"> The magnitude of the effect is much larger compared with the recursive bivariate probit analysis, which is preferred for reasons outlined in the methodology, </w:t>
      </w:r>
      <w:r w:rsidR="00FB53AB">
        <w:t xml:space="preserve">and this  </w:t>
      </w:r>
      <w:r w:rsidR="0064585E">
        <w:t>illustrates that the difference between the two econometric estimation methods are not only conceptual but also result in substantial different estimates of the impact of being HIV-positive in employment.</w:t>
      </w:r>
    </w:p>
    <w:p w14:paraId="413C4270" w14:textId="77777777" w:rsidR="00C86717" w:rsidRDefault="00C86717" w:rsidP="00C475D8">
      <w:pPr>
        <w:ind w:firstLine="204"/>
        <w:jc w:val="left"/>
      </w:pPr>
    </w:p>
    <w:p w14:paraId="3FCDA2AC" w14:textId="77777777" w:rsidR="00AD49AB" w:rsidRPr="00EF7911" w:rsidRDefault="00AD49AB" w:rsidP="00EF7911">
      <w:pPr>
        <w:ind w:firstLine="0"/>
        <w:rPr>
          <w:i/>
        </w:rPr>
      </w:pPr>
      <w:r w:rsidRPr="00EF7911">
        <w:rPr>
          <w:i/>
        </w:rPr>
        <w:t xml:space="preserve">4.4. The impact of HIV on </w:t>
      </w:r>
      <w:r w:rsidR="00EF7911" w:rsidRPr="00EF7911">
        <w:rPr>
          <w:i/>
        </w:rPr>
        <w:t>employment status</w:t>
      </w:r>
      <w:r w:rsidRPr="00EF7911">
        <w:rPr>
          <w:i/>
        </w:rPr>
        <w:t>: sensitivity analyses</w:t>
      </w:r>
    </w:p>
    <w:p w14:paraId="4EE66E1C" w14:textId="77777777" w:rsidR="005A4C22" w:rsidRDefault="00C475D8" w:rsidP="00AD7643">
      <w:pPr>
        <w:ind w:firstLine="204"/>
        <w:jc w:val="left"/>
      </w:pPr>
      <w:r>
        <w:t>Additional sensitivity analyses are undertaken to demonstrate the robustness of the instrument</w:t>
      </w:r>
      <w:r w:rsidR="00AD7643">
        <w:t xml:space="preserve">, and these results are reported in Table </w:t>
      </w:r>
      <w:r w:rsidR="00230024">
        <w:t>6</w:t>
      </w:r>
      <w:r>
        <w:t>.</w:t>
      </w:r>
      <w:r w:rsidRPr="002A2306">
        <w:t xml:space="preserve"> </w:t>
      </w:r>
      <w:r w:rsidR="00AD7643">
        <w:t xml:space="preserve"> </w:t>
      </w:r>
    </w:p>
    <w:p w14:paraId="791B08E7" w14:textId="77777777" w:rsidR="005A4C22" w:rsidRDefault="005A4C22" w:rsidP="005A4C22">
      <w:pPr>
        <w:ind w:firstLine="0"/>
        <w:jc w:val="left"/>
        <w:rPr>
          <w:noProof/>
          <w:lang w:val="en-GB" w:eastAsia="en-GB"/>
        </w:rPr>
      </w:pPr>
    </w:p>
    <w:p w14:paraId="1D3172DE" w14:textId="77777777" w:rsidR="005A4C22" w:rsidRDefault="005A4C22" w:rsidP="005A4C22">
      <w:pPr>
        <w:ind w:firstLine="0"/>
        <w:jc w:val="left"/>
      </w:pPr>
      <w:r>
        <w:rPr>
          <w:noProof/>
          <w:lang w:val="en-GB" w:eastAsia="en-GB"/>
        </w:rPr>
        <w:t>TABLE 6</w:t>
      </w:r>
    </w:p>
    <w:p w14:paraId="0D106653" w14:textId="77777777" w:rsidR="005A4C22" w:rsidRDefault="005A4C22" w:rsidP="00AD7643">
      <w:pPr>
        <w:ind w:firstLine="204"/>
        <w:jc w:val="left"/>
      </w:pPr>
    </w:p>
    <w:p w14:paraId="4932300E" w14:textId="77777777" w:rsidR="00AD7643" w:rsidRDefault="00B302D6" w:rsidP="00AD7643">
      <w:pPr>
        <w:ind w:firstLine="204"/>
        <w:jc w:val="left"/>
      </w:pPr>
      <w:r>
        <w:t xml:space="preserve">First, </w:t>
      </w:r>
      <w:r w:rsidR="00C475D8">
        <w:t xml:space="preserve">all men circumcised as adults and all men circumcised after 2006 were eliminated from the sample.  Both the instrument and the coefficient for HIV remained significant.  The magnitude of the ATT did not change, while the magnitude of the ATE increased </w:t>
      </w:r>
      <w:r w:rsidR="004735DA">
        <w:t xml:space="preserve">about </w:t>
      </w:r>
      <w:r w:rsidR="004A5F00">
        <w:t>3</w:t>
      </w:r>
      <w:r w:rsidR="004735DA">
        <w:t xml:space="preserve"> </w:t>
      </w:r>
      <w:r w:rsidR="00C475D8">
        <w:t xml:space="preserve">percentage points (to </w:t>
      </w:r>
      <w:r w:rsidR="004A5F00">
        <w:t>17</w:t>
      </w:r>
      <w:r w:rsidR="00C475D8">
        <w:t xml:space="preserve"> percentage points).  The change in the ATE is due to changes in the coefficients that were estimated when the sample was limited to only men circumcised in 2006 or earlier.  When the ATE for this subsample of the population was estimated using the betas from the original population the resulting ATE was -0.</w:t>
      </w:r>
      <w:r w:rsidR="004A5F00">
        <w:t>137</w:t>
      </w:r>
      <w:r w:rsidR="00C475D8">
        <w:t xml:space="preserve">, which is </w:t>
      </w:r>
      <w:r w:rsidR="00A4496D">
        <w:t>the same as</w:t>
      </w:r>
      <w:r w:rsidR="00C475D8">
        <w:t xml:space="preserve"> the original model.  An additional check was conducted whereby all men who were circumcised as adults, defined as age 15 or older, were excluded from the sample.  Once again, both the instrument and the coefficient for HIV remained significant in the recursive bivariate probit.  The magnitude of the ATE increased while the ATT remained largely the same.  As in the previous sensitivity analysis, a look into whether changes in the coefficients estimated for the control variables were responsible for the change in the ATE showed that this was again the case.  </w:t>
      </w:r>
    </w:p>
    <w:p w14:paraId="256A61E1" w14:textId="77777777" w:rsidR="00AD7643" w:rsidRDefault="00AD7643" w:rsidP="00C475D8">
      <w:pPr>
        <w:ind w:firstLine="204"/>
        <w:jc w:val="left"/>
      </w:pPr>
      <w:r w:rsidRPr="00AD7643">
        <w:t xml:space="preserve">While there is a valid theoretical argument for eliminating Muslims from the sample given that they have high rates of male circumcision and may also be subject to unobservable factors that may affect employment, a sensitivity analysis was carried out to ensure that this did not adversely affect the results.  Indeed, the coefficients remained statistically significant.  The ATE increased in magnitude by </w:t>
      </w:r>
      <w:r w:rsidR="004A5F00">
        <w:t>5</w:t>
      </w:r>
      <w:r w:rsidR="004735DA">
        <w:t xml:space="preserve"> percentage points</w:t>
      </w:r>
      <w:r w:rsidR="004735DA" w:rsidRPr="00AD7643">
        <w:t xml:space="preserve">.  </w:t>
      </w:r>
      <w:r w:rsidRPr="00AD7643">
        <w:t xml:space="preserve">Similar to </w:t>
      </w:r>
      <w:r w:rsidR="0031390A">
        <w:t xml:space="preserve">the </w:t>
      </w:r>
      <w:r w:rsidRPr="00AD7643">
        <w:t>pre</w:t>
      </w:r>
      <w:r w:rsidR="0031390A">
        <w:t>v</w:t>
      </w:r>
      <w:r w:rsidRPr="00AD7643">
        <w:t xml:space="preserve">ious sensitivity analyses, changes in the coefficients estimated for the control variables explain the change in the ATE.  </w:t>
      </w:r>
    </w:p>
    <w:p w14:paraId="7D39B194" w14:textId="77777777" w:rsidR="009D1734" w:rsidRDefault="009D1734" w:rsidP="009D1734">
      <w:pPr>
        <w:ind w:firstLine="0"/>
        <w:jc w:val="left"/>
      </w:pPr>
    </w:p>
    <w:p w14:paraId="295E677D" w14:textId="77777777" w:rsidR="00D5419F" w:rsidRPr="009D1734" w:rsidRDefault="00D5419F" w:rsidP="009D1734">
      <w:pPr>
        <w:ind w:firstLine="0"/>
        <w:jc w:val="left"/>
        <w:rPr>
          <w:i/>
        </w:rPr>
      </w:pPr>
      <w:r w:rsidRPr="009D1734">
        <w:rPr>
          <w:i/>
        </w:rPr>
        <w:t>4</w:t>
      </w:r>
      <w:r w:rsidR="009D1734" w:rsidRPr="009D1734">
        <w:rPr>
          <w:i/>
        </w:rPr>
        <w:t>.5</w:t>
      </w:r>
      <w:r w:rsidRPr="009D1734">
        <w:rPr>
          <w:i/>
        </w:rPr>
        <w:t xml:space="preserve">. The impact of HIV on </w:t>
      </w:r>
      <w:r w:rsidR="009D1734" w:rsidRPr="009D1734">
        <w:rPr>
          <w:i/>
        </w:rPr>
        <w:t>employment status</w:t>
      </w:r>
      <w:r w:rsidRPr="009D1734">
        <w:rPr>
          <w:i/>
        </w:rPr>
        <w:t xml:space="preserve"> by sector</w:t>
      </w:r>
    </w:p>
    <w:p w14:paraId="25B4EF78" w14:textId="77777777" w:rsidR="00EC6286" w:rsidRDefault="00D5419F" w:rsidP="00766317">
      <w:pPr>
        <w:ind w:firstLine="204"/>
        <w:jc w:val="left"/>
      </w:pPr>
      <w:r w:rsidRPr="00D5419F">
        <w:t>More than one in three individuals in the sample work in the agricultural manual labor sector (or would if they were employed).  30% are unskilled manual laborers, 25% are non-manual laborers and the remaining 10% are skilled manual laborers.  Among HIV positive individuals in the sample, a disproportionately large share are in the skilled manual labor and unskilled manual labor sectors, while a low share are in the non-manual labor and agricultural manual labor sectors</w:t>
      </w:r>
      <w:r w:rsidR="00375861">
        <w:t xml:space="preserve">.  </w:t>
      </w:r>
    </w:p>
    <w:p w14:paraId="295385E4" w14:textId="77777777" w:rsidR="00A4496D" w:rsidRDefault="00375861" w:rsidP="00797770">
      <w:pPr>
        <w:ind w:firstLine="204"/>
        <w:jc w:val="left"/>
      </w:pPr>
      <w:r w:rsidRPr="00375861">
        <w:t xml:space="preserve">Table </w:t>
      </w:r>
      <w:r w:rsidR="00557ECC">
        <w:t>7</w:t>
      </w:r>
      <w:r w:rsidRPr="00375861">
        <w:t xml:space="preserve"> shows the ATE and ATT </w:t>
      </w:r>
      <w:r w:rsidR="000C26B6">
        <w:t>when the sample is restri</w:t>
      </w:r>
      <w:r w:rsidR="009D1734">
        <w:t xml:space="preserve">cted to non-manual laborers and </w:t>
      </w:r>
      <w:r w:rsidR="000C26B6">
        <w:t>when it is restricted to manual laborers</w:t>
      </w:r>
      <w:r w:rsidR="00797770">
        <w:t>, as well as when the sample is restricted to subsistence agriculture workers only</w:t>
      </w:r>
      <w:r w:rsidR="000C26B6">
        <w:t>.</w:t>
      </w:r>
      <w:r w:rsidR="00557ECC">
        <w:t xml:space="preserve"> The same vector of controls is </w:t>
      </w:r>
      <w:r w:rsidR="004879E9">
        <w:t>included (as in the main model specification)</w:t>
      </w:r>
      <w:r w:rsidR="004B5734">
        <w:t xml:space="preserve"> </w:t>
      </w:r>
      <w:r w:rsidR="00557ECC">
        <w:t>for each sub-sample.</w:t>
      </w:r>
      <w:r w:rsidR="000C26B6">
        <w:t xml:space="preserve">  </w:t>
      </w:r>
      <w:r w:rsidR="004E5376">
        <w:t>Despite</w:t>
      </w:r>
      <w:r w:rsidRPr="00375861">
        <w:t xml:space="preserve"> the small sample size</w:t>
      </w:r>
      <w:r w:rsidR="004E5376">
        <w:t>,</w:t>
      </w:r>
      <w:r w:rsidRPr="00375861">
        <w:t xml:space="preserve"> some inferences can be drawn</w:t>
      </w:r>
      <w:r w:rsidR="00766317">
        <w:t xml:space="preserve">.  The ATT is large and statistically significant for manual laborers, suggesting a reduction in the likelihood of employment of 7 percentage points among this group.  It is small, </w:t>
      </w:r>
      <w:r w:rsidR="004879E9">
        <w:t xml:space="preserve">not </w:t>
      </w:r>
      <w:r w:rsidR="00766317">
        <w:t xml:space="preserve">significant and counterintuitive for non-manual laborers.  </w:t>
      </w:r>
      <w:r w:rsidR="00797770">
        <w:t>That it is larger for manual laborers than for the overall sample (5 percentage points) suggests that</w:t>
      </w:r>
      <w:r w:rsidR="00A4496D">
        <w:t xml:space="preserve"> the effect may be driven by</w:t>
      </w:r>
      <w:r w:rsidR="00797770">
        <w:t xml:space="preserve"> physical effects of disease.  However, it is also possible that a demand side effect is also at play (e.g., employers may be less likely to hire HIV-positive individuals due to stigma).  </w:t>
      </w:r>
      <w:r w:rsidR="00EB58D7" w:rsidRPr="00EB58D7">
        <w:t xml:space="preserve">In an effort to isolate a supply side effect, the </w:t>
      </w:r>
      <w:r w:rsidR="00797770">
        <w:t xml:space="preserve">manual labor </w:t>
      </w:r>
      <w:r w:rsidR="00EB58D7" w:rsidRPr="00EB58D7">
        <w:t xml:space="preserve">sample was </w:t>
      </w:r>
      <w:r w:rsidR="00797770">
        <w:t xml:space="preserve">further </w:t>
      </w:r>
      <w:r w:rsidR="00EB58D7" w:rsidRPr="00EB58D7">
        <w:t>limited to only individuals worki</w:t>
      </w:r>
      <w:r w:rsidR="00797770">
        <w:t xml:space="preserve">ng in subsistence agriculture resulting in an ATT of -0.04.  </w:t>
      </w:r>
      <w:r w:rsidR="00EA6ED3">
        <w:t>T</w:t>
      </w:r>
      <w:r w:rsidR="00797770">
        <w:t>his is very similar to the effect found for the overall sample</w:t>
      </w:r>
      <w:r w:rsidR="00EA6ED3">
        <w:t>, providing suggestive evidence that the effect occurs primarily on the supply side, although due to the small sample size this result should be interpreted cautiously.</w:t>
      </w:r>
    </w:p>
    <w:p w14:paraId="0444579F" w14:textId="77777777" w:rsidR="00766317" w:rsidRDefault="00766317" w:rsidP="00766317">
      <w:pPr>
        <w:ind w:firstLine="204"/>
        <w:jc w:val="left"/>
      </w:pPr>
    </w:p>
    <w:p w14:paraId="4CE20F6E" w14:textId="77777777" w:rsidR="00DD7263" w:rsidRPr="00A1438B" w:rsidRDefault="00656974" w:rsidP="00DD7263">
      <w:pPr>
        <w:ind w:firstLine="0"/>
        <w:jc w:val="left"/>
      </w:pPr>
      <w:r>
        <w:rPr>
          <w:noProof/>
          <w:lang w:val="en-GB" w:eastAsia="en-GB"/>
        </w:rPr>
        <w:t>TABLE 7</w:t>
      </w:r>
    </w:p>
    <w:p w14:paraId="1776D04C" w14:textId="77777777" w:rsidR="00766317" w:rsidRDefault="00766317" w:rsidP="00766317">
      <w:pPr>
        <w:ind w:firstLine="0"/>
      </w:pPr>
    </w:p>
    <w:p w14:paraId="4421A536" w14:textId="77777777" w:rsidR="00CE0C0D" w:rsidRPr="009D1734" w:rsidRDefault="00CE0C0D" w:rsidP="00CE0C0D">
      <w:pPr>
        <w:ind w:firstLine="0"/>
        <w:jc w:val="left"/>
        <w:rPr>
          <w:i/>
        </w:rPr>
      </w:pPr>
      <w:r w:rsidRPr="009D1734">
        <w:rPr>
          <w:i/>
        </w:rPr>
        <w:t>4.</w:t>
      </w:r>
      <w:r>
        <w:rPr>
          <w:i/>
        </w:rPr>
        <w:t xml:space="preserve">6. </w:t>
      </w:r>
      <w:r w:rsidR="00E76959">
        <w:rPr>
          <w:i/>
        </w:rPr>
        <w:t>A</w:t>
      </w:r>
      <w:r>
        <w:rPr>
          <w:i/>
        </w:rPr>
        <w:t xml:space="preserve">ssociation between </w:t>
      </w:r>
      <w:r w:rsidR="00E76959">
        <w:rPr>
          <w:i/>
        </w:rPr>
        <w:t>different levels of HIV illness</w:t>
      </w:r>
      <w:r>
        <w:rPr>
          <w:i/>
        </w:rPr>
        <w:t xml:space="preserve"> and</w:t>
      </w:r>
      <w:r w:rsidRPr="009D1734">
        <w:rPr>
          <w:i/>
        </w:rPr>
        <w:t xml:space="preserve"> employment status</w:t>
      </w:r>
    </w:p>
    <w:p w14:paraId="59CBEBE5" w14:textId="77777777" w:rsidR="00C67E4C" w:rsidRDefault="00E76959" w:rsidP="006F0804">
      <w:pPr>
        <w:ind w:firstLine="204"/>
        <w:jc w:val="left"/>
      </w:pPr>
      <w:r>
        <w:t xml:space="preserve">Table </w:t>
      </w:r>
      <w:r w:rsidR="00230024">
        <w:t>8</w:t>
      </w:r>
      <w:r>
        <w:t xml:space="preserve"> shows the association between different levels of illness with HIV, as measured by CD4 cell count, and employment status at seven different CD4 cell count per mm</w:t>
      </w:r>
      <w:r>
        <w:rPr>
          <w:vertAlign w:val="superscript"/>
        </w:rPr>
        <w:t>3</w:t>
      </w:r>
      <w:r>
        <w:t xml:space="preserve"> thresholds.  </w:t>
      </w:r>
    </w:p>
    <w:p w14:paraId="7F25A3E1" w14:textId="77777777" w:rsidR="00C67E4C" w:rsidRDefault="00C67E4C" w:rsidP="00274F09">
      <w:pPr>
        <w:ind w:firstLine="0"/>
        <w:jc w:val="left"/>
        <w:rPr>
          <w:noProof/>
          <w:lang w:val="en-GB" w:eastAsia="en-GB"/>
        </w:rPr>
      </w:pPr>
    </w:p>
    <w:p w14:paraId="620CD9F5" w14:textId="77777777" w:rsidR="00C67E4C" w:rsidRDefault="00C67E4C" w:rsidP="00274F09">
      <w:pPr>
        <w:ind w:firstLine="0"/>
        <w:jc w:val="left"/>
      </w:pPr>
      <w:r>
        <w:rPr>
          <w:noProof/>
          <w:lang w:val="en-GB" w:eastAsia="en-GB"/>
        </w:rPr>
        <w:t>TABLE 8</w:t>
      </w:r>
    </w:p>
    <w:p w14:paraId="22128983" w14:textId="77777777" w:rsidR="00C67E4C" w:rsidRDefault="00C67E4C" w:rsidP="006F0804">
      <w:pPr>
        <w:ind w:firstLine="204"/>
        <w:jc w:val="left"/>
      </w:pPr>
    </w:p>
    <w:p w14:paraId="3C322395" w14:textId="77777777" w:rsidR="00A52D46" w:rsidRDefault="00A52D46" w:rsidP="006F0804">
      <w:pPr>
        <w:ind w:firstLine="204"/>
        <w:jc w:val="left"/>
      </w:pPr>
      <w:r>
        <w:t>In the absence of ART, CD4 cell count declines over time.</w:t>
      </w:r>
      <w:r w:rsidR="00AA7F13">
        <w:t xml:space="preserve">  </w:t>
      </w:r>
      <w:r w:rsidR="000F5886">
        <w:t>H</w:t>
      </w:r>
      <w:r w:rsidR="00AA7F13">
        <w:t>aving a CD4 cell count of 200 per mm</w:t>
      </w:r>
      <w:r w:rsidR="00AA7F13">
        <w:rPr>
          <w:vertAlign w:val="superscript"/>
        </w:rPr>
        <w:t>3</w:t>
      </w:r>
      <w:r w:rsidR="00AA7F13">
        <w:t xml:space="preserve"> or below is associated with a </w:t>
      </w:r>
      <w:r w:rsidR="000F5886">
        <w:t>9</w:t>
      </w:r>
      <w:r w:rsidR="00AA7F13">
        <w:t xml:space="preserve"> percentage point reduction in employment compared to individuals with CD4 cell counts above 200 per mm</w:t>
      </w:r>
      <w:r w:rsidR="00AA7F13">
        <w:rPr>
          <w:vertAlign w:val="superscript"/>
        </w:rPr>
        <w:t>3</w:t>
      </w:r>
      <w:r w:rsidR="00AA7F13">
        <w:t>.</w:t>
      </w:r>
      <w:r w:rsidR="00AA7F13" w:rsidRPr="00C066D3">
        <w:rPr>
          <w:rStyle w:val="FootnoteReference"/>
        </w:rPr>
        <w:footnoteReference w:id="14"/>
      </w:r>
      <w:r w:rsidR="00AA7F13">
        <w:t xml:space="preserve">  </w:t>
      </w:r>
      <w:r w:rsidR="00CA48B2">
        <w:t>In line with what might be expected from a clinical perspective, t</w:t>
      </w:r>
      <w:r w:rsidR="00AA7F13">
        <w:t>his association reduces as the CD4 cell count thresholds used</w:t>
      </w:r>
      <w:r w:rsidR="006F0804">
        <w:t xml:space="preserve"> increase</w:t>
      </w:r>
      <w:r w:rsidR="00AA7F13">
        <w:t xml:space="preserve">.  </w:t>
      </w:r>
      <w:r w:rsidR="000F5886">
        <w:t xml:space="preserve">These results </w:t>
      </w:r>
      <w:r w:rsidR="008367FC">
        <w:t>further lend</w:t>
      </w:r>
      <w:r w:rsidR="000F5886">
        <w:t xml:space="preserve"> support </w:t>
      </w:r>
      <w:r w:rsidR="008367FC">
        <w:t xml:space="preserve">to the hypothesis </w:t>
      </w:r>
      <w:r w:rsidR="000F5886">
        <w:t>that the</w:t>
      </w:r>
      <w:r w:rsidR="00C67E4C">
        <w:t>re is a supply side</w:t>
      </w:r>
      <w:r w:rsidR="000F5886">
        <w:t xml:space="preserve"> effect</w:t>
      </w:r>
      <w:r w:rsidR="00C67E4C">
        <w:t>.</w:t>
      </w:r>
    </w:p>
    <w:p w14:paraId="6A8BDF6C" w14:textId="77777777" w:rsidR="008B00E9" w:rsidRDefault="008B00E9" w:rsidP="00CA48B2">
      <w:pPr>
        <w:ind w:firstLine="0"/>
        <w:jc w:val="left"/>
      </w:pPr>
    </w:p>
    <w:p w14:paraId="13071957" w14:textId="77777777" w:rsidR="00DA3685" w:rsidRDefault="00DA3685" w:rsidP="00274F09">
      <w:pPr>
        <w:ind w:firstLine="204"/>
        <w:jc w:val="left"/>
      </w:pPr>
    </w:p>
    <w:p w14:paraId="1263CFB0" w14:textId="77777777" w:rsidR="00766317" w:rsidRPr="0076656A" w:rsidRDefault="00766317" w:rsidP="00766317">
      <w:pPr>
        <w:ind w:firstLine="204"/>
        <w:jc w:val="center"/>
        <w:rPr>
          <w:b/>
        </w:rPr>
      </w:pPr>
      <w:r>
        <w:rPr>
          <w:b/>
        </w:rPr>
        <w:t>5</w:t>
      </w:r>
      <w:r w:rsidRPr="0076656A">
        <w:rPr>
          <w:b/>
        </w:rPr>
        <w:t xml:space="preserve">. </w:t>
      </w:r>
      <w:r>
        <w:rPr>
          <w:b/>
        </w:rPr>
        <w:t>Discussion</w:t>
      </w:r>
      <w:r w:rsidR="004B67B6">
        <w:rPr>
          <w:b/>
        </w:rPr>
        <w:t xml:space="preserve"> and Conclusion</w:t>
      </w:r>
    </w:p>
    <w:p w14:paraId="1A234571" w14:textId="77777777" w:rsidR="000F5032" w:rsidRDefault="00766317" w:rsidP="000F5032">
      <w:pPr>
        <w:ind w:firstLine="204"/>
        <w:jc w:val="left"/>
      </w:pPr>
      <w:r w:rsidRPr="00766317">
        <w:t xml:space="preserve">We aimed to contribute to the literature by estimating the causal impact of having HIV on </w:t>
      </w:r>
      <w:r w:rsidR="009D1734">
        <w:t>employment status</w:t>
      </w:r>
      <w:r w:rsidR="00CF0B30">
        <w:t xml:space="preserve"> and evaluating </w:t>
      </w:r>
      <w:r w:rsidR="007F4002">
        <w:t>how that effect varies by employment sector to isolate a causal supply side effect</w:t>
      </w:r>
      <w:r w:rsidR="004B67B6">
        <w:t>.</w:t>
      </w:r>
      <w:r w:rsidR="00E95080">
        <w:t xml:space="preserve"> </w:t>
      </w:r>
      <w:r w:rsidR="004B67B6">
        <w:t>T</w:t>
      </w:r>
      <w:r w:rsidR="004B67B6" w:rsidRPr="00766317">
        <w:t>o overcome the endogeneity arising from simultaneity bias</w:t>
      </w:r>
      <w:r w:rsidR="00066A05">
        <w:t xml:space="preserve"> and omitted variable bias</w:t>
      </w:r>
      <w:r w:rsidR="004B67B6" w:rsidRPr="00766317">
        <w:t xml:space="preserve"> in the estimation of the effect of HIV on employment status</w:t>
      </w:r>
      <w:r w:rsidR="004B67B6">
        <w:t>, w</w:t>
      </w:r>
      <w:r w:rsidRPr="00766317">
        <w:t xml:space="preserve">e used a recursive bivariate probit, using male circumcision as the instrument.  </w:t>
      </w:r>
      <w:r w:rsidR="00CF0B30">
        <w:t xml:space="preserve">We used biometric data on HIV </w:t>
      </w:r>
      <w:r w:rsidR="004879E9">
        <w:t xml:space="preserve">status to overcome justification bias. </w:t>
      </w:r>
    </w:p>
    <w:p w14:paraId="562BC3DC" w14:textId="3B93E776" w:rsidR="00825F54" w:rsidRDefault="00766317" w:rsidP="00C71CF9">
      <w:pPr>
        <w:ind w:firstLine="204"/>
        <w:jc w:val="left"/>
      </w:pPr>
      <w:r w:rsidRPr="00766317">
        <w:t>Without controlling for endogeneity our results suggest tha</w:t>
      </w:r>
      <w:r w:rsidR="000F5032">
        <w:t xml:space="preserve">t being HIV positive has little </w:t>
      </w:r>
      <w:r w:rsidRPr="00766317">
        <w:t>effect with only a 1 percentage point reduction in the likelihood of being employed. After using male circumcision as an in</w:t>
      </w:r>
      <w:r w:rsidR="000F5032">
        <w:t xml:space="preserve">strument, we find </w:t>
      </w:r>
      <w:r w:rsidRPr="00766317">
        <w:t xml:space="preserve">that being HIV positive causes a 5.5 percentage point reduction in the likelihood of being employed.  </w:t>
      </w:r>
      <w:r w:rsidR="00517325">
        <w:t xml:space="preserve">This is smaller than the association of 13 percent found </w:t>
      </w:r>
      <w:r w:rsidR="00370503">
        <w:t>across 13 countries in sub-Saharan Africa (not including Uganda</w:t>
      </w:r>
      <w:r w:rsidR="00370503" w:rsidRPr="00C066D3">
        <w:rPr>
          <w:rStyle w:val="FootnoteReference"/>
        </w:rPr>
        <w:footnoteReference w:id="15"/>
      </w:r>
      <w:r w:rsidR="00370503">
        <w:t>)</w:t>
      </w:r>
      <w:r w:rsidR="00D27B5D">
        <w:t xml:space="preserve"> by McKelvey (2010), but </w:t>
      </w:r>
      <w:r w:rsidR="00517325">
        <w:t>similar to</w:t>
      </w:r>
      <w:r w:rsidR="00370503">
        <w:t xml:space="preserve"> </w:t>
      </w:r>
      <w:r w:rsidRPr="00766317">
        <w:t>Levinsohn et al (201</w:t>
      </w:r>
      <w:r w:rsidR="000F5032">
        <w:t>3</w:t>
      </w:r>
      <w:r w:rsidRPr="00766317">
        <w:t>)</w:t>
      </w:r>
      <w:r w:rsidR="00C71CF9">
        <w:t xml:space="preserve"> who </w:t>
      </w:r>
      <w:r w:rsidR="00370503">
        <w:t xml:space="preserve">find </w:t>
      </w:r>
      <w:r w:rsidRPr="00766317">
        <w:t>that being HIV positive is associated with a 6 to 7 percentage point increase in the likelihood of being unemployed in</w:t>
      </w:r>
      <w:r w:rsidR="00C71CF9">
        <w:t xml:space="preserve"> a middle-income country,</w:t>
      </w:r>
      <w:r w:rsidRPr="00766317">
        <w:t xml:space="preserve"> South Africa.  </w:t>
      </w:r>
      <w:r w:rsidR="0096078B" w:rsidRPr="0096078B">
        <w:t>The differences between our results and the estimate found by McKelvey (2010) may</w:t>
      </w:r>
      <w:r w:rsidR="0096078B">
        <w:t xml:space="preserve"> be due a</w:t>
      </w:r>
      <w:r w:rsidR="00FB6184">
        <w:t xml:space="preserve"> </w:t>
      </w:r>
      <w:r w:rsidR="0096078B">
        <w:t>number of factors</w:t>
      </w:r>
      <w:r w:rsidR="00CF0B30">
        <w:t xml:space="preserve">, such as </w:t>
      </w:r>
      <w:r w:rsidR="0096078B" w:rsidRPr="0096078B">
        <w:t xml:space="preserve">differences in the econometric strategies used </w:t>
      </w:r>
      <w:r w:rsidR="00CF0B30">
        <w:t>or</w:t>
      </w:r>
      <w:r w:rsidR="0096078B" w:rsidRPr="0096078B">
        <w:t xml:space="preserve"> changes that have taken place</w:t>
      </w:r>
      <w:r w:rsidR="00CC11EF">
        <w:t xml:space="preserve"> in HIV epidemics and public health responses (e.g., availability of ART)</w:t>
      </w:r>
      <w:r w:rsidR="00FB6184">
        <w:t xml:space="preserve"> </w:t>
      </w:r>
      <w:r w:rsidR="0096078B" w:rsidRPr="0096078B">
        <w:t xml:space="preserve">between the </w:t>
      </w:r>
      <w:r w:rsidR="00A83CC7">
        <w:t xml:space="preserve">2003-5 </w:t>
      </w:r>
      <w:r w:rsidR="0096078B" w:rsidRPr="0096078B">
        <w:t>period that McKelvey (2010) considers and the 2011 Uganda survey</w:t>
      </w:r>
      <w:r w:rsidR="00A83CC7">
        <w:t xml:space="preserve">.  </w:t>
      </w:r>
      <w:r w:rsidR="00CC11EF">
        <w:t>T</w:t>
      </w:r>
      <w:r w:rsidR="00CF0B30">
        <w:t xml:space="preserve">he roll out of </w:t>
      </w:r>
      <w:r w:rsidR="0096078B" w:rsidRPr="0096078B">
        <w:t>ART for treating HIV/AIDS</w:t>
      </w:r>
      <w:r w:rsidR="00A83CC7">
        <w:t xml:space="preserve">, which has been shown to improve employment outcomes </w:t>
      </w:r>
      <w:r w:rsidR="00A83CC7">
        <w:fldChar w:fldCharType="begin" w:fldLock="1"/>
      </w:r>
      <w:r w:rsidR="00420898">
        <w:instrText>ADDIN CSL_CITATION { "citationItems" : [ { "id" : "ITEM-1", "itemData" : { "DOI" : "10.1097/QAD.0b013e3282f3cc0c", "ISSN" : "1473-5571", "PMID" : "18195569", "abstract" : "OBJECTIVE: This paper estimates the impact of antiretroviral therapy (ART) on days harvesting tea per month for tea-estate workers in Kenya. Such information is needed to assess the potential economic benefits of providing treatment to working adults.\n\nMETHODS: Data for this analysis come from company payroll records for 59 HIV-infected workers and a comparison group of all workers assigned to the same work teams (reference group, n = 1992) for a period covering 2 years before and 1 year after initiating ART. Mean difference tests were used to obtain overall trends in days harvesting tea by month. A difference in difference approach was used to estimate the impact of HIV/AIDS on days working in the pre-ART period. Information on likely trends in the absence of the therapy was used to estimate the positive impacts on days harvesting tea over the initial 12 months on ART.\n\nRESULTS: No significant difference existed in days plucking tea each month until the ninth month before initiating ART, when workers worked -2.79 fewer days than references (15% less). This difference grew to 5.09 fewer days (27% less) in the final month before initiating ART. After 12 months on ART, we conservatively estimate that workers worked at least twice as many days in the month than they would have in the absence of ART.\n\nCONCLUSIONS: Treatment had a large, positive impact on the ability of workers to undertake their primary work activity, harvesting tea, in the first year on ART.", "author" : [ { "dropping-particle" : "", "family" : "Larson", "given" : "Bruce A", "non-dropping-particle" : "", "parse-names" : false, "suffix" : "" }, { "dropping-particle" : "", "family" : "Fox", "given" : "Matthew P", "non-dropping-particle" : "", "parse-names" : false, "suffix" : "" }, { "dropping-particle" : "", "family" : "Rosen", "given" : "Sydney", "non-dropping-particle" : "", "parse-names" : false, "suffix" : "" }, { "dropping-particle" : "", "family" : "Bii", "given" : "Margaret", "non-dropping-particle" : "", "parse-names" : false, "suffix" : "" }, { "dropping-particle" : "", "family" : "Sigei", "given" : "Carolyne", "non-dropping-particle" : "", "parse-names" : false, "suffix" : "" }, { "dropping-particle" : "", "family" : "Shaffer", "given" : "Douglas", "non-dropping-particle" : "", "parse-names" : false, "suffix" : "" }, { "dropping-particle" : "", "family" : "Sawe", "given" : "Fredrick", "non-dropping-particle" : "", "parse-names" : false, "suffix" : "" }, { "dropping-particle" : "", "family" : "Wasunna", "given" : "Monique", "non-dropping-particle" : "", "parse-names" : false, "suffix" : "" }, { "dropping-particle" : "", "family" : "Simon", "given" : "Jonathon L", "non-dropping-particle" : "", "parse-names" : false, "suffix" : "" } ], "container-title" : "AIDS (London, England)", "id" : "ITEM-1", "issue" : "3", "issued" : { "date-parts" : [ [ "2008", "1", "30" ] ] }, "page" : "421-5", "title" : "Early effects of antiretroviral therapy on work performance: preliminary results from a cohort study of Kenyan agricultural workers.", "type" : "article-journal", "volume" : "22" }, "uris" : [ "http://www.mendeley.com/documents/?uuid=a1bc2a23-79bb-41a3-8e2b-7ec978087a74" ] }, { "id" : "ITEM-2", "itemData" : { "ISSN" : "0022-166X", "PMID" : "22180664", "abstract" : "Using longitudinal survey data collected in collaboration with a treatment program, this paper estimates the economic impacts of antiretroviral treatment. The responses in two outcomes are studied: (1) labor supply of treated adult AIDS patients; and (2) labor supply of individuals in patients' households. Within six months after treatment initiation, there is a 20 percent increase in the likelihood of the patient participating in the labor force and a 35 percent increase in weekly hours worked. Young boys in treated patients' households work significantly less after treatment initiation, while girls and adult household members do not change their labor supply.", "author" : [ { "dropping-particle" : "", "family" : "Thirumurthy", "given" : "Harsha", "non-dropping-particle" : "", "parse-names" : false, "suffix" : "" }, { "dropping-particle" : "", "family" : "Zivin", "given" : "Joshua Graff", "non-dropping-particle" : "", "parse-names" : false, "suffix" : "" }, { "dropping-particle" : "", "family" : "Goldstein", "given" : "Markus", "non-dropping-particle" : "", "parse-names" : false, "suffix" : "" } ], "container-title" : "The Journal of human resources", "id" : "ITEM-2", "issue" : "3", "issued" : { "date-parts" : [ [ "2008", "1" ] ] }, "language" : "en", "page" : "511-552", "publisher" : "NIH Public Access", "title" : "The Economic Impact of AIDS Treatment: Labor Supply in Western Kenya.", "type" : "article-journal", "volume" : "43" }, "uris" : [ "http://www.mendeley.com/documents/?uuid=4d40eaa9-5ce6-4248-abe2-fc2eb24b4a5d" ] }, { "id" : "ITEM-3", "itemData" : { "DOI" : "10.1097/QAD.0b013e328341b928", "ISSN" : "0269-9370", "PMID" : "21150560", "abstract" : "OBJECTIVES: to estimate the economic impact of antiretroviral therapy (ART) on employment and income of treated patients as well as a comparison group of pre-ART patients who receive care and support in Tamil Nadu, India.\n\nMETHODS: a cohort of 1238 HIV-infected patients was followed between 2005 and 2007. Socioeconomic data were collected at 6-month intervals. A total of 515 patients initiated ART during the study period, whereas a comparison group of 723 patients were pre-ART. The impact of ART on four employment outcomes was analyzed: participation in economic activities in the past week, number of hours worked in the past week, individual income earned in the past 30 days and 6 months. Regression models including patient fixed effects were estimated. Data from the comparison group of patients were used to adjust for time trends in employment outcomes.\n\nRESULTS: At 6 months after initiation of ART, patients were 10 percentage points more likely to be economically active (P &lt; 0.01) and worked 5.5 additional hours per week (P &lt; 0.01). These increases were over and above those experienced by the comparison group. The estimated 24-month impacts represent a doubling of patients' employment levels at baseline. At 24 months after ART initiation, employment increases remained large and significant. Effects were almost twice as large for men compared with women. Income earned in the past 30 days and 6 months also rose significantly.\n\nCONCLUSION: ART resulted in a rapid and sustained increase in employment and income for patients. The results demonstrate that ART can improve the economic outcomes of HIV-infected patients.", "author" : [ { "dropping-particle" : "", "family" : "Thirumurthy", "given" : "Harsha", "non-dropping-particle" : "", "parse-names" : false, "suffix" : "" }, { "dropping-particle" : "", "family" : "Jafri", "given" : "Aisha", "non-dropping-particle" : "", "parse-names" : false, "suffix" : "" }, { "dropping-particle" : "", "family" : "Srinivas", "given" : "Govindarajulu", "non-dropping-particle" : "", "parse-names" : false, "suffix" : "" }, { "dropping-particle" : "", "family" : "Arumugam", "given" : "Viswanathan", "non-dropping-particle" : "", "parse-names" : false, "suffix" : "" }, { "dropping-particle" : "", "family" : "Saravanan", "given" : "Ramasamy M", "non-dropping-particle" : "", "parse-names" : false, "suffix" : "" }, { "dropping-particle" : "", "family" : "Angappan", "given" : "Sathish K", "non-dropping-particle" : "", "parse-names" : false, "suffix" : "" }, { "dropping-particle" : "", "family" : "Ponnusamy", "given" : "Manivannan", "non-dropping-particle" : "", "parse-names" : false, "suffix" : "" }, { "dropping-particle" : "", "family" : "Raghavan", "given" : "Subhasree", "non-dropping-particle" : "", "parse-names" : false, "suffix" : "" }, { "dropping-particle" : "", "family" : "Merson", "given" : "Michael", "non-dropping-particle" : "", "parse-names" : false, "suffix" : "" }, { "dropping-particle" : "", "family" : "Kallolikar", "given" : "Shambhu", "non-dropping-particle" : "", "parse-names" : false, "suffix" : "" } ], "container-title" : "AIDS", "id" : "ITEM-3", "issue" : "2", "issued" : { "date-parts" : [ [ "2011", "1", "14" ] ] }, "page" : "239-246", "title" : "Two-year impacts on employment and income among adults receiving antiretroviral therapy in Tamil Nadu, India: a cohort study", "type" : "article-journal", "volume" : "25" }, "uris" : [ "http://www.mendeley.com/documents/?uuid=825d6080-e4ff-47d7-8f51-89a2783da487" ] }, { "id" : "ITEM-4", "itemData" : { "DOI" : "10.3368/jhr.45.4.809", "ISSN" : "0022-166X", "abstract" : "We characterize medium and long-run labor market impacts of HIV/AIDS and ARV treatment using unique panel data of worker absenteeism and information from an AIDS treatment program at a large mining firm in Botswana. We present robust evidence of an inverse-V shaped pattern in worker absenteeism around the time of ARV treatment inception. Absenteeism one to four years after treatment start is low and similar to nonenrolled workers at the firm. Furthermore, our analysis suggests that for the typical manufacturing firm in Africa, the benefits of treatment to the firm cover 8-22 percent of the cost of treatment.", "author" : [ { "dropping-particle" : "", "family" : "Habyarimana", "given" : "James", "non-dropping-particle" : "", "parse-names" : false, "suffix" : "" }, { "dropping-particle" : "", "family" : "Mbakile", "given" : "Bekezela", "non-dropping-particle" : "", "parse-names" : false, "suffix" : "" }, { "dropping-particle" : "", "family" : "Pop-Eleches", "given" : "Cristian", "non-dropping-particle" : "", "parse-names" : false, "suffix" : "" } ], "container-title" : "Journal of Human Resources", "id" : "ITEM-4", "issue" : "4", "issued" : { "date-parts" : [ [ "2010", "9", "29" ] ] }, "page" : "809-839", "title" : "The Impact of HIV/AIDS and ARV Treatment on Worker Absenteeism", "type" : "article-journal", "volume" : "45" }, "uris" : [ "http://www.mendeley.com/documents/?uuid=e72eb6f5-8170-4eca-b5e8-6b199426c7e4" ] }, { "id" : "ITEM-5", "itemData" : { "DOI" : "10.1371/journal.pone.0012731", "ISSN" : "1932-6203", "PMID" : "20856821", "abstract" : "BACKGROUND: Although the medical outcomes of antiretroviral therapy (ART) for HIV/AIDS are well described, less is known about how ART affects patients' economic activities and quality of life, especially after the first year on ART. We assessed symptom prevalence, general health, ability to perform normal activities, and employment status among adult antiretroviral therapy patients in South Africa over three full years following ART initiation.\n\nMETHODOLOGY/PRINCIPAL FINDINGS: A cohort of 855 adult pre-ART patients and patients on ART for &lt;6 months was enrolled and interviewed an average of 4.4 times each during routine clinic visits for up to three years after treatment initiation using an instrument designed for the study. The probability of pain in the previous week fell from 74% before ART initiation to 32% after three years on ART, fatigue from 66% to 12%, nausea from 28% to 4%, and skin problems from 55% to 10%. The probability of not feeling well physically yesterday fell from 46% to 23%. Before starting ART, 39% of subjects reported not being able to perform their normal activities sometime during the previous week; after three years, this proportion fell to 10%. Employment rose from 27% to 42% of the cohort. Improvement in all outcomes was sustained over 3 years and for some outcomes increased in the second and third year.\n\nCONCLUSIONS/SIGNIFICANCE: Improvements in adult ART patients' symptom prevalence, general health, ability to perform normal activities, and employment status were large and were sustained through the first three years on treatment. These results suggest that some of the positive economic and social externalities anticipated as a result of large-scale treatment provision, such as increases in workforce participation and productivity and the ability of patients to carry on normal lives, may indeed be accruing.", "author" : [ { "dropping-particle" : "", "family" : "Rosen", "given" : "Sydney", "non-dropping-particle" : "", "parse-names" : false, "suffix" : "" }, { "dropping-particle" : "", "family" : "Larson", "given" : "Bruce", "non-dropping-particle" : "", "parse-names" : false, "suffix" : "" }, { "dropping-particle" : "", "family" : "Brennan", "given" : "Alana", "non-dropping-particle" : "", "parse-names" : false, "suffix" : "" }, { "dropping-particle" : "", "family" : "Long", "given" : "Lawrence", "non-dropping-particle" : "", "parse-names" : false, "suffix" : "" }, { "dropping-particle" : "", "family" : "Fox", "given" : "Matthew", "non-dropping-particle" : "", "parse-names" : false, "suffix" : "" }, { "dropping-particle" : "", "family" : "Mongwenyana", "given" : "Constance", "non-dropping-particle" : "", "parse-names" : false, "suffix" : "" }, { "dropping-particle" : "", "family" : "Ketlhapile", "given" : "Mpefe", "non-dropping-particle" : "", "parse-names" : false, "suffix" : "" }, { "dropping-particle" : "", "family" : "Sanne", "given" : "Ian", "non-dropping-particle" : "", "parse-names" : false, "suffix" : "" } ], "container-title" : "PloS one", "id" : "ITEM-5", "issue" : "9", "issued" : { "date-parts" : [ [ "2010", "1" ] ] }, "page" : "e12731", "title" : "Economic outcomes of patients receiving antiretroviral therapy for HIV/AIDS in South Africa are sustained through three years on treatment.", "type" : "article-journal", "volume" : "5" }, "uris" : [ "http://www.mendeley.com/documents/?uuid=14c5ef37-bb21-487d-8d16-aa6d66d6b2fa" ] } ], "mendeley" : { "formattedCitation" : "(Larson et al. 2008; Thirumurthy et al. 2008; Thirumurthy et al. 2011; Habyarimana et al. 2010; Rosen et al. 2010)", "plainTextFormattedCitation" : "(Larson et al. 2008; Thirumurthy et al. 2008; Thirumurthy et al. 2011; Habyarimana et al. 2010; Rosen et al. 2010)", "previouslyFormattedCitation" : "(Larson et al. 2008; Thirumurthy et al. 2008; Thirumurthy et al. 2011; Habyarimana et al. 2010; Rosen et al. 2010)" }, "properties" : { "noteIndex" : 0 }, "schema" : "https://github.com/citation-style-language/schema/raw/master/csl-citation.json" }</w:instrText>
      </w:r>
      <w:r w:rsidR="00A83CC7">
        <w:fldChar w:fldCharType="separate"/>
      </w:r>
      <w:r w:rsidR="00A83CC7" w:rsidRPr="00A83CC7">
        <w:rPr>
          <w:noProof/>
        </w:rPr>
        <w:t>(Larson et al. 2008; Thirumurthy et al. 2008; Thirumurthy et al. 2011; Habyarimana et al. 2010; Rosen et al. 2010)</w:t>
      </w:r>
      <w:r w:rsidR="00A83CC7">
        <w:fldChar w:fldCharType="end"/>
      </w:r>
      <w:r w:rsidR="00CF0B30">
        <w:t xml:space="preserve">, has resulted in an increase of </w:t>
      </w:r>
      <w:r w:rsidR="00A83CC7">
        <w:t>ART coverage among HIV positive individuals from 3% to 28% across Sub-Saharan Africa</w:t>
      </w:r>
      <w:r w:rsidR="00CF0B30">
        <w:t xml:space="preserve"> between 2005 and 2011</w:t>
      </w:r>
      <w:r w:rsidR="00A83CC7">
        <w:t xml:space="preserve"> </w:t>
      </w:r>
      <w:r w:rsidR="00E81A36">
        <w:fldChar w:fldCharType="begin" w:fldLock="1"/>
      </w:r>
      <w:r w:rsidR="00A83CC7">
        <w:instrText>ADDIN CSL_CITATION { "citationItems" : [ { "id" : "ITEM-1", "itemData" : { "URL" : "http://data.worldbank.org/indicator/SH.HIV.ARTC.ZS?page=1", "accessed" : { "date-parts" : [ [ "2017", "8", "9" ] ] }, "author" : [ { "dropping-particle" : "", "family" : "World Bank", "given" : "", "non-dropping-particle" : "", "parse-names" : false, "suffix" : "" } ], "id" : "ITEM-1", "issued" : { "date-parts" : [ [ "2017" ] ] }, "title" : "Antiretroviral therapy coverage (% of people living with HIV)", "type" : "webpage" }, "uris" : [ "http://www.mendeley.com/documents/?uuid=4a8f3b47-015e-3fed-bae4-32d4e117ef5a" ] } ], "mendeley" : { "formattedCitation" : "(World Bank 2017a)", "plainTextFormattedCitation" : "(World Bank 2017a)", "previouslyFormattedCitation" : "(World Bank 2017a)" }, "properties" : { "noteIndex" : 0 }, "schema" : "https://github.com/citation-style-language/schema/raw/master/csl-citation.json" }</w:instrText>
      </w:r>
      <w:r w:rsidR="00E81A36">
        <w:fldChar w:fldCharType="separate"/>
      </w:r>
      <w:r w:rsidR="00427EED" w:rsidRPr="00427EED">
        <w:rPr>
          <w:noProof/>
        </w:rPr>
        <w:t>(World Bank 2017a)</w:t>
      </w:r>
      <w:r w:rsidR="00E81A36">
        <w:fldChar w:fldCharType="end"/>
      </w:r>
      <w:r w:rsidR="00E81A36">
        <w:t xml:space="preserve">.  </w:t>
      </w:r>
      <w:r w:rsidRPr="00766317">
        <w:t>The current analysis</w:t>
      </w:r>
      <w:r w:rsidR="00A83CC7">
        <w:t xml:space="preserve"> also extends </w:t>
      </w:r>
      <w:r w:rsidRPr="00766317">
        <w:t>previous work</w:t>
      </w:r>
      <w:r w:rsidR="009679B4">
        <w:t xml:space="preserve"> </w:t>
      </w:r>
      <w:r w:rsidR="00CC11EF">
        <w:t xml:space="preserve">by exploring </w:t>
      </w:r>
      <w:r w:rsidR="00825F54">
        <w:t xml:space="preserve">whether the effect occurs on the supply or demand side, an important factor for determining what policies might </w:t>
      </w:r>
      <w:r w:rsidR="00A13241">
        <w:t>best be able to improve employmen</w:t>
      </w:r>
      <w:r w:rsidR="002B5204">
        <w:t xml:space="preserve">t outcomes for HIV positive men, using data on employment sector and </w:t>
      </w:r>
      <w:r w:rsidR="002B5204" w:rsidRPr="002B5204">
        <w:t xml:space="preserve">CD4 cell count, </w:t>
      </w:r>
      <w:r w:rsidR="002B5204">
        <w:t xml:space="preserve">the latter of </w:t>
      </w:r>
      <w:r w:rsidR="002B5204" w:rsidRPr="002B5204">
        <w:t>which is unique to the Uganda 2011 AIS</w:t>
      </w:r>
      <w:r w:rsidR="002B5204">
        <w:t>.</w:t>
      </w:r>
      <w:r w:rsidR="00825F54">
        <w:t xml:space="preserve"> </w:t>
      </w:r>
    </w:p>
    <w:p w14:paraId="3E5E5909" w14:textId="35F05F18" w:rsidR="001C523C" w:rsidRDefault="000F5032" w:rsidP="00F26B25">
      <w:pPr>
        <w:ind w:firstLine="204"/>
        <w:jc w:val="left"/>
      </w:pPr>
      <w:r w:rsidRPr="002C764A">
        <w:t xml:space="preserve">The sector in which </w:t>
      </w:r>
      <w:r w:rsidRPr="00BA1690">
        <w:t xml:space="preserve">employment growth occurs has implications for economic growth and poverty alleviation (Gutierrez, 2007). </w:t>
      </w:r>
      <w:r w:rsidR="00491F56">
        <w:t xml:space="preserve"> </w:t>
      </w:r>
      <w:r w:rsidRPr="002C764A">
        <w:t>We showed that the effect of HIV/AIDS on the likelihood of</w:t>
      </w:r>
      <w:r w:rsidRPr="00BA1690">
        <w:t xml:space="preserve"> employment</w:t>
      </w:r>
      <w:r>
        <w:t xml:space="preserve"> differs for manual and non-manual laborers, with the ATT showing a 7 percentage point reduction in the likelihood of being employed for manual laborers </w:t>
      </w:r>
      <w:r w:rsidR="00CF0B30">
        <w:t xml:space="preserve">while the </w:t>
      </w:r>
      <w:r>
        <w:t xml:space="preserve">effect for non-manual laborers. </w:t>
      </w:r>
      <w:r w:rsidR="001C523C">
        <w:t xml:space="preserve">If, as our results suggest, manual </w:t>
      </w:r>
      <w:r w:rsidR="001C523C" w:rsidRPr="0048750C">
        <w:t xml:space="preserve">laborers are more heavily affected, policy makers may </w:t>
      </w:r>
      <w:r w:rsidR="004365CE" w:rsidRPr="0048750C">
        <w:t xml:space="preserve">consider </w:t>
      </w:r>
      <w:r w:rsidR="001C523C" w:rsidRPr="0048750C">
        <w:t>target</w:t>
      </w:r>
      <w:r w:rsidR="00D3214A" w:rsidRPr="0048750C">
        <w:t>ing</w:t>
      </w:r>
      <w:r w:rsidR="001C523C" w:rsidRPr="0048750C">
        <w:t xml:space="preserve"> interventions toward that group.  The sectoral analysis is also potentially useful if future research provides estimates of the net production by sector</w:t>
      </w:r>
      <w:r w:rsidR="00FB53AB">
        <w:t xml:space="preserve">.  This information can be used by policy makers in decisions around how to allocate health system resources.  </w:t>
      </w:r>
      <w:r w:rsidR="00840742">
        <w:t xml:space="preserve">It may also be valuable to estimate the employment effects of HIV on females in the </w:t>
      </w:r>
      <w:r w:rsidR="00FB53AB">
        <w:t>further research</w:t>
      </w:r>
      <w:r w:rsidR="00840742">
        <w:t xml:space="preserve">.  </w:t>
      </w:r>
    </w:p>
    <w:p w14:paraId="448A8171" w14:textId="77777777" w:rsidR="00973B98" w:rsidRDefault="00176EA4" w:rsidP="00274F09">
      <w:pPr>
        <w:ind w:firstLine="204"/>
        <w:jc w:val="left"/>
      </w:pPr>
      <w:r>
        <w:t>In an effort to disentangle supply and demand side effects, we attempted to isolate a supply side effect by limiting the sample to agricultural manual laborers, over 90% of who are self-employed in subsistence agriculture or animal rearing.  The effect size was similar to that which was estimated for the original sample, suggesting that the effect may largely be a supply side one</w:t>
      </w:r>
      <w:r w:rsidR="00973B98">
        <w:t xml:space="preserve"> and</w:t>
      </w:r>
      <w:r>
        <w:t xml:space="preserve"> </w:t>
      </w:r>
      <w:r w:rsidR="000F5032">
        <w:t xml:space="preserve">supply side </w:t>
      </w:r>
      <w:r>
        <w:t xml:space="preserve">policies </w:t>
      </w:r>
      <w:r w:rsidR="000F5032">
        <w:t xml:space="preserve">(e.g., increasing the availability and provision of ART) </w:t>
      </w:r>
      <w:r>
        <w:t>may</w:t>
      </w:r>
      <w:r w:rsidR="000F5032">
        <w:t xml:space="preserve"> be appropriate. </w:t>
      </w:r>
    </w:p>
    <w:p w14:paraId="1094975B" w14:textId="77777777" w:rsidR="00797DBA" w:rsidRDefault="00973B98" w:rsidP="00274F09">
      <w:pPr>
        <w:ind w:firstLine="204"/>
        <w:jc w:val="left"/>
      </w:pPr>
      <w:r>
        <w:t xml:space="preserve">We further assessed this by evaluating the association between increased disease severity and employment status using CD4 cell count.  </w:t>
      </w:r>
      <w:r w:rsidR="003F13AD">
        <w:t>If the</w:t>
      </w:r>
      <w:r w:rsidR="006A265F">
        <w:t xml:space="preserve"> supply side</w:t>
      </w:r>
      <w:r>
        <w:t xml:space="preserve"> effect</w:t>
      </w:r>
      <w:r w:rsidR="006A265F">
        <w:t xml:space="preserve"> </w:t>
      </w:r>
      <w:r w:rsidR="003F13AD">
        <w:t>is driven by</w:t>
      </w:r>
      <w:r w:rsidR="002C764A">
        <w:t xml:space="preserve"> </w:t>
      </w:r>
      <w:r w:rsidR="00A372EE">
        <w:t xml:space="preserve">the physical effects of illness, it would be expected that as illness progresses </w:t>
      </w:r>
      <w:r w:rsidR="006A265F">
        <w:t>the magnitude of the</w:t>
      </w:r>
      <w:r w:rsidR="00A372EE">
        <w:t xml:space="preserve"> effect on employment </w:t>
      </w:r>
      <w:r w:rsidR="006A265F">
        <w:t xml:space="preserve">would </w:t>
      </w:r>
      <w:r w:rsidR="00A372EE">
        <w:t xml:space="preserve">increase.  </w:t>
      </w:r>
      <w:r>
        <w:t>D</w:t>
      </w:r>
      <w:r w:rsidR="000F6F2B">
        <w:t>ecreases in CD4 cell count</w:t>
      </w:r>
      <w:r>
        <w:t xml:space="preserve"> are</w:t>
      </w:r>
      <w:r w:rsidR="000F6F2B">
        <w:t xml:space="preserve"> </w:t>
      </w:r>
      <w:r w:rsidR="00504074">
        <w:t xml:space="preserve">associated with an increased risk of co-infection with, for example tuberculosis or hepatitis, and opportunistic infections, such as certain cancers (e.g., </w:t>
      </w:r>
      <w:r w:rsidR="00504074" w:rsidRPr="002736E5">
        <w:t>Kaposi’s sarcoma</w:t>
      </w:r>
      <w:r w:rsidR="00504074">
        <w:t>), pneumocystis pneumonia and</w:t>
      </w:r>
      <w:r w:rsidR="00504074" w:rsidRPr="002736E5">
        <w:t xml:space="preserve"> toxoplasmosis</w:t>
      </w:r>
      <w:r w:rsidR="00504074">
        <w:t>, among others, which all result in ill health and may detriment an individual’s ability to work.  Even without co-infections and opportunistic infections, however, decreases in CD4 cell count lead to AIDS, which itself causes symptoms that may affect an individual’s ability to work, such as fatigue, dizziness, balance issues and flu-like symptoms among others.  CD4 cell count is affected by both duration of HIV-infection and treatment with ART.</w:t>
      </w:r>
      <w:r w:rsidR="00504074" w:rsidRPr="00C066D3">
        <w:rPr>
          <w:rStyle w:val="FootnoteReference"/>
        </w:rPr>
        <w:footnoteReference w:id="16"/>
      </w:r>
      <w:r w:rsidR="00504074">
        <w:t xml:space="preserve">  </w:t>
      </w:r>
      <w:r w:rsidR="00A372EE">
        <w:t xml:space="preserve">The analysis of the association between </w:t>
      </w:r>
      <w:r w:rsidR="00A372EE" w:rsidRPr="002B116F">
        <w:t>different observed levels of CD4 count</w:t>
      </w:r>
      <w:r w:rsidR="00A372EE">
        <w:t xml:space="preserve"> and employment using probit regression </w:t>
      </w:r>
      <w:r w:rsidR="000F6F2B">
        <w:t xml:space="preserve">showed that </w:t>
      </w:r>
      <w:r w:rsidR="008D04DD">
        <w:t>at</w:t>
      </w:r>
      <w:r w:rsidR="000F6F2B">
        <w:t xml:space="preserve"> lower CD4 thresholds the association between having a CD4 cell count below versus above the threshold was associated with an effect on employment status of greater magnitude.  </w:t>
      </w:r>
      <w:r w:rsidR="007B4ADE">
        <w:t>Having a</w:t>
      </w:r>
      <w:r w:rsidR="000F6F2B">
        <w:t xml:space="preserve"> CD4 cell count of 200 per mm</w:t>
      </w:r>
      <w:r w:rsidR="000F6F2B">
        <w:rPr>
          <w:vertAlign w:val="superscript"/>
        </w:rPr>
        <w:t>3</w:t>
      </w:r>
      <w:r w:rsidR="000F6F2B">
        <w:t xml:space="preserve"> or below </w:t>
      </w:r>
      <w:r w:rsidR="007B4ADE">
        <w:t xml:space="preserve">(versus higher than 200) </w:t>
      </w:r>
      <w:r w:rsidR="00A372EE">
        <w:t>is associated with a 9</w:t>
      </w:r>
      <w:r w:rsidR="000F6F2B">
        <w:t xml:space="preserve"> percentag</w:t>
      </w:r>
      <w:r w:rsidR="007B4ADE">
        <w:t>e point reduction in employment.  Using a higher threshold of 500 per mm</w:t>
      </w:r>
      <w:r w:rsidR="007B4ADE">
        <w:rPr>
          <w:vertAlign w:val="superscript"/>
        </w:rPr>
        <w:t>3</w:t>
      </w:r>
      <w:r w:rsidR="007B4ADE">
        <w:t xml:space="preserve"> the association reduces to a less than </w:t>
      </w:r>
      <w:r w:rsidR="00A372EE">
        <w:t>1</w:t>
      </w:r>
      <w:r w:rsidR="007B4ADE">
        <w:t xml:space="preserve"> percentage point reduction</w:t>
      </w:r>
      <w:r w:rsidR="000F6F2B">
        <w:t>.</w:t>
      </w:r>
      <w:r w:rsidR="005F6094">
        <w:t xml:space="preserve">  This suggests that </w:t>
      </w:r>
      <w:r w:rsidR="00A372EE">
        <w:t xml:space="preserve">increased disease </w:t>
      </w:r>
      <w:r w:rsidR="005F6094">
        <w:t xml:space="preserve">severity </w:t>
      </w:r>
      <w:r w:rsidR="00A372EE">
        <w:t xml:space="preserve">has a </w:t>
      </w:r>
      <w:r w:rsidR="00AA0564">
        <w:t>greater</w:t>
      </w:r>
      <w:r w:rsidR="00A372EE">
        <w:t xml:space="preserve"> negative</w:t>
      </w:r>
      <w:r w:rsidR="005F6094">
        <w:t xml:space="preserve"> impact employment status.  </w:t>
      </w:r>
    </w:p>
    <w:p w14:paraId="2F7F4697" w14:textId="15468F5D" w:rsidR="00090F3D" w:rsidDel="006A265F" w:rsidRDefault="00C148C3" w:rsidP="00C647B6">
      <w:pPr>
        <w:ind w:firstLine="204"/>
        <w:jc w:val="left"/>
      </w:pPr>
      <w:r>
        <w:t>While the econometric strategy used is robust, t</w:t>
      </w:r>
      <w:r w:rsidR="00090F3D" w:rsidDel="006A265F">
        <w:t>he validity of using male</w:t>
      </w:r>
      <w:r w:rsidR="00090F3D" w:rsidRPr="00090F3D" w:rsidDel="006A265F">
        <w:t xml:space="preserve"> </w:t>
      </w:r>
      <w:r w:rsidR="00090F3D" w:rsidDel="006A265F">
        <w:t>circumcision as an instrument may be questioned on the basis of individuals’ risk preferences. For example, individuals who engage in more risky sex</w:t>
      </w:r>
      <w:r w:rsidR="00FB53AB">
        <w:t>ual behavior</w:t>
      </w:r>
      <w:r w:rsidR="00090F3D" w:rsidDel="006A265F">
        <w:t xml:space="preserve"> (and are therefore at greater risk for contracting HIV) may also be more likely to become circumcised to lessen their risk. These same individuals might select into riskier and less steady employment. This was investigated in two different ways by first excluding males circumcised as adults and second by excluding males circumcised after 2006, when it became public knowledge that male circumcision has a preventative effect against HIV infection. The results were robust to these sensitivity analyses</w:t>
      </w:r>
      <w:r w:rsidR="000E2DC8" w:rsidDel="006A265F">
        <w:t xml:space="preserve"> and consistent with the findings of </w:t>
      </w:r>
      <w:r w:rsidR="005D7F89" w:rsidDel="006A265F">
        <w:fldChar w:fldCharType="begin" w:fldLock="1"/>
      </w:r>
      <w:r w:rsidR="0026353B" w:rsidDel="006A265F">
        <w:instrText>ADDIN CSL_CITATION { "citationItems" : [ { "id" : "ITEM-1", "itemData" : { "DOI" : "10.1162/REST_a_00516", "ISSN" : "0034-6535", "abstract" : "Abstract Understanding behavioral responses to changes in actual or perceived risk is important because risk-reduction goals can be undermined by risk-compensating behavior. This paper examines the response to new information about the risk of HIV infection. Approximately 1,200 circumcised and uncircumcised men in rural Malawi are randomly informed that male circumcision reduces the HIV transmission rate, predicting asymmetric behavioral responses. We find no evidence that the information induces circumcised men to engage in riskier sex while uncircumcised men practice safer sex in response to the information. There were no significant effects of the information on child circumcisions after one year.", "author" : [ { "dropping-particle" : "", "family" : "Godlonton", "given" : "Susan", "non-dropping-particle" : "", "parse-names" : false, "suffix" : "" }, { "dropping-particle" : "", "family" : "Munthali", "given" : "Alister", "non-dropping-particle" : "", "parse-names" : false, "suffix" : "" }, { "dropping-particle" : "", "family" : "Thornton", "given" : "Rebecca", "non-dropping-particle" : "", "parse-names" : false, "suffix" : "" } ], "container-title" : "Review of Economics and Statistics", "id" : "ITEM-1", "issue" : "2", "issued" : { "date-parts" : [ [ "2016", "5", "21" ] ] }, "language" : "en", "page" : "333-349", "publisher" : "The MIT Press", "title" : "Responding to Risk: Circumcision, Information, and HIV Prevention", "type" : "article-journal", "volume" : "98" }, "uris" : [ "http://www.mendeley.com/documents/?uuid=57381b92-30ab-4483-8ae5-3813a9a86435" ] } ], "mendeley" : { "formattedCitation" : "(Godlonton et al. 2016)", "manualFormatting" : "Godlonton et al (2016)", "plainTextFormattedCitation" : "(Godlonton et al. 2016)", "previouslyFormattedCitation" : "(Godlonton et al. 2016)" }, "properties" : { "noteIndex" : 0 }, "schema" : "https://github.com/citation-style-language/schema/raw/master/csl-citation.json" }</w:instrText>
      </w:r>
      <w:r w:rsidR="005D7F89" w:rsidDel="006A265F">
        <w:fldChar w:fldCharType="separate"/>
      </w:r>
      <w:r w:rsidR="000E2DC8" w:rsidRPr="000E2DC8" w:rsidDel="006A265F">
        <w:rPr>
          <w:noProof/>
        </w:rPr>
        <w:t>Godlonton</w:t>
      </w:r>
      <w:r w:rsidR="000E2DC8" w:rsidDel="006A265F">
        <w:rPr>
          <w:noProof/>
        </w:rPr>
        <w:t xml:space="preserve"> et al (</w:t>
      </w:r>
      <w:r w:rsidR="000E2DC8" w:rsidRPr="000E2DC8" w:rsidDel="006A265F">
        <w:rPr>
          <w:noProof/>
        </w:rPr>
        <w:t>2016)</w:t>
      </w:r>
      <w:r w:rsidR="005D7F89" w:rsidDel="006A265F">
        <w:fldChar w:fldCharType="end"/>
      </w:r>
      <w:r w:rsidR="000E2DC8" w:rsidDel="006A265F">
        <w:t xml:space="preserve"> who show no evidence of risk compensation related to the information that circumcision is partially preventive against HIV</w:t>
      </w:r>
      <w:r w:rsidR="00090F3D" w:rsidDel="006A265F">
        <w:t>.</w:t>
      </w:r>
    </w:p>
    <w:p w14:paraId="40C3E21A" w14:textId="77777777" w:rsidR="00BC3A2B" w:rsidRDefault="000F5032" w:rsidP="000F5032">
      <w:r>
        <w:t>To conclude, this study aimed to estimate the causal impact of HIV status on employment</w:t>
      </w:r>
      <w:r w:rsidR="00BA1690">
        <w:t>.  It also</w:t>
      </w:r>
      <w:r>
        <w:t xml:space="preserve"> explore</w:t>
      </w:r>
      <w:r w:rsidR="00BA1690">
        <w:t>d</w:t>
      </w:r>
      <w:r>
        <w:t xml:space="preserve"> if and how </w:t>
      </w:r>
      <w:r w:rsidR="00BA1690">
        <w:t xml:space="preserve">that </w:t>
      </w:r>
      <w:r>
        <w:t>effect varies by employment sector</w:t>
      </w:r>
      <w:r w:rsidR="00BA1690">
        <w:t xml:space="preserve"> and for agricultural manual laborers, most of who work in subsistence agriculture,</w:t>
      </w:r>
      <w:r w:rsidR="00E95080">
        <w:t xml:space="preserve"> </w:t>
      </w:r>
      <w:r w:rsidR="00BA1690">
        <w:t xml:space="preserve">to isolate a causal supply side effect.  It further considered whether the association between HIV and employment varied by </w:t>
      </w:r>
      <w:r w:rsidR="00E95080">
        <w:t>severity of disease</w:t>
      </w:r>
      <w:r w:rsidR="00BA1690">
        <w:t>, a result that could further support a supply side effect</w:t>
      </w:r>
      <w:r>
        <w:t xml:space="preserve">. </w:t>
      </w:r>
      <w:r w:rsidR="00BA1690">
        <w:t>A</w:t>
      </w:r>
      <w:r>
        <w:t xml:space="preserve"> recursive bivariate probit, with male circumcision as the instrument,</w:t>
      </w:r>
      <w:r w:rsidR="00BA1690">
        <w:t xml:space="preserve"> was used</w:t>
      </w:r>
      <w:r>
        <w:t xml:space="preserve"> to overcome the endogeneity arising from simultaneity bias in the estimation of the effect of HIV on employment status</w:t>
      </w:r>
      <w:r w:rsidR="000A2E69">
        <w:t xml:space="preserve">.  We found </w:t>
      </w:r>
      <w:r>
        <w:t xml:space="preserve">that being HIV positive resulted in a 5 percentage point reduction in the likelihood of being employed. </w:t>
      </w:r>
      <w:r w:rsidR="000A2E69">
        <w:t xml:space="preserve"> </w:t>
      </w:r>
      <w:r>
        <w:t>The effect size differed between manual and non-manual laborers, with a 7 percentage point reduction in the likelihood of being employ</w:t>
      </w:r>
      <w:r w:rsidR="003C0CBF">
        <w:t xml:space="preserve">ed for manual laborers and no evidence of a statistically </w:t>
      </w:r>
      <w:r>
        <w:t>significant effect for non-manual laborers.</w:t>
      </w:r>
      <w:r w:rsidR="000A68EE">
        <w:t xml:space="preserve">  </w:t>
      </w:r>
      <w:r w:rsidR="000A2E69">
        <w:t xml:space="preserve">When the sample was limited to subsistence agriculture workers the effect size was very similar to what it was for the whole sample, suggesting the effect occurs largely on the supply side.  </w:t>
      </w:r>
      <w:r w:rsidR="000A68EE">
        <w:t xml:space="preserve">Furthermore, the magnitude of the association between </w:t>
      </w:r>
      <w:r w:rsidR="00797DBA">
        <w:t xml:space="preserve">HIV </w:t>
      </w:r>
      <w:r w:rsidR="000A68EE">
        <w:t xml:space="preserve">illness (as measured by CD4 cell count) </w:t>
      </w:r>
      <w:r w:rsidR="007D3BE1">
        <w:t xml:space="preserve">and lowered likelihood of employment </w:t>
      </w:r>
      <w:r w:rsidR="000A68EE">
        <w:t>was greater at lower CD4 cell counts than higher ones, suggesting that</w:t>
      </w:r>
      <w:r w:rsidR="00797DBA">
        <w:t xml:space="preserve"> severity of disease may affect employment</w:t>
      </w:r>
      <w:r w:rsidR="00B7522C">
        <w:t>, particularly impairing manual laborers in undertaking their work</w:t>
      </w:r>
      <w:r w:rsidR="00797DBA">
        <w:t>.</w:t>
      </w:r>
      <w:r w:rsidR="00313EBC">
        <w:t xml:space="preserve">  </w:t>
      </w:r>
    </w:p>
    <w:p w14:paraId="35C5D1B8" w14:textId="77777777" w:rsidR="0026532F" w:rsidRPr="00BC3A2B" w:rsidRDefault="00042A0C" w:rsidP="000F5032">
      <w:pPr>
        <w:rPr>
          <w:b/>
        </w:rPr>
      </w:pPr>
      <w:r>
        <w:br w:type="page"/>
      </w:r>
      <w:r w:rsidR="00BC3A2B" w:rsidRPr="00BC3A2B">
        <w:rPr>
          <w:b/>
        </w:rPr>
        <w:t>Acknowledgements</w:t>
      </w:r>
    </w:p>
    <w:p w14:paraId="010B4442" w14:textId="77777777" w:rsidR="00BC3A2B" w:rsidRDefault="00BC3A2B" w:rsidP="000F5032"/>
    <w:p w14:paraId="2846453C" w14:textId="60FA853D" w:rsidR="00F46D88" w:rsidRDefault="00BC3A2B" w:rsidP="00232D39">
      <w:pPr>
        <w:ind w:firstLine="204"/>
      </w:pPr>
      <w:r w:rsidRPr="00BC3A2B">
        <w:t>The authors acknowledge the tremendous contributions of Panos Kasteridis for his insight, Deborah Ford and James Lomas for extensive comments</w:t>
      </w:r>
      <w:r w:rsidR="006D2CD7">
        <w:t xml:space="preserve"> as well as t</w:t>
      </w:r>
      <w:r w:rsidR="004365CE">
        <w:t>hree</w:t>
      </w:r>
      <w:r w:rsidR="006D2CD7">
        <w:t xml:space="preserve"> anonymous </w:t>
      </w:r>
      <w:r w:rsidR="007613AE">
        <w:t xml:space="preserve">reviewers </w:t>
      </w:r>
      <w:r w:rsidR="006D2CD7">
        <w:t xml:space="preserve">for their comments on previous drafts of the paper. </w:t>
      </w:r>
      <w:r w:rsidRPr="00BC3A2B">
        <w:t xml:space="preserve">Marc Suhckre and others within the Centre for Health Economics at the University of York for useful suggestions and support.  </w:t>
      </w:r>
      <w:r w:rsidR="006D2CD7">
        <w:t xml:space="preserve">The paper was presented at various seminars. </w:t>
      </w:r>
      <w:r w:rsidRPr="00BC3A2B">
        <w:t>We are grateful to seminar participants at the University of York—in particular Andrew Jones and Nigel Rice—and at Utrecht University</w:t>
      </w:r>
      <w:r w:rsidR="006D2CD7">
        <w:t xml:space="preserve"> School of Economics</w:t>
      </w:r>
      <w:r w:rsidR="006D2CD7" w:rsidRPr="00BC3A2B">
        <w:t>—</w:t>
      </w:r>
      <w:r w:rsidR="00FB53AB">
        <w:t xml:space="preserve">in particular Wolter Hassink, </w:t>
      </w:r>
      <w:r w:rsidR="006D2CD7">
        <w:t>Joop Schippers</w:t>
      </w:r>
      <w:r w:rsidRPr="00BC3A2B">
        <w:t xml:space="preserve">, </w:t>
      </w:r>
      <w:r w:rsidR="00FB53AB" w:rsidRPr="00FB53AB">
        <w:t>Alfonso Souza-Poza and Adriaan Kalwij</w:t>
      </w:r>
      <w:r w:rsidR="00FB53AB">
        <w:t xml:space="preserve">, </w:t>
      </w:r>
      <w:r w:rsidRPr="00BC3A2B">
        <w:t>and attendees at the International Health Economics Association (iHEA) conference in Milan.  All errors are our own.</w:t>
      </w:r>
    </w:p>
    <w:p w14:paraId="2ADADD8D" w14:textId="77777777" w:rsidR="008A4417" w:rsidRDefault="008A4417" w:rsidP="00232D39">
      <w:pPr>
        <w:ind w:firstLine="204"/>
      </w:pPr>
    </w:p>
    <w:p w14:paraId="29722588" w14:textId="77777777" w:rsidR="008A4417" w:rsidRDefault="008A4417" w:rsidP="00232D39">
      <w:pPr>
        <w:ind w:firstLine="204"/>
      </w:pPr>
      <w:r>
        <w:t>The authors have no conflicts of interest to declare.</w:t>
      </w:r>
    </w:p>
    <w:p w14:paraId="1B169030" w14:textId="77777777" w:rsidR="00BC3A2B" w:rsidRDefault="00BC3A2B">
      <w:pPr>
        <w:spacing w:after="200" w:line="276" w:lineRule="auto"/>
        <w:ind w:firstLine="0"/>
        <w:jc w:val="left"/>
      </w:pPr>
      <w:r>
        <w:br w:type="page"/>
      </w:r>
    </w:p>
    <w:p w14:paraId="4BA63EFE" w14:textId="77777777" w:rsidR="0033583A" w:rsidRDefault="00BC3A2B" w:rsidP="00E656F8">
      <w:pPr>
        <w:ind w:firstLine="0"/>
        <w:rPr>
          <w:b/>
        </w:rPr>
      </w:pPr>
      <w:r w:rsidRPr="00BC3A2B">
        <w:rPr>
          <w:b/>
        </w:rPr>
        <w:t>References</w:t>
      </w:r>
    </w:p>
    <w:p w14:paraId="43CB6549" w14:textId="77777777" w:rsidR="00E656F8" w:rsidRPr="00BC3A2B" w:rsidRDefault="00E656F8" w:rsidP="00E656F8">
      <w:pPr>
        <w:ind w:firstLine="0"/>
        <w:rPr>
          <w:b/>
        </w:rPr>
      </w:pPr>
    </w:p>
    <w:p w14:paraId="6CF97CEE" w14:textId="77777777" w:rsidR="00A77D8E" w:rsidRPr="00A77D8E" w:rsidRDefault="005D7F89" w:rsidP="00A77D8E">
      <w:pPr>
        <w:widowControl w:val="0"/>
        <w:autoSpaceDE w:val="0"/>
        <w:autoSpaceDN w:val="0"/>
        <w:adjustRightInd w:val="0"/>
        <w:ind w:left="480" w:hanging="480"/>
        <w:rPr>
          <w:noProof/>
        </w:rPr>
      </w:pPr>
      <w:r>
        <w:fldChar w:fldCharType="begin" w:fldLock="1"/>
      </w:r>
      <w:r w:rsidR="00E656F8">
        <w:instrText xml:space="preserve">ADDIN Mendeley Bibliography CSL_BIBLIOGRAPHY </w:instrText>
      </w:r>
      <w:r>
        <w:fldChar w:fldCharType="separate"/>
      </w:r>
      <w:r w:rsidR="00A77D8E" w:rsidRPr="00A77D8E">
        <w:rPr>
          <w:noProof/>
        </w:rPr>
        <w:t xml:space="preserve">Ahuja, A., Wendell, B. &amp; Werker, E., 2009. </w:t>
      </w:r>
      <w:r w:rsidR="00A77D8E" w:rsidRPr="00A77D8E">
        <w:rPr>
          <w:i/>
          <w:iCs/>
          <w:noProof/>
        </w:rPr>
        <w:t>Male circumcision and AIDS: the macroeconomic impact of a health crisis</w:t>
      </w:r>
      <w:r w:rsidR="00A77D8E" w:rsidRPr="00A77D8E">
        <w:rPr>
          <w:noProof/>
        </w:rPr>
        <w:t>, Boston. Available at: http://www.hbs.edu/faculty/Publication Files/07-025.pdf [Accessed April 19, 2016].</w:t>
      </w:r>
    </w:p>
    <w:p w14:paraId="3A3AA761"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Auvert, B. et al., 2005. Randomized, controlled intervention trial of male circumcision for reduction of HIV infection risk: the ANRS 1265 Trial. </w:t>
      </w:r>
      <w:r w:rsidRPr="00A77D8E">
        <w:rPr>
          <w:i/>
          <w:iCs/>
          <w:noProof/>
        </w:rPr>
        <w:t>PLoS medicine</w:t>
      </w:r>
      <w:r w:rsidRPr="00A77D8E">
        <w:rPr>
          <w:noProof/>
        </w:rPr>
        <w:t>, 2(11), p.e298. Available at: http://journals.plos.org/plosmedicine/article?id=10.1371/journal.pmed.0020298 [Accessed December 20, 2015].</w:t>
      </w:r>
    </w:p>
    <w:p w14:paraId="773403E2"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Bailey, R.C. et al., 2007. Male circumcision for HIV prevention in young men in Kisumu, Kenya: a randomised controlled trial. </w:t>
      </w:r>
      <w:r w:rsidRPr="00A77D8E">
        <w:rPr>
          <w:i/>
          <w:iCs/>
          <w:noProof/>
        </w:rPr>
        <w:t>Lancet (London, England)</w:t>
      </w:r>
      <w:r w:rsidRPr="00A77D8E">
        <w:rPr>
          <w:noProof/>
        </w:rPr>
        <w:t>, 369(9562), pp.643–56. Available at: http://www.thelancet.com/article/S0140673607603122/fulltext [Accessed January 18, 2016].</w:t>
      </w:r>
    </w:p>
    <w:p w14:paraId="2185F887"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Bazzoli, G.J., 1985. The Early Retirement Decision: New Empirical Evidence on the Influence of Health. </w:t>
      </w:r>
      <w:r w:rsidRPr="00A77D8E">
        <w:rPr>
          <w:i/>
          <w:iCs/>
          <w:noProof/>
        </w:rPr>
        <w:t>Journal of Human Resources</w:t>
      </w:r>
      <w:r w:rsidRPr="00A77D8E">
        <w:rPr>
          <w:noProof/>
        </w:rPr>
        <w:t>, 20(2), pp.214–234. Available at: http://ideas.repec.org/a/uwp/jhriss/v20y1985i2p214-234.html [Accessed April 19, 2016].</w:t>
      </w:r>
    </w:p>
    <w:p w14:paraId="2B9C1D99"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Bhattacharya, J., Goldman, D. &amp; McCaffrey, D., 2006. Estimating probit models with self-selected treatments. </w:t>
      </w:r>
      <w:r w:rsidRPr="00A77D8E">
        <w:rPr>
          <w:i/>
          <w:iCs/>
          <w:noProof/>
        </w:rPr>
        <w:t>Statistics in medicine</w:t>
      </w:r>
      <w:r w:rsidRPr="00A77D8E">
        <w:rPr>
          <w:noProof/>
        </w:rPr>
        <w:t>, 25(3), pp.389–413. Available at: http://www.ncbi.nlm.nih.gov/pubmed/16382420 [Accessed March 31, 2016].</w:t>
      </w:r>
    </w:p>
    <w:p w14:paraId="1F284629"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Chiburis, R.C., Das, J. &amp; Lokshin, M., 2011. A practical comparison of the bivariate probit and linear IV estimators: Policy Research Working Papers. </w:t>
      </w:r>
      <w:r w:rsidRPr="00A77D8E">
        <w:rPr>
          <w:i/>
          <w:iCs/>
          <w:noProof/>
        </w:rPr>
        <w:t>Policy Research Working Papers</w:t>
      </w:r>
      <w:r w:rsidRPr="00A77D8E">
        <w:rPr>
          <w:noProof/>
        </w:rPr>
        <w:t>. Available at: http://elibrary.worldbank.org/doi/abs/10.1596/1813-9450-5601 [Accessed April 19, 2016].</w:t>
      </w:r>
    </w:p>
    <w:p w14:paraId="6718429F"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Currie, J. &amp; Madrian, B.C., 1999. Health, health insurance and the labor market. In </w:t>
      </w:r>
      <w:r w:rsidRPr="00A77D8E">
        <w:rPr>
          <w:i/>
          <w:iCs/>
          <w:noProof/>
        </w:rPr>
        <w:t>Handbook of Labor Economics</w:t>
      </w:r>
      <w:r w:rsidRPr="00A77D8E">
        <w:rPr>
          <w:noProof/>
        </w:rPr>
        <w:t>. Elsevier, pp. 3309–3416. Available at: http://ideas.repec.org/h/eee/labchp/3-50.html [Accessed April 19, 2016].</w:t>
      </w:r>
    </w:p>
    <w:p w14:paraId="28C0C2A7"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Famine Early Warning Systems Network, 2011. </w:t>
      </w:r>
      <w:r w:rsidRPr="00A77D8E">
        <w:rPr>
          <w:i/>
          <w:iCs/>
          <w:noProof/>
        </w:rPr>
        <w:t>Uganda Food Security Outlook: July to December 2011</w:t>
      </w:r>
      <w:r w:rsidRPr="00A77D8E">
        <w:rPr>
          <w:noProof/>
        </w:rPr>
        <w:t>, Available at: http://reliefweb.int/sites/reliefweb.int/files/resources/uganda_ol_2011_07_final.pdf [Accessed April 20, 2017].</w:t>
      </w:r>
    </w:p>
    <w:p w14:paraId="05F841EF"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Famine Early Warning Systems Network, 2010. </w:t>
      </w:r>
      <w:r w:rsidRPr="00A77D8E">
        <w:rPr>
          <w:i/>
          <w:iCs/>
          <w:noProof/>
        </w:rPr>
        <w:t>Uganda Food Security Outlook July to December 2010</w:t>
      </w:r>
      <w:r w:rsidRPr="00A77D8E">
        <w:rPr>
          <w:noProof/>
        </w:rPr>
        <w:t>, Available at: http://reliefweb.int/sites/reliefweb.int/files/resources/AD1B7070B73AF7EC85257773006E8380-Full_Report.pdf [Accessed April 24, 2017].</w:t>
      </w:r>
    </w:p>
    <w:p w14:paraId="20062952"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Fishel, J.D., Barrère, B. &amp; Kishor, S., 2014. </w:t>
      </w:r>
      <w:r w:rsidRPr="00A77D8E">
        <w:rPr>
          <w:i/>
          <w:iCs/>
          <w:noProof/>
        </w:rPr>
        <w:t>Validity of Data on Self-reported HIV Status in Malawi and Uganda and Implications for Measurement of ARV Coverage - DHS Methodological Reports No. 10</w:t>
      </w:r>
      <w:r w:rsidRPr="00A77D8E">
        <w:rPr>
          <w:noProof/>
        </w:rPr>
        <w:t>, Available at: http://dhsprogram.com/pubs/pdf/MR10/MR10.pdf [Accessed February 8, 2016].</w:t>
      </w:r>
    </w:p>
    <w:p w14:paraId="276BEACF"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Fox, M.P. et al., 2004. The impact of HIV/AIDS on labour productivity in Kenya. </w:t>
      </w:r>
      <w:r w:rsidRPr="00A77D8E">
        <w:rPr>
          <w:i/>
          <w:iCs/>
          <w:noProof/>
        </w:rPr>
        <w:t>Tropical Medicine and International Health</w:t>
      </w:r>
      <w:r w:rsidRPr="00A77D8E">
        <w:rPr>
          <w:noProof/>
        </w:rPr>
        <w:t>, 9(3), pp.318–324. Available at: http://doi.wiley.com/10.1111/j.1365-3156.2004.01207.x [Accessed April 19, 2016].</w:t>
      </w:r>
    </w:p>
    <w:p w14:paraId="721BCDA1"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Girardi, E. et al., 2001. Estimating duration of HIV infection with CD4 cell count and HIV-1 RNA at presentation. </w:t>
      </w:r>
      <w:r w:rsidRPr="00A77D8E">
        <w:rPr>
          <w:i/>
          <w:iCs/>
          <w:noProof/>
        </w:rPr>
        <w:t>AIDS (London, England)</w:t>
      </w:r>
      <w:r w:rsidRPr="00A77D8E">
        <w:rPr>
          <w:noProof/>
        </w:rPr>
        <w:t>, 15(16), pp.2201–3. Available at: http://www.ncbi.nlm.nih.gov/pubmed/11684945 [Accessed August 8, 2017].</w:t>
      </w:r>
    </w:p>
    <w:p w14:paraId="2FAC8FCD"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Godlonton, S., Munthali, A. &amp; Thornton, R., 2016. Responding to Risk: Circumcision, Information, and HIV Prevention. </w:t>
      </w:r>
      <w:r w:rsidRPr="00A77D8E">
        <w:rPr>
          <w:i/>
          <w:iCs/>
          <w:noProof/>
        </w:rPr>
        <w:t>Review of Economics and Statistics</w:t>
      </w:r>
      <w:r w:rsidRPr="00A77D8E">
        <w:rPr>
          <w:noProof/>
        </w:rPr>
        <w:t>, 98(2), pp.333–349. Available at: http://www.mitpressjournals.org/doi/10.1162/REST_a_00516#.VzsBQLgrJpi [Accessed May 17, 2016].</w:t>
      </w:r>
    </w:p>
    <w:p w14:paraId="0A157E1F"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Gray, R.H. et al., 2007. Male circumcision for HIV prevention in men in Rakai, Uganda: a randomised trial. </w:t>
      </w:r>
      <w:r w:rsidRPr="00A77D8E">
        <w:rPr>
          <w:i/>
          <w:iCs/>
          <w:noProof/>
        </w:rPr>
        <w:t>Lancet (London, England)</w:t>
      </w:r>
      <w:r w:rsidRPr="00A77D8E">
        <w:rPr>
          <w:noProof/>
        </w:rPr>
        <w:t>, 369(9562), pp.657–66. Available at: http://www.thelancet.com/article/S0140673607603134/fulltext [Accessed January 18, 2016].</w:t>
      </w:r>
    </w:p>
    <w:p w14:paraId="75942C26"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Gutierrez, C. et al., 2007. Does Employment Generation Really Matter For Poverty Reduction? </w:t>
      </w:r>
      <w:r w:rsidRPr="00A77D8E">
        <w:rPr>
          <w:i/>
          <w:iCs/>
          <w:noProof/>
        </w:rPr>
        <w:t>Policy Research Working Papers</w:t>
      </w:r>
      <w:r w:rsidRPr="00A77D8E">
        <w:rPr>
          <w:noProof/>
        </w:rPr>
        <w:t>. Available at: http://elibrary.worldbank.org/doi/abs/10.1596/1813-9450-4432 [Accessed April 19, 2016].</w:t>
      </w:r>
    </w:p>
    <w:p w14:paraId="506E932F"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Habyarimana, J., Mbakile, B. &amp; Pop-Eleches, C., 2010. The Impact of HIV/AIDS and ARV Treatment on Worker Absenteeism. </w:t>
      </w:r>
      <w:r w:rsidRPr="00A77D8E">
        <w:rPr>
          <w:i/>
          <w:iCs/>
          <w:noProof/>
        </w:rPr>
        <w:t>Journal of Human Resources</w:t>
      </w:r>
      <w:r w:rsidRPr="00A77D8E">
        <w:rPr>
          <w:noProof/>
        </w:rPr>
        <w:t>, 45(4), pp.809–839. Available at: http://jhr.uwpress.org/content/45/4/809.short [Accessed April 19, 2016].</w:t>
      </w:r>
    </w:p>
    <w:p w14:paraId="3D1142C6"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Hughson, G., 2017. Factsheet CD4 cell counts. </w:t>
      </w:r>
      <w:r w:rsidRPr="00A77D8E">
        <w:rPr>
          <w:i/>
          <w:iCs/>
          <w:noProof/>
        </w:rPr>
        <w:t>HIV &amp; AIDS Information</w:t>
      </w:r>
      <w:r w:rsidRPr="00A77D8E">
        <w:rPr>
          <w:noProof/>
        </w:rPr>
        <w:t>. Available at: http://www.aidsmap.com/CD4-cell-counts/page/1044596/ [Accessed August 8, 2017].</w:t>
      </w:r>
    </w:p>
    <w:p w14:paraId="5A3B7175"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Janssens, W. et al., 2014. Refusal Bias in the Estimation of HIV Prevalence. </w:t>
      </w:r>
      <w:r w:rsidRPr="00A77D8E">
        <w:rPr>
          <w:i/>
          <w:iCs/>
          <w:noProof/>
        </w:rPr>
        <w:t>Demography</w:t>
      </w:r>
      <w:r w:rsidRPr="00A77D8E">
        <w:rPr>
          <w:noProof/>
        </w:rPr>
        <w:t>, 51(3), pp.1131–1157. Available at: http://link.springer.com/10.1007/s13524-014-0290-0 [Accessed April 18, 2017].</w:t>
      </w:r>
    </w:p>
    <w:p w14:paraId="357C72F1"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Jones, A.M., 2007. </w:t>
      </w:r>
      <w:r w:rsidRPr="00A77D8E">
        <w:rPr>
          <w:i/>
          <w:iCs/>
          <w:noProof/>
        </w:rPr>
        <w:t>Applied Econometrics for Health Economists: A Practical Guide: Amazon.co.uk: Andrew Jones: 9781846191718: Books</w:t>
      </w:r>
      <w:r w:rsidRPr="00A77D8E">
        <w:rPr>
          <w:noProof/>
        </w:rPr>
        <w:t xml:space="preserve"> 2nd ed., Oxford: Radcliffe Publishing. Available at: https://www.amazon.co.uk/Applied-Econometrics-Health-Economists-Practical/dp/1846191718?ie=UTF8&amp;*Version*=1&amp;*entries*=0 [Accessed April 19, 2016].</w:t>
      </w:r>
    </w:p>
    <w:p w14:paraId="02524E70"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Katabira, E.T. et al., 2008. </w:t>
      </w:r>
      <w:r w:rsidRPr="00A77D8E">
        <w:rPr>
          <w:i/>
          <w:iCs/>
          <w:noProof/>
        </w:rPr>
        <w:t>National Antiretroviral Treatment and Care Guidelines for Adults, Adolescents, and Children</w:t>
      </w:r>
      <w:r w:rsidRPr="00A77D8E">
        <w:rPr>
          <w:noProof/>
        </w:rPr>
        <w:t>, Kampala. Available at: http://www.who.int/hiv/amds/uganda_moh_treatment_guidelines.pdf [Accessed March 13, 2017].</w:t>
      </w:r>
    </w:p>
    <w:p w14:paraId="2A97CBB9"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Kinsman, J., 2010. </w:t>
      </w:r>
      <w:r w:rsidRPr="00A77D8E">
        <w:rPr>
          <w:i/>
          <w:iCs/>
          <w:noProof/>
        </w:rPr>
        <w:t>AIDS Policy in Uganda: Evidence, Ideology, and the Making of an African Success Story</w:t>
      </w:r>
      <w:r w:rsidRPr="00A77D8E">
        <w:rPr>
          <w:noProof/>
        </w:rPr>
        <w:t>, Palgrave Macmillan. Available at: https://books.google.com/books?id=OfnIAAAAQBAJ&amp;pgis=1 [Accessed February 8, 2016].</w:t>
      </w:r>
    </w:p>
    <w:p w14:paraId="1C6F320E"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Larson, B.A. et al., 2008. Early effects of antiretroviral therapy on work performance: preliminary results from a cohort study of Kenyan agricultural workers. </w:t>
      </w:r>
      <w:r w:rsidRPr="00A77D8E">
        <w:rPr>
          <w:i/>
          <w:iCs/>
          <w:noProof/>
        </w:rPr>
        <w:t>AIDS (London, England)</w:t>
      </w:r>
      <w:r w:rsidRPr="00A77D8E">
        <w:rPr>
          <w:noProof/>
        </w:rPr>
        <w:t>, 22(3), pp.421–5. Available at: http://www.ncbi.nlm.nih.gov/pubmed/18195569 [Accessed April 19, 2016].</w:t>
      </w:r>
    </w:p>
    <w:p w14:paraId="70E01641"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Levinsohn, J. et al., 2013. HIV Status and Labor Market Participation in South Africa. </w:t>
      </w:r>
      <w:r w:rsidRPr="00A77D8E">
        <w:rPr>
          <w:i/>
          <w:iCs/>
          <w:noProof/>
        </w:rPr>
        <w:t>Review of Economics and Statistics</w:t>
      </w:r>
      <w:r w:rsidRPr="00A77D8E">
        <w:rPr>
          <w:noProof/>
        </w:rPr>
        <w:t>, 95(1), pp.98–108. Available at: http://www.mitpressjournals.org/doi/abs/10.1162/REST_a_00237#.VxZGOtUrK70 [Accessed April 19, 2016].</w:t>
      </w:r>
    </w:p>
    <w:p w14:paraId="5FC2AD47"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Lindeboom, M., 2006. Health and Work of Older Workers. In A. M. Jones, ed. </w:t>
      </w:r>
      <w:r w:rsidRPr="00A77D8E">
        <w:rPr>
          <w:i/>
          <w:iCs/>
          <w:noProof/>
        </w:rPr>
        <w:t>The Elgar Companion to Health Economics</w:t>
      </w:r>
      <w:r w:rsidRPr="00A77D8E">
        <w:rPr>
          <w:noProof/>
        </w:rPr>
        <w:t>. Cheltenham: Edward Elgar Publishing. Available at: http://econpapers.repec.org/RePEc:elg:eechap:14021_3 [Accessed April 19, 2016].</w:t>
      </w:r>
    </w:p>
    <w:p w14:paraId="4A7E6BC3"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Marinescu, I.E., 2014. HIV, wages, and the skill premium. </w:t>
      </w:r>
      <w:r w:rsidRPr="00A77D8E">
        <w:rPr>
          <w:i/>
          <w:iCs/>
          <w:noProof/>
        </w:rPr>
        <w:t>Journal of health economics</w:t>
      </w:r>
      <w:r w:rsidRPr="00A77D8E">
        <w:rPr>
          <w:noProof/>
        </w:rPr>
        <w:t>, 37, pp.181–97. Available at: http://www.ncbi.nlm.nih.gov/pubmed/25019957 [Accessed April 19, 2016].</w:t>
      </w:r>
    </w:p>
    <w:p w14:paraId="6EF8F20D"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McKelvey, C., 2010. </w:t>
      </w:r>
      <w:r w:rsidRPr="00A77D8E">
        <w:rPr>
          <w:i/>
          <w:iCs/>
          <w:noProof/>
        </w:rPr>
        <w:t>Circumcision and the Labor Market Consequences of HIV in Developing Countries</w:t>
      </w:r>
      <w:r w:rsidRPr="00A77D8E">
        <w:rPr>
          <w:noProof/>
        </w:rPr>
        <w:t>, Available at: http://www.ssc.wisc.edu/~mckelvey/mckelvey-paper-labor3.pdf [Accessed April 19, 2016].</w:t>
      </w:r>
    </w:p>
    <w:p w14:paraId="5F6AD13C"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Mermin, J. et al., 2004. Effect of co-trimoxazole prophylaxis on morbidity, mortality, CD4-cell count, and viral load in HIV infection in rural Uganda. </w:t>
      </w:r>
      <w:r w:rsidRPr="00A77D8E">
        <w:rPr>
          <w:i/>
          <w:iCs/>
          <w:noProof/>
        </w:rPr>
        <w:t>The Lancet</w:t>
      </w:r>
      <w:r w:rsidRPr="00A77D8E">
        <w:rPr>
          <w:noProof/>
        </w:rPr>
        <w:t>, 364(9443), pp.1428–1434. Available at: http://linkinghub.elsevier.com/retrieve/pii/S0140673604172255 [Accessed August 8, 2017].</w:t>
      </w:r>
    </w:p>
    <w:p w14:paraId="1FE9D606"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Mishra, V. et al., 2006. HIV testing in national population-based surveys: experience from the Demographic and Health Surveys. </w:t>
      </w:r>
      <w:r w:rsidRPr="00A77D8E">
        <w:rPr>
          <w:i/>
          <w:iCs/>
          <w:noProof/>
        </w:rPr>
        <w:t>Bulletin of the World Health Organization</w:t>
      </w:r>
      <w:r w:rsidRPr="00A77D8E">
        <w:rPr>
          <w:noProof/>
        </w:rPr>
        <w:t>, 84(7). Available at: http://www.who.int/bulletin/volumes/84/7/537.pdf [Accessed April 21, 2017].</w:t>
      </w:r>
    </w:p>
    <w:p w14:paraId="68C454E2"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Morris, S., 2007. The impact of obesity on employment. </w:t>
      </w:r>
      <w:r w:rsidRPr="00A77D8E">
        <w:rPr>
          <w:i/>
          <w:iCs/>
          <w:noProof/>
        </w:rPr>
        <w:t>Labour Economics</w:t>
      </w:r>
      <w:r w:rsidRPr="00A77D8E">
        <w:rPr>
          <w:noProof/>
        </w:rPr>
        <w:t>, 14(3), pp.413–433. Available at: http://www.sciencedirect.com/science/article/pii/S0927537106000248 [Accessed April 19, 2016].</w:t>
      </w:r>
    </w:p>
    <w:p w14:paraId="4EF93E7D"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Rosen, S. et al., 2010. Economic outcomes of patients receiving antiretroviral therapy for HIV/AIDS in South Africa are sustained through three years on treatment. </w:t>
      </w:r>
      <w:r w:rsidRPr="00A77D8E">
        <w:rPr>
          <w:i/>
          <w:iCs/>
          <w:noProof/>
        </w:rPr>
        <w:t>PloS one</w:t>
      </w:r>
      <w:r w:rsidRPr="00A77D8E">
        <w:rPr>
          <w:noProof/>
        </w:rPr>
        <w:t>, 5(9), p.e12731. Available at: http://www.pubmedcentral.nih.gov/articlerender.fcgi?artid=2939080&amp;tool=pmcentrez&amp;rendertype=abstract [Accessed April 19, 2016].</w:t>
      </w:r>
    </w:p>
    <w:p w14:paraId="4ADF19D3"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Safavian, M.S. et al., 2017. </w:t>
      </w:r>
      <w:r w:rsidRPr="00A77D8E">
        <w:rPr>
          <w:i/>
          <w:iCs/>
          <w:noProof/>
        </w:rPr>
        <w:t>Step by step : let’s solve the finance puzzle to accelerate growth and shared prosperity</w:t>
      </w:r>
      <w:r w:rsidRPr="00A77D8E">
        <w:rPr>
          <w:noProof/>
        </w:rPr>
        <w:t>, Available at: http://documents.worldbank.org/curated/en/662191486394023103/Step-by-step-let-s-solve-the-finance-puzzle-to-accelerate-growth-and-shared-prosperity [Accessed March 17, 2017].</w:t>
      </w:r>
    </w:p>
    <w:p w14:paraId="6BEE9A60"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Samet, J.H. et al., 2001. Understanding delay to medical care for HIV infection: the long-term non-presenter. </w:t>
      </w:r>
      <w:r w:rsidRPr="00A77D8E">
        <w:rPr>
          <w:i/>
          <w:iCs/>
          <w:noProof/>
        </w:rPr>
        <w:t>AIDS (London, England)</w:t>
      </w:r>
      <w:r w:rsidRPr="00A77D8E">
        <w:rPr>
          <w:noProof/>
        </w:rPr>
        <w:t>, 15(1), pp.77–85. Available at: http://www.ncbi.nlm.nih.gov/pubmed/11192871 [Accessed August 8, 2017].</w:t>
      </w:r>
    </w:p>
    <w:p w14:paraId="3BA55634"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Sanders, G.D. et al., 2016. Recommendations for Conduct, Methodological Practices, and Reporting of Cost-effectiveness Analyses. </w:t>
      </w:r>
      <w:r w:rsidRPr="00A77D8E">
        <w:rPr>
          <w:i/>
          <w:iCs/>
          <w:noProof/>
        </w:rPr>
        <w:t>JAMA</w:t>
      </w:r>
      <w:r w:rsidRPr="00A77D8E">
        <w:rPr>
          <w:noProof/>
        </w:rPr>
        <w:t>, 316(10), p.1093. Available at: http://jama.jamanetwork.com/article.aspx?doi=10.1001/jama.2016.12195 [Accessed March 13, 2017].</w:t>
      </w:r>
    </w:p>
    <w:p w14:paraId="50E8D026"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Stock, J. &amp; Yogo, M., 2005. Testing for Weak Instruments in Linear IV Regression. In D. W. K. Andrews, ed. </w:t>
      </w:r>
      <w:r w:rsidRPr="00A77D8E">
        <w:rPr>
          <w:i/>
          <w:iCs/>
          <w:noProof/>
        </w:rPr>
        <w:t>Identification and Inference for Econometric Models</w:t>
      </w:r>
      <w:r w:rsidRPr="00A77D8E">
        <w:rPr>
          <w:noProof/>
        </w:rPr>
        <w:t>. New York: Cambridge University Press, pp. 80–108. Available at: http://www.economics.harvard.edu/faculty/stock/files/TestingWeakInstr_Stock%2BYogo.pdf [Accessed April 19, 2016].</w:t>
      </w:r>
    </w:p>
    <w:p w14:paraId="0E8611AE"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Terza, J. V., Bradford, W.D. &amp; Dismuke, C.E., 2008. The Use of Linear Instrumental Variables Methods in Health Services Research and Health Economics: A Cautionary Note. </w:t>
      </w:r>
      <w:r w:rsidRPr="00A77D8E">
        <w:rPr>
          <w:i/>
          <w:iCs/>
          <w:noProof/>
        </w:rPr>
        <w:t>Health Services Research</w:t>
      </w:r>
      <w:r w:rsidRPr="00A77D8E">
        <w:rPr>
          <w:noProof/>
        </w:rPr>
        <w:t>, 43(3), pp.1102–1120. Available at: http://doi.wiley.com/10.1111/j.1475-6773.2007.00807.x [Accessed March 13, 2017].</w:t>
      </w:r>
    </w:p>
    <w:p w14:paraId="48610BD0"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Thirumurthy, H. et al., 2013. Improved employment and education outcomes in households of HIV-infected adults with high CD4 cell counts. </w:t>
      </w:r>
      <w:r w:rsidRPr="00A77D8E">
        <w:rPr>
          <w:i/>
          <w:iCs/>
          <w:noProof/>
        </w:rPr>
        <w:t>AIDS</w:t>
      </w:r>
      <w:r w:rsidRPr="00A77D8E">
        <w:rPr>
          <w:noProof/>
        </w:rPr>
        <w:t>, 27(4), pp.627–634. Available at: http://www.pubmedcentral.nih.gov/articlerender.fcgi?artid=3809760&amp;tool=pmcentrez&amp;rendertype=abstract [Accessed April 19, 2016].</w:t>
      </w:r>
    </w:p>
    <w:p w14:paraId="4E0F0EF7"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Thirumurthy, H. et al., 2011. Two-year impacts on employment and income among adults receiving antiretroviral therapy in Tamil Nadu, India: a cohort study. </w:t>
      </w:r>
      <w:r w:rsidRPr="00A77D8E">
        <w:rPr>
          <w:i/>
          <w:iCs/>
          <w:noProof/>
        </w:rPr>
        <w:t>AIDS</w:t>
      </w:r>
      <w:r w:rsidRPr="00A77D8E">
        <w:rPr>
          <w:noProof/>
        </w:rPr>
        <w:t>, 25(2), pp.239–246. Available at: http://www.ncbi.nlm.nih.gov/pubmed/21150560 [Accessed April 19, 2016].</w:t>
      </w:r>
    </w:p>
    <w:p w14:paraId="32BE02DB"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Thirumurthy, H., Zivin, J.G. &amp; Goldstein, M., 2008. The Economic Impact of AIDS Treatment: Labor Supply in Western Kenya. </w:t>
      </w:r>
      <w:r w:rsidRPr="00A77D8E">
        <w:rPr>
          <w:i/>
          <w:iCs/>
          <w:noProof/>
        </w:rPr>
        <w:t>The Journal of human resources</w:t>
      </w:r>
      <w:r w:rsidRPr="00A77D8E">
        <w:rPr>
          <w:noProof/>
        </w:rPr>
        <w:t>, 43(3), pp.511–552. Available at: /pmc/articles/PMC3237059/?report=abstract [Accessed April 19, 2016].</w:t>
      </w:r>
    </w:p>
    <w:p w14:paraId="3E805F54"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Uganda AIDS Commission, 2015. </w:t>
      </w:r>
      <w:r w:rsidRPr="00A77D8E">
        <w:rPr>
          <w:i/>
          <w:iCs/>
          <w:noProof/>
        </w:rPr>
        <w:t>The HIV and AIDS Uganda Country Progress Report 2014</w:t>
      </w:r>
      <w:r w:rsidRPr="00A77D8E">
        <w:rPr>
          <w:noProof/>
        </w:rPr>
        <w:t>, Kampala. Available at: http://www.unaids.org/sites/default/files/country/documents/UGA_narrative_report_2015.pdf [Accessed April 24, 2017].</w:t>
      </w:r>
    </w:p>
    <w:p w14:paraId="5DD5F633"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Uganda Bureau of Statistics, 2013. </w:t>
      </w:r>
      <w:r w:rsidRPr="00A77D8E">
        <w:rPr>
          <w:i/>
          <w:iCs/>
          <w:noProof/>
        </w:rPr>
        <w:t>The National Labour Force and Child Activities Survey, 2011/12</w:t>
      </w:r>
      <w:r w:rsidRPr="00A77D8E">
        <w:rPr>
          <w:noProof/>
        </w:rPr>
        <w:t>, Kampala. Available at: http://www.ubos.org/onlinefiles/uploads/ubos/pdf documents/Labour force Report 10th Dec  2013.pdf [Accessed April 24, 2017].</w:t>
      </w:r>
    </w:p>
    <w:p w14:paraId="7452F6D0"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Uganda Bureau of Statistics, 2014. </w:t>
      </w:r>
      <w:r w:rsidRPr="00A77D8E">
        <w:rPr>
          <w:i/>
          <w:iCs/>
          <w:noProof/>
        </w:rPr>
        <w:t>Uganda - Uganda National Household Survey 2009/2010</w:t>
      </w:r>
      <w:r w:rsidRPr="00A77D8E">
        <w:rPr>
          <w:noProof/>
        </w:rPr>
        <w:t>, Kampala. Available at: http://www.ubos.org/unda/index.php/catalog/51 [Accessed April 19, 2016].</w:t>
      </w:r>
    </w:p>
    <w:p w14:paraId="2DD3862B"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Uganda Ministry of Health, 2012. </w:t>
      </w:r>
      <w:r w:rsidRPr="00A77D8E">
        <w:rPr>
          <w:i/>
          <w:iCs/>
          <w:noProof/>
        </w:rPr>
        <w:t>Uganda AIDS Indicator Survey (AIS) AIDS Indicator Survey (AIS)</w:t>
      </w:r>
      <w:r w:rsidRPr="00A77D8E">
        <w:rPr>
          <w:noProof/>
        </w:rPr>
        <w:t>, Kampala. Available at: https://dhsprogram.com/pubs/pdf/AIS10/AIS10.pdf [Accessed March 17, 2017].</w:t>
      </w:r>
    </w:p>
    <w:p w14:paraId="26CEFC29"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UNAIDS, 2013. </w:t>
      </w:r>
      <w:r w:rsidRPr="00A77D8E">
        <w:rPr>
          <w:i/>
          <w:iCs/>
          <w:noProof/>
        </w:rPr>
        <w:t>Global report: UNAIDS report on the global AIDS epidemic 2013</w:t>
      </w:r>
      <w:r w:rsidRPr="00A77D8E">
        <w:rPr>
          <w:noProof/>
        </w:rPr>
        <w:t>, Geneva. Available at: http://issuu.com/unaids/docs/unaids_global_report_2013_en/1?e=2251159/4942523 [Accessed April 19, 2016].</w:t>
      </w:r>
    </w:p>
    <w:p w14:paraId="6DAC70E1"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UNAIDS, 2014. </w:t>
      </w:r>
      <w:r w:rsidRPr="00A77D8E">
        <w:rPr>
          <w:i/>
          <w:iCs/>
          <w:noProof/>
        </w:rPr>
        <w:t>The Gap Report</w:t>
      </w:r>
      <w:r w:rsidRPr="00A77D8E">
        <w:rPr>
          <w:noProof/>
        </w:rPr>
        <w:t>, Geneva. Available at: http://www.unaids.org/en/resources/documents/2014/20140716_UNAIDS_gap_report [Accessed April 19, 2016].</w:t>
      </w:r>
    </w:p>
    <w:p w14:paraId="0B736C97"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WHO, 2014. </w:t>
      </w:r>
      <w:r w:rsidRPr="00A77D8E">
        <w:rPr>
          <w:i/>
          <w:iCs/>
          <w:noProof/>
        </w:rPr>
        <w:t>Global update on the health sector response to HIV, 2014</w:t>
      </w:r>
      <w:r w:rsidRPr="00A77D8E">
        <w:rPr>
          <w:noProof/>
        </w:rPr>
        <w:t>, Geneva: World Health Organization. Available at: http://www.who.int/hiv/pub/progressreports/update2014/en/ [Accessed April 19, 2016].</w:t>
      </w:r>
    </w:p>
    <w:p w14:paraId="66199247" w14:textId="77777777" w:rsidR="00A77D8E" w:rsidRPr="00A77D8E" w:rsidRDefault="00A77D8E" w:rsidP="00A77D8E">
      <w:pPr>
        <w:widowControl w:val="0"/>
        <w:autoSpaceDE w:val="0"/>
        <w:autoSpaceDN w:val="0"/>
        <w:adjustRightInd w:val="0"/>
        <w:ind w:left="480" w:hanging="480"/>
        <w:rPr>
          <w:noProof/>
        </w:rPr>
      </w:pPr>
      <w:r w:rsidRPr="00A77D8E">
        <w:rPr>
          <w:noProof/>
        </w:rPr>
        <w:t>WHO, 2007. WHO and UNAIDS announce recommendations from expert consultation on male circumcision for HIV prevention. Available at: http://www.who.int/hiv/mediacentre/news68/en/ [Accessed April 19, 2016].</w:t>
      </w:r>
    </w:p>
    <w:p w14:paraId="7E0D9B2F"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Wilcken, A. et al., 2010. Male circumcision for HIV prevention - a cross-sectional study on awareness among young people and adults in rural Uganda. </w:t>
      </w:r>
      <w:r w:rsidRPr="00A77D8E">
        <w:rPr>
          <w:i/>
          <w:iCs/>
          <w:noProof/>
        </w:rPr>
        <w:t>BMC Public Health</w:t>
      </w:r>
      <w:r w:rsidRPr="00A77D8E">
        <w:rPr>
          <w:noProof/>
        </w:rPr>
        <w:t>, 10(1), p.209. Available at: http://bmcpublichealth.biomedcentral.com/articles/10.1186/1471-2458-10-209 [Accessed April 19, 2016].</w:t>
      </w:r>
    </w:p>
    <w:p w14:paraId="6B0761C4"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Wilson, N., 2016. Antiretroviral therapy and demand for HIV testing: Evidence from Zambia. </w:t>
      </w:r>
      <w:r w:rsidRPr="00A77D8E">
        <w:rPr>
          <w:i/>
          <w:iCs/>
          <w:noProof/>
        </w:rPr>
        <w:t>Economics and human biology</w:t>
      </w:r>
      <w:r w:rsidRPr="00A77D8E">
        <w:rPr>
          <w:noProof/>
        </w:rPr>
        <w:t>, 21, pp.221–40. Available at: http://www.ncbi.nlm.nih.gov/pubmed/26970992 [Accessed October 12, 2016].</w:t>
      </w:r>
    </w:p>
    <w:p w14:paraId="153E9A9C" w14:textId="77777777" w:rsidR="00A77D8E" w:rsidRPr="00A77D8E" w:rsidRDefault="00A77D8E" w:rsidP="00A77D8E">
      <w:pPr>
        <w:widowControl w:val="0"/>
        <w:autoSpaceDE w:val="0"/>
        <w:autoSpaceDN w:val="0"/>
        <w:adjustRightInd w:val="0"/>
        <w:ind w:left="480" w:hanging="480"/>
        <w:rPr>
          <w:noProof/>
        </w:rPr>
      </w:pPr>
      <w:r w:rsidRPr="00A77D8E">
        <w:rPr>
          <w:noProof/>
        </w:rPr>
        <w:t>World Bank, 2017a. Antiretroviral therapy coverage (% of people living with HIV). Available at: http://data.worldbank.org/indicator/SH.HIV.ARTC.ZS?page=1 [Accessed August 9, 2017].</w:t>
      </w:r>
    </w:p>
    <w:p w14:paraId="1DBE16A2" w14:textId="77777777" w:rsidR="00A77D8E" w:rsidRPr="00A77D8E" w:rsidRDefault="00A77D8E" w:rsidP="00A77D8E">
      <w:pPr>
        <w:widowControl w:val="0"/>
        <w:autoSpaceDE w:val="0"/>
        <w:autoSpaceDN w:val="0"/>
        <w:adjustRightInd w:val="0"/>
        <w:ind w:left="480" w:hanging="480"/>
        <w:rPr>
          <w:noProof/>
        </w:rPr>
      </w:pPr>
      <w:r w:rsidRPr="00A77D8E">
        <w:rPr>
          <w:noProof/>
        </w:rPr>
        <w:t>World Bank, 2015. Labor force, total. Available at: http://data.worldbank.org/indicator/SL.TLF.TOTL.IN/countries/1W-C9?display=default [Accessed April 19, 2016].</w:t>
      </w:r>
    </w:p>
    <w:p w14:paraId="20771507" w14:textId="77777777" w:rsidR="00A77D8E" w:rsidRPr="00A77D8E" w:rsidRDefault="00A77D8E" w:rsidP="00A77D8E">
      <w:pPr>
        <w:widowControl w:val="0"/>
        <w:autoSpaceDE w:val="0"/>
        <w:autoSpaceDN w:val="0"/>
        <w:adjustRightInd w:val="0"/>
        <w:ind w:left="480" w:hanging="480"/>
        <w:rPr>
          <w:noProof/>
        </w:rPr>
      </w:pPr>
      <w:r w:rsidRPr="00A77D8E">
        <w:rPr>
          <w:noProof/>
        </w:rPr>
        <w:t>World Bank, 2017b. Prevalence of HIV, total (% of population ages 15-49). Available at: http://data.worldbank.org/indicator/SH.DYN.AIDS.ZS [Accessed August 9, 2017].</w:t>
      </w:r>
    </w:p>
    <w:p w14:paraId="136E6EA9" w14:textId="77777777" w:rsidR="00A77D8E" w:rsidRPr="00A77D8E" w:rsidRDefault="00A77D8E" w:rsidP="00A77D8E">
      <w:pPr>
        <w:widowControl w:val="0"/>
        <w:autoSpaceDE w:val="0"/>
        <w:autoSpaceDN w:val="0"/>
        <w:adjustRightInd w:val="0"/>
        <w:ind w:left="480" w:hanging="480"/>
        <w:rPr>
          <w:noProof/>
        </w:rPr>
      </w:pPr>
      <w:r w:rsidRPr="00A77D8E">
        <w:rPr>
          <w:noProof/>
        </w:rPr>
        <w:t xml:space="preserve">World Health Organization, 2010. </w:t>
      </w:r>
      <w:r w:rsidRPr="00A77D8E">
        <w:rPr>
          <w:i/>
          <w:iCs/>
          <w:noProof/>
        </w:rPr>
        <w:t>HIV/AIDS prevention, treatment and care in the health sector (2010 version)</w:t>
      </w:r>
      <w:r w:rsidRPr="00A77D8E">
        <w:rPr>
          <w:noProof/>
        </w:rPr>
        <w:t>, Geneva. Available at: http://www.who.int/hiv/pub/guidelines/9789241500234/en/ [Accessed March 13, 2017].</w:t>
      </w:r>
    </w:p>
    <w:p w14:paraId="0E97F6F4" w14:textId="77777777" w:rsidR="00A83CC7" w:rsidRDefault="005D7F89" w:rsidP="00A77D8E">
      <w:pPr>
        <w:widowControl w:val="0"/>
        <w:autoSpaceDE w:val="0"/>
        <w:autoSpaceDN w:val="0"/>
        <w:adjustRightInd w:val="0"/>
        <w:ind w:left="480" w:hanging="480"/>
      </w:pPr>
      <w:r>
        <w:fldChar w:fldCharType="end"/>
      </w:r>
    </w:p>
    <w:p w14:paraId="76E9B2E6" w14:textId="77777777" w:rsidR="00A83CC7" w:rsidRDefault="00A83CC7">
      <w:pPr>
        <w:spacing w:after="200" w:line="276" w:lineRule="auto"/>
        <w:ind w:firstLine="0"/>
        <w:jc w:val="left"/>
      </w:pPr>
      <w:r>
        <w:br w:type="page"/>
      </w:r>
    </w:p>
    <w:p w14:paraId="7E810D99" w14:textId="77777777" w:rsidR="006817C6" w:rsidRDefault="00A31E36" w:rsidP="00427EED">
      <w:pPr>
        <w:widowControl w:val="0"/>
        <w:autoSpaceDE w:val="0"/>
        <w:autoSpaceDN w:val="0"/>
        <w:adjustRightInd w:val="0"/>
        <w:ind w:left="480" w:hanging="480"/>
        <w:rPr>
          <w:b/>
        </w:rPr>
      </w:pPr>
      <w:r w:rsidRPr="00A31E36">
        <w:rPr>
          <w:b/>
        </w:rPr>
        <w:t>Appendix 1. Recursive bivariate probit and 2SLS estimation without covariates</w:t>
      </w:r>
    </w:p>
    <w:p w14:paraId="37F3A416" w14:textId="77777777" w:rsidR="009B4D58" w:rsidRPr="009B4D58" w:rsidRDefault="009B4D58" w:rsidP="00494DDE">
      <w:pPr>
        <w:spacing w:after="200" w:line="276" w:lineRule="auto"/>
        <w:ind w:firstLine="0"/>
        <w:jc w:val="left"/>
      </w:pPr>
      <w:r>
        <w:t>The tables below give results where the models are estimated without additional covariates.  The recursive bivariate probit estimate shows a reduction in the likelihood of employment of 78 percentage points while the 2SLS estimation shows a reduction of 106 percentage points.</w:t>
      </w:r>
    </w:p>
    <w:p w14:paraId="18EAC36D" w14:textId="77777777" w:rsidR="00A31E36" w:rsidRDefault="00A31E36" w:rsidP="00494DDE">
      <w:pPr>
        <w:spacing w:after="200" w:line="276" w:lineRule="auto"/>
        <w:ind w:firstLine="0"/>
        <w:jc w:val="left"/>
      </w:pPr>
    </w:p>
    <w:p w14:paraId="0157E180" w14:textId="77777777" w:rsidR="009B4D58" w:rsidRDefault="00656974" w:rsidP="00494DDE">
      <w:pPr>
        <w:spacing w:after="200" w:line="276" w:lineRule="auto"/>
        <w:ind w:firstLine="0"/>
        <w:jc w:val="left"/>
        <w:rPr>
          <w:noProof/>
          <w:lang w:val="en-GB" w:eastAsia="en-GB"/>
        </w:rPr>
      </w:pPr>
      <w:r>
        <w:rPr>
          <w:noProof/>
          <w:lang w:val="en-GB" w:eastAsia="en-GB"/>
        </w:rPr>
        <w:t>TABLE A1</w:t>
      </w:r>
    </w:p>
    <w:p w14:paraId="2372A81E" w14:textId="77777777" w:rsidR="00DA3685" w:rsidRDefault="00656974" w:rsidP="00274F09">
      <w:pPr>
        <w:spacing w:after="200" w:line="276" w:lineRule="auto"/>
        <w:ind w:firstLine="0"/>
        <w:jc w:val="left"/>
        <w:rPr>
          <w:noProof/>
          <w:lang w:val="en-GB" w:eastAsia="en-GB"/>
        </w:rPr>
      </w:pPr>
      <w:r>
        <w:rPr>
          <w:noProof/>
          <w:lang w:val="en-GB" w:eastAsia="en-GB"/>
        </w:rPr>
        <w:t>TABLE A2</w:t>
      </w:r>
    </w:p>
    <w:p w14:paraId="00A85EB8" w14:textId="77777777" w:rsidR="00DA3685" w:rsidRDefault="00DA3685" w:rsidP="00274F09">
      <w:pPr>
        <w:spacing w:after="200" w:line="276" w:lineRule="auto"/>
        <w:ind w:firstLine="0"/>
        <w:jc w:val="left"/>
        <w:rPr>
          <w:noProof/>
          <w:lang w:val="en-GB" w:eastAsia="en-GB"/>
        </w:rPr>
      </w:pPr>
    </w:p>
    <w:p w14:paraId="56467353" w14:textId="77777777" w:rsidR="008039B2" w:rsidRDefault="008039B2">
      <w:pPr>
        <w:spacing w:after="200" w:line="276" w:lineRule="auto"/>
        <w:ind w:firstLine="0"/>
        <w:jc w:val="left"/>
        <w:rPr>
          <w:noProof/>
          <w:lang w:val="en-GB" w:eastAsia="en-GB"/>
        </w:rPr>
      </w:pPr>
      <w:r>
        <w:rPr>
          <w:noProof/>
          <w:lang w:val="en-GB" w:eastAsia="en-GB"/>
        </w:rPr>
        <w:br w:type="page"/>
      </w:r>
    </w:p>
    <w:p w14:paraId="67C31B5E" w14:textId="77777777" w:rsidR="008039B2" w:rsidRDefault="008039B2" w:rsidP="008039B2">
      <w:pPr>
        <w:ind w:firstLine="0"/>
        <w:rPr>
          <w:b/>
        </w:rPr>
      </w:pPr>
      <w:r w:rsidRPr="000243ED">
        <w:rPr>
          <w:b/>
        </w:rPr>
        <w:t xml:space="preserve">Appendix </w:t>
      </w:r>
      <w:r>
        <w:rPr>
          <w:b/>
        </w:rPr>
        <w:t>2</w:t>
      </w:r>
      <w:r w:rsidRPr="000243ED">
        <w:rPr>
          <w:b/>
        </w:rPr>
        <w:t>. Multiple Imputations</w:t>
      </w:r>
    </w:p>
    <w:p w14:paraId="42FDDB89" w14:textId="77777777" w:rsidR="008039B2" w:rsidRPr="000243ED" w:rsidRDefault="008039B2" w:rsidP="008039B2">
      <w:pPr>
        <w:ind w:firstLine="0"/>
        <w:rPr>
          <w:b/>
        </w:rPr>
      </w:pPr>
    </w:p>
    <w:p w14:paraId="1FDBF050" w14:textId="77777777" w:rsidR="001410AA" w:rsidRDefault="009A40DB" w:rsidP="00A72CCD">
      <w:pPr>
        <w:rPr>
          <w:lang w:val="en-GB"/>
        </w:rPr>
      </w:pPr>
      <w:r>
        <w:rPr>
          <w:lang w:val="en-GB"/>
        </w:rPr>
        <w:t>A</w:t>
      </w:r>
      <w:r w:rsidRPr="009A40DB">
        <w:rPr>
          <w:lang w:val="en-GB"/>
        </w:rPr>
        <w:t xml:space="preserve"> multinomial logit model </w:t>
      </w:r>
      <w:r>
        <w:rPr>
          <w:lang w:val="en-GB"/>
        </w:rPr>
        <w:t>was used to impute</w:t>
      </w:r>
      <w:r w:rsidRPr="009A40DB">
        <w:rPr>
          <w:lang w:val="en-GB"/>
        </w:rPr>
        <w:t xml:space="preserve"> </w:t>
      </w:r>
      <w:r w:rsidR="00584FD4">
        <w:rPr>
          <w:lang w:val="en-GB"/>
        </w:rPr>
        <w:t>occupation sector</w:t>
      </w:r>
      <w:r w:rsidRPr="009A40DB">
        <w:rPr>
          <w:lang w:val="en-GB"/>
        </w:rPr>
        <w:t xml:space="preserve"> based on a number of socio-economic and demographic variables</w:t>
      </w:r>
      <w:r>
        <w:rPr>
          <w:lang w:val="en-GB"/>
        </w:rPr>
        <w:t xml:space="preserve"> including ethnicity, region, household factors, level of education, religion and month of interview.  </w:t>
      </w:r>
      <w:r w:rsidR="001410AA" w:rsidRPr="0025179E">
        <w:rPr>
          <w:lang w:val="en-GB"/>
        </w:rPr>
        <w:t xml:space="preserve">Because likelihood ratio tests cannot be performed directly with multiple imputed data, a variable that was equal to the mode of the permutations of multiple imputed data by multinomial logistic regression with sequential imputation using chained equations was generated for individuals that were missing occupation.  Because missing variables were relatively few, as many sequences as desired could easily be carried out.  In this case, 50 datasets were created.  This is well beyond the rule of thumb of </w:t>
      </w:r>
      <w:r w:rsidR="001410AA">
        <w:rPr>
          <w:lang w:val="en-GB"/>
        </w:rPr>
        <w:t>3 to 5.</w:t>
      </w:r>
    </w:p>
    <w:p w14:paraId="539EE2DC" w14:textId="77777777" w:rsidR="008039B2" w:rsidRPr="000243ED" w:rsidRDefault="008039B2" w:rsidP="008039B2">
      <w:r w:rsidRPr="000243ED">
        <w:t xml:space="preserve">To ensure that this technique performed well, two tests were carried out.  First, the group closest in terms of employment to those who were missing occupation were tested.  These were individuals who are not currently employed (and thus coded as unemployed in the data), but had been employed previously in the year leading up the survey.  For this exercise, these individuals were coded as missing.  Multiple imputation by multinomial logistic regression with sequential imputation using chained equations was then carried out to generate 50 datasets.  The mode was calculated for each and in 99.13% of cases it corresponded to the occupation on file for the individual.  A second test was carried out whereby 6% of the sample with occupation on file was randomly chosen and coded as missing occupation.  (This corresponds to the percent of the sample that is unemployed so that the imputation carried out will have a similar ratio of nonmissing data on file from which to draw.)  In this scenario sector was correctly imputed 97.47% of the time.  That the accuracy of imputations drawn randomly from the sample is slightly lower than that of the sample of individuals who are currently unemployed, but were employed previously in the year is sensible: The random sample was of 6% of the sample, or 319 observations, while the sample of individuals who were employed earlier in the year was smaller, representing less than 2.5% of the full sample.  Given the results of these tests, we can be confident that this strategy accurately predicts the occupation category of individuals for whom this data was missing in the sample 97-99% of the time.  Of the 173 individuals in the sample (3.25%) for whom occupation category was missing, 35 (20%) were imputed as non-manual laborers, which make up 25% of the total sample; 38 (22%) were imputed as agricultural manual laborers, which make up 36% of the total sample; 2 (1%) were imputed as skilled manual laborers, which make up 10% of the total sample; and 97 (56%) were imputed as unskilled manual laborers.  There was one individual for whom imputation was unsuccessful. </w:t>
      </w:r>
    </w:p>
    <w:p w14:paraId="1171FBCC" w14:textId="77777777" w:rsidR="0038030B" w:rsidRDefault="0038030B" w:rsidP="00274F09">
      <w:pPr>
        <w:spacing w:after="200" w:line="276" w:lineRule="auto"/>
        <w:ind w:firstLine="0"/>
        <w:jc w:val="left"/>
      </w:pPr>
    </w:p>
    <w:sectPr w:rsidR="0038030B" w:rsidSect="00EF2A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02B5" w14:textId="77777777" w:rsidR="000C0829" w:rsidRDefault="000C0829" w:rsidP="00EC31DC">
      <w:pPr>
        <w:spacing w:line="240" w:lineRule="auto"/>
      </w:pPr>
      <w:r>
        <w:separator/>
      </w:r>
    </w:p>
  </w:endnote>
  <w:endnote w:type="continuationSeparator" w:id="0">
    <w:p w14:paraId="06D8E68C" w14:textId="77777777" w:rsidR="000C0829" w:rsidRDefault="000C0829" w:rsidP="00EC31DC">
      <w:pPr>
        <w:spacing w:line="240" w:lineRule="auto"/>
      </w:pPr>
      <w:r>
        <w:continuationSeparator/>
      </w:r>
    </w:p>
  </w:endnote>
  <w:endnote w:type="continuationNotice" w:id="1">
    <w:p w14:paraId="14FF017E" w14:textId="77777777" w:rsidR="000C0829" w:rsidRDefault="000C0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Times LT St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900233"/>
      <w:docPartObj>
        <w:docPartGallery w:val="Page Numbers (Bottom of Page)"/>
        <w:docPartUnique/>
      </w:docPartObj>
    </w:sdtPr>
    <w:sdtEndPr>
      <w:rPr>
        <w:noProof/>
      </w:rPr>
    </w:sdtEndPr>
    <w:sdtContent>
      <w:p w14:paraId="58A30737" w14:textId="77777777" w:rsidR="005D6A15" w:rsidRDefault="005D6A15">
        <w:pPr>
          <w:pStyle w:val="Footer"/>
          <w:jc w:val="right"/>
        </w:pPr>
        <w:r>
          <w:fldChar w:fldCharType="begin"/>
        </w:r>
        <w:r>
          <w:instrText xml:space="preserve"> PAGE   \* MERGEFORMAT </w:instrText>
        </w:r>
        <w:r>
          <w:fldChar w:fldCharType="separate"/>
        </w:r>
        <w:r w:rsidR="005E632E">
          <w:rPr>
            <w:noProof/>
          </w:rPr>
          <w:t>1</w:t>
        </w:r>
        <w:r>
          <w:rPr>
            <w:noProof/>
          </w:rPr>
          <w:fldChar w:fldCharType="end"/>
        </w:r>
      </w:p>
    </w:sdtContent>
  </w:sdt>
  <w:p w14:paraId="01589BDB" w14:textId="77777777" w:rsidR="005D6A15" w:rsidRDefault="005D6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A47E1" w14:textId="77777777" w:rsidR="000C0829" w:rsidRDefault="000C0829" w:rsidP="00EC31DC">
      <w:pPr>
        <w:spacing w:line="240" w:lineRule="auto"/>
      </w:pPr>
      <w:r>
        <w:separator/>
      </w:r>
    </w:p>
  </w:footnote>
  <w:footnote w:type="continuationSeparator" w:id="0">
    <w:p w14:paraId="3AA8A9A1" w14:textId="77777777" w:rsidR="000C0829" w:rsidRDefault="000C0829" w:rsidP="00EC31DC">
      <w:pPr>
        <w:spacing w:line="240" w:lineRule="auto"/>
      </w:pPr>
      <w:r>
        <w:continuationSeparator/>
      </w:r>
    </w:p>
  </w:footnote>
  <w:footnote w:type="continuationNotice" w:id="1">
    <w:p w14:paraId="1BDF0D55" w14:textId="77777777" w:rsidR="000C0829" w:rsidRDefault="000C0829">
      <w:pPr>
        <w:spacing w:line="240" w:lineRule="auto"/>
      </w:pPr>
    </w:p>
  </w:footnote>
  <w:footnote w:id="2">
    <w:p w14:paraId="7479624E" w14:textId="77777777" w:rsidR="005D6A15" w:rsidRPr="006C6334" w:rsidRDefault="005D6A15" w:rsidP="005626FD">
      <w:pPr>
        <w:pStyle w:val="FootnoteText"/>
        <w:rPr>
          <w:lang w:val="en-GB"/>
        </w:rPr>
      </w:pPr>
      <w:r w:rsidRPr="00C066D3">
        <w:rPr>
          <w:rStyle w:val="FootnoteReference"/>
        </w:rPr>
        <w:footnoteRef/>
      </w:r>
      <w:r>
        <w:t xml:space="preserve"> ART has also been shown to lead to greater private preventative behavior in Zambia </w:t>
      </w:r>
      <w:r>
        <w:fldChar w:fldCharType="begin" w:fldLock="1"/>
      </w:r>
      <w:r>
        <w:instrText>ADDIN CSL_CITATION { "citationItems" : [ { "id" : "ITEM-1", "itemData" : { "DOI" : "10.1016/j.ehb.2016.02.003", "ISSN" : "1873-6130", "PMID" : "26970992", "abstract" : "This paper examines the effects of antiretroviral therapy (ART) on demand for HIV testing and of ART-induced testing on demand for risky sexual behavior. I provide a model of sexual behavior decision-making under uncertainty and estimate the structural parameters of the model using nationally representative survey data from Zambia on HIV testing decisions before and after the introduction of ART. The empirical results indicate that although the introduction of ART appears to have increased HIV testing rates by upwards of 50 percent, the ART allocation process may have limited the prevention benefit of ART-induced testing. Simulation results show that eliminating this prevention inefficiency while holding the supply of ART constant would increase the prevention impact of ART-induced testing more than four-fold. More generally, the analysis indicates that existing studies which examine \"universal\" testing or quasi-experimental testing programs understate the efficacy of standard voluntary counseling and testing programs.", "author" : [ { "dropping-particle" : "", "family" : "Wilson", "given" : "Nicholas", "non-dropping-particle" : "", "parse-names" : false, "suffix" : "" } ], "container-title" : "Economics and human biology", "id" : "ITEM-1", "issued" : { "date-parts" : [ [ "2016", "5" ] ] }, "page" : "221-40", "title" : "Antiretroviral therapy and demand for HIV testing: Evidence from Zambia.", "type" : "article-journal", "volume" : "21" }, "uris" : [ "http://www.mendeley.com/documents/?uuid=87059a4d-b309-3532-b4fb-71d505e23a8b" ] } ], "mendeley" : { "formattedCitation" : "(Wilson 2016)", "plainTextFormattedCitation" : "(Wilson 2016)", "previouslyFormattedCitation" : "(Wilson 2016)" }, "properties" : { "noteIndex" : 0 }, "schema" : "https://github.com/citation-style-language/schema/raw/master/csl-citation.json" }</w:instrText>
      </w:r>
      <w:r>
        <w:fldChar w:fldCharType="separate"/>
      </w:r>
      <w:r w:rsidRPr="0026353B">
        <w:rPr>
          <w:noProof/>
        </w:rPr>
        <w:t>(Wilson 2016)</w:t>
      </w:r>
      <w:r>
        <w:fldChar w:fldCharType="end"/>
      </w:r>
      <w:r>
        <w:t>.</w:t>
      </w:r>
    </w:p>
  </w:footnote>
  <w:footnote w:id="3">
    <w:p w14:paraId="6FBD4909" w14:textId="77777777" w:rsidR="005D6A15" w:rsidRDefault="005D6A15" w:rsidP="007613AE">
      <w:pPr>
        <w:pStyle w:val="FootnoteText"/>
      </w:pPr>
      <w:r>
        <w:rPr>
          <w:rStyle w:val="FootnoteReference"/>
        </w:rPr>
        <w:footnoteRef/>
      </w:r>
      <w:r>
        <w:t xml:space="preserve"> This variable is a combination of two responses from the survey: “</w:t>
      </w:r>
      <w:r w:rsidRPr="007613AE">
        <w:t>Have you done a</w:t>
      </w:r>
      <w:r>
        <w:t>ny work in the last seven days?” and “</w:t>
      </w:r>
      <w:r w:rsidRPr="007613AE">
        <w:t>Although you did not work in the last seven days, do you have any job or business from which you were absent for leave, illness, vac</w:t>
      </w:r>
      <w:r>
        <w:t>ation or any other such reason?”  Individuals were coded as 1 they answered “yes” to either of the questions and 0 otherwise.</w:t>
      </w:r>
    </w:p>
  </w:footnote>
  <w:footnote w:id="4">
    <w:p w14:paraId="4BA7E477" w14:textId="77777777" w:rsidR="005D6A15" w:rsidRPr="000F053F" w:rsidRDefault="005D6A15" w:rsidP="00CD6430">
      <w:pPr>
        <w:pStyle w:val="FootnoteText"/>
        <w:rPr>
          <w:lang w:val="en-GB"/>
        </w:rPr>
      </w:pPr>
      <w:r w:rsidRPr="00C066D3">
        <w:rPr>
          <w:rStyle w:val="FootnoteReference"/>
        </w:rPr>
        <w:footnoteRef/>
      </w:r>
      <w:r>
        <w:t xml:space="preserve"> CD4 results are available for 81% of males in the sample. The shortfall is largely made up of individuals who tested HIV-negative on the home-based rapid test and HIV-positive in the central laboratory, although  some may be due to logistical problems such as samples reaching the central laboratory too late to be tested for CD4 </w:t>
      </w:r>
      <w:r>
        <w:fldChar w:fldCharType="begin" w:fldLock="1"/>
      </w:r>
      <w:r>
        <w:instrText>ADDIN CSL_CITATION { "citationItems" : [ { "id" : "ITEM-1", "itemData" : { "author" : [ { "dropping-particle" : "", "family" : "Uganda Ministry of Health", "given" : "", "non-dropping-particle" : "", "parse-names" : false, "suffix" : "" } ], "id" : "ITEM-1", "issued" : { "date-parts" : [ [ "2012" ] ] }, "publisher-place" : "Kampala", "title" : "Uganda AIDS Indicator Survey (AIS) AIDS Indicator Survey (AIS)", "type" : "report" }, "uris" : [ "http://www.mendeley.com/documents/?uuid=04c92035-8654-32ea-9fab-26496099fe68" ] } ], "mendeley" : { "formattedCitation" : "(Uganda Ministry of Health 2012)", "plainTextFormattedCitation" : "(Uganda Ministry of Health 2012)", "previouslyFormattedCitation" : "(Uganda Ministry of Health 2012)" }, "properties" : { "noteIndex" : 0 }, "schema" : "https://github.com/citation-style-language/schema/raw/master/csl-citation.json" }</w:instrText>
      </w:r>
      <w:r>
        <w:fldChar w:fldCharType="separate"/>
      </w:r>
      <w:r w:rsidRPr="000F053F">
        <w:rPr>
          <w:noProof/>
        </w:rPr>
        <w:t>(Uganda Ministry of Health 2012)</w:t>
      </w:r>
      <w:r>
        <w:fldChar w:fldCharType="end"/>
      </w:r>
      <w:r>
        <w:t>.</w:t>
      </w:r>
    </w:p>
  </w:footnote>
  <w:footnote w:id="5">
    <w:p w14:paraId="02F48F5D" w14:textId="77777777" w:rsidR="005D6A15" w:rsidRPr="00EC31DC" w:rsidRDefault="005D6A15">
      <w:pPr>
        <w:pStyle w:val="FootnoteText"/>
        <w:rPr>
          <w:lang w:val="en-GB"/>
        </w:rPr>
      </w:pPr>
      <w:r w:rsidRPr="00C066D3">
        <w:rPr>
          <w:rStyle w:val="FootnoteReference"/>
        </w:rPr>
        <w:footnoteRef/>
      </w:r>
      <w:r>
        <w:t xml:space="preserve"> </w:t>
      </w:r>
      <w:r>
        <w:rPr>
          <w:lang w:val="en-GB"/>
        </w:rPr>
        <w:t>While a bivariate probit estimator is preferable in our context, we also estimate a 2SLS model for comparison.  See Appendix 1 for the 2SLS results.</w:t>
      </w:r>
    </w:p>
  </w:footnote>
  <w:footnote w:id="6">
    <w:p w14:paraId="7B2C8600" w14:textId="77777777" w:rsidR="005D6A15" w:rsidRPr="009C3C86" w:rsidRDefault="005D6A15" w:rsidP="00A30B6B">
      <w:pPr>
        <w:pStyle w:val="FootnoteText"/>
        <w:rPr>
          <w:lang w:val="en-GB"/>
        </w:rPr>
      </w:pPr>
      <w:r>
        <w:rPr>
          <w:rStyle w:val="FootnoteReference"/>
        </w:rPr>
        <w:footnoteRef/>
      </w:r>
      <w:r>
        <w:t xml:space="preserve"> </w:t>
      </w:r>
      <w:r w:rsidRPr="00F54F5F">
        <w:t>As imputation was done at the occupation category level it is not possible to completely limit the sample only to individuals in subsistence agriculture or animal rearing</w:t>
      </w:r>
      <w:r>
        <w:t>; however, m</w:t>
      </w:r>
      <w:r w:rsidRPr="00A30B6B">
        <w:t>ore than 90% of individuals in this category work in subsistence agriculture or animal rearing.</w:t>
      </w:r>
    </w:p>
  </w:footnote>
  <w:footnote w:id="7">
    <w:p w14:paraId="761D9613" w14:textId="77777777" w:rsidR="005D6A15" w:rsidRPr="006F0804" w:rsidRDefault="005D6A15">
      <w:pPr>
        <w:pStyle w:val="FootnoteText"/>
        <w:rPr>
          <w:lang w:val="en-GB"/>
        </w:rPr>
      </w:pPr>
      <w:r w:rsidRPr="00C066D3">
        <w:rPr>
          <w:rStyle w:val="FootnoteReference"/>
        </w:rPr>
        <w:footnoteRef/>
      </w:r>
      <w:r>
        <w:t xml:space="preserve"> </w:t>
      </w:r>
      <w:r>
        <w:rPr>
          <w:lang w:val="en-GB"/>
        </w:rPr>
        <w:t>While WHO recommended treating all HIV-infected individuals in 2015, at the time of this survey the 2009  guidance recommended treating individuals with CD4 cell counts of 350 cells/mm</w:t>
      </w:r>
      <w:r>
        <w:rPr>
          <w:vertAlign w:val="superscript"/>
          <w:lang w:val="en-GB"/>
        </w:rPr>
        <w:t>3</w:t>
      </w:r>
      <w:r>
        <w:rPr>
          <w:lang w:val="en-GB"/>
        </w:rPr>
        <w:t xml:space="preserve"> or lower </w:t>
      </w:r>
      <w:r>
        <w:rPr>
          <w:lang w:val="en-GB"/>
        </w:rPr>
        <w:fldChar w:fldCharType="begin" w:fldLock="1"/>
      </w:r>
      <w:r>
        <w:rPr>
          <w:lang w:val="en-GB"/>
        </w:rPr>
        <w:instrText>ADDIN CSL_CITATION { "citationItems" : [ { "id" : "ITEM-1", "itemData" : { "author" : [ { "dropping-particle" : "", "family" : "World Health Organization", "given" : "", "non-dropping-particle" : "", "parse-names" : false, "suffix" : "" } ], "id" : "ITEM-1", "issued" : { "date-parts" : [ [ "2010" ] ] }, "number-of-pages" : "174", "publisher-place" : "Geneva", "title" : "HIV/AIDS prevention, treatment and care in the health sector (2010 version)", "type" : "report" }, "uris" : [ "http://www.mendeley.com/documents/?uuid=9a669c95-ab18-3215-9704-3813d2effb4d" ] } ], "mendeley" : { "formattedCitation" : "(World Health Organization 2010)", "plainTextFormattedCitation" : "(World Health Organization 2010)", "previouslyFormattedCitation" : "(World Health Organization 2010)" }, "properties" : { "noteIndex" : 0 }, "schema" : "https://github.com/citation-style-language/schema/raw/master/csl-citation.json" }</w:instrText>
      </w:r>
      <w:r>
        <w:rPr>
          <w:lang w:val="en-GB"/>
        </w:rPr>
        <w:fldChar w:fldCharType="separate"/>
      </w:r>
      <w:r w:rsidRPr="00621F11">
        <w:rPr>
          <w:noProof/>
          <w:lang w:val="en-GB"/>
        </w:rPr>
        <w:t>(World Health Organization 2010)</w:t>
      </w:r>
      <w:r>
        <w:rPr>
          <w:lang w:val="en-GB"/>
        </w:rPr>
        <w:fldChar w:fldCharType="end"/>
      </w:r>
      <w:r>
        <w:rPr>
          <w:lang w:val="en-GB"/>
        </w:rPr>
        <w:t>.  In Uganda, all patients with CD4 cell counts of 200 cells/mm</w:t>
      </w:r>
      <w:r>
        <w:rPr>
          <w:vertAlign w:val="superscript"/>
          <w:lang w:val="en-GB"/>
        </w:rPr>
        <w:t>3</w:t>
      </w:r>
      <w:r>
        <w:rPr>
          <w:lang w:val="en-GB"/>
        </w:rPr>
        <w:t xml:space="preserve"> were initiated on ART.  For individuals with CD4 cell counts between 200 cells/mm</w:t>
      </w:r>
      <w:r>
        <w:rPr>
          <w:vertAlign w:val="superscript"/>
          <w:lang w:val="en-GB"/>
        </w:rPr>
        <w:t>3</w:t>
      </w:r>
      <w:r>
        <w:rPr>
          <w:lang w:val="en-GB"/>
        </w:rPr>
        <w:t xml:space="preserve"> and 350 cells/mm</w:t>
      </w:r>
      <w:r>
        <w:rPr>
          <w:vertAlign w:val="superscript"/>
          <w:lang w:val="en-GB"/>
        </w:rPr>
        <w:t>3</w:t>
      </w:r>
      <w:r>
        <w:rPr>
          <w:lang w:val="en-GB"/>
        </w:rPr>
        <w:t xml:space="preserve"> the decision whether or not to initiate ART was based on a clinical assessment of presence of symptoms in line with WHO HIV stages </w:t>
      </w:r>
      <w:r>
        <w:rPr>
          <w:lang w:val="en-GB"/>
        </w:rPr>
        <w:fldChar w:fldCharType="begin" w:fldLock="1"/>
      </w:r>
      <w:r>
        <w:rPr>
          <w:lang w:val="en-GB"/>
        </w:rPr>
        <w:instrText>ADDIN CSL_CITATION { "citationItems" : [ { "id" : "ITEM-1", "itemData" : { "author" : [ { "dropping-particle" : "", "family" : "Katabira", "given" : "Elly T", "non-dropping-particle" : "", "parse-names" : false, "suffix" : "" }, { "dropping-particle" : "", "family" : "Kamya", "given" : "Moses R", "non-dropping-particle" : "", "parse-names" : false, "suffix" : "" }, { "dropping-particle" : "", "family" : "Med", "given" : "M", "non-dropping-particle" : "", "parse-names" : false, "suffix" : "" }, { "dropping-particle" : "", "family" : "Kalyesubula", "given" : "Israel", "non-dropping-particle" : "", "parse-names" : false, "suffix" : "" }, { "dropping-particle" : "", "family" : "Namale", "given" : "Alice", "non-dropping-particle" : "", "parse-names" : false, "suffix" : "" } ], "id" : "ITEM-1", "issued" : { "date-parts" : [ [ "2008" ] ] }, "publisher-place" : "Kampala", "title" : "National Antiretroviral Treatment and Care Guidelines for Adults, Adolescents, and Children", "type" : "report" }, "uris" : [ "http://www.mendeley.com/documents/?uuid=aef3cfb7-ce33-3ede-ae36-d21b45fdc3ae" ] } ], "mendeley" : { "formattedCitation" : "(Katabira et al. 2008)", "plainTextFormattedCitation" : "(Katabira et al. 2008)", "previouslyFormattedCitation" : "(Katabira et al. 2008)" }, "properties" : { "noteIndex" : 0 }, "schema" : "https://github.com/citation-style-language/schema/raw/master/csl-citation.json" }</w:instrText>
      </w:r>
      <w:r>
        <w:rPr>
          <w:lang w:val="en-GB"/>
        </w:rPr>
        <w:fldChar w:fldCharType="separate"/>
      </w:r>
      <w:r w:rsidRPr="004D3D23">
        <w:rPr>
          <w:noProof/>
          <w:lang w:val="en-GB"/>
        </w:rPr>
        <w:t>(Katabira et al. 2008)</w:t>
      </w:r>
      <w:r>
        <w:rPr>
          <w:lang w:val="en-GB"/>
        </w:rPr>
        <w:fldChar w:fldCharType="end"/>
      </w:r>
      <w:r>
        <w:rPr>
          <w:lang w:val="en-GB"/>
        </w:rPr>
        <w:t xml:space="preserve">. </w:t>
      </w:r>
    </w:p>
  </w:footnote>
  <w:footnote w:id="8">
    <w:p w14:paraId="68135335" w14:textId="77777777" w:rsidR="005D6A15" w:rsidRPr="00274F09" w:rsidRDefault="005D6A15">
      <w:pPr>
        <w:pStyle w:val="FootnoteText"/>
        <w:rPr>
          <w:lang w:val="en-GB"/>
        </w:rPr>
      </w:pPr>
      <w:r>
        <w:rPr>
          <w:rStyle w:val="FootnoteReference"/>
        </w:rPr>
        <w:footnoteRef/>
      </w:r>
      <w:r>
        <w:t xml:space="preserve"> The exception is September, which is also a month associated with land preparation and sowing.</w:t>
      </w:r>
    </w:p>
  </w:footnote>
  <w:footnote w:id="9">
    <w:p w14:paraId="486BFF48" w14:textId="77777777" w:rsidR="005D6A15" w:rsidRPr="003A69BA" w:rsidRDefault="005D6A15">
      <w:pPr>
        <w:pStyle w:val="FootnoteText"/>
        <w:rPr>
          <w:lang w:val="en-GB"/>
        </w:rPr>
      </w:pPr>
      <w:r>
        <w:rPr>
          <w:rStyle w:val="FootnoteReference"/>
        </w:rPr>
        <w:footnoteRef/>
      </w:r>
      <w:r>
        <w:t xml:space="preserve"> </w:t>
      </w:r>
      <w:r>
        <w:rPr>
          <w:lang w:val="en-GB"/>
        </w:rPr>
        <w:t>The results without controlling for covariates are presented in Appendix 1.</w:t>
      </w:r>
    </w:p>
  </w:footnote>
  <w:footnote w:id="10">
    <w:p w14:paraId="722D3DA0" w14:textId="77777777" w:rsidR="005D6A15" w:rsidRPr="00A1438B" w:rsidRDefault="005D6A15">
      <w:pPr>
        <w:pStyle w:val="FootnoteText"/>
        <w:rPr>
          <w:lang w:val="en-GB"/>
        </w:rPr>
      </w:pPr>
      <w:r w:rsidRPr="00C066D3">
        <w:rPr>
          <w:rStyle w:val="FootnoteReference"/>
        </w:rPr>
        <w:footnoteRef/>
      </w:r>
      <w:r>
        <w:t xml:space="preserve"> </w:t>
      </w:r>
      <w:r w:rsidRPr="004A6B93">
        <w:rPr>
          <w:lang w:val="en-GB"/>
        </w:rPr>
        <w:t xml:space="preserve">The F-statistic—the standard </w:t>
      </w:r>
      <w:r w:rsidRPr="004A6B93">
        <w:rPr>
          <w:bCs/>
          <w:lang w:val="en-GB"/>
        </w:rPr>
        <w:t xml:space="preserve">criteria for judging the relevance of an instrument for a 2SLS regression—is obtained by running a linear regression of the first stage of the bivariate probit model.  According to </w:t>
      </w:r>
      <w:r>
        <w:rPr>
          <w:bCs/>
          <w:lang w:val="en-GB"/>
        </w:rPr>
        <w:fldChar w:fldCharType="begin" w:fldLock="1"/>
      </w:r>
      <w:r>
        <w:rPr>
          <w:bCs/>
          <w:lang w:val="en-GB"/>
        </w:rPr>
        <w:instrText>ADDIN CSL_CITATION { "citationItems" : [ { "id" : "ITEM-1", "itemData" : { "author" : [ { "dropping-particle" : "", "family" : "Stock", "given" : "James", "non-dropping-particle" : "", "parse-names" : false, "suffix" : "" }, { "dropping-particle" : "", "family" : "Yogo", "given" : "Motohiro", "non-dropping-particle" : "", "parse-names" : false, "suffix" : "" } ], "container-title" : "Identification and Inference for Econometric Models", "editor" : [ { "dropping-particle" : "", "family" : "Andrews", "given" : "Donald W.K.", "non-dropping-particle" : "", "parse-names" : false, "suffix" : "" } ], "id" : "ITEM-1", "issued" : { "date-parts" : [ [ "2005" ] ] }, "page" : "80-108", "publisher" : "Cambridge University Press", "publisher-place" : "New York", "title" : "Testing for Weak Instruments in Linear IV Regression", "type" : "chapter" }, "uris" : [ "http://www.mendeley.com/documents/?uuid=ba07801b-e8bf-4cd5-8cce-f517d50fbe9c" ] } ], "mendeley" : { "formattedCitation" : "(Stock &amp; Yogo 2005)", "manualFormatting" : "Stock and Yogo (2005)", "plainTextFormattedCitation" : "(Stock &amp; Yogo 2005)", "previouslyFormattedCitation" : "(Stock &amp; Yogo 2005)" }, "properties" : { "noteIndex" : 0 }, "schema" : "https://github.com/citation-style-language/schema/raw/master/csl-citation.json" }</w:instrText>
      </w:r>
      <w:r>
        <w:rPr>
          <w:bCs/>
          <w:lang w:val="en-GB"/>
        </w:rPr>
        <w:fldChar w:fldCharType="separate"/>
      </w:r>
      <w:r w:rsidRPr="006D42AF">
        <w:rPr>
          <w:bCs/>
          <w:noProof/>
          <w:lang w:val="en-GB"/>
        </w:rPr>
        <w:t xml:space="preserve">Stock </w:t>
      </w:r>
      <w:r>
        <w:rPr>
          <w:bCs/>
          <w:noProof/>
          <w:lang w:val="en-GB"/>
        </w:rPr>
        <w:t>and</w:t>
      </w:r>
      <w:r w:rsidRPr="006D42AF">
        <w:rPr>
          <w:bCs/>
          <w:noProof/>
          <w:lang w:val="en-GB"/>
        </w:rPr>
        <w:t xml:space="preserve"> Yogo </w:t>
      </w:r>
      <w:r>
        <w:rPr>
          <w:bCs/>
          <w:noProof/>
          <w:lang w:val="en-GB"/>
        </w:rPr>
        <w:t>(</w:t>
      </w:r>
      <w:r w:rsidRPr="006D42AF">
        <w:rPr>
          <w:bCs/>
          <w:noProof/>
          <w:lang w:val="en-GB"/>
        </w:rPr>
        <w:t>2005)</w:t>
      </w:r>
      <w:r>
        <w:rPr>
          <w:bCs/>
          <w:lang w:val="en-GB"/>
        </w:rPr>
        <w:fldChar w:fldCharType="end"/>
      </w:r>
      <w:r w:rsidRPr="004A6B93">
        <w:rPr>
          <w:bCs/>
          <w:lang w:val="en-GB"/>
        </w:rPr>
        <w:t xml:space="preserve">, the F statistic of </w:t>
      </w:r>
      <w:r>
        <w:rPr>
          <w:bCs/>
          <w:lang w:val="en-GB"/>
        </w:rPr>
        <w:t>9.29</w:t>
      </w:r>
      <w:r w:rsidRPr="004A6B93">
        <w:rPr>
          <w:bCs/>
          <w:lang w:val="en-GB"/>
        </w:rPr>
        <w:t xml:space="preserve"> obtained limits the bias of the model to between </w:t>
      </w:r>
      <w:r>
        <w:rPr>
          <w:bCs/>
          <w:lang w:val="en-GB"/>
        </w:rPr>
        <w:t>10</w:t>
      </w:r>
      <w:r w:rsidRPr="004A6B93">
        <w:rPr>
          <w:bCs/>
          <w:lang w:val="en-GB"/>
        </w:rPr>
        <w:t xml:space="preserve"> and </w:t>
      </w:r>
      <w:r>
        <w:rPr>
          <w:bCs/>
          <w:lang w:val="en-GB"/>
        </w:rPr>
        <w:t>15</w:t>
      </w:r>
      <w:r w:rsidRPr="004A6B93">
        <w:rPr>
          <w:bCs/>
          <w:lang w:val="en-GB"/>
        </w:rPr>
        <w:t xml:space="preserve">% of an ordinary least squares model, the cut-offs for which are </w:t>
      </w:r>
      <w:r>
        <w:rPr>
          <w:bCs/>
          <w:lang w:val="en-GB"/>
        </w:rPr>
        <w:t>16.38</w:t>
      </w:r>
      <w:r w:rsidRPr="004A6B93">
        <w:rPr>
          <w:bCs/>
          <w:lang w:val="en-GB"/>
        </w:rPr>
        <w:t xml:space="preserve"> and </w:t>
      </w:r>
      <w:r>
        <w:rPr>
          <w:bCs/>
          <w:lang w:val="en-GB"/>
        </w:rPr>
        <w:t>8.96</w:t>
      </w:r>
      <w:r w:rsidRPr="004A6B93">
        <w:rPr>
          <w:bCs/>
          <w:lang w:val="en-GB"/>
        </w:rPr>
        <w:t xml:space="preserve"> respectively for a linear model with a single instrument and single endogenous regressor (Stock and Yogo 2005).  </w:t>
      </w:r>
    </w:p>
  </w:footnote>
  <w:footnote w:id="11">
    <w:p w14:paraId="4CA22679" w14:textId="77777777" w:rsidR="005D6A15" w:rsidRPr="00AB38CC" w:rsidRDefault="005D6A15">
      <w:pPr>
        <w:pStyle w:val="FootnoteText"/>
        <w:rPr>
          <w:lang w:val="en-GB"/>
        </w:rPr>
      </w:pPr>
      <w:r>
        <w:rPr>
          <w:rStyle w:val="FootnoteReference"/>
        </w:rPr>
        <w:footnoteRef/>
      </w:r>
      <w:r>
        <w:t xml:space="preserve"> </w:t>
      </w:r>
      <w:r>
        <w:rPr>
          <w:lang w:val="en-GB"/>
        </w:rPr>
        <w:t xml:space="preserve">The magnitude and significance of the marginal effect of being interviewed in September on the likelihood of being HIV-positive reflects that all of the small sample of individuals interviewed in September (12) were HIV negative. </w:t>
      </w:r>
    </w:p>
  </w:footnote>
  <w:footnote w:id="12">
    <w:p w14:paraId="03AAD9D6" w14:textId="77777777" w:rsidR="005D6A15" w:rsidRPr="00FB38A6" w:rsidRDefault="005D6A15">
      <w:pPr>
        <w:pStyle w:val="FootnoteText"/>
        <w:rPr>
          <w:lang w:val="en-GB"/>
        </w:rPr>
      </w:pPr>
      <w:r>
        <w:rPr>
          <w:rStyle w:val="FootnoteReference"/>
        </w:rPr>
        <w:footnoteRef/>
      </w:r>
      <w:r>
        <w:t xml:space="preserve"> While 94% of </w:t>
      </w:r>
      <w:r>
        <w:rPr>
          <w:lang w:val="en-GB"/>
        </w:rPr>
        <w:t>individuals who had completed higher education were employed (compared to 96% who had completed secondary, 95% who had completed primary and 89% with no education), there were fewer individuals in the sample that had completed higher education and having done so compared to having no education was not a significant predictor of employment.</w:t>
      </w:r>
    </w:p>
  </w:footnote>
  <w:footnote w:id="13">
    <w:p w14:paraId="4C738D1B" w14:textId="77777777" w:rsidR="005D6A15" w:rsidRPr="00274F09" w:rsidRDefault="005D6A15">
      <w:pPr>
        <w:pStyle w:val="FootnoteText"/>
        <w:rPr>
          <w:lang w:val="en-GB"/>
        </w:rPr>
      </w:pPr>
      <w:r>
        <w:rPr>
          <w:rStyle w:val="FootnoteReference"/>
        </w:rPr>
        <w:footnoteRef/>
      </w:r>
      <w:r>
        <w:t xml:space="preserve"> </w:t>
      </w:r>
      <w:r>
        <w:rPr>
          <w:lang w:val="en-GB"/>
        </w:rPr>
        <w:t>The corresponding result from the recursive bivariate probit model here is the observed statistical significance of the rho coefficient.</w:t>
      </w:r>
    </w:p>
  </w:footnote>
  <w:footnote w:id="14">
    <w:p w14:paraId="07F91EA7" w14:textId="77777777" w:rsidR="005D6A15" w:rsidRPr="00DB70F6" w:rsidRDefault="005D6A15" w:rsidP="00AA7F13">
      <w:pPr>
        <w:pStyle w:val="FootnoteText"/>
        <w:rPr>
          <w:lang w:val="en-GB"/>
        </w:rPr>
      </w:pPr>
      <w:r w:rsidRPr="00C066D3">
        <w:rPr>
          <w:rStyle w:val="FootnoteReference"/>
        </w:rPr>
        <w:footnoteRef/>
      </w:r>
      <w:r>
        <w:t xml:space="preserve"> </w:t>
      </w:r>
      <w:r>
        <w:rPr>
          <w:lang w:val="en-GB"/>
        </w:rPr>
        <w:t xml:space="preserve">Because the treated group varies across the different analyses employing different cut-off points for CD4 analysis we consider ATE to allow for consistency in comparison of effects. </w:t>
      </w:r>
    </w:p>
  </w:footnote>
  <w:footnote w:id="15">
    <w:p w14:paraId="7B1997F9" w14:textId="77777777" w:rsidR="005D6A15" w:rsidRPr="006F2FC8" w:rsidRDefault="005D6A15" w:rsidP="006F2FC8">
      <w:pPr>
        <w:autoSpaceDE w:val="0"/>
        <w:autoSpaceDN w:val="0"/>
        <w:adjustRightInd w:val="0"/>
        <w:spacing w:line="240" w:lineRule="auto"/>
        <w:ind w:firstLine="0"/>
        <w:jc w:val="left"/>
        <w:rPr>
          <w:lang w:val="en-GB"/>
        </w:rPr>
      </w:pPr>
      <w:r w:rsidRPr="00C066D3">
        <w:rPr>
          <w:rStyle w:val="FootnoteReference"/>
        </w:rPr>
        <w:footnoteRef/>
      </w:r>
      <w:r>
        <w:t xml:space="preserve"> </w:t>
      </w:r>
      <w:r w:rsidRPr="00370503">
        <w:rPr>
          <w:rFonts w:eastAsiaTheme="minorHAnsi"/>
          <w:sz w:val="20"/>
          <w:szCs w:val="20"/>
          <w:lang w:val="en-GB"/>
        </w:rPr>
        <w:t>Burkina Faso, Cameroon, Cô</w:t>
      </w:r>
      <w:r w:rsidRPr="006F2FC8">
        <w:rPr>
          <w:rFonts w:eastAsiaTheme="minorHAnsi"/>
          <w:sz w:val="20"/>
          <w:szCs w:val="20"/>
          <w:lang w:val="en-GB"/>
        </w:rPr>
        <w:t xml:space="preserve">te d’Ivoire, Ethiopia, Ghana, Guinea, Haiti, Kenya, Lesotho, </w:t>
      </w:r>
      <w:r w:rsidRPr="00370503">
        <w:rPr>
          <w:rFonts w:eastAsiaTheme="minorHAnsi"/>
          <w:sz w:val="20"/>
          <w:szCs w:val="20"/>
          <w:lang w:val="en-GB"/>
        </w:rPr>
        <w:t>Malawi, Rwanda</w:t>
      </w:r>
      <w:r w:rsidRPr="006F2FC8">
        <w:rPr>
          <w:rFonts w:eastAsiaTheme="minorHAnsi"/>
          <w:sz w:val="20"/>
          <w:szCs w:val="20"/>
          <w:lang w:val="en-GB"/>
        </w:rPr>
        <w:t>, Senegal, and Tanzania</w:t>
      </w:r>
    </w:p>
  </w:footnote>
  <w:footnote w:id="16">
    <w:p w14:paraId="1FE82B36" w14:textId="77777777" w:rsidR="005D6A15" w:rsidRPr="00CA48B2" w:rsidRDefault="005D6A15" w:rsidP="00504074">
      <w:pPr>
        <w:pStyle w:val="FootnoteText"/>
        <w:rPr>
          <w:lang w:val="en-GB"/>
        </w:rPr>
      </w:pPr>
      <w:r w:rsidRPr="00C066D3">
        <w:rPr>
          <w:rStyle w:val="FootnoteReference"/>
        </w:rPr>
        <w:footnoteRef/>
      </w:r>
      <w:r>
        <w:t xml:space="preserve"> </w:t>
      </w:r>
      <w:r>
        <w:rPr>
          <w:lang w:val="en-GB"/>
        </w:rPr>
        <w:t>In robustness checks we also considered controlling for ART, but this did not affect interpretation of results.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E7C"/>
    <w:multiLevelType w:val="multilevel"/>
    <w:tmpl w:val="CF66F2AE"/>
    <w:lvl w:ilvl="0">
      <w:start w:val="1"/>
      <w:numFmt w:val="decimal"/>
      <w:lvlText w:val="%1."/>
      <w:lvlJc w:val="left"/>
      <w:pPr>
        <w:ind w:left="564" w:hanging="360"/>
      </w:pPr>
      <w:rPr>
        <w:rFonts w:hint="default"/>
      </w:rPr>
    </w:lvl>
    <w:lvl w:ilvl="1">
      <w:start w:val="2"/>
      <w:numFmt w:val="decimal"/>
      <w:isLgl/>
      <w:lvlText w:val="%1.%2."/>
      <w:lvlJc w:val="left"/>
      <w:pPr>
        <w:ind w:left="564" w:hanging="360"/>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924" w:hanging="720"/>
      </w:pPr>
      <w:rPr>
        <w:rFonts w:hint="default"/>
      </w:rPr>
    </w:lvl>
    <w:lvl w:ilvl="4">
      <w:start w:val="1"/>
      <w:numFmt w:val="decimal"/>
      <w:isLgl/>
      <w:lvlText w:val="%1.%2.%3.%4.%5."/>
      <w:lvlJc w:val="left"/>
      <w:pPr>
        <w:ind w:left="1284" w:hanging="1080"/>
      </w:pPr>
      <w:rPr>
        <w:rFonts w:hint="default"/>
      </w:rPr>
    </w:lvl>
    <w:lvl w:ilvl="5">
      <w:start w:val="1"/>
      <w:numFmt w:val="decimal"/>
      <w:isLgl/>
      <w:lvlText w:val="%1.%2.%3.%4.%5.%6."/>
      <w:lvlJc w:val="left"/>
      <w:pPr>
        <w:ind w:left="1284" w:hanging="1080"/>
      </w:pPr>
      <w:rPr>
        <w:rFonts w:hint="default"/>
      </w:rPr>
    </w:lvl>
    <w:lvl w:ilvl="6">
      <w:start w:val="1"/>
      <w:numFmt w:val="decimal"/>
      <w:isLgl/>
      <w:lvlText w:val="%1.%2.%3.%4.%5.%6.%7."/>
      <w:lvlJc w:val="left"/>
      <w:pPr>
        <w:ind w:left="1644" w:hanging="1440"/>
      </w:pPr>
      <w:rPr>
        <w:rFonts w:hint="default"/>
      </w:rPr>
    </w:lvl>
    <w:lvl w:ilvl="7">
      <w:start w:val="1"/>
      <w:numFmt w:val="decimal"/>
      <w:isLgl/>
      <w:lvlText w:val="%1.%2.%3.%4.%5.%6.%7.%8."/>
      <w:lvlJc w:val="left"/>
      <w:pPr>
        <w:ind w:left="1644" w:hanging="1440"/>
      </w:pPr>
      <w:rPr>
        <w:rFonts w:hint="default"/>
      </w:rPr>
    </w:lvl>
    <w:lvl w:ilvl="8">
      <w:start w:val="1"/>
      <w:numFmt w:val="decimal"/>
      <w:isLgl/>
      <w:lvlText w:val="%1.%2.%3.%4.%5.%6.%7.%8.%9."/>
      <w:lvlJc w:val="left"/>
      <w:pPr>
        <w:ind w:left="2004" w:hanging="1800"/>
      </w:pPr>
      <w:rPr>
        <w:rFonts w:hint="default"/>
      </w:rPr>
    </w:lvl>
  </w:abstractNum>
  <w:abstractNum w:abstractNumId="1" w15:restartNumberingAfterBreak="0">
    <w:nsid w:val="60EF0209"/>
    <w:multiLevelType w:val="hybridMultilevel"/>
    <w:tmpl w:val="C374C40A"/>
    <w:lvl w:ilvl="0" w:tplc="FE92CF92">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C2"/>
    <w:rsid w:val="00002CC8"/>
    <w:rsid w:val="0001279A"/>
    <w:rsid w:val="00015B89"/>
    <w:rsid w:val="000173E2"/>
    <w:rsid w:val="00020FE1"/>
    <w:rsid w:val="00021724"/>
    <w:rsid w:val="00027F68"/>
    <w:rsid w:val="00030C18"/>
    <w:rsid w:val="0003206D"/>
    <w:rsid w:val="00032906"/>
    <w:rsid w:val="000407DA"/>
    <w:rsid w:val="00041524"/>
    <w:rsid w:val="00042A0C"/>
    <w:rsid w:val="000432CC"/>
    <w:rsid w:val="00052015"/>
    <w:rsid w:val="0006257F"/>
    <w:rsid w:val="00063448"/>
    <w:rsid w:val="0006447A"/>
    <w:rsid w:val="000649FC"/>
    <w:rsid w:val="00066A05"/>
    <w:rsid w:val="00090F01"/>
    <w:rsid w:val="00090F3D"/>
    <w:rsid w:val="00092FEF"/>
    <w:rsid w:val="000A2198"/>
    <w:rsid w:val="000A2E69"/>
    <w:rsid w:val="000A632F"/>
    <w:rsid w:val="000A6764"/>
    <w:rsid w:val="000A68EE"/>
    <w:rsid w:val="000C0829"/>
    <w:rsid w:val="000C26B6"/>
    <w:rsid w:val="000D1FB6"/>
    <w:rsid w:val="000D4809"/>
    <w:rsid w:val="000D7C5D"/>
    <w:rsid w:val="000E2DC8"/>
    <w:rsid w:val="000F053F"/>
    <w:rsid w:val="000F5032"/>
    <w:rsid w:val="000F5886"/>
    <w:rsid w:val="000F6F2B"/>
    <w:rsid w:val="000F7080"/>
    <w:rsid w:val="000F789F"/>
    <w:rsid w:val="00100DFC"/>
    <w:rsid w:val="00102BCF"/>
    <w:rsid w:val="00106FA6"/>
    <w:rsid w:val="001111B8"/>
    <w:rsid w:val="00137432"/>
    <w:rsid w:val="001410AA"/>
    <w:rsid w:val="001457CF"/>
    <w:rsid w:val="00146571"/>
    <w:rsid w:val="00152AAE"/>
    <w:rsid w:val="00152FA3"/>
    <w:rsid w:val="00154C53"/>
    <w:rsid w:val="00160132"/>
    <w:rsid w:val="00161E12"/>
    <w:rsid w:val="0016492A"/>
    <w:rsid w:val="0016707A"/>
    <w:rsid w:val="00173327"/>
    <w:rsid w:val="00173CBC"/>
    <w:rsid w:val="001760F0"/>
    <w:rsid w:val="00176657"/>
    <w:rsid w:val="00176EA4"/>
    <w:rsid w:val="00176FD5"/>
    <w:rsid w:val="00181B1C"/>
    <w:rsid w:val="00185D37"/>
    <w:rsid w:val="00193479"/>
    <w:rsid w:val="00196435"/>
    <w:rsid w:val="00196656"/>
    <w:rsid w:val="001A7F8D"/>
    <w:rsid w:val="001B0025"/>
    <w:rsid w:val="001B07DE"/>
    <w:rsid w:val="001B0A44"/>
    <w:rsid w:val="001B62AC"/>
    <w:rsid w:val="001C3B7F"/>
    <w:rsid w:val="001C4762"/>
    <w:rsid w:val="001C523C"/>
    <w:rsid w:val="001C5ADA"/>
    <w:rsid w:val="001C6DCE"/>
    <w:rsid w:val="001D06C3"/>
    <w:rsid w:val="001E0EAF"/>
    <w:rsid w:val="001E1D74"/>
    <w:rsid w:val="001E6D1F"/>
    <w:rsid w:val="001E70CF"/>
    <w:rsid w:val="001F4D77"/>
    <w:rsid w:val="001F7C45"/>
    <w:rsid w:val="001F7F70"/>
    <w:rsid w:val="00200257"/>
    <w:rsid w:val="00200371"/>
    <w:rsid w:val="00200CC2"/>
    <w:rsid w:val="002077CE"/>
    <w:rsid w:val="00211572"/>
    <w:rsid w:val="00215001"/>
    <w:rsid w:val="00216BC2"/>
    <w:rsid w:val="002205A6"/>
    <w:rsid w:val="002221A0"/>
    <w:rsid w:val="00222CA8"/>
    <w:rsid w:val="0022302E"/>
    <w:rsid w:val="00230024"/>
    <w:rsid w:val="00232D39"/>
    <w:rsid w:val="00233CED"/>
    <w:rsid w:val="002423EF"/>
    <w:rsid w:val="00246E69"/>
    <w:rsid w:val="00247284"/>
    <w:rsid w:val="0025179E"/>
    <w:rsid w:val="00252EC5"/>
    <w:rsid w:val="00254C16"/>
    <w:rsid w:val="00257256"/>
    <w:rsid w:val="0026353B"/>
    <w:rsid w:val="0026532F"/>
    <w:rsid w:val="0027295E"/>
    <w:rsid w:val="002736E5"/>
    <w:rsid w:val="00274F09"/>
    <w:rsid w:val="002766C9"/>
    <w:rsid w:val="00276DDB"/>
    <w:rsid w:val="00290C4A"/>
    <w:rsid w:val="00295997"/>
    <w:rsid w:val="00296BAA"/>
    <w:rsid w:val="002A2306"/>
    <w:rsid w:val="002B116F"/>
    <w:rsid w:val="002B3C9F"/>
    <w:rsid w:val="002B47D9"/>
    <w:rsid w:val="002B5204"/>
    <w:rsid w:val="002C3ECD"/>
    <w:rsid w:val="002C764A"/>
    <w:rsid w:val="002D35D6"/>
    <w:rsid w:val="002D5EBB"/>
    <w:rsid w:val="002D6E22"/>
    <w:rsid w:val="002E19C6"/>
    <w:rsid w:val="002F62C6"/>
    <w:rsid w:val="00302DF3"/>
    <w:rsid w:val="003040DC"/>
    <w:rsid w:val="0030439E"/>
    <w:rsid w:val="003127ED"/>
    <w:rsid w:val="0031390A"/>
    <w:rsid w:val="00313EBC"/>
    <w:rsid w:val="0031789B"/>
    <w:rsid w:val="003250E9"/>
    <w:rsid w:val="00331D16"/>
    <w:rsid w:val="00332F10"/>
    <w:rsid w:val="0033583A"/>
    <w:rsid w:val="00335C64"/>
    <w:rsid w:val="00337A4C"/>
    <w:rsid w:val="003420B7"/>
    <w:rsid w:val="00342F79"/>
    <w:rsid w:val="00343118"/>
    <w:rsid w:val="003501AA"/>
    <w:rsid w:val="00350D4F"/>
    <w:rsid w:val="0035267F"/>
    <w:rsid w:val="003556C9"/>
    <w:rsid w:val="0035655E"/>
    <w:rsid w:val="003605A5"/>
    <w:rsid w:val="00361B40"/>
    <w:rsid w:val="00361B8B"/>
    <w:rsid w:val="00365945"/>
    <w:rsid w:val="003662AA"/>
    <w:rsid w:val="00367BCD"/>
    <w:rsid w:val="00370503"/>
    <w:rsid w:val="003726F4"/>
    <w:rsid w:val="0037360B"/>
    <w:rsid w:val="0037559A"/>
    <w:rsid w:val="00375861"/>
    <w:rsid w:val="003777D1"/>
    <w:rsid w:val="0038030B"/>
    <w:rsid w:val="003879AB"/>
    <w:rsid w:val="00390BC0"/>
    <w:rsid w:val="00392CBD"/>
    <w:rsid w:val="003A69BA"/>
    <w:rsid w:val="003C0B71"/>
    <w:rsid w:val="003C0CBF"/>
    <w:rsid w:val="003C2821"/>
    <w:rsid w:val="003C4856"/>
    <w:rsid w:val="003C6B4A"/>
    <w:rsid w:val="003D04D2"/>
    <w:rsid w:val="003D059E"/>
    <w:rsid w:val="003D35ED"/>
    <w:rsid w:val="003E1D8E"/>
    <w:rsid w:val="003E2891"/>
    <w:rsid w:val="003E6958"/>
    <w:rsid w:val="003E6B03"/>
    <w:rsid w:val="003F13AD"/>
    <w:rsid w:val="003F2F71"/>
    <w:rsid w:val="003F762E"/>
    <w:rsid w:val="00404472"/>
    <w:rsid w:val="00411514"/>
    <w:rsid w:val="0041167D"/>
    <w:rsid w:val="0041230A"/>
    <w:rsid w:val="004178AF"/>
    <w:rsid w:val="00420898"/>
    <w:rsid w:val="00420C87"/>
    <w:rsid w:val="004219D4"/>
    <w:rsid w:val="00424FFF"/>
    <w:rsid w:val="004266FC"/>
    <w:rsid w:val="00427EED"/>
    <w:rsid w:val="004365CE"/>
    <w:rsid w:val="00441DB9"/>
    <w:rsid w:val="00442845"/>
    <w:rsid w:val="0045175B"/>
    <w:rsid w:val="00452DE9"/>
    <w:rsid w:val="00452E08"/>
    <w:rsid w:val="004560CE"/>
    <w:rsid w:val="004634A6"/>
    <w:rsid w:val="0046473D"/>
    <w:rsid w:val="004668E5"/>
    <w:rsid w:val="00467109"/>
    <w:rsid w:val="004723E6"/>
    <w:rsid w:val="004735DA"/>
    <w:rsid w:val="00476821"/>
    <w:rsid w:val="00482F82"/>
    <w:rsid w:val="00483282"/>
    <w:rsid w:val="00483888"/>
    <w:rsid w:val="0048508C"/>
    <w:rsid w:val="0048750C"/>
    <w:rsid w:val="004879E9"/>
    <w:rsid w:val="00491753"/>
    <w:rsid w:val="00491F56"/>
    <w:rsid w:val="00492908"/>
    <w:rsid w:val="00493624"/>
    <w:rsid w:val="00494DDE"/>
    <w:rsid w:val="0049538C"/>
    <w:rsid w:val="00496BF0"/>
    <w:rsid w:val="00496FE9"/>
    <w:rsid w:val="004A1A48"/>
    <w:rsid w:val="004A3732"/>
    <w:rsid w:val="004A5F00"/>
    <w:rsid w:val="004A6208"/>
    <w:rsid w:val="004B0A4E"/>
    <w:rsid w:val="004B17CD"/>
    <w:rsid w:val="004B5734"/>
    <w:rsid w:val="004B67B6"/>
    <w:rsid w:val="004C2E0D"/>
    <w:rsid w:val="004C57FB"/>
    <w:rsid w:val="004D39B3"/>
    <w:rsid w:val="004D3C72"/>
    <w:rsid w:val="004D3D23"/>
    <w:rsid w:val="004D486C"/>
    <w:rsid w:val="004E3275"/>
    <w:rsid w:val="004E3907"/>
    <w:rsid w:val="004E5376"/>
    <w:rsid w:val="004F04D7"/>
    <w:rsid w:val="004F7DC2"/>
    <w:rsid w:val="00500A50"/>
    <w:rsid w:val="00500F69"/>
    <w:rsid w:val="00504074"/>
    <w:rsid w:val="0050672B"/>
    <w:rsid w:val="00511083"/>
    <w:rsid w:val="00515D22"/>
    <w:rsid w:val="00517325"/>
    <w:rsid w:val="005343A2"/>
    <w:rsid w:val="0054331D"/>
    <w:rsid w:val="00544D89"/>
    <w:rsid w:val="00544DD2"/>
    <w:rsid w:val="00546945"/>
    <w:rsid w:val="00546F95"/>
    <w:rsid w:val="0055064B"/>
    <w:rsid w:val="0055402F"/>
    <w:rsid w:val="0055497E"/>
    <w:rsid w:val="00557ECC"/>
    <w:rsid w:val="005622BB"/>
    <w:rsid w:val="005626FD"/>
    <w:rsid w:val="005647F0"/>
    <w:rsid w:val="005666C6"/>
    <w:rsid w:val="00571BC3"/>
    <w:rsid w:val="00572CC8"/>
    <w:rsid w:val="005833DE"/>
    <w:rsid w:val="0058362A"/>
    <w:rsid w:val="00584FD4"/>
    <w:rsid w:val="005904A9"/>
    <w:rsid w:val="00596344"/>
    <w:rsid w:val="00596A91"/>
    <w:rsid w:val="005A4C22"/>
    <w:rsid w:val="005A6F54"/>
    <w:rsid w:val="005A794D"/>
    <w:rsid w:val="005B455F"/>
    <w:rsid w:val="005B4C83"/>
    <w:rsid w:val="005B7B93"/>
    <w:rsid w:val="005C17FB"/>
    <w:rsid w:val="005C1F26"/>
    <w:rsid w:val="005C56AA"/>
    <w:rsid w:val="005D6A15"/>
    <w:rsid w:val="005D7F89"/>
    <w:rsid w:val="005E078F"/>
    <w:rsid w:val="005E0F4F"/>
    <w:rsid w:val="005E632E"/>
    <w:rsid w:val="005F5628"/>
    <w:rsid w:val="005F6094"/>
    <w:rsid w:val="00601938"/>
    <w:rsid w:val="00603020"/>
    <w:rsid w:val="006066E2"/>
    <w:rsid w:val="00607427"/>
    <w:rsid w:val="006133CA"/>
    <w:rsid w:val="00621CA5"/>
    <w:rsid w:val="00621F11"/>
    <w:rsid w:val="00627E7E"/>
    <w:rsid w:val="00630F03"/>
    <w:rsid w:val="0064129C"/>
    <w:rsid w:val="0064522D"/>
    <w:rsid w:val="0064585E"/>
    <w:rsid w:val="0064615B"/>
    <w:rsid w:val="00650071"/>
    <w:rsid w:val="00650A95"/>
    <w:rsid w:val="0065517B"/>
    <w:rsid w:val="00655496"/>
    <w:rsid w:val="0065694D"/>
    <w:rsid w:val="00656974"/>
    <w:rsid w:val="00662BEB"/>
    <w:rsid w:val="006714E5"/>
    <w:rsid w:val="00674AE0"/>
    <w:rsid w:val="00675D80"/>
    <w:rsid w:val="006773BE"/>
    <w:rsid w:val="00680811"/>
    <w:rsid w:val="006817C6"/>
    <w:rsid w:val="006842F6"/>
    <w:rsid w:val="0068538F"/>
    <w:rsid w:val="006901BC"/>
    <w:rsid w:val="00691621"/>
    <w:rsid w:val="006926C7"/>
    <w:rsid w:val="00697942"/>
    <w:rsid w:val="006A0875"/>
    <w:rsid w:val="006A265F"/>
    <w:rsid w:val="006B591F"/>
    <w:rsid w:val="006B7676"/>
    <w:rsid w:val="006B79CC"/>
    <w:rsid w:val="006C4A9E"/>
    <w:rsid w:val="006C6334"/>
    <w:rsid w:val="006D1873"/>
    <w:rsid w:val="006D2CD7"/>
    <w:rsid w:val="006D42AF"/>
    <w:rsid w:val="006D6682"/>
    <w:rsid w:val="006D7B2E"/>
    <w:rsid w:val="006F0804"/>
    <w:rsid w:val="006F2FC8"/>
    <w:rsid w:val="006F4FC7"/>
    <w:rsid w:val="006F6B55"/>
    <w:rsid w:val="00700BC7"/>
    <w:rsid w:val="00703470"/>
    <w:rsid w:val="007124F2"/>
    <w:rsid w:val="0071352F"/>
    <w:rsid w:val="00714CB7"/>
    <w:rsid w:val="00722CA1"/>
    <w:rsid w:val="00725033"/>
    <w:rsid w:val="00727C2F"/>
    <w:rsid w:val="0073230B"/>
    <w:rsid w:val="0073633E"/>
    <w:rsid w:val="007613AE"/>
    <w:rsid w:val="007658F2"/>
    <w:rsid w:val="00766317"/>
    <w:rsid w:val="0076656A"/>
    <w:rsid w:val="00770486"/>
    <w:rsid w:val="00772BF6"/>
    <w:rsid w:val="007737EC"/>
    <w:rsid w:val="00775A08"/>
    <w:rsid w:val="0078196C"/>
    <w:rsid w:val="007822E1"/>
    <w:rsid w:val="007928FF"/>
    <w:rsid w:val="00797770"/>
    <w:rsid w:val="00797DBA"/>
    <w:rsid w:val="007A43DA"/>
    <w:rsid w:val="007B0F77"/>
    <w:rsid w:val="007B2A4D"/>
    <w:rsid w:val="007B2E60"/>
    <w:rsid w:val="007B4ADE"/>
    <w:rsid w:val="007C1C33"/>
    <w:rsid w:val="007C4ABD"/>
    <w:rsid w:val="007C4F7B"/>
    <w:rsid w:val="007C68FC"/>
    <w:rsid w:val="007D01E1"/>
    <w:rsid w:val="007D3BC4"/>
    <w:rsid w:val="007D3BE1"/>
    <w:rsid w:val="007E27AA"/>
    <w:rsid w:val="007E4263"/>
    <w:rsid w:val="007E4A47"/>
    <w:rsid w:val="007F1A27"/>
    <w:rsid w:val="007F4002"/>
    <w:rsid w:val="007F48BA"/>
    <w:rsid w:val="008039B2"/>
    <w:rsid w:val="00806260"/>
    <w:rsid w:val="00820ADE"/>
    <w:rsid w:val="008211BA"/>
    <w:rsid w:val="0082354C"/>
    <w:rsid w:val="00825F54"/>
    <w:rsid w:val="00827C00"/>
    <w:rsid w:val="008367FC"/>
    <w:rsid w:val="00837BDA"/>
    <w:rsid w:val="00840742"/>
    <w:rsid w:val="00843630"/>
    <w:rsid w:val="00846CDA"/>
    <w:rsid w:val="00856A3E"/>
    <w:rsid w:val="00857708"/>
    <w:rsid w:val="00867162"/>
    <w:rsid w:val="00871DA0"/>
    <w:rsid w:val="0087313E"/>
    <w:rsid w:val="00875057"/>
    <w:rsid w:val="008757F4"/>
    <w:rsid w:val="00880E7C"/>
    <w:rsid w:val="008818FA"/>
    <w:rsid w:val="00882FD0"/>
    <w:rsid w:val="00895582"/>
    <w:rsid w:val="008A0362"/>
    <w:rsid w:val="008A0456"/>
    <w:rsid w:val="008A1032"/>
    <w:rsid w:val="008A1775"/>
    <w:rsid w:val="008A17F8"/>
    <w:rsid w:val="008A3910"/>
    <w:rsid w:val="008A4417"/>
    <w:rsid w:val="008B00E9"/>
    <w:rsid w:val="008B2977"/>
    <w:rsid w:val="008C0380"/>
    <w:rsid w:val="008C0434"/>
    <w:rsid w:val="008D04DD"/>
    <w:rsid w:val="008D650E"/>
    <w:rsid w:val="008E22F3"/>
    <w:rsid w:val="008E72A8"/>
    <w:rsid w:val="008F0AED"/>
    <w:rsid w:val="00904BC7"/>
    <w:rsid w:val="00906A06"/>
    <w:rsid w:val="00920F98"/>
    <w:rsid w:val="00925AA0"/>
    <w:rsid w:val="00932D55"/>
    <w:rsid w:val="00935019"/>
    <w:rsid w:val="00942404"/>
    <w:rsid w:val="00942A99"/>
    <w:rsid w:val="009443AA"/>
    <w:rsid w:val="009453FD"/>
    <w:rsid w:val="009464E1"/>
    <w:rsid w:val="00955677"/>
    <w:rsid w:val="00956C67"/>
    <w:rsid w:val="0096078B"/>
    <w:rsid w:val="009628E6"/>
    <w:rsid w:val="009679B4"/>
    <w:rsid w:val="00971EB7"/>
    <w:rsid w:val="00973B98"/>
    <w:rsid w:val="0097797A"/>
    <w:rsid w:val="00981338"/>
    <w:rsid w:val="00982754"/>
    <w:rsid w:val="009868AF"/>
    <w:rsid w:val="009878A3"/>
    <w:rsid w:val="00990FED"/>
    <w:rsid w:val="009A40DB"/>
    <w:rsid w:val="009B071D"/>
    <w:rsid w:val="009B4D58"/>
    <w:rsid w:val="009B7629"/>
    <w:rsid w:val="009C1FE3"/>
    <w:rsid w:val="009C304C"/>
    <w:rsid w:val="009D1734"/>
    <w:rsid w:val="009D48CA"/>
    <w:rsid w:val="009D50E7"/>
    <w:rsid w:val="009D5F40"/>
    <w:rsid w:val="009E0E2E"/>
    <w:rsid w:val="009E1A96"/>
    <w:rsid w:val="009E1D2E"/>
    <w:rsid w:val="009E3018"/>
    <w:rsid w:val="009E3EDE"/>
    <w:rsid w:val="009E6C3E"/>
    <w:rsid w:val="009F2210"/>
    <w:rsid w:val="009F30A5"/>
    <w:rsid w:val="009F3686"/>
    <w:rsid w:val="009F4574"/>
    <w:rsid w:val="009F4AC3"/>
    <w:rsid w:val="009F78B3"/>
    <w:rsid w:val="00A035E8"/>
    <w:rsid w:val="00A059C6"/>
    <w:rsid w:val="00A13241"/>
    <w:rsid w:val="00A1438B"/>
    <w:rsid w:val="00A17329"/>
    <w:rsid w:val="00A30B6B"/>
    <w:rsid w:val="00A315D1"/>
    <w:rsid w:val="00A31E36"/>
    <w:rsid w:val="00A3585F"/>
    <w:rsid w:val="00A35B9E"/>
    <w:rsid w:val="00A372EE"/>
    <w:rsid w:val="00A43C28"/>
    <w:rsid w:val="00A43E71"/>
    <w:rsid w:val="00A4496D"/>
    <w:rsid w:val="00A467AE"/>
    <w:rsid w:val="00A52D46"/>
    <w:rsid w:val="00A60D18"/>
    <w:rsid w:val="00A6235A"/>
    <w:rsid w:val="00A64BB0"/>
    <w:rsid w:val="00A72CCD"/>
    <w:rsid w:val="00A73C7F"/>
    <w:rsid w:val="00A745E6"/>
    <w:rsid w:val="00A77D8E"/>
    <w:rsid w:val="00A8138F"/>
    <w:rsid w:val="00A81816"/>
    <w:rsid w:val="00A83CC7"/>
    <w:rsid w:val="00A86EDF"/>
    <w:rsid w:val="00A94A77"/>
    <w:rsid w:val="00A96C12"/>
    <w:rsid w:val="00A97228"/>
    <w:rsid w:val="00AA0564"/>
    <w:rsid w:val="00AA4E06"/>
    <w:rsid w:val="00AA5353"/>
    <w:rsid w:val="00AA7F13"/>
    <w:rsid w:val="00AB38CC"/>
    <w:rsid w:val="00AD212E"/>
    <w:rsid w:val="00AD49AB"/>
    <w:rsid w:val="00AD7643"/>
    <w:rsid w:val="00AE2B51"/>
    <w:rsid w:val="00AE36B8"/>
    <w:rsid w:val="00AE39C8"/>
    <w:rsid w:val="00AE48D0"/>
    <w:rsid w:val="00AE571A"/>
    <w:rsid w:val="00AE5DC0"/>
    <w:rsid w:val="00AF02F1"/>
    <w:rsid w:val="00AF14C0"/>
    <w:rsid w:val="00AF2032"/>
    <w:rsid w:val="00AF3329"/>
    <w:rsid w:val="00AF45D7"/>
    <w:rsid w:val="00AF602C"/>
    <w:rsid w:val="00B05E83"/>
    <w:rsid w:val="00B0634F"/>
    <w:rsid w:val="00B06792"/>
    <w:rsid w:val="00B14B0D"/>
    <w:rsid w:val="00B171C0"/>
    <w:rsid w:val="00B17EC5"/>
    <w:rsid w:val="00B302D6"/>
    <w:rsid w:val="00B37DC8"/>
    <w:rsid w:val="00B47CFE"/>
    <w:rsid w:val="00B50FF8"/>
    <w:rsid w:val="00B52859"/>
    <w:rsid w:val="00B53CBD"/>
    <w:rsid w:val="00B567D0"/>
    <w:rsid w:val="00B5691E"/>
    <w:rsid w:val="00B576CF"/>
    <w:rsid w:val="00B60DCE"/>
    <w:rsid w:val="00B655B6"/>
    <w:rsid w:val="00B727FD"/>
    <w:rsid w:val="00B7456C"/>
    <w:rsid w:val="00B7522C"/>
    <w:rsid w:val="00B77284"/>
    <w:rsid w:val="00B77CE7"/>
    <w:rsid w:val="00B873FC"/>
    <w:rsid w:val="00BA0EF6"/>
    <w:rsid w:val="00BA1690"/>
    <w:rsid w:val="00BA2FEF"/>
    <w:rsid w:val="00BA7B07"/>
    <w:rsid w:val="00BC3A2B"/>
    <w:rsid w:val="00BC71F9"/>
    <w:rsid w:val="00BC7552"/>
    <w:rsid w:val="00BD3539"/>
    <w:rsid w:val="00BD602F"/>
    <w:rsid w:val="00BE19C6"/>
    <w:rsid w:val="00BE29C6"/>
    <w:rsid w:val="00BE6140"/>
    <w:rsid w:val="00BE6907"/>
    <w:rsid w:val="00BF0B6B"/>
    <w:rsid w:val="00BF6903"/>
    <w:rsid w:val="00C00EAE"/>
    <w:rsid w:val="00C066D3"/>
    <w:rsid w:val="00C134CC"/>
    <w:rsid w:val="00C1465A"/>
    <w:rsid w:val="00C148C3"/>
    <w:rsid w:val="00C17473"/>
    <w:rsid w:val="00C20CFD"/>
    <w:rsid w:val="00C234B1"/>
    <w:rsid w:val="00C32337"/>
    <w:rsid w:val="00C35215"/>
    <w:rsid w:val="00C409BB"/>
    <w:rsid w:val="00C4220E"/>
    <w:rsid w:val="00C475D8"/>
    <w:rsid w:val="00C50703"/>
    <w:rsid w:val="00C51F60"/>
    <w:rsid w:val="00C53551"/>
    <w:rsid w:val="00C647B6"/>
    <w:rsid w:val="00C67D2C"/>
    <w:rsid w:val="00C67E4C"/>
    <w:rsid w:val="00C71CF9"/>
    <w:rsid w:val="00C72EEC"/>
    <w:rsid w:val="00C75CA2"/>
    <w:rsid w:val="00C86717"/>
    <w:rsid w:val="00C91708"/>
    <w:rsid w:val="00C95BF0"/>
    <w:rsid w:val="00C96E25"/>
    <w:rsid w:val="00CA1015"/>
    <w:rsid w:val="00CA1800"/>
    <w:rsid w:val="00CA48B2"/>
    <w:rsid w:val="00CB02F3"/>
    <w:rsid w:val="00CB1E9B"/>
    <w:rsid w:val="00CB7F1B"/>
    <w:rsid w:val="00CC11EF"/>
    <w:rsid w:val="00CC24DB"/>
    <w:rsid w:val="00CC4C00"/>
    <w:rsid w:val="00CD4C66"/>
    <w:rsid w:val="00CD6430"/>
    <w:rsid w:val="00CE0C0D"/>
    <w:rsid w:val="00CE4497"/>
    <w:rsid w:val="00CE5C93"/>
    <w:rsid w:val="00CE6512"/>
    <w:rsid w:val="00CF0B30"/>
    <w:rsid w:val="00CF4572"/>
    <w:rsid w:val="00CF4AA2"/>
    <w:rsid w:val="00CF5437"/>
    <w:rsid w:val="00CF55E0"/>
    <w:rsid w:val="00CF6E91"/>
    <w:rsid w:val="00D01B00"/>
    <w:rsid w:val="00D01E4A"/>
    <w:rsid w:val="00D1230E"/>
    <w:rsid w:val="00D22AC8"/>
    <w:rsid w:val="00D27B5D"/>
    <w:rsid w:val="00D3012D"/>
    <w:rsid w:val="00D3214A"/>
    <w:rsid w:val="00D34BB1"/>
    <w:rsid w:val="00D406AC"/>
    <w:rsid w:val="00D40BEC"/>
    <w:rsid w:val="00D40C8D"/>
    <w:rsid w:val="00D45D50"/>
    <w:rsid w:val="00D5419F"/>
    <w:rsid w:val="00D57587"/>
    <w:rsid w:val="00D61752"/>
    <w:rsid w:val="00D70328"/>
    <w:rsid w:val="00D77497"/>
    <w:rsid w:val="00D83128"/>
    <w:rsid w:val="00D92D93"/>
    <w:rsid w:val="00DA3685"/>
    <w:rsid w:val="00DB2D62"/>
    <w:rsid w:val="00DB38D0"/>
    <w:rsid w:val="00DB4BA7"/>
    <w:rsid w:val="00DC17F3"/>
    <w:rsid w:val="00DC578F"/>
    <w:rsid w:val="00DC6D08"/>
    <w:rsid w:val="00DD20B6"/>
    <w:rsid w:val="00DD3CB6"/>
    <w:rsid w:val="00DD4425"/>
    <w:rsid w:val="00DD7263"/>
    <w:rsid w:val="00DE5333"/>
    <w:rsid w:val="00DE7513"/>
    <w:rsid w:val="00DF6A65"/>
    <w:rsid w:val="00E01ABC"/>
    <w:rsid w:val="00E0796B"/>
    <w:rsid w:val="00E1076F"/>
    <w:rsid w:val="00E15A51"/>
    <w:rsid w:val="00E23214"/>
    <w:rsid w:val="00E23CA9"/>
    <w:rsid w:val="00E27640"/>
    <w:rsid w:val="00E3583D"/>
    <w:rsid w:val="00E40F98"/>
    <w:rsid w:val="00E54B1B"/>
    <w:rsid w:val="00E64238"/>
    <w:rsid w:val="00E656F8"/>
    <w:rsid w:val="00E65A8E"/>
    <w:rsid w:val="00E66E20"/>
    <w:rsid w:val="00E709B3"/>
    <w:rsid w:val="00E72B13"/>
    <w:rsid w:val="00E74764"/>
    <w:rsid w:val="00E76959"/>
    <w:rsid w:val="00E7790E"/>
    <w:rsid w:val="00E81601"/>
    <w:rsid w:val="00E81A36"/>
    <w:rsid w:val="00E8208A"/>
    <w:rsid w:val="00E8433C"/>
    <w:rsid w:val="00E84DD8"/>
    <w:rsid w:val="00E95080"/>
    <w:rsid w:val="00E95C63"/>
    <w:rsid w:val="00EA1FAF"/>
    <w:rsid w:val="00EA23CE"/>
    <w:rsid w:val="00EA553E"/>
    <w:rsid w:val="00EA6ED3"/>
    <w:rsid w:val="00EB58D7"/>
    <w:rsid w:val="00EB673F"/>
    <w:rsid w:val="00EC31DC"/>
    <w:rsid w:val="00EC6286"/>
    <w:rsid w:val="00EE0C00"/>
    <w:rsid w:val="00EE5ADA"/>
    <w:rsid w:val="00EE728B"/>
    <w:rsid w:val="00EF2A8F"/>
    <w:rsid w:val="00EF4A9D"/>
    <w:rsid w:val="00EF6D7F"/>
    <w:rsid w:val="00EF76AA"/>
    <w:rsid w:val="00EF7911"/>
    <w:rsid w:val="00F016AE"/>
    <w:rsid w:val="00F0355C"/>
    <w:rsid w:val="00F03A81"/>
    <w:rsid w:val="00F075A7"/>
    <w:rsid w:val="00F10564"/>
    <w:rsid w:val="00F1144B"/>
    <w:rsid w:val="00F17BC0"/>
    <w:rsid w:val="00F245AD"/>
    <w:rsid w:val="00F26B25"/>
    <w:rsid w:val="00F34A65"/>
    <w:rsid w:val="00F37442"/>
    <w:rsid w:val="00F37541"/>
    <w:rsid w:val="00F408ED"/>
    <w:rsid w:val="00F414B1"/>
    <w:rsid w:val="00F424A6"/>
    <w:rsid w:val="00F425E5"/>
    <w:rsid w:val="00F46D88"/>
    <w:rsid w:val="00F47CD3"/>
    <w:rsid w:val="00F54F5F"/>
    <w:rsid w:val="00F55FD1"/>
    <w:rsid w:val="00F615EA"/>
    <w:rsid w:val="00F66A40"/>
    <w:rsid w:val="00F7118D"/>
    <w:rsid w:val="00F71D45"/>
    <w:rsid w:val="00F7259D"/>
    <w:rsid w:val="00F77306"/>
    <w:rsid w:val="00F77B1C"/>
    <w:rsid w:val="00F8203A"/>
    <w:rsid w:val="00F85B4D"/>
    <w:rsid w:val="00FA06AA"/>
    <w:rsid w:val="00FA090D"/>
    <w:rsid w:val="00FA5E34"/>
    <w:rsid w:val="00FA6319"/>
    <w:rsid w:val="00FB1B48"/>
    <w:rsid w:val="00FB1C1A"/>
    <w:rsid w:val="00FB38A6"/>
    <w:rsid w:val="00FB53AB"/>
    <w:rsid w:val="00FB6184"/>
    <w:rsid w:val="00FB792C"/>
    <w:rsid w:val="00FC114D"/>
    <w:rsid w:val="00FC6A31"/>
    <w:rsid w:val="00FC77FC"/>
    <w:rsid w:val="00FD0067"/>
    <w:rsid w:val="00FD02CD"/>
    <w:rsid w:val="00FD25B2"/>
    <w:rsid w:val="00FE615F"/>
    <w:rsid w:val="00FE68B0"/>
    <w:rsid w:val="00FF0DC4"/>
    <w:rsid w:val="00FF7B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9A694"/>
  <w15:docId w15:val="{C5CBB4FF-7520-460E-9E14-9F68A879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BC2"/>
    <w:pPr>
      <w:spacing w:after="0" w:line="360" w:lineRule="auto"/>
      <w:ind w:firstLine="202"/>
      <w:jc w:val="both"/>
    </w:pPr>
    <w:rPr>
      <w:rFonts w:ascii="Times New Roman" w:eastAsia="Calisto MT"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17B"/>
    <w:rPr>
      <w:color w:val="0000FF" w:themeColor="hyperlink"/>
      <w:u w:val="single"/>
    </w:rPr>
  </w:style>
  <w:style w:type="character" w:styleId="CommentReference">
    <w:name w:val="annotation reference"/>
    <w:basedOn w:val="DefaultParagraphFont"/>
    <w:uiPriority w:val="99"/>
    <w:semiHidden/>
    <w:unhideWhenUsed/>
    <w:rsid w:val="00337A4C"/>
    <w:rPr>
      <w:sz w:val="16"/>
      <w:szCs w:val="16"/>
    </w:rPr>
  </w:style>
  <w:style w:type="paragraph" w:styleId="CommentText">
    <w:name w:val="annotation text"/>
    <w:basedOn w:val="Normal"/>
    <w:link w:val="CommentTextChar"/>
    <w:uiPriority w:val="99"/>
    <w:unhideWhenUsed/>
    <w:rsid w:val="00337A4C"/>
    <w:pPr>
      <w:spacing w:line="240" w:lineRule="auto"/>
    </w:pPr>
    <w:rPr>
      <w:sz w:val="20"/>
      <w:szCs w:val="20"/>
    </w:rPr>
  </w:style>
  <w:style w:type="character" w:customStyle="1" w:styleId="CommentTextChar">
    <w:name w:val="Comment Text Char"/>
    <w:basedOn w:val="DefaultParagraphFont"/>
    <w:link w:val="CommentText"/>
    <w:uiPriority w:val="99"/>
    <w:rsid w:val="00337A4C"/>
    <w:rPr>
      <w:rFonts w:ascii="Times New Roman" w:eastAsia="Calisto MT"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37A4C"/>
    <w:rPr>
      <w:b/>
      <w:bCs/>
    </w:rPr>
  </w:style>
  <w:style w:type="character" w:customStyle="1" w:styleId="CommentSubjectChar">
    <w:name w:val="Comment Subject Char"/>
    <w:basedOn w:val="CommentTextChar"/>
    <w:link w:val="CommentSubject"/>
    <w:uiPriority w:val="99"/>
    <w:semiHidden/>
    <w:rsid w:val="00337A4C"/>
    <w:rPr>
      <w:rFonts w:ascii="Times New Roman" w:eastAsia="Calisto MT" w:hAnsi="Times New Roman" w:cs="Times New Roman"/>
      <w:b/>
      <w:bCs/>
      <w:sz w:val="20"/>
      <w:szCs w:val="20"/>
      <w:lang w:val="en-US"/>
    </w:rPr>
  </w:style>
  <w:style w:type="paragraph" w:styleId="BalloonText">
    <w:name w:val="Balloon Text"/>
    <w:basedOn w:val="Normal"/>
    <w:link w:val="BalloonTextChar"/>
    <w:uiPriority w:val="99"/>
    <w:semiHidden/>
    <w:unhideWhenUsed/>
    <w:rsid w:val="00337A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4C"/>
    <w:rPr>
      <w:rFonts w:ascii="Tahoma" w:eastAsia="Calisto MT" w:hAnsi="Tahoma" w:cs="Tahoma"/>
      <w:sz w:val="16"/>
      <w:szCs w:val="16"/>
      <w:lang w:val="en-US"/>
    </w:rPr>
  </w:style>
  <w:style w:type="character" w:styleId="FollowedHyperlink">
    <w:name w:val="FollowedHyperlink"/>
    <w:basedOn w:val="DefaultParagraphFont"/>
    <w:uiPriority w:val="99"/>
    <w:semiHidden/>
    <w:unhideWhenUsed/>
    <w:rsid w:val="00337A4C"/>
    <w:rPr>
      <w:color w:val="800080" w:themeColor="followedHyperlink"/>
      <w:u w:val="single"/>
    </w:rPr>
  </w:style>
  <w:style w:type="character" w:customStyle="1" w:styleId="element-citation">
    <w:name w:val="element-citation"/>
    <w:basedOn w:val="DefaultParagraphFont"/>
    <w:rsid w:val="00546F95"/>
  </w:style>
  <w:style w:type="character" w:customStyle="1" w:styleId="ref-journal">
    <w:name w:val="ref-journal"/>
    <w:basedOn w:val="DefaultParagraphFont"/>
    <w:rsid w:val="00546F95"/>
  </w:style>
  <w:style w:type="paragraph" w:styleId="ListParagraph">
    <w:name w:val="List Paragraph"/>
    <w:basedOn w:val="Normal"/>
    <w:uiPriority w:val="34"/>
    <w:qFormat/>
    <w:rsid w:val="00232D39"/>
    <w:pPr>
      <w:ind w:left="720"/>
      <w:contextualSpacing/>
    </w:pPr>
  </w:style>
  <w:style w:type="paragraph" w:customStyle="1" w:styleId="Equation">
    <w:name w:val="Equation"/>
    <w:next w:val="Normal"/>
    <w:rsid w:val="00EC31DC"/>
    <w:pPr>
      <w:tabs>
        <w:tab w:val="center" w:pos="3960"/>
      </w:tabs>
      <w:suppressAutoHyphens/>
      <w:spacing w:before="260" w:after="0" w:line="360" w:lineRule="auto"/>
    </w:pPr>
    <w:rPr>
      <w:rFonts w:ascii="Times New Roman" w:eastAsia="Calisto MT" w:hAnsi="Times New Roman" w:cs="TimesLTStd-Roman"/>
      <w:color w:val="000000"/>
      <w:sz w:val="24"/>
      <w:szCs w:val="20"/>
      <w:lang w:val="en-US"/>
    </w:rPr>
  </w:style>
  <w:style w:type="paragraph" w:customStyle="1" w:styleId="NormalNoIndent">
    <w:name w:val="Normal No Indent"/>
    <w:basedOn w:val="Normal"/>
    <w:next w:val="Normal"/>
    <w:rsid w:val="00EC31DC"/>
    <w:pPr>
      <w:ind w:firstLine="0"/>
    </w:pPr>
  </w:style>
  <w:style w:type="paragraph" w:styleId="FootnoteText">
    <w:name w:val="footnote text"/>
    <w:basedOn w:val="Normal"/>
    <w:link w:val="FootnoteTextChar"/>
    <w:uiPriority w:val="99"/>
    <w:unhideWhenUsed/>
    <w:rsid w:val="00EC31DC"/>
    <w:pPr>
      <w:spacing w:line="240" w:lineRule="auto"/>
    </w:pPr>
    <w:rPr>
      <w:sz w:val="20"/>
      <w:szCs w:val="20"/>
    </w:rPr>
  </w:style>
  <w:style w:type="character" w:customStyle="1" w:styleId="FootnoteTextChar">
    <w:name w:val="Footnote Text Char"/>
    <w:basedOn w:val="DefaultParagraphFont"/>
    <w:link w:val="FootnoteText"/>
    <w:uiPriority w:val="99"/>
    <w:rsid w:val="00EC31DC"/>
    <w:rPr>
      <w:rFonts w:ascii="Times New Roman" w:eastAsia="Calisto MT" w:hAnsi="Times New Roman" w:cs="Times New Roman"/>
      <w:sz w:val="20"/>
      <w:szCs w:val="20"/>
      <w:lang w:val="en-US"/>
    </w:rPr>
  </w:style>
  <w:style w:type="character" w:styleId="FootnoteReference">
    <w:name w:val="footnote reference"/>
    <w:basedOn w:val="DefaultParagraphFont"/>
    <w:uiPriority w:val="99"/>
    <w:unhideWhenUsed/>
    <w:rsid w:val="00EC31DC"/>
    <w:rPr>
      <w:vertAlign w:val="superscript"/>
    </w:rPr>
  </w:style>
  <w:style w:type="paragraph" w:styleId="Header">
    <w:name w:val="header"/>
    <w:basedOn w:val="Normal"/>
    <w:link w:val="HeaderChar"/>
    <w:uiPriority w:val="99"/>
    <w:unhideWhenUsed/>
    <w:rsid w:val="00F016AE"/>
    <w:pPr>
      <w:tabs>
        <w:tab w:val="center" w:pos="4513"/>
        <w:tab w:val="right" w:pos="9026"/>
      </w:tabs>
      <w:spacing w:line="240" w:lineRule="auto"/>
    </w:pPr>
  </w:style>
  <w:style w:type="character" w:customStyle="1" w:styleId="HeaderChar">
    <w:name w:val="Header Char"/>
    <w:basedOn w:val="DefaultParagraphFont"/>
    <w:link w:val="Header"/>
    <w:uiPriority w:val="99"/>
    <w:rsid w:val="00F016AE"/>
    <w:rPr>
      <w:rFonts w:ascii="Times New Roman" w:eastAsia="Calisto MT" w:hAnsi="Times New Roman" w:cs="Times New Roman"/>
      <w:sz w:val="24"/>
      <w:szCs w:val="24"/>
      <w:lang w:val="en-US"/>
    </w:rPr>
  </w:style>
  <w:style w:type="paragraph" w:styleId="Footer">
    <w:name w:val="footer"/>
    <w:basedOn w:val="Normal"/>
    <w:link w:val="FooterChar"/>
    <w:uiPriority w:val="99"/>
    <w:unhideWhenUsed/>
    <w:rsid w:val="00F016AE"/>
    <w:pPr>
      <w:tabs>
        <w:tab w:val="center" w:pos="4513"/>
        <w:tab w:val="right" w:pos="9026"/>
      </w:tabs>
      <w:spacing w:line="240" w:lineRule="auto"/>
    </w:pPr>
  </w:style>
  <w:style w:type="character" w:customStyle="1" w:styleId="FooterChar">
    <w:name w:val="Footer Char"/>
    <w:basedOn w:val="DefaultParagraphFont"/>
    <w:link w:val="Footer"/>
    <w:uiPriority w:val="99"/>
    <w:rsid w:val="00F016AE"/>
    <w:rPr>
      <w:rFonts w:ascii="Times New Roman" w:eastAsia="Calisto MT" w:hAnsi="Times New Roman" w:cs="Times New Roman"/>
      <w:sz w:val="24"/>
      <w:szCs w:val="24"/>
      <w:lang w:val="en-US"/>
    </w:rPr>
  </w:style>
  <w:style w:type="paragraph" w:styleId="Revision">
    <w:name w:val="Revision"/>
    <w:hidden/>
    <w:uiPriority w:val="99"/>
    <w:semiHidden/>
    <w:rsid w:val="007E4A47"/>
    <w:pPr>
      <w:spacing w:after="0" w:line="240" w:lineRule="auto"/>
    </w:pPr>
    <w:rPr>
      <w:rFonts w:ascii="Times New Roman" w:eastAsia="Calisto MT" w:hAnsi="Times New Roman" w:cs="Times New Roman"/>
      <w:sz w:val="24"/>
      <w:szCs w:val="24"/>
      <w:lang w:val="en-US"/>
    </w:rPr>
  </w:style>
  <w:style w:type="character" w:styleId="PlaceholderText">
    <w:name w:val="Placeholder Text"/>
    <w:basedOn w:val="DefaultParagraphFont"/>
    <w:uiPriority w:val="99"/>
    <w:semiHidden/>
    <w:rsid w:val="003127ED"/>
    <w:rPr>
      <w:color w:val="808080"/>
    </w:rPr>
  </w:style>
  <w:style w:type="character" w:styleId="EndnoteReference">
    <w:name w:val="endnote reference"/>
    <w:basedOn w:val="DefaultParagraphFont"/>
    <w:uiPriority w:val="99"/>
    <w:semiHidden/>
    <w:unhideWhenUsed/>
    <w:rsid w:val="00C066D3"/>
    <w:rPr>
      <w:vertAlign w:val="superscript"/>
    </w:rPr>
  </w:style>
  <w:style w:type="paragraph" w:styleId="NormalWeb">
    <w:name w:val="Normal (Web)"/>
    <w:basedOn w:val="Normal"/>
    <w:uiPriority w:val="99"/>
    <w:semiHidden/>
    <w:unhideWhenUsed/>
    <w:rsid w:val="0076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55118">
      <w:bodyDiv w:val="1"/>
      <w:marLeft w:val="0"/>
      <w:marRight w:val="0"/>
      <w:marTop w:val="0"/>
      <w:marBottom w:val="0"/>
      <w:divBdr>
        <w:top w:val="none" w:sz="0" w:space="0" w:color="auto"/>
        <w:left w:val="none" w:sz="0" w:space="0" w:color="auto"/>
        <w:bottom w:val="none" w:sz="0" w:space="0" w:color="auto"/>
        <w:right w:val="none" w:sz="0" w:space="0" w:color="auto"/>
      </w:divBdr>
      <w:divsChild>
        <w:div w:id="103430276">
          <w:marLeft w:val="0"/>
          <w:marRight w:val="0"/>
          <w:marTop w:val="0"/>
          <w:marBottom w:val="0"/>
          <w:divBdr>
            <w:top w:val="none" w:sz="0" w:space="0" w:color="auto"/>
            <w:left w:val="none" w:sz="0" w:space="0" w:color="auto"/>
            <w:bottom w:val="none" w:sz="0" w:space="0" w:color="auto"/>
            <w:right w:val="none" w:sz="0" w:space="0" w:color="auto"/>
          </w:divBdr>
        </w:div>
        <w:div w:id="817115776">
          <w:marLeft w:val="0"/>
          <w:marRight w:val="0"/>
          <w:marTop w:val="0"/>
          <w:marBottom w:val="0"/>
          <w:divBdr>
            <w:top w:val="none" w:sz="0" w:space="0" w:color="auto"/>
            <w:left w:val="none" w:sz="0" w:space="0" w:color="auto"/>
            <w:bottom w:val="none" w:sz="0" w:space="0" w:color="auto"/>
            <w:right w:val="none" w:sz="0" w:space="0" w:color="auto"/>
          </w:divBdr>
        </w:div>
        <w:div w:id="1610549927">
          <w:marLeft w:val="0"/>
          <w:marRight w:val="0"/>
          <w:marTop w:val="0"/>
          <w:marBottom w:val="0"/>
          <w:divBdr>
            <w:top w:val="none" w:sz="0" w:space="0" w:color="auto"/>
            <w:left w:val="none" w:sz="0" w:space="0" w:color="auto"/>
            <w:bottom w:val="none" w:sz="0" w:space="0" w:color="auto"/>
            <w:right w:val="none" w:sz="0" w:space="0" w:color="auto"/>
          </w:divBdr>
        </w:div>
        <w:div w:id="986476452">
          <w:marLeft w:val="0"/>
          <w:marRight w:val="0"/>
          <w:marTop w:val="0"/>
          <w:marBottom w:val="0"/>
          <w:divBdr>
            <w:top w:val="none" w:sz="0" w:space="0" w:color="auto"/>
            <w:left w:val="none" w:sz="0" w:space="0" w:color="auto"/>
            <w:bottom w:val="none" w:sz="0" w:space="0" w:color="auto"/>
            <w:right w:val="none" w:sz="0" w:space="0" w:color="auto"/>
          </w:divBdr>
        </w:div>
        <w:div w:id="416636838">
          <w:marLeft w:val="0"/>
          <w:marRight w:val="0"/>
          <w:marTop w:val="0"/>
          <w:marBottom w:val="0"/>
          <w:divBdr>
            <w:top w:val="none" w:sz="0" w:space="0" w:color="auto"/>
            <w:left w:val="none" w:sz="0" w:space="0" w:color="auto"/>
            <w:bottom w:val="none" w:sz="0" w:space="0" w:color="auto"/>
            <w:right w:val="none" w:sz="0" w:space="0" w:color="auto"/>
          </w:divBdr>
        </w:div>
      </w:divsChild>
    </w:div>
    <w:div w:id="747775834">
      <w:bodyDiv w:val="1"/>
      <w:marLeft w:val="0"/>
      <w:marRight w:val="0"/>
      <w:marTop w:val="0"/>
      <w:marBottom w:val="0"/>
      <w:divBdr>
        <w:top w:val="none" w:sz="0" w:space="0" w:color="auto"/>
        <w:left w:val="none" w:sz="0" w:space="0" w:color="auto"/>
        <w:bottom w:val="none" w:sz="0" w:space="0" w:color="auto"/>
        <w:right w:val="none" w:sz="0" w:space="0" w:color="auto"/>
      </w:divBdr>
      <w:divsChild>
        <w:div w:id="1785684920">
          <w:marLeft w:val="1166"/>
          <w:marRight w:val="0"/>
          <w:marTop w:val="125"/>
          <w:marBottom w:val="0"/>
          <w:divBdr>
            <w:top w:val="none" w:sz="0" w:space="0" w:color="auto"/>
            <w:left w:val="none" w:sz="0" w:space="0" w:color="auto"/>
            <w:bottom w:val="none" w:sz="0" w:space="0" w:color="auto"/>
            <w:right w:val="none" w:sz="0" w:space="0" w:color="auto"/>
          </w:divBdr>
        </w:div>
      </w:divsChild>
    </w:div>
    <w:div w:id="815224528">
      <w:bodyDiv w:val="1"/>
      <w:marLeft w:val="0"/>
      <w:marRight w:val="0"/>
      <w:marTop w:val="0"/>
      <w:marBottom w:val="0"/>
      <w:divBdr>
        <w:top w:val="none" w:sz="0" w:space="0" w:color="auto"/>
        <w:left w:val="none" w:sz="0" w:space="0" w:color="auto"/>
        <w:bottom w:val="none" w:sz="0" w:space="0" w:color="auto"/>
        <w:right w:val="none" w:sz="0" w:space="0" w:color="auto"/>
      </w:divBdr>
      <w:divsChild>
        <w:div w:id="801846878">
          <w:marLeft w:val="0"/>
          <w:marRight w:val="0"/>
          <w:marTop w:val="0"/>
          <w:marBottom w:val="0"/>
          <w:divBdr>
            <w:top w:val="none" w:sz="0" w:space="0" w:color="auto"/>
            <w:left w:val="none" w:sz="0" w:space="0" w:color="auto"/>
            <w:bottom w:val="none" w:sz="0" w:space="0" w:color="auto"/>
            <w:right w:val="none" w:sz="0" w:space="0" w:color="auto"/>
          </w:divBdr>
        </w:div>
        <w:div w:id="1097292155">
          <w:marLeft w:val="0"/>
          <w:marRight w:val="0"/>
          <w:marTop w:val="0"/>
          <w:marBottom w:val="0"/>
          <w:divBdr>
            <w:top w:val="none" w:sz="0" w:space="0" w:color="auto"/>
            <w:left w:val="none" w:sz="0" w:space="0" w:color="auto"/>
            <w:bottom w:val="none" w:sz="0" w:space="0" w:color="auto"/>
            <w:right w:val="none" w:sz="0" w:space="0" w:color="auto"/>
          </w:divBdr>
        </w:div>
        <w:div w:id="1720126993">
          <w:marLeft w:val="0"/>
          <w:marRight w:val="0"/>
          <w:marTop w:val="0"/>
          <w:marBottom w:val="0"/>
          <w:divBdr>
            <w:top w:val="none" w:sz="0" w:space="0" w:color="auto"/>
            <w:left w:val="none" w:sz="0" w:space="0" w:color="auto"/>
            <w:bottom w:val="none" w:sz="0" w:space="0" w:color="auto"/>
            <w:right w:val="none" w:sz="0" w:space="0" w:color="auto"/>
          </w:divBdr>
        </w:div>
        <w:div w:id="859123672">
          <w:marLeft w:val="0"/>
          <w:marRight w:val="0"/>
          <w:marTop w:val="0"/>
          <w:marBottom w:val="0"/>
          <w:divBdr>
            <w:top w:val="none" w:sz="0" w:space="0" w:color="auto"/>
            <w:left w:val="none" w:sz="0" w:space="0" w:color="auto"/>
            <w:bottom w:val="none" w:sz="0" w:space="0" w:color="auto"/>
            <w:right w:val="none" w:sz="0" w:space="0" w:color="auto"/>
          </w:divBdr>
        </w:div>
        <w:div w:id="2120562827">
          <w:marLeft w:val="0"/>
          <w:marRight w:val="0"/>
          <w:marTop w:val="0"/>
          <w:marBottom w:val="0"/>
          <w:divBdr>
            <w:top w:val="none" w:sz="0" w:space="0" w:color="auto"/>
            <w:left w:val="none" w:sz="0" w:space="0" w:color="auto"/>
            <w:bottom w:val="none" w:sz="0" w:space="0" w:color="auto"/>
            <w:right w:val="none" w:sz="0" w:space="0" w:color="auto"/>
          </w:divBdr>
        </w:div>
        <w:div w:id="1400708107">
          <w:marLeft w:val="0"/>
          <w:marRight w:val="0"/>
          <w:marTop w:val="0"/>
          <w:marBottom w:val="0"/>
          <w:divBdr>
            <w:top w:val="none" w:sz="0" w:space="0" w:color="auto"/>
            <w:left w:val="none" w:sz="0" w:space="0" w:color="auto"/>
            <w:bottom w:val="none" w:sz="0" w:space="0" w:color="auto"/>
            <w:right w:val="none" w:sz="0" w:space="0" w:color="auto"/>
          </w:divBdr>
        </w:div>
        <w:div w:id="1423601908">
          <w:marLeft w:val="0"/>
          <w:marRight w:val="0"/>
          <w:marTop w:val="0"/>
          <w:marBottom w:val="0"/>
          <w:divBdr>
            <w:top w:val="none" w:sz="0" w:space="0" w:color="auto"/>
            <w:left w:val="none" w:sz="0" w:space="0" w:color="auto"/>
            <w:bottom w:val="none" w:sz="0" w:space="0" w:color="auto"/>
            <w:right w:val="none" w:sz="0" w:space="0" w:color="auto"/>
          </w:divBdr>
        </w:div>
        <w:div w:id="1497375370">
          <w:marLeft w:val="0"/>
          <w:marRight w:val="0"/>
          <w:marTop w:val="0"/>
          <w:marBottom w:val="0"/>
          <w:divBdr>
            <w:top w:val="none" w:sz="0" w:space="0" w:color="auto"/>
            <w:left w:val="none" w:sz="0" w:space="0" w:color="auto"/>
            <w:bottom w:val="none" w:sz="0" w:space="0" w:color="auto"/>
            <w:right w:val="none" w:sz="0" w:space="0" w:color="auto"/>
          </w:divBdr>
        </w:div>
        <w:div w:id="677000064">
          <w:marLeft w:val="0"/>
          <w:marRight w:val="0"/>
          <w:marTop w:val="0"/>
          <w:marBottom w:val="0"/>
          <w:divBdr>
            <w:top w:val="none" w:sz="0" w:space="0" w:color="auto"/>
            <w:left w:val="none" w:sz="0" w:space="0" w:color="auto"/>
            <w:bottom w:val="none" w:sz="0" w:space="0" w:color="auto"/>
            <w:right w:val="none" w:sz="0" w:space="0" w:color="auto"/>
          </w:divBdr>
        </w:div>
        <w:div w:id="1581326522">
          <w:marLeft w:val="0"/>
          <w:marRight w:val="0"/>
          <w:marTop w:val="0"/>
          <w:marBottom w:val="0"/>
          <w:divBdr>
            <w:top w:val="none" w:sz="0" w:space="0" w:color="auto"/>
            <w:left w:val="none" w:sz="0" w:space="0" w:color="auto"/>
            <w:bottom w:val="none" w:sz="0" w:space="0" w:color="auto"/>
            <w:right w:val="none" w:sz="0" w:space="0" w:color="auto"/>
          </w:divBdr>
        </w:div>
        <w:div w:id="552038897">
          <w:marLeft w:val="0"/>
          <w:marRight w:val="0"/>
          <w:marTop w:val="0"/>
          <w:marBottom w:val="0"/>
          <w:divBdr>
            <w:top w:val="none" w:sz="0" w:space="0" w:color="auto"/>
            <w:left w:val="none" w:sz="0" w:space="0" w:color="auto"/>
            <w:bottom w:val="none" w:sz="0" w:space="0" w:color="auto"/>
            <w:right w:val="none" w:sz="0" w:space="0" w:color="auto"/>
          </w:divBdr>
        </w:div>
        <w:div w:id="1627076754">
          <w:marLeft w:val="0"/>
          <w:marRight w:val="0"/>
          <w:marTop w:val="0"/>
          <w:marBottom w:val="0"/>
          <w:divBdr>
            <w:top w:val="none" w:sz="0" w:space="0" w:color="auto"/>
            <w:left w:val="none" w:sz="0" w:space="0" w:color="auto"/>
            <w:bottom w:val="none" w:sz="0" w:space="0" w:color="auto"/>
            <w:right w:val="none" w:sz="0" w:space="0" w:color="auto"/>
          </w:divBdr>
        </w:div>
        <w:div w:id="1431241580">
          <w:marLeft w:val="0"/>
          <w:marRight w:val="0"/>
          <w:marTop w:val="0"/>
          <w:marBottom w:val="0"/>
          <w:divBdr>
            <w:top w:val="none" w:sz="0" w:space="0" w:color="auto"/>
            <w:left w:val="none" w:sz="0" w:space="0" w:color="auto"/>
            <w:bottom w:val="none" w:sz="0" w:space="0" w:color="auto"/>
            <w:right w:val="none" w:sz="0" w:space="0" w:color="auto"/>
          </w:divBdr>
        </w:div>
        <w:div w:id="1012798737">
          <w:marLeft w:val="0"/>
          <w:marRight w:val="0"/>
          <w:marTop w:val="0"/>
          <w:marBottom w:val="0"/>
          <w:divBdr>
            <w:top w:val="none" w:sz="0" w:space="0" w:color="auto"/>
            <w:left w:val="none" w:sz="0" w:space="0" w:color="auto"/>
            <w:bottom w:val="none" w:sz="0" w:space="0" w:color="auto"/>
            <w:right w:val="none" w:sz="0" w:space="0" w:color="auto"/>
          </w:divBdr>
        </w:div>
        <w:div w:id="1080296161">
          <w:marLeft w:val="0"/>
          <w:marRight w:val="0"/>
          <w:marTop w:val="0"/>
          <w:marBottom w:val="0"/>
          <w:divBdr>
            <w:top w:val="none" w:sz="0" w:space="0" w:color="auto"/>
            <w:left w:val="none" w:sz="0" w:space="0" w:color="auto"/>
            <w:bottom w:val="none" w:sz="0" w:space="0" w:color="auto"/>
            <w:right w:val="none" w:sz="0" w:space="0" w:color="auto"/>
          </w:divBdr>
        </w:div>
        <w:div w:id="2122216842">
          <w:marLeft w:val="0"/>
          <w:marRight w:val="0"/>
          <w:marTop w:val="0"/>
          <w:marBottom w:val="0"/>
          <w:divBdr>
            <w:top w:val="none" w:sz="0" w:space="0" w:color="auto"/>
            <w:left w:val="none" w:sz="0" w:space="0" w:color="auto"/>
            <w:bottom w:val="none" w:sz="0" w:space="0" w:color="auto"/>
            <w:right w:val="none" w:sz="0" w:space="0" w:color="auto"/>
          </w:divBdr>
        </w:div>
        <w:div w:id="1790928943">
          <w:marLeft w:val="0"/>
          <w:marRight w:val="0"/>
          <w:marTop w:val="0"/>
          <w:marBottom w:val="0"/>
          <w:divBdr>
            <w:top w:val="none" w:sz="0" w:space="0" w:color="auto"/>
            <w:left w:val="none" w:sz="0" w:space="0" w:color="auto"/>
            <w:bottom w:val="none" w:sz="0" w:space="0" w:color="auto"/>
            <w:right w:val="none" w:sz="0" w:space="0" w:color="auto"/>
          </w:divBdr>
        </w:div>
        <w:div w:id="20594545">
          <w:marLeft w:val="0"/>
          <w:marRight w:val="0"/>
          <w:marTop w:val="0"/>
          <w:marBottom w:val="0"/>
          <w:divBdr>
            <w:top w:val="none" w:sz="0" w:space="0" w:color="auto"/>
            <w:left w:val="none" w:sz="0" w:space="0" w:color="auto"/>
            <w:bottom w:val="none" w:sz="0" w:space="0" w:color="auto"/>
            <w:right w:val="none" w:sz="0" w:space="0" w:color="auto"/>
          </w:divBdr>
        </w:div>
        <w:div w:id="2066220958">
          <w:marLeft w:val="0"/>
          <w:marRight w:val="0"/>
          <w:marTop w:val="0"/>
          <w:marBottom w:val="0"/>
          <w:divBdr>
            <w:top w:val="none" w:sz="0" w:space="0" w:color="auto"/>
            <w:left w:val="none" w:sz="0" w:space="0" w:color="auto"/>
            <w:bottom w:val="none" w:sz="0" w:space="0" w:color="auto"/>
            <w:right w:val="none" w:sz="0" w:space="0" w:color="auto"/>
          </w:divBdr>
        </w:div>
        <w:div w:id="959532920">
          <w:marLeft w:val="0"/>
          <w:marRight w:val="0"/>
          <w:marTop w:val="0"/>
          <w:marBottom w:val="0"/>
          <w:divBdr>
            <w:top w:val="none" w:sz="0" w:space="0" w:color="auto"/>
            <w:left w:val="none" w:sz="0" w:space="0" w:color="auto"/>
            <w:bottom w:val="none" w:sz="0" w:space="0" w:color="auto"/>
            <w:right w:val="none" w:sz="0" w:space="0" w:color="auto"/>
          </w:divBdr>
        </w:div>
        <w:div w:id="1055936230">
          <w:marLeft w:val="0"/>
          <w:marRight w:val="0"/>
          <w:marTop w:val="0"/>
          <w:marBottom w:val="0"/>
          <w:divBdr>
            <w:top w:val="none" w:sz="0" w:space="0" w:color="auto"/>
            <w:left w:val="none" w:sz="0" w:space="0" w:color="auto"/>
            <w:bottom w:val="none" w:sz="0" w:space="0" w:color="auto"/>
            <w:right w:val="none" w:sz="0" w:space="0" w:color="auto"/>
          </w:divBdr>
        </w:div>
        <w:div w:id="2145392114">
          <w:marLeft w:val="0"/>
          <w:marRight w:val="0"/>
          <w:marTop w:val="0"/>
          <w:marBottom w:val="0"/>
          <w:divBdr>
            <w:top w:val="none" w:sz="0" w:space="0" w:color="auto"/>
            <w:left w:val="none" w:sz="0" w:space="0" w:color="auto"/>
            <w:bottom w:val="none" w:sz="0" w:space="0" w:color="auto"/>
            <w:right w:val="none" w:sz="0" w:space="0" w:color="auto"/>
          </w:divBdr>
        </w:div>
        <w:div w:id="2105683327">
          <w:marLeft w:val="0"/>
          <w:marRight w:val="0"/>
          <w:marTop w:val="0"/>
          <w:marBottom w:val="0"/>
          <w:divBdr>
            <w:top w:val="none" w:sz="0" w:space="0" w:color="auto"/>
            <w:left w:val="none" w:sz="0" w:space="0" w:color="auto"/>
            <w:bottom w:val="none" w:sz="0" w:space="0" w:color="auto"/>
            <w:right w:val="none" w:sz="0" w:space="0" w:color="auto"/>
          </w:divBdr>
        </w:div>
        <w:div w:id="54747280">
          <w:marLeft w:val="0"/>
          <w:marRight w:val="0"/>
          <w:marTop w:val="0"/>
          <w:marBottom w:val="0"/>
          <w:divBdr>
            <w:top w:val="none" w:sz="0" w:space="0" w:color="auto"/>
            <w:left w:val="none" w:sz="0" w:space="0" w:color="auto"/>
            <w:bottom w:val="none" w:sz="0" w:space="0" w:color="auto"/>
            <w:right w:val="none" w:sz="0" w:space="0" w:color="auto"/>
          </w:divBdr>
        </w:div>
        <w:div w:id="230696702">
          <w:marLeft w:val="0"/>
          <w:marRight w:val="0"/>
          <w:marTop w:val="0"/>
          <w:marBottom w:val="0"/>
          <w:divBdr>
            <w:top w:val="none" w:sz="0" w:space="0" w:color="auto"/>
            <w:left w:val="none" w:sz="0" w:space="0" w:color="auto"/>
            <w:bottom w:val="none" w:sz="0" w:space="0" w:color="auto"/>
            <w:right w:val="none" w:sz="0" w:space="0" w:color="auto"/>
          </w:divBdr>
        </w:div>
        <w:div w:id="1678463930">
          <w:marLeft w:val="0"/>
          <w:marRight w:val="0"/>
          <w:marTop w:val="0"/>
          <w:marBottom w:val="0"/>
          <w:divBdr>
            <w:top w:val="none" w:sz="0" w:space="0" w:color="auto"/>
            <w:left w:val="none" w:sz="0" w:space="0" w:color="auto"/>
            <w:bottom w:val="none" w:sz="0" w:space="0" w:color="auto"/>
            <w:right w:val="none" w:sz="0" w:space="0" w:color="auto"/>
          </w:divBdr>
        </w:div>
      </w:divsChild>
    </w:div>
    <w:div w:id="1037975452">
      <w:bodyDiv w:val="1"/>
      <w:marLeft w:val="0"/>
      <w:marRight w:val="0"/>
      <w:marTop w:val="0"/>
      <w:marBottom w:val="0"/>
      <w:divBdr>
        <w:top w:val="none" w:sz="0" w:space="0" w:color="auto"/>
        <w:left w:val="none" w:sz="0" w:space="0" w:color="auto"/>
        <w:bottom w:val="none" w:sz="0" w:space="0" w:color="auto"/>
        <w:right w:val="none" w:sz="0" w:space="0" w:color="auto"/>
      </w:divBdr>
      <w:divsChild>
        <w:div w:id="466046362">
          <w:marLeft w:val="0"/>
          <w:marRight w:val="0"/>
          <w:marTop w:val="0"/>
          <w:marBottom w:val="0"/>
          <w:divBdr>
            <w:top w:val="none" w:sz="0" w:space="0" w:color="auto"/>
            <w:left w:val="none" w:sz="0" w:space="0" w:color="auto"/>
            <w:bottom w:val="none" w:sz="0" w:space="0" w:color="auto"/>
            <w:right w:val="none" w:sz="0" w:space="0" w:color="auto"/>
          </w:divBdr>
          <w:divsChild>
            <w:div w:id="383650170">
              <w:marLeft w:val="0"/>
              <w:marRight w:val="0"/>
              <w:marTop w:val="0"/>
              <w:marBottom w:val="0"/>
              <w:divBdr>
                <w:top w:val="none" w:sz="0" w:space="0" w:color="auto"/>
                <w:left w:val="none" w:sz="0" w:space="0" w:color="auto"/>
                <w:bottom w:val="none" w:sz="0" w:space="0" w:color="auto"/>
                <w:right w:val="none" w:sz="0" w:space="0" w:color="auto"/>
              </w:divBdr>
              <w:divsChild>
                <w:div w:id="1010253545">
                  <w:marLeft w:val="0"/>
                  <w:marRight w:val="0"/>
                  <w:marTop w:val="0"/>
                  <w:marBottom w:val="0"/>
                  <w:divBdr>
                    <w:top w:val="none" w:sz="0" w:space="0" w:color="auto"/>
                    <w:left w:val="none" w:sz="0" w:space="0" w:color="auto"/>
                    <w:bottom w:val="none" w:sz="0" w:space="0" w:color="auto"/>
                    <w:right w:val="none" w:sz="0" w:space="0" w:color="auto"/>
                  </w:divBdr>
                  <w:divsChild>
                    <w:div w:id="7027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219">
      <w:bodyDiv w:val="1"/>
      <w:marLeft w:val="0"/>
      <w:marRight w:val="0"/>
      <w:marTop w:val="0"/>
      <w:marBottom w:val="0"/>
      <w:divBdr>
        <w:top w:val="none" w:sz="0" w:space="0" w:color="auto"/>
        <w:left w:val="none" w:sz="0" w:space="0" w:color="auto"/>
        <w:bottom w:val="none" w:sz="0" w:space="0" w:color="auto"/>
        <w:right w:val="none" w:sz="0" w:space="0" w:color="auto"/>
      </w:divBdr>
      <w:divsChild>
        <w:div w:id="1765371130">
          <w:marLeft w:val="0"/>
          <w:marRight w:val="0"/>
          <w:marTop w:val="0"/>
          <w:marBottom w:val="0"/>
          <w:divBdr>
            <w:top w:val="none" w:sz="0" w:space="0" w:color="auto"/>
            <w:left w:val="none" w:sz="0" w:space="0" w:color="auto"/>
            <w:bottom w:val="none" w:sz="0" w:space="0" w:color="auto"/>
            <w:right w:val="none" w:sz="0" w:space="0" w:color="auto"/>
          </w:divBdr>
        </w:div>
        <w:div w:id="185145637">
          <w:marLeft w:val="0"/>
          <w:marRight w:val="0"/>
          <w:marTop w:val="0"/>
          <w:marBottom w:val="0"/>
          <w:divBdr>
            <w:top w:val="none" w:sz="0" w:space="0" w:color="auto"/>
            <w:left w:val="none" w:sz="0" w:space="0" w:color="auto"/>
            <w:bottom w:val="none" w:sz="0" w:space="0" w:color="auto"/>
            <w:right w:val="none" w:sz="0" w:space="0" w:color="auto"/>
          </w:divBdr>
          <w:divsChild>
            <w:div w:id="2058775660">
              <w:marLeft w:val="0"/>
              <w:marRight w:val="0"/>
              <w:marTop w:val="0"/>
              <w:marBottom w:val="0"/>
              <w:divBdr>
                <w:top w:val="none" w:sz="0" w:space="0" w:color="auto"/>
                <w:left w:val="none" w:sz="0" w:space="0" w:color="auto"/>
                <w:bottom w:val="none" w:sz="0" w:space="0" w:color="auto"/>
                <w:right w:val="none" w:sz="0" w:space="0" w:color="auto"/>
              </w:divBdr>
              <w:divsChild>
                <w:div w:id="16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6753">
      <w:bodyDiv w:val="1"/>
      <w:marLeft w:val="0"/>
      <w:marRight w:val="0"/>
      <w:marTop w:val="0"/>
      <w:marBottom w:val="0"/>
      <w:divBdr>
        <w:top w:val="none" w:sz="0" w:space="0" w:color="auto"/>
        <w:left w:val="none" w:sz="0" w:space="0" w:color="auto"/>
        <w:bottom w:val="none" w:sz="0" w:space="0" w:color="auto"/>
        <w:right w:val="none" w:sz="0" w:space="0" w:color="auto"/>
      </w:divBdr>
      <w:divsChild>
        <w:div w:id="884633891">
          <w:marLeft w:val="0"/>
          <w:marRight w:val="0"/>
          <w:marTop w:val="0"/>
          <w:marBottom w:val="0"/>
          <w:divBdr>
            <w:top w:val="none" w:sz="0" w:space="0" w:color="auto"/>
            <w:left w:val="none" w:sz="0" w:space="0" w:color="auto"/>
            <w:bottom w:val="none" w:sz="0" w:space="0" w:color="auto"/>
            <w:right w:val="none" w:sz="0" w:space="0" w:color="auto"/>
          </w:divBdr>
        </w:div>
        <w:div w:id="1745368603">
          <w:marLeft w:val="0"/>
          <w:marRight w:val="0"/>
          <w:marTop w:val="0"/>
          <w:marBottom w:val="0"/>
          <w:divBdr>
            <w:top w:val="none" w:sz="0" w:space="0" w:color="auto"/>
            <w:left w:val="none" w:sz="0" w:space="0" w:color="auto"/>
            <w:bottom w:val="none" w:sz="0" w:space="0" w:color="auto"/>
            <w:right w:val="none" w:sz="0" w:space="0" w:color="auto"/>
          </w:divBdr>
        </w:div>
        <w:div w:id="1199659441">
          <w:marLeft w:val="0"/>
          <w:marRight w:val="0"/>
          <w:marTop w:val="0"/>
          <w:marBottom w:val="0"/>
          <w:divBdr>
            <w:top w:val="none" w:sz="0" w:space="0" w:color="auto"/>
            <w:left w:val="none" w:sz="0" w:space="0" w:color="auto"/>
            <w:bottom w:val="none" w:sz="0" w:space="0" w:color="auto"/>
            <w:right w:val="none" w:sz="0" w:space="0" w:color="auto"/>
          </w:divBdr>
        </w:div>
        <w:div w:id="227034836">
          <w:marLeft w:val="0"/>
          <w:marRight w:val="0"/>
          <w:marTop w:val="0"/>
          <w:marBottom w:val="0"/>
          <w:divBdr>
            <w:top w:val="none" w:sz="0" w:space="0" w:color="auto"/>
            <w:left w:val="none" w:sz="0" w:space="0" w:color="auto"/>
            <w:bottom w:val="none" w:sz="0" w:space="0" w:color="auto"/>
            <w:right w:val="none" w:sz="0" w:space="0" w:color="auto"/>
          </w:divBdr>
        </w:div>
        <w:div w:id="1567182112">
          <w:marLeft w:val="0"/>
          <w:marRight w:val="0"/>
          <w:marTop w:val="0"/>
          <w:marBottom w:val="0"/>
          <w:divBdr>
            <w:top w:val="none" w:sz="0" w:space="0" w:color="auto"/>
            <w:left w:val="none" w:sz="0" w:space="0" w:color="auto"/>
            <w:bottom w:val="none" w:sz="0" w:space="0" w:color="auto"/>
            <w:right w:val="none" w:sz="0" w:space="0" w:color="auto"/>
          </w:divBdr>
        </w:div>
        <w:div w:id="1770390915">
          <w:marLeft w:val="0"/>
          <w:marRight w:val="0"/>
          <w:marTop w:val="0"/>
          <w:marBottom w:val="0"/>
          <w:divBdr>
            <w:top w:val="none" w:sz="0" w:space="0" w:color="auto"/>
            <w:left w:val="none" w:sz="0" w:space="0" w:color="auto"/>
            <w:bottom w:val="none" w:sz="0" w:space="0" w:color="auto"/>
            <w:right w:val="none" w:sz="0" w:space="0" w:color="auto"/>
          </w:divBdr>
        </w:div>
        <w:div w:id="1931549206">
          <w:marLeft w:val="0"/>
          <w:marRight w:val="0"/>
          <w:marTop w:val="0"/>
          <w:marBottom w:val="0"/>
          <w:divBdr>
            <w:top w:val="none" w:sz="0" w:space="0" w:color="auto"/>
            <w:left w:val="none" w:sz="0" w:space="0" w:color="auto"/>
            <w:bottom w:val="none" w:sz="0" w:space="0" w:color="auto"/>
            <w:right w:val="none" w:sz="0" w:space="0" w:color="auto"/>
          </w:divBdr>
        </w:div>
        <w:div w:id="1279331644">
          <w:marLeft w:val="0"/>
          <w:marRight w:val="0"/>
          <w:marTop w:val="0"/>
          <w:marBottom w:val="0"/>
          <w:divBdr>
            <w:top w:val="none" w:sz="0" w:space="0" w:color="auto"/>
            <w:left w:val="none" w:sz="0" w:space="0" w:color="auto"/>
            <w:bottom w:val="none" w:sz="0" w:space="0" w:color="auto"/>
            <w:right w:val="none" w:sz="0" w:space="0" w:color="auto"/>
          </w:divBdr>
        </w:div>
      </w:divsChild>
    </w:div>
    <w:div w:id="1446119003">
      <w:bodyDiv w:val="1"/>
      <w:marLeft w:val="0"/>
      <w:marRight w:val="0"/>
      <w:marTop w:val="0"/>
      <w:marBottom w:val="0"/>
      <w:divBdr>
        <w:top w:val="none" w:sz="0" w:space="0" w:color="auto"/>
        <w:left w:val="none" w:sz="0" w:space="0" w:color="auto"/>
        <w:bottom w:val="none" w:sz="0" w:space="0" w:color="auto"/>
        <w:right w:val="none" w:sz="0" w:space="0" w:color="auto"/>
      </w:divBdr>
      <w:divsChild>
        <w:div w:id="33239542">
          <w:marLeft w:val="0"/>
          <w:marRight w:val="0"/>
          <w:marTop w:val="0"/>
          <w:marBottom w:val="0"/>
          <w:divBdr>
            <w:top w:val="none" w:sz="0" w:space="0" w:color="auto"/>
            <w:left w:val="none" w:sz="0" w:space="0" w:color="auto"/>
            <w:bottom w:val="none" w:sz="0" w:space="0" w:color="auto"/>
            <w:right w:val="none" w:sz="0" w:space="0" w:color="auto"/>
          </w:divBdr>
        </w:div>
        <w:div w:id="1252155894">
          <w:marLeft w:val="0"/>
          <w:marRight w:val="0"/>
          <w:marTop w:val="0"/>
          <w:marBottom w:val="0"/>
          <w:divBdr>
            <w:top w:val="none" w:sz="0" w:space="0" w:color="auto"/>
            <w:left w:val="none" w:sz="0" w:space="0" w:color="auto"/>
            <w:bottom w:val="none" w:sz="0" w:space="0" w:color="auto"/>
            <w:right w:val="none" w:sz="0" w:space="0" w:color="auto"/>
          </w:divBdr>
        </w:div>
        <w:div w:id="1312321727">
          <w:marLeft w:val="0"/>
          <w:marRight w:val="0"/>
          <w:marTop w:val="0"/>
          <w:marBottom w:val="0"/>
          <w:divBdr>
            <w:top w:val="none" w:sz="0" w:space="0" w:color="auto"/>
            <w:left w:val="none" w:sz="0" w:space="0" w:color="auto"/>
            <w:bottom w:val="none" w:sz="0" w:space="0" w:color="auto"/>
            <w:right w:val="none" w:sz="0" w:space="0" w:color="auto"/>
          </w:divBdr>
        </w:div>
        <w:div w:id="2051487353">
          <w:marLeft w:val="0"/>
          <w:marRight w:val="0"/>
          <w:marTop w:val="0"/>
          <w:marBottom w:val="0"/>
          <w:divBdr>
            <w:top w:val="none" w:sz="0" w:space="0" w:color="auto"/>
            <w:left w:val="none" w:sz="0" w:space="0" w:color="auto"/>
            <w:bottom w:val="none" w:sz="0" w:space="0" w:color="auto"/>
            <w:right w:val="none" w:sz="0" w:space="0" w:color="auto"/>
          </w:divBdr>
        </w:div>
        <w:div w:id="1612974865">
          <w:marLeft w:val="0"/>
          <w:marRight w:val="0"/>
          <w:marTop w:val="0"/>
          <w:marBottom w:val="0"/>
          <w:divBdr>
            <w:top w:val="none" w:sz="0" w:space="0" w:color="auto"/>
            <w:left w:val="none" w:sz="0" w:space="0" w:color="auto"/>
            <w:bottom w:val="none" w:sz="0" w:space="0" w:color="auto"/>
            <w:right w:val="none" w:sz="0" w:space="0" w:color="auto"/>
          </w:divBdr>
        </w:div>
        <w:div w:id="302318051">
          <w:marLeft w:val="0"/>
          <w:marRight w:val="0"/>
          <w:marTop w:val="0"/>
          <w:marBottom w:val="0"/>
          <w:divBdr>
            <w:top w:val="none" w:sz="0" w:space="0" w:color="auto"/>
            <w:left w:val="none" w:sz="0" w:space="0" w:color="auto"/>
            <w:bottom w:val="none" w:sz="0" w:space="0" w:color="auto"/>
            <w:right w:val="none" w:sz="0" w:space="0" w:color="auto"/>
          </w:divBdr>
        </w:div>
        <w:div w:id="1690642898">
          <w:marLeft w:val="0"/>
          <w:marRight w:val="0"/>
          <w:marTop w:val="0"/>
          <w:marBottom w:val="0"/>
          <w:divBdr>
            <w:top w:val="none" w:sz="0" w:space="0" w:color="auto"/>
            <w:left w:val="none" w:sz="0" w:space="0" w:color="auto"/>
            <w:bottom w:val="none" w:sz="0" w:space="0" w:color="auto"/>
            <w:right w:val="none" w:sz="0" w:space="0" w:color="auto"/>
          </w:divBdr>
        </w:div>
        <w:div w:id="1886798304">
          <w:marLeft w:val="0"/>
          <w:marRight w:val="0"/>
          <w:marTop w:val="0"/>
          <w:marBottom w:val="0"/>
          <w:divBdr>
            <w:top w:val="none" w:sz="0" w:space="0" w:color="auto"/>
            <w:left w:val="none" w:sz="0" w:space="0" w:color="auto"/>
            <w:bottom w:val="none" w:sz="0" w:space="0" w:color="auto"/>
            <w:right w:val="none" w:sz="0" w:space="0" w:color="auto"/>
          </w:divBdr>
        </w:div>
      </w:divsChild>
    </w:div>
    <w:div w:id="1446464485">
      <w:bodyDiv w:val="1"/>
      <w:marLeft w:val="0"/>
      <w:marRight w:val="0"/>
      <w:marTop w:val="0"/>
      <w:marBottom w:val="0"/>
      <w:divBdr>
        <w:top w:val="none" w:sz="0" w:space="0" w:color="auto"/>
        <w:left w:val="none" w:sz="0" w:space="0" w:color="auto"/>
        <w:bottom w:val="none" w:sz="0" w:space="0" w:color="auto"/>
        <w:right w:val="none" w:sz="0" w:space="0" w:color="auto"/>
      </w:divBdr>
    </w:div>
    <w:div w:id="1530489219">
      <w:bodyDiv w:val="1"/>
      <w:marLeft w:val="0"/>
      <w:marRight w:val="0"/>
      <w:marTop w:val="0"/>
      <w:marBottom w:val="0"/>
      <w:divBdr>
        <w:top w:val="none" w:sz="0" w:space="0" w:color="auto"/>
        <w:left w:val="none" w:sz="0" w:space="0" w:color="auto"/>
        <w:bottom w:val="none" w:sz="0" w:space="0" w:color="auto"/>
        <w:right w:val="none" w:sz="0" w:space="0" w:color="auto"/>
      </w:divBdr>
      <w:divsChild>
        <w:div w:id="1043208709">
          <w:marLeft w:val="0"/>
          <w:marRight w:val="0"/>
          <w:marTop w:val="0"/>
          <w:marBottom w:val="0"/>
          <w:divBdr>
            <w:top w:val="none" w:sz="0" w:space="0" w:color="auto"/>
            <w:left w:val="none" w:sz="0" w:space="0" w:color="auto"/>
            <w:bottom w:val="none" w:sz="0" w:space="0" w:color="auto"/>
            <w:right w:val="none" w:sz="0" w:space="0" w:color="auto"/>
          </w:divBdr>
        </w:div>
        <w:div w:id="926614407">
          <w:marLeft w:val="0"/>
          <w:marRight w:val="0"/>
          <w:marTop w:val="0"/>
          <w:marBottom w:val="0"/>
          <w:divBdr>
            <w:top w:val="none" w:sz="0" w:space="0" w:color="auto"/>
            <w:left w:val="none" w:sz="0" w:space="0" w:color="auto"/>
            <w:bottom w:val="none" w:sz="0" w:space="0" w:color="auto"/>
            <w:right w:val="none" w:sz="0" w:space="0" w:color="auto"/>
          </w:divBdr>
        </w:div>
      </w:divsChild>
    </w:div>
    <w:div w:id="1549561390">
      <w:bodyDiv w:val="1"/>
      <w:marLeft w:val="0"/>
      <w:marRight w:val="0"/>
      <w:marTop w:val="0"/>
      <w:marBottom w:val="0"/>
      <w:divBdr>
        <w:top w:val="none" w:sz="0" w:space="0" w:color="auto"/>
        <w:left w:val="none" w:sz="0" w:space="0" w:color="auto"/>
        <w:bottom w:val="none" w:sz="0" w:space="0" w:color="auto"/>
        <w:right w:val="none" w:sz="0" w:space="0" w:color="auto"/>
      </w:divBdr>
      <w:divsChild>
        <w:div w:id="675306688">
          <w:marLeft w:val="0"/>
          <w:marRight w:val="0"/>
          <w:marTop w:val="0"/>
          <w:marBottom w:val="0"/>
          <w:divBdr>
            <w:top w:val="none" w:sz="0" w:space="0" w:color="auto"/>
            <w:left w:val="none" w:sz="0" w:space="0" w:color="auto"/>
            <w:bottom w:val="none" w:sz="0" w:space="0" w:color="auto"/>
            <w:right w:val="none" w:sz="0" w:space="0" w:color="auto"/>
          </w:divBdr>
        </w:div>
        <w:div w:id="1573471019">
          <w:marLeft w:val="0"/>
          <w:marRight w:val="0"/>
          <w:marTop w:val="0"/>
          <w:marBottom w:val="0"/>
          <w:divBdr>
            <w:top w:val="none" w:sz="0" w:space="0" w:color="auto"/>
            <w:left w:val="none" w:sz="0" w:space="0" w:color="auto"/>
            <w:bottom w:val="none" w:sz="0" w:space="0" w:color="auto"/>
            <w:right w:val="none" w:sz="0" w:space="0" w:color="auto"/>
          </w:divBdr>
        </w:div>
        <w:div w:id="1415668854">
          <w:marLeft w:val="0"/>
          <w:marRight w:val="0"/>
          <w:marTop w:val="0"/>
          <w:marBottom w:val="0"/>
          <w:divBdr>
            <w:top w:val="none" w:sz="0" w:space="0" w:color="auto"/>
            <w:left w:val="none" w:sz="0" w:space="0" w:color="auto"/>
            <w:bottom w:val="none" w:sz="0" w:space="0" w:color="auto"/>
            <w:right w:val="none" w:sz="0" w:space="0" w:color="auto"/>
          </w:divBdr>
        </w:div>
        <w:div w:id="776944548">
          <w:marLeft w:val="0"/>
          <w:marRight w:val="0"/>
          <w:marTop w:val="0"/>
          <w:marBottom w:val="0"/>
          <w:divBdr>
            <w:top w:val="none" w:sz="0" w:space="0" w:color="auto"/>
            <w:left w:val="none" w:sz="0" w:space="0" w:color="auto"/>
            <w:bottom w:val="none" w:sz="0" w:space="0" w:color="auto"/>
            <w:right w:val="none" w:sz="0" w:space="0" w:color="auto"/>
          </w:divBdr>
        </w:div>
        <w:div w:id="781264607">
          <w:marLeft w:val="0"/>
          <w:marRight w:val="0"/>
          <w:marTop w:val="0"/>
          <w:marBottom w:val="0"/>
          <w:divBdr>
            <w:top w:val="none" w:sz="0" w:space="0" w:color="auto"/>
            <w:left w:val="none" w:sz="0" w:space="0" w:color="auto"/>
            <w:bottom w:val="none" w:sz="0" w:space="0" w:color="auto"/>
            <w:right w:val="none" w:sz="0" w:space="0" w:color="auto"/>
          </w:divBdr>
        </w:div>
        <w:div w:id="1555660750">
          <w:marLeft w:val="0"/>
          <w:marRight w:val="0"/>
          <w:marTop w:val="0"/>
          <w:marBottom w:val="0"/>
          <w:divBdr>
            <w:top w:val="none" w:sz="0" w:space="0" w:color="auto"/>
            <w:left w:val="none" w:sz="0" w:space="0" w:color="auto"/>
            <w:bottom w:val="none" w:sz="0" w:space="0" w:color="auto"/>
            <w:right w:val="none" w:sz="0" w:space="0" w:color="auto"/>
          </w:divBdr>
        </w:div>
        <w:div w:id="949359589">
          <w:marLeft w:val="0"/>
          <w:marRight w:val="0"/>
          <w:marTop w:val="0"/>
          <w:marBottom w:val="0"/>
          <w:divBdr>
            <w:top w:val="none" w:sz="0" w:space="0" w:color="auto"/>
            <w:left w:val="none" w:sz="0" w:space="0" w:color="auto"/>
            <w:bottom w:val="none" w:sz="0" w:space="0" w:color="auto"/>
            <w:right w:val="none" w:sz="0" w:space="0" w:color="auto"/>
          </w:divBdr>
        </w:div>
        <w:div w:id="1464038542">
          <w:marLeft w:val="0"/>
          <w:marRight w:val="0"/>
          <w:marTop w:val="0"/>
          <w:marBottom w:val="0"/>
          <w:divBdr>
            <w:top w:val="none" w:sz="0" w:space="0" w:color="auto"/>
            <w:left w:val="none" w:sz="0" w:space="0" w:color="auto"/>
            <w:bottom w:val="none" w:sz="0" w:space="0" w:color="auto"/>
            <w:right w:val="none" w:sz="0" w:space="0" w:color="auto"/>
          </w:divBdr>
        </w:div>
        <w:div w:id="492113166">
          <w:marLeft w:val="0"/>
          <w:marRight w:val="0"/>
          <w:marTop w:val="0"/>
          <w:marBottom w:val="0"/>
          <w:divBdr>
            <w:top w:val="none" w:sz="0" w:space="0" w:color="auto"/>
            <w:left w:val="none" w:sz="0" w:space="0" w:color="auto"/>
            <w:bottom w:val="none" w:sz="0" w:space="0" w:color="auto"/>
            <w:right w:val="none" w:sz="0" w:space="0" w:color="auto"/>
          </w:divBdr>
        </w:div>
        <w:div w:id="1650672815">
          <w:marLeft w:val="0"/>
          <w:marRight w:val="0"/>
          <w:marTop w:val="0"/>
          <w:marBottom w:val="0"/>
          <w:divBdr>
            <w:top w:val="none" w:sz="0" w:space="0" w:color="auto"/>
            <w:left w:val="none" w:sz="0" w:space="0" w:color="auto"/>
            <w:bottom w:val="none" w:sz="0" w:space="0" w:color="auto"/>
            <w:right w:val="none" w:sz="0" w:space="0" w:color="auto"/>
          </w:divBdr>
        </w:div>
        <w:div w:id="36928217">
          <w:marLeft w:val="0"/>
          <w:marRight w:val="0"/>
          <w:marTop w:val="0"/>
          <w:marBottom w:val="0"/>
          <w:divBdr>
            <w:top w:val="none" w:sz="0" w:space="0" w:color="auto"/>
            <w:left w:val="none" w:sz="0" w:space="0" w:color="auto"/>
            <w:bottom w:val="none" w:sz="0" w:space="0" w:color="auto"/>
            <w:right w:val="none" w:sz="0" w:space="0" w:color="auto"/>
          </w:divBdr>
        </w:div>
        <w:div w:id="48267098">
          <w:marLeft w:val="0"/>
          <w:marRight w:val="0"/>
          <w:marTop w:val="0"/>
          <w:marBottom w:val="0"/>
          <w:divBdr>
            <w:top w:val="none" w:sz="0" w:space="0" w:color="auto"/>
            <w:left w:val="none" w:sz="0" w:space="0" w:color="auto"/>
            <w:bottom w:val="none" w:sz="0" w:space="0" w:color="auto"/>
            <w:right w:val="none" w:sz="0" w:space="0" w:color="auto"/>
          </w:divBdr>
        </w:div>
      </w:divsChild>
    </w:div>
    <w:div w:id="1826848682">
      <w:bodyDiv w:val="1"/>
      <w:marLeft w:val="0"/>
      <w:marRight w:val="0"/>
      <w:marTop w:val="0"/>
      <w:marBottom w:val="0"/>
      <w:divBdr>
        <w:top w:val="none" w:sz="0" w:space="0" w:color="auto"/>
        <w:left w:val="none" w:sz="0" w:space="0" w:color="auto"/>
        <w:bottom w:val="none" w:sz="0" w:space="0" w:color="auto"/>
        <w:right w:val="none" w:sz="0" w:space="0" w:color="auto"/>
      </w:divBdr>
      <w:divsChild>
        <w:div w:id="347949344">
          <w:marLeft w:val="0"/>
          <w:marRight w:val="0"/>
          <w:marTop w:val="0"/>
          <w:marBottom w:val="0"/>
          <w:divBdr>
            <w:top w:val="none" w:sz="0" w:space="0" w:color="auto"/>
            <w:left w:val="none" w:sz="0" w:space="0" w:color="auto"/>
            <w:bottom w:val="none" w:sz="0" w:space="0" w:color="auto"/>
            <w:right w:val="none" w:sz="0" w:space="0" w:color="auto"/>
          </w:divBdr>
          <w:divsChild>
            <w:div w:id="1568111171">
              <w:marLeft w:val="0"/>
              <w:marRight w:val="0"/>
              <w:marTop w:val="0"/>
              <w:marBottom w:val="0"/>
              <w:divBdr>
                <w:top w:val="none" w:sz="0" w:space="0" w:color="auto"/>
                <w:left w:val="none" w:sz="0" w:space="0" w:color="auto"/>
                <w:bottom w:val="none" w:sz="0" w:space="0" w:color="auto"/>
                <w:right w:val="none" w:sz="0" w:space="0" w:color="auto"/>
              </w:divBdr>
              <w:divsChild>
                <w:div w:id="860123396">
                  <w:marLeft w:val="0"/>
                  <w:marRight w:val="0"/>
                  <w:marTop w:val="0"/>
                  <w:marBottom w:val="0"/>
                  <w:divBdr>
                    <w:top w:val="none" w:sz="0" w:space="0" w:color="auto"/>
                    <w:left w:val="none" w:sz="0" w:space="0" w:color="auto"/>
                    <w:bottom w:val="none" w:sz="0" w:space="0" w:color="auto"/>
                    <w:right w:val="none" w:sz="0" w:space="0" w:color="auto"/>
                  </w:divBdr>
                  <w:divsChild>
                    <w:div w:id="18517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49995">
      <w:bodyDiv w:val="1"/>
      <w:marLeft w:val="0"/>
      <w:marRight w:val="0"/>
      <w:marTop w:val="0"/>
      <w:marBottom w:val="0"/>
      <w:divBdr>
        <w:top w:val="none" w:sz="0" w:space="0" w:color="auto"/>
        <w:left w:val="none" w:sz="0" w:space="0" w:color="auto"/>
        <w:bottom w:val="none" w:sz="0" w:space="0" w:color="auto"/>
        <w:right w:val="none" w:sz="0" w:space="0" w:color="auto"/>
      </w:divBdr>
      <w:divsChild>
        <w:div w:id="446512115">
          <w:marLeft w:val="0"/>
          <w:marRight w:val="0"/>
          <w:marTop w:val="0"/>
          <w:marBottom w:val="0"/>
          <w:divBdr>
            <w:top w:val="none" w:sz="0" w:space="0" w:color="auto"/>
            <w:left w:val="none" w:sz="0" w:space="0" w:color="auto"/>
            <w:bottom w:val="none" w:sz="0" w:space="0" w:color="auto"/>
            <w:right w:val="none" w:sz="0" w:space="0" w:color="auto"/>
          </w:divBdr>
        </w:div>
        <w:div w:id="1706634635">
          <w:marLeft w:val="0"/>
          <w:marRight w:val="0"/>
          <w:marTop w:val="0"/>
          <w:marBottom w:val="0"/>
          <w:divBdr>
            <w:top w:val="none" w:sz="0" w:space="0" w:color="auto"/>
            <w:left w:val="none" w:sz="0" w:space="0" w:color="auto"/>
            <w:bottom w:val="none" w:sz="0" w:space="0" w:color="auto"/>
            <w:right w:val="none" w:sz="0" w:space="0" w:color="auto"/>
          </w:divBdr>
        </w:div>
        <w:div w:id="1368024792">
          <w:marLeft w:val="0"/>
          <w:marRight w:val="0"/>
          <w:marTop w:val="0"/>
          <w:marBottom w:val="0"/>
          <w:divBdr>
            <w:top w:val="none" w:sz="0" w:space="0" w:color="auto"/>
            <w:left w:val="none" w:sz="0" w:space="0" w:color="auto"/>
            <w:bottom w:val="none" w:sz="0" w:space="0" w:color="auto"/>
            <w:right w:val="none" w:sz="0" w:space="0" w:color="auto"/>
          </w:divBdr>
        </w:div>
        <w:div w:id="163057974">
          <w:marLeft w:val="0"/>
          <w:marRight w:val="0"/>
          <w:marTop w:val="0"/>
          <w:marBottom w:val="0"/>
          <w:divBdr>
            <w:top w:val="none" w:sz="0" w:space="0" w:color="auto"/>
            <w:left w:val="none" w:sz="0" w:space="0" w:color="auto"/>
            <w:bottom w:val="none" w:sz="0" w:space="0" w:color="auto"/>
            <w:right w:val="none" w:sz="0" w:space="0" w:color="auto"/>
          </w:divBdr>
        </w:div>
        <w:div w:id="1050618500">
          <w:marLeft w:val="0"/>
          <w:marRight w:val="0"/>
          <w:marTop w:val="0"/>
          <w:marBottom w:val="0"/>
          <w:divBdr>
            <w:top w:val="none" w:sz="0" w:space="0" w:color="auto"/>
            <w:left w:val="none" w:sz="0" w:space="0" w:color="auto"/>
            <w:bottom w:val="none" w:sz="0" w:space="0" w:color="auto"/>
            <w:right w:val="none" w:sz="0" w:space="0" w:color="auto"/>
          </w:divBdr>
        </w:div>
        <w:div w:id="29395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0CFA-9C4D-4FBC-A043-643445A4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45FC156C.dotm</Template>
  <TotalTime>0</TotalTime>
  <Pages>37</Pages>
  <Words>27508</Words>
  <Characters>156802</Characters>
  <Application>Microsoft Office Word</Application>
  <DocSecurity>4</DocSecurity>
  <Lines>1306</Lines>
  <Paragraphs>367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University of York</Company>
  <LinksUpToDate>false</LinksUpToDate>
  <CharactersWithSpaces>183943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Ochalek</dc:creator>
  <cp:lastModifiedBy>Lucy Cook</cp:lastModifiedBy>
  <cp:revision>2</cp:revision>
  <cp:lastPrinted>2017-08-09T15:23:00Z</cp:lastPrinted>
  <dcterms:created xsi:type="dcterms:W3CDTF">2017-09-27T09:26:00Z</dcterms:created>
  <dcterms:modified xsi:type="dcterms:W3CDTF">2017-09-27T09:26:00Z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b9680440-b836-38dc-acae-39eceb94ebe2</vt:lpwstr>
  </property>
</Properties>
</file>