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38D3" w14:textId="77777777" w:rsidR="0021142C" w:rsidRDefault="0021142C" w:rsidP="0021142C">
      <w:pPr>
        <w:spacing w:line="480" w:lineRule="auto"/>
        <w:jc w:val="center"/>
        <w:rPr>
          <w:b/>
          <w:bCs/>
          <w:lang w:val="en-US"/>
        </w:rPr>
      </w:pPr>
    </w:p>
    <w:p w14:paraId="6DE8EC3C" w14:textId="14567F1D" w:rsidR="00290912" w:rsidRPr="0021142C" w:rsidRDefault="00290912" w:rsidP="0021142C">
      <w:pPr>
        <w:spacing w:line="480" w:lineRule="auto"/>
        <w:jc w:val="center"/>
        <w:rPr>
          <w:b/>
          <w:bCs/>
          <w:sz w:val="36"/>
          <w:szCs w:val="36"/>
          <w:lang w:val="en-US"/>
        </w:rPr>
      </w:pPr>
      <w:r w:rsidRPr="0021142C">
        <w:rPr>
          <w:b/>
          <w:bCs/>
          <w:sz w:val="36"/>
          <w:szCs w:val="36"/>
          <w:lang w:val="en-US"/>
        </w:rPr>
        <w:t>A Triple Test for Behavioral Economics Models</w:t>
      </w:r>
    </w:p>
    <w:p w14:paraId="1BF8C1ED" w14:textId="26C67F09" w:rsidR="00290912" w:rsidRPr="0021142C" w:rsidRDefault="00290912" w:rsidP="0058296D">
      <w:pPr>
        <w:spacing w:line="480" w:lineRule="auto"/>
        <w:jc w:val="center"/>
        <w:rPr>
          <w:b/>
          <w:bCs/>
          <w:sz w:val="36"/>
          <w:szCs w:val="36"/>
          <w:lang w:val="en-US"/>
        </w:rPr>
      </w:pPr>
      <w:proofErr w:type="gramStart"/>
      <w:r w:rsidRPr="0021142C">
        <w:rPr>
          <w:b/>
          <w:bCs/>
          <w:sz w:val="36"/>
          <w:szCs w:val="36"/>
          <w:lang w:val="en-US"/>
        </w:rPr>
        <w:t>and</w:t>
      </w:r>
      <w:proofErr w:type="gramEnd"/>
      <w:r w:rsidRPr="0021142C">
        <w:rPr>
          <w:b/>
          <w:bCs/>
          <w:sz w:val="36"/>
          <w:szCs w:val="36"/>
          <w:lang w:val="en-US"/>
        </w:rPr>
        <w:t xml:space="preserve"> Public Health Policy</w:t>
      </w:r>
    </w:p>
    <w:p w14:paraId="31345313" w14:textId="77777777" w:rsidR="00290912" w:rsidRPr="0021142C" w:rsidRDefault="00290912" w:rsidP="00290912">
      <w:pPr>
        <w:spacing w:line="480" w:lineRule="auto"/>
        <w:rPr>
          <w:b/>
          <w:bCs/>
          <w:lang w:val="en-US"/>
        </w:rPr>
      </w:pPr>
    </w:p>
    <w:p w14:paraId="7588357A" w14:textId="50989090" w:rsidR="00290912" w:rsidRPr="0021142C" w:rsidRDefault="009D5CFC" w:rsidP="009D5CFC">
      <w:pPr>
        <w:spacing w:line="480" w:lineRule="auto"/>
        <w:jc w:val="center"/>
        <w:rPr>
          <w:lang w:val="en-US"/>
        </w:rPr>
      </w:pPr>
      <w:r w:rsidRPr="0021142C">
        <w:rPr>
          <w:lang w:val="en-US"/>
        </w:rPr>
        <w:t>Ryota Nakamura</w:t>
      </w:r>
      <w:r w:rsidR="004257FE" w:rsidRPr="0021142C">
        <w:rPr>
          <w:lang w:val="en-US"/>
        </w:rPr>
        <w:t xml:space="preserve"> </w:t>
      </w:r>
      <w:r w:rsidR="00614CF8">
        <w:rPr>
          <w:vertAlign w:val="superscript"/>
          <w:lang w:val="en-US"/>
        </w:rPr>
        <w:t>a</w:t>
      </w:r>
    </w:p>
    <w:p w14:paraId="7963AC54" w14:textId="1DCE2BE8" w:rsidR="00290912" w:rsidRPr="0021142C" w:rsidRDefault="009D5CFC" w:rsidP="00EA39F7">
      <w:pPr>
        <w:spacing w:line="480" w:lineRule="auto"/>
        <w:jc w:val="center"/>
        <w:rPr>
          <w:bCs/>
          <w:lang w:val="en-US"/>
        </w:rPr>
      </w:pPr>
      <w:r w:rsidRPr="0021142C">
        <w:rPr>
          <w:bCs/>
          <w:lang w:val="en-US"/>
        </w:rPr>
        <w:t>Marc Suhrcke</w:t>
      </w:r>
      <w:r w:rsidR="004257FE" w:rsidRPr="0021142C">
        <w:rPr>
          <w:bCs/>
          <w:lang w:val="en-US"/>
        </w:rPr>
        <w:t xml:space="preserve"> </w:t>
      </w:r>
      <w:r w:rsidR="00614CF8">
        <w:rPr>
          <w:bCs/>
          <w:vertAlign w:val="superscript"/>
          <w:lang w:val="en-US"/>
        </w:rPr>
        <w:t>b</w:t>
      </w:r>
    </w:p>
    <w:p w14:paraId="7FFA5112" w14:textId="130901EC" w:rsidR="00327BF3" w:rsidRPr="0021142C" w:rsidRDefault="00290912" w:rsidP="0021142C">
      <w:pPr>
        <w:spacing w:line="480" w:lineRule="auto"/>
        <w:jc w:val="center"/>
        <w:rPr>
          <w:lang w:val="en-US"/>
        </w:rPr>
      </w:pPr>
      <w:r w:rsidRPr="0021142C">
        <w:rPr>
          <w:bCs/>
          <w:lang w:val="en-US"/>
        </w:rPr>
        <w:t>Daniel John Zizzo</w:t>
      </w:r>
      <w:r w:rsidR="004257FE" w:rsidRPr="0021142C">
        <w:rPr>
          <w:bCs/>
          <w:lang w:val="en-US"/>
        </w:rPr>
        <w:t xml:space="preserve"> </w:t>
      </w:r>
      <w:r w:rsidR="00614CF8">
        <w:rPr>
          <w:vertAlign w:val="superscript"/>
          <w:lang w:val="en-US"/>
        </w:rPr>
        <w:t>c</w:t>
      </w:r>
    </w:p>
    <w:p w14:paraId="41052A28" w14:textId="77777777" w:rsidR="00327BF3" w:rsidRPr="0021142C" w:rsidRDefault="00327BF3" w:rsidP="00290912">
      <w:pPr>
        <w:spacing w:line="480" w:lineRule="auto"/>
        <w:jc w:val="both"/>
        <w:rPr>
          <w:b/>
          <w:bCs/>
          <w:lang w:val="en-US"/>
        </w:rPr>
      </w:pPr>
    </w:p>
    <w:p w14:paraId="7E2F1BDE" w14:textId="66526A77" w:rsidR="00327BF3" w:rsidRPr="0021142C" w:rsidRDefault="00614CF8" w:rsidP="00290912">
      <w:pPr>
        <w:spacing w:line="480" w:lineRule="auto"/>
        <w:jc w:val="both"/>
        <w:rPr>
          <w:bCs/>
          <w:lang w:val="en-US"/>
        </w:rPr>
      </w:pPr>
      <w:r>
        <w:rPr>
          <w:bCs/>
          <w:vertAlign w:val="superscript"/>
          <w:lang w:val="en-US"/>
        </w:rPr>
        <w:t>a</w:t>
      </w:r>
      <w:r w:rsidR="004257FE" w:rsidRPr="0021142C">
        <w:rPr>
          <w:bCs/>
          <w:lang w:val="en-US"/>
        </w:rPr>
        <w:t xml:space="preserve"> </w:t>
      </w:r>
      <w:proofErr w:type="spellStart"/>
      <w:r w:rsidR="004257FE" w:rsidRPr="0021142C">
        <w:rPr>
          <w:bCs/>
          <w:lang w:val="en-US"/>
        </w:rPr>
        <w:t>Hitotsubashi</w:t>
      </w:r>
      <w:proofErr w:type="spellEnd"/>
      <w:r w:rsidR="004257FE" w:rsidRPr="0021142C">
        <w:rPr>
          <w:bCs/>
          <w:lang w:val="en-US"/>
        </w:rPr>
        <w:t xml:space="preserve"> Institute for Advanced Study, </w:t>
      </w:r>
      <w:proofErr w:type="spellStart"/>
      <w:r w:rsidR="004257FE" w:rsidRPr="0021142C">
        <w:rPr>
          <w:bCs/>
          <w:lang w:val="en-US"/>
        </w:rPr>
        <w:t>Hitotsubashi</w:t>
      </w:r>
      <w:proofErr w:type="spellEnd"/>
      <w:r w:rsidR="004257FE" w:rsidRPr="0021142C">
        <w:rPr>
          <w:bCs/>
          <w:lang w:val="en-US"/>
        </w:rPr>
        <w:t xml:space="preserve"> University, 2-1 Naka, </w:t>
      </w:r>
      <w:proofErr w:type="spellStart"/>
      <w:r w:rsidR="004257FE" w:rsidRPr="0021142C">
        <w:rPr>
          <w:bCs/>
          <w:lang w:val="en-US"/>
        </w:rPr>
        <w:t>Kunitachi</w:t>
      </w:r>
      <w:proofErr w:type="spellEnd"/>
      <w:r w:rsidR="004257FE" w:rsidRPr="0021142C">
        <w:rPr>
          <w:bCs/>
          <w:lang w:val="en-US"/>
        </w:rPr>
        <w:t>, Tokyo, 186-8601 Japan</w:t>
      </w:r>
      <w:r w:rsidR="005F5CA1">
        <w:rPr>
          <w:bCs/>
          <w:lang w:val="en-US"/>
        </w:rPr>
        <w:t>.</w:t>
      </w:r>
      <w:bookmarkStart w:id="0" w:name="_GoBack"/>
      <w:bookmarkEnd w:id="0"/>
    </w:p>
    <w:p w14:paraId="4E0EC16C" w14:textId="66E028C9" w:rsidR="00290912" w:rsidRPr="0021142C" w:rsidRDefault="00614CF8" w:rsidP="00290912">
      <w:pPr>
        <w:autoSpaceDE w:val="0"/>
        <w:autoSpaceDN w:val="0"/>
        <w:adjustRightInd w:val="0"/>
        <w:spacing w:line="480" w:lineRule="auto"/>
        <w:jc w:val="both"/>
        <w:rPr>
          <w:lang w:val="en-US"/>
        </w:rPr>
      </w:pPr>
      <w:proofErr w:type="gramStart"/>
      <w:r>
        <w:rPr>
          <w:vertAlign w:val="superscript"/>
          <w:lang w:val="en-US"/>
        </w:rPr>
        <w:t>b</w:t>
      </w:r>
      <w:proofErr w:type="gramEnd"/>
      <w:r w:rsidR="00290912" w:rsidRPr="0021142C">
        <w:rPr>
          <w:lang w:val="en-US"/>
        </w:rPr>
        <w:t xml:space="preserve"> Centre for Health Economics, University of York, </w:t>
      </w:r>
      <w:proofErr w:type="spellStart"/>
      <w:r w:rsidR="00290912" w:rsidRPr="0021142C">
        <w:rPr>
          <w:lang w:val="en-US"/>
        </w:rPr>
        <w:t>Heslington</w:t>
      </w:r>
      <w:proofErr w:type="spellEnd"/>
      <w:r w:rsidR="002C0A82" w:rsidRPr="0021142C">
        <w:rPr>
          <w:lang w:val="en-US"/>
        </w:rPr>
        <w:t>,</w:t>
      </w:r>
      <w:r w:rsidR="00290912" w:rsidRPr="0021142C">
        <w:rPr>
          <w:lang w:val="en-US"/>
        </w:rPr>
        <w:t xml:space="preserve"> York, YO10 5DD</w:t>
      </w:r>
      <w:r w:rsidR="004257FE" w:rsidRPr="0021142C">
        <w:rPr>
          <w:lang w:val="en-US"/>
        </w:rPr>
        <w:t>, United Kingdom</w:t>
      </w:r>
      <w:r w:rsidR="00290912" w:rsidRPr="0021142C">
        <w:rPr>
          <w:lang w:val="en-US"/>
        </w:rPr>
        <w:t xml:space="preserve">. </w:t>
      </w:r>
    </w:p>
    <w:p w14:paraId="5767130B" w14:textId="04D7164E" w:rsidR="0058296D" w:rsidRPr="0021142C" w:rsidRDefault="00614CF8" w:rsidP="0058296D">
      <w:pPr>
        <w:autoSpaceDE w:val="0"/>
        <w:autoSpaceDN w:val="0"/>
        <w:adjustRightInd w:val="0"/>
        <w:spacing w:line="480" w:lineRule="auto"/>
        <w:jc w:val="both"/>
        <w:rPr>
          <w:lang w:val="en-US"/>
        </w:rPr>
      </w:pPr>
      <w:proofErr w:type="gramStart"/>
      <w:r>
        <w:rPr>
          <w:vertAlign w:val="superscript"/>
          <w:lang w:val="en-US"/>
        </w:rPr>
        <w:t>c</w:t>
      </w:r>
      <w:proofErr w:type="gramEnd"/>
      <w:r w:rsidR="00290912" w:rsidRPr="0021142C">
        <w:rPr>
          <w:lang w:val="en-US"/>
        </w:rPr>
        <w:t xml:space="preserve"> </w:t>
      </w:r>
      <w:r w:rsidR="00290912" w:rsidRPr="0021142C">
        <w:rPr>
          <w:b/>
          <w:lang w:val="en-US"/>
        </w:rPr>
        <w:t>Corresponding author</w:t>
      </w:r>
      <w:r w:rsidR="00290912" w:rsidRPr="0021142C">
        <w:rPr>
          <w:lang w:val="en-US"/>
        </w:rPr>
        <w:t>. Faculty of Humanities and Social Sciences, Newcastle University, 5</w:t>
      </w:r>
      <w:r w:rsidR="00290912" w:rsidRPr="0021142C">
        <w:rPr>
          <w:vertAlign w:val="superscript"/>
          <w:lang w:val="en-US"/>
        </w:rPr>
        <w:t>th</w:t>
      </w:r>
      <w:r w:rsidR="00290912" w:rsidRPr="0021142C">
        <w:rPr>
          <w:lang w:val="en-US"/>
        </w:rPr>
        <w:t xml:space="preserve"> Floor, </w:t>
      </w:r>
      <w:proofErr w:type="spellStart"/>
      <w:r w:rsidR="00290912" w:rsidRPr="0021142C">
        <w:rPr>
          <w:lang w:val="en-US"/>
        </w:rPr>
        <w:t>Daysh</w:t>
      </w:r>
      <w:proofErr w:type="spellEnd"/>
      <w:r w:rsidR="00290912" w:rsidRPr="0021142C">
        <w:rPr>
          <w:lang w:val="en-US"/>
        </w:rPr>
        <w:t xml:space="preserve"> Building, Newcastle upon Tyne NE1 7RU, United Kingdom, and Newcastle University Business School. Email: </w:t>
      </w:r>
      <w:hyperlink r:id="rId8" w:history="1">
        <w:r w:rsidR="00290912" w:rsidRPr="0021142C">
          <w:rPr>
            <w:rStyle w:val="Hyperlink"/>
            <w:lang w:val="en-US"/>
          </w:rPr>
          <w:t>daniel.zizzo@newcastle.ac.uk</w:t>
        </w:r>
      </w:hyperlink>
      <w:r w:rsidR="00290912" w:rsidRPr="0021142C">
        <w:rPr>
          <w:lang w:val="en-US"/>
        </w:rPr>
        <w:t>, Phone: +44-191 208 5844; fax: +44-191 2087001.</w:t>
      </w:r>
    </w:p>
    <w:p w14:paraId="032BDEA9" w14:textId="77777777" w:rsidR="009D5CFC" w:rsidRPr="0021142C" w:rsidRDefault="009D5CFC" w:rsidP="0058296D">
      <w:pPr>
        <w:autoSpaceDE w:val="0"/>
        <w:autoSpaceDN w:val="0"/>
        <w:adjustRightInd w:val="0"/>
        <w:spacing w:line="480" w:lineRule="auto"/>
        <w:jc w:val="both"/>
        <w:rPr>
          <w:lang w:val="en-US"/>
        </w:rPr>
      </w:pPr>
    </w:p>
    <w:p w14:paraId="2CEAB5F5" w14:textId="1011A5CD" w:rsidR="0058296D" w:rsidRPr="0021142C" w:rsidRDefault="00290912" w:rsidP="0058296D">
      <w:pPr>
        <w:autoSpaceDE w:val="0"/>
        <w:autoSpaceDN w:val="0"/>
        <w:adjustRightInd w:val="0"/>
        <w:spacing w:line="480" w:lineRule="auto"/>
        <w:jc w:val="both"/>
        <w:rPr>
          <w:lang w:val="en-US"/>
        </w:rPr>
      </w:pPr>
      <w:r w:rsidRPr="0021142C">
        <w:rPr>
          <w:lang w:val="en-US"/>
        </w:rPr>
        <w:t xml:space="preserve"> </w:t>
      </w:r>
      <w:r w:rsidR="0058296D" w:rsidRPr="0021142C">
        <w:rPr>
          <w:b/>
          <w:bCs/>
          <w:lang w:val="en-US"/>
        </w:rPr>
        <w:t>Acknowledgements</w:t>
      </w:r>
    </w:p>
    <w:p w14:paraId="66E18515" w14:textId="6EE5507D" w:rsidR="0058296D" w:rsidRPr="0021142C" w:rsidRDefault="0058296D" w:rsidP="0058296D">
      <w:pPr>
        <w:spacing w:line="480" w:lineRule="auto"/>
        <w:jc w:val="both"/>
      </w:pPr>
      <w:r w:rsidRPr="0021142C">
        <w:t>The study was funded by the Department of Health Policy Research Programme (Policy Research Unit in Behaviour and Health [PR-UN-0409-10109]), the UKCRC Centre for Diet and Physical Activity Research (CEDAR), the ESRC (Network for Integrated Behavioural Science, ES/K002201/1) and the University of East Anglia. The Department of Health, the UKCRC and the ESRC had no role in the study design, data collection, analysis, or interpretation.</w:t>
      </w:r>
      <w:r w:rsidR="00327BF3" w:rsidRPr="0021142C">
        <w:t xml:space="preserve"> We thank John Cawley, Fabrice </w:t>
      </w:r>
      <w:proofErr w:type="spellStart"/>
      <w:r w:rsidR="00327BF3" w:rsidRPr="0021142C">
        <w:t>Etilé</w:t>
      </w:r>
      <w:proofErr w:type="spellEnd"/>
      <w:r w:rsidR="00327BF3" w:rsidRPr="0021142C">
        <w:t xml:space="preserve">, Theresa Marteau, Bob Sugden and </w:t>
      </w:r>
      <w:proofErr w:type="spellStart"/>
      <w:r w:rsidR="00327BF3" w:rsidRPr="0021142C">
        <w:t>Ivaylo</w:t>
      </w:r>
      <w:proofErr w:type="spellEnd"/>
      <w:r w:rsidR="00327BF3" w:rsidRPr="0021142C">
        <w:t xml:space="preserve"> </w:t>
      </w:r>
      <w:proofErr w:type="spellStart"/>
      <w:r w:rsidR="00327BF3" w:rsidRPr="0021142C">
        <w:t>Vlaev</w:t>
      </w:r>
      <w:proofErr w:type="spellEnd"/>
      <w:r w:rsidR="00327BF3" w:rsidRPr="0021142C">
        <w:t xml:space="preserve"> for helpful comments on an earlier draft. The usual disclaimer applies.</w:t>
      </w:r>
    </w:p>
    <w:p w14:paraId="0EF10CA9" w14:textId="51768632" w:rsidR="00AB545C" w:rsidRPr="0021142C" w:rsidRDefault="00AB545C" w:rsidP="00BB4444">
      <w:pPr>
        <w:tabs>
          <w:tab w:val="left" w:pos="4333"/>
          <w:tab w:val="center" w:pos="4873"/>
        </w:tabs>
        <w:spacing w:line="480" w:lineRule="auto"/>
        <w:rPr>
          <w:b/>
          <w:bCs/>
          <w:lang w:val="en-US"/>
        </w:rPr>
      </w:pPr>
    </w:p>
    <w:p w14:paraId="477B7A25" w14:textId="3864D2A0" w:rsidR="00BF1D1D" w:rsidRPr="0021142C" w:rsidRDefault="00BF1D1D" w:rsidP="00BB4444">
      <w:pPr>
        <w:tabs>
          <w:tab w:val="left" w:pos="4333"/>
          <w:tab w:val="center" w:pos="4873"/>
        </w:tabs>
        <w:spacing w:line="480" w:lineRule="auto"/>
        <w:rPr>
          <w:b/>
          <w:bCs/>
          <w:lang w:val="en-US"/>
        </w:rPr>
      </w:pPr>
      <w:r w:rsidRPr="0021142C">
        <w:rPr>
          <w:b/>
          <w:bCs/>
          <w:lang w:val="en-US"/>
        </w:rPr>
        <w:tab/>
      </w:r>
      <w:r w:rsidRPr="0021142C">
        <w:rPr>
          <w:b/>
          <w:bCs/>
          <w:lang w:val="en-US"/>
        </w:rPr>
        <w:tab/>
        <w:t>Abstract</w:t>
      </w:r>
    </w:p>
    <w:p w14:paraId="1AE4852E" w14:textId="77777777" w:rsidR="00BF1D1D" w:rsidRPr="0021142C" w:rsidRDefault="00BF1D1D" w:rsidP="00BB4444">
      <w:pPr>
        <w:spacing w:line="480" w:lineRule="auto"/>
        <w:jc w:val="center"/>
        <w:rPr>
          <w:b/>
          <w:bCs/>
          <w:lang w:val="en-US"/>
        </w:rPr>
      </w:pPr>
    </w:p>
    <w:p w14:paraId="16794F09" w14:textId="132EBFE2" w:rsidR="00417122" w:rsidRDefault="00BF1D1D" w:rsidP="00BB4444">
      <w:pPr>
        <w:autoSpaceDE w:val="0"/>
        <w:autoSpaceDN w:val="0"/>
        <w:adjustRightInd w:val="0"/>
        <w:spacing w:line="480" w:lineRule="auto"/>
        <w:ind w:left="1134" w:right="1134"/>
        <w:jc w:val="both"/>
        <w:rPr>
          <w:b/>
          <w:lang w:val="en-US"/>
        </w:rPr>
      </w:pPr>
      <w:r w:rsidRPr="0021142C">
        <w:rPr>
          <w:lang w:val="en-US"/>
        </w:rPr>
        <w:t>We propose a triple test to evaluate the usefulness of behavioral economics models for public health policy. Test 1 is whether the model provides reasonably new insights. Test 2 is on whether these have been properly applied to policy settings. Test 3 is whether they are corroborated by evidence. We exemplify by considering the cases of social interactions models, self-control models and, in relation to health mes</w:t>
      </w:r>
      <w:r w:rsidR="002C0A82" w:rsidRPr="0021142C">
        <w:rPr>
          <w:lang w:val="en-US"/>
        </w:rPr>
        <w:t>sage framing, prospect theory. O</w:t>
      </w:r>
      <w:r w:rsidRPr="0021142C">
        <w:rPr>
          <w:lang w:val="en-US"/>
        </w:rPr>
        <w:t>ut of these</w:t>
      </w:r>
      <w:r w:rsidR="002C0A82" w:rsidRPr="0021142C">
        <w:rPr>
          <w:lang w:val="en-US"/>
        </w:rPr>
        <w:t xml:space="preserve"> sets of models</w:t>
      </w:r>
      <w:r w:rsidRPr="0021142C">
        <w:rPr>
          <w:lang w:val="en-US"/>
        </w:rPr>
        <w:t>, only a correctly applied prospect theory fully passes the tests at present.</w:t>
      </w:r>
      <w:r w:rsidR="002C0A82" w:rsidRPr="0021142C">
        <w:rPr>
          <w:lang w:val="en-US"/>
        </w:rPr>
        <w:t xml:space="preserve"> Specifically, in broad agreement with the evidence, a gain frame has positive implications for welfare encourages disease prevention activity, though this does not apply if the perceived probability of the bad health outcome is large enough. We see our tests as being useful to identify how much health policy weight policy-makers should assign to specific behavioral economic models; they are also useful to verify what next steps would be most useful in further research.</w:t>
      </w:r>
      <w:r w:rsidR="00417122" w:rsidRPr="0021142C">
        <w:rPr>
          <w:b/>
          <w:lang w:val="en-US"/>
        </w:rPr>
        <w:t xml:space="preserve"> </w:t>
      </w:r>
    </w:p>
    <w:p w14:paraId="0383F016" w14:textId="77777777" w:rsidR="0021142C" w:rsidRPr="0021142C" w:rsidRDefault="0021142C" w:rsidP="00BB4444">
      <w:pPr>
        <w:autoSpaceDE w:val="0"/>
        <w:autoSpaceDN w:val="0"/>
        <w:adjustRightInd w:val="0"/>
        <w:spacing w:line="480" w:lineRule="auto"/>
        <w:ind w:left="1134" w:right="1134"/>
        <w:jc w:val="both"/>
        <w:rPr>
          <w:b/>
          <w:lang w:val="en-US"/>
        </w:rPr>
      </w:pPr>
    </w:p>
    <w:p w14:paraId="487877ED" w14:textId="46D9C42A" w:rsidR="0087755E" w:rsidRPr="0021142C" w:rsidRDefault="00417122" w:rsidP="00BB4444">
      <w:pPr>
        <w:autoSpaceDE w:val="0"/>
        <w:autoSpaceDN w:val="0"/>
        <w:adjustRightInd w:val="0"/>
        <w:spacing w:line="480" w:lineRule="auto"/>
        <w:ind w:left="1134" w:right="1134"/>
        <w:jc w:val="both"/>
        <w:rPr>
          <w:lang w:val="en-US"/>
        </w:rPr>
      </w:pPr>
      <w:r w:rsidRPr="0021142C">
        <w:rPr>
          <w:b/>
          <w:lang w:val="en-US"/>
        </w:rPr>
        <w:t xml:space="preserve">Keywords: </w:t>
      </w:r>
      <w:r w:rsidRPr="0021142C">
        <w:rPr>
          <w:lang w:val="en-US"/>
        </w:rPr>
        <w:t>Behavioral economics; nudges; peer effects; self-control; prospect theory; framing effect</w:t>
      </w:r>
    </w:p>
    <w:p w14:paraId="2B476C6E" w14:textId="061812B5" w:rsidR="00417122" w:rsidRPr="0021142C" w:rsidRDefault="00417122" w:rsidP="00BB4444">
      <w:pPr>
        <w:autoSpaceDE w:val="0"/>
        <w:autoSpaceDN w:val="0"/>
        <w:adjustRightInd w:val="0"/>
        <w:spacing w:line="480" w:lineRule="auto"/>
        <w:ind w:left="1134" w:right="1134"/>
        <w:jc w:val="both"/>
        <w:rPr>
          <w:b/>
          <w:lang w:val="en-US"/>
        </w:rPr>
      </w:pPr>
      <w:r w:rsidRPr="0021142C">
        <w:rPr>
          <w:b/>
          <w:lang w:val="en-US"/>
        </w:rPr>
        <w:t xml:space="preserve">JEL Classification Codes: </w:t>
      </w:r>
      <w:r w:rsidR="0028212B" w:rsidRPr="0021142C">
        <w:rPr>
          <w:lang w:val="fr-FR"/>
        </w:rPr>
        <w:t xml:space="preserve">B41, </w:t>
      </w:r>
      <w:r w:rsidR="0050443C" w:rsidRPr="0021142C">
        <w:rPr>
          <w:lang w:val="fr-FR"/>
        </w:rPr>
        <w:t xml:space="preserve">D03, </w:t>
      </w:r>
      <w:r w:rsidR="0028212B" w:rsidRPr="0021142C">
        <w:rPr>
          <w:lang w:val="fr-FR"/>
        </w:rPr>
        <w:t>D04, I18.</w:t>
      </w:r>
    </w:p>
    <w:p w14:paraId="2F225747" w14:textId="165BE729" w:rsidR="0087755E" w:rsidRPr="0021142C" w:rsidRDefault="0087755E" w:rsidP="00BB4444">
      <w:pPr>
        <w:autoSpaceDE w:val="0"/>
        <w:autoSpaceDN w:val="0"/>
        <w:adjustRightInd w:val="0"/>
        <w:spacing w:line="480" w:lineRule="auto"/>
        <w:jc w:val="both"/>
        <w:rPr>
          <w:lang w:val="en-US"/>
        </w:rPr>
      </w:pPr>
    </w:p>
    <w:p w14:paraId="4C3D6A45" w14:textId="71212AD3" w:rsidR="00290912" w:rsidRPr="0021142C" w:rsidRDefault="00290912" w:rsidP="002C0A82">
      <w:pPr>
        <w:autoSpaceDE w:val="0"/>
        <w:autoSpaceDN w:val="0"/>
        <w:adjustRightInd w:val="0"/>
        <w:spacing w:line="480" w:lineRule="auto"/>
        <w:ind w:left="414" w:firstLine="720"/>
        <w:jc w:val="both"/>
        <w:rPr>
          <w:b/>
          <w:lang w:val="en-US"/>
        </w:rPr>
      </w:pPr>
    </w:p>
    <w:p w14:paraId="2D61374F" w14:textId="646F6B40" w:rsidR="0087755E" w:rsidRPr="0021142C" w:rsidRDefault="0087755E" w:rsidP="00BB4444">
      <w:pPr>
        <w:autoSpaceDE w:val="0"/>
        <w:autoSpaceDN w:val="0"/>
        <w:adjustRightInd w:val="0"/>
        <w:spacing w:line="480" w:lineRule="auto"/>
        <w:ind w:left="414" w:firstLine="720"/>
        <w:jc w:val="both"/>
        <w:rPr>
          <w:lang w:val="en-US"/>
        </w:rPr>
        <w:sectPr w:rsidR="0087755E" w:rsidRPr="0021142C" w:rsidSect="00A048E2">
          <w:footerReference w:type="default" r:id="rId9"/>
          <w:footnotePr>
            <w:numRestart w:val="eachSect"/>
          </w:footnotePr>
          <w:pgSz w:w="11906" w:h="16838"/>
          <w:pgMar w:top="1440" w:right="1080" w:bottom="1440" w:left="1080" w:header="708" w:footer="708" w:gutter="0"/>
          <w:cols w:space="708"/>
          <w:docGrid w:linePitch="360"/>
        </w:sectPr>
      </w:pPr>
    </w:p>
    <w:p w14:paraId="351F614E" w14:textId="3C8CCB26" w:rsidR="00FD39B4" w:rsidRPr="0021142C" w:rsidRDefault="00801473" w:rsidP="00BB4444">
      <w:pPr>
        <w:autoSpaceDE w:val="0"/>
        <w:autoSpaceDN w:val="0"/>
        <w:spacing w:line="480" w:lineRule="auto"/>
        <w:jc w:val="both"/>
        <w:rPr>
          <w:b/>
          <w:lang w:val="en-US"/>
        </w:rPr>
      </w:pPr>
      <w:r w:rsidRPr="0021142C">
        <w:rPr>
          <w:b/>
          <w:lang w:val="en-US"/>
        </w:rPr>
        <w:lastRenderedPageBreak/>
        <w:t>1. Introduction</w:t>
      </w:r>
    </w:p>
    <w:p w14:paraId="0FE4B0ED" w14:textId="441D19AE" w:rsidR="00FD39B4" w:rsidRPr="0021142C" w:rsidRDefault="00E8610D" w:rsidP="00BB4444">
      <w:pPr>
        <w:spacing w:line="480" w:lineRule="auto"/>
        <w:jc w:val="both"/>
        <w:rPr>
          <w:bCs/>
          <w:lang w:val="en-US"/>
        </w:rPr>
      </w:pPr>
      <w:r w:rsidRPr="0021142C">
        <w:rPr>
          <w:bCs/>
          <w:lang w:val="en-US"/>
        </w:rPr>
        <w:t>Behavioral</w:t>
      </w:r>
      <w:r w:rsidR="00FD39B4" w:rsidRPr="0021142C">
        <w:rPr>
          <w:bCs/>
          <w:lang w:val="en-US"/>
        </w:rPr>
        <w:t xml:space="preserve"> economics </w:t>
      </w:r>
      <w:r w:rsidR="00EF6567" w:rsidRPr="0021142C">
        <w:rPr>
          <w:bCs/>
          <w:lang w:val="en-US"/>
        </w:rPr>
        <w:t xml:space="preserve">(BE) </w:t>
      </w:r>
      <w:r w:rsidR="00FD39B4" w:rsidRPr="0021142C">
        <w:rPr>
          <w:bCs/>
          <w:lang w:val="en-US"/>
        </w:rPr>
        <w:t xml:space="preserve">has been seen as holding great promise in a range of policy applications, including that of improving health outcomes (Frank 2004; Zimmerman 2009; </w:t>
      </w:r>
      <w:proofErr w:type="spellStart"/>
      <w:r w:rsidR="00FD39B4" w:rsidRPr="0021142C">
        <w:rPr>
          <w:bCs/>
          <w:lang w:val="en-US"/>
        </w:rPr>
        <w:t>Loewenstein</w:t>
      </w:r>
      <w:proofErr w:type="spellEnd"/>
      <w:r w:rsidR="00FD39B4" w:rsidRPr="0021142C">
        <w:rPr>
          <w:bCs/>
          <w:lang w:val="en-US"/>
        </w:rPr>
        <w:t xml:space="preserve"> et </w:t>
      </w:r>
      <w:r w:rsidR="00792C77" w:rsidRPr="0021142C">
        <w:rPr>
          <w:bCs/>
          <w:lang w:val="en-US"/>
        </w:rPr>
        <w:t>al</w:t>
      </w:r>
      <w:r w:rsidR="00710194" w:rsidRPr="0021142C">
        <w:rPr>
          <w:bCs/>
          <w:lang w:val="en-US"/>
        </w:rPr>
        <w:t>.</w:t>
      </w:r>
      <w:r w:rsidR="00FD39B4" w:rsidRPr="0021142C">
        <w:rPr>
          <w:bCs/>
          <w:lang w:val="en-US"/>
        </w:rPr>
        <w:t xml:space="preserve"> 2007, 2012; </w:t>
      </w:r>
      <w:proofErr w:type="spellStart"/>
      <w:r w:rsidR="00FD39B4" w:rsidRPr="0021142C">
        <w:rPr>
          <w:bCs/>
          <w:lang w:val="en-US"/>
        </w:rPr>
        <w:t>Barberis</w:t>
      </w:r>
      <w:proofErr w:type="spellEnd"/>
      <w:r w:rsidR="00FD39B4" w:rsidRPr="0021142C">
        <w:rPr>
          <w:bCs/>
          <w:lang w:val="en-US"/>
        </w:rPr>
        <w:t xml:space="preserve"> 2013). This promise has been recognized by policy makers across a range of countries, including France (</w:t>
      </w:r>
      <w:proofErr w:type="spellStart"/>
      <w:r w:rsidR="00FD39B4" w:rsidRPr="0021142C">
        <w:rPr>
          <w:bCs/>
          <w:lang w:val="en-US"/>
        </w:rPr>
        <w:t>Oullier</w:t>
      </w:r>
      <w:proofErr w:type="spellEnd"/>
      <w:r w:rsidR="00FD39B4" w:rsidRPr="0021142C">
        <w:rPr>
          <w:bCs/>
          <w:lang w:val="en-US"/>
        </w:rPr>
        <w:t xml:space="preserve"> and </w:t>
      </w:r>
      <w:proofErr w:type="spellStart"/>
      <w:r w:rsidR="00FD39B4" w:rsidRPr="0021142C">
        <w:rPr>
          <w:bCs/>
          <w:lang w:val="en-US"/>
        </w:rPr>
        <w:t>Sauneron</w:t>
      </w:r>
      <w:proofErr w:type="spellEnd"/>
      <w:r w:rsidR="00FD39B4" w:rsidRPr="0021142C">
        <w:rPr>
          <w:bCs/>
          <w:lang w:val="en-US"/>
        </w:rPr>
        <w:t>, 2010), the United States (Lott 2013) and the Uni</w:t>
      </w:r>
      <w:r w:rsidR="00EE1B94" w:rsidRPr="0021142C">
        <w:rPr>
          <w:bCs/>
          <w:lang w:val="en-US"/>
        </w:rPr>
        <w:t xml:space="preserve">ted Kingdom </w:t>
      </w:r>
      <w:r w:rsidR="00FD39B4" w:rsidRPr="0021142C">
        <w:rPr>
          <w:bCs/>
          <w:lang w:val="en-US"/>
        </w:rPr>
        <w:t xml:space="preserve">(Dolan et </w:t>
      </w:r>
      <w:r w:rsidR="00792C77" w:rsidRPr="0021142C">
        <w:rPr>
          <w:bCs/>
          <w:lang w:val="en-US"/>
        </w:rPr>
        <w:t>al</w:t>
      </w:r>
      <w:r w:rsidR="00710194" w:rsidRPr="0021142C">
        <w:rPr>
          <w:bCs/>
          <w:lang w:val="en-US"/>
        </w:rPr>
        <w:t>.</w:t>
      </w:r>
      <w:r w:rsidR="00FD39B4" w:rsidRPr="0021142C">
        <w:rPr>
          <w:bCs/>
          <w:lang w:val="en-US"/>
        </w:rPr>
        <w:t xml:space="preserve"> 2010). It has broadly matched the rise of the </w:t>
      </w:r>
      <w:r w:rsidRPr="0021142C">
        <w:rPr>
          <w:bCs/>
          <w:lang w:val="en-US"/>
        </w:rPr>
        <w:t>behavioral</w:t>
      </w:r>
      <w:r w:rsidR="00FD39B4" w:rsidRPr="0021142C">
        <w:rPr>
          <w:bCs/>
          <w:lang w:val="en-US"/>
        </w:rPr>
        <w:t xml:space="preserve"> ‘nudge’ agenda: the possibility of obtaining quick wins in terms of policy outcomes by altering the decision environment of the individual in a way that does not forbid any option or change any economic incentive (see </w:t>
      </w:r>
      <w:proofErr w:type="spellStart"/>
      <w:r w:rsidR="00FD39B4" w:rsidRPr="0021142C">
        <w:rPr>
          <w:bCs/>
          <w:lang w:val="en-US"/>
        </w:rPr>
        <w:t>Thaler</w:t>
      </w:r>
      <w:proofErr w:type="spellEnd"/>
      <w:r w:rsidR="00FD39B4" w:rsidRPr="0021142C">
        <w:rPr>
          <w:bCs/>
          <w:lang w:val="en-US"/>
        </w:rPr>
        <w:t xml:space="preserve"> and </w:t>
      </w:r>
      <w:proofErr w:type="spellStart"/>
      <w:r w:rsidR="00FD39B4" w:rsidRPr="0021142C">
        <w:rPr>
          <w:bCs/>
          <w:lang w:val="en-US"/>
        </w:rPr>
        <w:t>Sunstein</w:t>
      </w:r>
      <w:proofErr w:type="spellEnd"/>
      <w:r w:rsidR="00FD39B4" w:rsidRPr="0021142C">
        <w:rPr>
          <w:bCs/>
          <w:lang w:val="en-US"/>
        </w:rPr>
        <w:t xml:space="preserve"> 2008). The original classic example by </w:t>
      </w:r>
      <w:proofErr w:type="spellStart"/>
      <w:r w:rsidR="00FD39B4" w:rsidRPr="0021142C">
        <w:rPr>
          <w:bCs/>
          <w:lang w:val="en-US"/>
        </w:rPr>
        <w:t>Thaler</w:t>
      </w:r>
      <w:proofErr w:type="spellEnd"/>
      <w:r w:rsidR="00FD39B4" w:rsidRPr="0021142C">
        <w:rPr>
          <w:bCs/>
          <w:lang w:val="en-US"/>
        </w:rPr>
        <w:t xml:space="preserve"> and </w:t>
      </w:r>
      <w:proofErr w:type="spellStart"/>
      <w:r w:rsidR="00FD39B4" w:rsidRPr="0021142C">
        <w:rPr>
          <w:bCs/>
          <w:lang w:val="en-US"/>
        </w:rPr>
        <w:t>Sunstein</w:t>
      </w:r>
      <w:proofErr w:type="spellEnd"/>
      <w:r w:rsidR="00FD39B4" w:rsidRPr="0021142C">
        <w:rPr>
          <w:bCs/>
          <w:lang w:val="en-US"/>
        </w:rPr>
        <w:t xml:space="preserve"> concerned the case of a cafeteria where, by changing the placement of healthy and unhealthy food, it would be possible to affect the extent to which agents chose each. The alleged policy advantages, particularly to policy makers in an age of economic recession, were clear: the potential of better health outcomes without restricting the choice set of the rational consumer and, significantly, at little or no cost for the policy maker.</w:t>
      </w:r>
      <w:r w:rsidR="001F5FD5" w:rsidRPr="0021142C">
        <w:rPr>
          <w:rStyle w:val="FootnoteReference"/>
          <w:bCs/>
          <w:lang w:val="en-US"/>
        </w:rPr>
        <w:footnoteReference w:id="1"/>
      </w:r>
    </w:p>
    <w:p w14:paraId="5364216E" w14:textId="77777777" w:rsidR="00FD39B4" w:rsidRPr="0021142C" w:rsidRDefault="00FD39B4" w:rsidP="00BB4444">
      <w:pPr>
        <w:spacing w:line="480" w:lineRule="auto"/>
        <w:jc w:val="both"/>
        <w:rPr>
          <w:bCs/>
          <w:lang w:val="en-US"/>
        </w:rPr>
      </w:pPr>
      <w:r w:rsidRPr="0021142C">
        <w:rPr>
          <w:bCs/>
          <w:lang w:val="en-US"/>
        </w:rPr>
        <w:t xml:space="preserve"> </w:t>
      </w:r>
    </w:p>
    <w:p w14:paraId="43634EAE" w14:textId="2CF9B8B5" w:rsidR="00FD39B4" w:rsidRPr="0021142C" w:rsidRDefault="00FD39B4" w:rsidP="00BB4444">
      <w:pPr>
        <w:spacing w:line="480" w:lineRule="auto"/>
        <w:jc w:val="both"/>
        <w:rPr>
          <w:bCs/>
          <w:lang w:val="en-US"/>
        </w:rPr>
      </w:pPr>
      <w:r w:rsidRPr="0021142C">
        <w:rPr>
          <w:bCs/>
          <w:lang w:val="en-US"/>
        </w:rPr>
        <w:t xml:space="preserve">That said, a disconnection between the excitement of the promise of </w:t>
      </w:r>
      <w:r w:rsidR="00EF6567" w:rsidRPr="0021142C">
        <w:rPr>
          <w:bCs/>
          <w:lang w:val="en-US"/>
        </w:rPr>
        <w:t>BE</w:t>
      </w:r>
      <w:r w:rsidRPr="0021142C">
        <w:rPr>
          <w:bCs/>
          <w:lang w:val="en-US"/>
        </w:rPr>
        <w:t xml:space="preserve"> and the evidence base has been noted (Marteau et </w:t>
      </w:r>
      <w:r w:rsidR="00792C77" w:rsidRPr="0021142C">
        <w:rPr>
          <w:bCs/>
          <w:lang w:val="en-US"/>
        </w:rPr>
        <w:t>al</w:t>
      </w:r>
      <w:r w:rsidR="00710194" w:rsidRPr="0021142C">
        <w:rPr>
          <w:bCs/>
          <w:lang w:val="en-US"/>
        </w:rPr>
        <w:t>.</w:t>
      </w:r>
      <w:r w:rsidRPr="0021142C">
        <w:rPr>
          <w:bCs/>
          <w:lang w:val="en-US"/>
        </w:rPr>
        <w:t xml:space="preserve"> 201</w:t>
      </w:r>
      <w:r w:rsidR="00B67E42" w:rsidRPr="0021142C">
        <w:rPr>
          <w:bCs/>
          <w:lang w:val="en-US"/>
        </w:rPr>
        <w:t>1</w:t>
      </w:r>
      <w:r w:rsidRPr="0021142C">
        <w:rPr>
          <w:bCs/>
          <w:lang w:val="en-US"/>
        </w:rPr>
        <w:t xml:space="preserve">). Early proposers of </w:t>
      </w:r>
      <w:r w:rsidR="00EF6567" w:rsidRPr="0021142C">
        <w:rPr>
          <w:bCs/>
          <w:lang w:val="en-US"/>
        </w:rPr>
        <w:t>BE</w:t>
      </w:r>
      <w:r w:rsidRPr="0021142C">
        <w:rPr>
          <w:bCs/>
          <w:lang w:val="en-US"/>
        </w:rPr>
        <w:t xml:space="preserve"> have put this in terms of policy getting ahead of science (</w:t>
      </w:r>
      <w:proofErr w:type="spellStart"/>
      <w:r w:rsidRPr="0021142C">
        <w:rPr>
          <w:bCs/>
          <w:lang w:val="en-US"/>
        </w:rPr>
        <w:t>Loewenstein</w:t>
      </w:r>
      <w:proofErr w:type="spellEnd"/>
      <w:r w:rsidRPr="0021142C">
        <w:rPr>
          <w:bCs/>
          <w:lang w:val="en-US"/>
        </w:rPr>
        <w:t xml:space="preserve"> et </w:t>
      </w:r>
      <w:r w:rsidR="00792C77" w:rsidRPr="0021142C">
        <w:rPr>
          <w:bCs/>
          <w:lang w:val="en-US"/>
        </w:rPr>
        <w:t>al</w:t>
      </w:r>
      <w:r w:rsidR="00710194" w:rsidRPr="0021142C">
        <w:rPr>
          <w:bCs/>
          <w:lang w:val="en-US"/>
        </w:rPr>
        <w:t>.</w:t>
      </w:r>
      <w:r w:rsidRPr="0021142C">
        <w:rPr>
          <w:bCs/>
          <w:lang w:val="en-US"/>
        </w:rPr>
        <w:t xml:space="preserve"> 2012), and of hard shoves (in terms of regulation) being needed as much as soft nudges. A recent report of the U.K. House of Lords has reached qualified conclusions on the potential of using only </w:t>
      </w:r>
      <w:r w:rsidR="00E8610D" w:rsidRPr="0021142C">
        <w:rPr>
          <w:bCs/>
          <w:lang w:val="en-US"/>
        </w:rPr>
        <w:t>behavioral</w:t>
      </w:r>
      <w:r w:rsidRPr="0021142C">
        <w:rPr>
          <w:bCs/>
          <w:lang w:val="en-US"/>
        </w:rPr>
        <w:t xml:space="preserve"> interventions in affecting outcomes (House of Lords 2011). </w:t>
      </w:r>
      <w:r w:rsidR="00E91BD4" w:rsidRPr="0021142C">
        <w:rPr>
          <w:bCs/>
          <w:lang w:val="en-US"/>
        </w:rPr>
        <w:t xml:space="preserve">A recent </w:t>
      </w:r>
      <w:r w:rsidR="009E1837" w:rsidRPr="0021142C">
        <w:rPr>
          <w:bCs/>
          <w:lang w:val="en-US"/>
        </w:rPr>
        <w:t xml:space="preserve">scoping </w:t>
      </w:r>
      <w:r w:rsidR="00E91BD4" w:rsidRPr="0021142C">
        <w:rPr>
          <w:bCs/>
          <w:lang w:val="en-US"/>
        </w:rPr>
        <w:t xml:space="preserve">review of choice architecture interventions has reached the conclusion that </w:t>
      </w:r>
      <w:r w:rsidR="009E1837" w:rsidRPr="0021142C">
        <w:rPr>
          <w:bCs/>
          <w:lang w:val="en-US"/>
        </w:rPr>
        <w:t xml:space="preserve">the </w:t>
      </w:r>
      <w:r w:rsidR="00E91BD4" w:rsidRPr="0021142C">
        <w:rPr>
          <w:bCs/>
          <w:lang w:val="en-US"/>
        </w:rPr>
        <w:t xml:space="preserve">jury is still out on effect sizes for such interventions, both singly and in combination (Hollands et </w:t>
      </w:r>
      <w:r w:rsidR="00792C77" w:rsidRPr="0021142C">
        <w:rPr>
          <w:bCs/>
          <w:lang w:val="en-US"/>
        </w:rPr>
        <w:t>al</w:t>
      </w:r>
      <w:r w:rsidR="00710194" w:rsidRPr="0021142C">
        <w:rPr>
          <w:bCs/>
          <w:lang w:val="en-US"/>
        </w:rPr>
        <w:t>.</w:t>
      </w:r>
      <w:r w:rsidR="00E91BD4" w:rsidRPr="0021142C">
        <w:rPr>
          <w:bCs/>
          <w:lang w:val="en-US"/>
        </w:rPr>
        <w:t xml:space="preserve"> 2013).</w:t>
      </w:r>
    </w:p>
    <w:p w14:paraId="53CE3B42" w14:textId="77777777" w:rsidR="00FD39B4" w:rsidRPr="0021142C" w:rsidRDefault="00FD39B4" w:rsidP="00BB4444">
      <w:pPr>
        <w:spacing w:line="480" w:lineRule="auto"/>
        <w:jc w:val="both"/>
        <w:rPr>
          <w:bCs/>
          <w:lang w:val="en-US"/>
        </w:rPr>
      </w:pPr>
    </w:p>
    <w:p w14:paraId="264D1DC5" w14:textId="20B33015" w:rsidR="00FD39B4" w:rsidRPr="0021142C" w:rsidRDefault="00FD39B4" w:rsidP="00BB4444">
      <w:pPr>
        <w:spacing w:line="480" w:lineRule="auto"/>
        <w:jc w:val="both"/>
        <w:rPr>
          <w:bCs/>
          <w:lang w:val="en-US"/>
        </w:rPr>
      </w:pPr>
      <w:r w:rsidRPr="0021142C">
        <w:rPr>
          <w:bCs/>
          <w:lang w:val="en-US"/>
        </w:rPr>
        <w:lastRenderedPageBreak/>
        <w:t xml:space="preserve">The key question </w:t>
      </w:r>
      <w:r w:rsidR="00C56C40" w:rsidRPr="0021142C">
        <w:rPr>
          <w:bCs/>
          <w:lang w:val="en-US"/>
        </w:rPr>
        <w:t>of</w:t>
      </w:r>
      <w:r w:rsidRPr="0021142C">
        <w:rPr>
          <w:bCs/>
          <w:lang w:val="en-US"/>
        </w:rPr>
        <w:t xml:space="preserve"> this paper is the degree to which </w:t>
      </w:r>
      <w:r w:rsidR="00EF6567" w:rsidRPr="0021142C">
        <w:rPr>
          <w:bCs/>
          <w:lang w:val="en-US"/>
        </w:rPr>
        <w:t>BE</w:t>
      </w:r>
      <w:r w:rsidRPr="0021142C">
        <w:rPr>
          <w:bCs/>
          <w:lang w:val="en-US"/>
        </w:rPr>
        <w:t xml:space="preserve"> is </w:t>
      </w:r>
      <w:r w:rsidRPr="0021142C">
        <w:rPr>
          <w:bCs/>
          <w:i/>
          <w:iCs/>
          <w:lang w:val="en-US"/>
        </w:rPr>
        <w:t>actually</w:t>
      </w:r>
      <w:r w:rsidRPr="0021142C">
        <w:rPr>
          <w:bCs/>
          <w:lang w:val="en-US"/>
        </w:rPr>
        <w:t xml:space="preserve"> adding to the </w:t>
      </w:r>
      <w:r w:rsidR="0006628F" w:rsidRPr="0021142C">
        <w:rPr>
          <w:bCs/>
          <w:lang w:val="en-US"/>
        </w:rPr>
        <w:t xml:space="preserve">public health </w:t>
      </w:r>
      <w:r w:rsidRPr="0021142C">
        <w:rPr>
          <w:bCs/>
          <w:lang w:val="en-US"/>
        </w:rPr>
        <w:t xml:space="preserve">policy debate. </w:t>
      </w:r>
      <w:r w:rsidR="001E0ABF" w:rsidRPr="0021142C">
        <w:rPr>
          <w:bCs/>
          <w:lang w:val="en-US"/>
        </w:rPr>
        <w:t xml:space="preserve">For the purpose of this paper, we define </w:t>
      </w:r>
      <w:r w:rsidR="00EF6567" w:rsidRPr="0021142C">
        <w:rPr>
          <w:bCs/>
          <w:lang w:val="en-US"/>
        </w:rPr>
        <w:t>BE</w:t>
      </w:r>
      <w:r w:rsidR="001E0ABF" w:rsidRPr="0021142C">
        <w:rPr>
          <w:bCs/>
          <w:lang w:val="en-US"/>
        </w:rPr>
        <w:t xml:space="preserve"> as comprising economic </w:t>
      </w:r>
      <w:r w:rsidR="00130A24" w:rsidRPr="0021142C">
        <w:rPr>
          <w:bCs/>
          <w:lang w:val="en-US"/>
        </w:rPr>
        <w:t>models</w:t>
      </w:r>
      <w:r w:rsidR="001E0ABF" w:rsidRPr="0021142C">
        <w:rPr>
          <w:bCs/>
          <w:lang w:val="en-US"/>
        </w:rPr>
        <w:t xml:space="preserve"> that relax the standard assumptions of rationality, pure self-interest or both.</w:t>
      </w:r>
      <w:r w:rsidR="00130A24" w:rsidRPr="0021142C">
        <w:rPr>
          <w:bCs/>
          <w:lang w:val="en-US"/>
        </w:rPr>
        <w:t xml:space="preserve"> We label ‘standard economic models’ as models that keep both of these assumptions. </w:t>
      </w:r>
      <w:r w:rsidR="00EF6567" w:rsidRPr="0021142C">
        <w:rPr>
          <w:bCs/>
          <w:lang w:val="en-US"/>
        </w:rPr>
        <w:t>BE</w:t>
      </w:r>
      <w:r w:rsidRPr="0021142C">
        <w:rPr>
          <w:bCs/>
          <w:lang w:val="en-US"/>
        </w:rPr>
        <w:t xml:space="preserve"> mostly encapsulates and incorporates concepts and findings from psychology or cognate disciplines, which are combined with economic </w:t>
      </w:r>
      <w:r w:rsidR="002A47A0" w:rsidRPr="0021142C">
        <w:rPr>
          <w:bCs/>
          <w:lang w:val="en-US"/>
        </w:rPr>
        <w:t>modelling</w:t>
      </w:r>
      <w:r w:rsidRPr="0021142C">
        <w:rPr>
          <w:bCs/>
          <w:lang w:val="en-US"/>
        </w:rPr>
        <w:t xml:space="preserve"> to produce </w:t>
      </w:r>
      <w:r w:rsidR="001E0ABF" w:rsidRPr="0021142C">
        <w:rPr>
          <w:bCs/>
          <w:lang w:val="en-US"/>
        </w:rPr>
        <w:t xml:space="preserve">potentially </w:t>
      </w:r>
      <w:r w:rsidRPr="0021142C">
        <w:rPr>
          <w:bCs/>
          <w:i/>
          <w:iCs/>
          <w:lang w:val="en-US"/>
        </w:rPr>
        <w:t>new insights</w:t>
      </w:r>
      <w:r w:rsidRPr="0021142C">
        <w:rPr>
          <w:bCs/>
          <w:lang w:val="en-US"/>
        </w:rPr>
        <w:t xml:space="preserve"> hopefully of interest outside economics, including to policy makers (for examples, see </w:t>
      </w:r>
      <w:proofErr w:type="spellStart"/>
      <w:r w:rsidRPr="0021142C">
        <w:rPr>
          <w:bCs/>
          <w:lang w:val="en-US"/>
        </w:rPr>
        <w:t>Camerer</w:t>
      </w:r>
      <w:proofErr w:type="spellEnd"/>
      <w:r w:rsidRPr="0021142C">
        <w:rPr>
          <w:bCs/>
          <w:lang w:val="en-US"/>
        </w:rPr>
        <w:t xml:space="preserve"> et </w:t>
      </w:r>
      <w:r w:rsidR="00792C77" w:rsidRPr="0021142C">
        <w:rPr>
          <w:bCs/>
          <w:lang w:val="en-US"/>
        </w:rPr>
        <w:t>al</w:t>
      </w:r>
      <w:r w:rsidR="00710194" w:rsidRPr="0021142C">
        <w:rPr>
          <w:bCs/>
          <w:lang w:val="en-US"/>
        </w:rPr>
        <w:t>.</w:t>
      </w:r>
      <w:r w:rsidRPr="0021142C">
        <w:rPr>
          <w:bCs/>
          <w:lang w:val="en-US"/>
        </w:rPr>
        <w:t xml:space="preserve"> 2004; </w:t>
      </w:r>
      <w:proofErr w:type="spellStart"/>
      <w:r w:rsidRPr="0021142C">
        <w:rPr>
          <w:bCs/>
          <w:lang w:val="en-US"/>
        </w:rPr>
        <w:t>Skořepa</w:t>
      </w:r>
      <w:proofErr w:type="spellEnd"/>
      <w:r w:rsidRPr="0021142C">
        <w:rPr>
          <w:bCs/>
          <w:lang w:val="en-US"/>
        </w:rPr>
        <w:t xml:space="preserve"> 2011;  Cartwright 2011). </w:t>
      </w:r>
      <w:r w:rsidR="00C56C40" w:rsidRPr="0021142C">
        <w:rPr>
          <w:bCs/>
          <w:lang w:val="en-US"/>
        </w:rPr>
        <w:t>We propose a triple test for whether a</w:t>
      </w:r>
      <w:r w:rsidRPr="0021142C">
        <w:rPr>
          <w:bCs/>
          <w:lang w:val="en-US"/>
        </w:rPr>
        <w:t xml:space="preserve"> </w:t>
      </w:r>
      <w:r w:rsidR="00E8610D" w:rsidRPr="0021142C">
        <w:rPr>
          <w:bCs/>
          <w:lang w:val="en-US"/>
        </w:rPr>
        <w:t>behavioral</w:t>
      </w:r>
      <w:r w:rsidRPr="0021142C">
        <w:rPr>
          <w:bCs/>
          <w:lang w:val="en-US"/>
        </w:rPr>
        <w:t xml:space="preserve"> economic</w:t>
      </w:r>
      <w:r w:rsidR="00C56C40" w:rsidRPr="0021142C">
        <w:rPr>
          <w:bCs/>
          <w:lang w:val="en-US"/>
        </w:rPr>
        <w:t xml:space="preserve"> </w:t>
      </w:r>
      <w:r w:rsidR="00FA4D6D" w:rsidRPr="0021142C">
        <w:rPr>
          <w:bCs/>
          <w:lang w:val="en-US"/>
        </w:rPr>
        <w:t>model</w:t>
      </w:r>
      <w:r w:rsidRPr="0021142C">
        <w:rPr>
          <w:bCs/>
          <w:lang w:val="en-US"/>
        </w:rPr>
        <w:t xml:space="preserve"> </w:t>
      </w:r>
      <w:r w:rsidR="00C56C40" w:rsidRPr="0021142C">
        <w:rPr>
          <w:bCs/>
          <w:lang w:val="en-US"/>
        </w:rPr>
        <w:t>is</w:t>
      </w:r>
      <w:r w:rsidRPr="0021142C">
        <w:rPr>
          <w:bCs/>
          <w:lang w:val="en-US"/>
        </w:rPr>
        <w:t xml:space="preserve"> relevant for </w:t>
      </w:r>
      <w:r w:rsidR="00D448C8" w:rsidRPr="0021142C">
        <w:rPr>
          <w:bCs/>
          <w:lang w:val="en-US"/>
        </w:rPr>
        <w:t xml:space="preserve">public </w:t>
      </w:r>
      <w:r w:rsidRPr="0021142C">
        <w:rPr>
          <w:bCs/>
          <w:lang w:val="en-US"/>
        </w:rPr>
        <w:t xml:space="preserve">health policy: </w:t>
      </w:r>
    </w:p>
    <w:p w14:paraId="777BC8EF" w14:textId="77777777" w:rsidR="00FD39B4" w:rsidRPr="0021142C" w:rsidRDefault="00FD39B4" w:rsidP="00BB4444">
      <w:pPr>
        <w:spacing w:line="480" w:lineRule="auto"/>
        <w:jc w:val="both"/>
        <w:rPr>
          <w:bCs/>
          <w:lang w:val="en-US"/>
        </w:rPr>
      </w:pPr>
    </w:p>
    <w:p w14:paraId="62D865C5" w14:textId="5A504EC1" w:rsidR="00FD39B4" w:rsidRPr="0021142C" w:rsidRDefault="00FD39B4" w:rsidP="00BB4444">
      <w:pPr>
        <w:spacing w:line="480" w:lineRule="auto"/>
        <w:jc w:val="both"/>
        <w:rPr>
          <w:bCs/>
          <w:lang w:val="en-US"/>
        </w:rPr>
      </w:pPr>
      <w:r w:rsidRPr="0021142C">
        <w:rPr>
          <w:bCs/>
          <w:i/>
          <w:iCs/>
          <w:lang w:val="en-US"/>
        </w:rPr>
        <w:t xml:space="preserve">Test </w:t>
      </w:r>
      <w:r w:rsidRPr="0021142C">
        <w:rPr>
          <w:bCs/>
          <w:lang w:val="en-US"/>
        </w:rPr>
        <w:t xml:space="preserve">1: </w:t>
      </w:r>
      <w:r w:rsidR="00A00C8D" w:rsidRPr="0021142C">
        <w:rPr>
          <w:bCs/>
          <w:lang w:val="en-US"/>
        </w:rPr>
        <w:t>the model</w:t>
      </w:r>
      <w:r w:rsidR="00564EF2" w:rsidRPr="0021142C">
        <w:rPr>
          <w:bCs/>
          <w:lang w:val="en-US"/>
        </w:rPr>
        <w:t xml:space="preserve"> has to yield </w:t>
      </w:r>
      <w:r w:rsidR="00130A24" w:rsidRPr="0021142C">
        <w:rPr>
          <w:bCs/>
          <w:lang w:val="en-US"/>
        </w:rPr>
        <w:t>specific</w:t>
      </w:r>
      <w:r w:rsidR="00564EF2" w:rsidRPr="0021142C">
        <w:rPr>
          <w:bCs/>
          <w:lang w:val="en-US"/>
        </w:rPr>
        <w:t xml:space="preserve"> predictions </w:t>
      </w:r>
      <w:r w:rsidR="00130A24" w:rsidRPr="0021142C">
        <w:rPr>
          <w:bCs/>
          <w:lang w:val="en-US"/>
        </w:rPr>
        <w:t>relative to</w:t>
      </w:r>
      <w:r w:rsidR="00564EF2" w:rsidRPr="0021142C">
        <w:rPr>
          <w:bCs/>
          <w:lang w:val="en-US"/>
        </w:rPr>
        <w:t xml:space="preserve"> standard economic models </w:t>
      </w:r>
      <w:r w:rsidR="00130A24" w:rsidRPr="0021142C">
        <w:rPr>
          <w:bCs/>
          <w:lang w:val="en-US"/>
        </w:rPr>
        <w:t xml:space="preserve">or established psychological </w:t>
      </w:r>
      <w:r w:rsidR="005B4900" w:rsidRPr="0021142C">
        <w:rPr>
          <w:bCs/>
          <w:lang w:val="en-US"/>
        </w:rPr>
        <w:t>theories</w:t>
      </w:r>
      <w:r w:rsidR="00130A24" w:rsidRPr="0021142C">
        <w:rPr>
          <w:bCs/>
          <w:lang w:val="en-US"/>
        </w:rPr>
        <w:t xml:space="preserve"> </w:t>
      </w:r>
      <w:r w:rsidR="00EC3855" w:rsidRPr="0021142C">
        <w:rPr>
          <w:bCs/>
          <w:lang w:val="en-US"/>
        </w:rPr>
        <w:t>in terms of individual behavio</w:t>
      </w:r>
      <w:r w:rsidR="00564EF2" w:rsidRPr="0021142C">
        <w:rPr>
          <w:bCs/>
          <w:lang w:val="en-US"/>
        </w:rPr>
        <w:t>rs or reaction to incentives;</w:t>
      </w:r>
      <w:r w:rsidRPr="0021142C">
        <w:rPr>
          <w:bCs/>
          <w:lang w:val="en-US"/>
        </w:rPr>
        <w:t xml:space="preserve">  </w:t>
      </w:r>
    </w:p>
    <w:p w14:paraId="22C5149B" w14:textId="1538C389" w:rsidR="00FD39B4" w:rsidRPr="0021142C" w:rsidRDefault="00FD39B4" w:rsidP="00BB4444">
      <w:pPr>
        <w:spacing w:line="480" w:lineRule="auto"/>
        <w:jc w:val="both"/>
        <w:rPr>
          <w:bCs/>
          <w:lang w:val="en-US"/>
        </w:rPr>
      </w:pPr>
      <w:r w:rsidRPr="0021142C">
        <w:rPr>
          <w:bCs/>
          <w:i/>
          <w:iCs/>
          <w:lang w:val="en-US"/>
        </w:rPr>
        <w:t xml:space="preserve">Test </w:t>
      </w:r>
      <w:r w:rsidRPr="0021142C">
        <w:rPr>
          <w:bCs/>
          <w:lang w:val="en-US"/>
        </w:rPr>
        <w:t xml:space="preserve">2: </w:t>
      </w:r>
      <w:r w:rsidR="00A00C8D" w:rsidRPr="0021142C">
        <w:rPr>
          <w:bCs/>
          <w:lang w:val="en-US"/>
        </w:rPr>
        <w:t>the model has to provide specific</w:t>
      </w:r>
      <w:r w:rsidR="00564EF2" w:rsidRPr="0021142C">
        <w:rPr>
          <w:bCs/>
          <w:lang w:val="en-US"/>
        </w:rPr>
        <w:t xml:space="preserve"> predictions regarding specific public health policies; </w:t>
      </w:r>
    </w:p>
    <w:p w14:paraId="7DB43035" w14:textId="789E1D86" w:rsidR="00FD39B4" w:rsidRPr="0021142C" w:rsidRDefault="00FD39B4" w:rsidP="00BB4444">
      <w:pPr>
        <w:spacing w:line="480" w:lineRule="auto"/>
        <w:jc w:val="both"/>
        <w:rPr>
          <w:bCs/>
          <w:lang w:val="en-US"/>
        </w:rPr>
      </w:pPr>
      <w:r w:rsidRPr="0021142C">
        <w:rPr>
          <w:bCs/>
          <w:i/>
          <w:iCs/>
          <w:lang w:val="en-US"/>
        </w:rPr>
        <w:t xml:space="preserve">Test </w:t>
      </w:r>
      <w:r w:rsidRPr="0021142C">
        <w:rPr>
          <w:bCs/>
          <w:lang w:val="en-US"/>
        </w:rPr>
        <w:t xml:space="preserve">3: </w:t>
      </w:r>
      <w:r w:rsidR="00A00C8D" w:rsidRPr="0021142C">
        <w:rPr>
          <w:bCs/>
          <w:lang w:val="en-US"/>
        </w:rPr>
        <w:t>the model has to</w:t>
      </w:r>
      <w:r w:rsidRPr="0021142C">
        <w:rPr>
          <w:bCs/>
          <w:lang w:val="en-US"/>
        </w:rPr>
        <w:t xml:space="preserve"> be appropriately </w:t>
      </w:r>
      <w:r w:rsidR="00564EF2" w:rsidRPr="0021142C">
        <w:rPr>
          <w:bCs/>
          <w:lang w:val="en-US"/>
        </w:rPr>
        <w:t xml:space="preserve">validated </w:t>
      </w:r>
      <w:r w:rsidRPr="0021142C">
        <w:rPr>
          <w:bCs/>
          <w:lang w:val="en-US"/>
        </w:rPr>
        <w:t>by empirical evidence.</w:t>
      </w:r>
    </w:p>
    <w:p w14:paraId="04AA6069" w14:textId="77777777" w:rsidR="00FD39B4" w:rsidRPr="0021142C" w:rsidRDefault="00FD39B4" w:rsidP="00BB4444">
      <w:pPr>
        <w:spacing w:line="480" w:lineRule="auto"/>
        <w:jc w:val="both"/>
        <w:rPr>
          <w:bCs/>
          <w:lang w:val="en-US"/>
        </w:rPr>
      </w:pPr>
    </w:p>
    <w:p w14:paraId="17415910" w14:textId="65F41279" w:rsidR="00FD39B4" w:rsidRPr="0021142C" w:rsidRDefault="00C10E42" w:rsidP="00BB4444">
      <w:pPr>
        <w:spacing w:line="480" w:lineRule="auto"/>
        <w:jc w:val="both"/>
        <w:rPr>
          <w:bCs/>
          <w:lang w:val="en-US"/>
        </w:rPr>
      </w:pPr>
      <w:r w:rsidRPr="0021142C">
        <w:rPr>
          <w:bCs/>
          <w:lang w:val="en-US"/>
        </w:rPr>
        <w:t xml:space="preserve">This paper considers example </w:t>
      </w:r>
      <w:r w:rsidR="00EF6567" w:rsidRPr="0021142C">
        <w:rPr>
          <w:bCs/>
          <w:lang w:val="en-US"/>
        </w:rPr>
        <w:t>BE</w:t>
      </w:r>
      <w:r w:rsidRPr="0021142C">
        <w:rPr>
          <w:bCs/>
          <w:lang w:val="en-US"/>
        </w:rPr>
        <w:t xml:space="preserve"> models and shows how these tests can be usefully employed.</w:t>
      </w:r>
      <w:r w:rsidR="001F5FD5" w:rsidRPr="0021142C">
        <w:rPr>
          <w:rStyle w:val="FootnoteReference"/>
          <w:bCs/>
          <w:lang w:val="en-US"/>
        </w:rPr>
        <w:footnoteReference w:id="2"/>
      </w:r>
      <w:r w:rsidRPr="0021142C">
        <w:rPr>
          <w:bCs/>
          <w:lang w:val="en-US"/>
        </w:rPr>
        <w:t xml:space="preserve"> </w:t>
      </w:r>
      <w:r w:rsidR="00FD39B4" w:rsidRPr="0021142C">
        <w:rPr>
          <w:bCs/>
          <w:lang w:val="en-US"/>
        </w:rPr>
        <w:t xml:space="preserve">We consider three areas where one can, with some legitimacy, claim that the first test is passed: social interactions; self-control devices; and prospect theory. We find that, with the partial possible exception of the area of self-control, in all three areas there </w:t>
      </w:r>
      <w:r w:rsidR="00A00C8D" w:rsidRPr="0021142C">
        <w:rPr>
          <w:bCs/>
          <w:lang w:val="en-US"/>
        </w:rPr>
        <w:t xml:space="preserve">needs to be further progress on the </w:t>
      </w:r>
      <w:r w:rsidR="00FD39B4" w:rsidRPr="0021142C">
        <w:rPr>
          <w:bCs/>
          <w:lang w:val="en-US"/>
        </w:rPr>
        <w:t xml:space="preserve">connection between insights from </w:t>
      </w:r>
      <w:r w:rsidR="00EF6567" w:rsidRPr="0021142C">
        <w:rPr>
          <w:bCs/>
          <w:lang w:val="en-US"/>
        </w:rPr>
        <w:t>BE</w:t>
      </w:r>
      <w:r w:rsidR="00FD39B4" w:rsidRPr="0021142C">
        <w:rPr>
          <w:bCs/>
          <w:lang w:val="en-US"/>
        </w:rPr>
        <w:t xml:space="preserve"> models, policy application and corroboration. </w:t>
      </w:r>
      <w:r w:rsidR="00A00C8D" w:rsidRPr="0021142C">
        <w:rPr>
          <w:bCs/>
          <w:lang w:val="en-US"/>
        </w:rPr>
        <w:t>W</w:t>
      </w:r>
      <w:r w:rsidR="00FD39B4" w:rsidRPr="0021142C">
        <w:rPr>
          <w:bCs/>
          <w:lang w:val="en-US"/>
        </w:rPr>
        <w:t xml:space="preserve">e suggest that the proposed triple test can be employed to verify the policy relevance of </w:t>
      </w:r>
      <w:r w:rsidR="00EF6567" w:rsidRPr="0021142C">
        <w:rPr>
          <w:bCs/>
          <w:lang w:val="en-US"/>
        </w:rPr>
        <w:t>BE</w:t>
      </w:r>
      <w:r w:rsidR="00FD39B4" w:rsidRPr="0021142C">
        <w:rPr>
          <w:bCs/>
          <w:lang w:val="en-US"/>
        </w:rPr>
        <w:t xml:space="preserve"> insights. Section 2 provides the conceptual background to our triple test. Sections 3, 4 and 5 consider our three areas of application. </w:t>
      </w:r>
      <w:r w:rsidR="00EF45A8" w:rsidRPr="0021142C">
        <w:rPr>
          <w:bCs/>
          <w:lang w:val="en-US"/>
        </w:rPr>
        <w:t xml:space="preserve">The supplementary material provides relevant lists of empirical references and key findings. </w:t>
      </w:r>
      <w:r w:rsidR="00FD39B4" w:rsidRPr="0021142C">
        <w:rPr>
          <w:bCs/>
          <w:lang w:val="en-US"/>
        </w:rPr>
        <w:t>Section 6 concludes.</w:t>
      </w:r>
    </w:p>
    <w:p w14:paraId="41028824" w14:textId="77777777" w:rsidR="00FD39B4" w:rsidRPr="0021142C" w:rsidRDefault="00FD39B4" w:rsidP="00BB4444">
      <w:pPr>
        <w:spacing w:line="480" w:lineRule="auto"/>
        <w:jc w:val="both"/>
        <w:rPr>
          <w:bCs/>
          <w:lang w:val="en-US"/>
        </w:rPr>
      </w:pPr>
    </w:p>
    <w:p w14:paraId="192D91F1" w14:textId="5ED92CFA" w:rsidR="00FD39B4" w:rsidRPr="0021142C" w:rsidRDefault="00801473" w:rsidP="00BB4444">
      <w:pPr>
        <w:spacing w:line="480" w:lineRule="auto"/>
        <w:jc w:val="both"/>
        <w:rPr>
          <w:lang w:val="en-US"/>
        </w:rPr>
      </w:pPr>
      <w:r w:rsidRPr="0021142C">
        <w:rPr>
          <w:b/>
          <w:lang w:val="en-US"/>
        </w:rPr>
        <w:t>2. A Conceptual Background</w:t>
      </w:r>
    </w:p>
    <w:p w14:paraId="04447B42" w14:textId="567FF1CA" w:rsidR="00FD39B4" w:rsidRPr="0021142C" w:rsidRDefault="00FD39B4" w:rsidP="00BB4444">
      <w:pPr>
        <w:spacing w:line="480" w:lineRule="auto"/>
        <w:jc w:val="both"/>
        <w:rPr>
          <w:bCs/>
          <w:lang w:val="en-US"/>
        </w:rPr>
      </w:pPr>
      <w:r w:rsidRPr="0021142C">
        <w:rPr>
          <w:bCs/>
          <w:lang w:val="en-US"/>
        </w:rPr>
        <w:t xml:space="preserve">Figure 1 helps clarify key points underpinning the triple test being proposed here. </w:t>
      </w:r>
      <w:r w:rsidR="005B4900" w:rsidRPr="0021142C">
        <w:rPr>
          <w:bCs/>
          <w:lang w:val="en-US"/>
        </w:rPr>
        <w:t>T</w:t>
      </w:r>
      <w:r w:rsidRPr="0021142C">
        <w:rPr>
          <w:bCs/>
          <w:lang w:val="en-US"/>
        </w:rPr>
        <w:t xml:space="preserve">here is a long tradition of psychological research having policy implications (link 1 in Figure 1); there is also a sizeable amount of empirical evidence in connection to psychological concepts, including economic experiments that connect to them (link 2). While this needs not always be the case, </w:t>
      </w:r>
      <w:r w:rsidR="00EF6567" w:rsidRPr="0021142C">
        <w:rPr>
          <w:bCs/>
          <w:lang w:val="en-US"/>
        </w:rPr>
        <w:t>BE</w:t>
      </w:r>
      <w:r w:rsidRPr="0021142C">
        <w:rPr>
          <w:bCs/>
          <w:lang w:val="en-US"/>
        </w:rPr>
        <w:t xml:space="preserve"> often employs economic </w:t>
      </w:r>
      <w:r w:rsidR="00533B83" w:rsidRPr="0021142C">
        <w:rPr>
          <w:bCs/>
          <w:lang w:val="en-US"/>
        </w:rPr>
        <w:t>modelling</w:t>
      </w:r>
      <w:r w:rsidRPr="0021142C">
        <w:rPr>
          <w:bCs/>
          <w:lang w:val="en-US"/>
        </w:rPr>
        <w:t xml:space="preserve"> to formalize concepts and findings from psychology </w:t>
      </w:r>
      <w:r w:rsidR="00130A24" w:rsidRPr="0021142C">
        <w:rPr>
          <w:bCs/>
          <w:lang w:val="en-US"/>
        </w:rPr>
        <w:t xml:space="preserve">and deviations from standard economic models </w:t>
      </w:r>
      <w:r w:rsidRPr="0021142C">
        <w:rPr>
          <w:bCs/>
          <w:lang w:val="en-US"/>
        </w:rPr>
        <w:t xml:space="preserve">(link 3); for example, the notion of social comparison and relative utility which we shall consider in section </w:t>
      </w:r>
      <w:r w:rsidR="00F47591" w:rsidRPr="0021142C">
        <w:rPr>
          <w:bCs/>
          <w:lang w:val="en-US"/>
        </w:rPr>
        <w:t>3</w:t>
      </w:r>
      <w:r w:rsidRPr="0021142C">
        <w:rPr>
          <w:bCs/>
          <w:lang w:val="en-US"/>
        </w:rPr>
        <w:t xml:space="preserve"> draws its parentage both on social psychology</w:t>
      </w:r>
      <w:r w:rsidR="0058296D" w:rsidRPr="0021142C">
        <w:rPr>
          <w:bCs/>
          <w:lang w:val="en-US"/>
        </w:rPr>
        <w:t xml:space="preserve">, </w:t>
      </w:r>
      <w:r w:rsidRPr="0021142C">
        <w:rPr>
          <w:bCs/>
          <w:lang w:val="en-US"/>
        </w:rPr>
        <w:t xml:space="preserve">e.g., the social exchange theory of Adams </w:t>
      </w:r>
      <w:r w:rsidR="0058296D" w:rsidRPr="0021142C">
        <w:rPr>
          <w:bCs/>
          <w:lang w:val="en-US"/>
        </w:rPr>
        <w:t>(</w:t>
      </w:r>
      <w:r w:rsidRPr="0021142C">
        <w:rPr>
          <w:bCs/>
          <w:lang w:val="en-US"/>
        </w:rPr>
        <w:t>1963</w:t>
      </w:r>
      <w:r w:rsidR="0058296D" w:rsidRPr="0021142C">
        <w:rPr>
          <w:bCs/>
          <w:lang w:val="en-US"/>
        </w:rPr>
        <w:t>),</w:t>
      </w:r>
      <w:r w:rsidRPr="0021142C">
        <w:rPr>
          <w:bCs/>
          <w:lang w:val="en-US"/>
        </w:rPr>
        <w:t xml:space="preserve"> and on the cognitive psychology of relative evaluations (e.g., </w:t>
      </w:r>
      <w:proofErr w:type="spellStart"/>
      <w:r w:rsidRPr="0021142C">
        <w:rPr>
          <w:bCs/>
          <w:lang w:val="en-US"/>
        </w:rPr>
        <w:t>Kahneman</w:t>
      </w:r>
      <w:proofErr w:type="spellEnd"/>
      <w:r w:rsidRPr="0021142C">
        <w:rPr>
          <w:bCs/>
          <w:lang w:val="en-US"/>
        </w:rPr>
        <w:t xml:space="preserve"> and </w:t>
      </w:r>
      <w:proofErr w:type="spellStart"/>
      <w:r w:rsidRPr="0021142C">
        <w:rPr>
          <w:bCs/>
          <w:lang w:val="en-US"/>
        </w:rPr>
        <w:t>Varey</w:t>
      </w:r>
      <w:proofErr w:type="spellEnd"/>
      <w:r w:rsidRPr="0021142C">
        <w:rPr>
          <w:bCs/>
          <w:lang w:val="en-US"/>
        </w:rPr>
        <w:t xml:space="preserve"> </w:t>
      </w:r>
      <w:r w:rsidR="0058296D" w:rsidRPr="0021142C">
        <w:rPr>
          <w:bCs/>
          <w:lang w:val="en-US"/>
        </w:rPr>
        <w:t>(</w:t>
      </w:r>
      <w:r w:rsidRPr="0021142C">
        <w:rPr>
          <w:bCs/>
          <w:lang w:val="en-US"/>
        </w:rPr>
        <w:t>1991</w:t>
      </w:r>
      <w:r w:rsidR="0058296D" w:rsidRPr="0021142C">
        <w:rPr>
          <w:bCs/>
          <w:lang w:val="en-US"/>
        </w:rPr>
        <w:t>)</w:t>
      </w:r>
      <w:r w:rsidRPr="0021142C">
        <w:rPr>
          <w:bCs/>
          <w:lang w:val="en-US"/>
        </w:rPr>
        <w:t xml:space="preserve">, for references). </w:t>
      </w:r>
      <w:r w:rsidR="00EF6567" w:rsidRPr="0021142C">
        <w:rPr>
          <w:bCs/>
          <w:lang w:val="en-US"/>
        </w:rPr>
        <w:t>BE</w:t>
      </w:r>
      <w:r w:rsidRPr="0021142C">
        <w:rPr>
          <w:bCs/>
          <w:lang w:val="en-US"/>
        </w:rPr>
        <w:t xml:space="preserve"> can have implications for policy (link 4). </w:t>
      </w:r>
      <w:r w:rsidR="003149B1" w:rsidRPr="0021142C">
        <w:rPr>
          <w:bCs/>
          <w:i/>
          <w:iCs/>
          <w:lang w:val="en-US"/>
        </w:rPr>
        <w:t>Test 1</w:t>
      </w:r>
      <w:r w:rsidRPr="0021142C">
        <w:rPr>
          <w:bCs/>
          <w:lang w:val="en-US"/>
        </w:rPr>
        <w:t xml:space="preserve"> is about whether something is gained conceptually in moving from psychology to policy through links 3 and 4 rather than directly via link 1. In other words, does </w:t>
      </w:r>
      <w:r w:rsidR="00A00C8D" w:rsidRPr="0021142C">
        <w:rPr>
          <w:bCs/>
          <w:lang w:val="en-US"/>
        </w:rPr>
        <w:t xml:space="preserve">a </w:t>
      </w:r>
      <w:r w:rsidR="00E8610D" w:rsidRPr="0021142C">
        <w:rPr>
          <w:bCs/>
          <w:lang w:val="en-US"/>
        </w:rPr>
        <w:t>behavioral</w:t>
      </w:r>
      <w:r w:rsidRPr="0021142C">
        <w:rPr>
          <w:bCs/>
          <w:lang w:val="en-US"/>
        </w:rPr>
        <w:t xml:space="preserve"> economic</w:t>
      </w:r>
      <w:r w:rsidR="00A00C8D" w:rsidRPr="0021142C">
        <w:rPr>
          <w:bCs/>
          <w:lang w:val="en-US"/>
        </w:rPr>
        <w:t xml:space="preserve"> model</w:t>
      </w:r>
      <w:r w:rsidRPr="0021142C">
        <w:rPr>
          <w:bCs/>
          <w:lang w:val="en-US"/>
        </w:rPr>
        <w:t xml:space="preserve"> provide any reasonably original insight that one would not be able to glean by employing </w:t>
      </w:r>
      <w:r w:rsidR="00130A24" w:rsidRPr="0021142C">
        <w:rPr>
          <w:bCs/>
          <w:lang w:val="en-US"/>
        </w:rPr>
        <w:t xml:space="preserve">not just standard economic models but also </w:t>
      </w:r>
      <w:r w:rsidRPr="0021142C">
        <w:rPr>
          <w:bCs/>
          <w:lang w:val="en-US"/>
        </w:rPr>
        <w:t>plain vanilla psychological concepts?</w:t>
      </w:r>
      <w:r w:rsidR="00B72B2A" w:rsidRPr="0021142C">
        <w:rPr>
          <w:bCs/>
          <w:lang w:val="en-US"/>
        </w:rPr>
        <w:t xml:space="preserve"> Note that we are not stating that </w:t>
      </w:r>
      <w:r w:rsidR="00EF6567" w:rsidRPr="0021142C">
        <w:rPr>
          <w:bCs/>
          <w:lang w:val="en-US"/>
        </w:rPr>
        <w:t>BE</w:t>
      </w:r>
      <w:r w:rsidR="00B72B2A" w:rsidRPr="0021142C">
        <w:rPr>
          <w:bCs/>
          <w:lang w:val="en-US"/>
        </w:rPr>
        <w:t xml:space="preserve"> must not relate to or be inspired by psychological models. Clearly, this will typically be the case.</w:t>
      </w:r>
      <w:r w:rsidRPr="0021142C">
        <w:rPr>
          <w:bCs/>
          <w:lang w:val="en-US"/>
        </w:rPr>
        <w:t xml:space="preserve"> </w:t>
      </w:r>
      <w:r w:rsidR="00B72B2A" w:rsidRPr="0021142C">
        <w:rPr>
          <w:bCs/>
          <w:lang w:val="en-US"/>
        </w:rPr>
        <w:t>Nevertheless, the</w:t>
      </w:r>
      <w:r w:rsidRPr="0021142C">
        <w:rPr>
          <w:bCs/>
          <w:lang w:val="en-US"/>
        </w:rPr>
        <w:t xml:space="preserve"> answer </w:t>
      </w:r>
      <w:r w:rsidR="00B72B2A" w:rsidRPr="0021142C">
        <w:rPr>
          <w:bCs/>
          <w:lang w:val="en-US"/>
        </w:rPr>
        <w:t xml:space="preserve">to the question on whether original insights are provided </w:t>
      </w:r>
      <w:r w:rsidRPr="0021142C">
        <w:rPr>
          <w:bCs/>
          <w:lang w:val="en-US"/>
        </w:rPr>
        <w:t>will not always be positive, for two reasons.</w:t>
      </w:r>
    </w:p>
    <w:p w14:paraId="52394900" w14:textId="77777777" w:rsidR="00FD39B4" w:rsidRPr="0021142C" w:rsidRDefault="00FD39B4" w:rsidP="00BB4444">
      <w:pPr>
        <w:spacing w:line="480" w:lineRule="auto"/>
        <w:jc w:val="both"/>
        <w:rPr>
          <w:bCs/>
          <w:lang w:val="en-US"/>
        </w:rPr>
      </w:pPr>
    </w:p>
    <w:p w14:paraId="7AB25D6A" w14:textId="056BC34E" w:rsidR="00FD39B4" w:rsidRPr="0021142C" w:rsidRDefault="00FD39B4" w:rsidP="00BB4444">
      <w:pPr>
        <w:spacing w:line="480" w:lineRule="auto"/>
        <w:jc w:val="both"/>
        <w:rPr>
          <w:bCs/>
          <w:lang w:val="en-US"/>
        </w:rPr>
      </w:pPr>
      <w:r w:rsidRPr="0021142C">
        <w:rPr>
          <w:bCs/>
          <w:lang w:val="en-US"/>
        </w:rPr>
        <w:t xml:space="preserve">First, some of </w:t>
      </w:r>
      <w:r w:rsidR="00EF6567" w:rsidRPr="0021142C">
        <w:rPr>
          <w:bCs/>
          <w:lang w:val="en-US"/>
        </w:rPr>
        <w:t>BE</w:t>
      </w:r>
      <w:r w:rsidRPr="0021142C">
        <w:rPr>
          <w:bCs/>
          <w:lang w:val="en-US"/>
        </w:rPr>
        <w:t xml:space="preserve"> has been about formalizing psychological concepts in rational choice models that do not add any particular insight relative to such concepts, at least in relevant policy domains. For example, </w:t>
      </w:r>
      <w:proofErr w:type="spellStart"/>
      <w:r w:rsidRPr="0021142C">
        <w:rPr>
          <w:bCs/>
          <w:lang w:val="en-US"/>
        </w:rPr>
        <w:t>Akerlof</w:t>
      </w:r>
      <w:proofErr w:type="spellEnd"/>
      <w:r w:rsidRPr="0021142C">
        <w:rPr>
          <w:bCs/>
          <w:lang w:val="en-US"/>
        </w:rPr>
        <w:t xml:space="preserve"> and </w:t>
      </w:r>
      <w:proofErr w:type="spellStart"/>
      <w:r w:rsidRPr="0021142C">
        <w:rPr>
          <w:bCs/>
          <w:lang w:val="en-US"/>
        </w:rPr>
        <w:t>Kranton</w:t>
      </w:r>
      <w:proofErr w:type="spellEnd"/>
      <w:r w:rsidRPr="0021142C">
        <w:rPr>
          <w:bCs/>
          <w:lang w:val="en-US"/>
        </w:rPr>
        <w:t xml:space="preserve"> (2000) add a utility function but little more to the kind of insights that can be drawn from the social psychological research on group identity and intergroup relations (e.g., Hogg and Abrams 2001, for a review). While this exercise is deemed valuable by economists insofar as utility maximization is considered as the methodological golden rule by most economists, non-economists and policy makers may not learn anything more than they would by referring directly to the appropriate psychological concepts.</w:t>
      </w:r>
    </w:p>
    <w:p w14:paraId="27B6923C" w14:textId="77777777" w:rsidR="00FD39B4" w:rsidRPr="0021142C" w:rsidRDefault="00FD39B4" w:rsidP="00BB4444">
      <w:pPr>
        <w:spacing w:line="480" w:lineRule="auto"/>
        <w:jc w:val="both"/>
        <w:rPr>
          <w:bCs/>
          <w:lang w:val="en-US"/>
        </w:rPr>
      </w:pPr>
    </w:p>
    <w:p w14:paraId="2214E2D6" w14:textId="5DC340F3" w:rsidR="00FD39B4" w:rsidRPr="0021142C" w:rsidRDefault="00FD39B4" w:rsidP="00BB4444">
      <w:pPr>
        <w:spacing w:line="480" w:lineRule="auto"/>
        <w:jc w:val="both"/>
        <w:rPr>
          <w:bCs/>
          <w:lang w:val="en-US"/>
        </w:rPr>
      </w:pPr>
      <w:r w:rsidRPr="0021142C">
        <w:rPr>
          <w:bCs/>
          <w:lang w:val="en-US"/>
        </w:rPr>
        <w:t xml:space="preserve">Second, sometimes </w:t>
      </w:r>
      <w:r w:rsidR="00EF6567" w:rsidRPr="0021142C">
        <w:rPr>
          <w:bCs/>
          <w:lang w:val="en-US"/>
        </w:rPr>
        <w:t>BE</w:t>
      </w:r>
      <w:r w:rsidRPr="0021142C">
        <w:rPr>
          <w:bCs/>
          <w:lang w:val="en-US"/>
        </w:rPr>
        <w:t xml:space="preserve"> is used to refer to concepts taken straight from traditional </w:t>
      </w:r>
      <w:r w:rsidR="00E8610D" w:rsidRPr="0021142C">
        <w:rPr>
          <w:bCs/>
          <w:lang w:val="en-US"/>
        </w:rPr>
        <w:t>behavioral</w:t>
      </w:r>
      <w:r w:rsidRPr="0021142C">
        <w:rPr>
          <w:bCs/>
          <w:lang w:val="en-US"/>
        </w:rPr>
        <w:t xml:space="preserve"> psychology; for example, Murphy et </w:t>
      </w:r>
      <w:r w:rsidR="00792C77" w:rsidRPr="0021142C">
        <w:rPr>
          <w:bCs/>
          <w:lang w:val="en-US"/>
        </w:rPr>
        <w:t>al</w:t>
      </w:r>
      <w:r w:rsidR="00710194" w:rsidRPr="0021142C">
        <w:rPr>
          <w:bCs/>
          <w:lang w:val="en-US"/>
        </w:rPr>
        <w:t>.</w:t>
      </w:r>
      <w:r w:rsidR="005B4900" w:rsidRPr="0021142C">
        <w:rPr>
          <w:bCs/>
          <w:lang w:val="en-US"/>
        </w:rPr>
        <w:t>’s</w:t>
      </w:r>
      <w:r w:rsidRPr="0021142C">
        <w:rPr>
          <w:bCs/>
          <w:lang w:val="en-US"/>
        </w:rPr>
        <w:t xml:space="preserve"> (2007) </w:t>
      </w:r>
      <w:r w:rsidR="005B4900" w:rsidRPr="0021142C">
        <w:rPr>
          <w:bCs/>
          <w:lang w:val="en-US"/>
        </w:rPr>
        <w:t xml:space="preserve">review </w:t>
      </w:r>
      <w:r w:rsidRPr="0021142C">
        <w:rPr>
          <w:bCs/>
          <w:lang w:val="en-US"/>
        </w:rPr>
        <w:t>speak</w:t>
      </w:r>
      <w:r w:rsidR="005B4900" w:rsidRPr="0021142C">
        <w:rPr>
          <w:bCs/>
          <w:lang w:val="en-US"/>
        </w:rPr>
        <w:t>s</w:t>
      </w:r>
      <w:r w:rsidRPr="0021142C">
        <w:rPr>
          <w:bCs/>
          <w:lang w:val="en-US"/>
        </w:rPr>
        <w:t xml:space="preserve"> of </w:t>
      </w:r>
      <w:r w:rsidR="00E8610D" w:rsidRPr="0021142C">
        <w:rPr>
          <w:bCs/>
          <w:lang w:val="en-US"/>
        </w:rPr>
        <w:t>behavioral</w:t>
      </w:r>
      <w:r w:rsidRPr="0021142C">
        <w:rPr>
          <w:bCs/>
          <w:lang w:val="en-US"/>
        </w:rPr>
        <w:t xml:space="preserve"> economic approaches to reduce college student drinking, but actually simply speak in terms of relative reinforcement and in terms of traditional economics (law of demand), neither of which require any </w:t>
      </w:r>
      <w:r w:rsidR="00E8610D" w:rsidRPr="0021142C">
        <w:rPr>
          <w:bCs/>
          <w:lang w:val="en-US"/>
        </w:rPr>
        <w:t>behavioral</w:t>
      </w:r>
      <w:r w:rsidRPr="0021142C">
        <w:rPr>
          <w:bCs/>
          <w:lang w:val="en-US"/>
        </w:rPr>
        <w:t xml:space="preserve"> economic</w:t>
      </w:r>
      <w:r w:rsidR="00C56C40" w:rsidRPr="0021142C">
        <w:rPr>
          <w:bCs/>
          <w:lang w:val="en-US"/>
        </w:rPr>
        <w:t xml:space="preserve"> </w:t>
      </w:r>
      <w:r w:rsidR="00E8610D" w:rsidRPr="0021142C">
        <w:rPr>
          <w:bCs/>
          <w:lang w:val="en-US"/>
        </w:rPr>
        <w:t>models</w:t>
      </w:r>
      <w:r w:rsidRPr="0021142C">
        <w:rPr>
          <w:bCs/>
          <w:lang w:val="en-US"/>
        </w:rPr>
        <w:t xml:space="preserve">; there is nothing in Murphy et </w:t>
      </w:r>
      <w:r w:rsidR="00792C77" w:rsidRPr="0021142C">
        <w:rPr>
          <w:bCs/>
          <w:lang w:val="en-US"/>
        </w:rPr>
        <w:t>al</w:t>
      </w:r>
      <w:r w:rsidR="00710194" w:rsidRPr="0021142C">
        <w:rPr>
          <w:bCs/>
          <w:lang w:val="en-US"/>
        </w:rPr>
        <w:t>.</w:t>
      </w:r>
      <w:r w:rsidRPr="0021142C">
        <w:rPr>
          <w:bCs/>
          <w:lang w:val="en-US"/>
        </w:rPr>
        <w:t xml:space="preserve"> (2007) that modern </w:t>
      </w:r>
      <w:r w:rsidR="00E8610D" w:rsidRPr="0021142C">
        <w:rPr>
          <w:bCs/>
          <w:lang w:val="en-US"/>
        </w:rPr>
        <w:t>behavioral</w:t>
      </w:r>
      <w:r w:rsidRPr="0021142C">
        <w:rPr>
          <w:bCs/>
          <w:lang w:val="en-US"/>
        </w:rPr>
        <w:t xml:space="preserve"> psychological treatments </w:t>
      </w:r>
      <w:r w:rsidR="00CE7D63" w:rsidRPr="0021142C">
        <w:rPr>
          <w:bCs/>
          <w:lang w:val="en-US"/>
        </w:rPr>
        <w:t>(e.g.,</w:t>
      </w:r>
      <w:r w:rsidRPr="0021142C">
        <w:rPr>
          <w:bCs/>
          <w:lang w:val="en-US"/>
        </w:rPr>
        <w:t xml:space="preserve"> </w:t>
      </w:r>
      <w:proofErr w:type="spellStart"/>
      <w:r w:rsidRPr="0021142C">
        <w:rPr>
          <w:bCs/>
          <w:lang w:val="en-US"/>
        </w:rPr>
        <w:t>Fantino</w:t>
      </w:r>
      <w:proofErr w:type="spellEnd"/>
      <w:r w:rsidRPr="0021142C">
        <w:rPr>
          <w:bCs/>
          <w:lang w:val="en-US"/>
        </w:rPr>
        <w:t xml:space="preserve"> and Logan</w:t>
      </w:r>
      <w:r w:rsidR="00CE7D63" w:rsidRPr="0021142C">
        <w:rPr>
          <w:bCs/>
          <w:lang w:val="en-US"/>
        </w:rPr>
        <w:t xml:space="preserve"> </w:t>
      </w:r>
      <w:r w:rsidRPr="0021142C">
        <w:rPr>
          <w:bCs/>
          <w:lang w:val="en-US"/>
        </w:rPr>
        <w:t>1979</w:t>
      </w:r>
      <w:r w:rsidR="00CE7D63" w:rsidRPr="0021142C">
        <w:rPr>
          <w:bCs/>
          <w:lang w:val="en-US"/>
        </w:rPr>
        <w:t>;</w:t>
      </w:r>
      <w:r w:rsidRPr="0021142C">
        <w:rPr>
          <w:bCs/>
          <w:lang w:val="en-US"/>
        </w:rPr>
        <w:t xml:space="preserve"> </w:t>
      </w:r>
      <w:proofErr w:type="spellStart"/>
      <w:r w:rsidRPr="0021142C">
        <w:rPr>
          <w:bCs/>
          <w:lang w:val="en-US"/>
        </w:rPr>
        <w:t>Rachlin</w:t>
      </w:r>
      <w:proofErr w:type="spellEnd"/>
      <w:r w:rsidR="00CE7D63" w:rsidRPr="0021142C">
        <w:rPr>
          <w:bCs/>
          <w:lang w:val="en-US"/>
        </w:rPr>
        <w:t xml:space="preserve"> </w:t>
      </w:r>
      <w:r w:rsidRPr="0021142C">
        <w:rPr>
          <w:bCs/>
          <w:lang w:val="en-US"/>
        </w:rPr>
        <w:t>1989) would not be able to explain.</w:t>
      </w:r>
    </w:p>
    <w:p w14:paraId="164EF9D2" w14:textId="77777777" w:rsidR="00FD39B4" w:rsidRPr="0021142C" w:rsidRDefault="00FD39B4" w:rsidP="00BB4444">
      <w:pPr>
        <w:spacing w:line="480" w:lineRule="auto"/>
        <w:jc w:val="both"/>
        <w:rPr>
          <w:bCs/>
          <w:lang w:val="en-US"/>
        </w:rPr>
      </w:pPr>
    </w:p>
    <w:p w14:paraId="6ED2AB1A" w14:textId="1EA523C0" w:rsidR="00FD39B4" w:rsidRPr="0021142C" w:rsidRDefault="003149B1" w:rsidP="00BB4444">
      <w:pPr>
        <w:spacing w:line="480" w:lineRule="auto"/>
        <w:jc w:val="both"/>
        <w:rPr>
          <w:bCs/>
          <w:lang w:val="en-US"/>
        </w:rPr>
      </w:pPr>
      <w:r w:rsidRPr="0021142C">
        <w:rPr>
          <w:bCs/>
          <w:i/>
          <w:iCs/>
          <w:lang w:val="en-US"/>
        </w:rPr>
        <w:t>Test 2</w:t>
      </w:r>
      <w:r w:rsidR="00FD39B4" w:rsidRPr="0021142C">
        <w:rPr>
          <w:bCs/>
          <w:lang w:val="en-US"/>
        </w:rPr>
        <w:t xml:space="preserve"> is also connected to link 4, and is about whether </w:t>
      </w:r>
      <w:r w:rsidR="00130A24" w:rsidRPr="0021142C">
        <w:rPr>
          <w:bCs/>
          <w:lang w:val="en-US"/>
        </w:rPr>
        <w:t>specific predictions follow from the model for specific public health contexts</w:t>
      </w:r>
      <w:r w:rsidR="00FD39B4" w:rsidRPr="0021142C">
        <w:rPr>
          <w:bCs/>
          <w:lang w:val="en-US"/>
        </w:rPr>
        <w:t>; as section 5 on prospect theory will illustrate, this is not always straightforward.</w:t>
      </w:r>
    </w:p>
    <w:p w14:paraId="22FAFF08" w14:textId="77777777" w:rsidR="00FD39B4" w:rsidRPr="0021142C" w:rsidRDefault="00FD39B4" w:rsidP="00BB4444">
      <w:pPr>
        <w:spacing w:line="480" w:lineRule="auto"/>
        <w:jc w:val="both"/>
        <w:rPr>
          <w:bCs/>
          <w:lang w:val="en-US"/>
        </w:rPr>
      </w:pPr>
    </w:p>
    <w:p w14:paraId="12168FAE" w14:textId="34DEE057" w:rsidR="00FD39B4" w:rsidRPr="0021142C" w:rsidRDefault="00FD39B4" w:rsidP="00BB4444">
      <w:pPr>
        <w:spacing w:line="480" w:lineRule="auto"/>
        <w:jc w:val="both"/>
        <w:rPr>
          <w:bCs/>
          <w:lang w:val="en-US"/>
        </w:rPr>
      </w:pPr>
      <w:r w:rsidRPr="0021142C">
        <w:rPr>
          <w:bCs/>
          <w:lang w:val="en-US"/>
        </w:rPr>
        <w:t xml:space="preserve">Evidence-based policy requires however that, in order for </w:t>
      </w:r>
      <w:r w:rsidR="00E8610D" w:rsidRPr="0021142C">
        <w:rPr>
          <w:bCs/>
          <w:lang w:val="en-US"/>
        </w:rPr>
        <w:t xml:space="preserve">a </w:t>
      </w:r>
      <w:r w:rsidR="00130A24" w:rsidRPr="0021142C">
        <w:rPr>
          <w:bCs/>
          <w:lang w:val="en-US"/>
        </w:rPr>
        <w:t>prediction</w:t>
      </w:r>
      <w:r w:rsidRPr="0021142C">
        <w:rPr>
          <w:bCs/>
          <w:lang w:val="en-US"/>
        </w:rPr>
        <w:t xml:space="preserve"> from </w:t>
      </w:r>
      <w:r w:rsidR="00EF6567" w:rsidRPr="0021142C">
        <w:rPr>
          <w:bCs/>
          <w:lang w:val="en-US"/>
        </w:rPr>
        <w:t>BE</w:t>
      </w:r>
      <w:r w:rsidRPr="0021142C">
        <w:rPr>
          <w:bCs/>
          <w:lang w:val="en-US"/>
        </w:rPr>
        <w:t xml:space="preserve"> to be relevant, it not only has to be accurately </w:t>
      </w:r>
      <w:r w:rsidR="00130A24" w:rsidRPr="0021142C">
        <w:rPr>
          <w:bCs/>
          <w:lang w:val="en-US"/>
        </w:rPr>
        <w:t xml:space="preserve">drawn </w:t>
      </w:r>
      <w:r w:rsidRPr="0021142C">
        <w:rPr>
          <w:bCs/>
          <w:lang w:val="en-US"/>
        </w:rPr>
        <w:t xml:space="preserve">from a </w:t>
      </w:r>
      <w:r w:rsidR="00E8610D" w:rsidRPr="0021142C">
        <w:rPr>
          <w:bCs/>
          <w:lang w:val="en-US"/>
        </w:rPr>
        <w:t>given behavioral</w:t>
      </w:r>
      <w:r w:rsidRPr="0021142C">
        <w:rPr>
          <w:bCs/>
          <w:lang w:val="en-US"/>
        </w:rPr>
        <w:t xml:space="preserve"> economic model</w:t>
      </w:r>
      <w:r w:rsidR="00130A24" w:rsidRPr="0021142C">
        <w:rPr>
          <w:bCs/>
          <w:lang w:val="en-US"/>
        </w:rPr>
        <w:t xml:space="preserve"> for a specific public health setting</w:t>
      </w:r>
      <w:r w:rsidRPr="0021142C">
        <w:rPr>
          <w:bCs/>
          <w:lang w:val="en-US"/>
        </w:rPr>
        <w:t xml:space="preserve">, but it also has to be supported by evidence. </w:t>
      </w:r>
      <w:r w:rsidR="003149B1" w:rsidRPr="0021142C">
        <w:rPr>
          <w:bCs/>
          <w:i/>
          <w:iCs/>
          <w:lang w:val="en-US"/>
        </w:rPr>
        <w:t>Test 3</w:t>
      </w:r>
      <w:r w:rsidRPr="0021142C">
        <w:rPr>
          <w:bCs/>
          <w:lang w:val="en-US"/>
        </w:rPr>
        <w:t xml:space="preserve"> is connected to links 5 and 6 and requires evidence of </w:t>
      </w:r>
      <w:r w:rsidR="00130A24" w:rsidRPr="0021142C">
        <w:rPr>
          <w:bCs/>
          <w:lang w:val="en-US"/>
        </w:rPr>
        <w:t xml:space="preserve">validation </w:t>
      </w:r>
      <w:r w:rsidRPr="0021142C">
        <w:rPr>
          <w:bCs/>
          <w:lang w:val="en-US"/>
        </w:rPr>
        <w:t xml:space="preserve">of a given </w:t>
      </w:r>
      <w:r w:rsidR="00E8610D" w:rsidRPr="0021142C">
        <w:rPr>
          <w:bCs/>
          <w:lang w:val="en-US"/>
        </w:rPr>
        <w:t>behavioral</w:t>
      </w:r>
      <w:r w:rsidRPr="0021142C">
        <w:rPr>
          <w:bCs/>
          <w:lang w:val="en-US"/>
        </w:rPr>
        <w:t xml:space="preserve"> economic model. </w:t>
      </w:r>
      <w:r w:rsidR="00E8610D" w:rsidRPr="0021142C">
        <w:rPr>
          <w:bCs/>
          <w:lang w:val="en-US"/>
        </w:rPr>
        <w:t>Obviously the extent to which</w:t>
      </w:r>
      <w:r w:rsidR="00471B22" w:rsidRPr="0021142C">
        <w:rPr>
          <w:bCs/>
          <w:lang w:val="en-US"/>
        </w:rPr>
        <w:t xml:space="preserve"> </w:t>
      </w:r>
      <w:r w:rsidR="00284B96" w:rsidRPr="0021142C">
        <w:rPr>
          <w:bCs/>
          <w:lang w:val="en-US"/>
        </w:rPr>
        <w:t xml:space="preserve">it is possible to test predictions that unambiguously validate a model may depend on the type of evidence available, whether in the form for example of randomized control trials, laboratory or field experiments, or econometric studies. </w:t>
      </w:r>
      <w:r w:rsidR="005B4900" w:rsidRPr="0021142C">
        <w:rPr>
          <w:bCs/>
          <w:lang w:val="en-US"/>
        </w:rPr>
        <w:t>Also</w:t>
      </w:r>
      <w:r w:rsidR="00C10E42" w:rsidRPr="0021142C">
        <w:rPr>
          <w:bCs/>
          <w:lang w:val="en-US"/>
        </w:rPr>
        <w:t xml:space="preserve">, in </w:t>
      </w:r>
      <w:r w:rsidR="00942570" w:rsidRPr="0021142C">
        <w:rPr>
          <w:bCs/>
          <w:lang w:val="en-US"/>
        </w:rPr>
        <w:t>considering evidence, there is no reason to be</w:t>
      </w:r>
      <w:r w:rsidR="00C10E42" w:rsidRPr="0021142C">
        <w:rPr>
          <w:bCs/>
          <w:lang w:val="en-US"/>
        </w:rPr>
        <w:t xml:space="preserve"> restricted to e</w:t>
      </w:r>
      <w:r w:rsidR="00942570" w:rsidRPr="0021142C">
        <w:rPr>
          <w:bCs/>
          <w:lang w:val="en-US"/>
        </w:rPr>
        <w:t xml:space="preserve">vidence from economics (let alone </w:t>
      </w:r>
      <w:r w:rsidR="00E8610D" w:rsidRPr="0021142C">
        <w:rPr>
          <w:bCs/>
          <w:lang w:val="en-US"/>
        </w:rPr>
        <w:t>behavioral</w:t>
      </w:r>
      <w:r w:rsidR="00942570" w:rsidRPr="0021142C">
        <w:rPr>
          <w:bCs/>
          <w:lang w:val="en-US"/>
        </w:rPr>
        <w:t xml:space="preserve"> and experimental evidence).</w:t>
      </w:r>
    </w:p>
    <w:p w14:paraId="0692BB6A" w14:textId="77777777" w:rsidR="00FD39B4" w:rsidRPr="0021142C" w:rsidRDefault="00FD39B4" w:rsidP="00BB4444">
      <w:pPr>
        <w:spacing w:line="480" w:lineRule="auto"/>
        <w:jc w:val="both"/>
        <w:rPr>
          <w:bCs/>
          <w:lang w:val="en-US"/>
        </w:rPr>
      </w:pPr>
    </w:p>
    <w:p w14:paraId="462C83A3" w14:textId="6F6E4C15" w:rsidR="00FD39B4" w:rsidRPr="0021142C" w:rsidRDefault="00FD39B4" w:rsidP="00BB4444">
      <w:pPr>
        <w:spacing w:line="480" w:lineRule="auto"/>
        <w:jc w:val="both"/>
        <w:rPr>
          <w:bCs/>
          <w:lang w:val="en-US"/>
        </w:rPr>
      </w:pPr>
      <w:r w:rsidRPr="0021142C">
        <w:rPr>
          <w:bCs/>
          <w:lang w:val="en-US"/>
        </w:rPr>
        <w:t xml:space="preserve">One source of confusion with empirical evidence is that sometimes empirical studies are motivated by policy (link 6) rather than by theory. As such, they are not tailored to test specific </w:t>
      </w:r>
      <w:r w:rsidR="00E8610D" w:rsidRPr="0021142C">
        <w:rPr>
          <w:bCs/>
          <w:lang w:val="en-US"/>
        </w:rPr>
        <w:t>behavioral</w:t>
      </w:r>
      <w:r w:rsidRPr="0021142C">
        <w:rPr>
          <w:bCs/>
          <w:lang w:val="en-US"/>
        </w:rPr>
        <w:t xml:space="preserve"> economic models, and as a result they provide only weak evidence in the context of Test 3</w:t>
      </w:r>
      <w:r w:rsidR="00417837" w:rsidRPr="0021142C">
        <w:rPr>
          <w:bCs/>
          <w:lang w:val="en-US"/>
        </w:rPr>
        <w:t>; section 4.3 will show an example of this</w:t>
      </w:r>
      <w:r w:rsidRPr="0021142C">
        <w:rPr>
          <w:bCs/>
          <w:lang w:val="en-US"/>
        </w:rPr>
        <w:t>.</w:t>
      </w:r>
    </w:p>
    <w:p w14:paraId="34C2CB8C" w14:textId="77777777" w:rsidR="00FD39B4" w:rsidRPr="0021142C" w:rsidRDefault="00FD39B4" w:rsidP="00BB4444">
      <w:pPr>
        <w:spacing w:line="480" w:lineRule="auto"/>
        <w:jc w:val="both"/>
        <w:rPr>
          <w:b/>
          <w:lang w:val="en-US"/>
        </w:rPr>
      </w:pPr>
    </w:p>
    <w:p w14:paraId="300790B4" w14:textId="2A793B64" w:rsidR="00FD39B4" w:rsidRPr="0021142C" w:rsidRDefault="00801473" w:rsidP="00BB4444">
      <w:pPr>
        <w:spacing w:line="480" w:lineRule="auto"/>
        <w:jc w:val="both"/>
        <w:rPr>
          <w:b/>
          <w:lang w:val="en-US"/>
        </w:rPr>
      </w:pPr>
      <w:r w:rsidRPr="0021142C">
        <w:rPr>
          <w:b/>
          <w:lang w:val="en-US"/>
        </w:rPr>
        <w:t xml:space="preserve">3. Applying Social Interactions Models to Health </w:t>
      </w:r>
      <w:r w:rsidR="00EC3855" w:rsidRPr="0021142C">
        <w:rPr>
          <w:b/>
          <w:lang w:val="en-US"/>
        </w:rPr>
        <w:t>Behavior</w:t>
      </w:r>
    </w:p>
    <w:p w14:paraId="1A5F1FCB" w14:textId="776D5A53" w:rsidR="00FD39B4" w:rsidRPr="0021142C" w:rsidRDefault="00801473" w:rsidP="00BB4444">
      <w:pPr>
        <w:spacing w:line="480" w:lineRule="auto"/>
        <w:jc w:val="both"/>
        <w:rPr>
          <w:i/>
          <w:lang w:val="en-US"/>
        </w:rPr>
      </w:pPr>
      <w:r w:rsidRPr="0021142C">
        <w:rPr>
          <w:i/>
          <w:lang w:val="en-US"/>
        </w:rPr>
        <w:t>3.</w:t>
      </w:r>
      <w:r w:rsidR="00FD39B4" w:rsidRPr="0021142C">
        <w:rPr>
          <w:i/>
          <w:lang w:val="en-US"/>
        </w:rPr>
        <w:t>1</w:t>
      </w:r>
      <w:r w:rsidR="001C438A" w:rsidRPr="0021142C">
        <w:rPr>
          <w:i/>
          <w:lang w:val="en-US"/>
        </w:rPr>
        <w:t>.</w:t>
      </w:r>
      <w:r w:rsidR="00FD39B4" w:rsidRPr="0021142C">
        <w:rPr>
          <w:i/>
          <w:lang w:val="en-US"/>
        </w:rPr>
        <w:t xml:space="preserve"> Social Interactions Models and Test 1</w:t>
      </w:r>
    </w:p>
    <w:p w14:paraId="71AF4212" w14:textId="69018712" w:rsidR="00FD39B4" w:rsidRPr="0021142C" w:rsidRDefault="00FD39B4" w:rsidP="00BB4444">
      <w:pPr>
        <w:spacing w:line="480" w:lineRule="auto"/>
        <w:jc w:val="both"/>
        <w:rPr>
          <w:lang w:val="en-US"/>
        </w:rPr>
      </w:pPr>
      <w:r w:rsidRPr="0021142C">
        <w:rPr>
          <w:lang w:val="en-US"/>
        </w:rPr>
        <w:t xml:space="preserve">Our first illustration arises from research in </w:t>
      </w:r>
      <w:r w:rsidR="00EF6567" w:rsidRPr="0021142C">
        <w:rPr>
          <w:lang w:val="en-US"/>
        </w:rPr>
        <w:t>BE</w:t>
      </w:r>
      <w:r w:rsidRPr="0021142C">
        <w:rPr>
          <w:lang w:val="en-US"/>
        </w:rPr>
        <w:t xml:space="preserve"> on how peers’ </w:t>
      </w:r>
      <w:r w:rsidR="00EC3855" w:rsidRPr="0021142C">
        <w:rPr>
          <w:lang w:val="en-US"/>
        </w:rPr>
        <w:t xml:space="preserve">behavior </w:t>
      </w:r>
      <w:r w:rsidRPr="0021142C">
        <w:rPr>
          <w:lang w:val="en-US"/>
        </w:rPr>
        <w:t>influences one’s be</w:t>
      </w:r>
      <w:r w:rsidR="00C25843" w:rsidRPr="0021142C">
        <w:rPr>
          <w:lang w:val="en-US"/>
        </w:rPr>
        <w:t>havior</w:t>
      </w:r>
      <w:r w:rsidRPr="0021142C">
        <w:rPr>
          <w:lang w:val="en-US"/>
        </w:rPr>
        <w:t xml:space="preserve">, which can be </w:t>
      </w:r>
      <w:r w:rsidR="00533B83" w:rsidRPr="0021142C">
        <w:rPr>
          <w:lang w:val="en-US"/>
        </w:rPr>
        <w:t>labelled</w:t>
      </w:r>
      <w:r w:rsidRPr="0021142C">
        <w:rPr>
          <w:lang w:val="en-US"/>
        </w:rPr>
        <w:t xml:space="preserve"> as </w:t>
      </w:r>
      <w:r w:rsidRPr="0021142C">
        <w:rPr>
          <w:i/>
          <w:iCs/>
          <w:lang w:val="en-US"/>
        </w:rPr>
        <w:t xml:space="preserve">peer effects </w:t>
      </w:r>
      <w:r w:rsidRPr="0021142C">
        <w:rPr>
          <w:lang w:val="en-US"/>
        </w:rPr>
        <w:t xml:space="preserve">for short. We consider three possible channels through which peer effects have been </w:t>
      </w:r>
      <w:r w:rsidR="00533B83" w:rsidRPr="0021142C">
        <w:rPr>
          <w:lang w:val="en-US"/>
        </w:rPr>
        <w:t>modelled</w:t>
      </w:r>
      <w:r w:rsidRPr="0021142C">
        <w:rPr>
          <w:lang w:val="en-US"/>
        </w:rPr>
        <w:t xml:space="preserve"> to affect health </w:t>
      </w:r>
      <w:r w:rsidR="00EC3855" w:rsidRPr="0021142C">
        <w:rPr>
          <w:lang w:val="en-US"/>
        </w:rPr>
        <w:t>behavior</w:t>
      </w:r>
      <w:r w:rsidRPr="0021142C">
        <w:rPr>
          <w:lang w:val="en-US"/>
        </w:rPr>
        <w:t xml:space="preserve">: </w:t>
      </w:r>
      <w:proofErr w:type="spellStart"/>
      <w:r w:rsidRPr="0021142C">
        <w:rPr>
          <w:lang w:val="en-US"/>
        </w:rPr>
        <w:t>i</w:t>
      </w:r>
      <w:proofErr w:type="spellEnd"/>
      <w:r w:rsidRPr="0021142C">
        <w:rPr>
          <w:lang w:val="en-US"/>
        </w:rPr>
        <w:t>) social learning; ii) social comparison; iii) self-esteem or moral concerns.</w:t>
      </w:r>
    </w:p>
    <w:p w14:paraId="6B86B176" w14:textId="77777777" w:rsidR="00FD39B4" w:rsidRPr="0021142C" w:rsidRDefault="00FD39B4" w:rsidP="00BB4444">
      <w:pPr>
        <w:spacing w:line="480" w:lineRule="auto"/>
        <w:jc w:val="both"/>
        <w:rPr>
          <w:lang w:val="en-US"/>
        </w:rPr>
      </w:pPr>
    </w:p>
    <w:p w14:paraId="2952DEB3" w14:textId="174AC0F6" w:rsidR="00FD39B4" w:rsidRPr="0021142C" w:rsidRDefault="00FD39B4" w:rsidP="00BB4444">
      <w:pPr>
        <w:spacing w:line="480" w:lineRule="auto"/>
        <w:jc w:val="both"/>
        <w:rPr>
          <w:lang w:val="en-US"/>
        </w:rPr>
      </w:pPr>
      <w:r w:rsidRPr="0021142C">
        <w:rPr>
          <w:i/>
          <w:iCs/>
          <w:lang w:val="en-US"/>
        </w:rPr>
        <w:t>Social learning</w:t>
      </w:r>
      <w:r w:rsidRPr="0021142C">
        <w:rPr>
          <w:lang w:val="en-US"/>
        </w:rPr>
        <w:t xml:space="preserve"> refers to the idea that what others do has information that is relevant for one’s choices</w:t>
      </w:r>
      <w:r w:rsidR="00012DC7" w:rsidRPr="0021142C">
        <w:rPr>
          <w:lang w:val="en-US"/>
        </w:rPr>
        <w:t xml:space="preserve">, particularly when she is uncertain about the (health) consequence of her </w:t>
      </w:r>
      <w:r w:rsidR="00EC3855" w:rsidRPr="0021142C">
        <w:rPr>
          <w:lang w:val="en-US"/>
        </w:rPr>
        <w:t xml:space="preserve">behavior </w:t>
      </w:r>
      <w:r w:rsidRPr="0021142C">
        <w:rPr>
          <w:lang w:val="en-US"/>
        </w:rPr>
        <w:t>(</w:t>
      </w:r>
      <w:proofErr w:type="spellStart"/>
      <w:r w:rsidR="00B756AB" w:rsidRPr="0021142C">
        <w:rPr>
          <w:lang w:val="en-US"/>
        </w:rPr>
        <w:t>Bikhchandani</w:t>
      </w:r>
      <w:proofErr w:type="spellEnd"/>
      <w:r w:rsidR="00B756AB" w:rsidRPr="0021142C">
        <w:rPr>
          <w:lang w:val="en-US"/>
        </w:rPr>
        <w:t xml:space="preserve"> et </w:t>
      </w:r>
      <w:r w:rsidR="00792C77" w:rsidRPr="0021142C">
        <w:rPr>
          <w:lang w:val="en-US"/>
        </w:rPr>
        <w:t>al</w:t>
      </w:r>
      <w:r w:rsidR="00710194" w:rsidRPr="0021142C">
        <w:rPr>
          <w:lang w:val="en-US"/>
        </w:rPr>
        <w:t>.</w:t>
      </w:r>
      <w:r w:rsidR="00B756AB" w:rsidRPr="0021142C">
        <w:rPr>
          <w:lang w:val="en-US"/>
        </w:rPr>
        <w:t xml:space="preserve"> 1992</w:t>
      </w:r>
      <w:r w:rsidRPr="0021142C">
        <w:rPr>
          <w:lang w:val="en-US"/>
        </w:rPr>
        <w:t xml:space="preserve">). </w:t>
      </w:r>
      <w:r w:rsidR="00B72B2A" w:rsidRPr="0021142C">
        <w:rPr>
          <w:lang w:val="en-US"/>
        </w:rPr>
        <w:t xml:space="preserve">The inspiration for this comes from social learning theory in psychology, which has a long tradition (e.g., Bandura </w:t>
      </w:r>
      <w:r w:rsidR="000E0E2F" w:rsidRPr="0021142C">
        <w:rPr>
          <w:lang w:val="en-US"/>
        </w:rPr>
        <w:t>et al.</w:t>
      </w:r>
      <w:r w:rsidR="00B72B2A" w:rsidRPr="0021142C">
        <w:rPr>
          <w:lang w:val="en-US"/>
        </w:rPr>
        <w:t xml:space="preserve"> 1961; Bandura 1977). </w:t>
      </w:r>
    </w:p>
    <w:p w14:paraId="6B3642FB" w14:textId="77777777" w:rsidR="00FD39B4" w:rsidRPr="0021142C" w:rsidRDefault="00FD39B4" w:rsidP="00BB4444">
      <w:pPr>
        <w:spacing w:line="480" w:lineRule="auto"/>
        <w:jc w:val="both"/>
        <w:rPr>
          <w:lang w:val="en-US"/>
        </w:rPr>
      </w:pPr>
    </w:p>
    <w:p w14:paraId="1BB47BBD" w14:textId="2DF34370" w:rsidR="00FD39B4" w:rsidRPr="0021142C" w:rsidRDefault="00FD39B4" w:rsidP="00BB4444">
      <w:pPr>
        <w:spacing w:line="480" w:lineRule="auto"/>
        <w:jc w:val="both"/>
        <w:rPr>
          <w:lang w:val="en-US"/>
        </w:rPr>
      </w:pPr>
      <w:r w:rsidRPr="0021142C">
        <w:rPr>
          <w:i/>
          <w:iCs/>
          <w:lang w:val="en-US"/>
        </w:rPr>
        <w:t>Social comparison</w:t>
      </w:r>
      <w:r w:rsidRPr="0021142C">
        <w:rPr>
          <w:lang w:val="en-US"/>
        </w:rPr>
        <w:t xml:space="preserve"> models reflect the idea that preferences are shaped by comparisons of oneself with others leading to conformism. The average </w:t>
      </w:r>
      <w:r w:rsidR="00EC3855" w:rsidRPr="0021142C">
        <w:rPr>
          <w:lang w:val="en-US"/>
        </w:rPr>
        <w:t xml:space="preserve">behavior </w:t>
      </w:r>
      <w:r w:rsidRPr="0021142C">
        <w:rPr>
          <w:lang w:val="en-US"/>
        </w:rPr>
        <w:t xml:space="preserve">in the society provides a reference point, and deviating from the reference </w:t>
      </w:r>
      <w:r w:rsidR="00012DC7" w:rsidRPr="0021142C">
        <w:rPr>
          <w:lang w:val="en-US"/>
        </w:rPr>
        <w:t xml:space="preserve">point </w:t>
      </w:r>
      <w:r w:rsidRPr="0021142C">
        <w:rPr>
          <w:lang w:val="en-US"/>
        </w:rPr>
        <w:t>decreases one’s utility</w:t>
      </w:r>
      <w:r w:rsidR="00012DC7" w:rsidRPr="0021142C">
        <w:rPr>
          <w:lang w:val="en-US"/>
        </w:rPr>
        <w:t xml:space="preserve"> (</w:t>
      </w:r>
      <w:proofErr w:type="spellStart"/>
      <w:r w:rsidR="00012DC7" w:rsidRPr="0021142C">
        <w:rPr>
          <w:lang w:val="en-US"/>
        </w:rPr>
        <w:t>Blanchflower</w:t>
      </w:r>
      <w:proofErr w:type="spellEnd"/>
      <w:r w:rsidR="00012DC7" w:rsidRPr="0021142C">
        <w:rPr>
          <w:lang w:val="en-US"/>
        </w:rPr>
        <w:t xml:space="preserve"> et al. 2009)</w:t>
      </w:r>
      <w:r w:rsidRPr="0021142C">
        <w:rPr>
          <w:lang w:val="en-US"/>
        </w:rPr>
        <w:t xml:space="preserve">. A slightly different way to look at the social comparison motive is that conformity may construct peer ties, which itself can be desired (i.e. social capital). </w:t>
      </w:r>
    </w:p>
    <w:p w14:paraId="75FBD281" w14:textId="77777777" w:rsidR="00FD39B4" w:rsidRPr="0021142C" w:rsidRDefault="00FD39B4" w:rsidP="00BB4444">
      <w:pPr>
        <w:spacing w:line="480" w:lineRule="auto"/>
        <w:jc w:val="both"/>
        <w:rPr>
          <w:lang w:val="en-US"/>
        </w:rPr>
      </w:pPr>
    </w:p>
    <w:p w14:paraId="58C79EB1" w14:textId="1246F167" w:rsidR="00FD39B4" w:rsidRPr="0021142C" w:rsidRDefault="00FD39B4" w:rsidP="00BB4444">
      <w:pPr>
        <w:spacing w:line="480" w:lineRule="auto"/>
        <w:jc w:val="both"/>
        <w:rPr>
          <w:lang w:val="en-US"/>
        </w:rPr>
      </w:pPr>
      <w:r w:rsidRPr="0021142C">
        <w:rPr>
          <w:lang w:val="en-US"/>
        </w:rPr>
        <w:t xml:space="preserve">In </w:t>
      </w:r>
      <w:r w:rsidRPr="0021142C">
        <w:rPr>
          <w:i/>
          <w:iCs/>
          <w:lang w:val="en-US"/>
        </w:rPr>
        <w:t xml:space="preserve">self-esteem, moral and social scrutiny </w:t>
      </w:r>
      <w:r w:rsidRPr="0021142C">
        <w:rPr>
          <w:lang w:val="en-US"/>
        </w:rPr>
        <w:t xml:space="preserve">models, a norm level of </w:t>
      </w:r>
      <w:r w:rsidR="00EC3855" w:rsidRPr="0021142C">
        <w:rPr>
          <w:lang w:val="en-US"/>
        </w:rPr>
        <w:t xml:space="preserve">behavior </w:t>
      </w:r>
      <w:r w:rsidRPr="0021142C">
        <w:rPr>
          <w:lang w:val="en-US"/>
        </w:rPr>
        <w:t xml:space="preserve">is exogenously given in a social group, and an individual loses utility if he or she is seen as deviating from the norm. </w:t>
      </w:r>
      <w:r w:rsidR="00012DC7" w:rsidRPr="0021142C">
        <w:rPr>
          <w:lang w:val="en-US"/>
        </w:rPr>
        <w:t xml:space="preserve">For example, </w:t>
      </w:r>
      <w:proofErr w:type="spellStart"/>
      <w:r w:rsidR="00B756AB" w:rsidRPr="0021142C">
        <w:rPr>
          <w:lang w:val="en-US"/>
        </w:rPr>
        <w:t>Dragone</w:t>
      </w:r>
      <w:proofErr w:type="spellEnd"/>
      <w:r w:rsidR="00B756AB" w:rsidRPr="0021142C">
        <w:rPr>
          <w:lang w:val="en-US"/>
        </w:rPr>
        <w:t xml:space="preserve"> and </w:t>
      </w:r>
      <w:proofErr w:type="spellStart"/>
      <w:r w:rsidR="00B756AB" w:rsidRPr="0021142C">
        <w:rPr>
          <w:lang w:val="en-US"/>
        </w:rPr>
        <w:t>Savorelli</w:t>
      </w:r>
      <w:proofErr w:type="spellEnd"/>
      <w:r w:rsidR="00B756AB" w:rsidRPr="0021142C">
        <w:rPr>
          <w:lang w:val="en-US"/>
        </w:rPr>
        <w:t xml:space="preserve"> (2012)</w:t>
      </w:r>
      <w:r w:rsidRPr="0021142C">
        <w:rPr>
          <w:lang w:val="en-US"/>
        </w:rPr>
        <w:t xml:space="preserve"> investigate the effect of manipulating the norm level of body shape by legislations such as banning underweight fashion models. Of course, social psychologists have long recognized the significance of social interactions (e.g., Asch 1955; Bond and Smith 1996). These </w:t>
      </w:r>
      <w:r w:rsidR="00EF6567" w:rsidRPr="0021142C">
        <w:rPr>
          <w:lang w:val="en-US"/>
        </w:rPr>
        <w:t>BE</w:t>
      </w:r>
      <w:r w:rsidRPr="0021142C">
        <w:rPr>
          <w:lang w:val="en-US"/>
        </w:rPr>
        <w:t xml:space="preserve"> models potentially add specific policy relevant predictions. For example, </w:t>
      </w:r>
      <w:r w:rsidR="00D45A50" w:rsidRPr="0021142C">
        <w:rPr>
          <w:lang w:val="en-US"/>
        </w:rPr>
        <w:t>and following</w:t>
      </w:r>
      <w:r w:rsidRPr="0021142C">
        <w:rPr>
          <w:lang w:val="en-US"/>
        </w:rPr>
        <w:t xml:space="preserve"> </w:t>
      </w:r>
      <w:proofErr w:type="spellStart"/>
      <w:r w:rsidRPr="0021142C">
        <w:rPr>
          <w:lang w:val="en-US"/>
        </w:rPr>
        <w:t>Dragone</w:t>
      </w:r>
      <w:proofErr w:type="spellEnd"/>
      <w:r w:rsidRPr="0021142C">
        <w:rPr>
          <w:lang w:val="en-US"/>
        </w:rPr>
        <w:t xml:space="preserve"> and </w:t>
      </w:r>
      <w:proofErr w:type="spellStart"/>
      <w:r w:rsidRPr="0021142C">
        <w:rPr>
          <w:lang w:val="en-US"/>
        </w:rPr>
        <w:t>Savorelli</w:t>
      </w:r>
      <w:proofErr w:type="spellEnd"/>
      <w:r w:rsidRPr="0021142C">
        <w:rPr>
          <w:lang w:val="en-US"/>
        </w:rPr>
        <w:t xml:space="preserve"> (2012), public health marketing policies to reduce the risk of anorexia may lead to negative health costs in terms of promoting obesity that more than offset the health benefits. Because of this, there is at least the potential for Test 1 to be passed, i.e. for insights to be provided that would not just be gleaned from non-</w:t>
      </w:r>
      <w:r w:rsidR="00EF6567" w:rsidRPr="0021142C">
        <w:rPr>
          <w:lang w:val="en-US"/>
        </w:rPr>
        <w:t>BE</w:t>
      </w:r>
      <w:r w:rsidRPr="0021142C">
        <w:rPr>
          <w:lang w:val="en-US"/>
        </w:rPr>
        <w:t xml:space="preserve"> research.</w:t>
      </w:r>
    </w:p>
    <w:p w14:paraId="7D1FC1A4" w14:textId="77777777" w:rsidR="00FD39B4" w:rsidRPr="0021142C" w:rsidRDefault="00FD39B4" w:rsidP="00BB4444">
      <w:pPr>
        <w:spacing w:line="480" w:lineRule="auto"/>
        <w:jc w:val="both"/>
        <w:rPr>
          <w:lang w:val="en-US"/>
        </w:rPr>
      </w:pPr>
    </w:p>
    <w:p w14:paraId="4654AC82" w14:textId="392F1E89" w:rsidR="00FD39B4" w:rsidRPr="0021142C" w:rsidRDefault="00801473" w:rsidP="00BB4444">
      <w:pPr>
        <w:spacing w:line="480" w:lineRule="auto"/>
        <w:jc w:val="both"/>
        <w:rPr>
          <w:i/>
          <w:lang w:val="en-US"/>
        </w:rPr>
      </w:pPr>
      <w:r w:rsidRPr="0021142C">
        <w:rPr>
          <w:i/>
          <w:lang w:val="en-US"/>
        </w:rPr>
        <w:t>3.</w:t>
      </w:r>
      <w:r w:rsidR="00FD39B4" w:rsidRPr="0021142C">
        <w:rPr>
          <w:i/>
          <w:lang w:val="en-US"/>
        </w:rPr>
        <w:t>2</w:t>
      </w:r>
      <w:r w:rsidR="001C438A" w:rsidRPr="0021142C">
        <w:rPr>
          <w:i/>
          <w:lang w:val="en-US"/>
        </w:rPr>
        <w:t>.</w:t>
      </w:r>
      <w:r w:rsidR="00FD39B4" w:rsidRPr="0021142C">
        <w:rPr>
          <w:i/>
          <w:lang w:val="en-US"/>
        </w:rPr>
        <w:t xml:space="preserve"> Combining motivations from social interactions models</w:t>
      </w:r>
    </w:p>
    <w:p w14:paraId="54672DE1" w14:textId="32AF23AA" w:rsidR="00FD39B4" w:rsidRPr="0021142C" w:rsidRDefault="00FD39B4" w:rsidP="00BB4444">
      <w:pPr>
        <w:spacing w:line="480" w:lineRule="auto"/>
        <w:jc w:val="both"/>
        <w:rPr>
          <w:lang w:val="en-US"/>
        </w:rPr>
      </w:pPr>
      <w:r w:rsidRPr="0021142C">
        <w:rPr>
          <w:lang w:val="en-US"/>
        </w:rPr>
        <w:t xml:space="preserve">We present a </w:t>
      </w:r>
      <w:r w:rsidR="00D45A50" w:rsidRPr="0021142C">
        <w:rPr>
          <w:lang w:val="en-US"/>
        </w:rPr>
        <w:t xml:space="preserve">composite </w:t>
      </w:r>
      <w:r w:rsidR="002B6826" w:rsidRPr="0021142C">
        <w:rPr>
          <w:lang w:val="en-US"/>
        </w:rPr>
        <w:t xml:space="preserve">representation </w:t>
      </w:r>
      <w:r w:rsidRPr="0021142C">
        <w:rPr>
          <w:lang w:val="en-US"/>
        </w:rPr>
        <w:t>which describes how health be</w:t>
      </w:r>
      <w:r w:rsidR="00C25843" w:rsidRPr="0021142C">
        <w:rPr>
          <w:lang w:val="en-US"/>
        </w:rPr>
        <w:t>havior</w:t>
      </w:r>
      <w:r w:rsidRPr="0021142C">
        <w:rPr>
          <w:lang w:val="en-US"/>
        </w:rPr>
        <w:t xml:space="preserve"> is influenced by social interactions. Social influence on health </w:t>
      </w:r>
      <w:r w:rsidR="00EC3855" w:rsidRPr="0021142C">
        <w:rPr>
          <w:lang w:val="en-US"/>
        </w:rPr>
        <w:t xml:space="preserve">behavior </w:t>
      </w:r>
      <w:r w:rsidRPr="0021142C">
        <w:rPr>
          <w:lang w:val="en-US"/>
        </w:rPr>
        <w:t xml:space="preserve">including these three motives has been investigated separately in the literature. In this sub-section we combine the three motives within one simple framework. For simplicity, we do not consider pecuniary motives of health </w:t>
      </w:r>
      <w:r w:rsidR="00EC3855" w:rsidRPr="0021142C">
        <w:rPr>
          <w:lang w:val="en-US"/>
        </w:rPr>
        <w:t xml:space="preserve">behavior </w:t>
      </w:r>
      <w:r w:rsidRPr="0021142C">
        <w:rPr>
          <w:lang w:val="en-US"/>
        </w:rPr>
        <w:t xml:space="preserve">(such as cost of medical treatments). We introduce two types of norms, following </w:t>
      </w:r>
      <w:proofErr w:type="spellStart"/>
      <w:r w:rsidRPr="0021142C">
        <w:rPr>
          <w:lang w:val="en-US"/>
        </w:rPr>
        <w:t>Bicchieri</w:t>
      </w:r>
      <w:proofErr w:type="spellEnd"/>
      <w:r w:rsidRPr="0021142C">
        <w:rPr>
          <w:lang w:val="en-US"/>
        </w:rPr>
        <w:t xml:space="preserve"> (2006)</w:t>
      </w:r>
      <w:r w:rsidR="005118BF" w:rsidRPr="0021142C">
        <w:rPr>
          <w:lang w:val="en-US"/>
        </w:rPr>
        <w:t xml:space="preserve"> and </w:t>
      </w:r>
      <w:proofErr w:type="spellStart"/>
      <w:r w:rsidR="005118BF" w:rsidRPr="0021142C">
        <w:rPr>
          <w:lang w:val="en-US"/>
        </w:rPr>
        <w:t>Bicchieri</w:t>
      </w:r>
      <w:proofErr w:type="spellEnd"/>
      <w:r w:rsidR="005118BF" w:rsidRPr="0021142C">
        <w:rPr>
          <w:lang w:val="en-US"/>
        </w:rPr>
        <w:t xml:space="preserve"> and Xiao (2009)</w:t>
      </w:r>
      <w:r w:rsidRPr="0021142C">
        <w:rPr>
          <w:lang w:val="en-US"/>
        </w:rPr>
        <w:t>. The first norm is based on empirical expectation</w:t>
      </w:r>
      <w:r w:rsidR="006A4D6E" w:rsidRPr="0021142C">
        <w:rPr>
          <w:lang w:val="en-US"/>
        </w:rPr>
        <w:t>s</w:t>
      </w:r>
      <w:r w:rsidRPr="0021142C">
        <w:rPr>
          <w:lang w:val="en-US"/>
        </w:rPr>
        <w:t xml:space="preserve">, i.e. the observation of peers’ actual </w:t>
      </w:r>
      <w:r w:rsidR="00EC3855" w:rsidRPr="0021142C">
        <w:rPr>
          <w:lang w:val="en-US"/>
        </w:rPr>
        <w:t>behavior</w:t>
      </w:r>
      <w:r w:rsidRPr="0021142C">
        <w:rPr>
          <w:lang w:val="en-US"/>
        </w:rPr>
        <w:t>. The second norm is based on normative expectation</w:t>
      </w:r>
      <w:r w:rsidR="006A4D6E" w:rsidRPr="0021142C">
        <w:rPr>
          <w:lang w:val="en-US"/>
        </w:rPr>
        <w:t>s</w:t>
      </w:r>
      <w:r w:rsidRPr="0021142C">
        <w:rPr>
          <w:lang w:val="en-US"/>
        </w:rPr>
        <w:t>, i.e. the observation of peers’ desire or what peers expect him</w:t>
      </w:r>
      <w:r w:rsidR="00131F3D" w:rsidRPr="0021142C">
        <w:rPr>
          <w:lang w:val="en-US"/>
        </w:rPr>
        <w:t xml:space="preserve"> or her</w:t>
      </w:r>
      <w:r w:rsidRPr="0021142C">
        <w:rPr>
          <w:lang w:val="en-US"/>
        </w:rPr>
        <w:t xml:space="preserve"> (not) to behave. These two norms are often distinctive in health contexts. For example, </w:t>
      </w:r>
      <w:r w:rsidR="004C4939" w:rsidRPr="0021142C">
        <w:rPr>
          <w:lang w:val="en-US"/>
        </w:rPr>
        <w:t>there are</w:t>
      </w:r>
      <w:r w:rsidRPr="0021142C">
        <w:rPr>
          <w:lang w:val="en-US"/>
        </w:rPr>
        <w:t xml:space="preserve"> people who smoke </w:t>
      </w:r>
      <w:r w:rsidR="004C4939" w:rsidRPr="0021142C">
        <w:rPr>
          <w:lang w:val="en-US"/>
        </w:rPr>
        <w:t xml:space="preserve">when they observe their peers smoking, </w:t>
      </w:r>
      <w:r w:rsidRPr="0021142C">
        <w:rPr>
          <w:lang w:val="en-US"/>
        </w:rPr>
        <w:t xml:space="preserve">but share the idea that </w:t>
      </w:r>
      <w:r w:rsidR="004C4939" w:rsidRPr="0021142C">
        <w:rPr>
          <w:lang w:val="en-US"/>
        </w:rPr>
        <w:t xml:space="preserve">they </w:t>
      </w:r>
      <w:r w:rsidRPr="0021142C">
        <w:rPr>
          <w:lang w:val="en-US"/>
        </w:rPr>
        <w:t>should not smoke.</w:t>
      </w:r>
    </w:p>
    <w:p w14:paraId="1557E7BC" w14:textId="77777777" w:rsidR="00FD39B4" w:rsidRPr="0021142C" w:rsidRDefault="00FD39B4" w:rsidP="00BB4444">
      <w:pPr>
        <w:spacing w:line="480" w:lineRule="auto"/>
        <w:jc w:val="both"/>
        <w:rPr>
          <w:lang w:val="en-US"/>
        </w:rPr>
      </w:pPr>
      <w:r w:rsidRPr="0021142C">
        <w:rPr>
          <w:lang w:val="en-US"/>
        </w:rPr>
        <w:t xml:space="preserve"> </w:t>
      </w:r>
    </w:p>
    <w:p w14:paraId="6861C65A" w14:textId="0E22D4E3" w:rsidR="00FD39B4" w:rsidRPr="0021142C" w:rsidRDefault="00FD39B4" w:rsidP="00BB4444">
      <w:pPr>
        <w:spacing w:line="480" w:lineRule="auto"/>
        <w:jc w:val="both"/>
        <w:rPr>
          <w:lang w:val="en-US"/>
        </w:rPr>
      </w:pPr>
      <w:r w:rsidRPr="0021142C">
        <w:rPr>
          <w:lang w:val="en-US"/>
        </w:rPr>
        <w:t xml:space="preserve">Consider a person j’s health </w:t>
      </w:r>
      <w:proofErr w:type="gramStart"/>
      <w:r w:rsidR="00EC3855" w:rsidRPr="0021142C">
        <w:rPr>
          <w:lang w:val="en-US"/>
        </w:rPr>
        <w:t xml:space="preserve">behavior </w:t>
      </w:r>
      <w:proofErr w:type="gramEnd"/>
      <m:oMath>
        <m:sSub>
          <m:sSubPr>
            <m:ctrlPr>
              <w:rPr>
                <w:rFonts w:ascii="Cambria Math" w:hAnsi="Cambria Math"/>
                <w:lang w:val="en-US"/>
              </w:rPr>
            </m:ctrlPr>
          </m:sSubPr>
          <m:e>
            <m:r>
              <m:rPr>
                <m:sty m:val="p"/>
              </m:rPr>
              <w:rPr>
                <w:rFonts w:ascii="Cambria Math"/>
                <w:lang w:val="en-US"/>
              </w:rPr>
              <m:t>x</m:t>
            </m:r>
          </m:e>
          <m:sub>
            <m:r>
              <m:rPr>
                <m:sty m:val="p"/>
              </m:rPr>
              <w:rPr>
                <w:rFonts w:ascii="Cambria Math"/>
                <w:lang w:val="en-US"/>
              </w:rPr>
              <m:t>j</m:t>
            </m:r>
          </m:sub>
        </m:sSub>
      </m:oMath>
      <w:r w:rsidRPr="0021142C">
        <w:rPr>
          <w:lang w:val="en-US"/>
        </w:rPr>
        <w:t xml:space="preserve">, </w:t>
      </w:r>
      <m:oMath>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oMath>
      <w:r w:rsidRPr="0021142C">
        <w:rPr>
          <w:lang w:val="en-US"/>
        </w:rPr>
        <w:t xml:space="preserve"> denoting the empirical expectation of peers’ </w:t>
      </w:r>
      <w:r w:rsidR="00EC3855" w:rsidRPr="0021142C">
        <w:rPr>
          <w:lang w:val="en-US"/>
        </w:rPr>
        <w:t>behavior</w:t>
      </w:r>
      <w:r w:rsidRPr="0021142C">
        <w:rPr>
          <w:lang w:val="en-US"/>
        </w:rPr>
        <w:t xml:space="preserve">, and </w:t>
      </w:r>
      <m:oMath>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N</m:t>
            </m:r>
          </m:sup>
        </m:sSubSup>
      </m:oMath>
      <w:r w:rsidRPr="0021142C">
        <w:rPr>
          <w:lang w:val="en-US"/>
        </w:rPr>
        <w:t xml:space="preserve"> capturing the normative expectation. The individual maximizes the following utility by choosing the </w:t>
      </w:r>
      <w:proofErr w:type="gramStart"/>
      <w:r w:rsidRPr="0021142C">
        <w:rPr>
          <w:lang w:val="en-US"/>
        </w:rPr>
        <w:t xml:space="preserve">optimal </w:t>
      </w:r>
      <w:proofErr w:type="gramEnd"/>
      <m:oMath>
        <m:sSub>
          <m:sSubPr>
            <m:ctrlPr>
              <w:rPr>
                <w:rFonts w:ascii="Cambria Math" w:hAnsi="Cambria Math"/>
                <w:lang w:val="en-US"/>
              </w:rPr>
            </m:ctrlPr>
          </m:sSubPr>
          <m:e>
            <m:r>
              <m:rPr>
                <m:sty m:val="p"/>
              </m:rPr>
              <w:rPr>
                <w:rFonts w:ascii="Cambria Math"/>
                <w:lang w:val="en-US"/>
              </w:rPr>
              <m:t>x</m:t>
            </m:r>
          </m:e>
          <m:sub>
            <m:r>
              <m:rPr>
                <m:sty m:val="p"/>
              </m:rPr>
              <w:rPr>
                <w:rFonts w:ascii="Cambria Math"/>
                <w:lang w:val="en-US"/>
              </w:rPr>
              <m:t>j</m:t>
            </m:r>
          </m:sub>
        </m:sSub>
      </m:oMath>
      <w:r w:rsidRPr="0021142C">
        <w:rPr>
          <w:lang w:val="en-US"/>
        </w:rPr>
        <w:t>:</w:t>
      </w:r>
    </w:p>
    <w:p w14:paraId="0A03473C" w14:textId="77777777" w:rsidR="00FD39B4" w:rsidRPr="0021142C" w:rsidRDefault="00ED0432" w:rsidP="00BB4444">
      <w:pPr>
        <w:spacing w:line="480" w:lineRule="auto"/>
        <w:jc w:val="both"/>
        <w:rPr>
          <w:lang w:val="en-US"/>
        </w:rPr>
      </w:pPr>
      <m:oMathPara>
        <m:oMath>
          <m:sSub>
            <m:sSubPr>
              <m:ctrlPr>
                <w:rPr>
                  <w:rFonts w:ascii="Cambria Math" w:hAnsi="Cambria Math"/>
                  <w:lang w:val="en-US"/>
                </w:rPr>
              </m:ctrlPr>
            </m:sSubPr>
            <m:e>
              <m:r>
                <m:rPr>
                  <m:sty m:val="p"/>
                </m:rPr>
                <w:rPr>
                  <w:rFonts w:ascii="Cambria Math"/>
                  <w:lang w:val="en-US"/>
                </w:rPr>
                <m:t>U</m:t>
              </m:r>
            </m:e>
            <m:sub>
              <m:r>
                <m:rPr>
                  <m:sty m:val="p"/>
                </m:rPr>
                <w:rPr>
                  <w:rFonts w:ascii="Cambria Math"/>
                  <w:lang w:val="en-US"/>
                </w:rPr>
                <m:t>j</m:t>
              </m:r>
            </m:sub>
          </m:sSub>
          <m:r>
            <m:rPr>
              <m:sty m:val="p"/>
            </m:rPr>
            <w:rPr>
              <w:rFonts w:ascii="Cambria Math"/>
              <w:lang w:val="en-US"/>
            </w:rPr>
            <m:t>=</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hint="eastAsia"/>
                  <w:lang w:val="en-US"/>
                </w:rPr>
                <m:t>α</m:t>
              </m:r>
            </m:num>
            <m:den>
              <m:r>
                <m:rPr>
                  <m:sty m:val="p"/>
                </m:rPr>
                <w:rPr>
                  <w:rFonts w:ascii="Cambria Math"/>
                  <w:lang w:val="en-US"/>
                </w:rPr>
                <m:t>2</m:t>
              </m:r>
            </m:den>
          </m:f>
          <m:sSup>
            <m:sSupPr>
              <m:ctrlPr>
                <w:rPr>
                  <w:rFonts w:ascii="Cambria Math" w:hAnsi="Cambria Math"/>
                  <w:lang w:val="en-US"/>
                </w:rPr>
              </m:ctrlPr>
            </m:sSupPr>
            <m:e>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lang w:val="en-US"/>
                        </w:rPr>
                        <m:t>x</m:t>
                      </m:r>
                    </m:e>
                    <m:sub>
                      <m:r>
                        <m:rPr>
                          <m:sty m:val="p"/>
                        </m:rPr>
                        <w:rPr>
                          <w:rFonts w:ascii="Cambria Math"/>
                          <w:lang w:val="en-US"/>
                        </w:rPr>
                        <m:t>j</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lang w:val="en-US"/>
                        </w:rPr>
                        <m:t>x</m:t>
                      </m:r>
                    </m:e>
                    <m:sub>
                      <m:r>
                        <m:rPr>
                          <m:sty m:val="p"/>
                        </m:rPr>
                        <w:rPr>
                          <w:rFonts w:ascii="Cambria Math"/>
                          <w:lang w:val="en-US"/>
                        </w:rPr>
                        <m:t>j</m:t>
                      </m:r>
                    </m:sub>
                    <m:sup>
                      <m:r>
                        <m:rPr>
                          <m:sty m:val="p"/>
                        </m:rPr>
                        <w:rPr>
                          <w:rFonts w:ascii="Cambria Math"/>
                          <w:lang w:val="en-US"/>
                        </w:rPr>
                        <m:t>0</m:t>
                      </m:r>
                    </m:sup>
                  </m:sSubSup>
                  <m:d>
                    <m:dPr>
                      <m:ctrlPr>
                        <w:rPr>
                          <w:rFonts w:ascii="Cambria Math" w:hAnsi="Cambria Math"/>
                          <w:lang w:val="en-US"/>
                        </w:rPr>
                      </m:ctrlPr>
                    </m:dPr>
                    <m:e>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r>
                        <m:rPr>
                          <m:sty m:val="p"/>
                        </m:rPr>
                        <w:rPr>
                          <w:rFonts w:ascii="Cambria Math"/>
                          <w:lang w:val="en-US"/>
                        </w:rPr>
                        <m:t>,</m:t>
                      </m:r>
                      <m:r>
                        <m:rPr>
                          <m:sty m:val="p"/>
                        </m:rPr>
                        <w:rPr>
                          <w:rFonts w:ascii="Cambria Math" w:hAnsi="Cambria Math"/>
                          <w:lang w:val="en-US"/>
                        </w:rPr>
                        <m:t>ϵ</m:t>
                      </m:r>
                    </m:e>
                  </m:d>
                </m:e>
              </m:d>
            </m:e>
            <m:sup>
              <m:r>
                <m:rPr>
                  <m:sty m:val="p"/>
                </m:rPr>
                <w:rPr>
                  <w:rFonts w:ascii="Cambria Math"/>
                  <w:lang w:val="en-US"/>
                </w:rPr>
                <m:t>2</m:t>
              </m:r>
            </m:sup>
          </m:sSup>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hint="eastAsia"/>
                  <w:lang w:val="en-US"/>
                </w:rPr>
                <m:t>β</m:t>
              </m:r>
            </m:num>
            <m:den>
              <m:r>
                <m:rPr>
                  <m:sty m:val="p"/>
                </m:rPr>
                <w:rPr>
                  <w:rFonts w:ascii="Cambria Math"/>
                  <w:lang w:val="en-US"/>
                </w:rPr>
                <m:t>2</m:t>
              </m:r>
            </m:den>
          </m:f>
          <m:sSup>
            <m:sSupPr>
              <m:ctrlPr>
                <w:rPr>
                  <w:rFonts w:ascii="Cambria Math" w:hAnsi="Cambria Math"/>
                  <w:lang w:val="en-US"/>
                </w:rPr>
              </m:ctrlPr>
            </m:sSupPr>
            <m:e>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lang w:val="en-US"/>
                        </w:rPr>
                        <m:t>x</m:t>
                      </m:r>
                    </m:e>
                    <m:sub>
                      <m:r>
                        <m:rPr>
                          <m:sty m:val="p"/>
                        </m:rPr>
                        <w:rPr>
                          <w:rFonts w:ascii="Cambria Math"/>
                          <w:lang w:val="en-US"/>
                        </w:rPr>
                        <m:t>j</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e>
              </m:d>
            </m:e>
            <m:sup>
              <m:r>
                <m:rPr>
                  <m:sty m:val="p"/>
                </m:rPr>
                <w:rPr>
                  <w:rFonts w:ascii="Cambria Math"/>
                  <w:lang w:val="en-US"/>
                </w:rPr>
                <m:t>2</m:t>
              </m:r>
            </m:sup>
          </m:sSup>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hint="eastAsia"/>
                  <w:lang w:val="en-US"/>
                </w:rPr>
                <m:t>γ</m:t>
              </m:r>
            </m:num>
            <m:den>
              <m:r>
                <m:rPr>
                  <m:sty m:val="p"/>
                </m:rPr>
                <w:rPr>
                  <w:rFonts w:ascii="Cambria Math"/>
                  <w:lang w:val="en-US"/>
                </w:rPr>
                <m:t>2</m:t>
              </m:r>
            </m:den>
          </m:f>
          <m:sSup>
            <m:sSupPr>
              <m:ctrlPr>
                <w:rPr>
                  <w:rFonts w:ascii="Cambria Math" w:hAnsi="Cambria Math"/>
                  <w:lang w:val="en-US"/>
                </w:rPr>
              </m:ctrlPr>
            </m:sSupPr>
            <m:e>
              <m:d>
                <m:dPr>
                  <m:begChr m:val="["/>
                  <m:endChr m:val="]"/>
                  <m:ctrlPr>
                    <w:rPr>
                      <w:rFonts w:ascii="Cambria Math" w:hAnsi="Cambria Math"/>
                      <w:lang w:val="en-US"/>
                    </w:rPr>
                  </m:ctrlPr>
                </m:dPr>
                <m:e>
                  <m:sSub>
                    <m:sSubPr>
                      <m:ctrlPr>
                        <w:rPr>
                          <w:rFonts w:ascii="Cambria Math" w:hAnsi="Cambria Math"/>
                          <w:lang w:val="en-US"/>
                        </w:rPr>
                      </m:ctrlPr>
                    </m:sSubPr>
                    <m:e>
                      <m:r>
                        <m:rPr>
                          <m:sty m:val="p"/>
                        </m:rPr>
                        <w:rPr>
                          <w:rFonts w:ascii="Cambria Math"/>
                          <w:lang w:val="en-US"/>
                        </w:rPr>
                        <m:t>x</m:t>
                      </m:r>
                    </m:e>
                    <m:sub>
                      <m:r>
                        <m:rPr>
                          <m:sty m:val="p"/>
                        </m:rPr>
                        <w:rPr>
                          <w:rFonts w:ascii="Cambria Math"/>
                          <w:lang w:val="en-US"/>
                        </w:rPr>
                        <m:t>j</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N</m:t>
                      </m:r>
                    </m:sup>
                  </m:sSubSup>
                </m:e>
              </m:d>
            </m:e>
            <m:sup>
              <m:r>
                <m:rPr>
                  <m:sty m:val="p"/>
                </m:rPr>
                <w:rPr>
                  <w:rFonts w:ascii="Cambria Math"/>
                  <w:lang w:val="en-US"/>
                </w:rPr>
                <m:t>2</m:t>
              </m:r>
            </m:sup>
          </m:sSup>
        </m:oMath>
      </m:oMathPara>
    </w:p>
    <w:p w14:paraId="3AD088C9" w14:textId="4D0C8BA7" w:rsidR="00FD39B4" w:rsidRPr="0021142C" w:rsidRDefault="00FD39B4" w:rsidP="00BB4444">
      <w:pPr>
        <w:spacing w:line="480" w:lineRule="auto"/>
        <w:jc w:val="both"/>
        <w:rPr>
          <w:lang w:val="en-US"/>
        </w:rPr>
      </w:pPr>
      <w:r w:rsidRPr="0021142C">
        <w:rPr>
          <w:lang w:val="en-US"/>
        </w:rPr>
        <w:t xml:space="preserve">The utility comprises three distinctive motives, and deviation from them decreases utility. The first term represents the social learning motive, by which </w:t>
      </w:r>
      <m:oMath>
        <m:sSubSup>
          <m:sSubSupPr>
            <m:ctrlPr>
              <w:rPr>
                <w:rFonts w:ascii="Cambria Math" w:hAnsi="Cambria Math"/>
                <w:lang w:val="en-US"/>
              </w:rPr>
            </m:ctrlPr>
          </m:sSubSupPr>
          <m:e>
            <m:r>
              <m:rPr>
                <m:sty m:val="p"/>
              </m:rPr>
              <w:rPr>
                <w:rFonts w:ascii="Cambria Math"/>
                <w:lang w:val="en-US"/>
              </w:rPr>
              <m:t>x</m:t>
            </m:r>
          </m:e>
          <m:sub>
            <m:r>
              <m:rPr>
                <m:sty m:val="p"/>
              </m:rPr>
              <w:rPr>
                <w:rFonts w:ascii="Cambria Math"/>
                <w:lang w:val="en-US"/>
              </w:rPr>
              <m:t>j</m:t>
            </m:r>
          </m:sub>
          <m:sup>
            <m:r>
              <m:rPr>
                <m:sty m:val="p"/>
              </m:rPr>
              <w:rPr>
                <w:rFonts w:ascii="Cambria Math"/>
                <w:lang w:val="en-US"/>
              </w:rPr>
              <m:t>0</m:t>
            </m:r>
          </m:sup>
        </m:sSubSup>
      </m:oMath>
      <w:r w:rsidRPr="0021142C">
        <w:rPr>
          <w:lang w:val="en-US"/>
        </w:rPr>
        <w:t xml:space="preserve"> is her subjective ideal level of </w:t>
      </w:r>
      <w:r w:rsidR="00EC3855" w:rsidRPr="0021142C">
        <w:rPr>
          <w:lang w:val="en-US"/>
        </w:rPr>
        <w:t>behavior</w:t>
      </w:r>
      <w:r w:rsidRPr="0021142C">
        <w:rPr>
          <w:lang w:val="en-US"/>
        </w:rPr>
        <w:t xml:space="preserve">, which is influenced by observation of peers’ actual </w:t>
      </w:r>
      <w:r w:rsidR="001755C1" w:rsidRPr="0021142C">
        <w:rPr>
          <w:lang w:val="en-US"/>
        </w:rPr>
        <w:t xml:space="preserve">behavior </w:t>
      </w:r>
      <m:oMath>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oMath>
      <w:r w:rsidRPr="0021142C">
        <w:rPr>
          <w:lang w:val="en-US"/>
        </w:rPr>
        <w:t xml:space="preserve"> and an idiosyncratic probabilistic </w:t>
      </w:r>
      <w:proofErr w:type="gramStart"/>
      <w:r w:rsidRPr="0021142C">
        <w:rPr>
          <w:lang w:val="en-US"/>
        </w:rPr>
        <w:t xml:space="preserve">component </w:t>
      </w:r>
      <w:proofErr w:type="gramEnd"/>
      <m:oMath>
        <m:r>
          <m:rPr>
            <m:sty m:val="p"/>
          </m:rPr>
          <w:rPr>
            <w:rFonts w:ascii="Cambria Math" w:hAnsi="Cambria Math"/>
            <w:lang w:val="en-US"/>
          </w:rPr>
          <m:t>ϵ</m:t>
        </m:r>
      </m:oMath>
      <w:r w:rsidRPr="0021142C">
        <w:rPr>
          <w:lang w:val="en-US"/>
        </w:rPr>
        <w:t>. This means that the person may not be ful</w:t>
      </w:r>
      <w:proofErr w:type="spellStart"/>
      <w:r w:rsidRPr="0021142C">
        <w:rPr>
          <w:lang w:val="en-US"/>
        </w:rPr>
        <w:t>ly</w:t>
      </w:r>
      <w:proofErr w:type="spellEnd"/>
      <w:r w:rsidRPr="0021142C">
        <w:rPr>
          <w:lang w:val="en-US"/>
        </w:rPr>
        <w:t xml:space="preserve"> certain about what his or her best choice will be (due to lack of information), and he or she uses peers’ </w:t>
      </w:r>
      <w:r w:rsidR="00EC3855" w:rsidRPr="0021142C">
        <w:rPr>
          <w:lang w:val="en-US"/>
        </w:rPr>
        <w:t xml:space="preserve">behavior </w:t>
      </w:r>
      <w:r w:rsidRPr="0021142C">
        <w:rPr>
          <w:lang w:val="en-US"/>
        </w:rPr>
        <w:t xml:space="preserve">to form her preference (i.e. social learning). The second term of the utility function captures social comparison conformism in the sense that the person sets peers’ </w:t>
      </w:r>
      <w:r w:rsidR="00EC3855" w:rsidRPr="0021142C">
        <w:rPr>
          <w:lang w:val="en-US"/>
        </w:rPr>
        <w:t xml:space="preserve">behavior </w:t>
      </w:r>
      <w:r w:rsidRPr="0021142C">
        <w:rPr>
          <w:lang w:val="en-US"/>
        </w:rPr>
        <w:t xml:space="preserve">as a reference point, and prefers to conform even if it does not meet </w:t>
      </w:r>
      <w:r w:rsidR="00942570" w:rsidRPr="0021142C">
        <w:rPr>
          <w:lang w:val="en-US"/>
        </w:rPr>
        <w:t xml:space="preserve">his or </w:t>
      </w:r>
      <w:r w:rsidRPr="0021142C">
        <w:rPr>
          <w:lang w:val="en-US"/>
        </w:rPr>
        <w:t xml:space="preserve">her self-interest motive (i.e. social comparison). Finally, the third part gives self-esteem and moral concern, where the person wants to behave as </w:t>
      </w:r>
      <w:r w:rsidR="00942570" w:rsidRPr="0021142C">
        <w:rPr>
          <w:lang w:val="en-US"/>
        </w:rPr>
        <w:t xml:space="preserve">he or </w:t>
      </w:r>
      <w:r w:rsidRPr="0021142C">
        <w:rPr>
          <w:lang w:val="en-US"/>
        </w:rPr>
        <w:t xml:space="preserve">she perceives it is desired by peers </w:t>
      </w:r>
      <m:oMath>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N</m:t>
            </m:r>
          </m:sup>
        </m:sSubSup>
      </m:oMath>
      <w:r w:rsidRPr="0021142C">
        <w:rPr>
          <w:lang w:val="en-US"/>
        </w:rPr>
        <w:t xml:space="preserve"> to avoid disapprovals</w:t>
      </w:r>
      <w:r w:rsidR="00EE6BC5" w:rsidRPr="0021142C">
        <w:rPr>
          <w:lang w:val="en-US"/>
        </w:rPr>
        <w:t xml:space="preserve"> (as long as </w:t>
      </w:r>
      <m:oMath>
        <m:r>
          <m:rPr>
            <m:sty m:val="p"/>
          </m:rPr>
          <w:rPr>
            <w:rFonts w:ascii="Cambria Math"/>
            <w:lang w:val="en-US"/>
          </w:rPr>
          <m:t>β</m:t>
        </m:r>
      </m:oMath>
      <w:r w:rsidR="00EE6BC5" w:rsidRPr="0021142C">
        <w:rPr>
          <w:lang w:val="en-US"/>
        </w:rPr>
        <w:t xml:space="preserve"> </w:t>
      </w:r>
      <m:oMath>
        <m:r>
          <w:rPr>
            <w:rFonts w:ascii="Cambria Math" w:hAnsi="Cambria Math"/>
            <w:lang w:val="en-US"/>
          </w:rPr>
          <m:t xml:space="preserve">, </m:t>
        </m:r>
        <m:r>
          <m:rPr>
            <m:sty m:val="p"/>
          </m:rPr>
          <w:rPr>
            <w:rFonts w:ascii="Cambria Math"/>
            <w:lang w:val="en-US"/>
          </w:rPr>
          <m:t>γ</m:t>
        </m:r>
        <m:r>
          <m:rPr>
            <m:sty m:val="p"/>
          </m:rPr>
          <w:rPr>
            <w:rFonts w:ascii="Cambria Math"/>
            <w:lang w:val="en-US"/>
          </w:rPr>
          <m:t>&gt;0)</m:t>
        </m:r>
      </m:oMath>
      <w:r w:rsidRPr="0021142C">
        <w:rPr>
          <w:lang w:val="en-US"/>
        </w:rPr>
        <w:t>. Ignoring corner solutions, the first order condition is</w:t>
      </w:r>
      <w:r w:rsidR="00942570" w:rsidRPr="0021142C">
        <w:rPr>
          <w:lang w:val="en-US"/>
        </w:rPr>
        <w:t>:</w:t>
      </w:r>
    </w:p>
    <w:p w14:paraId="6D1C6580" w14:textId="77777777" w:rsidR="00FD39B4" w:rsidRPr="0021142C" w:rsidRDefault="00ED0432" w:rsidP="00BB4444">
      <w:pPr>
        <w:spacing w:line="480" w:lineRule="auto"/>
        <w:jc w:val="both"/>
        <w:rPr>
          <w:lang w:val="en-US"/>
        </w:rPr>
      </w:pPr>
      <m:oMathPara>
        <m:oMath>
          <m:sSubSup>
            <m:sSubSupPr>
              <m:ctrlPr>
                <w:rPr>
                  <w:rFonts w:ascii="Cambria Math" w:hAnsi="Cambria Math"/>
                  <w:lang w:val="en-US"/>
                </w:rPr>
              </m:ctrlPr>
            </m:sSubSupPr>
            <m:e>
              <m:r>
                <m:rPr>
                  <m:sty m:val="p"/>
                </m:rPr>
                <w:rPr>
                  <w:rFonts w:ascii="Cambria Math"/>
                  <w:lang w:val="en-US"/>
                </w:rPr>
                <m:t>x</m:t>
              </m:r>
            </m:e>
            <m:sub>
              <m:r>
                <m:rPr>
                  <m:sty m:val="p"/>
                </m:rPr>
                <w:rPr>
                  <w:rFonts w:ascii="Cambria Math"/>
                  <w:lang w:val="en-US"/>
                </w:rPr>
                <m:t>j</m:t>
              </m:r>
            </m:sub>
            <m:sup>
              <m:r>
                <m:rPr>
                  <m:sty m:val="p"/>
                </m:rPr>
                <w:rPr>
                  <w:rFonts w:ascii="Cambria Math" w:hAnsi="Cambria Math"/>
                  <w:lang w:val="en-US"/>
                </w:rPr>
                <m:t>*</m:t>
              </m:r>
            </m:sup>
          </m:sSubSup>
          <m:r>
            <m:rPr>
              <m:sty m:val="p"/>
            </m:rPr>
            <w:rPr>
              <w:rFonts w:ascii="Cambria Math"/>
              <w:lang w:val="en-US"/>
            </w:rPr>
            <m:t>=</m:t>
          </m:r>
          <m:f>
            <m:fPr>
              <m:ctrlPr>
                <w:rPr>
                  <w:rFonts w:ascii="Cambria Math" w:hAnsi="Cambria Math"/>
                  <w:lang w:val="en-US"/>
                </w:rPr>
              </m:ctrlPr>
            </m:fPr>
            <m:num>
              <m:r>
                <m:rPr>
                  <m:sty m:val="p"/>
                </m:rPr>
                <w:rPr>
                  <w:rFonts w:ascii="Cambria Math"/>
                  <w:lang w:val="en-US"/>
                </w:rPr>
                <m:t>1</m:t>
              </m:r>
            </m:num>
            <m:den>
              <m:r>
                <m:rPr>
                  <m:sty m:val="p"/>
                </m:rPr>
                <w:rPr>
                  <w:rFonts w:ascii="Cambria Math" w:hAnsi="Cambria Math" w:hint="eastAsia"/>
                  <w:lang w:val="en-US"/>
                </w:rPr>
                <m:t>α</m:t>
              </m:r>
              <m:r>
                <m:rPr>
                  <m:sty m:val="p"/>
                </m:rPr>
                <w:rPr>
                  <w:rFonts w:ascii="Cambria Math"/>
                  <w:lang w:val="en-US"/>
                </w:rPr>
                <m:t>+</m:t>
              </m:r>
              <m:r>
                <m:rPr>
                  <m:sty m:val="p"/>
                </m:rPr>
                <w:rPr>
                  <w:rFonts w:ascii="Cambria Math" w:hAnsi="Cambria Math" w:hint="eastAsia"/>
                  <w:lang w:val="en-US"/>
                </w:rPr>
                <m:t>β</m:t>
              </m:r>
              <m:r>
                <m:rPr>
                  <m:sty m:val="p"/>
                </m:rPr>
                <w:rPr>
                  <w:rFonts w:ascii="Cambria Math"/>
                  <w:lang w:val="en-US"/>
                </w:rPr>
                <m:t>+</m:t>
              </m:r>
              <m:r>
                <m:rPr>
                  <m:sty m:val="p"/>
                </m:rPr>
                <w:rPr>
                  <w:rFonts w:ascii="Cambria Math" w:hAnsi="Cambria Math" w:hint="eastAsia"/>
                  <w:lang w:val="en-US"/>
                </w:rPr>
                <m:t>γ</m:t>
              </m:r>
            </m:den>
          </m:f>
          <m:d>
            <m:dPr>
              <m:begChr m:val="["/>
              <m:endChr m:val="]"/>
              <m:ctrlPr>
                <w:rPr>
                  <w:rFonts w:ascii="Cambria Math" w:hAnsi="Cambria Math"/>
                  <w:lang w:val="en-US"/>
                </w:rPr>
              </m:ctrlPr>
            </m:dPr>
            <m:e>
              <m:r>
                <m:rPr>
                  <m:sty m:val="p"/>
                </m:rPr>
                <w:rPr>
                  <w:rFonts w:ascii="Cambria Math" w:hAnsi="Cambria Math" w:hint="eastAsia"/>
                  <w:lang w:val="en-US"/>
                </w:rPr>
                <m:t>α</m:t>
              </m:r>
              <m:sSubSup>
                <m:sSubSupPr>
                  <m:ctrlPr>
                    <w:rPr>
                      <w:rFonts w:ascii="Cambria Math" w:hAnsi="Cambria Math"/>
                      <w:lang w:val="en-US"/>
                    </w:rPr>
                  </m:ctrlPr>
                </m:sSubSupPr>
                <m:e>
                  <m:r>
                    <m:rPr>
                      <m:sty m:val="p"/>
                    </m:rPr>
                    <w:rPr>
                      <w:rFonts w:ascii="Cambria Math"/>
                      <w:lang w:val="en-US"/>
                    </w:rPr>
                    <m:t>x</m:t>
                  </m:r>
                </m:e>
                <m:sub>
                  <m:r>
                    <m:rPr>
                      <m:sty m:val="p"/>
                    </m:rPr>
                    <w:rPr>
                      <w:rFonts w:ascii="Cambria Math"/>
                      <w:lang w:val="en-US"/>
                    </w:rPr>
                    <m:t>j</m:t>
                  </m:r>
                </m:sub>
                <m:sup>
                  <m:r>
                    <m:rPr>
                      <m:sty m:val="p"/>
                    </m:rPr>
                    <w:rPr>
                      <w:rFonts w:ascii="Cambria Math"/>
                      <w:lang w:val="en-US"/>
                    </w:rPr>
                    <m:t>0</m:t>
                  </m:r>
                </m:sup>
              </m:sSubSup>
              <m:d>
                <m:dPr>
                  <m:ctrlPr>
                    <w:rPr>
                      <w:rFonts w:ascii="Cambria Math" w:hAnsi="Cambria Math"/>
                      <w:lang w:val="en-US"/>
                    </w:rPr>
                  </m:ctrlPr>
                </m:dPr>
                <m:e>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r>
                    <m:rPr>
                      <m:sty m:val="p"/>
                    </m:rPr>
                    <w:rPr>
                      <w:rFonts w:ascii="Cambria Math"/>
                      <w:lang w:val="en-US"/>
                    </w:rPr>
                    <m:t>,</m:t>
                  </m:r>
                  <m:r>
                    <m:rPr>
                      <m:sty m:val="p"/>
                    </m:rPr>
                    <w:rPr>
                      <w:rFonts w:ascii="Cambria Math" w:hAnsi="Cambria Math"/>
                      <w:lang w:val="en-US"/>
                    </w:rPr>
                    <m:t>ϵ</m:t>
                  </m:r>
                </m:e>
              </m:d>
              <m:r>
                <m:rPr>
                  <m:sty m:val="p"/>
                </m:rPr>
                <w:rPr>
                  <w:rFonts w:ascii="Cambria Math"/>
                  <w:lang w:val="en-US"/>
                </w:rPr>
                <m:t>+</m:t>
              </m:r>
              <m:r>
                <m:rPr>
                  <m:sty m:val="p"/>
                </m:rPr>
                <w:rPr>
                  <w:rFonts w:ascii="Cambria Math" w:hAnsi="Cambria Math" w:hint="eastAsia"/>
                  <w:lang w:val="en-US"/>
                </w:rPr>
                <m:t>β</m:t>
              </m:r>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r>
                <m:rPr>
                  <m:sty m:val="p"/>
                </m:rPr>
                <w:rPr>
                  <w:rFonts w:ascii="Cambria Math"/>
                  <w:lang w:val="en-US"/>
                </w:rPr>
                <m:t>+</m:t>
              </m:r>
              <m:sSubSup>
                <m:sSubSupPr>
                  <m:ctrlPr>
                    <w:rPr>
                      <w:rFonts w:ascii="Cambria Math" w:hAnsi="Cambria Math"/>
                      <w:lang w:val="en-US"/>
                    </w:rPr>
                  </m:ctrlPr>
                </m:sSubSupPr>
                <m:e>
                  <m:r>
                    <m:rPr>
                      <m:sty m:val="p"/>
                    </m:rPr>
                    <w:rPr>
                      <w:rFonts w:ascii="Cambria Math" w:hAnsi="Cambria Math" w:hint="eastAsia"/>
                      <w:lang w:val="en-US"/>
                    </w:rPr>
                    <m:t>γ</m:t>
                  </m:r>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N</m:t>
                  </m:r>
                </m:sup>
              </m:sSubSup>
            </m:e>
          </m:d>
          <m:r>
            <m:rPr>
              <m:sty m:val="p"/>
            </m:rPr>
            <w:rPr>
              <w:rFonts w:ascii="Cambria Math"/>
              <w:lang w:val="en-US"/>
            </w:rPr>
            <m:t xml:space="preserve">                           (1)</m:t>
          </m:r>
        </m:oMath>
      </m:oMathPara>
    </w:p>
    <w:p w14:paraId="756EE193" w14:textId="0FB3BCD9" w:rsidR="00FD39B4" w:rsidRPr="0021142C" w:rsidRDefault="00FD39B4" w:rsidP="00BB4444">
      <w:pPr>
        <w:spacing w:line="480" w:lineRule="auto"/>
        <w:jc w:val="both"/>
        <w:rPr>
          <w:lang w:val="en-US"/>
        </w:rPr>
      </w:pPr>
      <w:r w:rsidRPr="0021142C">
        <w:rPr>
          <w:lang w:val="en-US"/>
        </w:rPr>
        <w:t xml:space="preserve">This is simply a weighted average of the subjective ideal, the empirical expectation, and the normative expectation. This implies that the individual’s </w:t>
      </w:r>
      <w:r w:rsidR="001755C1" w:rsidRPr="0021142C">
        <w:rPr>
          <w:lang w:val="en-US"/>
        </w:rPr>
        <w:t xml:space="preserve">behavior </w:t>
      </w:r>
      <w:r w:rsidRPr="0021142C">
        <w:rPr>
          <w:lang w:val="en-US"/>
        </w:rPr>
        <w:t xml:space="preserve">is determined by the relative importance of three motives. When the self-interest motive is important (i.e. </w:t>
      </w:r>
      <w:proofErr w:type="gramStart"/>
      <w:r w:rsidRPr="0021142C">
        <w:rPr>
          <w:lang w:val="en-US"/>
        </w:rPr>
        <w:t xml:space="preserve">large </w:t>
      </w:r>
      <w:proofErr w:type="gramEnd"/>
      <m:oMath>
        <m:r>
          <m:rPr>
            <m:sty m:val="p"/>
          </m:rPr>
          <w:rPr>
            <w:rFonts w:ascii="Cambria Math" w:hAnsi="Cambria Math" w:hint="eastAsia"/>
            <w:lang w:val="en-US"/>
          </w:rPr>
          <m:t>α</m:t>
        </m:r>
      </m:oMath>
      <w:r w:rsidRPr="0021142C">
        <w:rPr>
          <w:lang w:val="en-US"/>
        </w:rPr>
        <w:t xml:space="preserve">), the individual’s </w:t>
      </w:r>
      <w:r w:rsidR="001755C1" w:rsidRPr="0021142C">
        <w:rPr>
          <w:lang w:val="en-US"/>
        </w:rPr>
        <w:t xml:space="preserve">behavior </w:t>
      </w:r>
      <w:r w:rsidRPr="0021142C">
        <w:rPr>
          <w:lang w:val="en-US"/>
        </w:rPr>
        <w:t xml:space="preserve">is more consistent with her subjective ideal level </w:t>
      </w:r>
      <m:oMath>
        <m:sSubSup>
          <m:sSubSupPr>
            <m:ctrlPr>
              <w:rPr>
                <w:rFonts w:ascii="Cambria Math" w:hAnsi="Cambria Math"/>
                <w:lang w:val="en-US"/>
              </w:rPr>
            </m:ctrlPr>
          </m:sSubSupPr>
          <m:e>
            <m:r>
              <w:rPr>
                <w:rFonts w:ascii="Cambria Math"/>
                <w:lang w:val="en-US"/>
              </w:rPr>
              <m:t>x</m:t>
            </m:r>
          </m:e>
          <m:sub>
            <m:r>
              <w:rPr>
                <w:rFonts w:ascii="Cambria Math"/>
                <w:lang w:val="en-US"/>
              </w:rPr>
              <m:t>j</m:t>
            </m:r>
          </m:sub>
          <m:sup>
            <m:r>
              <m:rPr>
                <m:sty m:val="p"/>
              </m:rPr>
              <w:rPr>
                <w:rFonts w:ascii="Cambria Math"/>
                <w:lang w:val="en-US"/>
              </w:rPr>
              <m:t>0</m:t>
            </m:r>
          </m:sup>
        </m:sSubSup>
      </m:oMath>
      <w:r w:rsidRPr="0021142C">
        <w:rPr>
          <w:lang w:val="en-US"/>
        </w:rPr>
        <w:t>. The same logic applies to other cases, i.e. when social comparison is prominent the individual acts as others do; when self-esteem is more important, she behaves as (she thinks) is desired by others.</w:t>
      </w:r>
    </w:p>
    <w:p w14:paraId="39D0AAD4" w14:textId="77777777" w:rsidR="00FD39B4" w:rsidRPr="0021142C" w:rsidRDefault="00FD39B4" w:rsidP="00BB4444">
      <w:pPr>
        <w:spacing w:line="480" w:lineRule="auto"/>
        <w:jc w:val="both"/>
        <w:rPr>
          <w:lang w:val="en-US"/>
        </w:rPr>
      </w:pPr>
    </w:p>
    <w:p w14:paraId="15366C8C" w14:textId="7D6097C9" w:rsidR="00FD39B4" w:rsidRPr="0021142C" w:rsidRDefault="00FD39B4" w:rsidP="00BB4444">
      <w:pPr>
        <w:spacing w:line="480" w:lineRule="auto"/>
        <w:jc w:val="both"/>
        <w:rPr>
          <w:lang w:val="en-US"/>
        </w:rPr>
      </w:pPr>
      <w:r w:rsidRPr="0021142C">
        <w:rPr>
          <w:lang w:val="en-US"/>
        </w:rPr>
        <w:t xml:space="preserve">As shown later, most of the econometric analyses estimate the effect (or association) of empirical expectation </w:t>
      </w:r>
      <m:oMath>
        <m:sSubSup>
          <m:sSubSupPr>
            <m:ctrlPr>
              <w:rPr>
                <w:rFonts w:ascii="Cambria Math" w:hAnsi="Cambria Math"/>
                <w:i/>
                <w:lang w:val="en-US"/>
              </w:rPr>
            </m:ctrlPr>
          </m:sSubSupPr>
          <m:e>
            <m:r>
              <w:rPr>
                <w:rFonts w:ascii="Cambria Math"/>
                <w:lang w:val="en-US"/>
              </w:rPr>
              <m:t>x</m:t>
            </m:r>
          </m:e>
          <m:sub>
            <m:r>
              <w:rPr>
                <w:rFonts w:ascii="Cambria Math" w:hAnsi="Cambria Math"/>
                <w:lang w:val="en-US"/>
              </w:rPr>
              <m:t>-</m:t>
            </m:r>
            <m:r>
              <w:rPr>
                <w:rFonts w:ascii="Cambria Math"/>
                <w:lang w:val="en-US"/>
              </w:rPr>
              <m:t>j</m:t>
            </m:r>
          </m:sub>
          <m:sup>
            <m:r>
              <w:rPr>
                <w:rFonts w:ascii="Cambria Math"/>
                <w:lang w:val="en-US"/>
              </w:rPr>
              <m:t>E</m:t>
            </m:r>
          </m:sup>
        </m:sSubSup>
      </m:oMath>
      <w:r w:rsidRPr="0021142C">
        <w:rPr>
          <w:lang w:val="en-US"/>
        </w:rPr>
        <w:t xml:space="preserve"> on </w:t>
      </w:r>
      <w:proofErr w:type="gramStart"/>
      <w:r w:rsidRPr="0021142C">
        <w:rPr>
          <w:lang w:val="en-US"/>
        </w:rPr>
        <w:t>be</w:t>
      </w:r>
      <w:proofErr w:type="spellStart"/>
      <w:r w:rsidR="00C25843" w:rsidRPr="0021142C">
        <w:rPr>
          <w:lang w:val="en-US"/>
        </w:rPr>
        <w:t>havior</w:t>
      </w:r>
      <w:proofErr w:type="spellEnd"/>
      <w:r w:rsidRPr="0021142C">
        <w:rPr>
          <w:lang w:val="en-US"/>
        </w:rPr>
        <w:t xml:space="preserve"> </w:t>
      </w:r>
      <w:proofErr w:type="gramEnd"/>
      <m:oMath>
        <m:sSubSup>
          <m:sSubSupPr>
            <m:ctrlPr>
              <w:rPr>
                <w:rFonts w:ascii="Cambria Math" w:hAnsi="Cambria Math"/>
                <w:i/>
                <w:lang w:val="en-US"/>
              </w:rPr>
            </m:ctrlPr>
          </m:sSubSupPr>
          <m:e>
            <m:r>
              <w:rPr>
                <w:rFonts w:ascii="Cambria Math"/>
                <w:lang w:val="en-US"/>
              </w:rPr>
              <m:t>x</m:t>
            </m:r>
          </m:e>
          <m:sub>
            <m:r>
              <w:rPr>
                <w:rFonts w:ascii="Cambria Math"/>
                <w:lang w:val="en-US"/>
              </w:rPr>
              <m:t>j</m:t>
            </m:r>
          </m:sub>
          <m:sup>
            <m:r>
              <w:rPr>
                <w:rFonts w:ascii="Cambria Math" w:hAnsi="Cambria Math"/>
                <w:lang w:val="en-US"/>
              </w:rPr>
              <m:t>*</m:t>
            </m:r>
          </m:sup>
        </m:sSubSup>
      </m:oMath>
      <w:r w:rsidRPr="0021142C">
        <w:rPr>
          <w:lang w:val="en-US"/>
        </w:rPr>
        <w:t>. Totally differentiating the first order condition equation (</w:t>
      </w:r>
      <w:r w:rsidR="005C5A3E" w:rsidRPr="0021142C">
        <w:rPr>
          <w:lang w:val="en-US"/>
        </w:rPr>
        <w:t>1</w:t>
      </w:r>
      <w:r w:rsidRPr="0021142C">
        <w:rPr>
          <w:lang w:val="en-US"/>
        </w:rPr>
        <w:t>) yields:</w:t>
      </w:r>
    </w:p>
    <w:p w14:paraId="63EEEF0E" w14:textId="77777777" w:rsidR="00FD39B4" w:rsidRPr="0021142C" w:rsidRDefault="00ED0432" w:rsidP="00BB4444">
      <w:pPr>
        <w:spacing w:line="480" w:lineRule="auto"/>
        <w:jc w:val="both"/>
        <w:rPr>
          <w:lang w:val="en-US"/>
        </w:rPr>
      </w:pPr>
      <m:oMathPara>
        <m:oMath>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lang w:val="en-US"/>
                    </w:rPr>
                    <m:t>dx</m:t>
                  </m:r>
                </m:e>
                <m:sub>
                  <m:r>
                    <m:rPr>
                      <m:sty m:val="p"/>
                    </m:rPr>
                    <w:rPr>
                      <w:rFonts w:ascii="Cambria Math"/>
                      <w:lang w:val="en-US"/>
                    </w:rPr>
                    <m:t>j</m:t>
                  </m:r>
                </m:sub>
                <m:sup>
                  <m:r>
                    <m:rPr>
                      <m:sty m:val="p"/>
                    </m:rPr>
                    <w:rPr>
                      <w:rFonts w:ascii="Cambria Math" w:hAnsi="Cambria Math"/>
                      <w:lang w:val="en-US"/>
                    </w:rPr>
                    <m:t>*</m:t>
                  </m:r>
                </m:sup>
              </m:sSubSup>
            </m:num>
            <m:den>
              <m:r>
                <m:rPr>
                  <m:sty m:val="p"/>
                </m:rPr>
                <w:rPr>
                  <w:rFonts w:ascii="Cambria Math"/>
                  <w:lang w:val="en-US"/>
                </w:rPr>
                <m:t>d</m:t>
              </m:r>
              <m:sSubSup>
                <m:sSubSupPr>
                  <m:ctrlPr>
                    <w:rPr>
                      <w:rFonts w:ascii="Cambria Math" w:hAnsi="Cambria Math"/>
                      <w:lang w:val="en-US"/>
                    </w:rPr>
                  </m:ctrlPr>
                </m:sSubSupPr>
                <m:e>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den>
          </m:f>
          <m:r>
            <m:rPr>
              <m:sty m:val="p"/>
            </m:rPr>
            <w:rPr>
              <w:rFonts w:ascii="Cambria Math"/>
              <w:lang w:val="en-US"/>
            </w:rPr>
            <m:t>=</m:t>
          </m:r>
          <m:f>
            <m:fPr>
              <m:ctrlPr>
                <w:rPr>
                  <w:rFonts w:ascii="Cambria Math" w:hAnsi="Cambria Math"/>
                  <w:lang w:val="en-US"/>
                </w:rPr>
              </m:ctrlPr>
            </m:fPr>
            <m:num>
              <m:r>
                <m:rPr>
                  <m:sty m:val="p"/>
                </m:rPr>
                <w:rPr>
                  <w:rFonts w:ascii="Cambria Math"/>
                  <w:lang w:val="en-US"/>
                </w:rPr>
                <m:t>1</m:t>
              </m:r>
            </m:num>
            <m:den>
              <m:r>
                <m:rPr>
                  <m:sty m:val="p"/>
                </m:rPr>
                <w:rPr>
                  <w:rFonts w:ascii="Cambria Math" w:hAnsi="Cambria Math" w:hint="eastAsia"/>
                  <w:lang w:val="en-US"/>
                </w:rPr>
                <m:t>α</m:t>
              </m:r>
              <m:r>
                <m:rPr>
                  <m:sty m:val="p"/>
                </m:rPr>
                <w:rPr>
                  <w:rFonts w:ascii="Cambria Math"/>
                  <w:lang w:val="en-US"/>
                </w:rPr>
                <m:t>+</m:t>
              </m:r>
              <m:r>
                <m:rPr>
                  <m:sty m:val="p"/>
                </m:rPr>
                <w:rPr>
                  <w:rFonts w:ascii="Cambria Math" w:hAnsi="Cambria Math" w:hint="eastAsia"/>
                  <w:lang w:val="en-US"/>
                </w:rPr>
                <m:t>β</m:t>
              </m:r>
              <m:r>
                <m:rPr>
                  <m:sty m:val="p"/>
                </m:rPr>
                <w:rPr>
                  <w:rFonts w:ascii="Cambria Math"/>
                  <w:lang w:val="en-US"/>
                </w:rPr>
                <m:t>+</m:t>
              </m:r>
              <m:r>
                <m:rPr>
                  <m:sty m:val="p"/>
                </m:rPr>
                <w:rPr>
                  <w:rFonts w:ascii="Cambria Math" w:hAnsi="Cambria Math" w:hint="eastAsia"/>
                  <w:lang w:val="en-US"/>
                </w:rPr>
                <m:t>γ</m:t>
              </m:r>
            </m:den>
          </m:f>
          <m:d>
            <m:dPr>
              <m:begChr m:val="["/>
              <m:endChr m:val="]"/>
              <m:ctrlPr>
                <w:rPr>
                  <w:rFonts w:ascii="Cambria Math" w:hAnsi="Cambria Math"/>
                  <w:lang w:val="en-US"/>
                </w:rPr>
              </m:ctrlPr>
            </m:dPr>
            <m:e>
              <m:r>
                <m:rPr>
                  <m:sty m:val="p"/>
                </m:rPr>
                <w:rPr>
                  <w:rFonts w:ascii="Cambria Math" w:hAnsi="Cambria Math" w:hint="eastAsia"/>
                  <w:lang w:val="en-US"/>
                </w:rPr>
                <m:t>α</m:t>
              </m:r>
              <m:f>
                <m:fPr>
                  <m:ctrlPr>
                    <w:rPr>
                      <w:rFonts w:ascii="Cambria Math" w:hAnsi="Cambria Math"/>
                      <w:lang w:val="en-US"/>
                    </w:rPr>
                  </m:ctrlPr>
                </m:fPr>
                <m:num>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lang w:val="en-US"/>
                        </w:rPr>
                        <m:t>x</m:t>
                      </m:r>
                    </m:e>
                    <m:sub>
                      <m:r>
                        <m:rPr>
                          <m:sty m:val="p"/>
                        </m:rPr>
                        <w:rPr>
                          <w:rFonts w:ascii="Cambria Math"/>
                          <w:lang w:val="en-US"/>
                        </w:rPr>
                        <m:t>j</m:t>
                      </m:r>
                    </m:sub>
                    <m:sup>
                      <m:r>
                        <m:rPr>
                          <m:sty m:val="p"/>
                        </m:rPr>
                        <w:rPr>
                          <w:rFonts w:ascii="Cambria Math"/>
                          <w:lang w:val="en-US"/>
                        </w:rPr>
                        <m:t>0</m:t>
                      </m:r>
                    </m:sup>
                  </m:sSubSup>
                </m:num>
                <m:den>
                  <m:sSubSup>
                    <m:sSubSupPr>
                      <m:ctrlPr>
                        <w:rPr>
                          <w:rFonts w:ascii="Cambria Math" w:hAnsi="Cambria Math"/>
                          <w:lang w:val="en-US"/>
                        </w:rPr>
                      </m:ctrlPr>
                    </m:sSubSupPr>
                    <m:e>
                      <m:r>
                        <m:rPr>
                          <m:sty m:val="p"/>
                        </m:rPr>
                        <w:rPr>
                          <w:rFonts w:ascii="Cambria Math" w:hAnsi="Cambria Math"/>
                          <w:lang w:val="en-US"/>
                        </w:rPr>
                        <m:t>∂</m:t>
                      </m:r>
                      <m:r>
                        <m:rPr>
                          <m:sty m:val="p"/>
                        </m:rPr>
                        <w:rPr>
                          <w:rFonts w:ascii="Cambria Math"/>
                          <w:lang w:val="en-US"/>
                        </w:rPr>
                        <m:t>x</m:t>
                      </m:r>
                    </m:e>
                    <m:sub>
                      <m:r>
                        <m:rPr>
                          <m:sty m:val="p"/>
                        </m:rPr>
                        <w:rPr>
                          <w:rFonts w:ascii="Cambria Math" w:hAnsi="Cambria Math"/>
                          <w:lang w:val="en-US"/>
                        </w:rPr>
                        <m:t>-</m:t>
                      </m:r>
                      <m:r>
                        <m:rPr>
                          <m:sty m:val="p"/>
                        </m:rPr>
                        <w:rPr>
                          <w:rFonts w:ascii="Cambria Math"/>
                          <w:lang w:val="en-US"/>
                        </w:rPr>
                        <m:t>j</m:t>
                      </m:r>
                    </m:sub>
                    <m:sup>
                      <m:r>
                        <m:rPr>
                          <m:sty m:val="p"/>
                        </m:rPr>
                        <w:rPr>
                          <w:rFonts w:ascii="Cambria Math"/>
                          <w:lang w:val="en-US"/>
                        </w:rPr>
                        <m:t>E</m:t>
                      </m:r>
                    </m:sup>
                  </m:sSubSup>
                </m:den>
              </m:f>
              <m:r>
                <m:rPr>
                  <m:sty m:val="p"/>
                </m:rPr>
                <w:rPr>
                  <w:rFonts w:ascii="Cambria Math"/>
                  <w:lang w:val="en-US"/>
                </w:rPr>
                <m:t>+</m:t>
              </m:r>
              <m:r>
                <m:rPr>
                  <m:sty m:val="p"/>
                </m:rPr>
                <w:rPr>
                  <w:rFonts w:ascii="Cambria Math" w:hAnsi="Cambria Math" w:hint="eastAsia"/>
                  <w:lang w:val="en-US"/>
                </w:rPr>
                <m:t>β</m:t>
              </m:r>
            </m:e>
          </m:d>
          <m:r>
            <m:rPr>
              <m:sty m:val="p"/>
            </m:rPr>
            <w:rPr>
              <w:rFonts w:ascii="Cambria Math"/>
              <w:lang w:val="en-US"/>
            </w:rPr>
            <m:t xml:space="preserve">                                  (2)</m:t>
          </m:r>
        </m:oMath>
      </m:oMathPara>
    </w:p>
    <w:p w14:paraId="6055CEC4" w14:textId="77777777" w:rsidR="00F20530" w:rsidRPr="0021142C" w:rsidRDefault="00FD39B4" w:rsidP="00BB4444">
      <w:pPr>
        <w:spacing w:line="480" w:lineRule="auto"/>
        <w:jc w:val="both"/>
        <w:rPr>
          <w:b/>
          <w:lang w:val="en-US"/>
        </w:rPr>
      </w:pPr>
      <w:r w:rsidRPr="0021142C">
        <w:rPr>
          <w:lang w:val="en-US"/>
        </w:rPr>
        <w:t>This representation of the effect suggests that without an elaborate estimation strategy the analysis does not distinguish the three motives. We return to this point in sub-section 3.4.</w:t>
      </w:r>
    </w:p>
    <w:p w14:paraId="56EA1782" w14:textId="77777777" w:rsidR="00B72B2A" w:rsidRPr="0021142C" w:rsidRDefault="00B72B2A" w:rsidP="00BB4444">
      <w:pPr>
        <w:spacing w:line="480" w:lineRule="auto"/>
        <w:jc w:val="both"/>
        <w:rPr>
          <w:b/>
          <w:lang w:val="en-US"/>
        </w:rPr>
      </w:pPr>
    </w:p>
    <w:p w14:paraId="6D94BC0D" w14:textId="5FB33553" w:rsidR="00FD39B4" w:rsidRPr="0021142C" w:rsidRDefault="00801473" w:rsidP="00BB4444">
      <w:pPr>
        <w:spacing w:line="480" w:lineRule="auto"/>
        <w:jc w:val="both"/>
        <w:rPr>
          <w:i/>
          <w:lang w:val="en-US"/>
        </w:rPr>
      </w:pPr>
      <w:r w:rsidRPr="0021142C">
        <w:rPr>
          <w:i/>
          <w:lang w:val="en-US"/>
        </w:rPr>
        <w:t>3.</w:t>
      </w:r>
      <w:r w:rsidR="00FD39B4" w:rsidRPr="0021142C">
        <w:rPr>
          <w:i/>
          <w:lang w:val="en-US"/>
        </w:rPr>
        <w:t>3</w:t>
      </w:r>
      <w:r w:rsidR="001C438A" w:rsidRPr="0021142C">
        <w:rPr>
          <w:i/>
          <w:lang w:val="en-US"/>
        </w:rPr>
        <w:t>.</w:t>
      </w:r>
      <w:r w:rsidR="00FD39B4" w:rsidRPr="0021142C">
        <w:rPr>
          <w:i/>
          <w:lang w:val="en-US"/>
        </w:rPr>
        <w:t xml:space="preserve"> Test 2: Policy implications</w:t>
      </w:r>
    </w:p>
    <w:p w14:paraId="434085E1" w14:textId="289846F0" w:rsidR="00FD39B4" w:rsidRPr="0021142C" w:rsidRDefault="00FD39B4" w:rsidP="00BB4444">
      <w:pPr>
        <w:spacing w:line="480" w:lineRule="auto"/>
        <w:jc w:val="both"/>
        <w:rPr>
          <w:lang w:val="en-US"/>
        </w:rPr>
      </w:pPr>
      <w:r w:rsidRPr="0021142C">
        <w:rPr>
          <w:lang w:val="en-US"/>
        </w:rPr>
        <w:t xml:space="preserve">There are </w:t>
      </w:r>
      <w:r w:rsidR="002B6826" w:rsidRPr="0021142C">
        <w:rPr>
          <w:lang w:val="en-US"/>
        </w:rPr>
        <w:t>specific</w:t>
      </w:r>
      <w:r w:rsidRPr="0021142C">
        <w:rPr>
          <w:lang w:val="en-US"/>
        </w:rPr>
        <w:t xml:space="preserve"> policy </w:t>
      </w:r>
      <w:r w:rsidR="002B6826" w:rsidRPr="0021142C">
        <w:rPr>
          <w:lang w:val="en-US"/>
        </w:rPr>
        <w:t xml:space="preserve">predictions </w:t>
      </w:r>
      <w:r w:rsidRPr="0021142C">
        <w:rPr>
          <w:lang w:val="en-US"/>
        </w:rPr>
        <w:t xml:space="preserve">from models embodying different </w:t>
      </w:r>
      <w:r w:rsidR="00AB35AE" w:rsidRPr="0021142C">
        <w:rPr>
          <w:lang w:val="en-US"/>
        </w:rPr>
        <w:t xml:space="preserve">motivations </w:t>
      </w:r>
      <w:r w:rsidR="00B00661" w:rsidRPr="0021142C">
        <w:rPr>
          <w:lang w:val="en-US"/>
        </w:rPr>
        <w:t>related to</w:t>
      </w:r>
      <w:r w:rsidR="00AB35AE" w:rsidRPr="0021142C">
        <w:rPr>
          <w:lang w:val="en-US"/>
        </w:rPr>
        <w:t xml:space="preserve"> </w:t>
      </w:r>
      <w:r w:rsidRPr="0021142C">
        <w:rPr>
          <w:lang w:val="en-US"/>
        </w:rPr>
        <w:t xml:space="preserve">social interactions, and in this sense Test 2 is satisfied. </w:t>
      </w:r>
      <w:r w:rsidR="002B6826" w:rsidRPr="0021142C">
        <w:rPr>
          <w:lang w:val="en-US"/>
        </w:rPr>
        <w:t>E</w:t>
      </w:r>
      <w:r w:rsidRPr="0021142C">
        <w:rPr>
          <w:lang w:val="en-US"/>
        </w:rPr>
        <w:t xml:space="preserve">ach motive suggests meaningfully different implications for policies to promote healthy outcomes. If social learning is most prominent, an appropriate policy would be to provide precise information about others’ health </w:t>
      </w:r>
      <w:r w:rsidR="001755C1" w:rsidRPr="0021142C">
        <w:rPr>
          <w:lang w:val="en-US"/>
        </w:rPr>
        <w:t>behavior</w:t>
      </w:r>
      <w:r w:rsidRPr="0021142C">
        <w:rPr>
          <w:lang w:val="en-US"/>
        </w:rPr>
        <w:t xml:space="preserve">, and also the consequence of the </w:t>
      </w:r>
      <w:r w:rsidR="001755C1" w:rsidRPr="0021142C">
        <w:rPr>
          <w:lang w:val="en-US"/>
        </w:rPr>
        <w:t>behavior</w:t>
      </w:r>
      <w:r w:rsidRPr="0021142C">
        <w:rPr>
          <w:lang w:val="en-US"/>
        </w:rPr>
        <w:t>, through health educational policies. There is evidence that over-estimation of peers’ smoking rate is a significant determinant of smoking among adolescents (</w:t>
      </w:r>
      <w:r w:rsidR="00B756AB" w:rsidRPr="0021142C">
        <w:rPr>
          <w:lang w:val="en-US"/>
        </w:rPr>
        <w:t xml:space="preserve">Reid et </w:t>
      </w:r>
      <w:r w:rsidR="00792C77" w:rsidRPr="0021142C">
        <w:rPr>
          <w:lang w:val="en-US"/>
        </w:rPr>
        <w:t>al</w:t>
      </w:r>
      <w:r w:rsidR="00710194" w:rsidRPr="0021142C">
        <w:rPr>
          <w:lang w:val="en-US"/>
        </w:rPr>
        <w:t>.</w:t>
      </w:r>
      <w:r w:rsidR="00B756AB" w:rsidRPr="0021142C">
        <w:rPr>
          <w:lang w:val="en-US"/>
        </w:rPr>
        <w:t xml:space="preserve"> 2008</w:t>
      </w:r>
      <w:r w:rsidRPr="0021142C">
        <w:rPr>
          <w:lang w:val="en-US"/>
        </w:rPr>
        <w:t xml:space="preserve">). Also, if the reason for conformity is uncertainty in preference, </w:t>
      </w:r>
      <w:r w:rsidR="00533B83" w:rsidRPr="0021142C">
        <w:rPr>
          <w:lang w:val="en-US"/>
        </w:rPr>
        <w:t>labelling</w:t>
      </w:r>
      <w:r w:rsidRPr="0021142C">
        <w:rPr>
          <w:lang w:val="en-US"/>
        </w:rPr>
        <w:t xml:space="preserve"> and setting a default option in </w:t>
      </w:r>
      <w:r w:rsidR="00533B83" w:rsidRPr="0021142C">
        <w:rPr>
          <w:lang w:val="en-US"/>
        </w:rPr>
        <w:t>favor</w:t>
      </w:r>
      <w:r w:rsidRPr="0021142C">
        <w:rPr>
          <w:lang w:val="en-US"/>
        </w:rPr>
        <w:t xml:space="preserve"> of healthier </w:t>
      </w:r>
      <w:r w:rsidR="001755C1" w:rsidRPr="0021142C">
        <w:rPr>
          <w:lang w:val="en-US"/>
        </w:rPr>
        <w:t xml:space="preserve">behavior </w:t>
      </w:r>
      <w:r w:rsidRPr="0021142C">
        <w:rPr>
          <w:lang w:val="en-US"/>
        </w:rPr>
        <w:t>would be helpful</w:t>
      </w:r>
      <w:r w:rsidR="002B1675" w:rsidRPr="0021142C">
        <w:rPr>
          <w:lang w:val="en-US"/>
        </w:rPr>
        <w:t xml:space="preserve"> (Wisdom </w:t>
      </w:r>
      <w:r w:rsidR="00710194" w:rsidRPr="0021142C">
        <w:rPr>
          <w:lang w:val="en-US"/>
        </w:rPr>
        <w:t>et al.</w:t>
      </w:r>
      <w:r w:rsidR="002B1675" w:rsidRPr="0021142C">
        <w:rPr>
          <w:lang w:val="en-US"/>
        </w:rPr>
        <w:t xml:space="preserve"> 2010)</w:t>
      </w:r>
      <w:r w:rsidRPr="0021142C">
        <w:rPr>
          <w:lang w:val="en-US"/>
        </w:rPr>
        <w:t>.</w:t>
      </w:r>
    </w:p>
    <w:p w14:paraId="1D5CD432" w14:textId="77777777" w:rsidR="00FD39B4" w:rsidRPr="0021142C" w:rsidRDefault="00FD39B4" w:rsidP="00BB4444">
      <w:pPr>
        <w:spacing w:line="480" w:lineRule="auto"/>
        <w:jc w:val="both"/>
        <w:rPr>
          <w:lang w:val="en-US"/>
        </w:rPr>
      </w:pPr>
    </w:p>
    <w:p w14:paraId="0D453245" w14:textId="7C26489E" w:rsidR="00FD39B4" w:rsidRPr="0021142C" w:rsidRDefault="00FD39B4" w:rsidP="00BB4444">
      <w:pPr>
        <w:spacing w:line="480" w:lineRule="auto"/>
        <w:jc w:val="both"/>
        <w:rPr>
          <w:lang w:val="en-US"/>
        </w:rPr>
      </w:pPr>
      <w:r w:rsidRPr="0021142C">
        <w:rPr>
          <w:lang w:val="en-US"/>
        </w:rPr>
        <w:t xml:space="preserve">If social comparison is important, giving information about the “right” </w:t>
      </w:r>
      <w:r w:rsidR="001755C1" w:rsidRPr="0021142C">
        <w:rPr>
          <w:lang w:val="en-US"/>
        </w:rPr>
        <w:t xml:space="preserve">behavior </w:t>
      </w:r>
      <w:r w:rsidRPr="0021142C">
        <w:rPr>
          <w:lang w:val="en-US"/>
        </w:rPr>
        <w:t xml:space="preserve">will not work, because individuals follow peers irrespective of how healthy or unhealthy the </w:t>
      </w:r>
      <w:r w:rsidR="001755C1" w:rsidRPr="0021142C">
        <w:rPr>
          <w:lang w:val="en-US"/>
        </w:rPr>
        <w:t xml:space="preserve">behavior </w:t>
      </w:r>
      <w:r w:rsidRPr="0021142C">
        <w:rPr>
          <w:lang w:val="en-US"/>
        </w:rPr>
        <w:t xml:space="preserve">may be. A possible policy would then require </w:t>
      </w:r>
      <w:r w:rsidR="00842D8F" w:rsidRPr="0021142C">
        <w:rPr>
          <w:lang w:val="en-US"/>
        </w:rPr>
        <w:t>incentivizing</w:t>
      </w:r>
      <w:r w:rsidRPr="0021142C">
        <w:rPr>
          <w:lang w:val="en-US"/>
        </w:rPr>
        <w:t xml:space="preserve"> a shift to a healthier </w:t>
      </w:r>
      <w:r w:rsidR="001755C1" w:rsidRPr="0021142C">
        <w:rPr>
          <w:lang w:val="en-US"/>
        </w:rPr>
        <w:t xml:space="preserve">behavior </w:t>
      </w:r>
      <w:r w:rsidRPr="0021142C">
        <w:rPr>
          <w:lang w:val="en-US"/>
        </w:rPr>
        <w:t xml:space="preserve">equilibrium. For example, the government or schools can increase punishment for youth smoking. The government could also subsidize healthier options such as gym charge. </w:t>
      </w:r>
    </w:p>
    <w:p w14:paraId="32A64C12" w14:textId="77777777" w:rsidR="00FD39B4" w:rsidRPr="0021142C" w:rsidRDefault="00FD39B4" w:rsidP="00BB4444">
      <w:pPr>
        <w:spacing w:line="480" w:lineRule="auto"/>
        <w:jc w:val="both"/>
        <w:rPr>
          <w:lang w:val="en-US"/>
        </w:rPr>
      </w:pPr>
    </w:p>
    <w:p w14:paraId="30C12190" w14:textId="63BCE27D" w:rsidR="00FD39B4" w:rsidRPr="0021142C" w:rsidRDefault="00FD39B4" w:rsidP="00BB4444">
      <w:pPr>
        <w:spacing w:line="480" w:lineRule="auto"/>
        <w:jc w:val="both"/>
        <w:rPr>
          <w:lang w:val="en-US"/>
        </w:rPr>
      </w:pPr>
      <w:r w:rsidRPr="0021142C">
        <w:rPr>
          <w:lang w:val="en-US"/>
        </w:rPr>
        <w:t>If self-esteem, moral or social scrutiny is a main driver of peer effects, a less resource-intensive policy could be effective to manipulate the perceived norm. For example, media has strong power on one’s perception over what others think desirable. Therefore campaigning to change normative expectation through media, or restricting the exposure to unhealthier norms, may prove to be an effective intervention.</w:t>
      </w:r>
    </w:p>
    <w:p w14:paraId="7C314EAD" w14:textId="77777777" w:rsidR="00FD39B4" w:rsidRPr="0021142C" w:rsidRDefault="00FD39B4" w:rsidP="00BB4444">
      <w:pPr>
        <w:spacing w:line="480" w:lineRule="auto"/>
        <w:jc w:val="both"/>
        <w:rPr>
          <w:lang w:val="en-US"/>
        </w:rPr>
      </w:pPr>
      <w:r w:rsidRPr="0021142C">
        <w:rPr>
          <w:lang w:val="en-US"/>
        </w:rPr>
        <w:t xml:space="preserve"> </w:t>
      </w:r>
    </w:p>
    <w:p w14:paraId="0AA439FD" w14:textId="79119CE5" w:rsidR="00FD39B4" w:rsidRPr="0021142C" w:rsidRDefault="00801473" w:rsidP="00BB4444">
      <w:pPr>
        <w:spacing w:line="480" w:lineRule="auto"/>
        <w:jc w:val="both"/>
        <w:rPr>
          <w:i/>
          <w:lang w:val="en-US"/>
        </w:rPr>
      </w:pPr>
      <w:r w:rsidRPr="0021142C">
        <w:rPr>
          <w:i/>
          <w:lang w:val="en-US"/>
        </w:rPr>
        <w:t>3.</w:t>
      </w:r>
      <w:r w:rsidR="00FD39B4" w:rsidRPr="0021142C">
        <w:rPr>
          <w:i/>
          <w:lang w:val="en-US"/>
        </w:rPr>
        <w:t>4</w:t>
      </w:r>
      <w:r w:rsidR="001C438A" w:rsidRPr="0021142C">
        <w:rPr>
          <w:i/>
          <w:lang w:val="en-US"/>
        </w:rPr>
        <w:t>.</w:t>
      </w:r>
      <w:r w:rsidR="00FD39B4" w:rsidRPr="0021142C">
        <w:rPr>
          <w:i/>
          <w:lang w:val="en-US"/>
        </w:rPr>
        <w:t xml:space="preserve"> Test 3: Empirical evidence</w:t>
      </w:r>
    </w:p>
    <w:p w14:paraId="1EBE7E0E" w14:textId="6049B072" w:rsidR="00FD39B4" w:rsidRPr="0021142C" w:rsidRDefault="00FD39B4" w:rsidP="00BB4444">
      <w:pPr>
        <w:spacing w:line="480" w:lineRule="auto"/>
        <w:jc w:val="both"/>
        <w:rPr>
          <w:lang w:val="en-US"/>
        </w:rPr>
      </w:pPr>
      <w:r w:rsidRPr="0021142C">
        <w:rPr>
          <w:lang w:val="en-US"/>
        </w:rPr>
        <w:t xml:space="preserve">Test 3 requires us to find evidence able to corroborate </w:t>
      </w:r>
      <w:r w:rsidR="002B6826" w:rsidRPr="0021142C">
        <w:rPr>
          <w:lang w:val="en-US"/>
        </w:rPr>
        <w:t xml:space="preserve">the </w:t>
      </w:r>
      <w:r w:rsidRPr="0021142C">
        <w:rPr>
          <w:lang w:val="en-US"/>
        </w:rPr>
        <w:t xml:space="preserve">specific </w:t>
      </w:r>
      <w:r w:rsidR="002B6826" w:rsidRPr="0021142C">
        <w:rPr>
          <w:lang w:val="en-US"/>
        </w:rPr>
        <w:t xml:space="preserve">predictions associated to the different </w:t>
      </w:r>
      <w:r w:rsidRPr="0021142C">
        <w:rPr>
          <w:lang w:val="en-US"/>
        </w:rPr>
        <w:t xml:space="preserve">motivations </w:t>
      </w:r>
      <w:r w:rsidR="002B6826" w:rsidRPr="0021142C">
        <w:rPr>
          <w:lang w:val="en-US"/>
        </w:rPr>
        <w:t>associated to models linked to different motivations</w:t>
      </w:r>
      <w:r w:rsidRPr="0021142C">
        <w:rPr>
          <w:lang w:val="en-US"/>
        </w:rPr>
        <w:t>.</w:t>
      </w:r>
    </w:p>
    <w:p w14:paraId="0CF69E1B" w14:textId="77777777" w:rsidR="00FD39B4" w:rsidRPr="0021142C" w:rsidRDefault="00FD39B4" w:rsidP="00BB4444">
      <w:pPr>
        <w:spacing w:line="480" w:lineRule="auto"/>
        <w:jc w:val="both"/>
        <w:rPr>
          <w:lang w:val="en-US"/>
        </w:rPr>
      </w:pPr>
    </w:p>
    <w:p w14:paraId="6C1C1C11" w14:textId="49B1785C" w:rsidR="00FD39B4" w:rsidRPr="0021142C" w:rsidRDefault="00FD39B4" w:rsidP="00BB4444">
      <w:pPr>
        <w:spacing w:line="480" w:lineRule="auto"/>
        <w:jc w:val="both"/>
        <w:rPr>
          <w:lang w:val="en-US"/>
        </w:rPr>
      </w:pPr>
      <w:r w:rsidRPr="0021142C">
        <w:rPr>
          <w:i/>
          <w:iCs/>
          <w:lang w:val="en-US"/>
        </w:rPr>
        <w:t>Experimental evidence</w:t>
      </w:r>
      <w:r w:rsidRPr="0021142C">
        <w:rPr>
          <w:lang w:val="en-US"/>
        </w:rPr>
        <w:t xml:space="preserve">. Interventions through social interactions to health </w:t>
      </w:r>
      <w:r w:rsidR="001755C1" w:rsidRPr="0021142C">
        <w:rPr>
          <w:lang w:val="en-US"/>
        </w:rPr>
        <w:t xml:space="preserve">behavior </w:t>
      </w:r>
      <w:r w:rsidRPr="0021142C">
        <w:rPr>
          <w:lang w:val="en-US"/>
        </w:rPr>
        <w:t xml:space="preserve">have been mainly outside the economics literature. Most of such experimental studies examine information-giving type interventions. For example, in a laboratory, providing information about norms, such as others’ attitude towards food and actual food consumption, can influence own </w:t>
      </w:r>
      <w:r w:rsidR="001755C1" w:rsidRPr="0021142C">
        <w:rPr>
          <w:lang w:val="en-US"/>
        </w:rPr>
        <w:t>behavior</w:t>
      </w:r>
      <w:r w:rsidR="008F0855" w:rsidRPr="0021142C">
        <w:rPr>
          <w:lang w:val="en-US"/>
        </w:rPr>
        <w:t xml:space="preserve"> </w:t>
      </w:r>
      <w:r w:rsidRPr="0021142C">
        <w:rPr>
          <w:lang w:val="en-US"/>
        </w:rPr>
        <w:t xml:space="preserve">(Croker </w:t>
      </w:r>
      <w:r w:rsidR="00710194" w:rsidRPr="0021142C">
        <w:rPr>
          <w:lang w:val="en-US"/>
        </w:rPr>
        <w:t>et al.</w:t>
      </w:r>
      <w:r w:rsidRPr="0021142C">
        <w:rPr>
          <w:lang w:val="en-US"/>
        </w:rPr>
        <w:t xml:space="preserve"> 2009; </w:t>
      </w:r>
      <w:proofErr w:type="spellStart"/>
      <w:r w:rsidR="00B756AB" w:rsidRPr="0021142C">
        <w:rPr>
          <w:lang w:val="en-US"/>
        </w:rPr>
        <w:t>Pliner</w:t>
      </w:r>
      <w:proofErr w:type="spellEnd"/>
      <w:r w:rsidR="00B756AB" w:rsidRPr="0021142C">
        <w:rPr>
          <w:lang w:val="en-US"/>
        </w:rPr>
        <w:t xml:space="preserve"> and Mann 2004</w:t>
      </w:r>
      <w:r w:rsidRPr="0021142C">
        <w:rPr>
          <w:lang w:val="en-US"/>
        </w:rPr>
        <w:t>). Also, providing web-based and face-to-face feedback about norms can reduce alcohol misuse among college students (</w:t>
      </w:r>
      <w:r w:rsidR="00B756AB" w:rsidRPr="0021142C">
        <w:rPr>
          <w:lang w:val="en-US"/>
        </w:rPr>
        <w:t xml:space="preserve">Moreira et </w:t>
      </w:r>
      <w:r w:rsidR="00792C77" w:rsidRPr="0021142C">
        <w:rPr>
          <w:lang w:val="en-US"/>
        </w:rPr>
        <w:t>al</w:t>
      </w:r>
      <w:r w:rsidR="00710194" w:rsidRPr="0021142C">
        <w:rPr>
          <w:lang w:val="en-US"/>
        </w:rPr>
        <w:t>.</w:t>
      </w:r>
      <w:r w:rsidR="00B756AB" w:rsidRPr="0021142C">
        <w:rPr>
          <w:lang w:val="en-US"/>
        </w:rPr>
        <w:t xml:space="preserve"> 20</w:t>
      </w:r>
      <w:r w:rsidRPr="0021142C">
        <w:rPr>
          <w:lang w:val="en-US"/>
        </w:rPr>
        <w:t>09). While evidence of the effectiveness of providing information seems most consistent with a social learning story, it could equally be consistent with the other two motivations: it could provide information relevant for social comparison and, in a social scrutiny perspective, it could make clear what the norm is and indeed what the experimenter wants experimental subjects to do</w:t>
      </w:r>
      <w:r w:rsidR="00417837" w:rsidRPr="0021142C">
        <w:rPr>
          <w:lang w:val="en-US"/>
        </w:rPr>
        <w:t xml:space="preserve"> (Zizzo 2010)</w:t>
      </w:r>
      <w:r w:rsidRPr="0021142C">
        <w:rPr>
          <w:lang w:val="en-US"/>
        </w:rPr>
        <w:t xml:space="preserve">. </w:t>
      </w:r>
      <w:r w:rsidR="00B756AB" w:rsidRPr="0021142C">
        <w:rPr>
          <w:lang w:val="en-US"/>
        </w:rPr>
        <w:t>Zafar’s (2011)</w:t>
      </w:r>
      <w:r w:rsidRPr="0021142C">
        <w:rPr>
          <w:lang w:val="en-US"/>
        </w:rPr>
        <w:t xml:space="preserve"> experiment usefully tries to decompose social comparison and social scrutiny motives on charitable </w:t>
      </w:r>
      <w:r w:rsidR="001755C1" w:rsidRPr="0021142C">
        <w:rPr>
          <w:lang w:val="en-US"/>
        </w:rPr>
        <w:t>behavior</w:t>
      </w:r>
      <w:r w:rsidRPr="0021142C">
        <w:rPr>
          <w:lang w:val="en-US"/>
        </w:rPr>
        <w:t xml:space="preserve">. Image concern is controlled by restricting the observability of one’s donating </w:t>
      </w:r>
      <w:r w:rsidR="001755C1" w:rsidRPr="0021142C">
        <w:rPr>
          <w:lang w:val="en-US"/>
        </w:rPr>
        <w:t>behavior</w:t>
      </w:r>
      <w:r w:rsidRPr="0021142C">
        <w:rPr>
          <w:lang w:val="en-US"/>
        </w:rPr>
        <w:t xml:space="preserve">, so that there is no chance to earn esteem. The result indicates that both motives effectively influence </w:t>
      </w:r>
      <w:r w:rsidR="001755C1" w:rsidRPr="0021142C">
        <w:rPr>
          <w:lang w:val="en-US"/>
        </w:rPr>
        <w:t>behavior</w:t>
      </w:r>
      <w:r w:rsidRPr="0021142C">
        <w:rPr>
          <w:lang w:val="en-US"/>
        </w:rPr>
        <w:t>. However, the experiment is not in a health context and does not control for</w:t>
      </w:r>
      <w:r w:rsidR="00EE3615" w:rsidRPr="0021142C">
        <w:rPr>
          <w:lang w:val="en-US"/>
        </w:rPr>
        <w:t xml:space="preserve"> </w:t>
      </w:r>
      <w:r w:rsidRPr="0021142C">
        <w:rPr>
          <w:lang w:val="en-US"/>
        </w:rPr>
        <w:t>social learning.</w:t>
      </w:r>
    </w:p>
    <w:p w14:paraId="0D6DA31A" w14:textId="77777777" w:rsidR="00FD39B4" w:rsidRPr="0021142C" w:rsidRDefault="00FD39B4" w:rsidP="00BB4444">
      <w:pPr>
        <w:spacing w:line="480" w:lineRule="auto"/>
        <w:jc w:val="both"/>
        <w:rPr>
          <w:b/>
          <w:bCs/>
          <w:color w:val="131413"/>
          <w:lang w:val="en-US"/>
        </w:rPr>
      </w:pPr>
    </w:p>
    <w:p w14:paraId="4216D7B7" w14:textId="15CBD0A1" w:rsidR="00FD39B4" w:rsidRPr="0021142C" w:rsidRDefault="00FD39B4" w:rsidP="00BB4444">
      <w:pPr>
        <w:spacing w:line="480" w:lineRule="auto"/>
        <w:jc w:val="both"/>
        <w:rPr>
          <w:lang w:val="en-US"/>
        </w:rPr>
      </w:pPr>
      <w:r w:rsidRPr="0021142C">
        <w:rPr>
          <w:i/>
          <w:iCs/>
          <w:lang w:val="en-US"/>
        </w:rPr>
        <w:t>Non-experimental evidence</w:t>
      </w:r>
      <w:r w:rsidRPr="0021142C">
        <w:rPr>
          <w:lang w:val="en-US"/>
        </w:rPr>
        <w:t xml:space="preserve">. </w:t>
      </w:r>
      <w:r w:rsidR="004C4939" w:rsidRPr="0021142C">
        <w:rPr>
          <w:lang w:val="en-US"/>
        </w:rPr>
        <w:t>Non</w:t>
      </w:r>
      <w:r w:rsidR="00EA5A3B" w:rsidRPr="0021142C">
        <w:rPr>
          <w:lang w:val="en-US"/>
        </w:rPr>
        <w:t>-</w:t>
      </w:r>
      <w:r w:rsidR="004C4939" w:rsidRPr="0021142C">
        <w:rPr>
          <w:lang w:val="en-US"/>
        </w:rPr>
        <w:t xml:space="preserve">experimental </w:t>
      </w:r>
      <w:r w:rsidRPr="0021142C">
        <w:rPr>
          <w:lang w:val="en-US"/>
        </w:rPr>
        <w:t xml:space="preserve">studies in this particular field - perhaps understandably - do not appear to be well connected to theoretical implications. So far the main purpose of the econometric studies has been to identify the </w:t>
      </w:r>
      <w:r w:rsidR="004C4939" w:rsidRPr="0021142C">
        <w:rPr>
          <w:lang w:val="en-US"/>
        </w:rPr>
        <w:t xml:space="preserve">causal </w:t>
      </w:r>
      <w:r w:rsidRPr="0021142C">
        <w:rPr>
          <w:lang w:val="en-US"/>
        </w:rPr>
        <w:t xml:space="preserve">effect of peers’ </w:t>
      </w:r>
      <w:r w:rsidR="001755C1" w:rsidRPr="0021142C">
        <w:rPr>
          <w:lang w:val="en-US"/>
        </w:rPr>
        <w:t xml:space="preserve">behavior </w:t>
      </w:r>
      <w:r w:rsidRPr="0021142C">
        <w:rPr>
          <w:lang w:val="en-US"/>
        </w:rPr>
        <w:t xml:space="preserve">on one’s own </w:t>
      </w:r>
      <w:r w:rsidR="001755C1" w:rsidRPr="0021142C">
        <w:rPr>
          <w:lang w:val="en-US"/>
        </w:rPr>
        <w:t>behavior</w:t>
      </w:r>
      <w:r w:rsidRPr="0021142C">
        <w:rPr>
          <w:lang w:val="en-US"/>
        </w:rPr>
        <w:t>,</w:t>
      </w:r>
      <w:r w:rsidR="004C4939" w:rsidRPr="0021142C">
        <w:rPr>
          <w:lang w:val="en-US"/>
        </w:rPr>
        <w:t xml:space="preserve"> and this is where (</w:t>
      </w:r>
      <w:r w:rsidR="00E8610D" w:rsidRPr="0021142C">
        <w:rPr>
          <w:lang w:val="en-US"/>
        </w:rPr>
        <w:t>behavioral</w:t>
      </w:r>
      <w:r w:rsidR="004C4939" w:rsidRPr="0021142C">
        <w:rPr>
          <w:lang w:val="en-US"/>
        </w:rPr>
        <w:t>) economists have made major methodological contributions to the literature. However,</w:t>
      </w:r>
      <w:r w:rsidRPr="0021142C">
        <w:rPr>
          <w:lang w:val="en-US"/>
        </w:rPr>
        <w:t xml:space="preserve"> </w:t>
      </w:r>
      <w:r w:rsidR="004C4939" w:rsidRPr="0021142C">
        <w:rPr>
          <w:lang w:val="en-US"/>
        </w:rPr>
        <w:t>so far the studies typically do not fully address the</w:t>
      </w:r>
      <w:r w:rsidRPr="0021142C">
        <w:rPr>
          <w:lang w:val="en-US"/>
        </w:rPr>
        <w:t xml:space="preserve"> motives underlying peer effects. </w:t>
      </w:r>
      <w:r w:rsidR="003E5120" w:rsidRPr="0021142C">
        <w:rPr>
          <w:lang w:val="en-US"/>
        </w:rPr>
        <w:t xml:space="preserve">See </w:t>
      </w:r>
      <w:r w:rsidR="001A4F6D" w:rsidRPr="0021142C">
        <w:rPr>
          <w:lang w:val="en-US"/>
        </w:rPr>
        <w:t>Table</w:t>
      </w:r>
      <w:r w:rsidRPr="0021142C">
        <w:rPr>
          <w:lang w:val="en-US"/>
        </w:rPr>
        <w:t xml:space="preserve"> </w:t>
      </w:r>
      <w:r w:rsidR="001E2985" w:rsidRPr="0021142C">
        <w:rPr>
          <w:lang w:val="en-US"/>
        </w:rPr>
        <w:t>A</w:t>
      </w:r>
      <w:r w:rsidRPr="0021142C">
        <w:rPr>
          <w:lang w:val="en-US"/>
        </w:rPr>
        <w:t xml:space="preserve">1 </w:t>
      </w:r>
      <w:r w:rsidR="00901AFB">
        <w:rPr>
          <w:lang w:val="en-US"/>
        </w:rPr>
        <w:t xml:space="preserve">in the </w:t>
      </w:r>
      <w:r w:rsidR="00ED0432">
        <w:rPr>
          <w:lang w:val="en-US"/>
        </w:rPr>
        <w:t>Online Appendix</w:t>
      </w:r>
      <w:r w:rsidR="00901AFB" w:rsidRPr="0021142C">
        <w:rPr>
          <w:lang w:val="en-US"/>
        </w:rPr>
        <w:t xml:space="preserve"> </w:t>
      </w:r>
      <w:r w:rsidR="003E5120" w:rsidRPr="0021142C">
        <w:rPr>
          <w:lang w:val="en-US"/>
        </w:rPr>
        <w:t xml:space="preserve">for a </w:t>
      </w:r>
      <w:r w:rsidRPr="0021142C">
        <w:rPr>
          <w:lang w:val="en-US"/>
        </w:rPr>
        <w:t>list</w:t>
      </w:r>
      <w:r w:rsidR="003E5120" w:rsidRPr="0021142C">
        <w:rPr>
          <w:lang w:val="en-US"/>
        </w:rPr>
        <w:t xml:space="preserve"> of</w:t>
      </w:r>
      <w:r w:rsidRPr="0021142C">
        <w:rPr>
          <w:lang w:val="en-US"/>
        </w:rPr>
        <w:t xml:space="preserve"> </w:t>
      </w:r>
      <w:r w:rsidR="00C03FE7" w:rsidRPr="0021142C">
        <w:rPr>
          <w:lang w:val="en-US"/>
        </w:rPr>
        <w:t>3</w:t>
      </w:r>
      <w:r w:rsidR="00BE4AE8" w:rsidRPr="0021142C">
        <w:rPr>
          <w:lang w:val="en-US"/>
        </w:rPr>
        <w:t>6</w:t>
      </w:r>
      <w:r w:rsidR="00C03FE7" w:rsidRPr="0021142C">
        <w:rPr>
          <w:lang w:val="en-US"/>
        </w:rPr>
        <w:t xml:space="preserve"> </w:t>
      </w:r>
      <w:r w:rsidRPr="0021142C">
        <w:rPr>
          <w:lang w:val="en-US"/>
        </w:rPr>
        <w:t xml:space="preserve">relevant </w:t>
      </w:r>
      <w:r w:rsidR="00C0457D" w:rsidRPr="0021142C">
        <w:rPr>
          <w:lang w:val="en-US"/>
        </w:rPr>
        <w:t xml:space="preserve">econometric </w:t>
      </w:r>
      <w:r w:rsidR="00C03FE7" w:rsidRPr="0021142C">
        <w:rPr>
          <w:lang w:val="en-US"/>
        </w:rPr>
        <w:t xml:space="preserve">and experimental </w:t>
      </w:r>
      <w:r w:rsidRPr="0021142C">
        <w:rPr>
          <w:lang w:val="en-US"/>
        </w:rPr>
        <w:t xml:space="preserve">studies. Out of these, </w:t>
      </w:r>
      <w:r w:rsidR="00C03FE7" w:rsidRPr="0021142C">
        <w:rPr>
          <w:lang w:val="en-US"/>
        </w:rPr>
        <w:t xml:space="preserve">15 </w:t>
      </w:r>
      <w:r w:rsidRPr="0021142C">
        <w:rPr>
          <w:lang w:val="en-US"/>
        </w:rPr>
        <w:t>studies investigate the peer associations in food consumption and body weight</w:t>
      </w:r>
      <w:r w:rsidR="003E5120" w:rsidRPr="0021142C">
        <w:rPr>
          <w:lang w:val="en-US"/>
        </w:rPr>
        <w:t xml:space="preserve">; 17 studies </w:t>
      </w:r>
      <w:r w:rsidR="002C24C9" w:rsidRPr="0021142C">
        <w:rPr>
          <w:lang w:val="en-US"/>
        </w:rPr>
        <w:t xml:space="preserve">are </w:t>
      </w:r>
      <w:r w:rsidR="003E5120" w:rsidRPr="0021142C">
        <w:rPr>
          <w:lang w:val="en-US"/>
        </w:rPr>
        <w:t xml:space="preserve">on substance use (in particular tobacco and alcohol); </w:t>
      </w:r>
      <w:r w:rsidR="00BE4AE8" w:rsidRPr="0021142C">
        <w:rPr>
          <w:lang w:val="en-US"/>
        </w:rPr>
        <w:t>4</w:t>
      </w:r>
      <w:r w:rsidR="003E5120" w:rsidRPr="0021142C">
        <w:rPr>
          <w:lang w:val="en-US"/>
        </w:rPr>
        <w:t xml:space="preserve"> </w:t>
      </w:r>
      <w:r w:rsidR="002C24C9" w:rsidRPr="0021142C">
        <w:rPr>
          <w:lang w:val="en-US"/>
        </w:rPr>
        <w:t xml:space="preserve">are </w:t>
      </w:r>
      <w:r w:rsidR="003E5120" w:rsidRPr="0021142C">
        <w:rPr>
          <w:lang w:val="en-US"/>
        </w:rPr>
        <w:t xml:space="preserve">studies on </w:t>
      </w:r>
      <w:r w:rsidR="00C03FE7" w:rsidRPr="0021142C">
        <w:rPr>
          <w:lang w:val="en-US"/>
        </w:rPr>
        <w:t>other outcomes (e.g. healthcare plan choice</w:t>
      </w:r>
      <w:r w:rsidR="00BE4AE8" w:rsidRPr="0021142C">
        <w:rPr>
          <w:lang w:val="en-US"/>
        </w:rPr>
        <w:t>, sick leave</w:t>
      </w:r>
      <w:r w:rsidR="00C03FE7" w:rsidRPr="0021142C">
        <w:rPr>
          <w:lang w:val="en-US"/>
        </w:rPr>
        <w:t>)</w:t>
      </w:r>
      <w:r w:rsidR="003E5120" w:rsidRPr="0021142C">
        <w:rPr>
          <w:lang w:val="en-US"/>
        </w:rPr>
        <w:t xml:space="preserve">. </w:t>
      </w:r>
      <w:r w:rsidRPr="0021142C">
        <w:rPr>
          <w:lang w:val="en-US"/>
        </w:rPr>
        <w:t>The definition of social group (peers) varies remarkably from broader level (e.g. same sex, same country) to narrow levels (</w:t>
      </w:r>
      <w:r w:rsidR="00BE4AE8" w:rsidRPr="0021142C">
        <w:rPr>
          <w:lang w:val="en-US"/>
        </w:rPr>
        <w:t xml:space="preserve">neighborhood, </w:t>
      </w:r>
      <w:r w:rsidRPr="0021142C">
        <w:rPr>
          <w:lang w:val="en-US"/>
        </w:rPr>
        <w:t xml:space="preserve">classmates, roommates and close friends). Some studies build theoretical models (as shown in the previous subsection), or explicitly mention some background theoretical implications to motivate their empirical investigations. </w:t>
      </w:r>
    </w:p>
    <w:p w14:paraId="015E54F6" w14:textId="77777777" w:rsidR="00FD39B4" w:rsidRPr="0021142C" w:rsidRDefault="00FD39B4" w:rsidP="00BB4444">
      <w:pPr>
        <w:spacing w:line="480" w:lineRule="auto"/>
        <w:jc w:val="both"/>
        <w:rPr>
          <w:lang w:val="en-US"/>
        </w:rPr>
      </w:pPr>
    </w:p>
    <w:p w14:paraId="07738C40" w14:textId="38B0C0BD" w:rsidR="00FD39B4" w:rsidRPr="0021142C" w:rsidRDefault="00FD39B4" w:rsidP="00BB4444">
      <w:pPr>
        <w:spacing w:line="480" w:lineRule="auto"/>
        <w:jc w:val="both"/>
        <w:rPr>
          <w:lang w:val="en-US"/>
        </w:rPr>
      </w:pPr>
      <w:r w:rsidRPr="0021142C">
        <w:rPr>
          <w:lang w:val="en-US"/>
        </w:rPr>
        <w:t xml:space="preserve">The interpretability of regression coefficients is </w:t>
      </w:r>
      <w:r w:rsidR="008F0855" w:rsidRPr="0021142C">
        <w:rPr>
          <w:lang w:val="en-US"/>
        </w:rPr>
        <w:t>a</w:t>
      </w:r>
      <w:r w:rsidRPr="0021142C">
        <w:rPr>
          <w:lang w:val="en-US"/>
        </w:rPr>
        <w:t xml:space="preserve"> challenging point for econometric studies. A simple statistical association between peers </w:t>
      </w:r>
      <w:r w:rsidR="001755C1" w:rsidRPr="0021142C">
        <w:rPr>
          <w:lang w:val="en-US"/>
        </w:rPr>
        <w:t xml:space="preserve">behavior </w:t>
      </w:r>
      <w:r w:rsidRPr="0021142C">
        <w:rPr>
          <w:lang w:val="en-US"/>
        </w:rPr>
        <w:t>and one’s own be</w:t>
      </w:r>
      <w:r w:rsidR="00C25843" w:rsidRPr="0021142C">
        <w:rPr>
          <w:lang w:val="en-US"/>
        </w:rPr>
        <w:t>havior</w:t>
      </w:r>
      <w:r w:rsidRPr="0021142C">
        <w:rPr>
          <w:lang w:val="en-US"/>
        </w:rPr>
        <w:t xml:space="preserve"> may not reveal peer effects</w:t>
      </w:r>
      <w:r w:rsidR="00C0573F" w:rsidRPr="0021142C">
        <w:rPr>
          <w:lang w:val="en-US"/>
        </w:rPr>
        <w:t xml:space="preserve"> (</w:t>
      </w:r>
      <w:proofErr w:type="spellStart"/>
      <w:r w:rsidR="00C0573F" w:rsidRPr="0021142C">
        <w:rPr>
          <w:lang w:val="en-US"/>
        </w:rPr>
        <w:t>Manski</w:t>
      </w:r>
      <w:proofErr w:type="spellEnd"/>
      <w:r w:rsidR="00C0573F" w:rsidRPr="0021142C">
        <w:rPr>
          <w:lang w:val="en-US"/>
        </w:rPr>
        <w:t xml:space="preserve"> 1993; 2000)</w:t>
      </w:r>
      <w:r w:rsidRPr="0021142C">
        <w:rPr>
          <w:lang w:val="en-US"/>
        </w:rPr>
        <w:t xml:space="preserve">. First, peers’ </w:t>
      </w:r>
      <w:r w:rsidR="00B705DD" w:rsidRPr="0021142C">
        <w:rPr>
          <w:lang w:val="en-US"/>
        </w:rPr>
        <w:t>behavior</w:t>
      </w:r>
      <w:r w:rsidRPr="0021142C">
        <w:rPr>
          <w:lang w:val="en-US"/>
        </w:rPr>
        <w:t xml:space="preserve"> influences one’s </w:t>
      </w:r>
      <w:r w:rsidR="00B705DD" w:rsidRPr="0021142C">
        <w:rPr>
          <w:lang w:val="en-US"/>
        </w:rPr>
        <w:t>behavior</w:t>
      </w:r>
      <w:r w:rsidRPr="0021142C">
        <w:rPr>
          <w:lang w:val="en-US"/>
        </w:rPr>
        <w:t xml:space="preserve">, and vice versa. Second, unobservable factors may be correlated with both peers’ </w:t>
      </w:r>
      <w:r w:rsidR="00B705DD" w:rsidRPr="0021142C">
        <w:rPr>
          <w:lang w:val="en-US"/>
        </w:rPr>
        <w:t xml:space="preserve">behavior </w:t>
      </w:r>
      <w:r w:rsidRPr="0021142C">
        <w:rPr>
          <w:lang w:val="en-US"/>
        </w:rPr>
        <w:t xml:space="preserve">and own </w:t>
      </w:r>
      <w:r w:rsidR="00B705DD" w:rsidRPr="0021142C">
        <w:rPr>
          <w:lang w:val="en-US"/>
        </w:rPr>
        <w:t>behavior</w:t>
      </w:r>
      <w:r w:rsidRPr="0021142C">
        <w:rPr>
          <w:lang w:val="en-US"/>
        </w:rPr>
        <w:t xml:space="preserve">. </w:t>
      </w:r>
      <w:r w:rsidR="00C0573F" w:rsidRPr="0021142C">
        <w:rPr>
          <w:lang w:val="en-US"/>
        </w:rPr>
        <w:t>Some p</w:t>
      </w:r>
      <w:r w:rsidR="00280EE6" w:rsidRPr="0021142C">
        <w:rPr>
          <w:lang w:val="en-US"/>
        </w:rPr>
        <w:t>revious studies</w:t>
      </w:r>
      <w:r w:rsidRPr="0021142C">
        <w:rPr>
          <w:lang w:val="en-US"/>
        </w:rPr>
        <w:t xml:space="preserve"> present various strategies to control for these confounding effects</w:t>
      </w:r>
      <w:r w:rsidR="00280EE6" w:rsidRPr="0021142C">
        <w:rPr>
          <w:lang w:val="en-US"/>
        </w:rPr>
        <w:t xml:space="preserve"> (for example, Nakajima 2007; </w:t>
      </w:r>
      <w:proofErr w:type="spellStart"/>
      <w:r w:rsidR="00280EE6" w:rsidRPr="0021142C">
        <w:rPr>
          <w:lang w:val="en-US"/>
        </w:rPr>
        <w:t>Krauth</w:t>
      </w:r>
      <w:proofErr w:type="spellEnd"/>
      <w:r w:rsidR="00280EE6" w:rsidRPr="0021142C">
        <w:rPr>
          <w:lang w:val="en-US"/>
        </w:rPr>
        <w:t xml:space="preserve"> 2006; Lee 2007)</w:t>
      </w:r>
      <w:r w:rsidRPr="0021142C">
        <w:rPr>
          <w:lang w:val="en-US"/>
        </w:rPr>
        <w:t>.</w:t>
      </w:r>
      <w:r w:rsidR="00C0573F" w:rsidRPr="0021142C">
        <w:rPr>
          <w:lang w:val="en-US"/>
        </w:rPr>
        <w:t xml:space="preserve"> </w:t>
      </w:r>
      <w:r w:rsidRPr="0021142C">
        <w:rPr>
          <w:lang w:val="en-US"/>
        </w:rPr>
        <w:t xml:space="preserve">However, even when a researcher successfully controls for these confounds, the </w:t>
      </w:r>
      <w:r w:rsidR="00010EF6" w:rsidRPr="0021142C">
        <w:rPr>
          <w:lang w:val="en-US"/>
        </w:rPr>
        <w:t>question remains about</w:t>
      </w:r>
      <w:r w:rsidRPr="0021142C">
        <w:rPr>
          <w:lang w:val="en-US"/>
        </w:rPr>
        <w:t xml:space="preserve"> </w:t>
      </w:r>
      <w:r w:rsidRPr="0021142C">
        <w:rPr>
          <w:i/>
          <w:iCs/>
          <w:lang w:val="en-US"/>
        </w:rPr>
        <w:t>why</w:t>
      </w:r>
      <w:r w:rsidRPr="0021142C">
        <w:rPr>
          <w:lang w:val="en-US"/>
        </w:rPr>
        <w:t xml:space="preserve"> there are the peer effects in health be</w:t>
      </w:r>
      <w:r w:rsidR="00C25843" w:rsidRPr="0021142C">
        <w:rPr>
          <w:lang w:val="en-US"/>
        </w:rPr>
        <w:t>havior</w:t>
      </w:r>
      <w:r w:rsidRPr="0021142C">
        <w:rPr>
          <w:lang w:val="en-US"/>
        </w:rPr>
        <w:t xml:space="preserve">. As shown by equation (2) and our earlier discussion, establishing a peer effect is a necessary but not a sufficient condition to corroborate a </w:t>
      </w:r>
      <w:r w:rsidR="00010EF6" w:rsidRPr="0021142C">
        <w:rPr>
          <w:lang w:val="en-US"/>
        </w:rPr>
        <w:t xml:space="preserve">specific health-related </w:t>
      </w:r>
      <w:r w:rsidR="00E8610D" w:rsidRPr="0021142C">
        <w:rPr>
          <w:lang w:val="en-US"/>
        </w:rPr>
        <w:t>behavioral</w:t>
      </w:r>
      <w:r w:rsidRPr="0021142C">
        <w:rPr>
          <w:lang w:val="en-US"/>
        </w:rPr>
        <w:t xml:space="preserve"> motivation and its policy implications, </w:t>
      </w:r>
      <w:r w:rsidR="00010EF6" w:rsidRPr="0021142C">
        <w:rPr>
          <w:lang w:val="en-US"/>
        </w:rPr>
        <w:t xml:space="preserve">since </w:t>
      </w:r>
      <w:r w:rsidRPr="0021142C">
        <w:rPr>
          <w:lang w:val="en-US"/>
        </w:rPr>
        <w:t>it does not distinguish possible motives to conform. In this sense, there exists another fundamental identification problem.</w:t>
      </w:r>
    </w:p>
    <w:p w14:paraId="76D82CF1" w14:textId="77777777" w:rsidR="00FD39B4" w:rsidRPr="0021142C" w:rsidRDefault="00FD39B4" w:rsidP="00BB4444">
      <w:pPr>
        <w:spacing w:line="480" w:lineRule="auto"/>
        <w:jc w:val="both"/>
        <w:rPr>
          <w:lang w:val="en-US"/>
        </w:rPr>
      </w:pPr>
    </w:p>
    <w:p w14:paraId="5E411482" w14:textId="33BD050A" w:rsidR="00FD39B4" w:rsidRPr="0021142C" w:rsidRDefault="00801473" w:rsidP="00BB4444">
      <w:pPr>
        <w:spacing w:line="480" w:lineRule="auto"/>
        <w:jc w:val="both"/>
        <w:rPr>
          <w:i/>
          <w:lang w:val="en-US"/>
        </w:rPr>
      </w:pPr>
      <w:r w:rsidRPr="0021142C">
        <w:rPr>
          <w:i/>
          <w:lang w:val="en-US"/>
        </w:rPr>
        <w:t>3.</w:t>
      </w:r>
      <w:r w:rsidR="00FD39B4" w:rsidRPr="0021142C">
        <w:rPr>
          <w:i/>
          <w:lang w:val="en-US"/>
        </w:rPr>
        <w:t>5</w:t>
      </w:r>
      <w:r w:rsidR="001C438A" w:rsidRPr="0021142C">
        <w:rPr>
          <w:i/>
          <w:lang w:val="en-US"/>
        </w:rPr>
        <w:t>.</w:t>
      </w:r>
      <w:r w:rsidR="00FD39B4" w:rsidRPr="0021142C">
        <w:rPr>
          <w:i/>
          <w:lang w:val="en-US"/>
        </w:rPr>
        <w:t xml:space="preserve"> Summary</w:t>
      </w:r>
    </w:p>
    <w:p w14:paraId="01BC9BEB" w14:textId="7CB31E52" w:rsidR="00FD39B4" w:rsidRPr="0021142C" w:rsidRDefault="00FD39B4" w:rsidP="00BB4444">
      <w:pPr>
        <w:spacing w:line="480" w:lineRule="auto"/>
        <w:jc w:val="both"/>
        <w:rPr>
          <w:bCs/>
          <w:lang w:val="en-US"/>
        </w:rPr>
      </w:pPr>
      <w:r w:rsidRPr="0021142C">
        <w:rPr>
          <w:bCs/>
          <w:lang w:val="en-US"/>
        </w:rPr>
        <w:t xml:space="preserve">The domain of social interactions is an illustration where </w:t>
      </w:r>
      <w:r w:rsidR="00EF6567" w:rsidRPr="0021142C">
        <w:rPr>
          <w:bCs/>
          <w:lang w:val="en-US"/>
        </w:rPr>
        <w:t>BE</w:t>
      </w:r>
      <w:r w:rsidRPr="0021142C">
        <w:rPr>
          <w:bCs/>
          <w:lang w:val="en-US"/>
        </w:rPr>
        <w:t xml:space="preserve"> models hold potential for Tests 1 and 2, but there is an identification gap between models and evidence. While enough evidence can be conjured that social interactions in some sense matter, there is an insufficiently sharp evidence base from </w:t>
      </w:r>
      <w:r w:rsidRPr="0021142C">
        <w:rPr>
          <w:bCs/>
          <w:i/>
          <w:iCs/>
          <w:lang w:val="en-US"/>
        </w:rPr>
        <w:t xml:space="preserve">specific </w:t>
      </w:r>
      <w:r w:rsidRPr="0021142C">
        <w:rPr>
          <w:bCs/>
          <w:lang w:val="en-US"/>
        </w:rPr>
        <w:t>motivations connected to social interactions motives. Therefore Test 3, on evidence corroborating models and policies, is a stumbling block.</w:t>
      </w:r>
    </w:p>
    <w:p w14:paraId="3BB62DEF" w14:textId="77777777" w:rsidR="00FD39B4" w:rsidRPr="0021142C" w:rsidRDefault="00FD39B4" w:rsidP="00BB4444">
      <w:pPr>
        <w:spacing w:line="480" w:lineRule="auto"/>
        <w:jc w:val="both"/>
        <w:rPr>
          <w:color w:val="131413"/>
          <w:lang w:val="en-US"/>
        </w:rPr>
      </w:pPr>
    </w:p>
    <w:p w14:paraId="570D0011" w14:textId="3DC72096" w:rsidR="00FD39B4" w:rsidRPr="0021142C" w:rsidRDefault="00801473" w:rsidP="00BB4444">
      <w:pPr>
        <w:spacing w:line="480" w:lineRule="auto"/>
        <w:jc w:val="both"/>
        <w:rPr>
          <w:b/>
          <w:bCs/>
          <w:color w:val="131413"/>
          <w:lang w:val="en-US"/>
        </w:rPr>
      </w:pPr>
      <w:r w:rsidRPr="0021142C">
        <w:rPr>
          <w:b/>
          <w:bCs/>
          <w:color w:val="131413"/>
          <w:lang w:val="en-US"/>
        </w:rPr>
        <w:t>4</w:t>
      </w:r>
      <w:r w:rsidR="00FD39B4" w:rsidRPr="0021142C">
        <w:rPr>
          <w:b/>
          <w:bCs/>
          <w:color w:val="131413"/>
          <w:lang w:val="en-US"/>
        </w:rPr>
        <w:t xml:space="preserve">. </w:t>
      </w:r>
      <w:r w:rsidR="001C438A" w:rsidRPr="0021142C">
        <w:rPr>
          <w:b/>
          <w:bCs/>
          <w:color w:val="131413"/>
          <w:lang w:val="en-US"/>
        </w:rPr>
        <w:t>A</w:t>
      </w:r>
      <w:r w:rsidRPr="0021142C">
        <w:rPr>
          <w:b/>
          <w:bCs/>
          <w:color w:val="131413"/>
          <w:lang w:val="en-US"/>
        </w:rPr>
        <w:t>pplying self-c</w:t>
      </w:r>
      <w:r w:rsidR="006C2E2B" w:rsidRPr="0021142C">
        <w:rPr>
          <w:b/>
          <w:bCs/>
          <w:color w:val="131413"/>
          <w:lang w:val="en-US"/>
        </w:rPr>
        <w:t>ontrol models to health behavio</w:t>
      </w:r>
      <w:r w:rsidRPr="0021142C">
        <w:rPr>
          <w:b/>
          <w:bCs/>
          <w:color w:val="131413"/>
          <w:lang w:val="en-US"/>
        </w:rPr>
        <w:t>r</w:t>
      </w:r>
    </w:p>
    <w:p w14:paraId="518B109F" w14:textId="6BC98CAF" w:rsidR="001C438A" w:rsidRPr="0021142C" w:rsidRDefault="00801473" w:rsidP="00BB4444">
      <w:pPr>
        <w:spacing w:line="480" w:lineRule="auto"/>
        <w:jc w:val="both"/>
        <w:rPr>
          <w:i/>
          <w:lang w:val="en-US"/>
        </w:rPr>
      </w:pPr>
      <w:r w:rsidRPr="0021142C">
        <w:rPr>
          <w:i/>
          <w:lang w:val="en-US"/>
        </w:rPr>
        <w:t>4.</w:t>
      </w:r>
      <w:r w:rsidR="00FD39B4" w:rsidRPr="0021142C">
        <w:rPr>
          <w:i/>
          <w:lang w:val="en-US"/>
        </w:rPr>
        <w:t>1. Self-control devices models and Test 1</w:t>
      </w:r>
    </w:p>
    <w:p w14:paraId="5F097F06" w14:textId="0E9CAD18" w:rsidR="00FD39B4" w:rsidRPr="0021142C" w:rsidRDefault="00EB0D28" w:rsidP="00BB4444">
      <w:pPr>
        <w:spacing w:line="480" w:lineRule="auto"/>
        <w:jc w:val="both"/>
        <w:rPr>
          <w:lang w:val="en-US"/>
        </w:rPr>
      </w:pPr>
      <w:r w:rsidRPr="0021142C">
        <w:rPr>
          <w:lang w:val="en-US"/>
        </w:rPr>
        <w:t xml:space="preserve">In psychology, self-control is typically seen as part of self-regulatory control processes (e.g., Carver and </w:t>
      </w:r>
      <w:proofErr w:type="spellStart"/>
      <w:r w:rsidRPr="0021142C">
        <w:rPr>
          <w:lang w:val="en-US"/>
        </w:rPr>
        <w:t>Sheier</w:t>
      </w:r>
      <w:proofErr w:type="spellEnd"/>
      <w:r w:rsidRPr="0021142C">
        <w:rPr>
          <w:lang w:val="en-US"/>
        </w:rPr>
        <w:t xml:space="preserve"> 1982) or as response inhibition in the context of modern neuropsychological models of be</w:t>
      </w:r>
      <w:r w:rsidR="00C25843" w:rsidRPr="0021142C">
        <w:rPr>
          <w:lang w:val="en-US"/>
        </w:rPr>
        <w:t>havior</w:t>
      </w:r>
      <w:r w:rsidRPr="0021142C">
        <w:rPr>
          <w:lang w:val="en-US"/>
        </w:rPr>
        <w:t xml:space="preserve"> (Diamond 2013). Within </w:t>
      </w:r>
      <w:r w:rsidR="00EF6567" w:rsidRPr="0021142C">
        <w:rPr>
          <w:lang w:val="en-US"/>
        </w:rPr>
        <w:t>BE</w:t>
      </w:r>
      <w:r w:rsidRPr="0021142C">
        <w:rPr>
          <w:lang w:val="en-US"/>
        </w:rPr>
        <w:t>, self-control models</w:t>
      </w:r>
      <w:r w:rsidR="00FD39B4" w:rsidRPr="0021142C">
        <w:rPr>
          <w:lang w:val="en-US"/>
        </w:rPr>
        <w:t xml:space="preserve"> encapsulate </w:t>
      </w:r>
      <w:r w:rsidR="00925A09" w:rsidRPr="0021142C">
        <w:rPr>
          <w:lang w:val="en-US"/>
        </w:rPr>
        <w:t xml:space="preserve">the </w:t>
      </w:r>
      <w:r w:rsidR="00FD39B4" w:rsidRPr="0021142C">
        <w:rPr>
          <w:lang w:val="en-US"/>
        </w:rPr>
        <w:t xml:space="preserve">basic game-theoretical intuition that </w:t>
      </w:r>
      <w:r w:rsidR="00925A09" w:rsidRPr="0021142C">
        <w:rPr>
          <w:lang w:val="en-US"/>
        </w:rPr>
        <w:t>fewer</w:t>
      </w:r>
      <w:r w:rsidR="00FD39B4" w:rsidRPr="0021142C">
        <w:rPr>
          <w:lang w:val="en-US"/>
        </w:rPr>
        <w:t xml:space="preserve"> options can be good </w:t>
      </w:r>
      <w:r w:rsidR="00925A09" w:rsidRPr="0021142C">
        <w:rPr>
          <w:lang w:val="en-US"/>
        </w:rPr>
        <w:t>by</w:t>
      </w:r>
      <w:r w:rsidR="00FD39B4" w:rsidRPr="0021142C">
        <w:rPr>
          <w:lang w:val="en-US"/>
        </w:rPr>
        <w:t xml:space="preserve"> work</w:t>
      </w:r>
      <w:r w:rsidR="00925A09" w:rsidRPr="0021142C">
        <w:rPr>
          <w:lang w:val="en-US"/>
        </w:rPr>
        <w:t>ing</w:t>
      </w:r>
      <w:r w:rsidR="00FD39B4" w:rsidRPr="0021142C">
        <w:rPr>
          <w:lang w:val="en-US"/>
        </w:rPr>
        <w:t xml:space="preserve"> as a commitment device. Because of the natural way in which this research stems from this intuition from economics rather than psychology, the case for satisfying Test 1 is reasonably straightforward, and specific policy predictions follow from these models in health contexts to support this. Self-control devices can work as commitment devices to promote positive health outcomes </w:t>
      </w:r>
      <w:r w:rsidR="00B756AB" w:rsidRPr="0021142C">
        <w:rPr>
          <w:lang w:val="en-US"/>
        </w:rPr>
        <w:t xml:space="preserve">(Bryan et </w:t>
      </w:r>
      <w:r w:rsidR="00792C77" w:rsidRPr="0021142C">
        <w:rPr>
          <w:lang w:val="en-US"/>
        </w:rPr>
        <w:t>al</w:t>
      </w:r>
      <w:r w:rsidR="00710194" w:rsidRPr="0021142C">
        <w:rPr>
          <w:lang w:val="en-US"/>
        </w:rPr>
        <w:t>.</w:t>
      </w:r>
      <w:r w:rsidR="00B756AB" w:rsidRPr="0021142C">
        <w:rPr>
          <w:lang w:val="en-US"/>
        </w:rPr>
        <w:t xml:space="preserve"> 201</w:t>
      </w:r>
      <w:r w:rsidR="00054EF6" w:rsidRPr="0021142C">
        <w:rPr>
          <w:lang w:val="en-US"/>
        </w:rPr>
        <w:t>0</w:t>
      </w:r>
      <w:r w:rsidR="00B756AB" w:rsidRPr="0021142C">
        <w:rPr>
          <w:lang w:val="en-US"/>
        </w:rPr>
        <w:t>).</w:t>
      </w:r>
    </w:p>
    <w:p w14:paraId="0A5AEC2A" w14:textId="77777777" w:rsidR="00FD39B4" w:rsidRPr="0021142C" w:rsidRDefault="00FD39B4" w:rsidP="00BB4444">
      <w:pPr>
        <w:spacing w:line="480" w:lineRule="auto"/>
        <w:jc w:val="both"/>
        <w:rPr>
          <w:lang w:val="en-US"/>
        </w:rPr>
      </w:pPr>
    </w:p>
    <w:p w14:paraId="72A16F7C" w14:textId="3E7E9B7F" w:rsidR="00FD39B4" w:rsidRPr="0021142C" w:rsidRDefault="00FD39B4" w:rsidP="00BB4444">
      <w:pPr>
        <w:spacing w:line="480" w:lineRule="auto"/>
        <w:jc w:val="both"/>
        <w:rPr>
          <w:lang w:val="en-US"/>
        </w:rPr>
      </w:pPr>
      <w:r w:rsidRPr="0021142C">
        <w:rPr>
          <w:lang w:val="en-US"/>
        </w:rPr>
        <w:t>Three model</w:t>
      </w:r>
      <w:r w:rsidR="00AA5F5B" w:rsidRPr="0021142C">
        <w:rPr>
          <w:lang w:val="en-US"/>
        </w:rPr>
        <w:t>ing</w:t>
      </w:r>
      <w:r w:rsidRPr="0021142C">
        <w:rPr>
          <w:lang w:val="en-US"/>
        </w:rPr>
        <w:t xml:space="preserve"> </w:t>
      </w:r>
      <w:r w:rsidR="00AA5F5B" w:rsidRPr="0021142C">
        <w:rPr>
          <w:lang w:val="en-US"/>
        </w:rPr>
        <w:t xml:space="preserve">approaches to </w:t>
      </w:r>
      <w:r w:rsidRPr="0021142C">
        <w:rPr>
          <w:lang w:val="en-US"/>
        </w:rPr>
        <w:t>self-control problems</w:t>
      </w:r>
      <w:r w:rsidR="00AA5F5B" w:rsidRPr="0021142C">
        <w:rPr>
          <w:lang w:val="en-US"/>
        </w:rPr>
        <w:t xml:space="preserve"> are</w:t>
      </w:r>
      <w:r w:rsidRPr="0021142C">
        <w:rPr>
          <w:lang w:val="en-US"/>
        </w:rPr>
        <w:t xml:space="preserve"> choice-set utility</w:t>
      </w:r>
      <w:r w:rsidR="005D2141" w:rsidRPr="0021142C">
        <w:rPr>
          <w:lang w:val="en-US"/>
        </w:rPr>
        <w:t xml:space="preserve"> (Gul and </w:t>
      </w:r>
      <w:proofErr w:type="spellStart"/>
      <w:r w:rsidR="005D2141" w:rsidRPr="0021142C">
        <w:rPr>
          <w:lang w:val="en-US"/>
        </w:rPr>
        <w:t>Pesendorfer</w:t>
      </w:r>
      <w:proofErr w:type="spellEnd"/>
      <w:r w:rsidR="005D2141" w:rsidRPr="0021142C">
        <w:rPr>
          <w:lang w:val="en-US"/>
        </w:rPr>
        <w:t xml:space="preserve"> 2001)</w:t>
      </w:r>
      <w:r w:rsidRPr="0021142C">
        <w:rPr>
          <w:lang w:val="en-US"/>
        </w:rPr>
        <w:t>, intertemporal choice</w:t>
      </w:r>
      <w:r w:rsidR="005D2141" w:rsidRPr="0021142C">
        <w:rPr>
          <w:lang w:val="en-US"/>
        </w:rPr>
        <w:t xml:space="preserve"> (</w:t>
      </w:r>
      <w:proofErr w:type="spellStart"/>
      <w:r w:rsidR="005D2141" w:rsidRPr="0021142C">
        <w:rPr>
          <w:lang w:val="en-US"/>
        </w:rPr>
        <w:t>Bernheim</w:t>
      </w:r>
      <w:proofErr w:type="spellEnd"/>
      <w:r w:rsidR="005D2141" w:rsidRPr="0021142C">
        <w:rPr>
          <w:lang w:val="en-US"/>
        </w:rPr>
        <w:t xml:space="preserve"> and Rangel 2004)</w:t>
      </w:r>
      <w:r w:rsidRPr="0021142C">
        <w:rPr>
          <w:lang w:val="en-US"/>
        </w:rPr>
        <w:t xml:space="preserve"> and multiple selves</w:t>
      </w:r>
      <w:r w:rsidR="005D2141" w:rsidRPr="0021142C">
        <w:rPr>
          <w:lang w:val="en-US"/>
        </w:rPr>
        <w:t xml:space="preserve"> (Gruber and </w:t>
      </w:r>
      <w:proofErr w:type="spellStart"/>
      <w:r w:rsidR="005D2141" w:rsidRPr="0021142C">
        <w:rPr>
          <w:lang w:val="en-US"/>
        </w:rPr>
        <w:t>Köszegi</w:t>
      </w:r>
      <w:proofErr w:type="spellEnd"/>
      <w:r w:rsidR="005D2141" w:rsidRPr="0021142C">
        <w:rPr>
          <w:lang w:val="en-US"/>
        </w:rPr>
        <w:t xml:space="preserve"> 2001)</w:t>
      </w:r>
      <w:r w:rsidRPr="0021142C">
        <w:rPr>
          <w:lang w:val="en-US"/>
        </w:rPr>
        <w:t>.</w:t>
      </w:r>
      <w:r w:rsidR="005D2141" w:rsidRPr="0021142C">
        <w:rPr>
          <w:lang w:val="en-US"/>
        </w:rPr>
        <w:t xml:space="preserve"> </w:t>
      </w:r>
      <w:r w:rsidR="00495359" w:rsidRPr="0021142C">
        <w:rPr>
          <w:lang w:val="en-US"/>
        </w:rPr>
        <w:t>While</w:t>
      </w:r>
      <w:r w:rsidRPr="0021142C">
        <w:rPr>
          <w:lang w:val="en-US"/>
        </w:rPr>
        <w:t xml:space="preserve"> these models </w:t>
      </w:r>
      <w:r w:rsidR="00AA5F5B" w:rsidRPr="0021142C">
        <w:rPr>
          <w:lang w:val="en-US"/>
        </w:rPr>
        <w:t>embody</w:t>
      </w:r>
      <w:r w:rsidR="005D2141" w:rsidRPr="0021142C">
        <w:rPr>
          <w:lang w:val="en-US"/>
        </w:rPr>
        <w:t xml:space="preserve"> </w:t>
      </w:r>
      <w:r w:rsidRPr="0021142C">
        <w:rPr>
          <w:lang w:val="en-US"/>
        </w:rPr>
        <w:t>a similar intuition</w:t>
      </w:r>
      <w:r w:rsidR="00495359" w:rsidRPr="0021142C">
        <w:rPr>
          <w:lang w:val="en-US"/>
        </w:rPr>
        <w:t xml:space="preserve">, they </w:t>
      </w:r>
      <w:r w:rsidRPr="0021142C">
        <w:rPr>
          <w:lang w:val="en-US"/>
        </w:rPr>
        <w:t>sometimes draw different policy implications. For example, on the one hand studies employing a hyperbolic discounting function generally suggest the use of fiscal interventions such as tax to manipulate the price of tempting goods (</w:t>
      </w:r>
      <w:r w:rsidR="00B756AB" w:rsidRPr="0021142C">
        <w:rPr>
          <w:lang w:val="en-US"/>
        </w:rPr>
        <w:t xml:space="preserve">Gruber and </w:t>
      </w:r>
      <w:proofErr w:type="spellStart"/>
      <w:r w:rsidR="002B501C" w:rsidRPr="0021142C">
        <w:rPr>
          <w:lang w:val="en-US"/>
        </w:rPr>
        <w:t>Köszegi</w:t>
      </w:r>
      <w:proofErr w:type="spellEnd"/>
      <w:r w:rsidR="00B756AB" w:rsidRPr="0021142C">
        <w:rPr>
          <w:lang w:val="en-US"/>
        </w:rPr>
        <w:t xml:space="preserve"> 200</w:t>
      </w:r>
      <w:r w:rsidRPr="0021142C">
        <w:rPr>
          <w:lang w:val="en-US"/>
        </w:rPr>
        <w:t xml:space="preserve">1). On the other hand, </w:t>
      </w:r>
      <w:proofErr w:type="spellStart"/>
      <w:r w:rsidR="00B756AB" w:rsidRPr="0021142C">
        <w:rPr>
          <w:lang w:val="en-US"/>
        </w:rPr>
        <w:t>Bernheim</w:t>
      </w:r>
      <w:proofErr w:type="spellEnd"/>
      <w:r w:rsidR="00B756AB" w:rsidRPr="0021142C">
        <w:rPr>
          <w:lang w:val="en-US"/>
        </w:rPr>
        <w:t xml:space="preserve"> and Rangel (2004)</w:t>
      </w:r>
      <w:r w:rsidRPr="0021142C">
        <w:rPr>
          <w:lang w:val="en-US"/>
        </w:rPr>
        <w:t xml:space="preserve"> predict that a price increase may not discourage consumption of tempting goods when self-control is restricted in the hot state of mind. They suggest that avoiding environmental stimuli that drive individuals to impulsive be</w:t>
      </w:r>
      <w:r w:rsidR="00C25843" w:rsidRPr="0021142C">
        <w:rPr>
          <w:lang w:val="en-US"/>
        </w:rPr>
        <w:t>havior</w:t>
      </w:r>
      <w:r w:rsidRPr="0021142C">
        <w:rPr>
          <w:lang w:val="en-US"/>
        </w:rPr>
        <w:t xml:space="preserve"> may be a potential solution to address self-control problem. While the specificity of these predictions ensures that Test 1 is passed, they create potential problems of identification of the kind we discussed in the context of social interactions.</w:t>
      </w:r>
    </w:p>
    <w:p w14:paraId="363ED48B" w14:textId="77777777" w:rsidR="00FD39B4" w:rsidRPr="0021142C" w:rsidRDefault="00FD39B4" w:rsidP="00BB4444">
      <w:pPr>
        <w:spacing w:line="480" w:lineRule="auto"/>
        <w:jc w:val="both"/>
        <w:rPr>
          <w:b/>
          <w:lang w:val="en-US"/>
        </w:rPr>
      </w:pPr>
    </w:p>
    <w:p w14:paraId="236CB2F0" w14:textId="5405E283" w:rsidR="00FD39B4" w:rsidRPr="0021142C" w:rsidRDefault="00801473" w:rsidP="00BB4444">
      <w:pPr>
        <w:spacing w:line="480" w:lineRule="auto"/>
        <w:jc w:val="both"/>
        <w:rPr>
          <w:i/>
          <w:lang w:val="en-US"/>
        </w:rPr>
      </w:pPr>
      <w:r w:rsidRPr="0021142C">
        <w:rPr>
          <w:i/>
          <w:lang w:val="en-US"/>
        </w:rPr>
        <w:t>4.</w:t>
      </w:r>
      <w:r w:rsidR="00FD39B4" w:rsidRPr="0021142C">
        <w:rPr>
          <w:i/>
          <w:lang w:val="en-US"/>
        </w:rPr>
        <w:t>2</w:t>
      </w:r>
      <w:r w:rsidR="001C438A" w:rsidRPr="0021142C">
        <w:rPr>
          <w:i/>
          <w:lang w:val="en-US"/>
        </w:rPr>
        <w:t>.</w:t>
      </w:r>
      <w:r w:rsidR="00FD39B4" w:rsidRPr="0021142C">
        <w:rPr>
          <w:i/>
          <w:lang w:val="en-US"/>
        </w:rPr>
        <w:t xml:space="preserve"> An illustrative model and Test 2</w:t>
      </w:r>
    </w:p>
    <w:p w14:paraId="14335F87" w14:textId="6A416C81" w:rsidR="00FD39B4" w:rsidRPr="0021142C" w:rsidRDefault="00FD39B4" w:rsidP="00BB4444">
      <w:pPr>
        <w:spacing w:line="480" w:lineRule="auto"/>
        <w:jc w:val="both"/>
        <w:rPr>
          <w:lang w:val="en-US"/>
        </w:rPr>
      </w:pPr>
      <w:r w:rsidRPr="0021142C">
        <w:rPr>
          <w:lang w:val="en-US"/>
        </w:rPr>
        <w:t>This section presents a simple model of self-control problems based on quasi-hyperbolic discounting (</w:t>
      </w:r>
      <w:r w:rsidR="00B756AB" w:rsidRPr="0021142C">
        <w:rPr>
          <w:lang w:val="en-US"/>
        </w:rPr>
        <w:t xml:space="preserve">Phelps and </w:t>
      </w:r>
      <w:proofErr w:type="spellStart"/>
      <w:r w:rsidR="00B756AB" w:rsidRPr="0021142C">
        <w:rPr>
          <w:lang w:val="en-US"/>
        </w:rPr>
        <w:t>Pol</w:t>
      </w:r>
      <w:r w:rsidR="001554EA" w:rsidRPr="0021142C">
        <w:rPr>
          <w:lang w:val="en-US"/>
        </w:rPr>
        <w:t>l</w:t>
      </w:r>
      <w:r w:rsidR="00B756AB" w:rsidRPr="0021142C">
        <w:rPr>
          <w:lang w:val="en-US"/>
        </w:rPr>
        <w:t>ak</w:t>
      </w:r>
      <w:proofErr w:type="spellEnd"/>
      <w:r w:rsidR="00B756AB" w:rsidRPr="0021142C">
        <w:rPr>
          <w:lang w:val="en-US"/>
        </w:rPr>
        <w:t>, 1968</w:t>
      </w:r>
      <w:r w:rsidRPr="0021142C">
        <w:rPr>
          <w:lang w:val="en-US"/>
        </w:rPr>
        <w:t xml:space="preserve">). For illustrative purpose, we consider a smoking decision. Similarly to </w:t>
      </w:r>
      <w:proofErr w:type="spellStart"/>
      <w:r w:rsidR="00B756AB" w:rsidRPr="0021142C">
        <w:rPr>
          <w:lang w:val="en-US"/>
        </w:rPr>
        <w:t>O’Donoghue</w:t>
      </w:r>
      <w:proofErr w:type="spellEnd"/>
      <w:r w:rsidR="00B756AB" w:rsidRPr="0021142C">
        <w:rPr>
          <w:lang w:val="en-US"/>
        </w:rPr>
        <w:t xml:space="preserve"> and Rabin (2006)</w:t>
      </w:r>
      <w:r w:rsidRPr="0021142C">
        <w:rPr>
          <w:lang w:val="en-US"/>
        </w:rPr>
        <w:t>, we assume that smoking gives positive immediate utility</w:t>
      </w:r>
      <w:r w:rsidR="00B705DD" w:rsidRPr="0021142C">
        <w:rPr>
          <w:lang w:val="en-US"/>
        </w:rPr>
        <w:t xml:space="preserve"> and</w:t>
      </w:r>
      <w:r w:rsidRPr="0021142C">
        <w:rPr>
          <w:lang w:val="en-US"/>
        </w:rPr>
        <w:t xml:space="preserve"> affects health next period. Let </w:t>
      </w:r>
      <w:r w:rsidRPr="0021142C">
        <w:rPr>
          <w:i/>
          <w:lang w:val="en-US"/>
        </w:rPr>
        <w:t>S</w:t>
      </w:r>
      <w:r w:rsidRPr="0021142C">
        <w:rPr>
          <w:lang w:val="en-US"/>
        </w:rPr>
        <w:t xml:space="preserve"> denote smoking, which takes 1 if the person smokes and 0 otherwise. The immediate utility of smoking is represented </w:t>
      </w:r>
      <w:proofErr w:type="gramStart"/>
      <w:r w:rsidRPr="0021142C">
        <w:rPr>
          <w:lang w:val="en-US"/>
        </w:rPr>
        <w:t xml:space="preserve">by </w:t>
      </w:r>
      <w:proofErr w:type="gramEnd"/>
      <m:oMath>
        <m:r>
          <w:rPr>
            <w:rFonts w:ascii="Cambria Math" w:hAnsi="Cambria Math"/>
            <w:lang w:val="en-US"/>
          </w:rPr>
          <m:t>v</m:t>
        </m:r>
        <m:d>
          <m:dPr>
            <m:ctrlPr>
              <w:rPr>
                <w:rFonts w:ascii="Cambria Math" w:hAnsi="Cambria Math"/>
                <w:i/>
                <w:lang w:val="en-US"/>
              </w:rPr>
            </m:ctrlPr>
          </m:dPr>
          <m:e>
            <m:r>
              <w:rPr>
                <w:rFonts w:ascii="Cambria Math" w:hAnsi="Cambria Math"/>
                <w:lang w:val="en-US"/>
              </w:rPr>
              <m:t>S</m:t>
            </m:r>
          </m:e>
        </m:d>
      </m:oMath>
      <w:r w:rsidRPr="0021142C">
        <w:rPr>
          <w:lang w:val="en-US"/>
        </w:rPr>
        <w:t xml:space="preserve">, and the health damage is represented by </w:t>
      </w:r>
      <m:oMath>
        <m:r>
          <w:rPr>
            <w:rFonts w:ascii="Cambria Math" w:hAnsi="Cambria Math"/>
            <w:lang w:val="en-US"/>
          </w:rPr>
          <m:t>-h</m:t>
        </m:r>
        <m:d>
          <m:dPr>
            <m:ctrlPr>
              <w:rPr>
                <w:rFonts w:ascii="Cambria Math" w:hAnsi="Cambria Math"/>
                <w:i/>
                <w:lang w:val="en-US"/>
              </w:rPr>
            </m:ctrlPr>
          </m:dPr>
          <m:e>
            <m:r>
              <w:rPr>
                <w:rFonts w:ascii="Cambria Math" w:hAnsi="Cambria Math"/>
                <w:lang w:val="en-US"/>
              </w:rPr>
              <m:t>S</m:t>
            </m:r>
          </m:e>
        </m:d>
      </m:oMath>
      <w:r w:rsidRPr="0021142C">
        <w:rPr>
          <w:lang w:val="en-US"/>
        </w:rPr>
        <w:t xml:space="preserve">, where we assume </w:t>
      </w:r>
      <m:oMath>
        <m:r>
          <w:rPr>
            <w:rFonts w:ascii="Cambria Math" w:hAnsi="Cambria Math"/>
            <w:lang w:val="en-US"/>
          </w:rPr>
          <m:t>v</m:t>
        </m:r>
        <m:d>
          <m:dPr>
            <m:ctrlPr>
              <w:rPr>
                <w:rFonts w:ascii="Cambria Math" w:hAnsi="Cambria Math"/>
                <w:i/>
                <w:lang w:val="en-US"/>
              </w:rPr>
            </m:ctrlPr>
          </m:dPr>
          <m:e>
            <m:r>
              <w:rPr>
                <w:rFonts w:ascii="Cambria Math"/>
                <w:lang w:val="en-US"/>
              </w:rPr>
              <m:t>0</m:t>
            </m:r>
          </m:e>
        </m:d>
        <m:r>
          <w:rPr>
            <w:rFonts w:ascii="Cambria Math"/>
            <w:lang w:val="en-US"/>
          </w:rPr>
          <m:t>=</m:t>
        </m:r>
        <m:r>
          <w:rPr>
            <w:rFonts w:ascii="Cambria Math" w:hAnsi="Cambria Math"/>
            <w:lang w:val="en-US"/>
          </w:rPr>
          <m:t>h</m:t>
        </m:r>
        <m:d>
          <m:dPr>
            <m:ctrlPr>
              <w:rPr>
                <w:rFonts w:ascii="Cambria Math" w:hAnsi="Cambria Math"/>
                <w:i/>
                <w:lang w:val="en-US"/>
              </w:rPr>
            </m:ctrlPr>
          </m:dPr>
          <m:e>
            <m:r>
              <w:rPr>
                <w:rFonts w:ascii="Cambria Math"/>
                <w:lang w:val="en-US"/>
              </w:rPr>
              <m:t>0</m:t>
            </m:r>
          </m:e>
        </m:d>
        <m:r>
          <w:rPr>
            <w:rFonts w:ascii="Cambria Math"/>
            <w:lang w:val="en-US"/>
          </w:rPr>
          <m:t>=0</m:t>
        </m:r>
      </m:oMath>
      <w:r w:rsidRPr="0021142C">
        <w:rPr>
          <w:lang w:val="en-US"/>
        </w:rPr>
        <w:t xml:space="preserve">.  The cost of smoking is </w:t>
      </w:r>
      <w:r w:rsidRPr="0021142C">
        <w:rPr>
          <w:i/>
          <w:lang w:val="en-US"/>
        </w:rPr>
        <w:t>p</w:t>
      </w:r>
      <w:r w:rsidRPr="0021142C">
        <w:rPr>
          <w:lang w:val="en-US"/>
        </w:rPr>
        <w:t xml:space="preserve">. The rest of the person’s instantaneous budget </w:t>
      </w:r>
      <w:r w:rsidRPr="0021142C">
        <w:rPr>
          <w:i/>
          <w:lang w:val="en-US"/>
        </w:rPr>
        <w:t>M</w:t>
      </w:r>
      <w:r w:rsidRPr="0021142C">
        <w:rPr>
          <w:lang w:val="en-US"/>
        </w:rPr>
        <w:t xml:space="preserve"> is spent on the composite good (which gives linear positive utility) and the price is normalized to 1. Finally, we assume that the intertemporal utility is given by the following standard quasi-hyperbolic discounting formulation:</w:t>
      </w:r>
    </w:p>
    <w:p w14:paraId="11E468E8" w14:textId="77777777" w:rsidR="00FD39B4" w:rsidRPr="0021142C" w:rsidRDefault="00ED0432" w:rsidP="00BB4444">
      <w:pPr>
        <w:spacing w:line="480" w:lineRule="auto"/>
        <w:jc w:val="both"/>
        <w:rPr>
          <w:lang w:val="en-US"/>
        </w:rPr>
      </w:pPr>
      <m:oMathPara>
        <m:oMath>
          <m:sSub>
            <m:sSubPr>
              <m:ctrlPr>
                <w:rPr>
                  <w:rFonts w:ascii="Cambria Math" w:hAnsi="Cambria Math"/>
                  <w:i/>
                  <w:lang w:val="en-US"/>
                </w:rPr>
              </m:ctrlPr>
            </m:sSubPr>
            <m:e>
              <m:r>
                <w:rPr>
                  <w:rFonts w:ascii="Cambria Math" w:hAnsi="Cambria Math"/>
                  <w:lang w:val="en-US"/>
                </w:rPr>
                <m:t>u</m:t>
              </m:r>
            </m:e>
            <m:sub>
              <m:r>
                <w:rPr>
                  <w:rFonts w:ascii="Cambria Math"/>
                  <w:lang w:val="en-US"/>
                </w:rPr>
                <m:t>0</m:t>
              </m:r>
            </m:sub>
          </m:sSub>
          <m:r>
            <w:rPr>
              <w:rFonts w:ascii="Cambria Math"/>
              <w:lang w:val="en-US"/>
            </w:rPr>
            <m:t>+</m:t>
          </m:r>
          <m:r>
            <w:rPr>
              <w:rFonts w:ascii="Cambria Math" w:hAnsi="Cambria Math"/>
              <w:lang w:val="en-US"/>
            </w:rPr>
            <m:t>β</m:t>
          </m:r>
          <m:nary>
            <m:naryPr>
              <m:chr m:val="∑"/>
              <m:limLoc m:val="undOvr"/>
              <m:ctrlPr>
                <w:rPr>
                  <w:rFonts w:ascii="Cambria Math" w:hAnsi="Cambria Math"/>
                  <w:i/>
                  <w:lang w:val="en-US"/>
                </w:rPr>
              </m:ctrlPr>
            </m:naryPr>
            <m:sub>
              <m:r>
                <w:rPr>
                  <w:rFonts w:ascii="Cambria Math" w:hAnsi="Cambria Math"/>
                  <w:lang w:val="en-US"/>
                </w:rPr>
                <m:t>k</m:t>
              </m:r>
              <m:r>
                <w:rPr>
                  <w:rFonts w:ascii="Cambria Math"/>
                  <w:lang w:val="en-US"/>
                </w:rPr>
                <m:t>=1</m:t>
              </m:r>
            </m:sub>
            <m:sup>
              <m:r>
                <w:rPr>
                  <w:rFonts w:ascii="Cambria Math" w:hAnsi="Cambria Math"/>
                  <w:lang w:val="en-US"/>
                </w:rPr>
                <m:t>T</m:t>
              </m:r>
            </m:sup>
            <m:e>
              <m:sSup>
                <m:sSupPr>
                  <m:ctrlPr>
                    <w:rPr>
                      <w:rFonts w:ascii="Cambria Math" w:hAnsi="Cambria Math"/>
                      <w:i/>
                      <w:lang w:val="en-US"/>
                    </w:rPr>
                  </m:ctrlPr>
                </m:sSupPr>
                <m:e>
                  <m:r>
                    <w:rPr>
                      <w:rFonts w:ascii="Cambria Math" w:hAnsi="Cambria Math"/>
                      <w:lang w:val="en-US"/>
                    </w:rPr>
                    <m:t>δ</m:t>
                  </m:r>
                </m:e>
                <m:sup>
                  <m:r>
                    <w:rPr>
                      <w:rFonts w:ascii="Cambria Math" w:hAnsi="Cambria Math"/>
                      <w:lang w:val="en-US"/>
                    </w:rPr>
                    <m:t>k</m:t>
                  </m:r>
                </m:sup>
              </m:sSup>
            </m:e>
          </m:nary>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k</m:t>
              </m:r>
            </m:sub>
          </m:sSub>
          <m:r>
            <w:rPr>
              <w:rFonts w:ascii="Cambria Math"/>
              <w:lang w:val="en-US"/>
            </w:rPr>
            <m:t>,</m:t>
          </m:r>
        </m:oMath>
      </m:oMathPara>
    </w:p>
    <w:p w14:paraId="02993BDD" w14:textId="77777777" w:rsidR="00FD39B4" w:rsidRPr="0021142C" w:rsidRDefault="00FD39B4" w:rsidP="00BB4444">
      <w:pPr>
        <w:spacing w:line="480" w:lineRule="auto"/>
        <w:jc w:val="both"/>
        <w:rPr>
          <w:lang w:val="en-US"/>
        </w:rPr>
      </w:pPr>
      <w:proofErr w:type="gramStart"/>
      <w:r w:rsidRPr="0021142C">
        <w:rPr>
          <w:lang w:val="en-US"/>
        </w:rPr>
        <w:t xml:space="preserve">where </w:t>
      </w:r>
      <w:proofErr w:type="gramEnd"/>
      <m:oMath>
        <m:r>
          <w:rPr>
            <w:rFonts w:ascii="Cambria Math" w:hAnsi="Cambria Math"/>
            <w:lang w:val="en-US"/>
          </w:rPr>
          <m:t>β</m:t>
        </m:r>
      </m:oMath>
      <w:r w:rsidRPr="0021142C">
        <w:rPr>
          <w:lang w:val="en-US"/>
        </w:rPr>
        <w:t xml:space="preserve">, </w:t>
      </w:r>
      <m:oMath>
        <m:r>
          <w:rPr>
            <w:rFonts w:ascii="Cambria Math" w:hAnsi="Cambria Math"/>
            <w:lang w:val="en-US"/>
          </w:rPr>
          <m:t>δ</m:t>
        </m:r>
      </m:oMath>
      <w:r w:rsidRPr="0021142C">
        <w:rPr>
          <w:lang w:val="en-US"/>
        </w:rPr>
        <w:t xml:space="preserve"> ≤1. The parameter  </w:t>
      </w:r>
      <m:oMath>
        <m:r>
          <w:rPr>
            <w:rFonts w:ascii="Cambria Math" w:hAnsi="Cambria Math"/>
            <w:lang w:val="en-US"/>
          </w:rPr>
          <m:t>β</m:t>
        </m:r>
      </m:oMath>
      <w:r w:rsidRPr="0021142C">
        <w:rPr>
          <w:lang w:val="en-US"/>
        </w:rPr>
        <w:t xml:space="preserve"> is often interpreted as the degree of self-control problem. </w:t>
      </w:r>
      <w:proofErr w:type="gramStart"/>
      <w:r w:rsidRPr="0021142C">
        <w:rPr>
          <w:lang w:val="en-US"/>
        </w:rPr>
        <w:t xml:space="preserve">If </w:t>
      </w:r>
      <w:proofErr w:type="gramEnd"/>
      <m:oMath>
        <m:r>
          <w:rPr>
            <w:rFonts w:ascii="Cambria Math" w:hAnsi="Cambria Math"/>
            <w:lang w:val="en-US"/>
          </w:rPr>
          <m:t>β</m:t>
        </m:r>
        <m:r>
          <w:rPr>
            <w:rFonts w:ascii="Cambria Math"/>
            <w:lang w:val="en-US"/>
          </w:rPr>
          <m:t>=1</m:t>
        </m:r>
      </m:oMath>
      <w:r w:rsidRPr="0021142C">
        <w:rPr>
          <w:lang w:val="en-US"/>
        </w:rPr>
        <w:t>, the function is the usual exponential discounting function.</w:t>
      </w:r>
    </w:p>
    <w:p w14:paraId="4B9A4DDF" w14:textId="77777777" w:rsidR="00FD39B4" w:rsidRPr="0021142C" w:rsidRDefault="00FD39B4" w:rsidP="00BB4444">
      <w:pPr>
        <w:spacing w:line="480" w:lineRule="auto"/>
        <w:jc w:val="both"/>
        <w:rPr>
          <w:lang w:val="en-US"/>
        </w:rPr>
      </w:pPr>
    </w:p>
    <w:p w14:paraId="79AA53E1" w14:textId="6AEC8C0B" w:rsidR="00FD39B4" w:rsidRPr="0021142C" w:rsidRDefault="00FD39B4" w:rsidP="00BB4444">
      <w:pPr>
        <w:spacing w:line="480" w:lineRule="auto"/>
        <w:jc w:val="both"/>
        <w:rPr>
          <w:lang w:val="en-US"/>
        </w:rPr>
      </w:pPr>
      <w:r w:rsidRPr="0021142C">
        <w:rPr>
          <w:lang w:val="en-US"/>
        </w:rPr>
        <w:t>For simplicity we consider three periods (t=0, 1 and 2). In period 0, the person plans whether or not to smoke in period 1; then, in period</w:t>
      </w:r>
      <w:r w:rsidR="00495359" w:rsidRPr="0021142C">
        <w:rPr>
          <w:lang w:val="en-US"/>
        </w:rPr>
        <w:t xml:space="preserve"> </w:t>
      </w:r>
      <w:r w:rsidRPr="0021142C">
        <w:rPr>
          <w:lang w:val="en-US"/>
        </w:rPr>
        <w:t xml:space="preserve">1, the utility from smoking materializes; and finally, the health damage of smoking is incurred in period 2. </w:t>
      </w:r>
      <w:r w:rsidR="00495359" w:rsidRPr="0021142C">
        <w:rPr>
          <w:lang w:val="en-US"/>
        </w:rPr>
        <w:t>I</w:t>
      </w:r>
      <w:r w:rsidRPr="0021142C">
        <w:rPr>
          <w:lang w:val="en-US"/>
        </w:rPr>
        <w:t xml:space="preserve">n period 0 the person just plans (i.e. </w:t>
      </w:r>
      <w:r w:rsidRPr="0021142C">
        <w:rPr>
          <w:i/>
          <w:lang w:val="en-US"/>
        </w:rPr>
        <w:t>planner</w:t>
      </w:r>
      <w:r w:rsidRPr="0021142C">
        <w:rPr>
          <w:lang w:val="en-US"/>
        </w:rPr>
        <w:t>), and the actual be</w:t>
      </w:r>
      <w:r w:rsidR="00C25843" w:rsidRPr="0021142C">
        <w:rPr>
          <w:lang w:val="en-US"/>
        </w:rPr>
        <w:t>havior</w:t>
      </w:r>
      <w:r w:rsidRPr="0021142C">
        <w:rPr>
          <w:lang w:val="en-US"/>
        </w:rPr>
        <w:t xml:space="preserve"> is taken in period 1 (i.e. </w:t>
      </w:r>
      <w:r w:rsidRPr="0021142C">
        <w:rPr>
          <w:i/>
          <w:lang w:val="en-US"/>
        </w:rPr>
        <w:t>doer</w:t>
      </w:r>
      <w:r w:rsidRPr="0021142C">
        <w:rPr>
          <w:lang w:val="en-US"/>
        </w:rPr>
        <w:t xml:space="preserve">). From the planner’s perspective in period 0, the utility in period 1 is given by </w:t>
      </w:r>
      <m:oMath>
        <m:r>
          <w:rPr>
            <w:rFonts w:ascii="Cambria Math" w:hAnsi="Cambria Math"/>
            <w:lang w:val="en-US"/>
          </w:rPr>
          <m:t>βδ</m:t>
        </m:r>
        <m:d>
          <m:dPr>
            <m:begChr m:val="["/>
            <m:endChr m:val="]"/>
            <m:ctrlPr>
              <w:rPr>
                <w:rFonts w:ascii="Cambria Math" w:hAnsi="Cambria Math"/>
                <w:i/>
                <w:lang w:val="en-US"/>
              </w:rPr>
            </m:ctrlPr>
          </m:dPr>
          <m:e>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lang w:val="en-US"/>
              </w:rPr>
              <m:t>+</m:t>
            </m:r>
            <m:r>
              <w:rPr>
                <w:rFonts w:ascii="Cambria Math" w:hAnsi="Cambria Math"/>
                <w:lang w:val="en-US"/>
              </w:rPr>
              <m:t>M-p</m:t>
            </m:r>
          </m:e>
        </m:d>
      </m:oMath>
      <w:r w:rsidRPr="0021142C">
        <w:rPr>
          <w:lang w:val="en-US"/>
        </w:rPr>
        <w:t xml:space="preserve"> if she smokes, and </w:t>
      </w:r>
      <m:oMath>
        <m:r>
          <w:rPr>
            <w:rFonts w:ascii="Cambria Math" w:hAnsi="Cambria Math"/>
            <w:lang w:val="en-US"/>
          </w:rPr>
          <m:t>βδM</m:t>
        </m:r>
      </m:oMath>
      <w:r w:rsidRPr="0021142C">
        <w:rPr>
          <w:lang w:val="en-US"/>
        </w:rPr>
        <w:t xml:space="preserve"> if she does not smoke. Also, the utility in period 2 is given by  </w:t>
      </w:r>
      <m:oMath>
        <m:r>
          <w:rPr>
            <w:rFonts w:ascii="Cambria Math" w:hAnsi="Cambria Math"/>
            <w:lang w:val="en-US"/>
          </w:rPr>
          <m:t>β</m:t>
        </m:r>
        <m:sSup>
          <m:sSupPr>
            <m:ctrlPr>
              <w:rPr>
                <w:rFonts w:ascii="Cambria Math" w:hAnsi="Cambria Math"/>
                <w:i/>
                <w:lang w:val="en-US"/>
              </w:rPr>
            </m:ctrlPr>
          </m:sSupPr>
          <m:e>
            <m:r>
              <w:rPr>
                <w:rFonts w:ascii="Cambria Math" w:hAnsi="Cambria Math"/>
                <w:lang w:val="en-US"/>
              </w:rPr>
              <m:t>δ</m:t>
            </m:r>
          </m:e>
          <m:sup>
            <m:r>
              <w:rPr>
                <w:rFonts w:ascii="Cambria Math"/>
                <w:lang w:val="en-US"/>
              </w:rPr>
              <m:t>2</m:t>
            </m:r>
          </m:sup>
        </m:sSup>
        <m:d>
          <m:dPr>
            <m:begChr m:val="["/>
            <m:endChr m:val="]"/>
            <m:ctrlPr>
              <w:rPr>
                <w:rFonts w:ascii="Cambria Math" w:hAnsi="Cambria Math"/>
                <w:i/>
                <w:lang w:val="en-US"/>
              </w:rPr>
            </m:ctrlPr>
          </m:dPr>
          <m:e>
            <m:r>
              <w:rPr>
                <w:rFonts w:ascii="Cambria Math" w:hAnsi="Cambria Math"/>
                <w:lang w:val="en-US"/>
              </w:rPr>
              <m:t>-h</m:t>
            </m:r>
            <m:r>
              <w:rPr>
                <w:rFonts w:ascii="Cambria Math"/>
                <w:lang w:val="en-US"/>
              </w:rPr>
              <m:t>(1)</m:t>
            </m:r>
          </m:e>
        </m:d>
      </m:oMath>
      <w:r w:rsidRPr="0021142C">
        <w:rPr>
          <w:lang w:val="en-US"/>
        </w:rPr>
        <w:t xml:space="preserve"> if he or she smokes in period</w:t>
      </w:r>
      <w:r w:rsidR="00495359" w:rsidRPr="0021142C">
        <w:rPr>
          <w:lang w:val="en-US"/>
        </w:rPr>
        <w:t xml:space="preserve"> 1</w:t>
      </w:r>
      <w:r w:rsidRPr="0021142C">
        <w:rPr>
          <w:lang w:val="en-US"/>
        </w:rPr>
        <w:t xml:space="preserve"> and 0 otherwise.</w:t>
      </w:r>
      <w:r w:rsidR="00495359" w:rsidRPr="0021142C">
        <w:rPr>
          <w:lang w:val="en-US"/>
        </w:rPr>
        <w:t xml:space="preserve"> T</w:t>
      </w:r>
      <w:r w:rsidRPr="0021142C">
        <w:rPr>
          <w:lang w:val="en-US"/>
        </w:rPr>
        <w:t>he planner decides to smoke in period 1 if the net utility of smoking exceeds the net utility of non-smoking</w:t>
      </w:r>
      <w:proofErr w:type="gramStart"/>
      <w:r w:rsidRPr="0021142C">
        <w:rPr>
          <w:lang w:val="en-US"/>
        </w:rPr>
        <w:t xml:space="preserve">: </w:t>
      </w:r>
      <w:proofErr w:type="gramEnd"/>
      <m:oMath>
        <m:r>
          <w:rPr>
            <w:rFonts w:ascii="Cambria Math" w:hAnsi="Cambria Math"/>
            <w:lang w:val="en-US"/>
          </w:rPr>
          <m:t>βδ</m:t>
        </m:r>
        <m:d>
          <m:dPr>
            <m:begChr m:val="["/>
            <m:endChr m:val="]"/>
            <m:ctrlPr>
              <w:rPr>
                <w:rFonts w:ascii="Cambria Math" w:hAnsi="Cambria Math"/>
                <w:i/>
                <w:lang w:val="en-US"/>
              </w:rPr>
            </m:ctrlPr>
          </m:dPr>
          <m:e>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lang w:val="en-US"/>
              </w:rPr>
              <m:t>+</m:t>
            </m:r>
            <m:r>
              <w:rPr>
                <w:rFonts w:ascii="Cambria Math" w:hAnsi="Cambria Math"/>
                <w:lang w:val="en-US"/>
              </w:rPr>
              <m:t>M-p</m:t>
            </m:r>
          </m:e>
        </m:d>
        <m:r>
          <w:rPr>
            <w:rFonts w:ascii="Cambria Math"/>
            <w:lang w:val="en-US"/>
          </w:rPr>
          <m:t>+</m:t>
        </m:r>
        <m:r>
          <w:rPr>
            <w:rFonts w:ascii="Cambria Math" w:hAnsi="Cambria Math"/>
            <w:lang w:val="en-US"/>
          </w:rPr>
          <m:t>β</m:t>
        </m:r>
        <m:sSup>
          <m:sSupPr>
            <m:ctrlPr>
              <w:rPr>
                <w:rFonts w:ascii="Cambria Math" w:hAnsi="Cambria Math"/>
                <w:i/>
                <w:lang w:val="en-US"/>
              </w:rPr>
            </m:ctrlPr>
          </m:sSupPr>
          <m:e>
            <m:r>
              <w:rPr>
                <w:rFonts w:ascii="Cambria Math" w:hAnsi="Cambria Math"/>
                <w:lang w:val="en-US"/>
              </w:rPr>
              <m:t>δ</m:t>
            </m:r>
          </m:e>
          <m:sup>
            <m:r>
              <w:rPr>
                <w:rFonts w:ascii="Cambria Math"/>
                <w:lang w:val="en-US"/>
              </w:rPr>
              <m:t>2</m:t>
            </m:r>
          </m:sup>
        </m:sSup>
        <m:d>
          <m:dPr>
            <m:begChr m:val="["/>
            <m:endChr m:val="]"/>
            <m:ctrlPr>
              <w:rPr>
                <w:rFonts w:ascii="Cambria Math" w:hAnsi="Cambria Math"/>
                <w:i/>
                <w:lang w:val="en-US"/>
              </w:rPr>
            </m:ctrlPr>
          </m:dPr>
          <m:e>
            <m:r>
              <w:rPr>
                <w:rFonts w:ascii="Cambria Math" w:hAnsi="Cambria Math"/>
                <w:lang w:val="en-US"/>
              </w:rPr>
              <m:t>-h</m:t>
            </m:r>
            <m:r>
              <w:rPr>
                <w:rFonts w:ascii="Cambria Math"/>
                <w:lang w:val="en-US"/>
              </w:rPr>
              <m:t>(1)</m:t>
            </m:r>
          </m:e>
        </m:d>
        <m:r>
          <w:rPr>
            <w:rFonts w:ascii="Cambria Math" w:hAnsi="Cambria Math"/>
            <w:lang w:val="en-US"/>
          </w:rPr>
          <m:t>≥βδM</m:t>
        </m:r>
      </m:oMath>
      <w:r w:rsidRPr="0021142C">
        <w:rPr>
          <w:lang w:val="en-US"/>
        </w:rPr>
        <w:t>. Hence, the person plans to smoke if:</w:t>
      </w:r>
    </w:p>
    <w:p w14:paraId="1660D6DA" w14:textId="77777777" w:rsidR="00FD39B4" w:rsidRPr="0021142C" w:rsidRDefault="00FD39B4" w:rsidP="00BB4444">
      <w:pPr>
        <w:spacing w:line="480" w:lineRule="auto"/>
        <w:jc w:val="both"/>
        <w:rPr>
          <w:lang w:val="en-US"/>
        </w:rPr>
      </w:pPr>
      <m:oMathPara>
        <m:oMath>
          <m:r>
            <w:rPr>
              <w:rFonts w:ascii="Cambria Math" w:hAnsi="Cambria Math"/>
              <w:lang w:val="en-US"/>
            </w:rPr>
            <m:t>p≤v</m:t>
          </m:r>
          <m:d>
            <m:dPr>
              <m:ctrlPr>
                <w:rPr>
                  <w:rFonts w:ascii="Cambria Math" w:hAnsi="Cambria Math"/>
                  <w:i/>
                  <w:lang w:val="en-US"/>
                </w:rPr>
              </m:ctrlPr>
            </m:dPr>
            <m:e>
              <m:r>
                <w:rPr>
                  <w:rFonts w:ascii="Cambria Math"/>
                  <w:lang w:val="en-US"/>
                </w:rPr>
                <m:t>1</m:t>
              </m:r>
            </m:e>
          </m:d>
          <m:r>
            <w:rPr>
              <w:rFonts w:ascii="Cambria Math" w:hAnsi="Cambria Math"/>
              <w:lang w:val="en-US"/>
            </w:rPr>
            <m:t>-δh</m:t>
          </m:r>
          <m:d>
            <m:dPr>
              <m:ctrlPr>
                <w:rPr>
                  <w:rFonts w:ascii="Cambria Math" w:hAnsi="Cambria Math"/>
                  <w:i/>
                  <w:lang w:val="en-US"/>
                </w:rPr>
              </m:ctrlPr>
            </m:dPr>
            <m:e>
              <m:r>
                <w:rPr>
                  <w:rFonts w:ascii="Cambria Math"/>
                  <w:lang w:val="en-US"/>
                </w:rPr>
                <m:t>1</m:t>
              </m:r>
            </m:e>
          </m:d>
          <m:r>
            <w:rPr>
              <w:rFonts w:ascii="Cambria Math"/>
              <w:lang w:val="en-US"/>
            </w:rPr>
            <m:t>.</m:t>
          </m:r>
        </m:oMath>
      </m:oMathPara>
    </w:p>
    <w:p w14:paraId="1C1F2344" w14:textId="77777777" w:rsidR="00FD39B4" w:rsidRPr="0021142C" w:rsidRDefault="00FD39B4" w:rsidP="00BB4444">
      <w:pPr>
        <w:spacing w:line="480" w:lineRule="auto"/>
        <w:jc w:val="both"/>
        <w:rPr>
          <w:lang w:val="en-US"/>
        </w:rPr>
      </w:pPr>
      <w:r w:rsidRPr="0021142C">
        <w:rPr>
          <w:lang w:val="en-US"/>
        </w:rPr>
        <w:t xml:space="preserve">For the planner, the reservation price of a cigarette is given </w:t>
      </w:r>
      <w:proofErr w:type="gramStart"/>
      <w:r w:rsidRPr="0021142C">
        <w:rPr>
          <w:lang w:val="en-US"/>
        </w:rPr>
        <w:t xml:space="preserve">by </w:t>
      </w:r>
      <w:proofErr w:type="gramEnd"/>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r>
          <w:rPr>
            <w:rFonts w:ascii="Cambria Math"/>
            <w:lang w:val="en-US"/>
          </w:rPr>
          <m:t>=</m:t>
        </m:r>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-δh</m:t>
        </m:r>
        <m:d>
          <m:dPr>
            <m:ctrlPr>
              <w:rPr>
                <w:rFonts w:ascii="Cambria Math" w:hAnsi="Cambria Math"/>
                <w:i/>
                <w:lang w:val="en-US"/>
              </w:rPr>
            </m:ctrlPr>
          </m:dPr>
          <m:e>
            <m:r>
              <w:rPr>
                <w:rFonts w:ascii="Cambria Math"/>
                <w:lang w:val="en-US"/>
              </w:rPr>
              <m:t>1</m:t>
            </m:r>
          </m:e>
        </m:d>
      </m:oMath>
      <w:r w:rsidRPr="0021142C">
        <w:rPr>
          <w:lang w:val="en-US"/>
        </w:rPr>
        <w:t xml:space="preserve">. In period 0, the person plans to smoke in period 1 if the cost of smoking is lower than the immediate utility of smoking minus the discounted future health damage. </w:t>
      </w:r>
    </w:p>
    <w:p w14:paraId="7198B8C6" w14:textId="77777777" w:rsidR="00FD39B4" w:rsidRPr="0021142C" w:rsidRDefault="00FD39B4" w:rsidP="00BB4444">
      <w:pPr>
        <w:spacing w:line="480" w:lineRule="auto"/>
        <w:jc w:val="both"/>
        <w:rPr>
          <w:lang w:val="en-US"/>
        </w:rPr>
      </w:pPr>
    </w:p>
    <w:p w14:paraId="0AF5724D" w14:textId="77777777" w:rsidR="00FD39B4" w:rsidRPr="0021142C" w:rsidRDefault="00FD39B4" w:rsidP="00BB4444">
      <w:pPr>
        <w:spacing w:line="480" w:lineRule="auto"/>
        <w:jc w:val="both"/>
        <w:rPr>
          <w:lang w:val="en-US"/>
        </w:rPr>
      </w:pPr>
      <w:r w:rsidRPr="0021142C">
        <w:rPr>
          <w:lang w:val="en-US"/>
        </w:rPr>
        <w:t xml:space="preserve">We turn to consider the </w:t>
      </w:r>
      <w:r w:rsidRPr="0021142C">
        <w:rPr>
          <w:i/>
          <w:iCs/>
          <w:lang w:val="en-US"/>
        </w:rPr>
        <w:t>doer</w:t>
      </w:r>
      <w:r w:rsidRPr="0021142C">
        <w:rPr>
          <w:lang w:val="en-US"/>
        </w:rPr>
        <w:t xml:space="preserve">’s problem in period 1. The immediate utility of smoking is given by  </w:t>
      </w:r>
      <m:oMath>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-M-p</m:t>
        </m:r>
      </m:oMath>
      <w:r w:rsidRPr="0021142C">
        <w:rPr>
          <w:lang w:val="en-US"/>
        </w:rPr>
        <w:t xml:space="preserve"> if she smokes, and </w:t>
      </w:r>
      <m:oMath>
        <m:r>
          <w:rPr>
            <w:rFonts w:ascii="Cambria Math" w:hAnsi="Cambria Math"/>
            <w:lang w:val="en-US"/>
          </w:rPr>
          <m:t>M</m:t>
        </m:r>
      </m:oMath>
      <w:r w:rsidRPr="0021142C">
        <w:rPr>
          <w:lang w:val="en-US"/>
        </w:rPr>
        <w:t xml:space="preserve"> if she does not. The utility in the next period is given by  </w:t>
      </w:r>
      <m:oMath>
        <m:r>
          <w:rPr>
            <w:rFonts w:ascii="Cambria Math" w:hAnsi="Cambria Math"/>
            <w:lang w:val="en-US"/>
          </w:rPr>
          <m:t>βδ</m:t>
        </m:r>
        <m:d>
          <m:dPr>
            <m:begChr m:val="["/>
            <m:endChr m:val="]"/>
            <m:ctrlPr>
              <w:rPr>
                <w:rFonts w:ascii="Cambria Math" w:hAnsi="Cambria Math"/>
                <w:i/>
                <w:lang w:val="en-US"/>
              </w:rPr>
            </m:ctrlPr>
          </m:dPr>
          <m:e>
            <m:r>
              <w:rPr>
                <w:rFonts w:ascii="Cambria Math" w:hAnsi="Cambria Math"/>
                <w:lang w:val="en-US"/>
              </w:rPr>
              <m:t>-h</m:t>
            </m:r>
            <m:r>
              <w:rPr>
                <w:rFonts w:ascii="Cambria Math"/>
                <w:lang w:val="en-US"/>
              </w:rPr>
              <m:t>(1)</m:t>
            </m:r>
          </m:e>
        </m:d>
      </m:oMath>
      <w:r w:rsidRPr="0021142C">
        <w:rPr>
          <w:lang w:val="en-US"/>
        </w:rPr>
        <w:t xml:space="preserve"> if she smokes, and 0 if she does not. The individual smokes in period 1 </w:t>
      </w:r>
      <w:proofErr w:type="gramStart"/>
      <w:r w:rsidRPr="0021142C">
        <w:rPr>
          <w:lang w:val="en-US"/>
        </w:rPr>
        <w:t xml:space="preserve">if  </w:t>
      </w:r>
      <w:proofErr w:type="gramEnd"/>
      <m:oMath>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-M-p</m:t>
        </m:r>
        <m:r>
          <w:rPr>
            <w:rFonts w:ascii="Cambria Math"/>
            <w:lang w:val="en-US"/>
          </w:rPr>
          <m:t>+</m:t>
        </m:r>
        <m:r>
          <w:rPr>
            <w:rFonts w:ascii="Cambria Math" w:hAnsi="Cambria Math"/>
            <w:lang w:val="en-US"/>
          </w:rPr>
          <m:t>βδ</m:t>
        </m:r>
        <m:d>
          <m:dPr>
            <m:begChr m:val="["/>
            <m:endChr m:val="]"/>
            <m:ctrlPr>
              <w:rPr>
                <w:rFonts w:ascii="Cambria Math" w:hAnsi="Cambria Math"/>
                <w:i/>
                <w:lang w:val="en-US"/>
              </w:rPr>
            </m:ctrlPr>
          </m:dPr>
          <m:e>
            <m:r>
              <w:rPr>
                <w:rFonts w:ascii="Cambria Math" w:hAnsi="Cambria Math"/>
                <w:lang w:val="en-US"/>
              </w:rPr>
              <m:t>-h</m:t>
            </m:r>
            <m:d>
              <m:dPr>
                <m:ctrlPr>
                  <w:rPr>
                    <w:rFonts w:ascii="Cambria Math" w:hAnsi="Cambria Math"/>
                    <w:i/>
                    <w:lang w:val="en-US"/>
                  </w:rPr>
                </m:ctrlPr>
              </m:dPr>
              <m:e>
                <m:r>
                  <w:rPr>
                    <w:rFonts w:ascii="Cambria Math"/>
                    <w:lang w:val="en-US"/>
                  </w:rPr>
                  <m:t>1</m:t>
                </m:r>
              </m:e>
            </m:d>
          </m:e>
        </m:d>
        <m:r>
          <w:rPr>
            <w:rFonts w:ascii="Cambria Math" w:hAnsi="Cambria Math"/>
            <w:lang w:val="en-US"/>
          </w:rPr>
          <m:t>≥M</m:t>
        </m:r>
      </m:oMath>
      <w:r w:rsidRPr="0021142C">
        <w:rPr>
          <w:lang w:val="en-US"/>
        </w:rPr>
        <w:t xml:space="preserve">. </w:t>
      </w:r>
      <w:r w:rsidR="00495359" w:rsidRPr="0021142C">
        <w:rPr>
          <w:lang w:val="en-US"/>
        </w:rPr>
        <w:t>The doer</w:t>
      </w:r>
      <w:r w:rsidRPr="0021142C">
        <w:rPr>
          <w:lang w:val="en-US"/>
        </w:rPr>
        <w:t xml:space="preserve"> smokes if:</w:t>
      </w:r>
    </w:p>
    <w:p w14:paraId="052EBCE2" w14:textId="77777777" w:rsidR="00FD39B4" w:rsidRPr="0021142C" w:rsidRDefault="00FD39B4" w:rsidP="00BB4444">
      <w:pPr>
        <w:spacing w:line="480" w:lineRule="auto"/>
        <w:jc w:val="both"/>
        <w:rPr>
          <w:lang w:val="en-US"/>
        </w:rPr>
      </w:pPr>
      <m:oMathPara>
        <m:oMath>
          <m:r>
            <w:rPr>
              <w:rFonts w:ascii="Cambria Math" w:hAnsi="Cambria Math"/>
              <w:lang w:val="en-US"/>
            </w:rPr>
            <m:t>p≤v</m:t>
          </m:r>
          <m:d>
            <m:dPr>
              <m:ctrlPr>
                <w:rPr>
                  <w:rFonts w:ascii="Cambria Math" w:hAnsi="Cambria Math"/>
                  <w:i/>
                  <w:lang w:val="en-US"/>
                </w:rPr>
              </m:ctrlPr>
            </m:dPr>
            <m:e>
              <m:r>
                <w:rPr>
                  <w:rFonts w:ascii="Cambria Math"/>
                  <w:lang w:val="en-US"/>
                </w:rPr>
                <m:t>1</m:t>
              </m:r>
            </m:e>
          </m:d>
          <m:r>
            <w:rPr>
              <w:rFonts w:ascii="Cambria Math" w:hAnsi="Cambria Math"/>
              <w:lang w:val="en-US"/>
            </w:rPr>
            <m:t>-βδh</m:t>
          </m:r>
          <m:d>
            <m:dPr>
              <m:ctrlPr>
                <w:rPr>
                  <w:rFonts w:ascii="Cambria Math" w:hAnsi="Cambria Math"/>
                  <w:i/>
                  <w:lang w:val="en-US"/>
                </w:rPr>
              </m:ctrlPr>
            </m:dPr>
            <m:e>
              <m:r>
                <w:rPr>
                  <w:rFonts w:ascii="Cambria Math"/>
                  <w:lang w:val="en-US"/>
                </w:rPr>
                <m:t>1</m:t>
              </m:r>
            </m:e>
          </m:d>
          <m:r>
            <w:rPr>
              <w:rFonts w:ascii="Cambria Math"/>
              <w:lang w:val="en-US"/>
            </w:rPr>
            <m:t>.</m:t>
          </m:r>
        </m:oMath>
      </m:oMathPara>
    </w:p>
    <w:p w14:paraId="6D10D376" w14:textId="77777777" w:rsidR="00FD39B4" w:rsidRPr="0021142C" w:rsidRDefault="00495359" w:rsidP="00BB4444">
      <w:pPr>
        <w:spacing w:line="480" w:lineRule="auto"/>
        <w:jc w:val="both"/>
        <w:rPr>
          <w:lang w:val="en-US"/>
        </w:rPr>
      </w:pPr>
      <w:r w:rsidRPr="0021142C">
        <w:rPr>
          <w:lang w:val="en-US"/>
        </w:rPr>
        <w:t>The doer’s</w:t>
      </w:r>
      <w:r w:rsidR="00FD39B4" w:rsidRPr="0021142C">
        <w:rPr>
          <w:lang w:val="en-US"/>
        </w:rPr>
        <w:t xml:space="preserve"> reservation price is given </w:t>
      </w:r>
      <w:proofErr w:type="gramStart"/>
      <w:r w:rsidR="00FD39B4" w:rsidRPr="0021142C">
        <w:rPr>
          <w:lang w:val="en-US"/>
        </w:rPr>
        <w:t xml:space="preserve">by  </w:t>
      </w:r>
      <w:proofErr w:type="gramEnd"/>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r>
          <w:rPr>
            <w:rFonts w:ascii="Cambria Math"/>
            <w:lang w:val="en-US"/>
          </w:rPr>
          <m:t>=</m:t>
        </m:r>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-βδh</m:t>
        </m:r>
        <m:d>
          <m:dPr>
            <m:ctrlPr>
              <w:rPr>
                <w:rFonts w:ascii="Cambria Math" w:hAnsi="Cambria Math"/>
                <w:i/>
                <w:lang w:val="en-US"/>
              </w:rPr>
            </m:ctrlPr>
          </m:dPr>
          <m:e>
            <m:r>
              <w:rPr>
                <w:rFonts w:ascii="Cambria Math"/>
                <w:lang w:val="en-US"/>
              </w:rPr>
              <m:t>1</m:t>
            </m:r>
          </m:e>
        </m:d>
      </m:oMath>
      <w:r w:rsidR="00FD39B4" w:rsidRPr="0021142C">
        <w:rPr>
          <w:lang w:val="en-US"/>
        </w:rPr>
        <w:t xml:space="preserve">. </w:t>
      </w:r>
      <w:r w:rsidRPr="0021142C">
        <w:rPr>
          <w:lang w:val="en-US"/>
        </w:rPr>
        <w:t>C</w:t>
      </w:r>
      <w:r w:rsidR="00FD39B4" w:rsidRPr="0021142C">
        <w:rPr>
          <w:lang w:val="en-US"/>
        </w:rPr>
        <w:t xml:space="preserve">ompared to the previous condition to smoke for the planner, the doer discounts the future health damage more heavily by </w:t>
      </w:r>
      <m:oMath>
        <m:r>
          <w:rPr>
            <w:rFonts w:ascii="Cambria Math" w:hAnsi="Cambria Math"/>
            <w:lang w:val="en-US"/>
          </w:rPr>
          <m:t>βδ</m:t>
        </m:r>
      </m:oMath>
      <w:r w:rsidR="00FD39B4" w:rsidRPr="0021142C">
        <w:rPr>
          <w:lang w:val="en-US"/>
        </w:rPr>
        <w:t xml:space="preserve"> (</w:t>
      </w:r>
      <w:proofErr w:type="gramStart"/>
      <w:r w:rsidR="00FD39B4" w:rsidRPr="0021142C">
        <w:rPr>
          <w:lang w:val="en-US"/>
        </w:rPr>
        <w:t xml:space="preserve">where </w:t>
      </w:r>
      <w:proofErr w:type="gramEnd"/>
      <m:oMath>
        <m:r>
          <w:rPr>
            <w:rFonts w:ascii="Cambria Math" w:hAnsi="Cambria Math"/>
            <w:lang w:val="en-US"/>
          </w:rPr>
          <m:t>β</m:t>
        </m:r>
      </m:oMath>
      <w:r w:rsidR="00FD39B4" w:rsidRPr="0021142C">
        <w:rPr>
          <w:lang w:val="en-US"/>
        </w:rPr>
        <w:t xml:space="preserve">, </w:t>
      </w:r>
      <m:oMath>
        <m:r>
          <w:rPr>
            <w:rFonts w:ascii="Cambria Math" w:hAnsi="Cambria Math"/>
            <w:lang w:val="en-US"/>
          </w:rPr>
          <m:t>δ</m:t>
        </m:r>
      </m:oMath>
      <w:r w:rsidR="00FD39B4" w:rsidRPr="0021142C">
        <w:rPr>
          <w:lang w:val="en-US"/>
        </w:rPr>
        <w:t xml:space="preserve"> ≤1). This means that the doer accepts a higher cigarette price than the planner. More specifically, if the actual cigarette price is between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oMath>
      <w:r w:rsidR="00FD39B4" w:rsidRPr="0021142C">
        <w:rPr>
          <w:lang w:val="en-US"/>
        </w:rPr>
        <w:t xml:space="preserve"> </w:t>
      </w:r>
      <w:proofErr w:type="gramStart"/>
      <w:r w:rsidR="00FD39B4" w:rsidRPr="0021142C">
        <w:rPr>
          <w:lang w:val="en-US"/>
        </w:rPr>
        <w:t xml:space="preserve">and  </w:t>
      </w:r>
      <w:proofErr w:type="gramEnd"/>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oMath>
      <w:r w:rsidR="00FD39B4" w:rsidRPr="0021142C">
        <w:rPr>
          <w:lang w:val="en-US"/>
        </w:rPr>
        <w:t xml:space="preserve">:  </w:t>
      </w:r>
      <m:oMath>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-δh</m:t>
        </m:r>
        <m:d>
          <m:dPr>
            <m:ctrlPr>
              <w:rPr>
                <w:rFonts w:ascii="Cambria Math" w:hAnsi="Cambria Math"/>
                <w:i/>
                <w:lang w:val="en-US"/>
              </w:rPr>
            </m:ctrlPr>
          </m:dPr>
          <m:e>
            <m:r>
              <w:rPr>
                <w:rFonts w:ascii="Cambria Math"/>
                <w:lang w:val="en-US"/>
              </w:rPr>
              <m:t>1</m:t>
            </m:r>
          </m:e>
        </m:d>
        <m:r>
          <w:rPr>
            <w:rFonts w:ascii="Cambria Math"/>
            <w:lang w:val="en-US"/>
          </w:rPr>
          <m:t>&lt;</m:t>
        </m:r>
        <m:r>
          <w:rPr>
            <w:rFonts w:ascii="Cambria Math" w:hAnsi="Cambria Math"/>
            <w:lang w:val="en-US"/>
          </w:rPr>
          <m:t>p</m:t>
        </m:r>
        <m:r>
          <w:rPr>
            <w:rFonts w:ascii="Cambria Math"/>
            <w:lang w:val="en-US"/>
          </w:rPr>
          <m:t>&lt;</m:t>
        </m:r>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-βδh</m:t>
        </m:r>
        <m:d>
          <m:dPr>
            <m:ctrlPr>
              <w:rPr>
                <w:rFonts w:ascii="Cambria Math" w:hAnsi="Cambria Math"/>
                <w:i/>
                <w:lang w:val="en-US"/>
              </w:rPr>
            </m:ctrlPr>
          </m:dPr>
          <m:e>
            <m:r>
              <w:rPr>
                <w:rFonts w:ascii="Cambria Math"/>
                <w:lang w:val="en-US"/>
              </w:rPr>
              <m:t>1</m:t>
            </m:r>
          </m:e>
        </m:d>
      </m:oMath>
      <w:r w:rsidR="00FD39B4" w:rsidRPr="0021142C">
        <w:rPr>
          <w:lang w:val="en-US"/>
        </w:rPr>
        <w:t xml:space="preserve">, the </w:t>
      </w:r>
      <w:r w:rsidRPr="0021142C">
        <w:rPr>
          <w:lang w:val="en-US"/>
        </w:rPr>
        <w:t xml:space="preserve">doer </w:t>
      </w:r>
      <w:r w:rsidR="00FD39B4" w:rsidRPr="0021142C">
        <w:rPr>
          <w:lang w:val="en-US"/>
        </w:rPr>
        <w:t xml:space="preserve">smokes in period 1 even though </w:t>
      </w:r>
      <w:r w:rsidRPr="0021142C">
        <w:rPr>
          <w:lang w:val="en-US"/>
        </w:rPr>
        <w:t xml:space="preserve">he or </w:t>
      </w:r>
      <w:r w:rsidR="00FD39B4" w:rsidRPr="0021142C">
        <w:rPr>
          <w:lang w:val="en-US"/>
        </w:rPr>
        <w:t xml:space="preserve">she planned not to smoke, a </w:t>
      </w:r>
      <w:r w:rsidR="00FD39B4" w:rsidRPr="0021142C">
        <w:rPr>
          <w:i/>
          <w:iCs/>
          <w:lang w:val="en-US"/>
        </w:rPr>
        <w:t>preference revers</w:t>
      </w:r>
      <w:r w:rsidR="00792C77" w:rsidRPr="0021142C">
        <w:rPr>
          <w:i/>
          <w:iCs/>
          <w:lang w:val="en-US"/>
        </w:rPr>
        <w:t>al</w:t>
      </w:r>
      <w:r w:rsidR="00C73E00" w:rsidRPr="0021142C">
        <w:rPr>
          <w:i/>
          <w:iCs/>
          <w:lang w:val="en-US"/>
        </w:rPr>
        <w:t>.</w:t>
      </w:r>
    </w:p>
    <w:p w14:paraId="398D39E6" w14:textId="77777777" w:rsidR="00FD39B4" w:rsidRPr="0021142C" w:rsidRDefault="00FD39B4" w:rsidP="00BB4444">
      <w:pPr>
        <w:spacing w:line="480" w:lineRule="auto"/>
        <w:jc w:val="both"/>
        <w:rPr>
          <w:lang w:val="en-US"/>
        </w:rPr>
      </w:pPr>
    </w:p>
    <w:p w14:paraId="79F2F2E9" w14:textId="0FFD8B38" w:rsidR="00FD39B4" w:rsidRPr="0021142C" w:rsidRDefault="00FD39B4" w:rsidP="00BB4444">
      <w:pPr>
        <w:spacing w:line="480" w:lineRule="auto"/>
        <w:jc w:val="both"/>
        <w:rPr>
          <w:lang w:val="en-US"/>
        </w:rPr>
      </w:pPr>
      <w:r w:rsidRPr="0021142C">
        <w:rPr>
          <w:lang w:val="en-US"/>
        </w:rPr>
        <w:t>When this preference reversal is likely to happen, there are ways for the planner to restrict the doer’s be</w:t>
      </w:r>
      <w:r w:rsidR="00C25843" w:rsidRPr="0021142C">
        <w:rPr>
          <w:lang w:val="en-US"/>
        </w:rPr>
        <w:t>havior</w:t>
      </w:r>
      <w:r w:rsidRPr="0021142C">
        <w:rPr>
          <w:lang w:val="en-US"/>
        </w:rPr>
        <w:t>. The planner should make the doer’s reservation price of cigarette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oMath>
      <w:r w:rsidRPr="0021142C">
        <w:rPr>
          <w:lang w:val="en-US"/>
        </w:rPr>
        <w:t xml:space="preserve">) closer to the planner’s original reservation </w:t>
      </w:r>
      <w:proofErr w:type="gramStart"/>
      <w:r w:rsidRPr="0021142C">
        <w:rPr>
          <w:lang w:val="en-US"/>
        </w:rPr>
        <w:t xml:space="preserve">price </w:t>
      </w:r>
      <w:proofErr w:type="gramEnd"/>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oMath>
      <w:r w:rsidRPr="0021142C">
        <w:rPr>
          <w:lang w:val="en-US"/>
        </w:rPr>
        <w:t xml:space="preserve">. Stronger restriction will be needed depending on the degree of the self-control problem: a smaller </w:t>
      </w:r>
      <m:oMath>
        <m:r>
          <w:rPr>
            <w:rFonts w:ascii="Cambria Math" w:hAnsi="Cambria Math"/>
            <w:lang w:val="en-US"/>
          </w:rPr>
          <m:t>β</m:t>
        </m:r>
      </m:oMath>
      <w:r w:rsidRPr="0021142C">
        <w:rPr>
          <w:lang w:val="en-US"/>
        </w:rPr>
        <w:t xml:space="preserve"> (i.e. larger discount) implies the need for stronger restrictions.</w:t>
      </w:r>
    </w:p>
    <w:p w14:paraId="785DC3FC" w14:textId="77777777" w:rsidR="00FD39B4" w:rsidRPr="0021142C" w:rsidRDefault="00FD39B4" w:rsidP="00BB4444">
      <w:pPr>
        <w:spacing w:line="480" w:lineRule="auto"/>
        <w:jc w:val="both"/>
        <w:rPr>
          <w:lang w:val="en-US"/>
        </w:rPr>
      </w:pPr>
    </w:p>
    <w:p w14:paraId="403497C1" w14:textId="0CD28FEE" w:rsidR="00FD39B4" w:rsidRPr="0021142C" w:rsidRDefault="00FD39B4" w:rsidP="00BB4444">
      <w:pPr>
        <w:spacing w:line="480" w:lineRule="auto"/>
        <w:jc w:val="both"/>
        <w:rPr>
          <w:lang w:val="en-US"/>
        </w:rPr>
      </w:pPr>
      <w:r w:rsidRPr="0021142C">
        <w:rPr>
          <w:lang w:val="en-US"/>
        </w:rPr>
        <w:t xml:space="preserve">Commitment </w:t>
      </w:r>
      <w:r w:rsidR="00495359" w:rsidRPr="0021142C">
        <w:rPr>
          <w:lang w:val="en-US"/>
        </w:rPr>
        <w:t>helps</w:t>
      </w:r>
      <w:r w:rsidRPr="0021142C">
        <w:rPr>
          <w:lang w:val="en-US"/>
        </w:rPr>
        <w:t xml:space="preserve"> restrict the doer’s be</w:t>
      </w:r>
      <w:r w:rsidR="00C25843" w:rsidRPr="0021142C">
        <w:rPr>
          <w:lang w:val="en-US"/>
        </w:rPr>
        <w:t>havior</w:t>
      </w:r>
      <w:r w:rsidRPr="0021142C">
        <w:rPr>
          <w:lang w:val="en-US"/>
        </w:rPr>
        <w:t xml:space="preserve">. For instance, the planner can commit to pay a higher price for a cigarette in period 1, so that the doer faces the higher price. Similarly, </w:t>
      </w:r>
      <w:r w:rsidR="00495359" w:rsidRPr="0021142C">
        <w:rPr>
          <w:lang w:val="en-US"/>
        </w:rPr>
        <w:t xml:space="preserve">he or </w:t>
      </w:r>
      <w:r w:rsidRPr="0021142C">
        <w:rPr>
          <w:lang w:val="en-US"/>
        </w:rPr>
        <w:t xml:space="preserve">she can commit to paying some amount of money in case she smokes. Both commitments directly decrease the reservation price of cigarette for the </w:t>
      </w:r>
      <w:proofErr w:type="gramStart"/>
      <w:r w:rsidRPr="0021142C">
        <w:rPr>
          <w:lang w:val="en-US"/>
        </w:rPr>
        <w:t xml:space="preserve">doer </w:t>
      </w:r>
      <w:proofErr w:type="gramEnd"/>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r>
          <w:rPr>
            <w:rFonts w:ascii="Cambria Math"/>
            <w:lang w:val="en-US"/>
          </w:rPr>
          <m:t>=</m:t>
        </m:r>
        <m:r>
          <w:rPr>
            <w:rFonts w:ascii="Cambria Math" w:hAnsi="Cambria Math"/>
            <w:lang w:val="en-US"/>
          </w:rPr>
          <m:t>v</m:t>
        </m:r>
        <m:d>
          <m:dPr>
            <m:ctrlPr>
              <w:rPr>
                <w:rFonts w:ascii="Cambria Math" w:hAnsi="Cambria Math"/>
                <w:i/>
                <w:lang w:val="en-US"/>
              </w:rPr>
            </m:ctrlPr>
          </m:dPr>
          <m:e>
            <m:r>
              <w:rPr>
                <w:rFonts w:ascii="Cambria Math"/>
                <w:lang w:val="en-US"/>
              </w:rPr>
              <m:t>1</m:t>
            </m:r>
          </m:e>
        </m:d>
        <m:r>
          <w:rPr>
            <w:rFonts w:ascii="Cambria Math" w:hAnsi="Cambria Math"/>
            <w:lang w:val="en-US"/>
          </w:rPr>
          <m:t>-βδh</m:t>
        </m:r>
        <m:d>
          <m:dPr>
            <m:ctrlPr>
              <w:rPr>
                <w:rFonts w:ascii="Cambria Math" w:hAnsi="Cambria Math"/>
                <w:i/>
                <w:lang w:val="en-US"/>
              </w:rPr>
            </m:ctrlPr>
          </m:dPr>
          <m:e>
            <m:r>
              <w:rPr>
                <w:rFonts w:ascii="Cambria Math"/>
                <w:lang w:val="en-US"/>
              </w:rPr>
              <m:t>1</m:t>
            </m:r>
          </m:e>
        </m:d>
        <m:r>
          <w:rPr>
            <w:rFonts w:ascii="Cambria Math" w:hAnsi="Cambria Math"/>
            <w:lang w:val="en-US"/>
          </w:rPr>
          <m:t>-C</m:t>
        </m:r>
      </m:oMath>
      <w:r w:rsidRPr="0021142C">
        <w:rPr>
          <w:lang w:val="en-US"/>
        </w:rPr>
        <w:t xml:space="preserve">, where </w:t>
      </w:r>
      <w:r w:rsidRPr="0021142C">
        <w:rPr>
          <w:i/>
          <w:iCs/>
          <w:lang w:val="en-US"/>
        </w:rPr>
        <w:t>C</w:t>
      </w:r>
      <w:r w:rsidRPr="0021142C">
        <w:rPr>
          <w:lang w:val="en-US"/>
        </w:rPr>
        <w:t xml:space="preserve"> is either the increased price or the punishment. Incurring additional cost to smoke in this way brings the doer’s reservation price closer </w:t>
      </w:r>
      <w:proofErr w:type="gramStart"/>
      <w:r w:rsidRPr="0021142C">
        <w:rPr>
          <w:lang w:val="en-US"/>
        </w:rPr>
        <w:t xml:space="preserve">to </w:t>
      </w:r>
      <w:proofErr w:type="gramEnd"/>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m:t>
            </m:r>
          </m:sup>
        </m:sSup>
      </m:oMath>
      <w:r w:rsidRPr="0021142C">
        <w:rPr>
          <w:lang w:val="en-US"/>
        </w:rPr>
        <w:t xml:space="preserve">. </w:t>
      </w:r>
    </w:p>
    <w:p w14:paraId="3CAE8EAC" w14:textId="77777777" w:rsidR="00FD39B4" w:rsidRPr="0021142C" w:rsidRDefault="00FD39B4" w:rsidP="00BB4444">
      <w:pPr>
        <w:spacing w:line="480" w:lineRule="auto"/>
        <w:jc w:val="both"/>
        <w:rPr>
          <w:lang w:val="en-US"/>
        </w:rPr>
      </w:pPr>
    </w:p>
    <w:p w14:paraId="0FA421DF" w14:textId="1A201C86" w:rsidR="00FD39B4" w:rsidRPr="0021142C" w:rsidRDefault="00FD39B4" w:rsidP="00BB4444">
      <w:pPr>
        <w:spacing w:line="480" w:lineRule="auto"/>
        <w:jc w:val="both"/>
        <w:rPr>
          <w:lang w:val="en-US"/>
        </w:rPr>
      </w:pPr>
      <w:r w:rsidRPr="0021142C">
        <w:rPr>
          <w:lang w:val="en-US"/>
        </w:rPr>
        <w:t>Test 2</w:t>
      </w:r>
      <w:r w:rsidR="009C48AD" w:rsidRPr="0021142C">
        <w:rPr>
          <w:lang w:val="en-US"/>
        </w:rPr>
        <w:t xml:space="preserve"> is met, in the sense that specific predictions for public health contexts follow</w:t>
      </w:r>
      <w:r w:rsidRPr="0021142C">
        <w:rPr>
          <w:lang w:val="en-US"/>
        </w:rPr>
        <w:t xml:space="preserve"> from these models. Some interventions can be regarded as self-control devices of a similar kind. For </w:t>
      </w:r>
      <w:r w:rsidR="00495359" w:rsidRPr="0021142C">
        <w:rPr>
          <w:lang w:val="en-US"/>
        </w:rPr>
        <w:t>example</w:t>
      </w:r>
      <w:r w:rsidRPr="0021142C">
        <w:rPr>
          <w:lang w:val="en-US"/>
        </w:rPr>
        <w:t xml:space="preserve">, fiscal interventions, such as tax or income transfer, can alter the reservation price for the doer in the same way as the self-commitment. As in </w:t>
      </w:r>
      <w:proofErr w:type="spellStart"/>
      <w:r w:rsidR="00B756AB" w:rsidRPr="0021142C">
        <w:rPr>
          <w:lang w:val="en-US"/>
        </w:rPr>
        <w:t>O’Donoghue</w:t>
      </w:r>
      <w:proofErr w:type="spellEnd"/>
      <w:r w:rsidR="00B756AB" w:rsidRPr="0021142C">
        <w:rPr>
          <w:lang w:val="en-US"/>
        </w:rPr>
        <w:t xml:space="preserve"> and Rabin (2006)</w:t>
      </w:r>
      <w:r w:rsidRPr="0021142C">
        <w:rPr>
          <w:lang w:val="en-US"/>
        </w:rPr>
        <w:t xml:space="preserve"> and elsewhere, exercising a higher tax on cigarettes may prevent self-control lapses. Rewarding individuals for not smoking by lump-sum transfer will work in the same direction as the price intervention. Immediate rewards may be more effective</w:t>
      </w:r>
      <w:r w:rsidR="00045C34" w:rsidRPr="0021142C">
        <w:rPr>
          <w:lang w:val="en-US"/>
        </w:rPr>
        <w:t>,</w:t>
      </w:r>
      <w:r w:rsidRPr="0021142C">
        <w:rPr>
          <w:lang w:val="en-US"/>
        </w:rPr>
        <w:t xml:space="preserve"> if the individual discounts the future rewards heavily (</w:t>
      </w:r>
      <w:r w:rsidR="00B756AB" w:rsidRPr="0021142C">
        <w:rPr>
          <w:lang w:val="en-US"/>
        </w:rPr>
        <w:t xml:space="preserve">Lowenstein et </w:t>
      </w:r>
      <w:r w:rsidR="00792C77" w:rsidRPr="0021142C">
        <w:rPr>
          <w:lang w:val="en-US"/>
        </w:rPr>
        <w:t>al</w:t>
      </w:r>
      <w:r w:rsidR="00710194" w:rsidRPr="0021142C">
        <w:rPr>
          <w:lang w:val="en-US"/>
        </w:rPr>
        <w:t>.</w:t>
      </w:r>
      <w:r w:rsidR="00B756AB" w:rsidRPr="0021142C">
        <w:rPr>
          <w:lang w:val="en-US"/>
        </w:rPr>
        <w:t xml:space="preserve"> 2007</w:t>
      </w:r>
      <w:r w:rsidRPr="0021142C">
        <w:rPr>
          <w:lang w:val="en-US"/>
        </w:rPr>
        <w:t>).</w:t>
      </w:r>
    </w:p>
    <w:p w14:paraId="26B42322" w14:textId="77777777" w:rsidR="00FD39B4" w:rsidRPr="0021142C" w:rsidRDefault="00FD39B4" w:rsidP="00BB4444">
      <w:pPr>
        <w:spacing w:line="480" w:lineRule="auto"/>
        <w:jc w:val="both"/>
        <w:rPr>
          <w:lang w:val="en-US"/>
        </w:rPr>
      </w:pPr>
    </w:p>
    <w:p w14:paraId="67B48EE3" w14:textId="715BBAFC" w:rsidR="00FD39B4" w:rsidRPr="0021142C" w:rsidRDefault="00FD39B4" w:rsidP="00BB4444">
      <w:pPr>
        <w:spacing w:line="480" w:lineRule="auto"/>
        <w:jc w:val="both"/>
        <w:rPr>
          <w:lang w:val="en-US"/>
        </w:rPr>
      </w:pPr>
      <w:r w:rsidRPr="0021142C">
        <w:rPr>
          <w:lang w:val="en-US"/>
        </w:rPr>
        <w:t xml:space="preserve">Sometimes commitments may be considered as not involving (only) pecuniary incentives but, for example, may include social image costs. In the above example, the (shadow) price of cigarette </w:t>
      </w:r>
      <w:r w:rsidRPr="0021142C">
        <w:rPr>
          <w:i/>
          <w:lang w:val="en-US"/>
        </w:rPr>
        <w:t>p</w:t>
      </w:r>
      <w:r w:rsidRPr="0021142C">
        <w:rPr>
          <w:lang w:val="en-US"/>
        </w:rPr>
        <w:t xml:space="preserve"> may include social image costs (e.g. of smoking being seen as ‘uncool’), and people may use this to correct their future be</w:t>
      </w:r>
      <w:r w:rsidR="00C25843" w:rsidRPr="0021142C">
        <w:rPr>
          <w:lang w:val="en-US"/>
        </w:rPr>
        <w:t>havior</w:t>
      </w:r>
      <w:r w:rsidRPr="0021142C">
        <w:rPr>
          <w:lang w:val="en-US"/>
        </w:rPr>
        <w:t xml:space="preserve">. As another example, </w:t>
      </w:r>
      <w:r w:rsidR="00B756AB" w:rsidRPr="0021142C">
        <w:rPr>
          <w:lang w:val="en-US"/>
        </w:rPr>
        <w:t>Babcock and Hartman (2011)</w:t>
      </w:r>
      <w:r w:rsidRPr="0021142C">
        <w:rPr>
          <w:lang w:val="en-US"/>
        </w:rPr>
        <w:t xml:space="preserve"> conduct a field experiment to examine the impact of financial incentives on attending sports gym. They find that participants whose peers are also treated are more likely to attend the gym. The potential problem here is that, unless we add some psychological or </w:t>
      </w:r>
      <w:r w:rsidR="00EF6567" w:rsidRPr="0021142C">
        <w:rPr>
          <w:lang w:val="en-US"/>
        </w:rPr>
        <w:t>BE</w:t>
      </w:r>
      <w:r w:rsidRPr="0021142C">
        <w:rPr>
          <w:lang w:val="en-US"/>
        </w:rPr>
        <w:t xml:space="preserve"> story of why these should matter in the given setting,</w:t>
      </w:r>
      <w:r w:rsidR="001F1B96" w:rsidRPr="0021142C">
        <w:rPr>
          <w:rStyle w:val="FootnoteReference"/>
          <w:lang w:val="en-US"/>
        </w:rPr>
        <w:footnoteReference w:id="3"/>
      </w:r>
      <w:r w:rsidRPr="0021142C">
        <w:rPr>
          <w:lang w:val="en-US"/>
        </w:rPr>
        <w:t xml:space="preserve"> this prediction does not in itself follow from the self-control models</w:t>
      </w:r>
      <w:r w:rsidR="009C48AD" w:rsidRPr="0021142C">
        <w:rPr>
          <w:lang w:val="en-US"/>
        </w:rPr>
        <w:t xml:space="preserve">, </w:t>
      </w:r>
      <w:r w:rsidRPr="0021142C">
        <w:rPr>
          <w:lang w:val="en-US"/>
        </w:rPr>
        <w:t xml:space="preserve">therefore </w:t>
      </w:r>
      <w:r w:rsidR="009C48AD" w:rsidRPr="0021142C">
        <w:rPr>
          <w:lang w:val="en-US"/>
        </w:rPr>
        <w:t>failing</w:t>
      </w:r>
      <w:r w:rsidRPr="0021142C">
        <w:rPr>
          <w:lang w:val="en-US"/>
        </w:rPr>
        <w:t xml:space="preserve"> Test 2.</w:t>
      </w:r>
    </w:p>
    <w:p w14:paraId="3AA3DA63" w14:textId="77777777" w:rsidR="00FD39B4" w:rsidRPr="0021142C" w:rsidRDefault="00FD39B4" w:rsidP="00BB4444">
      <w:pPr>
        <w:spacing w:line="480" w:lineRule="auto"/>
        <w:jc w:val="both"/>
        <w:rPr>
          <w:b/>
          <w:lang w:val="en-US"/>
        </w:rPr>
      </w:pPr>
    </w:p>
    <w:p w14:paraId="3AFDDC2F" w14:textId="00CF9788" w:rsidR="00FD39B4" w:rsidRPr="0021142C" w:rsidRDefault="00801473" w:rsidP="00BB4444">
      <w:pPr>
        <w:spacing w:line="480" w:lineRule="auto"/>
        <w:jc w:val="both"/>
        <w:rPr>
          <w:i/>
          <w:lang w:val="en-US"/>
        </w:rPr>
      </w:pPr>
      <w:r w:rsidRPr="0021142C">
        <w:rPr>
          <w:i/>
          <w:lang w:val="en-US"/>
        </w:rPr>
        <w:t>4.</w:t>
      </w:r>
      <w:r w:rsidR="00FD39B4" w:rsidRPr="0021142C">
        <w:rPr>
          <w:i/>
          <w:lang w:val="en-US"/>
        </w:rPr>
        <w:t>3</w:t>
      </w:r>
      <w:r w:rsidR="001C438A" w:rsidRPr="0021142C">
        <w:rPr>
          <w:i/>
          <w:lang w:val="en-US"/>
        </w:rPr>
        <w:t>.</w:t>
      </w:r>
      <w:r w:rsidR="00FD39B4" w:rsidRPr="0021142C">
        <w:rPr>
          <w:i/>
          <w:lang w:val="en-US"/>
        </w:rPr>
        <w:t xml:space="preserve"> Test 3: Empirical evidence</w:t>
      </w:r>
    </w:p>
    <w:p w14:paraId="46F0E7D1" w14:textId="351D3519" w:rsidR="00FD39B4" w:rsidRPr="0021142C" w:rsidRDefault="009C48AD" w:rsidP="00BB4444">
      <w:pPr>
        <w:spacing w:line="480" w:lineRule="auto"/>
        <w:jc w:val="both"/>
        <w:rPr>
          <w:lang w:val="en-US"/>
        </w:rPr>
      </w:pPr>
      <w:r w:rsidRPr="0021142C">
        <w:rPr>
          <w:bCs/>
          <w:lang w:val="en-US"/>
        </w:rPr>
        <w:t xml:space="preserve">Table </w:t>
      </w:r>
      <w:r w:rsidR="00E9039E" w:rsidRPr="0021142C">
        <w:rPr>
          <w:bCs/>
          <w:lang w:val="en-US"/>
        </w:rPr>
        <w:t>A</w:t>
      </w:r>
      <w:r w:rsidRPr="0021142C">
        <w:rPr>
          <w:bCs/>
          <w:lang w:val="en-US"/>
        </w:rPr>
        <w:t xml:space="preserve">2 </w:t>
      </w:r>
      <w:r w:rsidR="00EE3615" w:rsidRPr="0021142C">
        <w:rPr>
          <w:bCs/>
          <w:lang w:val="en-US"/>
        </w:rPr>
        <w:t xml:space="preserve">in </w:t>
      </w:r>
      <w:r w:rsidR="00901AFB">
        <w:rPr>
          <w:bCs/>
          <w:lang w:val="en-US"/>
        </w:rPr>
        <w:t xml:space="preserve">the </w:t>
      </w:r>
      <w:r w:rsidR="00ED0432">
        <w:rPr>
          <w:lang w:val="en-US"/>
        </w:rPr>
        <w:t>Online Appendix</w:t>
      </w:r>
      <w:r w:rsidR="00901AFB" w:rsidRPr="0021142C">
        <w:rPr>
          <w:lang w:val="en-US"/>
        </w:rPr>
        <w:t xml:space="preserve"> </w:t>
      </w:r>
      <w:r w:rsidRPr="0021142C">
        <w:rPr>
          <w:bCs/>
          <w:lang w:val="en-US"/>
        </w:rPr>
        <w:t xml:space="preserve">summarizes </w:t>
      </w:r>
      <w:r w:rsidR="00FD39B4" w:rsidRPr="0021142C">
        <w:rPr>
          <w:bCs/>
          <w:lang w:val="en-US"/>
        </w:rPr>
        <w:t>a significant body of research on the potential usefulness of self-control devices in health settings.</w:t>
      </w:r>
    </w:p>
    <w:p w14:paraId="22FA156B" w14:textId="77777777" w:rsidR="00FD39B4" w:rsidRPr="0021142C" w:rsidRDefault="00FD39B4" w:rsidP="00BB4444">
      <w:pPr>
        <w:spacing w:line="480" w:lineRule="auto"/>
        <w:jc w:val="both"/>
        <w:rPr>
          <w:lang w:val="en-US"/>
        </w:rPr>
      </w:pPr>
    </w:p>
    <w:p w14:paraId="6F147133" w14:textId="10BDF922" w:rsidR="00FD39B4" w:rsidRPr="0021142C" w:rsidRDefault="00FD39B4" w:rsidP="00BB4444">
      <w:pPr>
        <w:spacing w:line="480" w:lineRule="auto"/>
        <w:jc w:val="both"/>
        <w:rPr>
          <w:lang w:val="en-US"/>
        </w:rPr>
      </w:pPr>
      <w:r w:rsidRPr="0021142C">
        <w:rPr>
          <w:i/>
          <w:iCs/>
          <w:lang w:val="en-US"/>
        </w:rPr>
        <w:t>Voluntary use of self-control devices</w:t>
      </w:r>
      <w:r w:rsidRPr="0021142C">
        <w:rPr>
          <w:lang w:val="en-US"/>
        </w:rPr>
        <w:t>. People may deliberately seek contracts that could be construed as implying a desire to constrain their choice set as predicted by self-control models (</w:t>
      </w:r>
      <w:r w:rsidR="00792C77" w:rsidRPr="0021142C">
        <w:rPr>
          <w:lang w:val="en-US"/>
        </w:rPr>
        <w:t xml:space="preserve">Halpern </w:t>
      </w:r>
      <w:r w:rsidRPr="0021142C">
        <w:rPr>
          <w:lang w:val="en-US"/>
        </w:rPr>
        <w:t xml:space="preserve">et </w:t>
      </w:r>
      <w:r w:rsidR="00792C77" w:rsidRPr="0021142C">
        <w:rPr>
          <w:lang w:val="en-US"/>
        </w:rPr>
        <w:t>al</w:t>
      </w:r>
      <w:r w:rsidR="00710194" w:rsidRPr="0021142C">
        <w:rPr>
          <w:lang w:val="en-US"/>
        </w:rPr>
        <w:t>.</w:t>
      </w:r>
      <w:r w:rsidRPr="0021142C">
        <w:rPr>
          <w:lang w:val="en-US"/>
        </w:rPr>
        <w:t xml:space="preserve"> 2012). </w:t>
      </w:r>
      <w:r w:rsidR="005D2141" w:rsidRPr="0021142C">
        <w:rPr>
          <w:lang w:val="en-US"/>
        </w:rPr>
        <w:t>For example, i</w:t>
      </w:r>
      <w:r w:rsidRPr="0021142C">
        <w:rPr>
          <w:lang w:val="en-US"/>
        </w:rPr>
        <w:t xml:space="preserve">n a field experiment, </w:t>
      </w:r>
      <w:proofErr w:type="spellStart"/>
      <w:r w:rsidR="00B756AB" w:rsidRPr="0021142C">
        <w:rPr>
          <w:lang w:val="en-US"/>
        </w:rPr>
        <w:t>Gine</w:t>
      </w:r>
      <w:proofErr w:type="spellEnd"/>
      <w:r w:rsidR="00B756AB" w:rsidRPr="0021142C">
        <w:rPr>
          <w:lang w:val="en-US"/>
        </w:rPr>
        <w:t xml:space="preserve"> </w:t>
      </w:r>
      <w:r w:rsidR="00710194" w:rsidRPr="0021142C">
        <w:rPr>
          <w:lang w:val="en-US"/>
        </w:rPr>
        <w:t>et al.</w:t>
      </w:r>
      <w:r w:rsidR="00B756AB" w:rsidRPr="0021142C">
        <w:rPr>
          <w:lang w:val="en-US"/>
        </w:rPr>
        <w:t xml:space="preserve"> (2010)</w:t>
      </w:r>
      <w:r w:rsidRPr="0021142C">
        <w:rPr>
          <w:lang w:val="en-US"/>
        </w:rPr>
        <w:t xml:space="preserve"> investigated the effect of a voluntary commitment device on smoking cessation, i.e. Committed Action to Reduce and End Smoking (CARES). Smokers were offered a saving account in which after six months they are refunded subject to passing a nicotine test. Some smokers took up the scheme, with social pressure possibly having played a role. The smoking cessation rate was higher for the participants than for the control group, and the effects persisted in surprise tests one year later. However, given the well-documented frequent failure of consumers’ best intentions </w:t>
      </w:r>
      <w:r w:rsidR="00057D6A" w:rsidRPr="0021142C">
        <w:rPr>
          <w:lang w:val="en-US"/>
        </w:rPr>
        <w:t xml:space="preserve">in health </w:t>
      </w:r>
      <w:r w:rsidRPr="0021142C">
        <w:rPr>
          <w:lang w:val="en-US"/>
        </w:rPr>
        <w:t xml:space="preserve">(e.g., London 2013), there is again a question of whether something else, such as social pressure, may have </w:t>
      </w:r>
      <w:r w:rsidR="00495359" w:rsidRPr="0021142C">
        <w:rPr>
          <w:lang w:val="en-US"/>
        </w:rPr>
        <w:t xml:space="preserve">also </w:t>
      </w:r>
      <w:r w:rsidRPr="0021142C">
        <w:rPr>
          <w:lang w:val="en-US"/>
        </w:rPr>
        <w:t xml:space="preserve">been at work. </w:t>
      </w:r>
      <w:r w:rsidR="00495359" w:rsidRPr="0021142C">
        <w:rPr>
          <w:lang w:val="en-US"/>
        </w:rPr>
        <w:t xml:space="preserve">Using US sports gyms data, </w:t>
      </w:r>
      <w:proofErr w:type="spellStart"/>
      <w:r w:rsidR="00B756AB" w:rsidRPr="0021142C">
        <w:rPr>
          <w:lang w:val="en-US"/>
        </w:rPr>
        <w:t>DellaVigna</w:t>
      </w:r>
      <w:proofErr w:type="spellEnd"/>
      <w:r w:rsidR="00B756AB" w:rsidRPr="0021142C">
        <w:rPr>
          <w:lang w:val="en-US"/>
        </w:rPr>
        <w:t xml:space="preserve"> and </w:t>
      </w:r>
      <w:proofErr w:type="spellStart"/>
      <w:r w:rsidR="00B756AB" w:rsidRPr="0021142C">
        <w:rPr>
          <w:lang w:val="en-US"/>
        </w:rPr>
        <w:t>Malmendier</w:t>
      </w:r>
      <w:proofErr w:type="spellEnd"/>
      <w:r w:rsidR="00B756AB" w:rsidRPr="0021142C">
        <w:rPr>
          <w:lang w:val="en-US"/>
        </w:rPr>
        <w:t xml:space="preserve"> (2006)</w:t>
      </w:r>
      <w:r w:rsidRPr="0021142C">
        <w:rPr>
          <w:lang w:val="en-US"/>
        </w:rPr>
        <w:t xml:space="preserve"> </w:t>
      </w:r>
      <w:r w:rsidR="00495359" w:rsidRPr="0021142C">
        <w:rPr>
          <w:lang w:val="en-US"/>
        </w:rPr>
        <w:t xml:space="preserve">find </w:t>
      </w:r>
      <w:r w:rsidRPr="0021142C">
        <w:rPr>
          <w:lang w:val="en-US"/>
        </w:rPr>
        <w:t xml:space="preserve">that consumers tend to enter fixed-term contracts and end up paying more per visit than they would have paid in fees for single visits. They interpret this as a form of overconfidence about either future self-control or future efficiency of gym visits. </w:t>
      </w:r>
    </w:p>
    <w:p w14:paraId="7E47AEBB" w14:textId="77777777" w:rsidR="00FD39B4" w:rsidRPr="0021142C" w:rsidRDefault="00FD39B4" w:rsidP="00BB4444">
      <w:pPr>
        <w:spacing w:line="480" w:lineRule="auto"/>
        <w:jc w:val="both"/>
        <w:rPr>
          <w:lang w:val="en-US"/>
        </w:rPr>
      </w:pPr>
    </w:p>
    <w:p w14:paraId="1F0729DB" w14:textId="37CA7062" w:rsidR="00FD39B4" w:rsidRPr="0021142C" w:rsidRDefault="009A790F" w:rsidP="00BB4444">
      <w:pPr>
        <w:spacing w:line="480" w:lineRule="auto"/>
        <w:jc w:val="both"/>
        <w:rPr>
          <w:lang w:val="en-US"/>
        </w:rPr>
      </w:pPr>
      <w:r w:rsidRPr="0021142C">
        <w:rPr>
          <w:lang w:val="en-US"/>
        </w:rPr>
        <w:t>I</w:t>
      </w:r>
      <w:r w:rsidR="00FD39B4" w:rsidRPr="0021142C">
        <w:rPr>
          <w:lang w:val="en-US"/>
        </w:rPr>
        <w:t xml:space="preserve">t is not clear </w:t>
      </w:r>
      <w:r w:rsidRPr="0021142C">
        <w:rPr>
          <w:lang w:val="en-US"/>
        </w:rPr>
        <w:t xml:space="preserve">from existing evidence </w:t>
      </w:r>
      <w:r w:rsidR="00FD39B4" w:rsidRPr="0021142C">
        <w:rPr>
          <w:lang w:val="en-US"/>
        </w:rPr>
        <w:t xml:space="preserve">how much commitment one should make and it is </w:t>
      </w:r>
      <w:r w:rsidR="006E66C8" w:rsidRPr="0021142C">
        <w:rPr>
          <w:lang w:val="en-US"/>
        </w:rPr>
        <w:t xml:space="preserve">also </w:t>
      </w:r>
      <w:r w:rsidR="00FD39B4" w:rsidRPr="0021142C">
        <w:rPr>
          <w:lang w:val="en-US"/>
        </w:rPr>
        <w:t>not clear how predictions from the self-control models would be verified, either in terms of learning (</w:t>
      </w:r>
      <w:r w:rsidR="00B756AB" w:rsidRPr="0021142C">
        <w:rPr>
          <w:lang w:val="en-US"/>
        </w:rPr>
        <w:t>Ali 2011</w:t>
      </w:r>
      <w:r w:rsidR="00FD39B4" w:rsidRPr="0021142C">
        <w:rPr>
          <w:lang w:val="en-US"/>
        </w:rPr>
        <w:t>) or in terms of trade-off between flexibility and commitment (</w:t>
      </w:r>
      <w:r w:rsidR="00B756AB" w:rsidRPr="0021142C">
        <w:rPr>
          <w:lang w:val="en-US"/>
        </w:rPr>
        <w:t xml:space="preserve">Amador </w:t>
      </w:r>
      <w:r w:rsidR="00710194" w:rsidRPr="0021142C">
        <w:rPr>
          <w:lang w:val="en-US"/>
        </w:rPr>
        <w:t>et al.</w:t>
      </w:r>
      <w:r w:rsidR="00B756AB" w:rsidRPr="0021142C">
        <w:rPr>
          <w:lang w:val="en-US"/>
        </w:rPr>
        <w:t xml:space="preserve"> 2006)</w:t>
      </w:r>
      <w:r w:rsidR="00FD39B4" w:rsidRPr="0021142C">
        <w:rPr>
          <w:lang w:val="en-US"/>
        </w:rPr>
        <w:t>. Moreover, if long run tastes change (</w:t>
      </w:r>
      <w:proofErr w:type="spellStart"/>
      <w:r w:rsidR="00B756AB" w:rsidRPr="0021142C">
        <w:rPr>
          <w:lang w:val="en-US"/>
        </w:rPr>
        <w:t>Loewenstein</w:t>
      </w:r>
      <w:proofErr w:type="spellEnd"/>
      <w:r w:rsidR="00B756AB" w:rsidRPr="0021142C">
        <w:rPr>
          <w:lang w:val="en-US"/>
        </w:rPr>
        <w:t xml:space="preserve"> </w:t>
      </w:r>
      <w:r w:rsidR="00710194" w:rsidRPr="0021142C">
        <w:rPr>
          <w:lang w:val="en-US"/>
        </w:rPr>
        <w:t>et al.</w:t>
      </w:r>
      <w:r w:rsidR="00B756AB" w:rsidRPr="0021142C">
        <w:rPr>
          <w:lang w:val="en-US"/>
        </w:rPr>
        <w:t xml:space="preserve"> 2003</w:t>
      </w:r>
      <w:r w:rsidR="00FD39B4" w:rsidRPr="0021142C">
        <w:rPr>
          <w:lang w:val="en-US"/>
        </w:rPr>
        <w:t xml:space="preserve">), predicting the optimal commitment from the self-control model </w:t>
      </w:r>
      <w:r w:rsidR="00495359" w:rsidRPr="0021142C">
        <w:rPr>
          <w:lang w:val="en-US"/>
        </w:rPr>
        <w:t xml:space="preserve">may </w:t>
      </w:r>
      <w:r w:rsidR="00FD39B4" w:rsidRPr="0021142C">
        <w:rPr>
          <w:lang w:val="en-US"/>
        </w:rPr>
        <w:t xml:space="preserve">not be appropriate. </w:t>
      </w:r>
    </w:p>
    <w:p w14:paraId="70DD7C04" w14:textId="77777777" w:rsidR="00FD39B4" w:rsidRPr="0021142C" w:rsidRDefault="00FD39B4" w:rsidP="00BB4444">
      <w:pPr>
        <w:spacing w:line="480" w:lineRule="auto"/>
        <w:jc w:val="both"/>
        <w:rPr>
          <w:lang w:val="en-US"/>
        </w:rPr>
      </w:pPr>
    </w:p>
    <w:p w14:paraId="62A25BAA" w14:textId="252009A5" w:rsidR="00057D6A" w:rsidRPr="0021142C" w:rsidRDefault="00FD39B4" w:rsidP="00BB4444">
      <w:pPr>
        <w:spacing w:line="480" w:lineRule="auto"/>
        <w:jc w:val="both"/>
        <w:rPr>
          <w:lang w:val="en-US"/>
        </w:rPr>
      </w:pPr>
      <w:r w:rsidRPr="0021142C">
        <w:rPr>
          <w:i/>
          <w:iCs/>
          <w:lang w:val="en-US"/>
        </w:rPr>
        <w:t>Policy interventions</w:t>
      </w:r>
      <w:r w:rsidRPr="0021142C">
        <w:rPr>
          <w:lang w:val="en-US"/>
        </w:rPr>
        <w:t>.</w:t>
      </w:r>
      <w:r w:rsidRPr="0021142C">
        <w:rPr>
          <w:b/>
          <w:lang w:val="en-US"/>
        </w:rPr>
        <w:t xml:space="preserve"> </w:t>
      </w:r>
      <w:r w:rsidR="00057D6A" w:rsidRPr="0021142C">
        <w:rPr>
          <w:lang w:val="en-US"/>
        </w:rPr>
        <w:t xml:space="preserve">Non-voluntary commitment devices include governmental interventions, and there is a long strand of related literature (see Table </w:t>
      </w:r>
      <w:r w:rsidR="0068571E" w:rsidRPr="0021142C">
        <w:rPr>
          <w:lang w:val="en-US"/>
        </w:rPr>
        <w:t>A</w:t>
      </w:r>
      <w:r w:rsidR="00057D6A" w:rsidRPr="0021142C">
        <w:rPr>
          <w:lang w:val="en-US"/>
        </w:rPr>
        <w:t>2</w:t>
      </w:r>
      <w:r w:rsidR="0055165D">
        <w:rPr>
          <w:lang w:val="en-US"/>
        </w:rPr>
        <w:t xml:space="preserve"> in </w:t>
      </w:r>
      <w:r w:rsidR="00901AFB">
        <w:rPr>
          <w:lang w:val="en-US"/>
        </w:rPr>
        <w:t xml:space="preserve">the </w:t>
      </w:r>
      <w:r w:rsidR="00ED0432">
        <w:rPr>
          <w:lang w:val="en-US"/>
        </w:rPr>
        <w:t>Online Appendix</w:t>
      </w:r>
      <w:r w:rsidR="004A7871" w:rsidRPr="0021142C">
        <w:rPr>
          <w:lang w:val="en-US"/>
        </w:rPr>
        <w:t xml:space="preserve"> for a summary</w:t>
      </w:r>
      <w:r w:rsidR="00057D6A" w:rsidRPr="0021142C">
        <w:rPr>
          <w:lang w:val="en-US"/>
        </w:rPr>
        <w:t xml:space="preserve">). </w:t>
      </w:r>
      <w:r w:rsidR="006D2486" w:rsidRPr="0021142C">
        <w:rPr>
          <w:lang w:val="en-US"/>
        </w:rPr>
        <w:t xml:space="preserve">For </w:t>
      </w:r>
      <w:r w:rsidR="00057D6A" w:rsidRPr="0021142C">
        <w:rPr>
          <w:lang w:val="en-US"/>
        </w:rPr>
        <w:t xml:space="preserve">example, </w:t>
      </w:r>
      <w:r w:rsidR="00B756AB" w:rsidRPr="0021142C">
        <w:rPr>
          <w:lang w:val="en-US"/>
        </w:rPr>
        <w:t xml:space="preserve">Charness and </w:t>
      </w:r>
      <w:proofErr w:type="spellStart"/>
      <w:r w:rsidR="00B756AB" w:rsidRPr="0021142C">
        <w:rPr>
          <w:lang w:val="en-US"/>
        </w:rPr>
        <w:t>Gneezy</w:t>
      </w:r>
      <w:proofErr w:type="spellEnd"/>
      <w:r w:rsidR="00B756AB" w:rsidRPr="0021142C">
        <w:rPr>
          <w:lang w:val="en-US"/>
        </w:rPr>
        <w:t xml:space="preserve"> (2009)</w:t>
      </w:r>
      <w:r w:rsidRPr="0021142C">
        <w:rPr>
          <w:lang w:val="en-US"/>
        </w:rPr>
        <w:t xml:space="preserve"> conducted a field experiment with university students to evaluate the impact of financial incentives on attendance to a sports gym. Participants received money if they attended the gym as they were assigned. Charness and </w:t>
      </w:r>
      <w:proofErr w:type="spellStart"/>
      <w:r w:rsidRPr="0021142C">
        <w:rPr>
          <w:lang w:val="en-US"/>
        </w:rPr>
        <w:t>Gneezy</w:t>
      </w:r>
      <w:proofErr w:type="spellEnd"/>
      <w:r w:rsidRPr="0021142C">
        <w:rPr>
          <w:lang w:val="en-US"/>
        </w:rPr>
        <w:t xml:space="preserve"> found that this incentive scheme increased gym attendance even after the experimental intervention period, at least in the short term. </w:t>
      </w:r>
    </w:p>
    <w:p w14:paraId="0BBB1B43" w14:textId="77777777" w:rsidR="00FD39B4" w:rsidRPr="0021142C" w:rsidRDefault="00FD39B4" w:rsidP="00BB4444">
      <w:pPr>
        <w:spacing w:line="480" w:lineRule="auto"/>
        <w:jc w:val="both"/>
        <w:rPr>
          <w:lang w:val="en-US"/>
        </w:rPr>
      </w:pPr>
    </w:p>
    <w:p w14:paraId="24117F55" w14:textId="1735B17F" w:rsidR="00FD39B4" w:rsidRPr="0021142C" w:rsidRDefault="009A790F" w:rsidP="00BB4444">
      <w:pPr>
        <w:spacing w:line="480" w:lineRule="auto"/>
        <w:jc w:val="both"/>
        <w:rPr>
          <w:lang w:val="en-US"/>
        </w:rPr>
      </w:pPr>
      <w:r w:rsidRPr="0021142C">
        <w:rPr>
          <w:lang w:val="en-US"/>
        </w:rPr>
        <w:t>A</w:t>
      </w:r>
      <w:r w:rsidR="00FD39B4" w:rsidRPr="0021142C">
        <w:rPr>
          <w:lang w:val="en-US"/>
        </w:rPr>
        <w:t xml:space="preserve"> problem in interpreting findings on the effect of price changes (or equivalent) on healthy be</w:t>
      </w:r>
      <w:r w:rsidR="00C25843" w:rsidRPr="0021142C">
        <w:rPr>
          <w:lang w:val="en-US"/>
        </w:rPr>
        <w:t>havior</w:t>
      </w:r>
      <w:r w:rsidR="00FD39B4" w:rsidRPr="0021142C">
        <w:rPr>
          <w:lang w:val="en-US"/>
        </w:rPr>
        <w:t xml:space="preserve"> is that a more straightforward interpretation would be in terms of law of demand from basic microeconomics: as the price goes up, demand goes down. This would not explain an effect beyond the intervention period, and other theories would be needed for that, such as reinforcement theories from traditional </w:t>
      </w:r>
      <w:r w:rsidR="00E8610D" w:rsidRPr="0021142C">
        <w:rPr>
          <w:lang w:val="en-US"/>
        </w:rPr>
        <w:t>behavioral</w:t>
      </w:r>
      <w:r w:rsidR="00FD39B4" w:rsidRPr="0021142C">
        <w:rPr>
          <w:lang w:val="en-US"/>
        </w:rPr>
        <w:t xml:space="preserve"> psychology (e.g., </w:t>
      </w:r>
      <w:proofErr w:type="spellStart"/>
      <w:r w:rsidR="00FD39B4" w:rsidRPr="0021142C">
        <w:rPr>
          <w:lang w:val="en-US"/>
        </w:rPr>
        <w:t>Fantino</w:t>
      </w:r>
      <w:proofErr w:type="spellEnd"/>
      <w:r w:rsidR="00FD39B4" w:rsidRPr="0021142C">
        <w:rPr>
          <w:lang w:val="en-US"/>
        </w:rPr>
        <w:t xml:space="preserve"> and Logan 1979; </w:t>
      </w:r>
      <w:proofErr w:type="spellStart"/>
      <w:r w:rsidR="00FD39B4" w:rsidRPr="0021142C">
        <w:rPr>
          <w:lang w:val="en-US"/>
        </w:rPr>
        <w:t>Rachlin</w:t>
      </w:r>
      <w:proofErr w:type="spellEnd"/>
      <w:r w:rsidR="00FD39B4" w:rsidRPr="0021142C">
        <w:rPr>
          <w:lang w:val="en-US"/>
        </w:rPr>
        <w:t xml:space="preserve"> 1989), modern psychological habit system theories (e.g., </w:t>
      </w:r>
      <w:proofErr w:type="spellStart"/>
      <w:r w:rsidR="00FD39B4" w:rsidRPr="0021142C">
        <w:rPr>
          <w:lang w:val="en-US"/>
        </w:rPr>
        <w:t>Daw</w:t>
      </w:r>
      <w:proofErr w:type="spellEnd"/>
      <w:r w:rsidR="00FD39B4" w:rsidRPr="0021142C">
        <w:rPr>
          <w:lang w:val="en-US"/>
        </w:rPr>
        <w:t xml:space="preserve"> et </w:t>
      </w:r>
      <w:r w:rsidR="00792C77" w:rsidRPr="0021142C">
        <w:rPr>
          <w:lang w:val="en-US"/>
        </w:rPr>
        <w:t>al</w:t>
      </w:r>
      <w:r w:rsidR="00710194" w:rsidRPr="0021142C">
        <w:rPr>
          <w:lang w:val="en-US"/>
        </w:rPr>
        <w:t>.</w:t>
      </w:r>
      <w:r w:rsidR="00FD39B4" w:rsidRPr="0021142C">
        <w:rPr>
          <w:lang w:val="en-US"/>
        </w:rPr>
        <w:t xml:space="preserve"> 2011) or economic theories of rational addiction or habit formation (Becker and Murphy 1988; Rabin 2011). Self-control models however </w:t>
      </w:r>
      <w:r w:rsidR="00FD39B4" w:rsidRPr="0021142C">
        <w:rPr>
          <w:i/>
          <w:iCs/>
          <w:lang w:val="en-US"/>
        </w:rPr>
        <w:t xml:space="preserve">also </w:t>
      </w:r>
      <w:r w:rsidR="00FD39B4" w:rsidRPr="0021142C">
        <w:rPr>
          <w:lang w:val="en-US"/>
        </w:rPr>
        <w:t xml:space="preserve">do not explain effects beyond the intervention period, unless they are combined with other theories. </w:t>
      </w:r>
    </w:p>
    <w:p w14:paraId="4E4E96E0" w14:textId="77777777" w:rsidR="00FD39B4" w:rsidRPr="0021142C" w:rsidRDefault="00FD39B4" w:rsidP="00BB4444">
      <w:pPr>
        <w:spacing w:line="480" w:lineRule="auto"/>
        <w:jc w:val="both"/>
        <w:rPr>
          <w:lang w:val="en-US"/>
        </w:rPr>
      </w:pPr>
    </w:p>
    <w:p w14:paraId="37FEF5A7" w14:textId="343B2963" w:rsidR="00FD39B4" w:rsidRPr="0021142C" w:rsidRDefault="00FD39B4" w:rsidP="00BB4444">
      <w:pPr>
        <w:spacing w:line="480" w:lineRule="auto"/>
        <w:jc w:val="both"/>
        <w:rPr>
          <w:lang w:val="en-US"/>
        </w:rPr>
      </w:pPr>
      <w:r w:rsidRPr="0021142C">
        <w:rPr>
          <w:lang w:val="en-US"/>
        </w:rPr>
        <w:t>This brings us to the more general problem</w:t>
      </w:r>
      <w:r w:rsidR="00D9769F" w:rsidRPr="0021142C">
        <w:rPr>
          <w:lang w:val="en-US"/>
        </w:rPr>
        <w:t>:</w:t>
      </w:r>
      <w:r w:rsidRPr="0021142C">
        <w:rPr>
          <w:lang w:val="en-US"/>
        </w:rPr>
        <w:t xml:space="preserve"> these studies are all generally about the link between policy recommendations and empirical evidence (the link 6 of Figure 1), but the empirical evidence is largely consistent with self-control models </w:t>
      </w:r>
      <w:r w:rsidRPr="0021142C">
        <w:rPr>
          <w:i/>
          <w:iCs/>
          <w:lang w:val="en-US"/>
        </w:rPr>
        <w:t xml:space="preserve">as well as </w:t>
      </w:r>
      <w:r w:rsidRPr="0021142C">
        <w:rPr>
          <w:lang w:val="en-US"/>
        </w:rPr>
        <w:t xml:space="preserve">a number of other models, and therefore is not the </w:t>
      </w:r>
      <w:r w:rsidR="003B0C2D" w:rsidRPr="0021142C">
        <w:rPr>
          <w:lang w:val="en-US"/>
        </w:rPr>
        <w:t xml:space="preserve">specific </w:t>
      </w:r>
      <w:r w:rsidRPr="0021142C">
        <w:rPr>
          <w:lang w:val="en-US"/>
        </w:rPr>
        <w:t>support of self-control models that we would like in terms of Test 3.</w:t>
      </w:r>
      <w:r w:rsidR="001F1B96" w:rsidRPr="0021142C">
        <w:rPr>
          <w:rStyle w:val="FootnoteReference"/>
          <w:lang w:val="en-US"/>
        </w:rPr>
        <w:footnoteReference w:id="4"/>
      </w:r>
    </w:p>
    <w:p w14:paraId="4B22DF2F" w14:textId="77777777" w:rsidR="00FD39B4" w:rsidRPr="0021142C" w:rsidRDefault="00FD39B4" w:rsidP="00BB4444">
      <w:pPr>
        <w:spacing w:line="480" w:lineRule="auto"/>
        <w:jc w:val="both"/>
        <w:rPr>
          <w:lang w:val="en-US"/>
        </w:rPr>
      </w:pPr>
    </w:p>
    <w:p w14:paraId="13D8EDE9" w14:textId="36F4EB03" w:rsidR="00FD39B4" w:rsidRPr="0021142C" w:rsidRDefault="00801473" w:rsidP="00BB4444">
      <w:pPr>
        <w:spacing w:line="480" w:lineRule="auto"/>
        <w:jc w:val="both"/>
        <w:rPr>
          <w:bCs/>
          <w:i/>
          <w:lang w:val="en-US"/>
        </w:rPr>
      </w:pPr>
      <w:r w:rsidRPr="0021142C">
        <w:rPr>
          <w:bCs/>
          <w:i/>
          <w:lang w:val="en-US"/>
        </w:rPr>
        <w:t>4.</w:t>
      </w:r>
      <w:r w:rsidR="00FD39B4" w:rsidRPr="0021142C">
        <w:rPr>
          <w:bCs/>
          <w:i/>
          <w:lang w:val="en-US"/>
        </w:rPr>
        <w:t>4</w:t>
      </w:r>
      <w:r w:rsidR="001C438A" w:rsidRPr="0021142C">
        <w:rPr>
          <w:bCs/>
          <w:i/>
          <w:lang w:val="en-US"/>
        </w:rPr>
        <w:t>.</w:t>
      </w:r>
      <w:r w:rsidR="00FD39B4" w:rsidRPr="0021142C">
        <w:rPr>
          <w:bCs/>
          <w:i/>
          <w:lang w:val="en-US"/>
        </w:rPr>
        <w:t xml:space="preserve"> Summary</w:t>
      </w:r>
    </w:p>
    <w:p w14:paraId="1DF17CDB" w14:textId="53B5DDF6" w:rsidR="00FD39B4" w:rsidRPr="0021142C" w:rsidRDefault="00EF6567" w:rsidP="00BB4444">
      <w:pPr>
        <w:spacing w:line="480" w:lineRule="auto"/>
        <w:jc w:val="both"/>
        <w:rPr>
          <w:lang w:val="en-US"/>
        </w:rPr>
      </w:pPr>
      <w:r w:rsidRPr="0021142C">
        <w:rPr>
          <w:lang w:val="en-US"/>
        </w:rPr>
        <w:t>BE</w:t>
      </w:r>
      <w:r w:rsidR="006A4D6E" w:rsidRPr="0021142C">
        <w:rPr>
          <w:lang w:val="en-US"/>
        </w:rPr>
        <w:t xml:space="preserve"> models of self-control </w:t>
      </w:r>
      <w:r w:rsidR="006A4D6E" w:rsidRPr="0021142C">
        <w:rPr>
          <w:i/>
          <w:iCs/>
          <w:lang w:val="en-US"/>
        </w:rPr>
        <w:t xml:space="preserve">have </w:t>
      </w:r>
      <w:r w:rsidR="006A4D6E" w:rsidRPr="0021142C">
        <w:rPr>
          <w:lang w:val="en-US"/>
        </w:rPr>
        <w:t xml:space="preserve">helped to bring self-control devices back in the policy debate, and, in this sense at least, they have proved practically important and useful. </w:t>
      </w:r>
      <w:r w:rsidR="00FD39B4" w:rsidRPr="0021142C">
        <w:rPr>
          <w:lang w:val="en-US"/>
        </w:rPr>
        <w:t xml:space="preserve">Self-control models have potential to pass Tests 1 and 2, but again there is an identification gap between models and evidence. There is also, in practice, often a need to combine self-control models with other kinds of </w:t>
      </w:r>
      <w:r w:rsidR="00E8610D" w:rsidRPr="0021142C">
        <w:rPr>
          <w:lang w:val="en-US"/>
        </w:rPr>
        <w:t>behavioral</w:t>
      </w:r>
      <w:r w:rsidR="00FD39B4" w:rsidRPr="0021142C">
        <w:rPr>
          <w:lang w:val="en-US"/>
        </w:rPr>
        <w:t xml:space="preserve"> economic models, such as ones on social interactions. </w:t>
      </w:r>
    </w:p>
    <w:p w14:paraId="544FA364" w14:textId="77777777" w:rsidR="00FD39B4" w:rsidRPr="0021142C" w:rsidRDefault="00FD39B4" w:rsidP="00BB4444">
      <w:pPr>
        <w:spacing w:line="480" w:lineRule="auto"/>
        <w:jc w:val="both"/>
        <w:rPr>
          <w:b/>
          <w:lang w:val="en-US"/>
        </w:rPr>
      </w:pPr>
    </w:p>
    <w:p w14:paraId="327B6927" w14:textId="32BBDAE7" w:rsidR="00FD39B4" w:rsidRPr="0021142C" w:rsidRDefault="00801473" w:rsidP="00BB4444">
      <w:pPr>
        <w:spacing w:line="480" w:lineRule="auto"/>
        <w:jc w:val="both"/>
        <w:rPr>
          <w:lang w:val="en-US"/>
        </w:rPr>
      </w:pPr>
      <w:r w:rsidRPr="0021142C">
        <w:rPr>
          <w:b/>
          <w:lang w:val="en-US"/>
        </w:rPr>
        <w:t>5</w:t>
      </w:r>
      <w:r w:rsidR="00FD39B4" w:rsidRPr="0021142C">
        <w:rPr>
          <w:b/>
          <w:lang w:val="en-US"/>
        </w:rPr>
        <w:t xml:space="preserve">. </w:t>
      </w:r>
      <w:r w:rsidRPr="0021142C">
        <w:rPr>
          <w:b/>
          <w:lang w:val="en-US"/>
        </w:rPr>
        <w:t>Applying Prospect Theory to Message Framing</w:t>
      </w:r>
    </w:p>
    <w:p w14:paraId="437DDA74" w14:textId="6CE8AB2E" w:rsidR="00FD39B4" w:rsidRPr="0021142C" w:rsidRDefault="00801473" w:rsidP="00BB4444">
      <w:pPr>
        <w:spacing w:line="480" w:lineRule="auto"/>
        <w:jc w:val="both"/>
        <w:rPr>
          <w:i/>
          <w:lang w:val="en-US"/>
        </w:rPr>
      </w:pPr>
      <w:r w:rsidRPr="0021142C">
        <w:rPr>
          <w:i/>
          <w:lang w:val="en-US"/>
        </w:rPr>
        <w:t>5.</w:t>
      </w:r>
      <w:r w:rsidR="00FD39B4" w:rsidRPr="0021142C">
        <w:rPr>
          <w:i/>
          <w:lang w:val="en-US"/>
        </w:rPr>
        <w:t>1</w:t>
      </w:r>
      <w:r w:rsidR="001C438A" w:rsidRPr="0021142C">
        <w:rPr>
          <w:i/>
          <w:lang w:val="en-US"/>
        </w:rPr>
        <w:t>.</w:t>
      </w:r>
      <w:r w:rsidR="00FD39B4" w:rsidRPr="0021142C">
        <w:rPr>
          <w:i/>
          <w:lang w:val="en-US"/>
        </w:rPr>
        <w:t xml:space="preserve"> The standard treatment of prospect theory and Test 1</w:t>
      </w:r>
    </w:p>
    <w:p w14:paraId="0083DE6B" w14:textId="01E71967" w:rsidR="00FD39B4" w:rsidRPr="0021142C" w:rsidRDefault="00FD39B4" w:rsidP="00BB4444">
      <w:pPr>
        <w:spacing w:line="480" w:lineRule="auto"/>
        <w:jc w:val="both"/>
        <w:rPr>
          <w:lang w:val="en-US"/>
        </w:rPr>
      </w:pPr>
      <w:r w:rsidRPr="0021142C">
        <w:rPr>
          <w:lang w:val="en-US"/>
        </w:rPr>
        <w:t xml:space="preserve">Prospect theory </w:t>
      </w:r>
      <w:r w:rsidR="006F4147" w:rsidRPr="0021142C">
        <w:rPr>
          <w:lang w:val="en-US"/>
        </w:rPr>
        <w:t>(</w:t>
      </w:r>
      <w:proofErr w:type="spellStart"/>
      <w:r w:rsidR="006F4147" w:rsidRPr="0021142C">
        <w:rPr>
          <w:lang w:val="en-US"/>
        </w:rPr>
        <w:t>Tversky</w:t>
      </w:r>
      <w:proofErr w:type="spellEnd"/>
      <w:r w:rsidR="006F4147" w:rsidRPr="0021142C">
        <w:rPr>
          <w:lang w:val="en-US"/>
        </w:rPr>
        <w:t xml:space="preserve"> and </w:t>
      </w:r>
      <w:proofErr w:type="spellStart"/>
      <w:r w:rsidR="006F4147" w:rsidRPr="0021142C">
        <w:rPr>
          <w:lang w:val="en-US"/>
        </w:rPr>
        <w:t>Kahneman</w:t>
      </w:r>
      <w:proofErr w:type="spellEnd"/>
      <w:r w:rsidR="006F4147" w:rsidRPr="0021142C">
        <w:rPr>
          <w:lang w:val="en-US"/>
        </w:rPr>
        <w:t xml:space="preserve"> </w:t>
      </w:r>
      <w:r w:rsidR="008B11BE" w:rsidRPr="0021142C">
        <w:rPr>
          <w:lang w:val="en-US"/>
        </w:rPr>
        <w:t>1981</w:t>
      </w:r>
      <w:r w:rsidR="006F4147" w:rsidRPr="0021142C">
        <w:rPr>
          <w:lang w:val="en-US"/>
        </w:rPr>
        <w:t xml:space="preserve">; </w:t>
      </w:r>
      <w:r w:rsidR="00042AA6" w:rsidRPr="0021142C">
        <w:rPr>
          <w:lang w:val="en-US"/>
        </w:rPr>
        <w:t>1992</w:t>
      </w:r>
      <w:r w:rsidR="006F4147" w:rsidRPr="0021142C">
        <w:rPr>
          <w:lang w:val="en-US"/>
        </w:rPr>
        <w:t xml:space="preserve">) </w:t>
      </w:r>
      <w:r w:rsidRPr="0021142C">
        <w:rPr>
          <w:lang w:val="en-US"/>
        </w:rPr>
        <w:t>innovatively combines dependence on a reference point, relative to which gains and losses can be identified; a value function implying that subjects are loss averse, i.e. they dislike losses more than they like gains; risk aversion in the domain of gains and risk lovingness in the domain of losses, as identified again in the value function; and probability weighting.</w:t>
      </w:r>
      <w:r w:rsidR="001F1B96" w:rsidRPr="0021142C">
        <w:rPr>
          <w:rStyle w:val="FootnoteReference"/>
          <w:lang w:val="en-US"/>
        </w:rPr>
        <w:footnoteReference w:id="5"/>
      </w:r>
      <w:r w:rsidRPr="0021142C">
        <w:rPr>
          <w:lang w:val="en-US"/>
        </w:rPr>
        <w:t xml:space="preserve"> Because of the </w:t>
      </w:r>
      <w:r w:rsidR="00533B83" w:rsidRPr="0021142C">
        <w:rPr>
          <w:lang w:val="en-US"/>
        </w:rPr>
        <w:t>modelling</w:t>
      </w:r>
      <w:r w:rsidRPr="0021142C">
        <w:rPr>
          <w:lang w:val="en-US"/>
        </w:rPr>
        <w:t xml:space="preserve"> framework and of the parsimonious way it combines and draws implications from these features, it is plausible to assume that prospect theory </w:t>
      </w:r>
      <w:r w:rsidR="002943AF" w:rsidRPr="0021142C">
        <w:rPr>
          <w:lang w:val="en-US"/>
        </w:rPr>
        <w:t>passes</w:t>
      </w:r>
      <w:r w:rsidRPr="0021142C">
        <w:rPr>
          <w:lang w:val="en-US"/>
        </w:rPr>
        <w:t xml:space="preserve"> Test 1. Indeed, it is referred to in the psychological research on health message framing starting from Rothman and </w:t>
      </w:r>
      <w:proofErr w:type="spellStart"/>
      <w:r w:rsidRPr="0021142C">
        <w:rPr>
          <w:lang w:val="en-US"/>
        </w:rPr>
        <w:t>Salovey</w:t>
      </w:r>
      <w:proofErr w:type="spellEnd"/>
      <w:r w:rsidRPr="0021142C">
        <w:rPr>
          <w:lang w:val="en-US"/>
        </w:rPr>
        <w:t xml:space="preserve"> (1997).</w:t>
      </w:r>
    </w:p>
    <w:p w14:paraId="5DF867F7" w14:textId="77777777" w:rsidR="00FD39B4" w:rsidRPr="0021142C" w:rsidRDefault="00FD39B4" w:rsidP="00BB4444">
      <w:pPr>
        <w:spacing w:line="480" w:lineRule="auto"/>
        <w:jc w:val="both"/>
        <w:rPr>
          <w:lang w:val="en-US"/>
        </w:rPr>
      </w:pPr>
    </w:p>
    <w:p w14:paraId="1DB9584F" w14:textId="19C62F3E" w:rsidR="00FD39B4" w:rsidRPr="0021142C" w:rsidRDefault="00FD39B4" w:rsidP="00BB4444">
      <w:pPr>
        <w:spacing w:line="480" w:lineRule="auto"/>
        <w:jc w:val="both"/>
        <w:rPr>
          <w:lang w:val="en-US"/>
        </w:rPr>
      </w:pPr>
      <w:r w:rsidRPr="0021142C">
        <w:rPr>
          <w:lang w:val="en-US"/>
        </w:rPr>
        <w:t xml:space="preserve">In relation to Test 2, health psychologists have </w:t>
      </w:r>
      <w:r w:rsidR="006A4D6E" w:rsidRPr="0021142C">
        <w:rPr>
          <w:lang w:val="en-US"/>
        </w:rPr>
        <w:t>drawn</w:t>
      </w:r>
      <w:r w:rsidRPr="0021142C">
        <w:rPr>
          <w:lang w:val="en-US"/>
        </w:rPr>
        <w:t xml:space="preserve"> implications from prospect theory for policy makers. They have done so with a focus on the framing of the decision problem in terms of gains or losses and on the risk attitude differential features of the value function. A classic example was shown in experimental work by </w:t>
      </w:r>
      <w:proofErr w:type="spellStart"/>
      <w:r w:rsidRPr="0021142C">
        <w:rPr>
          <w:lang w:val="en-US"/>
        </w:rPr>
        <w:t>Tversky</w:t>
      </w:r>
      <w:proofErr w:type="spellEnd"/>
      <w:r w:rsidRPr="0021142C">
        <w:rPr>
          <w:lang w:val="en-US"/>
        </w:rPr>
        <w:t xml:space="preserve"> and </w:t>
      </w:r>
      <w:proofErr w:type="spellStart"/>
      <w:r w:rsidRPr="0021142C">
        <w:rPr>
          <w:lang w:val="en-US"/>
        </w:rPr>
        <w:t>Kahneman</w:t>
      </w:r>
      <w:proofErr w:type="spellEnd"/>
      <w:r w:rsidRPr="0021142C">
        <w:rPr>
          <w:lang w:val="en-US"/>
        </w:rPr>
        <w:t xml:space="preserve"> (1981): when people choose between two treatment programs framed in terms of the number of lives that will be lost, they risk the possibility of greater losses to avoid a certain loss; when the same programs are described in terms of the number of lives that will be saved, people become more conservative in their preferences. Hence they forego the opportunity for greater gains, in exchange for an alternative that provides a certain gain. Although the frame shifts in the two scenarios from lives lost to lives saved, the objective features of the proposed interventions remain constant (</w:t>
      </w:r>
      <w:proofErr w:type="spellStart"/>
      <w:r w:rsidRPr="0021142C">
        <w:rPr>
          <w:lang w:val="en-US"/>
        </w:rPr>
        <w:t>Tversky</w:t>
      </w:r>
      <w:proofErr w:type="spellEnd"/>
      <w:r w:rsidRPr="0021142C">
        <w:rPr>
          <w:lang w:val="en-US"/>
        </w:rPr>
        <w:t xml:space="preserve"> and </w:t>
      </w:r>
      <w:proofErr w:type="spellStart"/>
      <w:r w:rsidRPr="0021142C">
        <w:rPr>
          <w:lang w:val="en-US"/>
        </w:rPr>
        <w:t>Kahneman</w:t>
      </w:r>
      <w:proofErr w:type="spellEnd"/>
      <w:r w:rsidRPr="0021142C">
        <w:rPr>
          <w:lang w:val="en-US"/>
        </w:rPr>
        <w:t xml:space="preserve"> 1981). </w:t>
      </w:r>
    </w:p>
    <w:p w14:paraId="6A7D8B04" w14:textId="77777777" w:rsidR="00FD39B4" w:rsidRPr="0021142C" w:rsidRDefault="00FD39B4" w:rsidP="00BB4444">
      <w:pPr>
        <w:spacing w:line="480" w:lineRule="auto"/>
        <w:jc w:val="both"/>
        <w:rPr>
          <w:lang w:val="en-US"/>
        </w:rPr>
      </w:pPr>
    </w:p>
    <w:p w14:paraId="6D4AFAC2" w14:textId="55D0D14E" w:rsidR="00FD39B4" w:rsidRPr="0021142C" w:rsidRDefault="00FD39B4" w:rsidP="00BB4444">
      <w:pPr>
        <w:spacing w:line="480" w:lineRule="auto"/>
        <w:jc w:val="both"/>
        <w:rPr>
          <w:lang w:val="en-US"/>
        </w:rPr>
      </w:pPr>
      <w:r w:rsidRPr="0021142C">
        <w:rPr>
          <w:lang w:val="en-US"/>
        </w:rPr>
        <w:t>In the health psychology research, the expectation has been that gain- and loss-framed appeals will be differentially persuasive for disease detection be</w:t>
      </w:r>
      <w:r w:rsidR="00C25843" w:rsidRPr="0021142C">
        <w:rPr>
          <w:lang w:val="en-US"/>
        </w:rPr>
        <w:t>havior</w:t>
      </w:r>
      <w:r w:rsidRPr="0021142C">
        <w:rPr>
          <w:lang w:val="en-US"/>
        </w:rPr>
        <w:t>s (such as mammography, HIV testing, or cholesterol screening) and disease prevention be</w:t>
      </w:r>
      <w:r w:rsidR="00C25843" w:rsidRPr="0021142C">
        <w:rPr>
          <w:lang w:val="en-US"/>
        </w:rPr>
        <w:t>havior</w:t>
      </w:r>
      <w:r w:rsidRPr="0021142C">
        <w:rPr>
          <w:lang w:val="en-US"/>
        </w:rPr>
        <w:t xml:space="preserve">s (such as healthy dieting, exercising, or dental hygiene), by virtue of the differences in the risk associated with those </w:t>
      </w:r>
      <w:r w:rsidR="006C2E2B" w:rsidRPr="0021142C">
        <w:rPr>
          <w:lang w:val="en-US"/>
        </w:rPr>
        <w:t xml:space="preserve">behaviors </w:t>
      </w:r>
      <w:r w:rsidRPr="0021142C">
        <w:rPr>
          <w:lang w:val="en-US"/>
        </w:rPr>
        <w:t>(</w:t>
      </w:r>
      <w:proofErr w:type="spellStart"/>
      <w:r w:rsidR="00CF0C2D" w:rsidRPr="0021142C">
        <w:rPr>
          <w:lang w:val="en-US"/>
        </w:rPr>
        <w:t>Salovey</w:t>
      </w:r>
      <w:proofErr w:type="spellEnd"/>
      <w:r w:rsidR="00CF0C2D" w:rsidRPr="0021142C">
        <w:rPr>
          <w:lang w:val="en-US"/>
        </w:rPr>
        <w:t xml:space="preserve"> </w:t>
      </w:r>
      <w:r w:rsidR="006A4D6E" w:rsidRPr="0021142C">
        <w:rPr>
          <w:lang w:val="en-US"/>
        </w:rPr>
        <w:t>and</w:t>
      </w:r>
      <w:r w:rsidR="00CF0C2D" w:rsidRPr="0021142C">
        <w:rPr>
          <w:lang w:val="en-US"/>
        </w:rPr>
        <w:t xml:space="preserve"> Wegener 2003</w:t>
      </w:r>
      <w:r w:rsidRPr="0021142C">
        <w:rPr>
          <w:lang w:val="en-US"/>
        </w:rPr>
        <w:t>; Schneider</w:t>
      </w:r>
      <w:r w:rsidR="00D16782" w:rsidRPr="0021142C">
        <w:rPr>
          <w:lang w:val="en-US"/>
        </w:rPr>
        <w:t xml:space="preserve"> </w:t>
      </w:r>
      <w:r w:rsidR="00710194" w:rsidRPr="0021142C">
        <w:rPr>
          <w:lang w:val="en-US"/>
        </w:rPr>
        <w:t>et al.</w:t>
      </w:r>
      <w:r w:rsidRPr="0021142C">
        <w:rPr>
          <w:lang w:val="en-US"/>
        </w:rPr>
        <w:t xml:space="preserve"> 2001).</w:t>
      </w:r>
      <w:r w:rsidR="001F1B96" w:rsidRPr="0021142C">
        <w:rPr>
          <w:rStyle w:val="FootnoteReference"/>
          <w:lang w:val="en-US"/>
        </w:rPr>
        <w:footnoteReference w:id="6"/>
      </w:r>
      <w:r w:rsidRPr="0021142C">
        <w:rPr>
          <w:lang w:val="en-US"/>
        </w:rPr>
        <w:t xml:space="preserve"> The underlying idea is that prevention be</w:t>
      </w:r>
      <w:r w:rsidR="00C25843" w:rsidRPr="0021142C">
        <w:rPr>
          <w:lang w:val="en-US"/>
        </w:rPr>
        <w:t>havior</w:t>
      </w:r>
      <w:r w:rsidRPr="0021142C">
        <w:rPr>
          <w:lang w:val="en-US"/>
        </w:rPr>
        <w:t xml:space="preserve"> </w:t>
      </w:r>
      <w:r w:rsidR="00B04BE4" w:rsidRPr="0021142C">
        <w:rPr>
          <w:lang w:val="en-US"/>
        </w:rPr>
        <w:t xml:space="preserve">tends to be perceived as </w:t>
      </w:r>
      <w:r w:rsidRPr="0021142C">
        <w:rPr>
          <w:lang w:val="en-US"/>
        </w:rPr>
        <w:t>entail</w:t>
      </w:r>
      <w:r w:rsidR="00B04BE4" w:rsidRPr="0021142C">
        <w:rPr>
          <w:lang w:val="en-US"/>
        </w:rPr>
        <w:t>ing</w:t>
      </w:r>
      <w:r w:rsidRPr="0021142C">
        <w:rPr>
          <w:lang w:val="en-US"/>
        </w:rPr>
        <w:t xml:space="preserve"> </w:t>
      </w:r>
      <w:r w:rsidR="00B04BE4" w:rsidRPr="0021142C">
        <w:rPr>
          <w:lang w:val="en-US"/>
        </w:rPr>
        <w:t xml:space="preserve">a </w:t>
      </w:r>
      <w:r w:rsidRPr="0021142C">
        <w:rPr>
          <w:lang w:val="en-US"/>
        </w:rPr>
        <w:t>reduc</w:t>
      </w:r>
      <w:r w:rsidR="00B04BE4" w:rsidRPr="0021142C">
        <w:rPr>
          <w:lang w:val="en-US"/>
        </w:rPr>
        <w:t>tion in</w:t>
      </w:r>
      <w:r w:rsidRPr="0021142C">
        <w:rPr>
          <w:lang w:val="en-US"/>
        </w:rPr>
        <w:t xml:space="preserve"> the risk of the bad health outcome relative to the present health status, and so a gain frame encouraging risk aversion should lead to greater engagement in prevention be</w:t>
      </w:r>
      <w:r w:rsidR="00C25843" w:rsidRPr="0021142C">
        <w:rPr>
          <w:lang w:val="en-US"/>
        </w:rPr>
        <w:t>havior</w:t>
      </w:r>
      <w:r w:rsidRPr="0021142C">
        <w:rPr>
          <w:lang w:val="en-US"/>
        </w:rPr>
        <w:t xml:space="preserve">. Conversely, detection </w:t>
      </w:r>
      <w:r w:rsidR="006C2E2B" w:rsidRPr="0021142C">
        <w:rPr>
          <w:lang w:val="en-US"/>
        </w:rPr>
        <w:t xml:space="preserve">behaviors </w:t>
      </w:r>
      <w:r w:rsidR="00A05DBF" w:rsidRPr="0021142C">
        <w:rPr>
          <w:lang w:val="en-US"/>
        </w:rPr>
        <w:t>are</w:t>
      </w:r>
      <w:r w:rsidR="00B04BE4" w:rsidRPr="0021142C">
        <w:rPr>
          <w:lang w:val="en-US"/>
        </w:rPr>
        <w:t xml:space="preserve"> typically perceived </w:t>
      </w:r>
      <w:r w:rsidRPr="0021142C">
        <w:rPr>
          <w:lang w:val="en-US"/>
        </w:rPr>
        <w:t>as involving a risk that illness may be discovered. A more risk loving attitude, as induced by a loss frame, would then be preferable.</w:t>
      </w:r>
    </w:p>
    <w:p w14:paraId="7082CA4D" w14:textId="77777777" w:rsidR="00FD39B4" w:rsidRPr="0021142C" w:rsidRDefault="00FD39B4" w:rsidP="00BB4444">
      <w:pPr>
        <w:spacing w:line="480" w:lineRule="auto"/>
        <w:jc w:val="both"/>
        <w:rPr>
          <w:lang w:val="en-US"/>
        </w:rPr>
      </w:pPr>
    </w:p>
    <w:p w14:paraId="6497E67A" w14:textId="43ABD7CF" w:rsidR="00FD39B4" w:rsidRPr="0021142C" w:rsidRDefault="00801473" w:rsidP="00BB4444">
      <w:pPr>
        <w:spacing w:line="480" w:lineRule="auto"/>
        <w:jc w:val="both"/>
        <w:rPr>
          <w:i/>
          <w:lang w:val="en-US"/>
        </w:rPr>
      </w:pPr>
      <w:r w:rsidRPr="0021142C">
        <w:rPr>
          <w:i/>
          <w:lang w:val="en-US"/>
        </w:rPr>
        <w:t>5.</w:t>
      </w:r>
      <w:r w:rsidR="00FD39B4" w:rsidRPr="0021142C">
        <w:rPr>
          <w:i/>
          <w:lang w:val="en-US"/>
        </w:rPr>
        <w:t>2</w:t>
      </w:r>
      <w:r w:rsidR="001C438A" w:rsidRPr="0021142C">
        <w:rPr>
          <w:i/>
          <w:lang w:val="en-US"/>
        </w:rPr>
        <w:t>.</w:t>
      </w:r>
      <w:r w:rsidR="00FD39B4" w:rsidRPr="0021142C">
        <w:rPr>
          <w:i/>
          <w:lang w:val="en-US"/>
        </w:rPr>
        <w:t xml:space="preserve"> Test 2: Identifying predictions from prospect theory</w:t>
      </w:r>
    </w:p>
    <w:p w14:paraId="5428A563" w14:textId="77777777" w:rsidR="00FD39B4" w:rsidRPr="0021142C" w:rsidRDefault="00FD39B4" w:rsidP="00BB4444">
      <w:pPr>
        <w:spacing w:line="480" w:lineRule="auto"/>
        <w:jc w:val="both"/>
        <w:rPr>
          <w:lang w:val="en-US"/>
        </w:rPr>
      </w:pPr>
      <w:r w:rsidRPr="0021142C">
        <w:rPr>
          <w:lang w:val="en-US"/>
        </w:rPr>
        <w:t>This sub-section considers whether the typical prediction from prospect theory in a health context of prevention and detection activity passes Test 2: that is, is it generally the case that prospect theory implies that a loss frame is better than a gain frame for encouraging detection activity, and vice versa for prevention activity? As it turns out, the picture is more nuanced, and this can be shown even in a very simple application of prospect theory to our setting.</w:t>
      </w:r>
    </w:p>
    <w:p w14:paraId="365D9AF6" w14:textId="77777777" w:rsidR="00FD39B4" w:rsidRPr="0021142C" w:rsidRDefault="00FD39B4" w:rsidP="00BB4444">
      <w:pPr>
        <w:spacing w:line="480" w:lineRule="auto"/>
        <w:jc w:val="both"/>
        <w:rPr>
          <w:lang w:val="en-US"/>
        </w:rPr>
      </w:pPr>
    </w:p>
    <w:p w14:paraId="400E9A98" w14:textId="606C970B" w:rsidR="00FD39B4" w:rsidRPr="0021142C" w:rsidRDefault="00FD39B4" w:rsidP="00BB4444">
      <w:pPr>
        <w:spacing w:line="480" w:lineRule="auto"/>
        <w:jc w:val="both"/>
        <w:rPr>
          <w:lang w:val="en-US"/>
        </w:rPr>
      </w:pPr>
      <w:r w:rsidRPr="0021142C">
        <w:rPr>
          <w:lang w:val="en-US"/>
        </w:rPr>
        <w:t xml:space="preserve">Assume for simplicity that there are two time periods, 1 and 2. There are two possible health outcomes, negative and positive. A negative health outcome occurs in period 2 with probability </w:t>
      </w:r>
      <w:r w:rsidRPr="0021142C">
        <w:rPr>
          <w:position w:val="-10"/>
          <w:lang w:val="en-US"/>
        </w:rPr>
        <w:object w:dxaOrig="240" w:dyaOrig="260" w14:anchorId="462AA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2.75pt;height:12.75pt" o:ole="">
            <v:imagedata r:id="rId10" o:title=""/>
          </v:shape>
          <o:OLEObject Type="Embed" ProgID="Equation.3" ShapeID="_x0000_i1141" DrawAspect="Content" ObjectID="_1560919090" r:id="rId11"/>
        </w:object>
      </w:r>
      <w:r w:rsidRPr="0021142C">
        <w:rPr>
          <w:lang w:val="en-US"/>
        </w:rPr>
        <w:t xml:space="preserve"> in a state of the world in which prevention or detection activity has not taken place; if it has taken place, and purely to simplify the presentation below, we assume the negative health outcome never occurs. Prevention and detection be</w:t>
      </w:r>
      <w:r w:rsidR="00C25843" w:rsidRPr="0021142C">
        <w:rPr>
          <w:lang w:val="en-US"/>
        </w:rPr>
        <w:t>havior</w:t>
      </w:r>
      <w:r w:rsidRPr="0021142C">
        <w:rPr>
          <w:lang w:val="en-US"/>
        </w:rPr>
        <w:t xml:space="preserve">s take place in period 1. Prevention and detection activities have a financial and/or psychological cost </w:t>
      </w:r>
      <w:proofErr w:type="gramStart"/>
      <w:r w:rsidRPr="0021142C">
        <w:rPr>
          <w:lang w:val="en-US"/>
        </w:rPr>
        <w:t xml:space="preserve">of </w:t>
      </w:r>
      <w:proofErr w:type="gramEnd"/>
      <w:r w:rsidRPr="0021142C">
        <w:rPr>
          <w:position w:val="-6"/>
          <w:lang w:val="en-US"/>
        </w:rPr>
        <w:object w:dxaOrig="540" w:dyaOrig="279" w14:anchorId="6D7AC09D">
          <v:shape id="_x0000_i1142" type="#_x0000_t75" style="width:26.25pt;height:14.25pt" o:ole="">
            <v:imagedata r:id="rId12" o:title=""/>
          </v:shape>
          <o:OLEObject Type="Embed" ProgID="Equation.3" ShapeID="_x0000_i1142" DrawAspect="Content" ObjectID="_1560919091" r:id="rId13"/>
        </w:object>
      </w:r>
      <w:r w:rsidRPr="0021142C">
        <w:rPr>
          <w:lang w:val="en-US"/>
        </w:rPr>
        <w:t xml:space="preserve">. If detection activity takes place in period 1, in a gain frame there is a ‘pleasure’ </w:t>
      </w:r>
      <w:r w:rsidRPr="0021142C">
        <w:rPr>
          <w:position w:val="-6"/>
          <w:lang w:val="en-US"/>
        </w:rPr>
        <w:object w:dxaOrig="580" w:dyaOrig="279" w14:anchorId="193C39FA">
          <v:shape id="_x0000_i1143" type="#_x0000_t75" style="width:30pt;height:14.25pt" o:ole="">
            <v:imagedata r:id="rId14" o:title=""/>
          </v:shape>
          <o:OLEObject Type="Embed" ProgID="Equation.3" ShapeID="_x0000_i1143" DrawAspect="Content" ObjectID="_1560919092" r:id="rId15"/>
        </w:object>
      </w:r>
      <w:r w:rsidR="004417E8" w:rsidRPr="0021142C">
        <w:rPr>
          <w:lang w:val="en-US"/>
        </w:rPr>
        <w:t xml:space="preserve"> </w:t>
      </w:r>
      <w:r w:rsidRPr="0021142C">
        <w:rPr>
          <w:lang w:val="en-US"/>
        </w:rPr>
        <w:t xml:space="preserve">of learning one is healthy, while in a loss frame there is a pain – </w:t>
      </w:r>
      <w:r w:rsidRPr="0021142C">
        <w:rPr>
          <w:i/>
          <w:iCs/>
          <w:lang w:val="en-US"/>
        </w:rPr>
        <w:t>d</w:t>
      </w:r>
      <w:r w:rsidRPr="0021142C">
        <w:rPr>
          <w:lang w:val="en-US"/>
        </w:rPr>
        <w:t xml:space="preserve"> of learning that one is sick. Define </w:t>
      </w:r>
      <w:r w:rsidR="00C73E00" w:rsidRPr="0021142C">
        <w:rPr>
          <w:position w:val="-10"/>
          <w:lang w:val="en-US"/>
        </w:rPr>
        <w:object w:dxaOrig="400" w:dyaOrig="320" w14:anchorId="3688F7E0">
          <v:shape id="_x0000_i1144" type="#_x0000_t75" style="width:20.25pt;height:15.75pt" o:ole="">
            <v:imagedata r:id="rId16" o:title=""/>
          </v:shape>
          <o:OLEObject Type="Embed" ProgID="Equation.3" ShapeID="_x0000_i1144" DrawAspect="Content" ObjectID="_1560919093" r:id="rId17"/>
        </w:object>
      </w:r>
      <w:r w:rsidRPr="0021142C">
        <w:rPr>
          <w:lang w:val="en-US"/>
        </w:rPr>
        <w:t xml:space="preserve"> as a weighted probability. We assume that the likelihood of the bad health outcome is not large and it is perceived and weighted by the person as not large relative to how the likelihood of a good health outcome is perceived</w:t>
      </w:r>
      <w:r w:rsidR="006E66C8" w:rsidRPr="0021142C">
        <w:rPr>
          <w:lang w:val="en-US"/>
        </w:rPr>
        <w:t>:</w:t>
      </w:r>
    </w:p>
    <w:p w14:paraId="0B4DA126" w14:textId="77777777" w:rsidR="00FD39B4" w:rsidRPr="0021142C" w:rsidRDefault="00FD39B4" w:rsidP="00BB4444">
      <w:pPr>
        <w:spacing w:line="480" w:lineRule="auto"/>
        <w:jc w:val="both"/>
        <w:rPr>
          <w:lang w:val="en-US"/>
        </w:rPr>
      </w:pPr>
    </w:p>
    <w:p w14:paraId="3C2BDFCF" w14:textId="77777777" w:rsidR="00FD39B4" w:rsidRPr="0021142C" w:rsidRDefault="00FD39B4" w:rsidP="00BB4444">
      <w:pPr>
        <w:spacing w:line="480" w:lineRule="auto"/>
        <w:jc w:val="both"/>
        <w:rPr>
          <w:lang w:val="en-US"/>
        </w:rPr>
      </w:pPr>
      <w:r w:rsidRPr="0021142C">
        <w:rPr>
          <w:lang w:val="en-US"/>
        </w:rPr>
        <w:t>Assumption 1</w:t>
      </w:r>
      <w:proofErr w:type="gramStart"/>
      <w:r w:rsidRPr="0021142C">
        <w:rPr>
          <w:lang w:val="en-US"/>
        </w:rPr>
        <w:t xml:space="preserve">: </w:t>
      </w:r>
      <w:proofErr w:type="gramEnd"/>
      <w:r w:rsidR="006E66C8" w:rsidRPr="0021142C">
        <w:rPr>
          <w:position w:val="-10"/>
          <w:lang w:val="en-US"/>
        </w:rPr>
        <w:object w:dxaOrig="2380" w:dyaOrig="320" w14:anchorId="3F9A0DDD">
          <v:shape id="_x0000_i1145" type="#_x0000_t75" style="width:120.75pt;height:15.75pt" o:ole="">
            <v:imagedata r:id="rId18" o:title=""/>
          </v:shape>
          <o:OLEObject Type="Embed" ProgID="Equation.3" ShapeID="_x0000_i1145" DrawAspect="Content" ObjectID="_1560919094" r:id="rId19"/>
        </w:object>
      </w:r>
      <w:r w:rsidR="006E66C8" w:rsidRPr="0021142C">
        <w:rPr>
          <w:lang w:val="en-US"/>
        </w:rPr>
        <w:t>.</w:t>
      </w:r>
    </w:p>
    <w:p w14:paraId="7A35DA18" w14:textId="77777777" w:rsidR="00FD39B4" w:rsidRPr="0021142C" w:rsidRDefault="00FD39B4" w:rsidP="00BB4444">
      <w:pPr>
        <w:spacing w:line="480" w:lineRule="auto"/>
        <w:jc w:val="both"/>
        <w:rPr>
          <w:lang w:val="en-US"/>
        </w:rPr>
      </w:pPr>
    </w:p>
    <w:p w14:paraId="7EFCB902" w14:textId="77777777" w:rsidR="00FD39B4" w:rsidRPr="0021142C" w:rsidRDefault="00FD39B4" w:rsidP="00BB4444">
      <w:pPr>
        <w:spacing w:line="480" w:lineRule="auto"/>
        <w:jc w:val="both"/>
        <w:rPr>
          <w:i/>
          <w:iCs/>
          <w:lang w:val="en-US"/>
        </w:rPr>
      </w:pPr>
      <w:r w:rsidRPr="0021142C">
        <w:rPr>
          <w:lang w:val="en-US"/>
        </w:rPr>
        <w:t xml:space="preserve">Note that Assumption 1 permits the difference </w:t>
      </w:r>
      <w:r w:rsidRPr="0021142C">
        <w:rPr>
          <w:i/>
          <w:iCs/>
          <w:lang w:val="en-US"/>
        </w:rPr>
        <w:t>w</w:t>
      </w:r>
      <w:r w:rsidRPr="0021142C">
        <w:rPr>
          <w:lang w:val="en-US"/>
        </w:rPr>
        <w:t>(</w:t>
      </w:r>
      <w:r w:rsidRPr="0021142C">
        <w:rPr>
          <w:i/>
          <w:iCs/>
          <w:lang w:val="en-US"/>
        </w:rPr>
        <w:t>p</w:t>
      </w:r>
      <w:r w:rsidRPr="0021142C">
        <w:rPr>
          <w:lang w:val="en-US"/>
        </w:rPr>
        <w:t xml:space="preserve">) – </w:t>
      </w:r>
      <w:r w:rsidRPr="0021142C">
        <w:rPr>
          <w:i/>
          <w:iCs/>
          <w:lang w:val="en-US"/>
        </w:rPr>
        <w:t>w</w:t>
      </w:r>
      <w:r w:rsidRPr="0021142C">
        <w:rPr>
          <w:lang w:val="en-US"/>
        </w:rPr>
        <w:t xml:space="preserve">(1 – </w:t>
      </w:r>
      <w:r w:rsidRPr="0021142C">
        <w:rPr>
          <w:i/>
          <w:iCs/>
          <w:lang w:val="en-US"/>
        </w:rPr>
        <w:t>p</w:t>
      </w:r>
      <w:r w:rsidRPr="0021142C">
        <w:rPr>
          <w:lang w:val="en-US"/>
        </w:rPr>
        <w:t xml:space="preserve">) to be smaller than that between </w:t>
      </w:r>
      <w:r w:rsidRPr="0021142C">
        <w:rPr>
          <w:i/>
          <w:iCs/>
          <w:lang w:val="en-US"/>
        </w:rPr>
        <w:t xml:space="preserve">p </w:t>
      </w:r>
      <w:r w:rsidRPr="0021142C">
        <w:rPr>
          <w:lang w:val="en-US"/>
        </w:rPr>
        <w:t xml:space="preserve">and (1 – </w:t>
      </w:r>
      <w:r w:rsidRPr="0021142C">
        <w:rPr>
          <w:i/>
          <w:iCs/>
          <w:lang w:val="en-US"/>
        </w:rPr>
        <w:t>p</w:t>
      </w:r>
      <w:r w:rsidRPr="0021142C">
        <w:rPr>
          <w:lang w:val="en-US"/>
        </w:rPr>
        <w:t>), i.e. it allows for overweighting of small probabilities; it plausibly assumes however that people will typically still be able to clearly identify what is more likely and what is not.</w:t>
      </w:r>
      <w:r w:rsidRPr="0021142C">
        <w:rPr>
          <w:i/>
          <w:iCs/>
          <w:lang w:val="en-US"/>
        </w:rPr>
        <w:t xml:space="preserve"> </w:t>
      </w:r>
    </w:p>
    <w:p w14:paraId="40529051" w14:textId="77777777" w:rsidR="00FD39B4" w:rsidRPr="0021142C" w:rsidRDefault="00FD39B4" w:rsidP="00BB4444">
      <w:pPr>
        <w:spacing w:line="480" w:lineRule="auto"/>
        <w:jc w:val="both"/>
        <w:rPr>
          <w:i/>
          <w:iCs/>
          <w:lang w:val="en-US"/>
        </w:rPr>
      </w:pPr>
    </w:p>
    <w:p w14:paraId="3A774061" w14:textId="77777777" w:rsidR="00FD39B4" w:rsidRPr="0021142C" w:rsidRDefault="00FD39B4" w:rsidP="00BB4444">
      <w:pPr>
        <w:spacing w:line="480" w:lineRule="auto"/>
        <w:jc w:val="both"/>
        <w:rPr>
          <w:lang w:val="en-US"/>
        </w:rPr>
      </w:pPr>
      <w:r w:rsidRPr="0021142C">
        <w:rPr>
          <w:lang w:val="en-US"/>
        </w:rPr>
        <w:t xml:space="preserve">In a gain frame (+), the utilities of a positive and a negative health outcome in period 2 are perceived as </w:t>
      </w:r>
      <w:r w:rsidRPr="0021142C">
        <w:rPr>
          <w:position w:val="-6"/>
          <w:lang w:val="en-US"/>
        </w:rPr>
        <w:object w:dxaOrig="200" w:dyaOrig="220" w14:anchorId="1412A7B0">
          <v:shape id="_x0000_i1146" type="#_x0000_t75" style="width:11.25pt;height:11.25pt" o:ole="">
            <v:imagedata r:id="rId20" o:title=""/>
          </v:shape>
          <o:OLEObject Type="Embed" ProgID="Equation.3" ShapeID="_x0000_i1146" DrawAspect="Content" ObjectID="_1560919095" r:id="rId21"/>
        </w:object>
      </w:r>
      <w:r w:rsidRPr="0021142C">
        <w:rPr>
          <w:lang w:val="en-US"/>
        </w:rPr>
        <w:t xml:space="preserve"> and 0 respectively, </w:t>
      </w:r>
      <w:proofErr w:type="gramStart"/>
      <w:r w:rsidRPr="0021142C">
        <w:rPr>
          <w:lang w:val="en-US"/>
        </w:rPr>
        <w:t xml:space="preserve">with </w:t>
      </w:r>
      <w:proofErr w:type="gramEnd"/>
      <w:r w:rsidRPr="0021142C">
        <w:rPr>
          <w:position w:val="-6"/>
          <w:lang w:val="en-US"/>
        </w:rPr>
        <w:object w:dxaOrig="560" w:dyaOrig="279" w14:anchorId="2AB7BA98">
          <v:shape id="_x0000_i1147" type="#_x0000_t75" style="width:28.5pt;height:14.25pt" o:ole="">
            <v:imagedata r:id="rId22" o:title=""/>
          </v:shape>
          <o:OLEObject Type="Embed" ProgID="Equation.3" ShapeID="_x0000_i1147" DrawAspect="Content" ObjectID="_1560919096" r:id="rId23"/>
        </w:object>
      </w:r>
      <w:r w:rsidRPr="0021142C">
        <w:rPr>
          <w:lang w:val="en-US"/>
        </w:rPr>
        <w:t>. In a loss frame (-), the utilities of a positive and a negative health outcome in period 2 are perceived as 0 and –</w:t>
      </w:r>
      <w:r w:rsidRPr="0021142C">
        <w:rPr>
          <w:position w:val="-6"/>
          <w:lang w:val="en-US"/>
        </w:rPr>
        <w:object w:dxaOrig="200" w:dyaOrig="220" w14:anchorId="657E20C6">
          <v:shape id="_x0000_i1148" type="#_x0000_t75" style="width:11.25pt;height:11.25pt" o:ole="">
            <v:imagedata r:id="rId24" o:title=""/>
          </v:shape>
          <o:OLEObject Type="Embed" ProgID="Equation.3" ShapeID="_x0000_i1148" DrawAspect="Content" ObjectID="_1560919097" r:id="rId25"/>
        </w:object>
      </w:r>
      <w:r w:rsidRPr="0021142C">
        <w:rPr>
          <w:lang w:val="en-US"/>
        </w:rPr>
        <w:t xml:space="preserve">, respectively. We further assume that agents discount period 2 according to a discount </w:t>
      </w:r>
      <w:proofErr w:type="gramStart"/>
      <w:r w:rsidRPr="0021142C">
        <w:rPr>
          <w:lang w:val="en-US"/>
        </w:rPr>
        <w:t xml:space="preserve">factor </w:t>
      </w:r>
      <w:proofErr w:type="gramEnd"/>
      <w:r w:rsidRPr="0021142C">
        <w:rPr>
          <w:position w:val="-6"/>
          <w:lang w:val="en-US"/>
        </w:rPr>
        <w:object w:dxaOrig="560" w:dyaOrig="279" w14:anchorId="32BC37AD">
          <v:shape id="_x0000_i1149" type="#_x0000_t75" style="width:28.5pt;height:14.25pt" o:ole="">
            <v:imagedata r:id="rId26" o:title=""/>
          </v:shape>
          <o:OLEObject Type="Embed" ProgID="Equation.3" ShapeID="_x0000_i1149" DrawAspect="Content" ObjectID="_1560919098" r:id="rId27"/>
        </w:object>
      </w:r>
      <w:r w:rsidRPr="0021142C">
        <w:rPr>
          <w:lang w:val="en-US"/>
        </w:rPr>
        <w:t>, and that utility is additively separable between periods 1 and 2. Agents follow prospect theory and, in the absence of detection and prevention activity, we can write their utility function as</w:t>
      </w:r>
      <w:r w:rsidR="006E66C8" w:rsidRPr="0021142C">
        <w:rPr>
          <w:lang w:val="en-US"/>
        </w:rPr>
        <w:t>:</w:t>
      </w:r>
      <w:r w:rsidRPr="0021142C">
        <w:rPr>
          <w:lang w:val="en-US"/>
        </w:rPr>
        <w:t xml:space="preserve"> </w:t>
      </w:r>
    </w:p>
    <w:p w14:paraId="33F84612" w14:textId="77777777" w:rsidR="00FD39B4" w:rsidRPr="0021142C" w:rsidRDefault="00FD39B4" w:rsidP="00BB4444">
      <w:pPr>
        <w:spacing w:line="480" w:lineRule="auto"/>
        <w:jc w:val="both"/>
        <w:rPr>
          <w:lang w:val="en-US"/>
        </w:rPr>
      </w:pPr>
      <w:r w:rsidRPr="0021142C">
        <w:rPr>
          <w:position w:val="-24"/>
          <w:lang w:val="en-US"/>
        </w:rPr>
        <w:object w:dxaOrig="1860" w:dyaOrig="620" w14:anchorId="79B0C953">
          <v:shape id="_x0000_i1150" type="#_x0000_t75" style="width:92.25pt;height:33pt" o:ole="">
            <v:imagedata r:id="rId28" o:title=""/>
          </v:shape>
          <o:OLEObject Type="Embed" ProgID="Equation.3" ShapeID="_x0000_i1150" DrawAspect="Content" ObjectID="_1560919099" r:id="rId29"/>
        </w:object>
      </w:r>
      <w:r w:rsidRPr="0021142C">
        <w:rPr>
          <w:lang w:val="en-US"/>
        </w:rPr>
        <w:tab/>
      </w:r>
      <w:proofErr w:type="gramStart"/>
      <w:r w:rsidRPr="0021142C">
        <w:rPr>
          <w:lang w:val="en-US"/>
        </w:rPr>
        <w:t>in</w:t>
      </w:r>
      <w:proofErr w:type="gramEnd"/>
      <w:r w:rsidRPr="0021142C">
        <w:rPr>
          <w:lang w:val="en-US"/>
        </w:rPr>
        <w:t xml:space="preserve"> a gain frame </w:t>
      </w:r>
    </w:p>
    <w:p w14:paraId="56A4FB0D" w14:textId="77777777" w:rsidR="00FD39B4" w:rsidRPr="0021142C" w:rsidRDefault="00FD39B4" w:rsidP="00BB4444">
      <w:pPr>
        <w:spacing w:line="480" w:lineRule="auto"/>
        <w:jc w:val="both"/>
        <w:rPr>
          <w:lang w:val="en-US"/>
        </w:rPr>
      </w:pPr>
      <w:r w:rsidRPr="0021142C">
        <w:rPr>
          <w:position w:val="-24"/>
          <w:lang w:val="en-US"/>
        </w:rPr>
        <w:object w:dxaOrig="1700" w:dyaOrig="620" w14:anchorId="0E28816C">
          <v:shape id="_x0000_i1151" type="#_x0000_t75" style="width:84.75pt;height:33pt" o:ole="">
            <v:imagedata r:id="rId30" o:title=""/>
          </v:shape>
          <o:OLEObject Type="Embed" ProgID="Equation.3" ShapeID="_x0000_i1151" DrawAspect="Content" ObjectID="_1560919100" r:id="rId31"/>
        </w:object>
      </w:r>
      <w:r w:rsidRPr="0021142C">
        <w:rPr>
          <w:lang w:val="en-US"/>
        </w:rPr>
        <w:tab/>
      </w:r>
      <w:proofErr w:type="gramStart"/>
      <w:r w:rsidRPr="0021142C">
        <w:rPr>
          <w:lang w:val="en-US"/>
        </w:rPr>
        <w:t>in</w:t>
      </w:r>
      <w:proofErr w:type="gramEnd"/>
      <w:r w:rsidRPr="0021142C">
        <w:rPr>
          <w:lang w:val="en-US"/>
        </w:rPr>
        <w:t xml:space="preserve"> a loss frame</w:t>
      </w:r>
      <w:r w:rsidR="006E66C8" w:rsidRPr="0021142C">
        <w:rPr>
          <w:lang w:val="en-US"/>
        </w:rPr>
        <w:t>,</w:t>
      </w:r>
      <w:r w:rsidRPr="0021142C">
        <w:rPr>
          <w:lang w:val="en-US"/>
        </w:rPr>
        <w:t xml:space="preserve"> </w:t>
      </w:r>
    </w:p>
    <w:p w14:paraId="3E0F790D" w14:textId="77777777" w:rsidR="00FD39B4" w:rsidRPr="0021142C" w:rsidRDefault="00FD39B4" w:rsidP="00BB4444">
      <w:pPr>
        <w:spacing w:line="480" w:lineRule="auto"/>
        <w:jc w:val="both"/>
        <w:rPr>
          <w:lang w:val="en-US"/>
        </w:rPr>
      </w:pPr>
      <w:r w:rsidRPr="0021142C">
        <w:rPr>
          <w:lang w:val="en-US"/>
        </w:rPr>
        <w:t xml:space="preserve">where </w:t>
      </w:r>
      <w:r w:rsidRPr="0021142C">
        <w:rPr>
          <w:position w:val="-10"/>
          <w:lang w:val="en-US"/>
        </w:rPr>
        <w:object w:dxaOrig="340" w:dyaOrig="340" w14:anchorId="42F9C0E9">
          <v:shape id="_x0000_i1152" type="#_x0000_t75" style="width:18.75pt;height:18.75pt" o:ole="">
            <v:imagedata r:id="rId32" o:title=""/>
          </v:shape>
          <o:OLEObject Type="Embed" ProgID="Equation.3" ShapeID="_x0000_i1152" DrawAspect="Content" ObjectID="_1560919101" r:id="rId33"/>
        </w:object>
      </w:r>
      <w:r w:rsidRPr="0021142C">
        <w:rPr>
          <w:lang w:val="en-US"/>
        </w:rPr>
        <w:t xml:space="preserve">and </w:t>
      </w:r>
      <w:r w:rsidRPr="0021142C">
        <w:rPr>
          <w:position w:val="-10"/>
          <w:lang w:val="en-US"/>
        </w:rPr>
        <w:object w:dxaOrig="340" w:dyaOrig="340" w14:anchorId="026A78B9">
          <v:shape id="_x0000_i1153" type="#_x0000_t75" style="width:18.75pt;height:18.75pt" o:ole="">
            <v:imagedata r:id="rId34" o:title=""/>
          </v:shape>
          <o:OLEObject Type="Embed" ProgID="Equation.3" ShapeID="_x0000_i1153" DrawAspect="Content" ObjectID="_1560919102" r:id="rId35"/>
        </w:object>
      </w:r>
      <w:r w:rsidRPr="0021142C">
        <w:rPr>
          <w:lang w:val="en-US"/>
        </w:rPr>
        <w:t xml:space="preserve">are an increasing function of </w:t>
      </w:r>
      <w:r w:rsidR="00C73E00" w:rsidRPr="0021142C">
        <w:rPr>
          <w:position w:val="-10"/>
          <w:lang w:val="en-US"/>
        </w:rPr>
        <w:object w:dxaOrig="400" w:dyaOrig="320" w14:anchorId="49A60F06">
          <v:shape id="_x0000_i1154" type="#_x0000_t75" style="width:20.25pt;height:15.75pt" o:ole="">
            <v:imagedata r:id="rId36" o:title=""/>
          </v:shape>
          <o:OLEObject Type="Embed" ProgID="Equation.3" ShapeID="_x0000_i1154" DrawAspect="Content" ObjectID="_1560919103" r:id="rId37"/>
        </w:object>
      </w:r>
      <w:r w:rsidRPr="0021142C">
        <w:rPr>
          <w:lang w:val="en-US"/>
        </w:rPr>
        <w:t xml:space="preserve"> and </w:t>
      </w:r>
      <w:r w:rsidR="00C73E00" w:rsidRPr="0021142C">
        <w:rPr>
          <w:position w:val="-10"/>
          <w:lang w:val="en-US"/>
        </w:rPr>
        <w:object w:dxaOrig="400" w:dyaOrig="320" w14:anchorId="029B2D68">
          <v:shape id="_x0000_i1155" type="#_x0000_t75" style="width:20.25pt;height:15.75pt" o:ole="">
            <v:imagedata r:id="rId38" o:title=""/>
          </v:shape>
          <o:OLEObject Type="Embed" ProgID="Equation.3" ShapeID="_x0000_i1155" DrawAspect="Content" ObjectID="_1560919104" r:id="rId39"/>
        </w:object>
      </w:r>
      <w:r w:rsidRPr="0021142C">
        <w:rPr>
          <w:lang w:val="en-US"/>
        </w:rPr>
        <w:t xml:space="preserve"> </w:t>
      </w:r>
      <w:r w:rsidR="00C73E00" w:rsidRPr="0021142C">
        <w:rPr>
          <w:position w:val="-10"/>
          <w:lang w:val="en-US"/>
        </w:rPr>
        <w:object w:dxaOrig="340" w:dyaOrig="320" w14:anchorId="16299932">
          <v:shape id="_x0000_i1156" type="#_x0000_t75" style="width:18.75pt;height:15.75pt" o:ole="">
            <v:imagedata r:id="rId40" o:title=""/>
          </v:shape>
          <o:OLEObject Type="Embed" ProgID="Equation.3" ShapeID="_x0000_i1156" DrawAspect="Content" ObjectID="_1560919105" r:id="rId41"/>
        </w:object>
      </w:r>
      <w:r w:rsidRPr="0021142C">
        <w:rPr>
          <w:lang w:val="en-US"/>
        </w:rPr>
        <w:t xml:space="preserve">is the monotonically increasing prospect theory value function, and, for simplicity and without loss of generality, </w:t>
      </w:r>
      <w:r w:rsidRPr="0021142C">
        <w:rPr>
          <w:position w:val="-10"/>
          <w:lang w:val="en-US"/>
        </w:rPr>
        <w:object w:dxaOrig="2580" w:dyaOrig="320" w14:anchorId="54E6BF4C">
          <v:shape id="_x0000_i1157" type="#_x0000_t75" style="width:129.75pt;height:15.75pt" o:ole="">
            <v:imagedata r:id="rId42" o:title=""/>
          </v:shape>
          <o:OLEObject Type="Embed" ProgID="Equation.3" ShapeID="_x0000_i1157" DrawAspect="Content" ObjectID="_1560919106" r:id="rId43"/>
        </w:object>
      </w:r>
      <w:r w:rsidRPr="0021142C">
        <w:rPr>
          <w:lang w:val="en-US"/>
        </w:rPr>
        <w:t xml:space="preserve"> Our second assumption reflects the loss aversion and differential risk attitude in the domain of losses that is highlighted in the usual applications of prospect  theory, with </w:t>
      </w:r>
      <w:r w:rsidRPr="0021142C">
        <w:rPr>
          <w:position w:val="-12"/>
          <w:lang w:val="en-US"/>
        </w:rPr>
        <w:object w:dxaOrig="279" w:dyaOrig="360" w14:anchorId="3345B6EE">
          <v:shape id="_x0000_i1158" type="#_x0000_t75" style="width:14.25pt;height:18.75pt" o:ole="">
            <v:imagedata r:id="rId44" o:title=""/>
          </v:shape>
          <o:OLEObject Type="Embed" ProgID="Equation.3" ShapeID="_x0000_i1158" DrawAspect="Content" ObjectID="_1560919107" r:id="rId45"/>
        </w:object>
      </w:r>
      <w:r w:rsidRPr="0021142C">
        <w:rPr>
          <w:lang w:val="en-US"/>
        </w:rPr>
        <w:t xml:space="preserve">&gt; 0 and </w:t>
      </w:r>
      <w:r w:rsidRPr="0021142C">
        <w:rPr>
          <w:position w:val="-12"/>
          <w:lang w:val="en-US"/>
        </w:rPr>
        <w:object w:dxaOrig="300" w:dyaOrig="360" w14:anchorId="148786A8">
          <v:shape id="_x0000_i1159" type="#_x0000_t75" style="width:15.75pt;height:18.75pt" o:ole="">
            <v:imagedata r:id="rId46" o:title=""/>
          </v:shape>
          <o:OLEObject Type="Embed" ProgID="Equation.3" ShapeID="_x0000_i1159" DrawAspect="Content" ObjectID="_1560919108" r:id="rId47"/>
        </w:object>
      </w:r>
      <w:r w:rsidRPr="0021142C">
        <w:rPr>
          <w:lang w:val="en-US"/>
        </w:rPr>
        <w:t xml:space="preserve">&gt; 0 being coefficients embodying the difference in valuation if </w:t>
      </w:r>
      <w:r w:rsidRPr="0021142C">
        <w:rPr>
          <w:i/>
          <w:iCs/>
          <w:lang w:val="en-US"/>
        </w:rPr>
        <w:t xml:space="preserve">x </w:t>
      </w:r>
      <w:r w:rsidRPr="0021142C">
        <w:rPr>
          <w:lang w:val="en-US"/>
        </w:rPr>
        <w:t>is perceived in the domain of losses rather than in that of gains:</w:t>
      </w:r>
    </w:p>
    <w:p w14:paraId="72A3B951" w14:textId="77777777" w:rsidR="00FD39B4" w:rsidRPr="0021142C" w:rsidRDefault="00FD39B4" w:rsidP="00BB4444">
      <w:pPr>
        <w:spacing w:line="480" w:lineRule="auto"/>
        <w:jc w:val="both"/>
        <w:rPr>
          <w:lang w:val="en-US"/>
        </w:rPr>
      </w:pPr>
    </w:p>
    <w:p w14:paraId="0E095137" w14:textId="77777777" w:rsidR="00FD39B4" w:rsidRPr="0021142C" w:rsidRDefault="00FD39B4" w:rsidP="00BB4444">
      <w:pPr>
        <w:spacing w:line="480" w:lineRule="auto"/>
        <w:jc w:val="both"/>
        <w:rPr>
          <w:lang w:val="en-US"/>
        </w:rPr>
      </w:pPr>
      <w:r w:rsidRPr="0021142C">
        <w:rPr>
          <w:lang w:val="en-US"/>
        </w:rPr>
        <w:t xml:space="preserve">Assumption 2: </w:t>
      </w:r>
      <w:r w:rsidRPr="0021142C">
        <w:rPr>
          <w:position w:val="-14"/>
          <w:lang w:val="en-US"/>
        </w:rPr>
        <w:object w:dxaOrig="1760" w:dyaOrig="400" w14:anchorId="2E45855E">
          <v:shape id="_x0000_i1160" type="#_x0000_t75" style="width:87.75pt;height:20.25pt" o:ole="">
            <v:imagedata r:id="rId48" o:title=""/>
          </v:shape>
          <o:OLEObject Type="Embed" ProgID="Equation.3" ShapeID="_x0000_i1160" DrawAspect="Content" ObjectID="_1560919109" r:id="rId49"/>
        </w:object>
      </w:r>
      <w:r w:rsidRPr="0021142C">
        <w:rPr>
          <w:lang w:val="en-US"/>
        </w:rPr>
        <w:t xml:space="preserve"> </w:t>
      </w:r>
      <w:proofErr w:type="gramStart"/>
      <w:r w:rsidRPr="0021142C">
        <w:rPr>
          <w:lang w:val="en-US"/>
        </w:rPr>
        <w:t xml:space="preserve">and </w:t>
      </w:r>
      <w:proofErr w:type="gramEnd"/>
      <w:r w:rsidRPr="0021142C">
        <w:rPr>
          <w:position w:val="-14"/>
          <w:lang w:val="en-US"/>
        </w:rPr>
        <w:object w:dxaOrig="1800" w:dyaOrig="400" w14:anchorId="3C1A32AD">
          <v:shape id="_x0000_i1161" type="#_x0000_t75" style="width:90.75pt;height:20.25pt" o:ole="">
            <v:imagedata r:id="rId50" o:title=""/>
          </v:shape>
          <o:OLEObject Type="Embed" ProgID="Equation.3" ShapeID="_x0000_i1161" DrawAspect="Content" ObjectID="_1560919110" r:id="rId51"/>
        </w:object>
      </w:r>
      <w:r w:rsidR="006E66C8" w:rsidRPr="0021142C">
        <w:rPr>
          <w:lang w:val="en-US"/>
        </w:rPr>
        <w:t>.</w:t>
      </w:r>
    </w:p>
    <w:p w14:paraId="167D56F7" w14:textId="77777777" w:rsidR="00FD39B4" w:rsidRPr="0021142C" w:rsidRDefault="00FD39B4" w:rsidP="00BB4444">
      <w:pPr>
        <w:spacing w:line="480" w:lineRule="auto"/>
        <w:jc w:val="both"/>
        <w:rPr>
          <w:lang w:val="en-US"/>
        </w:rPr>
      </w:pPr>
    </w:p>
    <w:p w14:paraId="617E0D1B" w14:textId="77777777" w:rsidR="00FD39B4" w:rsidRPr="0021142C" w:rsidRDefault="00FD39B4" w:rsidP="00BB4444">
      <w:pPr>
        <w:spacing w:line="480" w:lineRule="auto"/>
        <w:jc w:val="both"/>
        <w:rPr>
          <w:lang w:val="en-US"/>
        </w:rPr>
      </w:pPr>
      <w:r w:rsidRPr="0021142C">
        <w:rPr>
          <w:lang w:val="en-US"/>
        </w:rPr>
        <w:t>Figure 2 shows a value function as an example.</w:t>
      </w:r>
    </w:p>
    <w:p w14:paraId="3BC9BAAC" w14:textId="77777777" w:rsidR="00FD39B4" w:rsidRPr="0021142C" w:rsidRDefault="00FD39B4" w:rsidP="00BB4444">
      <w:pPr>
        <w:spacing w:line="480" w:lineRule="auto"/>
        <w:jc w:val="both"/>
        <w:rPr>
          <w:lang w:val="en-US"/>
        </w:rPr>
      </w:pPr>
    </w:p>
    <w:p w14:paraId="450B279C" w14:textId="2005B58C" w:rsidR="00FD39B4" w:rsidRPr="0021142C" w:rsidRDefault="00FD39B4" w:rsidP="00BB4444">
      <w:pPr>
        <w:spacing w:line="480" w:lineRule="auto"/>
        <w:jc w:val="both"/>
        <w:rPr>
          <w:lang w:val="en-US"/>
        </w:rPr>
      </w:pPr>
      <w:r w:rsidRPr="0021142C">
        <w:rPr>
          <w:i/>
          <w:iCs/>
          <w:lang w:val="en-US"/>
        </w:rPr>
        <w:t>Prevention be</w:t>
      </w:r>
      <w:r w:rsidR="00C25843" w:rsidRPr="0021142C">
        <w:rPr>
          <w:i/>
          <w:iCs/>
          <w:lang w:val="en-US"/>
        </w:rPr>
        <w:t>havior</w:t>
      </w:r>
      <w:r w:rsidRPr="0021142C">
        <w:rPr>
          <w:lang w:val="en-US"/>
        </w:rPr>
        <w:t>. In a gain frame, the agent will engage in prevention be</w:t>
      </w:r>
      <w:r w:rsidR="00C25843" w:rsidRPr="0021142C">
        <w:rPr>
          <w:lang w:val="en-US"/>
        </w:rPr>
        <w:t>havior</w:t>
      </w:r>
      <w:r w:rsidRPr="0021142C">
        <w:rPr>
          <w:lang w:val="en-US"/>
        </w:rPr>
        <w:t xml:space="preserve"> in period 1 if the expected discounted gains from prevention are higher than the prevention cost:</w:t>
      </w:r>
    </w:p>
    <w:p w14:paraId="57FB5E51" w14:textId="77777777" w:rsidR="00FD39B4" w:rsidRPr="0021142C" w:rsidRDefault="00FD39B4" w:rsidP="00BB4444">
      <w:pPr>
        <w:spacing w:line="480" w:lineRule="auto"/>
        <w:jc w:val="both"/>
        <w:rPr>
          <w:lang w:val="en-US"/>
        </w:rPr>
      </w:pPr>
      <w:r w:rsidRPr="0021142C">
        <w:rPr>
          <w:position w:val="-24"/>
          <w:lang w:val="en-US"/>
        </w:rPr>
        <w:object w:dxaOrig="2020" w:dyaOrig="620" w14:anchorId="5416F448">
          <v:shape id="_x0000_i1162" type="#_x0000_t75" style="width:102pt;height:33pt" o:ole="">
            <v:imagedata r:id="rId52" o:title=""/>
          </v:shape>
          <o:OLEObject Type="Embed" ProgID="Equation.3" ShapeID="_x0000_i1162" DrawAspect="Content" ObjectID="_1560919111" r:id="rId53"/>
        </w:object>
      </w:r>
      <w:r w:rsidRPr="0021142C">
        <w:rPr>
          <w:lang w:val="en-US"/>
        </w:rPr>
        <w:tab/>
      </w:r>
      <w:r w:rsidR="006E66C8" w:rsidRPr="0021142C">
        <w:rPr>
          <w:lang w:val="en-US"/>
        </w:rPr>
        <w:t>.</w:t>
      </w:r>
      <w:r w:rsidRPr="0021142C">
        <w:rPr>
          <w:lang w:val="en-US"/>
        </w:rPr>
        <w:tab/>
        <w:t>(3)</w:t>
      </w:r>
    </w:p>
    <w:p w14:paraId="615E30AD" w14:textId="2124BA0B" w:rsidR="00FD39B4" w:rsidRPr="0021142C" w:rsidRDefault="00FD39B4" w:rsidP="00BB4444">
      <w:pPr>
        <w:spacing w:line="480" w:lineRule="auto"/>
        <w:jc w:val="both"/>
        <w:rPr>
          <w:lang w:val="en-US"/>
        </w:rPr>
      </w:pPr>
      <w:r w:rsidRPr="0021142C">
        <w:rPr>
          <w:lang w:val="en-US"/>
        </w:rPr>
        <w:t xml:space="preserve">In a loss frame, the agent will engage in prevention </w:t>
      </w:r>
      <w:r w:rsidR="006C2E2B" w:rsidRPr="0021142C">
        <w:rPr>
          <w:lang w:val="en-US"/>
        </w:rPr>
        <w:t xml:space="preserve">behavior </w:t>
      </w:r>
      <w:r w:rsidRPr="0021142C">
        <w:rPr>
          <w:lang w:val="en-US"/>
        </w:rPr>
        <w:t>if the expected discounted avoided loss from prevention is higher than the prevention cost:</w:t>
      </w:r>
    </w:p>
    <w:p w14:paraId="757E4239" w14:textId="77777777" w:rsidR="00FD39B4" w:rsidRPr="0021142C" w:rsidRDefault="002C3A57" w:rsidP="00BB4444">
      <w:pPr>
        <w:spacing w:line="480" w:lineRule="auto"/>
        <w:jc w:val="both"/>
        <w:rPr>
          <w:lang w:val="en-US"/>
        </w:rPr>
      </w:pPr>
      <w:r w:rsidRPr="0021142C">
        <w:rPr>
          <w:position w:val="-24"/>
          <w:lang w:val="en-US"/>
        </w:rPr>
        <w:object w:dxaOrig="4140" w:dyaOrig="620" w14:anchorId="0FA65B68">
          <v:shape id="_x0000_i1163" type="#_x0000_t75" style="width:205.5pt;height:33pt" o:ole="">
            <v:imagedata r:id="rId54" o:title=""/>
          </v:shape>
          <o:OLEObject Type="Embed" ProgID="Equation.3" ShapeID="_x0000_i1163" DrawAspect="Content" ObjectID="_1560919112" r:id="rId55"/>
        </w:object>
      </w:r>
      <w:r w:rsidR="006E66C8" w:rsidRPr="0021142C">
        <w:rPr>
          <w:lang w:val="en-US"/>
        </w:rPr>
        <w:t>.</w:t>
      </w:r>
      <w:r w:rsidR="00FD39B4" w:rsidRPr="0021142C">
        <w:rPr>
          <w:lang w:val="en-US"/>
        </w:rPr>
        <w:tab/>
      </w:r>
      <w:r w:rsidR="00FD39B4" w:rsidRPr="0021142C">
        <w:rPr>
          <w:lang w:val="en-US"/>
        </w:rPr>
        <w:tab/>
        <w:t>(4)</w:t>
      </w:r>
    </w:p>
    <w:p w14:paraId="07BF7BB2" w14:textId="3436FE0A" w:rsidR="00FD39B4" w:rsidRPr="0021142C" w:rsidRDefault="00FD39B4" w:rsidP="00BB4444">
      <w:pPr>
        <w:spacing w:line="480" w:lineRule="auto"/>
        <w:jc w:val="both"/>
        <w:rPr>
          <w:lang w:val="en-US"/>
        </w:rPr>
      </w:pPr>
      <w:r w:rsidRPr="0021142C">
        <w:rPr>
          <w:lang w:val="en-US"/>
        </w:rPr>
        <w:t xml:space="preserve">If we restrict ourselves to Assumption 2 alone, </w:t>
      </w:r>
      <w:r w:rsidRPr="0021142C">
        <w:rPr>
          <w:position w:val="-12"/>
          <w:lang w:val="en-US"/>
        </w:rPr>
        <w:object w:dxaOrig="279" w:dyaOrig="360" w14:anchorId="7C0D51CF">
          <v:shape id="_x0000_i1164" type="#_x0000_t75" style="width:14.25pt;height:18.75pt" o:ole="">
            <v:imagedata r:id="rId56" o:title=""/>
          </v:shape>
          <o:OLEObject Type="Embed" ProgID="Equation.3" ShapeID="_x0000_i1164" DrawAspect="Content" ObjectID="_1560919113" r:id="rId57"/>
        </w:object>
      </w:r>
      <w:r w:rsidRPr="0021142C">
        <w:rPr>
          <w:lang w:val="en-US"/>
        </w:rPr>
        <w:t xml:space="preserve">implies that equation (4) is more likely to be satisfied than equation (3): intuitively, in a loss frame, the risk of a loss should naturally lead the loss averse person to engage in more prevention </w:t>
      </w:r>
      <w:r w:rsidR="006C2E2B" w:rsidRPr="0021142C">
        <w:rPr>
          <w:lang w:val="en-US"/>
        </w:rPr>
        <w:t xml:space="preserve">behavior </w:t>
      </w:r>
      <w:r w:rsidRPr="0021142C">
        <w:rPr>
          <w:lang w:val="en-US"/>
        </w:rPr>
        <w:t xml:space="preserve">to avoid the loss than if there is the possibility of a gain in a gain frame. Note however that, as long as the probability of the negative health outcome is small and remains perceived reasonably as such (Assumption 1), it is reasonable to hypothesize that </w:t>
      </w:r>
      <w:r w:rsidRPr="0021142C">
        <w:rPr>
          <w:position w:val="-12"/>
          <w:lang w:val="en-US"/>
        </w:rPr>
        <w:object w:dxaOrig="2880" w:dyaOrig="360" w14:anchorId="260878C6">
          <v:shape id="_x0000_i1165" type="#_x0000_t75" style="width:145.5pt;height:18.75pt" o:ole="">
            <v:imagedata r:id="rId58" o:title=""/>
          </v:shape>
          <o:OLEObject Type="Embed" ProgID="Equation.3" ShapeID="_x0000_i1165" DrawAspect="Content" ObjectID="_1560919114" r:id="rId59"/>
        </w:object>
      </w:r>
      <w:r w:rsidRPr="0021142C">
        <w:rPr>
          <w:lang w:val="en-US"/>
        </w:rPr>
        <w:t xml:space="preserve">If Assumption 1 does not hold, a negative frame may be roughly as good or even better than a gain frame. However, if Assumption 1 holds, a gain frame will generally be better for encouraging prevention, if not for the reason normally used.  </w:t>
      </w:r>
    </w:p>
    <w:p w14:paraId="57F92039" w14:textId="77777777" w:rsidR="00FD39B4" w:rsidRPr="0021142C" w:rsidRDefault="00FD39B4" w:rsidP="00BB4444">
      <w:pPr>
        <w:spacing w:line="480" w:lineRule="auto"/>
        <w:jc w:val="both"/>
        <w:rPr>
          <w:lang w:val="en-US"/>
        </w:rPr>
      </w:pPr>
    </w:p>
    <w:p w14:paraId="0B560C44" w14:textId="240E003C" w:rsidR="00FD39B4" w:rsidRPr="0021142C" w:rsidRDefault="00FD39B4" w:rsidP="00BB4444">
      <w:pPr>
        <w:spacing w:line="480" w:lineRule="auto"/>
        <w:jc w:val="both"/>
        <w:rPr>
          <w:lang w:val="en-US"/>
        </w:rPr>
      </w:pPr>
      <w:r w:rsidRPr="0021142C">
        <w:rPr>
          <w:i/>
          <w:iCs/>
          <w:lang w:val="en-US"/>
        </w:rPr>
        <w:t>Detection be</w:t>
      </w:r>
      <w:r w:rsidR="00C25843" w:rsidRPr="0021142C">
        <w:rPr>
          <w:i/>
          <w:iCs/>
          <w:lang w:val="en-US"/>
        </w:rPr>
        <w:t>havior</w:t>
      </w:r>
      <w:r w:rsidRPr="0021142C">
        <w:rPr>
          <w:lang w:val="en-US"/>
        </w:rPr>
        <w:t xml:space="preserve">. In comparing detection </w:t>
      </w:r>
      <w:r w:rsidR="006C2E2B" w:rsidRPr="0021142C">
        <w:rPr>
          <w:lang w:val="en-US"/>
        </w:rPr>
        <w:t xml:space="preserve">behavior </w:t>
      </w:r>
      <w:r w:rsidRPr="0021142C">
        <w:rPr>
          <w:lang w:val="en-US"/>
        </w:rPr>
        <w:t xml:space="preserve">with prevention </w:t>
      </w:r>
      <w:r w:rsidR="006C2E2B" w:rsidRPr="0021142C">
        <w:rPr>
          <w:lang w:val="en-US"/>
        </w:rPr>
        <w:t>behavior</w:t>
      </w:r>
      <w:r w:rsidRPr="0021142C">
        <w:rPr>
          <w:lang w:val="en-US"/>
        </w:rPr>
        <w:t xml:space="preserve">, there is an additional term to be considered, namely the psychological value </w:t>
      </w:r>
      <w:r w:rsidRPr="0021142C">
        <w:rPr>
          <w:position w:val="-10"/>
          <w:lang w:val="en-US"/>
        </w:rPr>
        <w:object w:dxaOrig="499" w:dyaOrig="320" w14:anchorId="2E0E0019">
          <v:shape id="_x0000_i1166" type="#_x0000_t75" style="width:24.75pt;height:15.75pt" o:ole="">
            <v:imagedata r:id="rId60" o:title=""/>
          </v:shape>
          <o:OLEObject Type="Embed" ProgID="Equation.3" ShapeID="_x0000_i1166" DrawAspect="Content" ObjectID="_1560919115" r:id="rId61"/>
        </w:object>
      </w:r>
      <w:r w:rsidRPr="0021142C">
        <w:rPr>
          <w:lang w:val="en-US"/>
        </w:rPr>
        <w:t>in period 1 from knowing about a negative health outcome in period 2. In a gain frame, equation (3) now becomes:</w:t>
      </w:r>
    </w:p>
    <w:p w14:paraId="7F215335" w14:textId="77777777" w:rsidR="00FD39B4" w:rsidRPr="0021142C" w:rsidRDefault="00FD39B4" w:rsidP="00BB4444">
      <w:pPr>
        <w:spacing w:line="480" w:lineRule="auto"/>
        <w:jc w:val="both"/>
        <w:rPr>
          <w:lang w:val="en-US"/>
        </w:rPr>
      </w:pPr>
      <w:r w:rsidRPr="0021142C">
        <w:rPr>
          <w:position w:val="-28"/>
          <w:lang w:val="en-US"/>
        </w:rPr>
        <w:object w:dxaOrig="6180" w:dyaOrig="680" w14:anchorId="6A269373">
          <v:shape id="_x0000_i1167" type="#_x0000_t75" style="width:308.25pt;height:33pt" o:ole="">
            <v:imagedata r:id="rId62" o:title=""/>
          </v:shape>
          <o:OLEObject Type="Embed" ProgID="Equation.3" ShapeID="_x0000_i1167" DrawAspect="Content" ObjectID="_1560919116" r:id="rId63"/>
        </w:object>
      </w:r>
      <w:r w:rsidRPr="0021142C">
        <w:rPr>
          <w:lang w:val="en-US"/>
        </w:rPr>
        <w:tab/>
      </w:r>
      <w:r w:rsidRPr="0021142C">
        <w:rPr>
          <w:lang w:val="en-US"/>
        </w:rPr>
        <w:tab/>
        <w:t>(5)</w:t>
      </w:r>
    </w:p>
    <w:p w14:paraId="3C821589" w14:textId="77777777" w:rsidR="00FD39B4" w:rsidRPr="0021142C" w:rsidRDefault="00FD39B4" w:rsidP="00BB4444">
      <w:pPr>
        <w:spacing w:line="480" w:lineRule="auto"/>
        <w:jc w:val="both"/>
        <w:rPr>
          <w:lang w:val="en-US"/>
        </w:rPr>
      </w:pPr>
      <w:proofErr w:type="gramStart"/>
      <w:r w:rsidRPr="0021142C">
        <w:rPr>
          <w:lang w:val="en-US"/>
        </w:rPr>
        <w:t>while</w:t>
      </w:r>
      <w:proofErr w:type="gramEnd"/>
      <w:r w:rsidRPr="0021142C">
        <w:rPr>
          <w:lang w:val="en-US"/>
        </w:rPr>
        <w:t xml:space="preserve"> equation (4) for a loss frame becomes:</w:t>
      </w:r>
    </w:p>
    <w:p w14:paraId="6580F738" w14:textId="77777777" w:rsidR="00FD39B4" w:rsidRPr="0021142C" w:rsidRDefault="00FD39B4" w:rsidP="00BB4444">
      <w:pPr>
        <w:spacing w:line="480" w:lineRule="auto"/>
        <w:jc w:val="both"/>
        <w:rPr>
          <w:lang w:val="en-US"/>
        </w:rPr>
      </w:pPr>
      <w:r w:rsidRPr="0021142C">
        <w:rPr>
          <w:position w:val="-30"/>
          <w:lang w:val="en-US"/>
        </w:rPr>
        <w:object w:dxaOrig="6640" w:dyaOrig="720" w14:anchorId="64F390D8">
          <v:shape id="_x0000_i1168" type="#_x0000_t75" style="width:333pt;height:36pt" o:ole="">
            <v:imagedata r:id="rId64" o:title=""/>
          </v:shape>
          <o:OLEObject Type="Embed" ProgID="Equation.3" ShapeID="_x0000_i1168" DrawAspect="Content" ObjectID="_1560919117" r:id="rId65"/>
        </w:object>
      </w:r>
      <w:r w:rsidR="006E66C8" w:rsidRPr="0021142C">
        <w:rPr>
          <w:lang w:val="en-US"/>
        </w:rPr>
        <w:t>.</w:t>
      </w:r>
      <w:r w:rsidRPr="0021142C">
        <w:rPr>
          <w:lang w:val="en-US"/>
        </w:rPr>
        <w:tab/>
      </w:r>
      <w:r w:rsidRPr="0021142C">
        <w:rPr>
          <w:lang w:val="en-US"/>
        </w:rPr>
        <w:tab/>
        <w:t>(6)</w:t>
      </w:r>
    </w:p>
    <w:p w14:paraId="1F990001" w14:textId="50E84331" w:rsidR="00FD39B4" w:rsidRPr="0021142C" w:rsidRDefault="00FD39B4" w:rsidP="00BB4444">
      <w:pPr>
        <w:spacing w:line="480" w:lineRule="auto"/>
        <w:jc w:val="both"/>
        <w:rPr>
          <w:lang w:val="en-US"/>
        </w:rPr>
      </w:pPr>
      <w:r w:rsidRPr="0021142C">
        <w:rPr>
          <w:lang w:val="en-US"/>
        </w:rPr>
        <w:t xml:space="preserve">Predictions here are generally ambiguous: while (6) could hold while (5) does not, implying that a loss frame is better in encouraging detection </w:t>
      </w:r>
      <w:r w:rsidR="006C2E2B" w:rsidRPr="0021142C">
        <w:rPr>
          <w:lang w:val="en-US"/>
        </w:rPr>
        <w:t>behavior</w:t>
      </w:r>
      <w:r w:rsidRPr="0021142C">
        <w:rPr>
          <w:lang w:val="en-US"/>
        </w:rPr>
        <w:t>, it is also entirely possible that (5) holds while (6) does not. Assume that (5) holds; equation (6) then may not hold if</w:t>
      </w:r>
      <w:r w:rsidRPr="0021142C">
        <w:rPr>
          <w:position w:val="-12"/>
          <w:lang w:val="en-US"/>
        </w:rPr>
        <w:object w:dxaOrig="1939" w:dyaOrig="360" w14:anchorId="6F08A826">
          <v:shape id="_x0000_i1169" type="#_x0000_t75" style="width:96.75pt;height:18.75pt" o:ole="">
            <v:imagedata r:id="rId66" o:title=""/>
          </v:shape>
          <o:OLEObject Type="Embed" ProgID="Equation.3" ShapeID="_x0000_i1169" DrawAspect="Content" ObjectID="_1560919118" r:id="rId67"/>
        </w:object>
      </w:r>
      <w:r w:rsidRPr="0021142C">
        <w:rPr>
          <w:lang w:val="en-US"/>
        </w:rPr>
        <w:t xml:space="preserve"> </w:t>
      </w:r>
      <w:r w:rsidR="006A4D6E" w:rsidRPr="0021142C">
        <w:rPr>
          <w:lang w:val="en-US"/>
        </w:rPr>
        <w:t>i.e.</w:t>
      </w:r>
      <w:r w:rsidRPr="0021142C">
        <w:rPr>
          <w:lang w:val="en-US"/>
        </w:rPr>
        <w:t xml:space="preserve"> depending on the degree of intertemporal discounting and on the precise shape of the value function in the loss domain relative to that in the gain domain.</w:t>
      </w:r>
    </w:p>
    <w:p w14:paraId="4BA1E5FA" w14:textId="77777777" w:rsidR="00FD39B4" w:rsidRPr="0021142C" w:rsidRDefault="00FD39B4" w:rsidP="00BB4444">
      <w:pPr>
        <w:spacing w:line="480" w:lineRule="auto"/>
        <w:jc w:val="both"/>
        <w:rPr>
          <w:lang w:val="en-US"/>
        </w:rPr>
      </w:pPr>
    </w:p>
    <w:p w14:paraId="1D0089D4" w14:textId="3282EC1A" w:rsidR="00FD39B4" w:rsidRPr="0021142C" w:rsidRDefault="00801473" w:rsidP="00BB4444">
      <w:pPr>
        <w:spacing w:line="480" w:lineRule="auto"/>
        <w:jc w:val="both"/>
        <w:rPr>
          <w:bCs/>
          <w:i/>
          <w:iCs/>
          <w:lang w:val="en-US"/>
        </w:rPr>
      </w:pPr>
      <w:r w:rsidRPr="0021142C">
        <w:rPr>
          <w:i/>
          <w:lang w:val="en-US"/>
        </w:rPr>
        <w:t>5.</w:t>
      </w:r>
      <w:r w:rsidR="00FD39B4" w:rsidRPr="0021142C">
        <w:rPr>
          <w:i/>
          <w:lang w:val="en-US"/>
        </w:rPr>
        <w:t>3</w:t>
      </w:r>
      <w:r w:rsidR="001C438A" w:rsidRPr="0021142C">
        <w:rPr>
          <w:i/>
          <w:lang w:val="en-US"/>
        </w:rPr>
        <w:t>.</w:t>
      </w:r>
      <w:r w:rsidR="00FD39B4" w:rsidRPr="0021142C">
        <w:rPr>
          <w:i/>
          <w:lang w:val="en-US"/>
        </w:rPr>
        <w:t xml:space="preserve"> Test 3: considering </w:t>
      </w:r>
      <w:r w:rsidR="00FD39B4" w:rsidRPr="0021142C">
        <w:rPr>
          <w:bCs/>
          <w:i/>
          <w:iCs/>
          <w:lang w:val="en-US"/>
        </w:rPr>
        <w:t>empirical evidence on health message framing</w:t>
      </w:r>
    </w:p>
    <w:p w14:paraId="790635A5" w14:textId="3C8257E4" w:rsidR="00FD39B4" w:rsidRPr="0021142C" w:rsidRDefault="00FD39B4" w:rsidP="00BB4444">
      <w:pPr>
        <w:spacing w:line="480" w:lineRule="auto"/>
        <w:jc w:val="both"/>
        <w:rPr>
          <w:color w:val="131413"/>
          <w:lang w:val="en-US"/>
        </w:rPr>
      </w:pPr>
      <w:r w:rsidRPr="0021142C">
        <w:rPr>
          <w:lang w:val="en-US"/>
        </w:rPr>
        <w:t xml:space="preserve">We now move on to Test 3: how </w:t>
      </w:r>
      <w:r w:rsidR="00654D97" w:rsidRPr="0021142C">
        <w:rPr>
          <w:lang w:val="en-US"/>
        </w:rPr>
        <w:t xml:space="preserve">specific </w:t>
      </w:r>
      <w:r w:rsidRPr="0021142C">
        <w:rPr>
          <w:lang w:val="en-US"/>
        </w:rPr>
        <w:t>predictions of prospect theory fit with evidence on health message framing. Virtually all of this work has been carried out in a randomized experimental study design, as opposed to an observational one. A major difference among existing studies is the outcome variables, which comprise attitudes, intentions</w:t>
      </w:r>
      <w:r w:rsidR="001F1B96" w:rsidRPr="0021142C">
        <w:rPr>
          <w:rStyle w:val="FootnoteReference"/>
          <w:lang w:val="en-US"/>
        </w:rPr>
        <w:footnoteReference w:id="7"/>
      </w:r>
      <w:r w:rsidRPr="0021142C">
        <w:rPr>
          <w:lang w:val="en-US"/>
        </w:rPr>
        <w:t xml:space="preserve"> or actual </w:t>
      </w:r>
      <w:r w:rsidR="006C2E2B" w:rsidRPr="0021142C">
        <w:rPr>
          <w:lang w:val="en-US"/>
        </w:rPr>
        <w:t>behavior</w:t>
      </w:r>
      <w:r w:rsidRPr="0021142C">
        <w:rPr>
          <w:lang w:val="en-US"/>
        </w:rPr>
        <w:t xml:space="preserve">. </w:t>
      </w:r>
      <w:r w:rsidR="00654D97" w:rsidRPr="0021142C">
        <w:rPr>
          <w:lang w:val="en-US"/>
        </w:rPr>
        <w:t>We focus on</w:t>
      </w:r>
      <w:r w:rsidRPr="0021142C">
        <w:rPr>
          <w:lang w:val="en-US"/>
        </w:rPr>
        <w:t xml:space="preserve"> </w:t>
      </w:r>
      <w:r w:rsidR="006C2E2B" w:rsidRPr="0021142C">
        <w:rPr>
          <w:lang w:val="en-US"/>
        </w:rPr>
        <w:t>behavior</w:t>
      </w:r>
      <w:r w:rsidR="00654D97" w:rsidRPr="0021142C">
        <w:rPr>
          <w:lang w:val="en-US"/>
        </w:rPr>
        <w:t>, as</w:t>
      </w:r>
      <w:r w:rsidR="006C2E2B" w:rsidRPr="0021142C">
        <w:rPr>
          <w:lang w:val="en-US"/>
        </w:rPr>
        <w:t xml:space="preserve"> </w:t>
      </w:r>
      <w:r w:rsidR="00A6073F" w:rsidRPr="0021142C">
        <w:rPr>
          <w:lang w:val="en-US"/>
        </w:rPr>
        <w:t xml:space="preserve">this </w:t>
      </w:r>
      <w:r w:rsidRPr="0021142C">
        <w:rPr>
          <w:lang w:val="en-US"/>
        </w:rPr>
        <w:t>is what</w:t>
      </w:r>
      <w:r w:rsidR="00654D97" w:rsidRPr="0021142C">
        <w:rPr>
          <w:lang w:val="en-US"/>
        </w:rPr>
        <w:t xml:space="preserve"> </w:t>
      </w:r>
      <w:r w:rsidRPr="0021142C">
        <w:rPr>
          <w:lang w:val="en-US"/>
        </w:rPr>
        <w:t xml:space="preserve">prospect theory </w:t>
      </w:r>
      <w:r w:rsidR="00654D97" w:rsidRPr="0021142C">
        <w:rPr>
          <w:lang w:val="en-US"/>
        </w:rPr>
        <w:t>predictions are</w:t>
      </w:r>
      <w:r w:rsidRPr="0021142C">
        <w:rPr>
          <w:lang w:val="en-US"/>
        </w:rPr>
        <w:t xml:space="preserve"> about.</w:t>
      </w:r>
      <w:r w:rsidRPr="0021142C">
        <w:rPr>
          <w:color w:val="131413"/>
          <w:lang w:val="en-US"/>
        </w:rPr>
        <w:t xml:space="preserve"> </w:t>
      </w:r>
      <w:r w:rsidR="001A4F6D" w:rsidRPr="0021142C">
        <w:rPr>
          <w:color w:val="131413"/>
          <w:lang w:val="en-US"/>
        </w:rPr>
        <w:t>Table</w:t>
      </w:r>
      <w:r w:rsidRPr="0021142C">
        <w:rPr>
          <w:color w:val="131413"/>
          <w:lang w:val="en-US"/>
        </w:rPr>
        <w:t xml:space="preserve"> </w:t>
      </w:r>
      <w:r w:rsidR="00901AFB">
        <w:rPr>
          <w:color w:val="131413"/>
          <w:lang w:val="en-US"/>
        </w:rPr>
        <w:t>A</w:t>
      </w:r>
      <w:r w:rsidRPr="0021142C">
        <w:rPr>
          <w:color w:val="131413"/>
          <w:lang w:val="en-US"/>
        </w:rPr>
        <w:t>3a</w:t>
      </w:r>
      <w:r w:rsidR="00901AFB">
        <w:rPr>
          <w:color w:val="131413"/>
          <w:lang w:val="en-US"/>
        </w:rPr>
        <w:t xml:space="preserve"> in the </w:t>
      </w:r>
      <w:r w:rsidR="00ED0432">
        <w:rPr>
          <w:lang w:val="en-US"/>
        </w:rPr>
        <w:t>Online Appendix</w:t>
      </w:r>
      <w:r w:rsidRPr="0021142C">
        <w:rPr>
          <w:color w:val="131413"/>
          <w:lang w:val="en-US"/>
        </w:rPr>
        <w:t xml:space="preserve"> summarizes a non-exhaustive list of primary studies on prevention </w:t>
      </w:r>
      <w:r w:rsidR="006C2E2B" w:rsidRPr="0021142C">
        <w:rPr>
          <w:lang w:val="en-US"/>
        </w:rPr>
        <w:t>behavior</w:t>
      </w:r>
      <w:r w:rsidRPr="0021142C">
        <w:rPr>
          <w:color w:val="131413"/>
          <w:lang w:val="en-US"/>
        </w:rPr>
        <w:t>, most of which focus on oral health and physical activity promotion</w:t>
      </w:r>
      <w:r w:rsidR="00266B7D" w:rsidRPr="0021142C">
        <w:rPr>
          <w:color w:val="131413"/>
          <w:lang w:val="en-US"/>
        </w:rPr>
        <w:t>;</w:t>
      </w:r>
      <w:r w:rsidR="001A4F6D" w:rsidRPr="0021142C">
        <w:rPr>
          <w:color w:val="131413"/>
          <w:lang w:val="en-US"/>
        </w:rPr>
        <w:t xml:space="preserve"> </w:t>
      </w:r>
      <w:r w:rsidR="00901AFB">
        <w:rPr>
          <w:color w:val="131413"/>
          <w:lang w:val="en-US"/>
        </w:rPr>
        <w:t xml:space="preserve">and </w:t>
      </w:r>
      <w:r w:rsidR="001A4F6D" w:rsidRPr="0021142C">
        <w:rPr>
          <w:color w:val="131413"/>
          <w:lang w:val="en-US"/>
        </w:rPr>
        <w:t>Table</w:t>
      </w:r>
      <w:r w:rsidRPr="0021142C">
        <w:rPr>
          <w:color w:val="131413"/>
          <w:lang w:val="en-US"/>
        </w:rPr>
        <w:t xml:space="preserve"> </w:t>
      </w:r>
      <w:r w:rsidR="00901AFB">
        <w:rPr>
          <w:color w:val="131413"/>
          <w:lang w:val="en-US"/>
        </w:rPr>
        <w:t>A</w:t>
      </w:r>
      <w:r w:rsidRPr="0021142C">
        <w:rPr>
          <w:color w:val="131413"/>
          <w:lang w:val="en-US"/>
        </w:rPr>
        <w:t>3b</w:t>
      </w:r>
      <w:r w:rsidR="00901AFB">
        <w:rPr>
          <w:color w:val="131413"/>
          <w:lang w:val="en-US"/>
        </w:rPr>
        <w:t xml:space="preserve"> in the </w:t>
      </w:r>
      <w:r w:rsidR="00ED0432">
        <w:rPr>
          <w:lang w:val="en-US"/>
        </w:rPr>
        <w:t>Online Appendix</w:t>
      </w:r>
      <w:r w:rsidRPr="0021142C">
        <w:rPr>
          <w:color w:val="131413"/>
          <w:lang w:val="en-US"/>
        </w:rPr>
        <w:t xml:space="preserve"> assembles studies on detection </w:t>
      </w:r>
      <w:r w:rsidR="006C2E2B" w:rsidRPr="0021142C">
        <w:rPr>
          <w:lang w:val="en-US"/>
        </w:rPr>
        <w:t>behavior</w:t>
      </w:r>
      <w:r w:rsidRPr="0021142C">
        <w:rPr>
          <w:color w:val="131413"/>
          <w:lang w:val="en-US"/>
        </w:rPr>
        <w:t xml:space="preserve">, of which a majority is on breast cancer screening. All of the studies in </w:t>
      </w:r>
      <w:r w:rsidR="00266B7D" w:rsidRPr="0021142C">
        <w:rPr>
          <w:color w:val="131413"/>
          <w:lang w:val="en-US"/>
        </w:rPr>
        <w:t>these tables</w:t>
      </w:r>
      <w:r w:rsidRPr="0021142C">
        <w:rPr>
          <w:color w:val="131413"/>
          <w:lang w:val="en-US"/>
        </w:rPr>
        <w:t xml:space="preserve"> use </w:t>
      </w:r>
      <w:r w:rsidR="00E8610D" w:rsidRPr="0021142C">
        <w:rPr>
          <w:color w:val="131413"/>
          <w:lang w:val="en-US"/>
        </w:rPr>
        <w:t>behavioral</w:t>
      </w:r>
      <w:r w:rsidRPr="0021142C">
        <w:rPr>
          <w:color w:val="131413"/>
          <w:lang w:val="en-US"/>
        </w:rPr>
        <w:t xml:space="preserve"> measures as their relevant outcomes.</w:t>
      </w:r>
    </w:p>
    <w:p w14:paraId="7E44F200" w14:textId="77777777" w:rsidR="00FD39B4" w:rsidRPr="0021142C" w:rsidRDefault="00FD39B4" w:rsidP="00BB4444">
      <w:pPr>
        <w:spacing w:line="480" w:lineRule="auto"/>
        <w:jc w:val="both"/>
        <w:rPr>
          <w:color w:val="131413"/>
          <w:lang w:val="en-US"/>
        </w:rPr>
      </w:pPr>
    </w:p>
    <w:p w14:paraId="3604DBF8" w14:textId="703D4A26" w:rsidR="00FD39B4" w:rsidRPr="0021142C" w:rsidRDefault="00FD39B4" w:rsidP="00BB4444">
      <w:pPr>
        <w:spacing w:line="480" w:lineRule="auto"/>
        <w:jc w:val="both"/>
        <w:rPr>
          <w:color w:val="131413"/>
          <w:lang w:val="en-US"/>
        </w:rPr>
      </w:pPr>
      <w:r w:rsidRPr="0021142C">
        <w:rPr>
          <w:i/>
          <w:iCs/>
          <w:color w:val="131413"/>
          <w:lang w:val="en-US"/>
        </w:rPr>
        <w:t>Prevention be</w:t>
      </w:r>
      <w:r w:rsidR="00C25843" w:rsidRPr="0021142C">
        <w:rPr>
          <w:i/>
          <w:iCs/>
          <w:color w:val="131413"/>
          <w:lang w:val="en-US"/>
        </w:rPr>
        <w:t>havior</w:t>
      </w:r>
      <w:r w:rsidRPr="0021142C">
        <w:rPr>
          <w:i/>
          <w:iCs/>
          <w:color w:val="131413"/>
          <w:lang w:val="en-US"/>
        </w:rPr>
        <w:t>s</w:t>
      </w:r>
      <w:r w:rsidRPr="0021142C">
        <w:rPr>
          <w:color w:val="131413"/>
          <w:lang w:val="en-US"/>
        </w:rPr>
        <w:t>.</w:t>
      </w:r>
      <w:r w:rsidRPr="0021142C">
        <w:rPr>
          <w:i/>
          <w:iCs/>
          <w:color w:val="131413"/>
          <w:lang w:val="en-US"/>
        </w:rPr>
        <w:t xml:space="preserve"> </w:t>
      </w:r>
      <w:r w:rsidRPr="0021142C">
        <w:rPr>
          <w:color w:val="131413"/>
          <w:lang w:val="en-US"/>
        </w:rPr>
        <w:t xml:space="preserve">The studies covering prevention </w:t>
      </w:r>
      <w:r w:rsidR="006C2E2B" w:rsidRPr="0021142C">
        <w:rPr>
          <w:lang w:val="en-US"/>
        </w:rPr>
        <w:t>behaviors</w:t>
      </w:r>
      <w:r w:rsidRPr="0021142C">
        <w:rPr>
          <w:color w:val="131413"/>
          <w:lang w:val="en-US"/>
        </w:rPr>
        <w:t xml:space="preserve"> include a majority of studies on prevention of skin cancer, oral health problems and on the promotion of physical activity, while most of the detection be</w:t>
      </w:r>
      <w:r w:rsidR="00C25843" w:rsidRPr="0021142C">
        <w:rPr>
          <w:color w:val="131413"/>
          <w:lang w:val="en-US"/>
        </w:rPr>
        <w:t>havior</w:t>
      </w:r>
      <w:r w:rsidRPr="0021142C">
        <w:rPr>
          <w:color w:val="131413"/>
          <w:lang w:val="en-US"/>
        </w:rPr>
        <w:t xml:space="preserve"> studies relate to breast cancer screening, followed by skin cancer screening. We list a few studies where </w:t>
      </w:r>
      <w:r w:rsidRPr="0021142C">
        <w:rPr>
          <w:i/>
          <w:iCs/>
          <w:color w:val="131413"/>
          <w:lang w:val="en-US"/>
        </w:rPr>
        <w:t xml:space="preserve">p </w:t>
      </w:r>
      <w:r w:rsidRPr="0021142C">
        <w:rPr>
          <w:color w:val="131413"/>
          <w:lang w:val="en-US"/>
        </w:rPr>
        <w:t xml:space="preserve">and as a result </w:t>
      </w:r>
      <w:proofErr w:type="gramStart"/>
      <w:r w:rsidRPr="0021142C">
        <w:rPr>
          <w:i/>
          <w:iCs/>
          <w:color w:val="131413"/>
          <w:lang w:val="en-US"/>
        </w:rPr>
        <w:t>v</w:t>
      </w:r>
      <w:r w:rsidRPr="0021142C">
        <w:rPr>
          <w:color w:val="131413"/>
          <w:lang w:val="en-US"/>
        </w:rPr>
        <w:t>(</w:t>
      </w:r>
      <w:proofErr w:type="gramEnd"/>
      <w:r w:rsidRPr="0021142C">
        <w:rPr>
          <w:i/>
          <w:iCs/>
          <w:color w:val="131413"/>
          <w:lang w:val="en-US"/>
        </w:rPr>
        <w:t>p</w:t>
      </w:r>
      <w:r w:rsidRPr="0021142C">
        <w:rPr>
          <w:color w:val="131413"/>
          <w:lang w:val="en-US"/>
        </w:rPr>
        <w:t>)</w:t>
      </w:r>
      <w:r w:rsidRPr="0021142C">
        <w:rPr>
          <w:i/>
          <w:iCs/>
          <w:color w:val="131413"/>
          <w:lang w:val="en-US"/>
        </w:rPr>
        <w:t xml:space="preserve"> </w:t>
      </w:r>
      <w:r w:rsidRPr="0021142C">
        <w:rPr>
          <w:color w:val="131413"/>
          <w:lang w:val="en-US"/>
        </w:rPr>
        <w:t xml:space="preserve">may be perceived as high: Knapp (1991) and Mann et </w:t>
      </w:r>
      <w:r w:rsidR="00792C77" w:rsidRPr="0021142C">
        <w:rPr>
          <w:color w:val="131413"/>
          <w:lang w:val="en-US"/>
        </w:rPr>
        <w:t>al</w:t>
      </w:r>
      <w:r w:rsidR="00710194" w:rsidRPr="0021142C">
        <w:rPr>
          <w:color w:val="131413"/>
          <w:lang w:val="en-US"/>
        </w:rPr>
        <w:t>.</w:t>
      </w:r>
      <w:r w:rsidRPr="0021142C">
        <w:rPr>
          <w:color w:val="131413"/>
          <w:lang w:val="en-US"/>
        </w:rPr>
        <w:t xml:space="preserve"> (2004) are about oral health, and cavities may be seen as likely if oral health measures are not undertaken; in Richardson et </w:t>
      </w:r>
      <w:r w:rsidR="00792C77" w:rsidRPr="0021142C">
        <w:rPr>
          <w:color w:val="131413"/>
          <w:lang w:val="en-US"/>
        </w:rPr>
        <w:t>al</w:t>
      </w:r>
      <w:r w:rsidR="00710194" w:rsidRPr="0021142C">
        <w:rPr>
          <w:color w:val="131413"/>
          <w:lang w:val="en-US"/>
        </w:rPr>
        <w:t>.</w:t>
      </w:r>
      <w:r w:rsidRPr="0021142C">
        <w:rPr>
          <w:color w:val="131413"/>
          <w:lang w:val="en-US"/>
        </w:rPr>
        <w:t xml:space="preserve"> (2004), the probability of HIV contagion may be perceived as high by the HIV-positive subject sample that was used; and </w:t>
      </w:r>
      <w:r w:rsidR="0099140A" w:rsidRPr="0021142C">
        <w:rPr>
          <w:color w:val="131413"/>
          <w:lang w:val="en-US"/>
        </w:rPr>
        <w:t xml:space="preserve">in </w:t>
      </w:r>
      <w:proofErr w:type="spellStart"/>
      <w:r w:rsidRPr="0021142C">
        <w:rPr>
          <w:color w:val="131413"/>
          <w:lang w:val="en-US"/>
        </w:rPr>
        <w:t>Trupp</w:t>
      </w:r>
      <w:proofErr w:type="spellEnd"/>
      <w:r w:rsidRPr="0021142C">
        <w:rPr>
          <w:color w:val="131413"/>
          <w:lang w:val="en-US"/>
        </w:rPr>
        <w:t xml:space="preserve"> et </w:t>
      </w:r>
      <w:r w:rsidR="00792C77" w:rsidRPr="0021142C">
        <w:rPr>
          <w:color w:val="131413"/>
          <w:lang w:val="en-US"/>
        </w:rPr>
        <w:t>al</w:t>
      </w:r>
      <w:r w:rsidR="00710194" w:rsidRPr="0021142C">
        <w:rPr>
          <w:color w:val="131413"/>
          <w:lang w:val="en-US"/>
        </w:rPr>
        <w:t>.</w:t>
      </w:r>
      <w:r w:rsidRPr="0021142C">
        <w:rPr>
          <w:color w:val="131413"/>
          <w:lang w:val="en-US"/>
        </w:rPr>
        <w:t xml:space="preserve"> (2011), again with a sample of patients. Other than Mann et </w:t>
      </w:r>
      <w:r w:rsidR="00792C77" w:rsidRPr="0021142C">
        <w:rPr>
          <w:color w:val="131413"/>
          <w:lang w:val="en-US"/>
        </w:rPr>
        <w:t>al</w:t>
      </w:r>
      <w:r w:rsidR="00710194" w:rsidRPr="0021142C">
        <w:rPr>
          <w:color w:val="131413"/>
          <w:lang w:val="en-US"/>
        </w:rPr>
        <w:t>.</w:t>
      </w:r>
      <w:r w:rsidRPr="0021142C">
        <w:rPr>
          <w:color w:val="131413"/>
          <w:lang w:val="en-US"/>
        </w:rPr>
        <w:t xml:space="preserve"> (2004), where there is no aggregate effect of framing, in the other three cases a loss frame was superior in inducing prevention </w:t>
      </w:r>
      <w:r w:rsidR="006C2E2B" w:rsidRPr="0021142C">
        <w:rPr>
          <w:lang w:val="en-US"/>
        </w:rPr>
        <w:t>behavio</w:t>
      </w:r>
      <w:r w:rsidR="00C25843" w:rsidRPr="0021142C">
        <w:rPr>
          <w:color w:val="131413"/>
          <w:lang w:val="en-US"/>
        </w:rPr>
        <w:t>r</w:t>
      </w:r>
      <w:r w:rsidRPr="0021142C">
        <w:rPr>
          <w:color w:val="131413"/>
          <w:lang w:val="en-US"/>
        </w:rPr>
        <w:t xml:space="preserve"> (Knapp 1991; </w:t>
      </w:r>
      <w:proofErr w:type="spellStart"/>
      <w:r w:rsidRPr="0021142C">
        <w:rPr>
          <w:color w:val="131413"/>
          <w:lang w:val="en-US"/>
        </w:rPr>
        <w:t>Trupp</w:t>
      </w:r>
      <w:proofErr w:type="spellEnd"/>
      <w:r w:rsidRPr="0021142C">
        <w:rPr>
          <w:color w:val="131413"/>
          <w:lang w:val="en-US"/>
        </w:rPr>
        <w:t xml:space="preserve"> et </w:t>
      </w:r>
      <w:r w:rsidR="00792C77" w:rsidRPr="0021142C">
        <w:rPr>
          <w:color w:val="131413"/>
          <w:lang w:val="en-US"/>
        </w:rPr>
        <w:t>al</w:t>
      </w:r>
      <w:r w:rsidR="00710194" w:rsidRPr="0021142C">
        <w:rPr>
          <w:color w:val="131413"/>
          <w:lang w:val="en-US"/>
        </w:rPr>
        <w:t>.</w:t>
      </w:r>
      <w:r w:rsidRPr="0021142C">
        <w:rPr>
          <w:color w:val="131413"/>
          <w:lang w:val="en-US"/>
        </w:rPr>
        <w:t xml:space="preserve"> 2011); these results are consistent with the prospect theory once Assumption 1 is relaxed (see section 5.2). </w:t>
      </w:r>
      <w:r w:rsidR="00357964" w:rsidRPr="0021142C">
        <w:rPr>
          <w:color w:val="131413"/>
          <w:lang w:val="en-US"/>
        </w:rPr>
        <w:t xml:space="preserve">Gallagher et al. (2011) </w:t>
      </w:r>
      <w:r w:rsidRPr="0021142C">
        <w:rPr>
          <w:color w:val="131413"/>
          <w:lang w:val="en-US"/>
        </w:rPr>
        <w:t xml:space="preserve">explicitly look at the perceived probability </w:t>
      </w:r>
      <w:proofErr w:type="gramStart"/>
      <w:r w:rsidRPr="0021142C">
        <w:rPr>
          <w:i/>
          <w:iCs/>
          <w:color w:val="131413"/>
          <w:lang w:val="en-US"/>
        </w:rPr>
        <w:t>v</w:t>
      </w:r>
      <w:r w:rsidRPr="0021142C">
        <w:rPr>
          <w:color w:val="131413"/>
          <w:lang w:val="en-US"/>
        </w:rPr>
        <w:t>(</w:t>
      </w:r>
      <w:proofErr w:type="gramEnd"/>
      <w:r w:rsidRPr="0021142C">
        <w:rPr>
          <w:i/>
          <w:iCs/>
          <w:color w:val="131413"/>
          <w:lang w:val="en-US"/>
        </w:rPr>
        <w:t>p</w:t>
      </w:r>
      <w:r w:rsidRPr="0021142C">
        <w:rPr>
          <w:color w:val="131413"/>
          <w:lang w:val="en-US"/>
        </w:rPr>
        <w:t xml:space="preserve">) </w:t>
      </w:r>
      <w:r w:rsidR="00357964" w:rsidRPr="0021142C">
        <w:rPr>
          <w:color w:val="131413"/>
          <w:lang w:val="en-US"/>
        </w:rPr>
        <w:t>and</w:t>
      </w:r>
      <w:r w:rsidRPr="0021142C">
        <w:rPr>
          <w:color w:val="131413"/>
          <w:lang w:val="en-US"/>
        </w:rPr>
        <w:t xml:space="preserve"> find the superiority of a loss frame when the perceived probability of breast cancer is average or high.</w:t>
      </w:r>
    </w:p>
    <w:p w14:paraId="73777735" w14:textId="77777777" w:rsidR="00FD39B4" w:rsidRPr="0021142C" w:rsidRDefault="00FD39B4" w:rsidP="00BB4444">
      <w:pPr>
        <w:spacing w:line="480" w:lineRule="auto"/>
        <w:jc w:val="both"/>
        <w:rPr>
          <w:color w:val="131413"/>
          <w:lang w:val="en-US"/>
        </w:rPr>
      </w:pPr>
    </w:p>
    <w:p w14:paraId="49251C59" w14:textId="5DF71849" w:rsidR="00FD39B4" w:rsidRPr="0021142C" w:rsidRDefault="00FD39B4" w:rsidP="00BB4444">
      <w:pPr>
        <w:spacing w:line="480" w:lineRule="auto"/>
        <w:jc w:val="both"/>
        <w:rPr>
          <w:color w:val="131413"/>
          <w:lang w:val="en-US"/>
        </w:rPr>
      </w:pPr>
      <w:r w:rsidRPr="0021142C">
        <w:rPr>
          <w:color w:val="131413"/>
          <w:lang w:val="en-US"/>
        </w:rPr>
        <w:t xml:space="preserve">Where Assumption 1 is more likely to be satisfied, the picture is different. </w:t>
      </w:r>
      <w:proofErr w:type="spellStart"/>
      <w:r w:rsidR="00654D97" w:rsidRPr="0021142C">
        <w:rPr>
          <w:color w:val="131413"/>
          <w:lang w:val="en-US"/>
        </w:rPr>
        <w:t>Detweiler</w:t>
      </w:r>
      <w:proofErr w:type="spellEnd"/>
      <w:r w:rsidR="00654D97" w:rsidRPr="0021142C">
        <w:rPr>
          <w:color w:val="131413"/>
          <w:lang w:val="en-US"/>
        </w:rPr>
        <w:t xml:space="preserve"> et al. (1999) is a</w:t>
      </w:r>
      <w:r w:rsidRPr="0021142C">
        <w:rPr>
          <w:color w:val="131413"/>
          <w:lang w:val="en-US"/>
        </w:rPr>
        <w:t xml:space="preserve">n influential early study exploring the impact of message framing on skin cancer prevention was. </w:t>
      </w:r>
      <w:r w:rsidR="00654D97" w:rsidRPr="0021142C">
        <w:rPr>
          <w:color w:val="131413"/>
          <w:lang w:val="en-US"/>
        </w:rPr>
        <w:t>They</w:t>
      </w:r>
      <w:r w:rsidRPr="0021142C">
        <w:rPr>
          <w:color w:val="131413"/>
          <w:lang w:val="en-US"/>
        </w:rPr>
        <w:t xml:space="preserve"> recruited a demographically and economically fairly diverse sample of 217 adult beach-goers in southern New England. Participants were given a brochure containing the framing manipulation as well as general information about skin cancer. A strong gain-framed advantage was found for the </w:t>
      </w:r>
      <w:r w:rsidR="00E8610D" w:rsidRPr="0021142C">
        <w:rPr>
          <w:color w:val="131413"/>
          <w:lang w:val="en-US"/>
        </w:rPr>
        <w:t>behavioral</w:t>
      </w:r>
      <w:r w:rsidRPr="0021142C">
        <w:rPr>
          <w:color w:val="131413"/>
          <w:lang w:val="en-US"/>
        </w:rPr>
        <w:t xml:space="preserve"> measure employed (requests for free sunscreen with protection factor 15), though the lack of follow up allowed no assessment of any sustained be</w:t>
      </w:r>
      <w:r w:rsidR="00C25843" w:rsidRPr="0021142C">
        <w:rPr>
          <w:color w:val="131413"/>
          <w:lang w:val="en-US"/>
        </w:rPr>
        <w:t>havior</w:t>
      </w:r>
      <w:r w:rsidRPr="0021142C">
        <w:rPr>
          <w:color w:val="131413"/>
          <w:lang w:val="en-US"/>
        </w:rPr>
        <w:t xml:space="preserve"> change effect. Rothman et </w:t>
      </w:r>
      <w:r w:rsidR="00792C77" w:rsidRPr="0021142C">
        <w:rPr>
          <w:color w:val="131413"/>
          <w:lang w:val="en-US"/>
        </w:rPr>
        <w:t>al</w:t>
      </w:r>
      <w:r w:rsidR="00710194" w:rsidRPr="0021142C">
        <w:rPr>
          <w:color w:val="131413"/>
          <w:lang w:val="en-US"/>
        </w:rPr>
        <w:t>.</w:t>
      </w:r>
      <w:r w:rsidRPr="0021142C">
        <w:rPr>
          <w:color w:val="131413"/>
          <w:lang w:val="en-US"/>
        </w:rPr>
        <w:t xml:space="preserve"> (1993) also found the superiority of a gain frame with a </w:t>
      </w:r>
      <w:r w:rsidR="00E8610D" w:rsidRPr="0021142C">
        <w:rPr>
          <w:color w:val="131413"/>
          <w:lang w:val="en-US"/>
        </w:rPr>
        <w:t>behavioral</w:t>
      </w:r>
      <w:r w:rsidRPr="0021142C">
        <w:rPr>
          <w:color w:val="131413"/>
          <w:lang w:val="en-US"/>
        </w:rPr>
        <w:t xml:space="preserve"> measure in relation to skin cancer prevention. In three out of six studies on physical activity or healthy diet reported in </w:t>
      </w:r>
      <w:r w:rsidR="001A4F6D" w:rsidRPr="0021142C">
        <w:rPr>
          <w:color w:val="131413"/>
          <w:lang w:val="en-US"/>
        </w:rPr>
        <w:t>Table</w:t>
      </w:r>
      <w:r w:rsidRPr="0021142C">
        <w:rPr>
          <w:color w:val="131413"/>
          <w:lang w:val="en-US"/>
        </w:rPr>
        <w:t xml:space="preserve"> </w:t>
      </w:r>
      <w:r w:rsidR="00266B7D" w:rsidRPr="0021142C">
        <w:rPr>
          <w:color w:val="131413"/>
          <w:lang w:val="en-US"/>
        </w:rPr>
        <w:t>A</w:t>
      </w:r>
      <w:r w:rsidRPr="0021142C">
        <w:rPr>
          <w:color w:val="131413"/>
          <w:lang w:val="en-US"/>
        </w:rPr>
        <w:t>3a</w:t>
      </w:r>
      <w:r w:rsidR="00901AFB">
        <w:rPr>
          <w:color w:val="131413"/>
          <w:lang w:val="en-US"/>
        </w:rPr>
        <w:t xml:space="preserve"> in the </w:t>
      </w:r>
      <w:r w:rsidR="00ED0432">
        <w:rPr>
          <w:lang w:val="en-US"/>
        </w:rPr>
        <w:t>Online Appendix</w:t>
      </w:r>
      <w:r w:rsidRPr="0021142C">
        <w:rPr>
          <w:color w:val="131413"/>
          <w:lang w:val="en-US"/>
        </w:rPr>
        <w:t>, a gain frame was superior at least to some degree</w:t>
      </w:r>
      <w:r w:rsidR="00922C2E" w:rsidRPr="0021142C">
        <w:rPr>
          <w:color w:val="131413"/>
          <w:lang w:val="en-US"/>
        </w:rPr>
        <w:t xml:space="preserve"> in three studies</w:t>
      </w:r>
      <w:r w:rsidRPr="0021142C">
        <w:rPr>
          <w:color w:val="131413"/>
          <w:lang w:val="en-US"/>
        </w:rPr>
        <w:t>, with no significant effect of the frame in the other three (</w:t>
      </w:r>
      <w:r w:rsidR="0045068F" w:rsidRPr="0021142C">
        <w:rPr>
          <w:color w:val="131413"/>
          <w:lang w:val="en-US"/>
        </w:rPr>
        <w:t>more detail</w:t>
      </w:r>
      <w:r w:rsidR="00266B7D" w:rsidRPr="0021142C">
        <w:rPr>
          <w:color w:val="131413"/>
          <w:lang w:val="en-US"/>
        </w:rPr>
        <w:t xml:space="preserve"> can be found in the table</w:t>
      </w:r>
      <w:r w:rsidRPr="0021142C">
        <w:rPr>
          <w:color w:val="131413"/>
          <w:lang w:val="en-US"/>
        </w:rPr>
        <w:t xml:space="preserve">). </w:t>
      </w:r>
    </w:p>
    <w:p w14:paraId="2FBD51FB" w14:textId="77777777" w:rsidR="00FD39B4" w:rsidRPr="0021142C" w:rsidRDefault="00FD39B4" w:rsidP="00BB4444">
      <w:pPr>
        <w:spacing w:line="480" w:lineRule="auto"/>
        <w:jc w:val="both"/>
        <w:rPr>
          <w:color w:val="131413"/>
          <w:lang w:val="en-US"/>
        </w:rPr>
      </w:pPr>
    </w:p>
    <w:p w14:paraId="7C9BCCE1" w14:textId="32E4EF40" w:rsidR="00FD39B4" w:rsidRPr="0021142C" w:rsidRDefault="00FD39B4" w:rsidP="00BB4444">
      <w:pPr>
        <w:spacing w:line="480" w:lineRule="auto"/>
        <w:jc w:val="both"/>
        <w:rPr>
          <w:color w:val="131413"/>
          <w:lang w:val="en-US"/>
        </w:rPr>
      </w:pPr>
      <w:r w:rsidRPr="0021142C">
        <w:rPr>
          <w:i/>
          <w:iCs/>
          <w:color w:val="131413"/>
          <w:lang w:val="en-US"/>
        </w:rPr>
        <w:t>Detection be</w:t>
      </w:r>
      <w:r w:rsidR="00C25843" w:rsidRPr="0021142C">
        <w:rPr>
          <w:i/>
          <w:iCs/>
          <w:color w:val="131413"/>
          <w:lang w:val="en-US"/>
        </w:rPr>
        <w:t>havior</w:t>
      </w:r>
      <w:r w:rsidRPr="0021142C">
        <w:rPr>
          <w:i/>
          <w:iCs/>
          <w:color w:val="131413"/>
          <w:lang w:val="en-US"/>
        </w:rPr>
        <w:t>s</w:t>
      </w:r>
      <w:r w:rsidRPr="0021142C">
        <w:rPr>
          <w:color w:val="131413"/>
          <w:lang w:val="en-US"/>
        </w:rPr>
        <w:t>. Breast cancer screening has thus far been the most frequently examined detection be</w:t>
      </w:r>
      <w:r w:rsidR="00C25843" w:rsidRPr="0021142C">
        <w:rPr>
          <w:color w:val="131413"/>
          <w:lang w:val="en-US"/>
        </w:rPr>
        <w:t>havior</w:t>
      </w:r>
      <w:r w:rsidRPr="0021142C">
        <w:rPr>
          <w:color w:val="131413"/>
          <w:lang w:val="en-US"/>
        </w:rPr>
        <w:t xml:space="preserve"> in this field. While </w:t>
      </w:r>
      <w:r w:rsidR="00AC7471" w:rsidRPr="0021142C">
        <w:rPr>
          <w:color w:val="131413"/>
          <w:lang w:val="en-US"/>
        </w:rPr>
        <w:t>some</w:t>
      </w:r>
      <w:r w:rsidR="00654D97" w:rsidRPr="0021142C">
        <w:rPr>
          <w:color w:val="131413"/>
          <w:lang w:val="en-US"/>
        </w:rPr>
        <w:t xml:space="preserve"> </w:t>
      </w:r>
      <w:r w:rsidRPr="0021142C">
        <w:rPr>
          <w:color w:val="131413"/>
          <w:lang w:val="en-US"/>
        </w:rPr>
        <w:t xml:space="preserve">studies </w:t>
      </w:r>
      <w:r w:rsidR="00654D97" w:rsidRPr="0021142C">
        <w:rPr>
          <w:color w:val="131413"/>
          <w:lang w:val="en-US"/>
        </w:rPr>
        <w:t>supported</w:t>
      </w:r>
      <w:r w:rsidRPr="0021142C">
        <w:rPr>
          <w:color w:val="131413"/>
          <w:lang w:val="en-US"/>
        </w:rPr>
        <w:t xml:space="preserve"> the original Rothman and </w:t>
      </w:r>
      <w:proofErr w:type="spellStart"/>
      <w:r w:rsidRPr="0021142C">
        <w:rPr>
          <w:color w:val="131413"/>
          <w:lang w:val="en-US"/>
        </w:rPr>
        <w:t>Salovey</w:t>
      </w:r>
      <w:proofErr w:type="spellEnd"/>
      <w:r w:rsidRPr="0021142C">
        <w:rPr>
          <w:color w:val="131413"/>
          <w:lang w:val="en-US"/>
        </w:rPr>
        <w:t xml:space="preserve"> (1997) prediction of loss-framed messages outperforming gain-framed ones when it comes to detection be</w:t>
      </w:r>
      <w:r w:rsidR="00C25843" w:rsidRPr="0021142C">
        <w:rPr>
          <w:color w:val="131413"/>
          <w:lang w:val="en-US"/>
        </w:rPr>
        <w:t>havior</w:t>
      </w:r>
      <w:r w:rsidRPr="0021142C">
        <w:rPr>
          <w:color w:val="131413"/>
          <w:lang w:val="en-US"/>
        </w:rPr>
        <w:t>s,</w:t>
      </w:r>
      <w:r w:rsidR="00AC7471" w:rsidRPr="0021142C">
        <w:rPr>
          <w:color w:val="131413"/>
          <w:lang w:val="en-US"/>
        </w:rPr>
        <w:t xml:space="preserve"> other </w:t>
      </w:r>
      <w:r w:rsidRPr="0021142C">
        <w:rPr>
          <w:color w:val="131413"/>
          <w:lang w:val="en-US"/>
        </w:rPr>
        <w:t xml:space="preserve">studies </w:t>
      </w:r>
      <w:r w:rsidR="008F5CEA" w:rsidRPr="0021142C">
        <w:rPr>
          <w:color w:val="131413"/>
          <w:lang w:val="en-US"/>
        </w:rPr>
        <w:t>did not</w:t>
      </w:r>
      <w:r w:rsidR="00AC7471" w:rsidRPr="0021142C">
        <w:rPr>
          <w:color w:val="131413"/>
          <w:lang w:val="en-US"/>
        </w:rPr>
        <w:t xml:space="preserve"> find significant difference</w:t>
      </w:r>
      <w:r w:rsidR="00953977" w:rsidRPr="0021142C">
        <w:rPr>
          <w:color w:val="131413"/>
          <w:lang w:val="en-US"/>
        </w:rPr>
        <w:t>;</w:t>
      </w:r>
      <w:r w:rsidRPr="0021142C">
        <w:rPr>
          <w:color w:val="131413"/>
          <w:lang w:val="en-US"/>
        </w:rPr>
        <w:t xml:space="preserve"> </w:t>
      </w:r>
      <w:r w:rsidR="00AC7471" w:rsidRPr="0021142C">
        <w:rPr>
          <w:color w:val="131413"/>
          <w:lang w:val="en-US"/>
        </w:rPr>
        <w:t>while one study in the context of smoking prevention found gain-frame message</w:t>
      </w:r>
      <w:r w:rsidR="007A2A33" w:rsidRPr="0021142C">
        <w:rPr>
          <w:color w:val="131413"/>
          <w:lang w:val="en-US"/>
        </w:rPr>
        <w:t>s</w:t>
      </w:r>
      <w:r w:rsidR="00AC7471" w:rsidRPr="0021142C">
        <w:rPr>
          <w:color w:val="131413"/>
          <w:lang w:val="en-US"/>
        </w:rPr>
        <w:t xml:space="preserve"> outperforming loss-framed one</w:t>
      </w:r>
      <w:r w:rsidR="007A2A33" w:rsidRPr="0021142C">
        <w:rPr>
          <w:color w:val="131413"/>
          <w:lang w:val="en-US"/>
        </w:rPr>
        <w:t>s</w:t>
      </w:r>
      <w:r w:rsidRPr="0021142C">
        <w:rPr>
          <w:color w:val="131413"/>
          <w:lang w:val="en-US"/>
        </w:rPr>
        <w:t xml:space="preserve"> (</w:t>
      </w:r>
      <w:r w:rsidR="00701977" w:rsidRPr="0021142C">
        <w:rPr>
          <w:color w:val="131413"/>
          <w:lang w:val="en-US"/>
        </w:rPr>
        <w:t>s</w:t>
      </w:r>
      <w:r w:rsidR="00953977" w:rsidRPr="0021142C">
        <w:rPr>
          <w:color w:val="131413"/>
          <w:lang w:val="en-US"/>
        </w:rPr>
        <w:t xml:space="preserve">ee </w:t>
      </w:r>
      <w:r w:rsidR="00266B7D" w:rsidRPr="0021142C">
        <w:rPr>
          <w:color w:val="131413"/>
          <w:lang w:val="en-US"/>
        </w:rPr>
        <w:t xml:space="preserve"> </w:t>
      </w:r>
      <w:r w:rsidR="00953977" w:rsidRPr="0021142C">
        <w:rPr>
          <w:color w:val="131413"/>
          <w:lang w:val="en-US"/>
        </w:rPr>
        <w:t xml:space="preserve">Table A3b </w:t>
      </w:r>
      <w:r w:rsidR="001811E0">
        <w:rPr>
          <w:color w:val="131413"/>
          <w:lang w:val="en-US"/>
        </w:rPr>
        <w:t xml:space="preserve">in the </w:t>
      </w:r>
      <w:r w:rsidR="00ED0432">
        <w:rPr>
          <w:lang w:val="en-US"/>
        </w:rPr>
        <w:t>Online Appendix</w:t>
      </w:r>
      <w:r w:rsidR="001811E0" w:rsidRPr="0021142C">
        <w:rPr>
          <w:color w:val="131413"/>
          <w:lang w:val="en-US"/>
        </w:rPr>
        <w:t xml:space="preserve"> </w:t>
      </w:r>
      <w:r w:rsidR="00953977" w:rsidRPr="0021142C">
        <w:rPr>
          <w:color w:val="131413"/>
          <w:lang w:val="en-US"/>
        </w:rPr>
        <w:t>for more detail</w:t>
      </w:r>
      <w:r w:rsidRPr="0021142C">
        <w:rPr>
          <w:color w:val="131413"/>
          <w:lang w:val="en-US"/>
        </w:rPr>
        <w:t xml:space="preserve">). As an example, Finney and </w:t>
      </w:r>
      <w:proofErr w:type="spellStart"/>
      <w:r w:rsidRPr="0021142C">
        <w:rPr>
          <w:color w:val="131413"/>
          <w:lang w:val="en-US"/>
        </w:rPr>
        <w:t>Iannotti</w:t>
      </w:r>
      <w:proofErr w:type="spellEnd"/>
      <w:r w:rsidRPr="0021142C">
        <w:rPr>
          <w:color w:val="131413"/>
          <w:lang w:val="en-US"/>
        </w:rPr>
        <w:t xml:space="preserve"> (2002) explored an intervention aimed at increasing women's adherence to recommendations for annual mammography screening. The intervention involved sending out one of three reminder letters (positive frame, negative frame, or standard hospital prompt) to 929 randomly selected women who were due for mammography screening and had been identified as having either a positive or negative family history of breast cancer. There was no significant effect of a gain vs. loss frame. </w:t>
      </w:r>
    </w:p>
    <w:p w14:paraId="000FD871" w14:textId="77777777" w:rsidR="00FD39B4" w:rsidRPr="0021142C" w:rsidRDefault="00FD39B4" w:rsidP="00BB4444">
      <w:pPr>
        <w:spacing w:line="480" w:lineRule="auto"/>
        <w:jc w:val="both"/>
        <w:rPr>
          <w:color w:val="131413"/>
          <w:lang w:val="en-US"/>
        </w:rPr>
      </w:pPr>
    </w:p>
    <w:p w14:paraId="7AEF0E89" w14:textId="57D0F2E9" w:rsidR="00FD39B4" w:rsidRPr="0021142C" w:rsidRDefault="00FD39B4" w:rsidP="00BB4444">
      <w:pPr>
        <w:spacing w:line="480" w:lineRule="auto"/>
        <w:jc w:val="both"/>
        <w:rPr>
          <w:color w:val="131413"/>
          <w:lang w:val="en-US"/>
        </w:rPr>
      </w:pPr>
      <w:r w:rsidRPr="0021142C">
        <w:rPr>
          <w:i/>
          <w:iCs/>
          <w:color w:val="131413"/>
          <w:lang w:val="en-US"/>
        </w:rPr>
        <w:t>Meta-analyses</w:t>
      </w:r>
      <w:r w:rsidRPr="0021142C">
        <w:rPr>
          <w:color w:val="131413"/>
          <w:lang w:val="en-US"/>
        </w:rPr>
        <w:t>. The discussion above has been selective, but, fortunately, a number of recent meta-analyses have been undertaken to examine the considerable empirical evidence base more systematically (</w:t>
      </w:r>
      <w:r w:rsidR="00B63CC4" w:rsidRPr="0021142C">
        <w:rPr>
          <w:color w:val="131413"/>
          <w:lang w:val="en-US"/>
        </w:rPr>
        <w:t xml:space="preserve">for example, </w:t>
      </w:r>
      <w:r w:rsidRPr="0021142C">
        <w:rPr>
          <w:lang w:val="en-US"/>
        </w:rPr>
        <w:t xml:space="preserve">O’Keefe and Wu 2012; and Gallagher and </w:t>
      </w:r>
      <w:proofErr w:type="spellStart"/>
      <w:r w:rsidRPr="0021142C">
        <w:rPr>
          <w:lang w:val="en-US"/>
        </w:rPr>
        <w:t>Updegraff</w:t>
      </w:r>
      <w:proofErr w:type="spellEnd"/>
      <w:r w:rsidRPr="0021142C">
        <w:rPr>
          <w:lang w:val="en-US"/>
        </w:rPr>
        <w:t xml:space="preserve"> 2012). No </w:t>
      </w:r>
      <w:r w:rsidRPr="0021142C">
        <w:rPr>
          <w:color w:val="131413"/>
          <w:lang w:val="en-US"/>
        </w:rPr>
        <w:t xml:space="preserve">relevant meta-analysis that we are aware of supports the Rothman and </w:t>
      </w:r>
      <w:proofErr w:type="spellStart"/>
      <w:r w:rsidRPr="0021142C">
        <w:rPr>
          <w:color w:val="131413"/>
          <w:lang w:val="en-US"/>
        </w:rPr>
        <w:t>Salovey</w:t>
      </w:r>
      <w:proofErr w:type="spellEnd"/>
      <w:r w:rsidRPr="0021142C">
        <w:rPr>
          <w:color w:val="131413"/>
          <w:lang w:val="en-US"/>
        </w:rPr>
        <w:t xml:space="preserve"> (1997) interpretations of prospect theory as such. The meta-analysis of interest is Gallagher and </w:t>
      </w:r>
      <w:proofErr w:type="spellStart"/>
      <w:r w:rsidRPr="0021142C">
        <w:rPr>
          <w:color w:val="131413"/>
          <w:lang w:val="en-US"/>
        </w:rPr>
        <w:t>Updegraff</w:t>
      </w:r>
      <w:proofErr w:type="spellEnd"/>
      <w:r w:rsidRPr="0021142C">
        <w:rPr>
          <w:color w:val="131413"/>
          <w:lang w:val="en-US"/>
        </w:rPr>
        <w:t xml:space="preserve"> (2012), as it is the only one that focuses exclusively on studies that measured </w:t>
      </w:r>
      <w:r w:rsidR="00E8610D" w:rsidRPr="0021142C">
        <w:rPr>
          <w:color w:val="131413"/>
          <w:lang w:val="en-US"/>
        </w:rPr>
        <w:t>behavioral</w:t>
      </w:r>
      <w:r w:rsidRPr="0021142C">
        <w:rPr>
          <w:color w:val="131413"/>
          <w:lang w:val="en-US"/>
        </w:rPr>
        <w:t xml:space="preserve"> outcomes rather than attitudes or intentions. It is consistent with what we predicted in section 5.2 based on a proper application of prospect theory: overall, gain-framed messages were more effective for prevention be</w:t>
      </w:r>
      <w:r w:rsidR="00C25843" w:rsidRPr="0021142C">
        <w:rPr>
          <w:color w:val="131413"/>
          <w:lang w:val="en-US"/>
        </w:rPr>
        <w:t>havior</w:t>
      </w:r>
      <w:r w:rsidRPr="0021142C">
        <w:rPr>
          <w:color w:val="131413"/>
          <w:lang w:val="en-US"/>
        </w:rPr>
        <w:t>s than loss-framed messages, while there was no clear superiority of either framing approach in the case of detection be</w:t>
      </w:r>
      <w:r w:rsidR="00C25843" w:rsidRPr="0021142C">
        <w:rPr>
          <w:color w:val="131413"/>
          <w:lang w:val="en-US"/>
        </w:rPr>
        <w:t>havior</w:t>
      </w:r>
      <w:r w:rsidRPr="0021142C">
        <w:rPr>
          <w:color w:val="131413"/>
          <w:lang w:val="en-US"/>
        </w:rPr>
        <w:t>s. Therefore, a properly applied prospect theory broadly pass</w:t>
      </w:r>
      <w:r w:rsidR="002943AF" w:rsidRPr="0021142C">
        <w:rPr>
          <w:color w:val="131413"/>
          <w:lang w:val="en-US"/>
        </w:rPr>
        <w:t>es</w:t>
      </w:r>
      <w:r w:rsidRPr="0021142C">
        <w:rPr>
          <w:color w:val="131413"/>
          <w:lang w:val="en-US"/>
        </w:rPr>
        <w:t xml:space="preserve"> Test 3.</w:t>
      </w:r>
    </w:p>
    <w:p w14:paraId="400D9369" w14:textId="77777777" w:rsidR="00FD39B4" w:rsidRPr="0021142C" w:rsidRDefault="00FD39B4" w:rsidP="00BB4444">
      <w:pPr>
        <w:autoSpaceDE w:val="0"/>
        <w:autoSpaceDN w:val="0"/>
        <w:adjustRightInd w:val="0"/>
        <w:spacing w:line="480" w:lineRule="auto"/>
        <w:jc w:val="both"/>
        <w:rPr>
          <w:lang w:val="en-US"/>
        </w:rPr>
      </w:pPr>
    </w:p>
    <w:p w14:paraId="63DCEB26" w14:textId="63A87B5B" w:rsidR="00FD39B4" w:rsidRPr="0021142C" w:rsidRDefault="00801473" w:rsidP="00BB4444">
      <w:pPr>
        <w:autoSpaceDE w:val="0"/>
        <w:autoSpaceDN w:val="0"/>
        <w:adjustRightInd w:val="0"/>
        <w:spacing w:line="480" w:lineRule="auto"/>
        <w:jc w:val="both"/>
        <w:rPr>
          <w:i/>
          <w:lang w:val="en-US"/>
        </w:rPr>
      </w:pPr>
      <w:r w:rsidRPr="0021142C">
        <w:rPr>
          <w:i/>
          <w:lang w:val="en-US"/>
        </w:rPr>
        <w:t>5.</w:t>
      </w:r>
      <w:r w:rsidR="00FD39B4" w:rsidRPr="0021142C">
        <w:rPr>
          <w:i/>
          <w:lang w:val="en-US"/>
        </w:rPr>
        <w:t>4</w:t>
      </w:r>
      <w:r w:rsidR="001C438A" w:rsidRPr="0021142C">
        <w:rPr>
          <w:i/>
          <w:lang w:val="en-US"/>
        </w:rPr>
        <w:t>.</w:t>
      </w:r>
      <w:r w:rsidR="00FD39B4" w:rsidRPr="0021142C">
        <w:rPr>
          <w:i/>
          <w:lang w:val="en-US"/>
        </w:rPr>
        <w:t xml:space="preserve"> Summary</w:t>
      </w:r>
    </w:p>
    <w:p w14:paraId="0BAAC8C2" w14:textId="01645836" w:rsidR="00FD39B4" w:rsidRPr="0021142C" w:rsidRDefault="00FD39B4" w:rsidP="00BB4444">
      <w:pPr>
        <w:autoSpaceDE w:val="0"/>
        <w:autoSpaceDN w:val="0"/>
        <w:adjustRightInd w:val="0"/>
        <w:spacing w:line="480" w:lineRule="auto"/>
        <w:jc w:val="both"/>
        <w:rPr>
          <w:lang w:val="en-US"/>
        </w:rPr>
      </w:pPr>
      <w:r w:rsidRPr="0021142C">
        <w:rPr>
          <w:lang w:val="en-US"/>
        </w:rPr>
        <w:t xml:space="preserve">Based on Test 1, prospect theory is a good candidate as a </w:t>
      </w:r>
      <w:r w:rsidR="00EF6567" w:rsidRPr="0021142C">
        <w:rPr>
          <w:lang w:val="en-US"/>
        </w:rPr>
        <w:t>BE</w:t>
      </w:r>
      <w:r w:rsidRPr="0021142C">
        <w:rPr>
          <w:lang w:val="en-US"/>
        </w:rPr>
        <w:t xml:space="preserve"> model that may matter for health outcomes</w:t>
      </w:r>
      <w:r w:rsidR="00357964" w:rsidRPr="0021142C">
        <w:rPr>
          <w:lang w:val="en-US"/>
        </w:rPr>
        <w:t>. T</w:t>
      </w:r>
      <w:r w:rsidRPr="0021142C">
        <w:rPr>
          <w:lang w:val="en-US"/>
        </w:rPr>
        <w:t xml:space="preserve">his section considered health message framing as an area of policy relevance where prospect theory can be applied. </w:t>
      </w:r>
      <w:r w:rsidR="00357964" w:rsidRPr="0021142C">
        <w:rPr>
          <w:lang w:val="en-US"/>
        </w:rPr>
        <w:t>T</w:t>
      </w:r>
      <w:r w:rsidRPr="0021142C">
        <w:rPr>
          <w:lang w:val="en-US"/>
        </w:rPr>
        <w:t>he traditional interpretation of prospect theory does not follow from a basic model applying prospect theory, and so such a traditional interpretation does not pass Test 2. It also does not pass Test 3, given the empirical evidence.</w:t>
      </w:r>
    </w:p>
    <w:p w14:paraId="31E47C44" w14:textId="77777777" w:rsidR="00FD39B4" w:rsidRPr="0021142C" w:rsidRDefault="00FD39B4" w:rsidP="00BB4444">
      <w:pPr>
        <w:autoSpaceDE w:val="0"/>
        <w:autoSpaceDN w:val="0"/>
        <w:adjustRightInd w:val="0"/>
        <w:spacing w:line="480" w:lineRule="auto"/>
        <w:jc w:val="both"/>
        <w:rPr>
          <w:lang w:val="en-US"/>
        </w:rPr>
      </w:pPr>
      <w:r w:rsidRPr="0021142C">
        <w:rPr>
          <w:lang w:val="en-US"/>
        </w:rPr>
        <w:t xml:space="preserve"> </w:t>
      </w:r>
    </w:p>
    <w:p w14:paraId="2580029D" w14:textId="5956A5DC" w:rsidR="00FD39B4" w:rsidRPr="0021142C" w:rsidRDefault="009A6D00" w:rsidP="00BB4444">
      <w:pPr>
        <w:autoSpaceDE w:val="0"/>
        <w:autoSpaceDN w:val="0"/>
        <w:adjustRightInd w:val="0"/>
        <w:spacing w:line="480" w:lineRule="auto"/>
        <w:jc w:val="both"/>
        <w:rPr>
          <w:lang w:val="en-US"/>
        </w:rPr>
      </w:pPr>
      <w:r w:rsidRPr="0021142C">
        <w:rPr>
          <w:lang w:val="en-US"/>
        </w:rPr>
        <w:t>O</w:t>
      </w:r>
      <w:r w:rsidR="00FD39B4" w:rsidRPr="0021142C">
        <w:rPr>
          <w:lang w:val="en-US"/>
        </w:rPr>
        <w:t xml:space="preserve">nce prospect theory is properly applied, there are no clear predictions for detection activities, nor should they be expected. The good news is that a gain frame encourages prevention activity, though this does not apply if the perceived probability of the bad health outcome is large enough. </w:t>
      </w:r>
    </w:p>
    <w:p w14:paraId="3AF10692" w14:textId="77777777" w:rsidR="00FD39B4" w:rsidRPr="0021142C" w:rsidRDefault="00FD39B4" w:rsidP="00BB4444">
      <w:pPr>
        <w:autoSpaceDE w:val="0"/>
        <w:autoSpaceDN w:val="0"/>
        <w:adjustRightInd w:val="0"/>
        <w:spacing w:line="480" w:lineRule="auto"/>
        <w:jc w:val="both"/>
        <w:rPr>
          <w:b/>
          <w:bCs/>
          <w:lang w:val="en-US"/>
        </w:rPr>
      </w:pPr>
    </w:p>
    <w:p w14:paraId="4E8FEE61" w14:textId="0AC13FDE" w:rsidR="008E6C18" w:rsidRPr="0021142C" w:rsidRDefault="00801473" w:rsidP="00BB4444">
      <w:pPr>
        <w:autoSpaceDE w:val="0"/>
        <w:autoSpaceDN w:val="0"/>
        <w:adjustRightInd w:val="0"/>
        <w:spacing w:line="480" w:lineRule="auto"/>
        <w:jc w:val="both"/>
        <w:rPr>
          <w:b/>
          <w:bCs/>
          <w:lang w:val="en-US"/>
        </w:rPr>
      </w:pPr>
      <w:r w:rsidRPr="0021142C">
        <w:rPr>
          <w:b/>
          <w:bCs/>
          <w:lang w:val="en-US"/>
        </w:rPr>
        <w:t>6</w:t>
      </w:r>
      <w:r w:rsidR="00FD39B4" w:rsidRPr="0021142C">
        <w:rPr>
          <w:b/>
          <w:bCs/>
          <w:lang w:val="en-US"/>
        </w:rPr>
        <w:t xml:space="preserve">. </w:t>
      </w:r>
      <w:r w:rsidRPr="0021142C">
        <w:rPr>
          <w:b/>
          <w:bCs/>
          <w:lang w:val="en-US"/>
        </w:rPr>
        <w:t>Conclusions</w:t>
      </w:r>
    </w:p>
    <w:p w14:paraId="02B8DB08" w14:textId="13F8BDE9" w:rsidR="00FD39B4" w:rsidRPr="0021142C" w:rsidRDefault="00FD39B4" w:rsidP="00BB4444">
      <w:pPr>
        <w:spacing w:line="480" w:lineRule="auto"/>
        <w:jc w:val="both"/>
        <w:rPr>
          <w:lang w:val="en-US"/>
        </w:rPr>
      </w:pPr>
      <w:r w:rsidRPr="0021142C">
        <w:rPr>
          <w:lang w:val="en-US"/>
        </w:rPr>
        <w:t xml:space="preserve">We have proposed a triple test to evaluate the usefulness of </w:t>
      </w:r>
      <w:r w:rsidR="00EF6567" w:rsidRPr="0021142C">
        <w:rPr>
          <w:lang w:val="en-US"/>
        </w:rPr>
        <w:t>BE</w:t>
      </w:r>
      <w:r w:rsidRPr="0021142C">
        <w:rPr>
          <w:lang w:val="en-US"/>
        </w:rPr>
        <w:t xml:space="preserve"> models for </w:t>
      </w:r>
      <w:r w:rsidR="002542F9" w:rsidRPr="0021142C">
        <w:rPr>
          <w:lang w:val="en-US"/>
        </w:rPr>
        <w:t xml:space="preserve">public </w:t>
      </w:r>
      <w:r w:rsidRPr="0021142C">
        <w:rPr>
          <w:lang w:val="en-US"/>
        </w:rPr>
        <w:t xml:space="preserve">health policy. Test 1 is </w:t>
      </w:r>
      <w:r w:rsidR="005B4900" w:rsidRPr="0021142C">
        <w:rPr>
          <w:lang w:val="en-US"/>
        </w:rPr>
        <w:t xml:space="preserve">about yielding specific predictions </w:t>
      </w:r>
      <w:r w:rsidR="005B4900" w:rsidRPr="0021142C">
        <w:rPr>
          <w:bCs/>
          <w:lang w:val="en-US"/>
        </w:rPr>
        <w:t xml:space="preserve">relative to standard economic models or psychological </w:t>
      </w:r>
      <w:r w:rsidR="006C596C" w:rsidRPr="0021142C">
        <w:rPr>
          <w:bCs/>
          <w:lang w:val="en-US"/>
        </w:rPr>
        <w:t>theories</w:t>
      </w:r>
      <w:r w:rsidR="005B4900" w:rsidRPr="0021142C">
        <w:rPr>
          <w:bCs/>
          <w:lang w:val="en-US"/>
        </w:rPr>
        <w:t xml:space="preserve"> in terms of individual behaviors or reaction to incentives</w:t>
      </w:r>
      <w:r w:rsidRPr="0021142C">
        <w:rPr>
          <w:lang w:val="en-US"/>
        </w:rPr>
        <w:t xml:space="preserve">. Test 2 is </w:t>
      </w:r>
      <w:r w:rsidR="006C596C" w:rsidRPr="0021142C">
        <w:rPr>
          <w:lang w:val="en-US"/>
        </w:rPr>
        <w:t>about linking the specific predictions to specific public health settings</w:t>
      </w:r>
      <w:r w:rsidRPr="0021142C">
        <w:rPr>
          <w:lang w:val="en-US"/>
        </w:rPr>
        <w:t xml:space="preserve">. Test 3 is </w:t>
      </w:r>
      <w:r w:rsidR="006C596C" w:rsidRPr="0021142C">
        <w:rPr>
          <w:lang w:val="en-US"/>
        </w:rPr>
        <w:t>about validating the model with</w:t>
      </w:r>
      <w:r w:rsidRPr="0021142C">
        <w:rPr>
          <w:lang w:val="en-US"/>
        </w:rPr>
        <w:t xml:space="preserve"> evidence. Where a test is not passed, in particular Tests 2 or 3, this may point to directions for needed further research.</w:t>
      </w:r>
    </w:p>
    <w:p w14:paraId="0572B2DC" w14:textId="77777777" w:rsidR="00FB7D61" w:rsidRPr="0021142C" w:rsidRDefault="00FB7D61" w:rsidP="00BB4444">
      <w:pPr>
        <w:spacing w:line="480" w:lineRule="auto"/>
        <w:jc w:val="both"/>
        <w:rPr>
          <w:lang w:val="en-US"/>
        </w:rPr>
      </w:pPr>
    </w:p>
    <w:p w14:paraId="08B76294" w14:textId="0F292B0D" w:rsidR="00FD39B4" w:rsidRPr="0021142C" w:rsidRDefault="003C6DBF" w:rsidP="00BB4444">
      <w:pPr>
        <w:spacing w:line="480" w:lineRule="auto"/>
        <w:jc w:val="both"/>
        <w:rPr>
          <w:lang w:val="en-US"/>
        </w:rPr>
      </w:pPr>
      <w:r w:rsidRPr="0021142C">
        <w:rPr>
          <w:lang w:val="en-US"/>
        </w:rPr>
        <w:t>We have illustrated our analysis by considering, in different ways, three cases where a plausible claim can be made that Test 1 is passed.</w:t>
      </w:r>
      <w:r w:rsidR="00417837" w:rsidRPr="0021142C">
        <w:rPr>
          <w:lang w:val="en-US"/>
        </w:rPr>
        <w:t xml:space="preserve"> We recognize the differences across the cases: for example, prospect theory is a single model (if in different versions), whereas the other two cases are more akin to families of models building on related intuitions.</w:t>
      </w:r>
      <w:r w:rsidR="00A46E48" w:rsidRPr="0021142C">
        <w:rPr>
          <w:lang w:val="en-US"/>
        </w:rPr>
        <w:t xml:space="preserve"> </w:t>
      </w:r>
      <w:r w:rsidR="00FB7D61" w:rsidRPr="0021142C">
        <w:rPr>
          <w:lang w:val="en-US"/>
        </w:rPr>
        <w:t>Social interaction models need to be decomposed in different motivations for social interactions in order to have specific predictions for health policy settings and pass Test 2. Social learning, social comparisons and self-esteem motivations and associated models</w:t>
      </w:r>
      <w:r w:rsidR="00A46E48" w:rsidRPr="0021142C">
        <w:rPr>
          <w:lang w:val="en-US"/>
        </w:rPr>
        <w:t xml:space="preserve"> make different predictions for health policy settings, and more work is needed, in relation particularly to Test 3, as the experimental evidence is limited and as based on the current non-experimental evidence </w:t>
      </w:r>
      <w:r w:rsidR="00AA7D43" w:rsidRPr="0021142C">
        <w:rPr>
          <w:lang w:val="en-US"/>
        </w:rPr>
        <w:t xml:space="preserve">it is not possible </w:t>
      </w:r>
      <w:r w:rsidR="00A46E48" w:rsidRPr="0021142C">
        <w:rPr>
          <w:lang w:val="en-US"/>
        </w:rPr>
        <w:t>to differentiate</w:t>
      </w:r>
      <w:r w:rsidR="00AA7D43" w:rsidRPr="0021142C">
        <w:rPr>
          <w:lang w:val="en-US"/>
        </w:rPr>
        <w:t xml:space="preserve"> among different motivations</w:t>
      </w:r>
      <w:r w:rsidR="00A46E48" w:rsidRPr="0021142C">
        <w:rPr>
          <w:lang w:val="en-US"/>
        </w:rPr>
        <w:t xml:space="preserve">. The evidence in relation to self-control models is largely consistent with self-control models </w:t>
      </w:r>
      <w:r w:rsidR="00A46E48" w:rsidRPr="0021142C">
        <w:rPr>
          <w:i/>
          <w:iCs/>
          <w:lang w:val="en-US"/>
        </w:rPr>
        <w:t xml:space="preserve">as well as </w:t>
      </w:r>
      <w:r w:rsidR="00A46E48" w:rsidRPr="0021142C">
        <w:rPr>
          <w:lang w:val="en-US"/>
        </w:rPr>
        <w:t xml:space="preserve">a number of other models, and </w:t>
      </w:r>
      <w:r w:rsidR="00FB7D61" w:rsidRPr="0021142C">
        <w:rPr>
          <w:lang w:val="en-US"/>
        </w:rPr>
        <w:t>so</w:t>
      </w:r>
      <w:r w:rsidR="00A46E48" w:rsidRPr="0021142C">
        <w:rPr>
          <w:lang w:val="en-US"/>
        </w:rPr>
        <w:t xml:space="preserve"> more work is needed </w:t>
      </w:r>
      <w:r w:rsidR="0083044F" w:rsidRPr="0021142C">
        <w:rPr>
          <w:lang w:val="en-US"/>
        </w:rPr>
        <w:t xml:space="preserve">to pass </w:t>
      </w:r>
      <w:r w:rsidR="00FB7D61" w:rsidRPr="0021142C">
        <w:rPr>
          <w:lang w:val="en-US"/>
        </w:rPr>
        <w:t>Test 3</w:t>
      </w:r>
      <w:r w:rsidR="00A46E48" w:rsidRPr="0021142C">
        <w:rPr>
          <w:lang w:val="en-US"/>
        </w:rPr>
        <w:t>.</w:t>
      </w:r>
    </w:p>
    <w:p w14:paraId="7E9D5541" w14:textId="77777777" w:rsidR="00FD39B4" w:rsidRPr="0021142C" w:rsidRDefault="00FD39B4" w:rsidP="00BB4444">
      <w:pPr>
        <w:spacing w:line="480" w:lineRule="auto"/>
        <w:jc w:val="both"/>
        <w:rPr>
          <w:lang w:val="en-US"/>
        </w:rPr>
      </w:pPr>
    </w:p>
    <w:p w14:paraId="74DC8FFA" w14:textId="150F2C29" w:rsidR="00FD39B4" w:rsidRPr="0021142C" w:rsidRDefault="00FD39B4" w:rsidP="00BB4444">
      <w:pPr>
        <w:spacing w:line="480" w:lineRule="auto"/>
        <w:jc w:val="both"/>
        <w:rPr>
          <w:lang w:val="en-US"/>
        </w:rPr>
      </w:pPr>
      <w:r w:rsidRPr="0021142C">
        <w:rPr>
          <w:lang w:val="en-US"/>
        </w:rPr>
        <w:t xml:space="preserve">We have considered prospect theory in the context of health message framing as our third application. The </w:t>
      </w:r>
      <w:r w:rsidR="0083044F" w:rsidRPr="0021142C">
        <w:rPr>
          <w:lang w:val="en-US"/>
        </w:rPr>
        <w:t xml:space="preserve">claimed </w:t>
      </w:r>
      <w:r w:rsidRPr="0021142C">
        <w:rPr>
          <w:lang w:val="en-US"/>
        </w:rPr>
        <w:t xml:space="preserve">policy messages from the theory do not seem to match the evidence. By a simple example model, we have shown how the reason is that the theory has been misapplied. Once this problem with Test 2 is fixed, </w:t>
      </w:r>
      <w:r w:rsidR="0083044F" w:rsidRPr="0021142C">
        <w:rPr>
          <w:lang w:val="en-US"/>
        </w:rPr>
        <w:t xml:space="preserve">and the correct predictions are drawn from the model, </w:t>
      </w:r>
      <w:r w:rsidRPr="0021142C">
        <w:rPr>
          <w:lang w:val="en-US"/>
        </w:rPr>
        <w:t xml:space="preserve">we find that, in broad agreement with the evidence, a gain frame </w:t>
      </w:r>
      <w:r w:rsidR="002C0A82" w:rsidRPr="0021142C">
        <w:rPr>
          <w:lang w:val="en-US"/>
        </w:rPr>
        <w:t xml:space="preserve">has positive implications for welfare as it </w:t>
      </w:r>
      <w:r w:rsidRPr="0021142C">
        <w:rPr>
          <w:lang w:val="en-US"/>
        </w:rPr>
        <w:t>does encourage disease prevention activity, though this does not apply if the perceived probability of the bad health outcome is large enough.</w:t>
      </w:r>
    </w:p>
    <w:p w14:paraId="4C8C6347" w14:textId="77777777" w:rsidR="00FD39B4" w:rsidRPr="0021142C" w:rsidRDefault="00FD39B4" w:rsidP="00BB4444">
      <w:pPr>
        <w:spacing w:line="480" w:lineRule="auto"/>
        <w:jc w:val="both"/>
        <w:rPr>
          <w:lang w:val="en-US"/>
        </w:rPr>
      </w:pPr>
    </w:p>
    <w:p w14:paraId="40C98591" w14:textId="24927727" w:rsidR="00FD39B4" w:rsidRPr="0021142C" w:rsidRDefault="00FD39B4" w:rsidP="00BB4444">
      <w:pPr>
        <w:spacing w:line="480" w:lineRule="auto"/>
        <w:jc w:val="both"/>
        <w:rPr>
          <w:lang w:val="en-US"/>
        </w:rPr>
      </w:pPr>
      <w:r w:rsidRPr="0021142C">
        <w:rPr>
          <w:lang w:val="en-US"/>
        </w:rPr>
        <w:t xml:space="preserve">We see our tests as being useful to identify how much health policy weight to assign to specific </w:t>
      </w:r>
      <w:r w:rsidR="00E8610D" w:rsidRPr="0021142C">
        <w:rPr>
          <w:lang w:val="en-US"/>
        </w:rPr>
        <w:t>behavioral</w:t>
      </w:r>
      <w:r w:rsidRPr="0021142C">
        <w:rPr>
          <w:lang w:val="en-US"/>
        </w:rPr>
        <w:t xml:space="preserve"> economic models; and, constructively, to verify what next steps would be most useful in further research.</w:t>
      </w:r>
    </w:p>
    <w:p w14:paraId="21220666" w14:textId="3AC6B353" w:rsidR="00A01F26" w:rsidRPr="0021142C" w:rsidRDefault="00A01F26" w:rsidP="00BB4444">
      <w:pPr>
        <w:spacing w:line="480" w:lineRule="auto"/>
        <w:jc w:val="both"/>
        <w:rPr>
          <w:lang w:val="en-US"/>
        </w:rPr>
      </w:pPr>
      <w:r w:rsidRPr="0021142C">
        <w:rPr>
          <w:lang w:val="en-US"/>
        </w:rPr>
        <w:br w:type="page"/>
      </w:r>
    </w:p>
    <w:p w14:paraId="01B4E271" w14:textId="77777777" w:rsidR="008D62C7" w:rsidRPr="0021142C" w:rsidRDefault="008D62C7" w:rsidP="008D62C7">
      <w:pPr>
        <w:pStyle w:val="EndNoteBibliography"/>
        <w:spacing w:after="0" w:line="480" w:lineRule="auto"/>
        <w:jc w:val="both"/>
        <w:rPr>
          <w:b/>
          <w:noProof w:val="0"/>
          <w:szCs w:val="24"/>
          <w:lang w:val="en-US"/>
        </w:rPr>
      </w:pPr>
      <w:r w:rsidRPr="0021142C">
        <w:rPr>
          <w:b/>
          <w:noProof w:val="0"/>
          <w:szCs w:val="24"/>
          <w:lang w:val="en-US"/>
        </w:rPr>
        <w:t>References</w:t>
      </w:r>
    </w:p>
    <w:p w14:paraId="135FA78D" w14:textId="77777777" w:rsidR="008D62C7" w:rsidRPr="0021142C" w:rsidRDefault="008D62C7" w:rsidP="008D62C7">
      <w:pPr>
        <w:pStyle w:val="EndNoteBibliography"/>
        <w:spacing w:after="0" w:line="480" w:lineRule="auto"/>
        <w:ind w:left="720" w:hanging="720"/>
        <w:jc w:val="both"/>
        <w:rPr>
          <w:szCs w:val="24"/>
        </w:rPr>
      </w:pPr>
      <w:r w:rsidRPr="0021142C">
        <w:rPr>
          <w:szCs w:val="24"/>
        </w:rPr>
        <w:t>Adams JS, (1963) Toward an understanding of inequity. Journal of Abnormal Psychology 67: 422-36</w:t>
      </w:r>
    </w:p>
    <w:p w14:paraId="57AB7CED" w14:textId="77777777" w:rsidR="008D62C7" w:rsidRPr="0021142C" w:rsidRDefault="008D62C7" w:rsidP="008D62C7">
      <w:pPr>
        <w:pStyle w:val="EndNoteBibliography"/>
        <w:spacing w:after="0" w:line="480" w:lineRule="auto"/>
        <w:ind w:left="720" w:hanging="720"/>
        <w:jc w:val="both"/>
        <w:rPr>
          <w:szCs w:val="24"/>
        </w:rPr>
      </w:pPr>
      <w:r w:rsidRPr="0021142C">
        <w:rPr>
          <w:szCs w:val="24"/>
        </w:rPr>
        <w:t>Akerlof GA, Kranton RE (2000) Economics and identity. Quarterly Journal of Economics 115: 715-753</w:t>
      </w:r>
    </w:p>
    <w:p w14:paraId="68E4837C" w14:textId="77777777" w:rsidR="008D62C7" w:rsidRPr="0021142C" w:rsidRDefault="008D62C7" w:rsidP="008D62C7">
      <w:pPr>
        <w:pStyle w:val="EndNoteBibliography"/>
        <w:spacing w:after="0" w:line="480" w:lineRule="auto"/>
        <w:ind w:left="720" w:hanging="720"/>
        <w:jc w:val="both"/>
        <w:rPr>
          <w:szCs w:val="24"/>
        </w:rPr>
      </w:pPr>
      <w:r w:rsidRPr="0021142C">
        <w:rPr>
          <w:szCs w:val="24"/>
        </w:rPr>
        <w:t>Ali SN (2011) Learning self-control. Quarterly Journal of Economics 126: 857-893</w:t>
      </w:r>
    </w:p>
    <w:p w14:paraId="219521C3" w14:textId="77777777" w:rsidR="008D62C7" w:rsidRPr="0021142C" w:rsidRDefault="008D62C7" w:rsidP="008D62C7">
      <w:pPr>
        <w:pStyle w:val="EndNoteBibliography"/>
        <w:spacing w:after="0" w:line="480" w:lineRule="auto"/>
        <w:ind w:left="720" w:hanging="720"/>
        <w:jc w:val="both"/>
        <w:rPr>
          <w:szCs w:val="24"/>
        </w:rPr>
      </w:pPr>
      <w:r w:rsidRPr="0021142C">
        <w:rPr>
          <w:szCs w:val="24"/>
        </w:rPr>
        <w:t>Amador M, Werning I, Angeletos G-M (2006) Commitment vs flexibility. Econometrica 74: 365-396</w:t>
      </w:r>
    </w:p>
    <w:p w14:paraId="713CF706" w14:textId="77777777" w:rsidR="008D62C7" w:rsidRPr="0021142C" w:rsidRDefault="008D62C7" w:rsidP="008D62C7">
      <w:pPr>
        <w:pStyle w:val="EndNoteBibliography"/>
        <w:spacing w:after="0" w:line="480" w:lineRule="auto"/>
        <w:ind w:left="720" w:hanging="720"/>
        <w:jc w:val="both"/>
        <w:rPr>
          <w:szCs w:val="24"/>
        </w:rPr>
      </w:pPr>
      <w:r w:rsidRPr="0021142C">
        <w:rPr>
          <w:szCs w:val="24"/>
        </w:rPr>
        <w:t>Asch SE (1955) Opinions and social pressure. Scientific American 193: 31-35</w:t>
      </w:r>
    </w:p>
    <w:p w14:paraId="4ADDA26E" w14:textId="77777777" w:rsidR="008D62C7" w:rsidRPr="0021142C" w:rsidRDefault="008D62C7" w:rsidP="008D62C7">
      <w:pPr>
        <w:pStyle w:val="EndNoteBibliography"/>
        <w:spacing w:after="0" w:line="480" w:lineRule="auto"/>
        <w:ind w:left="720" w:hanging="720"/>
        <w:jc w:val="both"/>
        <w:rPr>
          <w:szCs w:val="24"/>
        </w:rPr>
      </w:pPr>
      <w:r w:rsidRPr="0021142C">
        <w:rPr>
          <w:szCs w:val="24"/>
        </w:rPr>
        <w:t>Babcock P, Hartman J (2011) Networks and workouts: treatment status specific peer effects in a randomized field experiment. University of California, Santa Barbara</w:t>
      </w:r>
    </w:p>
    <w:p w14:paraId="33AD3C8A" w14:textId="77777777" w:rsidR="008D62C7" w:rsidRPr="0021142C" w:rsidRDefault="008D62C7" w:rsidP="008D62C7">
      <w:pPr>
        <w:pStyle w:val="EndNoteBibliography"/>
        <w:spacing w:after="0" w:line="480" w:lineRule="auto"/>
        <w:ind w:left="720" w:hanging="720"/>
        <w:jc w:val="both"/>
        <w:rPr>
          <w:szCs w:val="24"/>
        </w:rPr>
      </w:pPr>
      <w:r w:rsidRPr="0021142C">
        <w:rPr>
          <w:szCs w:val="24"/>
        </w:rPr>
        <w:t xml:space="preserve">Bandura A (1977) Social learning theory. Englewood Cliffs, NJ, Prentice Hall </w:t>
      </w:r>
    </w:p>
    <w:p w14:paraId="17F84729" w14:textId="77777777" w:rsidR="008D62C7" w:rsidRPr="0021142C" w:rsidRDefault="008D62C7" w:rsidP="008D62C7">
      <w:pPr>
        <w:pStyle w:val="EndNoteBibliography"/>
        <w:spacing w:after="0" w:line="480" w:lineRule="auto"/>
        <w:ind w:left="720" w:hanging="720"/>
        <w:jc w:val="both"/>
        <w:rPr>
          <w:szCs w:val="24"/>
        </w:rPr>
      </w:pPr>
      <w:r w:rsidRPr="0021142C">
        <w:rPr>
          <w:szCs w:val="24"/>
        </w:rPr>
        <w:t>Bandura A, Ross D, Ross SA (1961) Transmission of aggression through imitation of aggressive models. Journal of Abnormal and Social Psychology 63: 575-82</w:t>
      </w:r>
    </w:p>
    <w:p w14:paraId="2ACEBF3F" w14:textId="77777777" w:rsidR="008D62C7" w:rsidRPr="0021142C" w:rsidRDefault="008D62C7" w:rsidP="008D62C7">
      <w:pPr>
        <w:pStyle w:val="EndNoteBibliography"/>
        <w:spacing w:after="0" w:line="480" w:lineRule="auto"/>
        <w:ind w:left="720" w:hanging="720"/>
        <w:jc w:val="both"/>
        <w:rPr>
          <w:szCs w:val="24"/>
        </w:rPr>
      </w:pPr>
      <w:r w:rsidRPr="0021142C">
        <w:rPr>
          <w:szCs w:val="24"/>
        </w:rPr>
        <w:t>Barberis NC (2013) Thirty years of prospect theory in economics: a review and assessment. Journal of Economic Perspectives 27: 173-195</w:t>
      </w:r>
    </w:p>
    <w:p w14:paraId="588B9513" w14:textId="77777777" w:rsidR="008D62C7" w:rsidRPr="0021142C" w:rsidRDefault="008D62C7" w:rsidP="008D62C7">
      <w:pPr>
        <w:pStyle w:val="EndNoteBibliography"/>
        <w:spacing w:after="0" w:line="480" w:lineRule="auto"/>
        <w:ind w:left="720" w:hanging="720"/>
        <w:jc w:val="both"/>
        <w:rPr>
          <w:szCs w:val="24"/>
        </w:rPr>
      </w:pPr>
      <w:r w:rsidRPr="0021142C">
        <w:rPr>
          <w:szCs w:val="24"/>
        </w:rPr>
        <w:t>Becker GS, Murphy KM (1988) A theory of rational addiction. Journal of Political Economy 96: 675-700</w:t>
      </w:r>
    </w:p>
    <w:p w14:paraId="7DE2D4C9" w14:textId="77777777" w:rsidR="008D62C7" w:rsidRPr="0021142C" w:rsidRDefault="008D62C7" w:rsidP="008D62C7">
      <w:pPr>
        <w:pStyle w:val="EndNoteBibliography"/>
        <w:spacing w:after="0" w:line="480" w:lineRule="auto"/>
        <w:ind w:left="720" w:hanging="720"/>
        <w:jc w:val="both"/>
        <w:rPr>
          <w:szCs w:val="24"/>
        </w:rPr>
      </w:pPr>
      <w:r w:rsidRPr="0021142C">
        <w:rPr>
          <w:szCs w:val="24"/>
        </w:rPr>
        <w:t>Bernheim BD, Rangel A (2004) Addiction and cue-triggered decision processes. American Economic Review 94: 1558-1590</w:t>
      </w:r>
    </w:p>
    <w:p w14:paraId="020A2FE4" w14:textId="77777777" w:rsidR="008D62C7" w:rsidRPr="0021142C" w:rsidRDefault="008D62C7" w:rsidP="008D62C7">
      <w:pPr>
        <w:pStyle w:val="EndNoteBibliography"/>
        <w:spacing w:after="0" w:line="480" w:lineRule="auto"/>
        <w:ind w:left="720" w:hanging="720"/>
        <w:jc w:val="both"/>
        <w:rPr>
          <w:szCs w:val="24"/>
        </w:rPr>
      </w:pPr>
      <w:r w:rsidRPr="0021142C">
        <w:rPr>
          <w:szCs w:val="24"/>
        </w:rPr>
        <w:t>Bicchieri C (2006) The grammar of society: the nature and dynamics of social norms. Cambridge University Press</w:t>
      </w:r>
    </w:p>
    <w:p w14:paraId="5BDBDD85" w14:textId="77777777" w:rsidR="008D62C7" w:rsidRPr="0021142C" w:rsidRDefault="008D62C7" w:rsidP="008D62C7">
      <w:pPr>
        <w:pStyle w:val="EndNoteBibliography"/>
        <w:spacing w:after="0" w:line="480" w:lineRule="auto"/>
        <w:ind w:left="720" w:hanging="720"/>
        <w:jc w:val="both"/>
        <w:rPr>
          <w:szCs w:val="24"/>
        </w:rPr>
      </w:pPr>
      <w:r w:rsidRPr="0021142C">
        <w:rPr>
          <w:szCs w:val="24"/>
        </w:rPr>
        <w:t>Bicchieri C, Xiao E (2009) Do the right thing: but only if others do so. Journal of Behavioral Decision Making 22: 191-208</w:t>
      </w:r>
    </w:p>
    <w:p w14:paraId="1CCE3128" w14:textId="77777777" w:rsidR="008D62C7" w:rsidRPr="0021142C" w:rsidRDefault="008D62C7" w:rsidP="008D62C7">
      <w:pPr>
        <w:pStyle w:val="EndNoteBibliography"/>
        <w:spacing w:after="0" w:line="480" w:lineRule="auto"/>
        <w:ind w:left="720" w:hanging="720"/>
        <w:jc w:val="both"/>
        <w:rPr>
          <w:szCs w:val="24"/>
        </w:rPr>
      </w:pPr>
      <w:r w:rsidRPr="0021142C">
        <w:rPr>
          <w:szCs w:val="24"/>
        </w:rPr>
        <w:t>Bikhchandani S, Welch I, Hirshleifer D (1992) A theory of fads fashion custom and cultural change as informational cascades. Journal of Political Economy 100: 992-1026</w:t>
      </w:r>
    </w:p>
    <w:p w14:paraId="2D407CFC" w14:textId="77777777" w:rsidR="008D62C7" w:rsidRPr="0021142C" w:rsidRDefault="008D62C7" w:rsidP="008D62C7">
      <w:pPr>
        <w:pStyle w:val="EndNoteBibliography"/>
        <w:spacing w:after="0" w:line="480" w:lineRule="auto"/>
        <w:ind w:left="720" w:hanging="720"/>
        <w:jc w:val="both"/>
        <w:rPr>
          <w:szCs w:val="24"/>
        </w:rPr>
      </w:pPr>
      <w:r w:rsidRPr="0021142C">
        <w:rPr>
          <w:szCs w:val="24"/>
        </w:rPr>
        <w:t>Blanchflower DG, Van Landeghem B, Oswald AJ (2009) Imitative obesity and relative utility. Journal of the European Economic Association 7: 528-538</w:t>
      </w:r>
    </w:p>
    <w:p w14:paraId="1E07A4E5" w14:textId="77777777" w:rsidR="008D62C7" w:rsidRPr="0021142C" w:rsidRDefault="008D62C7" w:rsidP="008D62C7">
      <w:pPr>
        <w:pStyle w:val="EndNoteBibliography"/>
        <w:spacing w:after="0" w:line="480" w:lineRule="auto"/>
        <w:ind w:left="720" w:hanging="720"/>
        <w:jc w:val="both"/>
        <w:rPr>
          <w:szCs w:val="24"/>
        </w:rPr>
      </w:pPr>
      <w:r w:rsidRPr="0021142C">
        <w:rPr>
          <w:szCs w:val="24"/>
        </w:rPr>
        <w:t>Bond R, Smith PB (1996) Culture and conformity: a meta-analysis of studies using Asch's (1952b 1956) line judgment task. Psychological Bulletin 119: 111-137</w:t>
      </w:r>
    </w:p>
    <w:p w14:paraId="264D9466" w14:textId="77777777" w:rsidR="008D62C7" w:rsidRPr="0021142C" w:rsidRDefault="008D62C7" w:rsidP="008D62C7">
      <w:pPr>
        <w:pStyle w:val="EndNoteBibliography"/>
        <w:spacing w:after="0" w:line="480" w:lineRule="auto"/>
        <w:ind w:left="720" w:hanging="720"/>
        <w:jc w:val="both"/>
        <w:rPr>
          <w:szCs w:val="24"/>
        </w:rPr>
      </w:pPr>
      <w:r w:rsidRPr="0021142C">
        <w:rPr>
          <w:szCs w:val="24"/>
        </w:rPr>
        <w:t>Bryan G, Karlan D, Nelson S (2010) Commitment devices Annual Review of Economics 2: 671-698</w:t>
      </w:r>
    </w:p>
    <w:p w14:paraId="0942D12B" w14:textId="77777777" w:rsidR="008D62C7" w:rsidRPr="0021142C" w:rsidRDefault="008D62C7" w:rsidP="00D02FD2">
      <w:pPr>
        <w:pStyle w:val="EndNoteBibliography"/>
        <w:spacing w:after="0" w:line="480" w:lineRule="auto"/>
        <w:ind w:left="720" w:hanging="720"/>
        <w:jc w:val="both"/>
        <w:rPr>
          <w:szCs w:val="24"/>
        </w:rPr>
      </w:pPr>
      <w:r w:rsidRPr="0021142C">
        <w:rPr>
          <w:szCs w:val="24"/>
        </w:rPr>
        <w:t>Burger N, Lynham J (2009) Betting on weight loss… and losing: personal gambles as commitment mechanisms. Applied Economics Letters 17: 1161-1166</w:t>
      </w:r>
    </w:p>
    <w:p w14:paraId="635F165E" w14:textId="77777777" w:rsidR="008D62C7" w:rsidRPr="0021142C" w:rsidRDefault="008D62C7" w:rsidP="008D62C7">
      <w:pPr>
        <w:pStyle w:val="EndNoteBibliography"/>
        <w:spacing w:after="0" w:line="480" w:lineRule="auto"/>
        <w:ind w:left="720" w:hanging="720"/>
        <w:jc w:val="both"/>
        <w:rPr>
          <w:szCs w:val="24"/>
        </w:rPr>
      </w:pPr>
      <w:r w:rsidRPr="0021142C">
        <w:rPr>
          <w:szCs w:val="24"/>
        </w:rPr>
        <w:t>Camerer C, Loewenstein G, Rabin M (2004) Advances in behavioral economics. Princeton University Press, Princeton and Oxford</w:t>
      </w:r>
    </w:p>
    <w:p w14:paraId="51E9F362" w14:textId="77777777" w:rsidR="008D62C7" w:rsidRPr="0021142C" w:rsidRDefault="008D62C7" w:rsidP="008D62C7">
      <w:pPr>
        <w:pStyle w:val="EndNoteBibliography"/>
        <w:spacing w:after="0" w:line="480" w:lineRule="auto"/>
        <w:ind w:left="720" w:hanging="720"/>
        <w:jc w:val="both"/>
        <w:rPr>
          <w:szCs w:val="24"/>
        </w:rPr>
      </w:pPr>
      <w:r w:rsidRPr="0021142C">
        <w:rPr>
          <w:szCs w:val="24"/>
        </w:rPr>
        <w:t>Cartwright E (2011) Behavioral economics. Routledge, London and New York</w:t>
      </w:r>
    </w:p>
    <w:p w14:paraId="172ACB46" w14:textId="77777777" w:rsidR="008D62C7" w:rsidRPr="0021142C" w:rsidRDefault="008D62C7" w:rsidP="008D62C7">
      <w:pPr>
        <w:pStyle w:val="EndNoteBibliography"/>
        <w:spacing w:after="0" w:line="480" w:lineRule="auto"/>
        <w:ind w:left="720" w:hanging="720"/>
        <w:jc w:val="both"/>
        <w:rPr>
          <w:szCs w:val="24"/>
        </w:rPr>
      </w:pPr>
      <w:r w:rsidRPr="0021142C">
        <w:rPr>
          <w:szCs w:val="24"/>
        </w:rPr>
        <w:t>Carver CS, Scheier MF (1982) Control theory: a useful conceptual framework for personality-social clinical and health psychology. Psychological Bulletin 92: 111-35</w:t>
      </w:r>
    </w:p>
    <w:p w14:paraId="5FC4F9A5" w14:textId="77777777" w:rsidR="008D62C7" w:rsidRPr="0021142C" w:rsidRDefault="008D62C7" w:rsidP="008D62C7">
      <w:pPr>
        <w:pStyle w:val="EndNoteBibliography"/>
        <w:spacing w:after="0" w:line="480" w:lineRule="auto"/>
        <w:ind w:left="720" w:hanging="720"/>
        <w:jc w:val="both"/>
        <w:rPr>
          <w:szCs w:val="24"/>
        </w:rPr>
      </w:pPr>
      <w:r w:rsidRPr="0021142C">
        <w:rPr>
          <w:szCs w:val="24"/>
        </w:rPr>
        <w:t>Charness G, Gneezy U (2009) Incentives to exercise. Econometrica 77: 909-931</w:t>
      </w:r>
    </w:p>
    <w:p w14:paraId="22AA1825" w14:textId="77777777" w:rsidR="008D62C7" w:rsidRPr="0021142C" w:rsidRDefault="008D62C7" w:rsidP="008D62C7">
      <w:pPr>
        <w:pStyle w:val="EndNoteBibliography"/>
        <w:spacing w:after="0" w:line="480" w:lineRule="auto"/>
        <w:ind w:left="720" w:hanging="720"/>
        <w:jc w:val="both"/>
        <w:rPr>
          <w:szCs w:val="24"/>
        </w:rPr>
      </w:pPr>
      <w:r w:rsidRPr="0021142C">
        <w:rPr>
          <w:szCs w:val="24"/>
        </w:rPr>
        <w:t>Croker H, Whitaker KL, Cooke L, Wardle J (2009) Do social norms affect intended food choice? Preventive Medicine 49: 190-193</w:t>
      </w:r>
    </w:p>
    <w:p w14:paraId="726CF7D0" w14:textId="77777777" w:rsidR="008D62C7" w:rsidRPr="0021142C" w:rsidRDefault="008D62C7" w:rsidP="008D62C7">
      <w:pPr>
        <w:pStyle w:val="EndNoteBibliography"/>
        <w:spacing w:after="0" w:line="480" w:lineRule="auto"/>
        <w:ind w:left="720" w:hanging="720"/>
        <w:jc w:val="both"/>
        <w:rPr>
          <w:szCs w:val="24"/>
        </w:rPr>
      </w:pPr>
      <w:r w:rsidRPr="0021142C">
        <w:rPr>
          <w:szCs w:val="24"/>
        </w:rPr>
        <w:t>Daw ND, Gershman SJ, Seymour B, Dayan P, Dolan RJ (2011) Model-based influences on humans' choices and striatal prediction errors. Neuron 69: 1204-15</w:t>
      </w:r>
    </w:p>
    <w:p w14:paraId="596BE57D" w14:textId="77777777" w:rsidR="008D62C7" w:rsidRPr="0021142C" w:rsidRDefault="008D62C7" w:rsidP="008D62C7">
      <w:pPr>
        <w:pStyle w:val="EndNoteBibliography"/>
        <w:spacing w:after="0" w:line="480" w:lineRule="auto"/>
        <w:ind w:left="720" w:hanging="720"/>
        <w:jc w:val="both"/>
        <w:rPr>
          <w:szCs w:val="24"/>
        </w:rPr>
      </w:pPr>
      <w:r w:rsidRPr="0021142C">
        <w:rPr>
          <w:szCs w:val="24"/>
        </w:rPr>
        <w:t>DellaVigna S, Malmendier U (2006) Paying not to go to the gym. American Economic Review 96: 694-719</w:t>
      </w:r>
    </w:p>
    <w:p w14:paraId="1B4FE113" w14:textId="77777777" w:rsidR="008D62C7" w:rsidRPr="0021142C" w:rsidRDefault="008D62C7" w:rsidP="008D62C7">
      <w:pPr>
        <w:pStyle w:val="EndNoteBibliography"/>
        <w:spacing w:after="0" w:line="480" w:lineRule="auto"/>
        <w:ind w:left="720" w:hanging="720"/>
        <w:jc w:val="both"/>
        <w:rPr>
          <w:szCs w:val="24"/>
        </w:rPr>
      </w:pPr>
      <w:r w:rsidRPr="0021142C">
        <w:rPr>
          <w:szCs w:val="24"/>
        </w:rPr>
        <w:t>Detweiler JB, Bedell BT, Salovey P, Pronin E, Rothman AJ (1999) Message framing and sunscreen use: gain-framed messages motivate beach-goers. Health Psychology 18: 189-96</w:t>
      </w:r>
    </w:p>
    <w:p w14:paraId="627A689F" w14:textId="77777777" w:rsidR="008D62C7" w:rsidRPr="0021142C" w:rsidRDefault="008D62C7" w:rsidP="008D62C7">
      <w:pPr>
        <w:pStyle w:val="EndNoteBibliography"/>
        <w:spacing w:after="0" w:line="480" w:lineRule="auto"/>
        <w:ind w:left="720" w:hanging="720"/>
        <w:jc w:val="both"/>
        <w:rPr>
          <w:szCs w:val="24"/>
        </w:rPr>
      </w:pPr>
      <w:r w:rsidRPr="0021142C">
        <w:rPr>
          <w:szCs w:val="24"/>
        </w:rPr>
        <w:t>Diamond A (2013) Executive functions. Annual Review Psychology 64: 135-68</w:t>
      </w:r>
    </w:p>
    <w:p w14:paraId="0D0C89FC" w14:textId="77777777" w:rsidR="008D62C7" w:rsidRPr="0021142C" w:rsidRDefault="008D62C7" w:rsidP="008D62C7">
      <w:pPr>
        <w:pStyle w:val="EndNoteBibliography"/>
        <w:spacing w:after="0" w:line="480" w:lineRule="auto"/>
        <w:ind w:left="720" w:hanging="720"/>
        <w:jc w:val="both"/>
        <w:rPr>
          <w:szCs w:val="24"/>
        </w:rPr>
      </w:pPr>
      <w:r w:rsidRPr="0021142C">
        <w:rPr>
          <w:szCs w:val="24"/>
        </w:rPr>
        <w:t>Dolan P, Hallsworth M, Halpern D, King D, Vlaev I (2010) MINDSPACE: influencing behaviour through public policy. Institute for Government Cabinet Office, London</w:t>
      </w:r>
    </w:p>
    <w:p w14:paraId="35164371" w14:textId="77777777" w:rsidR="008D62C7" w:rsidRPr="0021142C" w:rsidRDefault="008D62C7" w:rsidP="008D62C7">
      <w:pPr>
        <w:pStyle w:val="EndNoteBibliography"/>
        <w:spacing w:after="0" w:line="480" w:lineRule="auto"/>
        <w:ind w:left="720" w:hanging="720"/>
        <w:jc w:val="both"/>
        <w:rPr>
          <w:szCs w:val="24"/>
        </w:rPr>
      </w:pPr>
      <w:r w:rsidRPr="0021142C">
        <w:rPr>
          <w:szCs w:val="24"/>
        </w:rPr>
        <w:t>Dragone D, Savorelli L (2012) Thinness and obesity: a model of food consumption health concerns and social pressure. Journal of Health Economics 31: 243-256</w:t>
      </w:r>
    </w:p>
    <w:p w14:paraId="3226170D" w14:textId="77777777" w:rsidR="008D62C7" w:rsidRPr="0021142C" w:rsidRDefault="008D62C7" w:rsidP="008D62C7">
      <w:pPr>
        <w:pStyle w:val="EndNoteBibliography"/>
        <w:spacing w:after="0" w:line="480" w:lineRule="auto"/>
        <w:ind w:left="720" w:hanging="720"/>
        <w:jc w:val="both"/>
        <w:rPr>
          <w:szCs w:val="24"/>
        </w:rPr>
      </w:pPr>
      <w:r w:rsidRPr="0021142C">
        <w:rPr>
          <w:szCs w:val="24"/>
        </w:rPr>
        <w:t>Fantino E, Logan C (1979) The experimental analysis of behavior: a biological perspective. Freeman, San Francisco</w:t>
      </w:r>
    </w:p>
    <w:p w14:paraId="7A4F0EC2" w14:textId="77777777" w:rsidR="008D62C7" w:rsidRPr="0021142C" w:rsidRDefault="008D62C7" w:rsidP="008D62C7">
      <w:pPr>
        <w:pStyle w:val="EndNoteBibliography"/>
        <w:spacing w:after="0" w:line="480" w:lineRule="auto"/>
        <w:ind w:left="720" w:hanging="720"/>
        <w:jc w:val="both"/>
        <w:rPr>
          <w:szCs w:val="24"/>
        </w:rPr>
      </w:pPr>
      <w:r w:rsidRPr="0021142C">
        <w:rPr>
          <w:szCs w:val="24"/>
        </w:rPr>
        <w:t>Finney LJ, Iannotti RJ (2002) Message framing and mammography screening: a theory-driven intervention. Behavioral Medicine 28: 5-14</w:t>
      </w:r>
    </w:p>
    <w:p w14:paraId="45F61BCB" w14:textId="77777777" w:rsidR="008D62C7" w:rsidRPr="0021142C" w:rsidRDefault="008D62C7" w:rsidP="008D62C7">
      <w:pPr>
        <w:pStyle w:val="EndNoteBibliography"/>
        <w:spacing w:after="0" w:line="480" w:lineRule="auto"/>
        <w:ind w:left="720" w:hanging="720"/>
        <w:jc w:val="both"/>
        <w:rPr>
          <w:szCs w:val="24"/>
        </w:rPr>
      </w:pPr>
      <w:r w:rsidRPr="0021142C">
        <w:rPr>
          <w:szCs w:val="24"/>
        </w:rPr>
        <w:t>Frank R (2004) Behavioral economics and health economics. NBER Working Paper 10881, Cambridge MA</w:t>
      </w:r>
    </w:p>
    <w:p w14:paraId="0D950335" w14:textId="77777777" w:rsidR="008D62C7" w:rsidRPr="0021142C" w:rsidRDefault="008D62C7" w:rsidP="008D62C7">
      <w:pPr>
        <w:pStyle w:val="EndNoteBibliography"/>
        <w:spacing w:after="0" w:line="480" w:lineRule="auto"/>
        <w:ind w:left="720" w:hanging="720"/>
        <w:jc w:val="both"/>
        <w:rPr>
          <w:szCs w:val="24"/>
        </w:rPr>
      </w:pPr>
      <w:r w:rsidRPr="0021142C">
        <w:rPr>
          <w:szCs w:val="24"/>
        </w:rPr>
        <w:t>Gallagher KM, Updegraff JA (2011) When 'fit' leads to fit and when 'fit' leads to fat: how message framing and intrinsic vs extrinsic exercise outcomes interact in promoting physical activity. Psychology &amp; Health 26: 819-34</w:t>
      </w:r>
    </w:p>
    <w:p w14:paraId="28A8AE2B" w14:textId="77777777" w:rsidR="008D62C7" w:rsidRPr="0021142C" w:rsidRDefault="008D62C7" w:rsidP="008D62C7">
      <w:pPr>
        <w:pStyle w:val="EndNoteBibliography"/>
        <w:spacing w:after="0" w:line="480" w:lineRule="auto"/>
        <w:ind w:left="720" w:hanging="720"/>
        <w:jc w:val="both"/>
        <w:rPr>
          <w:szCs w:val="24"/>
        </w:rPr>
      </w:pPr>
      <w:r w:rsidRPr="0021142C">
        <w:rPr>
          <w:szCs w:val="24"/>
        </w:rPr>
        <w:t>Gallagher KM, Updegraff JA (2012) Health message framing effects on attitudes intentions and behavior: a meta-analytic review. Annals of Behavioral Medicine 43: 101-116</w:t>
      </w:r>
    </w:p>
    <w:p w14:paraId="6A2E7E03" w14:textId="77777777" w:rsidR="008D62C7" w:rsidRPr="0021142C" w:rsidRDefault="008D62C7" w:rsidP="008D62C7">
      <w:pPr>
        <w:pStyle w:val="EndNoteBibliography"/>
        <w:spacing w:after="0" w:line="480" w:lineRule="auto"/>
        <w:ind w:left="720" w:hanging="720"/>
        <w:jc w:val="both"/>
        <w:rPr>
          <w:szCs w:val="24"/>
        </w:rPr>
      </w:pPr>
      <w:r w:rsidRPr="0021142C">
        <w:rPr>
          <w:szCs w:val="24"/>
        </w:rPr>
        <w:t>Gine X, Karlan D, Zinman J (2010) Put your money where your butt is: a commitment contract for smoking cessation. American Economic Journal: Applied Economics 2: 213-235</w:t>
      </w:r>
    </w:p>
    <w:p w14:paraId="14A5237E" w14:textId="77777777" w:rsidR="008D62C7" w:rsidRPr="0021142C" w:rsidRDefault="008D62C7" w:rsidP="008D62C7">
      <w:pPr>
        <w:pStyle w:val="EndNoteBibliography"/>
        <w:spacing w:after="0" w:line="480" w:lineRule="auto"/>
        <w:ind w:left="720" w:hanging="720"/>
        <w:jc w:val="both"/>
        <w:rPr>
          <w:szCs w:val="24"/>
        </w:rPr>
      </w:pPr>
      <w:r w:rsidRPr="0021142C">
        <w:rPr>
          <w:szCs w:val="24"/>
        </w:rPr>
        <w:t>Gruber J, Köszegi B (2001) Is addiction “rational”? Theory and evidence. Quarterly Journal of Economics 116: 1261-1303</w:t>
      </w:r>
    </w:p>
    <w:p w14:paraId="1E4F498E" w14:textId="77777777" w:rsidR="008D62C7" w:rsidRPr="0021142C" w:rsidRDefault="008D62C7" w:rsidP="008D62C7">
      <w:pPr>
        <w:pStyle w:val="EndNoteBibliography"/>
        <w:spacing w:after="0" w:line="480" w:lineRule="auto"/>
        <w:ind w:left="720" w:hanging="720"/>
        <w:jc w:val="both"/>
        <w:rPr>
          <w:szCs w:val="24"/>
        </w:rPr>
      </w:pPr>
      <w:r w:rsidRPr="0021142C">
        <w:rPr>
          <w:szCs w:val="24"/>
        </w:rPr>
        <w:t>Gul F, Pesendorfer W (2001) Temptation and self-control. Econometrica 69: 1403-1435</w:t>
      </w:r>
    </w:p>
    <w:p w14:paraId="62C58993" w14:textId="77777777" w:rsidR="008D62C7" w:rsidRPr="0021142C" w:rsidRDefault="008D62C7" w:rsidP="008D62C7">
      <w:pPr>
        <w:pStyle w:val="EndNoteBibliography"/>
        <w:spacing w:after="0" w:line="480" w:lineRule="auto"/>
        <w:ind w:left="720" w:hanging="720"/>
        <w:jc w:val="both"/>
        <w:rPr>
          <w:szCs w:val="24"/>
        </w:rPr>
      </w:pPr>
      <w:r w:rsidRPr="0021142C">
        <w:rPr>
          <w:szCs w:val="24"/>
        </w:rPr>
        <w:t>Halpern D, Asch DA, Volpp KG (2012) Commitment contracts as a way to health. BMJ 344</w:t>
      </w:r>
    </w:p>
    <w:p w14:paraId="4F3BC70F" w14:textId="77777777" w:rsidR="008D62C7" w:rsidRPr="0021142C" w:rsidRDefault="008D62C7" w:rsidP="008D62C7">
      <w:pPr>
        <w:pStyle w:val="EndNoteBibliography"/>
        <w:spacing w:after="0" w:line="480" w:lineRule="auto"/>
        <w:ind w:left="720" w:hanging="720"/>
        <w:jc w:val="both"/>
        <w:rPr>
          <w:szCs w:val="24"/>
        </w:rPr>
      </w:pPr>
      <w:r w:rsidRPr="0021142C">
        <w:rPr>
          <w:szCs w:val="24"/>
        </w:rPr>
        <w:t>Hogg M, Abrams D (2001) Intergroup relations: An overview In: Hogg M &amp; Abrams D (ed) Intergroup Relations. Psychology Press, Philadelphia and Hove</w:t>
      </w:r>
    </w:p>
    <w:p w14:paraId="4350718D" w14:textId="77777777" w:rsidR="008D62C7" w:rsidRPr="0021142C" w:rsidRDefault="008D62C7" w:rsidP="008D62C7">
      <w:pPr>
        <w:pStyle w:val="EndNoteBibliography"/>
        <w:spacing w:after="0" w:line="480" w:lineRule="auto"/>
        <w:ind w:left="720" w:hanging="720"/>
        <w:jc w:val="both"/>
        <w:rPr>
          <w:szCs w:val="24"/>
        </w:rPr>
      </w:pPr>
      <w:r w:rsidRPr="0021142C">
        <w:rPr>
          <w:szCs w:val="24"/>
        </w:rPr>
        <w:t>Hollands G, Shemilt I, Marteau T, Jebb S, Kelly M, Nakamura R, Suhrke M, Ogilvie D (2013) Altering micro-environments to change population health behaviour: towards an evidence base for choice architecture interventions. BMC Public Health 13: 1218</w:t>
      </w:r>
    </w:p>
    <w:p w14:paraId="002105AB" w14:textId="77777777" w:rsidR="008D62C7" w:rsidRPr="0021142C" w:rsidRDefault="008D62C7" w:rsidP="008D62C7">
      <w:pPr>
        <w:pStyle w:val="EndNoteBibliography"/>
        <w:spacing w:after="0" w:line="480" w:lineRule="auto"/>
        <w:ind w:left="720" w:hanging="720"/>
        <w:jc w:val="both"/>
        <w:rPr>
          <w:szCs w:val="24"/>
        </w:rPr>
      </w:pPr>
      <w:r w:rsidRPr="0021142C">
        <w:rPr>
          <w:szCs w:val="24"/>
        </w:rPr>
        <w:t>House of Lords (2011) Behaviour change.  Science and Technology Select Committee (ed) London</w:t>
      </w:r>
    </w:p>
    <w:p w14:paraId="0DE323A0" w14:textId="77777777" w:rsidR="008D62C7" w:rsidRPr="0021142C" w:rsidRDefault="008D62C7" w:rsidP="008D62C7">
      <w:pPr>
        <w:pStyle w:val="EndNoteBibliography"/>
        <w:spacing w:after="0" w:line="480" w:lineRule="auto"/>
        <w:ind w:left="720" w:hanging="720"/>
        <w:jc w:val="both"/>
        <w:rPr>
          <w:szCs w:val="24"/>
        </w:rPr>
      </w:pPr>
      <w:r w:rsidRPr="0021142C">
        <w:rPr>
          <w:szCs w:val="24"/>
        </w:rPr>
        <w:t>Kahneman D, Varey C (1991) Notes on the psychology of utility. Cambridge University Press, Cambridge</w:t>
      </w:r>
    </w:p>
    <w:p w14:paraId="5DDA74EF" w14:textId="77777777" w:rsidR="008D62C7" w:rsidRPr="0021142C" w:rsidRDefault="008D62C7" w:rsidP="008D62C7">
      <w:pPr>
        <w:pStyle w:val="EndNoteBibliography"/>
        <w:spacing w:after="0" w:line="480" w:lineRule="auto"/>
        <w:ind w:left="720" w:hanging="720"/>
        <w:jc w:val="both"/>
        <w:rPr>
          <w:szCs w:val="24"/>
        </w:rPr>
      </w:pPr>
      <w:r w:rsidRPr="0021142C">
        <w:rPr>
          <w:szCs w:val="24"/>
        </w:rPr>
        <w:t>Knapp LG (1991) Effects of type of value appealed to and valence of appeal on children's dental health behavior. Journal of Pediatric Psychology 16: 675-86</w:t>
      </w:r>
    </w:p>
    <w:p w14:paraId="20C4EBCB" w14:textId="77777777" w:rsidR="008D62C7" w:rsidRPr="0021142C" w:rsidRDefault="008D62C7" w:rsidP="008D62C7">
      <w:pPr>
        <w:pStyle w:val="EndNoteBibliography"/>
        <w:spacing w:after="0" w:line="480" w:lineRule="auto"/>
        <w:ind w:left="720" w:hanging="720"/>
        <w:jc w:val="both"/>
        <w:rPr>
          <w:szCs w:val="24"/>
        </w:rPr>
      </w:pPr>
      <w:r w:rsidRPr="0021142C">
        <w:rPr>
          <w:szCs w:val="24"/>
        </w:rPr>
        <w:t>Krauth BV (2006) Simulation-based estimation of peer effects. Journal of Econometrics 133: 243-271</w:t>
      </w:r>
    </w:p>
    <w:p w14:paraId="3D96972C" w14:textId="77777777" w:rsidR="008D62C7" w:rsidRPr="0021142C" w:rsidRDefault="008D62C7" w:rsidP="008D62C7">
      <w:pPr>
        <w:pStyle w:val="EndNoteBibliography"/>
        <w:spacing w:after="0" w:line="480" w:lineRule="auto"/>
        <w:ind w:left="720" w:hanging="720"/>
        <w:jc w:val="both"/>
        <w:rPr>
          <w:szCs w:val="24"/>
        </w:rPr>
      </w:pPr>
      <w:r w:rsidRPr="0021142C">
        <w:rPr>
          <w:szCs w:val="24"/>
        </w:rPr>
        <w:t>Lee L-f (2007) Identification and estimation of econometric models with group interactions contextual factors and fixed effects. Journal of Econometrics 140: 333-374</w:t>
      </w:r>
    </w:p>
    <w:p w14:paraId="55325750" w14:textId="77777777" w:rsidR="008D62C7" w:rsidRPr="0021142C" w:rsidRDefault="008D62C7" w:rsidP="008D62C7">
      <w:pPr>
        <w:pStyle w:val="EndNoteBibliography"/>
        <w:spacing w:after="0" w:line="480" w:lineRule="auto"/>
        <w:ind w:left="720" w:hanging="720"/>
        <w:jc w:val="both"/>
        <w:rPr>
          <w:szCs w:val="24"/>
        </w:rPr>
      </w:pPr>
      <w:r w:rsidRPr="0021142C">
        <w:rPr>
          <w:szCs w:val="24"/>
        </w:rPr>
        <w:t>Loewenstein G, Asch DA, Friedman JY, Melichar LA, Volpp KG (2012) Can behavioural economics make us healthier? BMJ 344: e3482</w:t>
      </w:r>
    </w:p>
    <w:p w14:paraId="074C7A39" w14:textId="77777777" w:rsidR="008D62C7" w:rsidRPr="0021142C" w:rsidRDefault="008D62C7" w:rsidP="008D62C7">
      <w:pPr>
        <w:pStyle w:val="EndNoteBibliography"/>
        <w:spacing w:after="0" w:line="480" w:lineRule="auto"/>
        <w:ind w:left="720" w:hanging="720"/>
        <w:jc w:val="both"/>
        <w:rPr>
          <w:szCs w:val="24"/>
        </w:rPr>
      </w:pPr>
      <w:r w:rsidRPr="0021142C">
        <w:rPr>
          <w:szCs w:val="24"/>
        </w:rPr>
        <w:t>Loewenstein G, Brennan T, Volpp KG (2007) Asymmetric paternalism to improve health behaviors. Journal of the American Medical Association 298: 2415-7</w:t>
      </w:r>
    </w:p>
    <w:p w14:paraId="1BF98E3D" w14:textId="77777777" w:rsidR="008D62C7" w:rsidRPr="0021142C" w:rsidRDefault="008D62C7" w:rsidP="008D62C7">
      <w:pPr>
        <w:pStyle w:val="EndNoteBibliography"/>
        <w:spacing w:after="0" w:line="480" w:lineRule="auto"/>
        <w:ind w:left="720" w:hanging="720"/>
        <w:jc w:val="both"/>
        <w:rPr>
          <w:szCs w:val="24"/>
        </w:rPr>
      </w:pPr>
      <w:r w:rsidRPr="0021142C">
        <w:rPr>
          <w:szCs w:val="24"/>
        </w:rPr>
        <w:t>Loewenstein G, O'Donoghue T, Rabin M (2003) Projection bias in predicting future utility. Quarterly Journal of Economics 118: 1209-1248</w:t>
      </w:r>
    </w:p>
    <w:p w14:paraId="4FD2701C" w14:textId="77777777" w:rsidR="008D62C7" w:rsidRPr="0021142C" w:rsidRDefault="008D62C7" w:rsidP="008D62C7">
      <w:pPr>
        <w:pStyle w:val="EndNoteBibliography"/>
        <w:spacing w:after="0" w:line="480" w:lineRule="auto"/>
        <w:ind w:left="720" w:hanging="720"/>
        <w:jc w:val="both"/>
        <w:rPr>
          <w:i/>
          <w:noProof w:val="0"/>
          <w:szCs w:val="24"/>
          <w:lang w:val="en-US"/>
        </w:rPr>
      </w:pPr>
      <w:r w:rsidRPr="0021142C">
        <w:rPr>
          <w:szCs w:val="24"/>
          <w:lang w:val="en-US"/>
        </w:rPr>
        <w:t xml:space="preserve">London B (2013) Fit for nothing? couch potatoes will waste £1000 EACH this year on memberships kit and equipment they will never use. </w:t>
      </w:r>
      <w:r w:rsidRPr="0021142C">
        <w:rPr>
          <w:i/>
          <w:szCs w:val="24"/>
          <w:lang w:val="en-US"/>
        </w:rPr>
        <w:t xml:space="preserve">Daily Mail </w:t>
      </w:r>
      <w:r w:rsidRPr="0021142C">
        <w:rPr>
          <w:szCs w:val="24"/>
          <w:lang w:val="en-US"/>
        </w:rPr>
        <w:t>January 10</w:t>
      </w:r>
    </w:p>
    <w:p w14:paraId="5723B39E" w14:textId="77777777" w:rsidR="008D62C7" w:rsidRPr="0021142C" w:rsidRDefault="008D62C7" w:rsidP="008D62C7">
      <w:pPr>
        <w:pStyle w:val="EndNoteBibliography"/>
        <w:spacing w:after="0" w:line="480" w:lineRule="auto"/>
        <w:ind w:left="720" w:hanging="720"/>
        <w:jc w:val="both"/>
        <w:rPr>
          <w:szCs w:val="24"/>
        </w:rPr>
      </w:pPr>
      <w:r w:rsidRPr="0021142C">
        <w:rPr>
          <w:szCs w:val="24"/>
        </w:rPr>
        <w:t>Lott M (2013) Gov't knows best? White House creates 'nudge squad' to shape behavior. FoxNews.com July 30</w:t>
      </w:r>
    </w:p>
    <w:p w14:paraId="0FAE9F40" w14:textId="77777777" w:rsidR="008D62C7" w:rsidRPr="0021142C" w:rsidRDefault="008D62C7" w:rsidP="008D62C7">
      <w:pPr>
        <w:pStyle w:val="EndNoteBibliography"/>
        <w:spacing w:after="0" w:line="480" w:lineRule="auto"/>
        <w:ind w:left="720" w:hanging="720"/>
        <w:jc w:val="both"/>
        <w:rPr>
          <w:szCs w:val="24"/>
        </w:rPr>
      </w:pPr>
      <w:r w:rsidRPr="0021142C">
        <w:rPr>
          <w:szCs w:val="24"/>
        </w:rPr>
        <w:t>Mann T, Sherman D, Updegraff J (2004) Dispositional motivations and message framing: a test of the congruency hypothesis in college students. Health Psychology 23: 330-4</w:t>
      </w:r>
    </w:p>
    <w:p w14:paraId="39200E7A" w14:textId="77777777" w:rsidR="008D62C7" w:rsidRPr="0021142C" w:rsidRDefault="008D62C7" w:rsidP="008D62C7">
      <w:pPr>
        <w:pStyle w:val="EndNoteBibliography"/>
        <w:spacing w:after="0" w:line="480" w:lineRule="auto"/>
        <w:ind w:left="720" w:hanging="720"/>
        <w:jc w:val="both"/>
        <w:rPr>
          <w:szCs w:val="24"/>
        </w:rPr>
      </w:pPr>
      <w:r w:rsidRPr="0021142C">
        <w:rPr>
          <w:szCs w:val="24"/>
        </w:rPr>
        <w:t>Manski CF (1993) Identification of endogenous social effects: the reflection problem. Review of Economic Studies 60: 531-542</w:t>
      </w:r>
    </w:p>
    <w:p w14:paraId="1DD828F4" w14:textId="77777777" w:rsidR="008D62C7" w:rsidRPr="0021142C" w:rsidRDefault="008D62C7" w:rsidP="008D62C7">
      <w:pPr>
        <w:pStyle w:val="EndNoteBibliography"/>
        <w:spacing w:after="0" w:line="480" w:lineRule="auto"/>
        <w:ind w:left="720" w:hanging="720"/>
        <w:jc w:val="both"/>
        <w:rPr>
          <w:szCs w:val="24"/>
        </w:rPr>
      </w:pPr>
      <w:r w:rsidRPr="0021142C">
        <w:rPr>
          <w:szCs w:val="24"/>
        </w:rPr>
        <w:t>Manski CF (2000) Economic analysis of social interactions. Journal of Economic Perspectives 14: 115-136</w:t>
      </w:r>
    </w:p>
    <w:p w14:paraId="08A7C8D3" w14:textId="77777777" w:rsidR="008D62C7" w:rsidRPr="0021142C" w:rsidRDefault="008D62C7" w:rsidP="008D62C7">
      <w:pPr>
        <w:pStyle w:val="EndNoteBibliography"/>
        <w:spacing w:after="0" w:line="480" w:lineRule="auto"/>
        <w:ind w:left="720" w:hanging="720"/>
        <w:jc w:val="both"/>
        <w:rPr>
          <w:szCs w:val="24"/>
        </w:rPr>
      </w:pPr>
      <w:r w:rsidRPr="0021142C">
        <w:rPr>
          <w:szCs w:val="24"/>
        </w:rPr>
        <w:t>Marteau TM, Ogilvie D, Roland M, Suhrcke M, Kelly MP (2011) Judging nudging: can nudging improve population health? BMJ 342: d228</w:t>
      </w:r>
    </w:p>
    <w:p w14:paraId="27CFF243" w14:textId="77777777" w:rsidR="008D62C7" w:rsidRPr="0021142C" w:rsidRDefault="008D62C7" w:rsidP="008D62C7">
      <w:pPr>
        <w:pStyle w:val="EndNoteBibliography"/>
        <w:spacing w:after="0" w:line="480" w:lineRule="auto"/>
        <w:ind w:left="720" w:hanging="720"/>
        <w:jc w:val="both"/>
        <w:rPr>
          <w:rFonts w:asciiTheme="minorHAnsi" w:hAnsiTheme="minorHAnsi"/>
          <w:szCs w:val="24"/>
        </w:rPr>
      </w:pPr>
      <w:r w:rsidRPr="0021142C">
        <w:rPr>
          <w:szCs w:val="24"/>
        </w:rPr>
        <w:t xml:space="preserve">Moreira MT, Smith L, Foxcroft D (2009) Social norms interventions to reduce alcohol misuse in university or college students. Cochrane Database Systematic Review </w:t>
      </w:r>
      <w:r w:rsidRPr="0021142C">
        <w:rPr>
          <w:rFonts w:asciiTheme="minorHAnsi" w:hAnsiTheme="minorHAnsi" w:cs="Arial"/>
          <w:color w:val="000000"/>
          <w:szCs w:val="24"/>
          <w:shd w:val="clear" w:color="auto" w:fill="FFFFFF"/>
        </w:rPr>
        <w:t>doi: 101002/14651858CD006748pub2</w:t>
      </w:r>
    </w:p>
    <w:p w14:paraId="6F8DC33D" w14:textId="77777777" w:rsidR="008D62C7" w:rsidRPr="0021142C" w:rsidRDefault="008D62C7" w:rsidP="008D62C7">
      <w:pPr>
        <w:pStyle w:val="EndNoteBibliography"/>
        <w:spacing w:after="0" w:line="480" w:lineRule="auto"/>
        <w:ind w:left="720" w:hanging="720"/>
        <w:jc w:val="both"/>
        <w:rPr>
          <w:szCs w:val="24"/>
        </w:rPr>
      </w:pPr>
      <w:r w:rsidRPr="0021142C">
        <w:rPr>
          <w:szCs w:val="24"/>
        </w:rPr>
        <w:t>Murphy JG, Correia CJ, Barnett NP (2007) Behavioral economic approaches to reduce college student drinking. Addictive Behaviors 32: 2573-2585</w:t>
      </w:r>
    </w:p>
    <w:p w14:paraId="2C87DF44" w14:textId="77777777" w:rsidR="008D62C7" w:rsidRPr="0021142C" w:rsidRDefault="008D62C7" w:rsidP="008D62C7">
      <w:pPr>
        <w:pStyle w:val="EndNoteBibliography"/>
        <w:spacing w:after="0" w:line="480" w:lineRule="auto"/>
        <w:ind w:left="720" w:hanging="720"/>
        <w:jc w:val="both"/>
        <w:rPr>
          <w:szCs w:val="24"/>
        </w:rPr>
      </w:pPr>
      <w:r w:rsidRPr="0021142C">
        <w:rPr>
          <w:szCs w:val="24"/>
        </w:rPr>
        <w:t>Nakajima R (2007) Measuring peer effects on youth smoking behaviour. Review of Economic Studies 74: 897-935</w:t>
      </w:r>
    </w:p>
    <w:p w14:paraId="738D00F4" w14:textId="77777777" w:rsidR="008D62C7" w:rsidRPr="0021142C" w:rsidRDefault="008D62C7" w:rsidP="008D62C7">
      <w:pPr>
        <w:pStyle w:val="EndNoteBibliography"/>
        <w:spacing w:after="0" w:line="480" w:lineRule="auto"/>
        <w:ind w:left="720" w:hanging="720"/>
        <w:jc w:val="both"/>
        <w:rPr>
          <w:szCs w:val="24"/>
        </w:rPr>
      </w:pPr>
      <w:r w:rsidRPr="0021142C">
        <w:rPr>
          <w:szCs w:val="24"/>
        </w:rPr>
        <w:t>O'Donoghue T, Rabin M (2006) Optimal sin taxes. Journal of Public Economics 90: 1825-1849</w:t>
      </w:r>
    </w:p>
    <w:p w14:paraId="036A74E6" w14:textId="77777777" w:rsidR="008D62C7" w:rsidRPr="0021142C" w:rsidRDefault="008D62C7" w:rsidP="008D62C7">
      <w:pPr>
        <w:pStyle w:val="EndNoteBibliography"/>
        <w:spacing w:after="0" w:line="480" w:lineRule="auto"/>
        <w:ind w:left="720" w:hanging="720"/>
        <w:jc w:val="both"/>
        <w:rPr>
          <w:szCs w:val="24"/>
        </w:rPr>
      </w:pPr>
      <w:r w:rsidRPr="0021142C">
        <w:rPr>
          <w:szCs w:val="24"/>
        </w:rPr>
        <w:t>O'Keefe DJ, Wu D (2012) Gain-framed messages do not motivate sun protection: a meta-analytic review of randomized trials comparing gain-framed and loss-framed appeals for promoting skin cancer prevention. International Journal of Environmental Research and Public Health 9: 2121-2133</w:t>
      </w:r>
    </w:p>
    <w:p w14:paraId="26135062" w14:textId="77777777" w:rsidR="008D62C7" w:rsidRPr="0021142C" w:rsidRDefault="008D62C7" w:rsidP="008D62C7">
      <w:pPr>
        <w:pStyle w:val="EndNoteBibliography"/>
        <w:spacing w:after="0" w:line="480" w:lineRule="auto"/>
        <w:ind w:left="720" w:hanging="720"/>
        <w:jc w:val="both"/>
        <w:rPr>
          <w:szCs w:val="24"/>
        </w:rPr>
      </w:pPr>
      <w:r w:rsidRPr="0021142C">
        <w:rPr>
          <w:szCs w:val="24"/>
        </w:rPr>
        <w:t>Ouillier O, Sauneron S (2010) Improving public health prevention with behavioural cognitive and neuroscience. Centre for Strategic Analysis Paris</w:t>
      </w:r>
    </w:p>
    <w:p w14:paraId="4DFF7540" w14:textId="77777777" w:rsidR="008D62C7" w:rsidRPr="0021142C" w:rsidRDefault="008D62C7" w:rsidP="008D62C7">
      <w:pPr>
        <w:pStyle w:val="EndNoteBibliography"/>
        <w:spacing w:after="0" w:line="480" w:lineRule="auto"/>
        <w:ind w:left="720" w:hanging="720"/>
        <w:jc w:val="both"/>
        <w:rPr>
          <w:szCs w:val="24"/>
        </w:rPr>
      </w:pPr>
      <w:r w:rsidRPr="0021142C">
        <w:rPr>
          <w:szCs w:val="24"/>
        </w:rPr>
        <w:t>Phelps ES, Pollak RA (1968) On second-best national saving and game-equilibrium growth. Review of Economic Studies 35: 185-199</w:t>
      </w:r>
    </w:p>
    <w:p w14:paraId="5C41F430" w14:textId="77777777" w:rsidR="008D62C7" w:rsidRPr="0021142C" w:rsidRDefault="008D62C7" w:rsidP="008D62C7">
      <w:pPr>
        <w:pStyle w:val="EndNoteBibliography"/>
        <w:spacing w:after="0" w:line="480" w:lineRule="auto"/>
        <w:ind w:left="720" w:hanging="720"/>
        <w:jc w:val="both"/>
        <w:rPr>
          <w:szCs w:val="24"/>
        </w:rPr>
      </w:pPr>
      <w:r w:rsidRPr="0021142C">
        <w:rPr>
          <w:szCs w:val="24"/>
        </w:rPr>
        <w:t>Pliner P, Mann N (2004) Influence of social norms and palatability on amount consumed and food choice. Appetite 42: 227-37</w:t>
      </w:r>
    </w:p>
    <w:p w14:paraId="6941AA67" w14:textId="77777777" w:rsidR="008D62C7" w:rsidRPr="0021142C" w:rsidRDefault="008D62C7" w:rsidP="008D62C7">
      <w:pPr>
        <w:pStyle w:val="EndNoteBibliography"/>
        <w:spacing w:after="0" w:line="480" w:lineRule="auto"/>
        <w:ind w:left="720" w:hanging="720"/>
        <w:jc w:val="both"/>
        <w:rPr>
          <w:szCs w:val="24"/>
        </w:rPr>
      </w:pPr>
      <w:r w:rsidRPr="0021142C">
        <w:rPr>
          <w:szCs w:val="24"/>
        </w:rPr>
        <w:t>Rabin M (2011) Healthy habits: some thoughts on the role of public policy in healthful eating and exercise under limited rationality. University of California, Berkeley</w:t>
      </w:r>
    </w:p>
    <w:p w14:paraId="173330E0" w14:textId="77777777" w:rsidR="008D62C7" w:rsidRPr="0021142C" w:rsidRDefault="008D62C7" w:rsidP="008D62C7">
      <w:pPr>
        <w:pStyle w:val="EndNoteBibliography"/>
        <w:spacing w:after="0" w:line="480" w:lineRule="auto"/>
        <w:ind w:left="720" w:hanging="720"/>
        <w:jc w:val="both"/>
        <w:rPr>
          <w:szCs w:val="24"/>
        </w:rPr>
      </w:pPr>
      <w:r w:rsidRPr="0021142C">
        <w:rPr>
          <w:szCs w:val="24"/>
        </w:rPr>
        <w:t>Rachlin H (1989) Judgment decision and choice: a cognitive/behavioral synthesis. Freeman, San Francisco</w:t>
      </w:r>
    </w:p>
    <w:p w14:paraId="21E6B3BB" w14:textId="77777777" w:rsidR="008D62C7" w:rsidRPr="0021142C" w:rsidRDefault="008D62C7" w:rsidP="008D62C7">
      <w:pPr>
        <w:pStyle w:val="EndNoteBibliography"/>
        <w:spacing w:after="0" w:line="480" w:lineRule="auto"/>
        <w:ind w:left="720" w:hanging="720"/>
        <w:jc w:val="both"/>
        <w:rPr>
          <w:szCs w:val="24"/>
        </w:rPr>
      </w:pPr>
      <w:r w:rsidRPr="0021142C">
        <w:rPr>
          <w:szCs w:val="24"/>
        </w:rPr>
        <w:t>Reid JL, Manske SR, Leatherdale ST (2008) Factors related to adolescents' estimation of peer smoking prevalence. Health Education Research 23: 81-93</w:t>
      </w:r>
    </w:p>
    <w:p w14:paraId="2A89C2CF" w14:textId="77777777" w:rsidR="008D62C7" w:rsidRPr="0021142C" w:rsidRDefault="008D62C7" w:rsidP="008D62C7">
      <w:pPr>
        <w:pStyle w:val="EndNoteBibliography"/>
        <w:spacing w:after="0" w:line="480" w:lineRule="auto"/>
        <w:ind w:left="720" w:hanging="720"/>
        <w:jc w:val="both"/>
        <w:rPr>
          <w:szCs w:val="24"/>
        </w:rPr>
      </w:pPr>
      <w:r w:rsidRPr="0021142C">
        <w:rPr>
          <w:szCs w:val="24"/>
        </w:rPr>
        <w:t>Richardson JL, Milam J, McCutchan A, Stoyanoff S, Bolan R, Weiss J, Kemper C, Larsen RA, Hollander H, Weismuller P, Chou CP, Marks G (2004) Effect of brief safer-sex counseling by medical providers to HIV-1 seropositive patients: a multi-clinic assessment. AIDS 18: 1179-86</w:t>
      </w:r>
    </w:p>
    <w:p w14:paraId="020349AF" w14:textId="77777777" w:rsidR="008D62C7" w:rsidRPr="0021142C" w:rsidRDefault="008D62C7" w:rsidP="008D62C7">
      <w:pPr>
        <w:pStyle w:val="EndNoteBibliography"/>
        <w:spacing w:after="0" w:line="480" w:lineRule="auto"/>
        <w:ind w:left="720" w:hanging="720"/>
        <w:jc w:val="both"/>
        <w:rPr>
          <w:szCs w:val="24"/>
        </w:rPr>
      </w:pPr>
      <w:r w:rsidRPr="0021142C">
        <w:rPr>
          <w:szCs w:val="24"/>
        </w:rPr>
        <w:t>Rothman AJ, Salovey P (1997) Shaping perceptions to motivate healthy behavior: the role of message framing. Psychological Bulletin 121: 3-19</w:t>
      </w:r>
    </w:p>
    <w:p w14:paraId="532E60D1" w14:textId="77777777" w:rsidR="008D62C7" w:rsidRPr="0021142C" w:rsidRDefault="008D62C7" w:rsidP="008D62C7">
      <w:pPr>
        <w:pStyle w:val="EndNoteBibliography"/>
        <w:spacing w:after="0" w:line="480" w:lineRule="auto"/>
        <w:ind w:left="720" w:hanging="720"/>
        <w:jc w:val="both"/>
        <w:rPr>
          <w:szCs w:val="24"/>
        </w:rPr>
      </w:pPr>
      <w:r w:rsidRPr="0021142C">
        <w:rPr>
          <w:szCs w:val="24"/>
        </w:rPr>
        <w:t>Rothman AJ, Salovey P, Antone C, Keough K, Martin CD (1993) The influence of message framing on intentions to perform health behaviors. Journal of Experimental Social Psychology 29: 408-433</w:t>
      </w:r>
    </w:p>
    <w:p w14:paraId="35450C25" w14:textId="77777777" w:rsidR="008D62C7" w:rsidRPr="0021142C" w:rsidRDefault="008D62C7" w:rsidP="008D62C7">
      <w:pPr>
        <w:pStyle w:val="EndNoteBibliography"/>
        <w:spacing w:after="0" w:line="480" w:lineRule="auto"/>
        <w:ind w:left="720" w:hanging="720"/>
        <w:jc w:val="both"/>
        <w:rPr>
          <w:szCs w:val="24"/>
        </w:rPr>
      </w:pPr>
      <w:r w:rsidRPr="0021142C">
        <w:rPr>
          <w:szCs w:val="24"/>
        </w:rPr>
        <w:t>Salovey P, Wegener DT (2003) Communicating about health: Message framing persuation and health behavior. In: Suls J Wallston KA (ed) Social Psychological Foundations of Health and Illness. Blackwell Publishing, Malden MA</w:t>
      </w:r>
    </w:p>
    <w:p w14:paraId="34EFA63B" w14:textId="77777777" w:rsidR="008D62C7" w:rsidRPr="0021142C" w:rsidRDefault="008D62C7" w:rsidP="008D62C7">
      <w:pPr>
        <w:pStyle w:val="EndNoteBibliography"/>
        <w:spacing w:after="0" w:line="480" w:lineRule="auto"/>
        <w:ind w:left="720" w:hanging="720"/>
        <w:jc w:val="both"/>
        <w:rPr>
          <w:szCs w:val="24"/>
        </w:rPr>
      </w:pPr>
      <w:r w:rsidRPr="0021142C">
        <w:rPr>
          <w:szCs w:val="24"/>
        </w:rPr>
        <w:t>Schneider TR, Salovey P, Apanovitch AM, Pizarro J, McCarthy D, Zullo J, Rothman AJ (2001) The effects of message framing and ethnic targeting on mammography use among low-income women. Health Psychology 20: 256</w:t>
      </w:r>
    </w:p>
    <w:p w14:paraId="68C90783" w14:textId="77777777" w:rsidR="008D62C7" w:rsidRPr="0021142C" w:rsidRDefault="008D62C7" w:rsidP="008D62C7">
      <w:pPr>
        <w:pStyle w:val="EndNoteBibliography"/>
        <w:spacing w:after="0" w:line="480" w:lineRule="auto"/>
        <w:ind w:left="720" w:hanging="720"/>
        <w:jc w:val="both"/>
        <w:rPr>
          <w:szCs w:val="24"/>
        </w:rPr>
      </w:pPr>
      <w:r w:rsidRPr="0021142C">
        <w:rPr>
          <w:szCs w:val="24"/>
        </w:rPr>
        <w:t>Schubert C (2015) Opportunity and preference learning. Economics and Philosophy 31: 275–295</w:t>
      </w:r>
    </w:p>
    <w:p w14:paraId="033223E1" w14:textId="77777777" w:rsidR="008D62C7" w:rsidRPr="0021142C" w:rsidRDefault="008D62C7" w:rsidP="008D62C7">
      <w:pPr>
        <w:pStyle w:val="EndNoteBibliography"/>
        <w:spacing w:after="0" w:line="480" w:lineRule="auto"/>
        <w:ind w:left="720" w:hanging="720"/>
        <w:jc w:val="both"/>
        <w:rPr>
          <w:szCs w:val="24"/>
        </w:rPr>
      </w:pPr>
      <w:r w:rsidRPr="0021142C">
        <w:rPr>
          <w:szCs w:val="24"/>
        </w:rPr>
        <w:t xml:space="preserve">Skořepa M (2011) Decision making: A behavioral economic approach. Palgrave, Houndsmills, Basingstoke </w:t>
      </w:r>
    </w:p>
    <w:p w14:paraId="359728CF" w14:textId="77777777" w:rsidR="008D62C7" w:rsidRPr="0021142C" w:rsidRDefault="008D62C7" w:rsidP="008D62C7">
      <w:pPr>
        <w:pStyle w:val="EndNoteBibliography"/>
        <w:spacing w:after="0" w:line="480" w:lineRule="auto"/>
        <w:ind w:left="720" w:hanging="720"/>
        <w:jc w:val="both"/>
        <w:rPr>
          <w:szCs w:val="24"/>
        </w:rPr>
      </w:pPr>
      <w:r w:rsidRPr="0021142C">
        <w:rPr>
          <w:szCs w:val="24"/>
        </w:rPr>
        <w:t>Starmer C (2000). Developments in non-expected utility theory: the hunt for a descriptive theory of choice under risk. Journal of Economic Literature 38: 332-382</w:t>
      </w:r>
    </w:p>
    <w:p w14:paraId="03055E47" w14:textId="77777777" w:rsidR="008D62C7" w:rsidRPr="0021142C" w:rsidRDefault="008D62C7" w:rsidP="008D62C7">
      <w:pPr>
        <w:pStyle w:val="EndNoteBibliography"/>
        <w:spacing w:after="0" w:line="480" w:lineRule="auto"/>
        <w:ind w:left="720" w:hanging="720"/>
        <w:jc w:val="both"/>
        <w:rPr>
          <w:szCs w:val="24"/>
        </w:rPr>
      </w:pPr>
      <w:r w:rsidRPr="0021142C">
        <w:rPr>
          <w:szCs w:val="24"/>
        </w:rPr>
        <w:t>Sugden R (2004) The opportunity criterion: consumer sovereignty without the assumption of coherent preferences. American Economic Review 94: 1014–1033</w:t>
      </w:r>
    </w:p>
    <w:p w14:paraId="7FFE826F" w14:textId="77777777" w:rsidR="008D62C7" w:rsidRPr="0021142C" w:rsidRDefault="008D62C7" w:rsidP="008D62C7">
      <w:pPr>
        <w:pStyle w:val="EndNoteBibliography"/>
        <w:spacing w:after="0" w:line="480" w:lineRule="auto"/>
        <w:ind w:left="720" w:hanging="720"/>
        <w:jc w:val="both"/>
        <w:rPr>
          <w:szCs w:val="24"/>
        </w:rPr>
      </w:pPr>
      <w:r w:rsidRPr="0021142C">
        <w:rPr>
          <w:szCs w:val="24"/>
        </w:rPr>
        <w:t>Sugden R (2015) Opportunity and preference learning: A reply to Christian Schubert. Economics and Philosophy 31:297-303</w:t>
      </w:r>
    </w:p>
    <w:p w14:paraId="61DEE8D1" w14:textId="77777777" w:rsidR="008D62C7" w:rsidRPr="0021142C" w:rsidRDefault="008D62C7" w:rsidP="008D62C7">
      <w:pPr>
        <w:pStyle w:val="EndNoteBibliography"/>
        <w:spacing w:after="0" w:line="480" w:lineRule="auto"/>
        <w:ind w:left="720" w:hanging="720"/>
        <w:jc w:val="both"/>
        <w:rPr>
          <w:szCs w:val="24"/>
        </w:rPr>
      </w:pPr>
      <w:r w:rsidRPr="0021142C">
        <w:rPr>
          <w:szCs w:val="24"/>
        </w:rPr>
        <w:t>Thaler RH, Sunstein CR (2008) Nudge: Improving decisions about health wealth and happiness. Yale University Press</w:t>
      </w:r>
    </w:p>
    <w:p w14:paraId="3F967A82" w14:textId="77777777" w:rsidR="008D62C7" w:rsidRPr="0021142C" w:rsidRDefault="008D62C7" w:rsidP="008D62C7">
      <w:pPr>
        <w:pStyle w:val="EndNoteBibliography"/>
        <w:spacing w:after="0" w:line="480" w:lineRule="auto"/>
        <w:ind w:left="720" w:hanging="720"/>
        <w:jc w:val="both"/>
        <w:rPr>
          <w:szCs w:val="24"/>
        </w:rPr>
      </w:pPr>
      <w:r w:rsidRPr="0021142C">
        <w:rPr>
          <w:szCs w:val="24"/>
        </w:rPr>
        <w:t>Trupp RJ, Corwin EJ, Ahijevych KL, Nygren T (2011) The impact of educational message framing on adherence to continuous positive airway pressure therapy. Behavioral Sleep Medicine 9: 38-52</w:t>
      </w:r>
    </w:p>
    <w:p w14:paraId="0AE6AC3D" w14:textId="77777777" w:rsidR="008D62C7" w:rsidRPr="0021142C" w:rsidRDefault="008D62C7" w:rsidP="008D62C7">
      <w:pPr>
        <w:pStyle w:val="EndNoteBibliography"/>
        <w:spacing w:after="0" w:line="480" w:lineRule="auto"/>
        <w:ind w:left="720" w:hanging="720"/>
        <w:jc w:val="both"/>
        <w:rPr>
          <w:szCs w:val="24"/>
        </w:rPr>
      </w:pPr>
      <w:r w:rsidRPr="0021142C">
        <w:rPr>
          <w:szCs w:val="24"/>
        </w:rPr>
        <w:t>Tversky A, Kahneman D (1981) The framing of decisions and the psychology of choice. Science 211: 453-8</w:t>
      </w:r>
    </w:p>
    <w:p w14:paraId="4E6A5FEC" w14:textId="77777777" w:rsidR="008D62C7" w:rsidRPr="0021142C" w:rsidRDefault="008D62C7" w:rsidP="008D62C7">
      <w:pPr>
        <w:pStyle w:val="EndNoteBibliography"/>
        <w:spacing w:after="0" w:line="480" w:lineRule="auto"/>
        <w:ind w:left="720" w:hanging="720"/>
        <w:jc w:val="both"/>
        <w:rPr>
          <w:szCs w:val="24"/>
        </w:rPr>
      </w:pPr>
      <w:r w:rsidRPr="0021142C">
        <w:rPr>
          <w:szCs w:val="24"/>
        </w:rPr>
        <w:t>Tversky A, Kahneman D (1992) Advances in prospect theory: cumulative representation of uncertainty. Journal of Risk and Uncertainty 5: 297-323</w:t>
      </w:r>
    </w:p>
    <w:p w14:paraId="61EED0AD" w14:textId="77777777" w:rsidR="008D62C7" w:rsidRPr="0021142C" w:rsidRDefault="008D62C7" w:rsidP="008D62C7">
      <w:pPr>
        <w:pStyle w:val="EndNoteBibliography"/>
        <w:spacing w:after="0" w:line="480" w:lineRule="auto"/>
        <w:ind w:left="720" w:hanging="720"/>
        <w:jc w:val="both"/>
        <w:rPr>
          <w:szCs w:val="24"/>
        </w:rPr>
      </w:pPr>
      <w:r w:rsidRPr="0021142C">
        <w:rPr>
          <w:szCs w:val="24"/>
        </w:rPr>
        <w:t>Wisdom J, Downs JS, Loewenstein G (2010) Promoting healthy choices: Information versus convenience. American Economic Journal: Applied Economics 2: 164-178</w:t>
      </w:r>
    </w:p>
    <w:p w14:paraId="21C864ED" w14:textId="77777777" w:rsidR="008D62C7" w:rsidRPr="0021142C" w:rsidRDefault="008D62C7" w:rsidP="008D62C7">
      <w:pPr>
        <w:pStyle w:val="EndNoteBibliography"/>
        <w:spacing w:after="0" w:line="480" w:lineRule="auto"/>
        <w:ind w:left="720" w:hanging="720"/>
        <w:jc w:val="both"/>
        <w:rPr>
          <w:szCs w:val="24"/>
        </w:rPr>
      </w:pPr>
      <w:r w:rsidRPr="0021142C">
        <w:rPr>
          <w:szCs w:val="24"/>
        </w:rPr>
        <w:t>Zafar B (2011) An experimental investigation of why individuals conform. European Economic Review 55: 774-798</w:t>
      </w:r>
    </w:p>
    <w:p w14:paraId="1FD4970A" w14:textId="77777777" w:rsidR="008D62C7" w:rsidRPr="0021142C" w:rsidRDefault="008D62C7" w:rsidP="008D62C7">
      <w:pPr>
        <w:pStyle w:val="EndNoteBibliography"/>
        <w:spacing w:after="0" w:line="480" w:lineRule="auto"/>
        <w:ind w:left="720" w:hanging="720"/>
        <w:jc w:val="both"/>
        <w:rPr>
          <w:szCs w:val="24"/>
        </w:rPr>
      </w:pPr>
      <w:r w:rsidRPr="0021142C">
        <w:rPr>
          <w:szCs w:val="24"/>
        </w:rPr>
        <w:t>Zimmerman FJ (2009) Using behavioral economics to promote physical activity. Preventive Medicine 49: 289-291</w:t>
      </w:r>
    </w:p>
    <w:p w14:paraId="39B3244A" w14:textId="77777777" w:rsidR="008D62C7" w:rsidRPr="0021142C" w:rsidRDefault="008D62C7" w:rsidP="008D62C7">
      <w:pPr>
        <w:pStyle w:val="EndNoteBibliography"/>
        <w:spacing w:after="0" w:line="480" w:lineRule="auto"/>
        <w:ind w:left="720" w:hanging="720"/>
        <w:jc w:val="both"/>
        <w:rPr>
          <w:szCs w:val="24"/>
        </w:rPr>
      </w:pPr>
      <w:r w:rsidRPr="0021142C">
        <w:rPr>
          <w:szCs w:val="24"/>
        </w:rPr>
        <w:t>Zizzo DJ (2010) Experimenter demand effects in economic experiments. Experimental Economics 13: 75-98</w:t>
      </w:r>
    </w:p>
    <w:p w14:paraId="55718AA7" w14:textId="5F4AF310" w:rsidR="00CA7ABE" w:rsidRPr="0021142C" w:rsidRDefault="00CA7ABE" w:rsidP="008D62C7">
      <w:pPr>
        <w:pStyle w:val="EndNoteBibliography"/>
        <w:spacing w:after="0" w:line="480" w:lineRule="auto"/>
        <w:ind w:left="720" w:hanging="720"/>
        <w:jc w:val="both"/>
        <w:rPr>
          <w:szCs w:val="24"/>
        </w:rPr>
      </w:pPr>
      <w:r w:rsidRPr="0021142C">
        <w:rPr>
          <w:szCs w:val="24"/>
        </w:rPr>
        <w:br w:type="page"/>
      </w:r>
    </w:p>
    <w:p w14:paraId="595B9C3B" w14:textId="77777777" w:rsidR="00CA7ABE" w:rsidRPr="0021142C" w:rsidRDefault="00CA7ABE" w:rsidP="008D62C7">
      <w:pPr>
        <w:pStyle w:val="EndNoteBibliography"/>
        <w:spacing w:after="0" w:line="480" w:lineRule="auto"/>
        <w:ind w:left="720" w:hanging="720"/>
        <w:jc w:val="both"/>
        <w:rPr>
          <w:szCs w:val="24"/>
        </w:rPr>
      </w:pPr>
    </w:p>
    <w:p w14:paraId="02EAF809" w14:textId="7A55E9AB" w:rsidR="00FD39B4" w:rsidRPr="0021142C" w:rsidRDefault="00FD39B4" w:rsidP="00BB4444">
      <w:pPr>
        <w:spacing w:line="480" w:lineRule="auto"/>
        <w:jc w:val="both"/>
        <w:rPr>
          <w:b/>
          <w:bCs/>
          <w:color w:val="131413"/>
          <w:lang w:val="en-US"/>
        </w:rPr>
      </w:pPr>
      <w:r w:rsidRPr="0021142C">
        <w:rPr>
          <w:b/>
          <w:bCs/>
          <w:color w:val="131413"/>
          <w:lang w:val="en-US"/>
        </w:rPr>
        <w:t>Figure 1 – Identifying the Value Added of Behavioral Economics</w:t>
      </w:r>
    </w:p>
    <w:p w14:paraId="0B3A280C" w14:textId="77777777" w:rsidR="00FD39B4" w:rsidRPr="0021142C" w:rsidRDefault="00FD39B4" w:rsidP="00BB4444">
      <w:pPr>
        <w:spacing w:line="480" w:lineRule="auto"/>
        <w:jc w:val="both"/>
        <w:rPr>
          <w:b/>
          <w:bCs/>
          <w:color w:val="131413"/>
          <w:lang w:val="en-US"/>
        </w:rPr>
      </w:pPr>
    </w:p>
    <w:p w14:paraId="511EFF5F" w14:textId="77777777" w:rsidR="00FD39B4" w:rsidRPr="0021142C" w:rsidRDefault="00FD39B4" w:rsidP="00BB4444">
      <w:pPr>
        <w:spacing w:line="480" w:lineRule="auto"/>
        <w:jc w:val="both"/>
        <w:rPr>
          <w:color w:val="131413"/>
          <w:lang w:val="en-US"/>
        </w:rPr>
      </w:pPr>
      <w:r w:rsidRPr="0021142C">
        <w:rPr>
          <w:noProof/>
          <w:color w:val="131413"/>
        </w:rPr>
        <w:drawing>
          <wp:inline distT="0" distB="0" distL="0" distR="0" wp14:anchorId="3A27B969" wp14:editId="2100B183">
            <wp:extent cx="527050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270500" cy="2095500"/>
                    </a:xfrm>
                    <a:prstGeom prst="rect">
                      <a:avLst/>
                    </a:prstGeom>
                    <a:noFill/>
                    <a:ln>
                      <a:noFill/>
                    </a:ln>
                  </pic:spPr>
                </pic:pic>
              </a:graphicData>
            </a:graphic>
          </wp:inline>
        </w:drawing>
      </w:r>
    </w:p>
    <w:p w14:paraId="4D021089" w14:textId="77777777" w:rsidR="00FD39B4" w:rsidRPr="0021142C" w:rsidRDefault="00FD39B4" w:rsidP="00BB4444">
      <w:pPr>
        <w:spacing w:line="480" w:lineRule="auto"/>
        <w:jc w:val="both"/>
        <w:rPr>
          <w:color w:val="131413"/>
          <w:lang w:val="en-US"/>
        </w:rPr>
      </w:pPr>
    </w:p>
    <w:p w14:paraId="5A51FA3A" w14:textId="505C94B2" w:rsidR="00FD39B4" w:rsidRPr="0021142C" w:rsidRDefault="00FD39B4" w:rsidP="00BB4444">
      <w:pPr>
        <w:spacing w:line="480" w:lineRule="auto"/>
        <w:jc w:val="both"/>
        <w:rPr>
          <w:b/>
          <w:color w:val="131413"/>
          <w:lang w:val="en-US"/>
        </w:rPr>
      </w:pPr>
      <w:r w:rsidRPr="0021142C">
        <w:rPr>
          <w:b/>
          <w:color w:val="131413"/>
          <w:lang w:val="en-US"/>
        </w:rPr>
        <w:t>Figure 2 – A Prospect Theory Value Function</w:t>
      </w:r>
    </w:p>
    <w:p w14:paraId="15F962FB" w14:textId="77777777" w:rsidR="00FD39B4" w:rsidRPr="0021142C" w:rsidRDefault="00FD39B4" w:rsidP="00BB4444">
      <w:pPr>
        <w:spacing w:line="480" w:lineRule="auto"/>
        <w:jc w:val="both"/>
        <w:rPr>
          <w:b/>
          <w:color w:val="131413"/>
          <w:lang w:val="en-US"/>
        </w:rPr>
      </w:pPr>
      <w:r w:rsidRPr="0021142C">
        <w:rPr>
          <w:b/>
          <w:noProof/>
          <w:color w:val="131413"/>
        </w:rPr>
        <w:drawing>
          <wp:inline distT="0" distB="0" distL="0" distR="0" wp14:anchorId="32A6A331" wp14:editId="3DCF55E8">
            <wp:extent cx="5271770" cy="4516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271770" cy="4516120"/>
                    </a:xfrm>
                    <a:prstGeom prst="rect">
                      <a:avLst/>
                    </a:prstGeom>
                    <a:noFill/>
                    <a:ln>
                      <a:noFill/>
                    </a:ln>
                  </pic:spPr>
                </pic:pic>
              </a:graphicData>
            </a:graphic>
          </wp:inline>
        </w:drawing>
      </w:r>
    </w:p>
    <w:p w14:paraId="3FFF74A5" w14:textId="0F3AE79E" w:rsidR="006C0CAB" w:rsidRPr="0021142C" w:rsidRDefault="006C0CAB" w:rsidP="00BB4444">
      <w:pPr>
        <w:spacing w:line="480" w:lineRule="auto"/>
        <w:jc w:val="both"/>
        <w:rPr>
          <w:lang w:val="en-US"/>
        </w:rPr>
      </w:pPr>
    </w:p>
    <w:sectPr w:rsidR="006C0CAB" w:rsidRPr="0021142C" w:rsidSect="00934312">
      <w:footerReference w:type="default" r:id="rId7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D0D0" w14:textId="77777777" w:rsidR="00ED0432" w:rsidRDefault="00ED0432" w:rsidP="00FD39B4">
      <w:r>
        <w:separator/>
      </w:r>
    </w:p>
  </w:endnote>
  <w:endnote w:type="continuationSeparator" w:id="0">
    <w:p w14:paraId="7DB6CFFB" w14:textId="77777777" w:rsidR="00ED0432" w:rsidRDefault="00ED0432" w:rsidP="00FD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vTT3713a231">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270702"/>
      <w:docPartObj>
        <w:docPartGallery w:val="Page Numbers (Bottom of Page)"/>
        <w:docPartUnique/>
      </w:docPartObj>
    </w:sdtPr>
    <w:sdtEndPr>
      <w:rPr>
        <w:noProof/>
      </w:rPr>
    </w:sdtEndPr>
    <w:sdtContent>
      <w:p w14:paraId="5C2E4D7B" w14:textId="4AE9C202" w:rsidR="00ED0432" w:rsidRDefault="00ED0432">
        <w:pPr>
          <w:pStyle w:val="Footer"/>
          <w:jc w:val="right"/>
        </w:pPr>
        <w:r>
          <w:fldChar w:fldCharType="begin"/>
        </w:r>
        <w:r>
          <w:instrText xml:space="preserve"> PAGE   \* MERGEFORMAT </w:instrText>
        </w:r>
        <w:r>
          <w:fldChar w:fldCharType="separate"/>
        </w:r>
        <w:r w:rsidR="005F5CA1">
          <w:rPr>
            <w:noProof/>
          </w:rPr>
          <w:t>2</w:t>
        </w:r>
        <w:r>
          <w:rPr>
            <w:noProof/>
          </w:rPr>
          <w:fldChar w:fldCharType="end"/>
        </w:r>
      </w:p>
    </w:sdtContent>
  </w:sdt>
  <w:p w14:paraId="775F4F15" w14:textId="77777777" w:rsidR="00ED0432" w:rsidRDefault="00ED0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90244"/>
      <w:docPartObj>
        <w:docPartGallery w:val="Page Numbers (Bottom of Page)"/>
        <w:docPartUnique/>
      </w:docPartObj>
    </w:sdtPr>
    <w:sdtEndPr>
      <w:rPr>
        <w:noProof/>
      </w:rPr>
    </w:sdtEndPr>
    <w:sdtContent>
      <w:p w14:paraId="5BC1CB5E" w14:textId="6ED9228D" w:rsidR="00ED0432" w:rsidRDefault="00ED0432">
        <w:pPr>
          <w:pStyle w:val="Footer"/>
          <w:jc w:val="right"/>
        </w:pPr>
        <w:r>
          <w:fldChar w:fldCharType="begin"/>
        </w:r>
        <w:r>
          <w:instrText xml:space="preserve"> PAGE   \* MERGEFORMAT </w:instrText>
        </w:r>
        <w:r>
          <w:fldChar w:fldCharType="separate"/>
        </w:r>
        <w:r w:rsidR="005F5CA1">
          <w:rPr>
            <w:noProof/>
          </w:rPr>
          <w:t>21</w:t>
        </w:r>
        <w:r>
          <w:rPr>
            <w:noProof/>
          </w:rPr>
          <w:fldChar w:fldCharType="end"/>
        </w:r>
      </w:p>
    </w:sdtContent>
  </w:sdt>
  <w:p w14:paraId="34A3C7CA" w14:textId="77777777" w:rsidR="00ED0432" w:rsidRDefault="00ED0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E0D0C" w14:textId="77777777" w:rsidR="00ED0432" w:rsidRDefault="00ED0432" w:rsidP="00FD39B4">
      <w:r>
        <w:separator/>
      </w:r>
    </w:p>
  </w:footnote>
  <w:footnote w:type="continuationSeparator" w:id="0">
    <w:p w14:paraId="7FE0E149" w14:textId="77777777" w:rsidR="00ED0432" w:rsidRDefault="00ED0432" w:rsidP="00FD39B4">
      <w:r>
        <w:continuationSeparator/>
      </w:r>
    </w:p>
  </w:footnote>
  <w:footnote w:id="1">
    <w:p w14:paraId="7DA47311" w14:textId="20BAAB8D" w:rsidR="00ED0432" w:rsidRPr="0058296D" w:rsidRDefault="00ED0432" w:rsidP="0058296D">
      <w:pPr>
        <w:pStyle w:val="FootnoteText"/>
        <w:jc w:val="both"/>
        <w:rPr>
          <w:lang w:val="en-US"/>
        </w:rPr>
      </w:pPr>
      <w:r>
        <w:rPr>
          <w:rStyle w:val="FootnoteReference"/>
        </w:rPr>
        <w:footnoteRef/>
      </w:r>
      <w:r>
        <w:t xml:space="preserve"> </w:t>
      </w:r>
      <w:r w:rsidRPr="00CF30D4">
        <w:rPr>
          <w:lang w:val="en-US"/>
        </w:rPr>
        <w:t>For a methodological criticism of libertarian paternalism as implied by the behavioral ‘nudge’ agenda, see Sugden (2004) and for a recent debate on this criticism, see Schubert (2015) and Sugden (2015).</w:t>
      </w:r>
    </w:p>
  </w:footnote>
  <w:footnote w:id="2">
    <w:p w14:paraId="4809BD76" w14:textId="74067F02" w:rsidR="00ED0432" w:rsidRPr="0058296D" w:rsidRDefault="00ED0432" w:rsidP="0058296D">
      <w:pPr>
        <w:pStyle w:val="FootnoteText"/>
        <w:jc w:val="both"/>
        <w:rPr>
          <w:lang w:val="en-US"/>
        </w:rPr>
      </w:pPr>
      <w:r>
        <w:rPr>
          <w:rStyle w:val="FootnoteReference"/>
        </w:rPr>
        <w:footnoteRef/>
      </w:r>
      <w:r>
        <w:t xml:space="preserve"> </w:t>
      </w:r>
      <w:r w:rsidRPr="00CF30D4">
        <w:rPr>
          <w:lang w:val="en-US"/>
        </w:rPr>
        <w:t xml:space="preserve">A reader noted that these can be more general tests for evaluating the policy usefulness of models. While this may or may not be the case, </w:t>
      </w:r>
      <w:r>
        <w:rPr>
          <w:lang w:val="en-US"/>
        </w:rPr>
        <w:t>this paper follows</w:t>
      </w:r>
      <w:r w:rsidRPr="00CF30D4">
        <w:rPr>
          <w:lang w:val="en-US"/>
        </w:rPr>
        <w:t xml:space="preserve"> a more focused and practical </w:t>
      </w:r>
      <w:r>
        <w:rPr>
          <w:lang w:val="en-US"/>
        </w:rPr>
        <w:t>approach</w:t>
      </w:r>
      <w:r w:rsidRPr="00CF30D4">
        <w:rPr>
          <w:lang w:val="en-US"/>
        </w:rPr>
        <w:t>.</w:t>
      </w:r>
    </w:p>
  </w:footnote>
  <w:footnote w:id="3">
    <w:p w14:paraId="6721566C" w14:textId="0FB322C6" w:rsidR="00ED0432" w:rsidRPr="0058296D" w:rsidRDefault="00ED0432" w:rsidP="0058296D">
      <w:pPr>
        <w:pStyle w:val="FootnoteText"/>
        <w:jc w:val="both"/>
        <w:rPr>
          <w:lang w:val="en-US"/>
        </w:rPr>
      </w:pPr>
      <w:r>
        <w:rPr>
          <w:rStyle w:val="FootnoteReference"/>
        </w:rPr>
        <w:footnoteRef/>
      </w:r>
      <w:r>
        <w:t xml:space="preserve"> </w:t>
      </w:r>
      <w:r w:rsidRPr="00EC3855">
        <w:rPr>
          <w:lang w:val="en-US"/>
        </w:rPr>
        <w:t xml:space="preserve">Babcock and Hartman provide several alternative explanations of their findings: </w:t>
      </w:r>
      <w:proofErr w:type="spellStart"/>
      <w:r w:rsidRPr="00EC3855">
        <w:rPr>
          <w:lang w:val="en-US"/>
        </w:rPr>
        <w:t>i</w:t>
      </w:r>
      <w:proofErr w:type="spellEnd"/>
      <w:r w:rsidRPr="00EC3855">
        <w:rPr>
          <w:lang w:val="en-US"/>
        </w:rPr>
        <w:t xml:space="preserve">) complementarities in the utility; ii) imitation; and iii) information exchange among peers. </w:t>
      </w:r>
    </w:p>
  </w:footnote>
  <w:footnote w:id="4">
    <w:p w14:paraId="5CAF8A76" w14:textId="2E9793F5" w:rsidR="00ED0432" w:rsidRPr="0058296D" w:rsidRDefault="00ED0432" w:rsidP="0058296D">
      <w:pPr>
        <w:pStyle w:val="FootnoteText"/>
        <w:jc w:val="both"/>
        <w:rPr>
          <w:lang w:val="en-US"/>
        </w:rPr>
      </w:pPr>
      <w:r>
        <w:rPr>
          <w:rStyle w:val="FootnoteReference"/>
        </w:rPr>
        <w:footnoteRef/>
      </w:r>
      <w:r>
        <w:t xml:space="preserve"> </w:t>
      </w:r>
      <w:r w:rsidRPr="00BF1D1D">
        <w:rPr>
          <w:lang w:val="en-US"/>
        </w:rPr>
        <w:t xml:space="preserve">Burger and </w:t>
      </w:r>
      <w:proofErr w:type="spellStart"/>
      <w:r w:rsidRPr="00BF1D1D">
        <w:rPr>
          <w:lang w:val="en-US"/>
        </w:rPr>
        <w:t>Lynham’s</w:t>
      </w:r>
      <w:proofErr w:type="spellEnd"/>
      <w:r w:rsidRPr="00BF1D1D">
        <w:rPr>
          <w:lang w:val="en-US"/>
        </w:rPr>
        <w:t xml:space="preserve"> (2009) evidence on 70% of</w:t>
      </w:r>
      <w:r w:rsidRPr="00EC3855">
        <w:rPr>
          <w:lang w:val="en-US"/>
        </w:rPr>
        <w:t xml:space="preserve"> bettors explicitly referring to the need of a self-commitment device is obviously potentially more directly relevant evidence, though, as noted earlier, the same bettors ended up being money pumps for betting companies to take advantage </w:t>
      </w:r>
      <w:proofErr w:type="spellStart"/>
      <w:r w:rsidRPr="00EC3855">
        <w:rPr>
          <w:lang w:val="en-US"/>
        </w:rPr>
        <w:t>of</w:t>
      </w:r>
      <w:r>
        <w:rPr>
          <w:lang w:val="en-US"/>
        </w:rPr>
        <w:t>but</w:t>
      </w:r>
      <w:proofErr w:type="spellEnd"/>
      <w:r>
        <w:rPr>
          <w:lang w:val="en-US"/>
        </w:rPr>
        <w:t xml:space="preserve"> the self-commitment device rarely worked</w:t>
      </w:r>
      <w:r w:rsidRPr="00EC3855">
        <w:rPr>
          <w:lang w:val="en-US"/>
        </w:rPr>
        <w:t>.</w:t>
      </w:r>
    </w:p>
  </w:footnote>
  <w:footnote w:id="5">
    <w:p w14:paraId="11CFBCEB" w14:textId="46532270" w:rsidR="00ED0432" w:rsidRPr="0058296D" w:rsidRDefault="00ED0432" w:rsidP="002C0A82">
      <w:pPr>
        <w:pStyle w:val="FootnoteText"/>
        <w:jc w:val="both"/>
        <w:rPr>
          <w:lang w:val="en-US"/>
        </w:rPr>
      </w:pPr>
      <w:r>
        <w:rPr>
          <w:rStyle w:val="FootnoteReference"/>
        </w:rPr>
        <w:footnoteRef/>
      </w:r>
      <w:r>
        <w:t xml:space="preserve"> </w:t>
      </w:r>
      <w:r w:rsidRPr="00BF1D1D">
        <w:rPr>
          <w:lang w:val="en-US"/>
        </w:rPr>
        <w:t xml:space="preserve">We follow </w:t>
      </w:r>
      <w:proofErr w:type="spellStart"/>
      <w:r w:rsidRPr="00BF1D1D">
        <w:rPr>
          <w:lang w:val="en-US"/>
        </w:rPr>
        <w:t>Barberis</w:t>
      </w:r>
      <w:proofErr w:type="spellEnd"/>
      <w:r w:rsidRPr="00BF1D1D">
        <w:rPr>
          <w:lang w:val="en-US"/>
        </w:rPr>
        <w:t xml:space="preserve"> (2013) in this list and the cumulative prospect theory of </w:t>
      </w:r>
      <w:proofErr w:type="spellStart"/>
      <w:r w:rsidRPr="00CF30D4">
        <w:rPr>
          <w:lang w:val="en-US"/>
        </w:rPr>
        <w:t>Tversky</w:t>
      </w:r>
      <w:proofErr w:type="spellEnd"/>
      <w:r w:rsidRPr="00CF30D4">
        <w:rPr>
          <w:lang w:val="en-US"/>
        </w:rPr>
        <w:t xml:space="preserve"> and </w:t>
      </w:r>
      <w:proofErr w:type="spellStart"/>
      <w:r w:rsidRPr="00BF1D1D">
        <w:rPr>
          <w:lang w:val="en-US"/>
        </w:rPr>
        <w:t>Kahneman</w:t>
      </w:r>
      <w:proofErr w:type="spellEnd"/>
      <w:r w:rsidRPr="00CF30D4">
        <w:rPr>
          <w:lang w:val="en-US"/>
        </w:rPr>
        <w:t xml:space="preserve"> </w:t>
      </w:r>
      <w:r w:rsidRPr="00BF1D1D">
        <w:rPr>
          <w:lang w:val="en-US"/>
        </w:rPr>
        <w:t xml:space="preserve">(1992) in the treatment below. For broader developments in the study of decision making under risk in behavioral economics, see </w:t>
      </w:r>
      <w:proofErr w:type="spellStart"/>
      <w:r w:rsidRPr="00BF1D1D">
        <w:rPr>
          <w:lang w:val="en-US"/>
        </w:rPr>
        <w:t>Starmer</w:t>
      </w:r>
      <w:proofErr w:type="spellEnd"/>
      <w:r w:rsidRPr="00BF1D1D">
        <w:rPr>
          <w:lang w:val="en-US"/>
        </w:rPr>
        <w:t xml:space="preserve"> (2000).</w:t>
      </w:r>
    </w:p>
  </w:footnote>
  <w:footnote w:id="6">
    <w:p w14:paraId="60B63A8A" w14:textId="79E59373" w:rsidR="00ED0432" w:rsidRPr="00FB711E" w:rsidRDefault="00ED0432" w:rsidP="00FB711E">
      <w:pPr>
        <w:pStyle w:val="FootnoteText"/>
        <w:jc w:val="both"/>
        <w:rPr>
          <w:lang w:val="en-US"/>
        </w:rPr>
      </w:pPr>
      <w:r>
        <w:rPr>
          <w:rStyle w:val="FootnoteReference"/>
        </w:rPr>
        <w:footnoteRef/>
      </w:r>
      <w:r>
        <w:t xml:space="preserve"> </w:t>
      </w:r>
      <w:proofErr w:type="spellStart"/>
      <w:r>
        <w:rPr>
          <w:lang w:val="en-US"/>
        </w:rPr>
        <w:t>Salovey</w:t>
      </w:r>
      <w:proofErr w:type="spellEnd"/>
      <w:r>
        <w:rPr>
          <w:lang w:val="en-US"/>
        </w:rPr>
        <w:t xml:space="preserve"> </w:t>
      </w:r>
      <w:r w:rsidRPr="00BF1D1D">
        <w:rPr>
          <w:lang w:val="en-US"/>
        </w:rPr>
        <w:t>and</w:t>
      </w:r>
      <w:r>
        <w:rPr>
          <w:lang w:val="en-US"/>
        </w:rPr>
        <w:t xml:space="preserve"> Wegener (2003</w:t>
      </w:r>
      <w:r w:rsidRPr="00CF30D4">
        <w:rPr>
          <w:lang w:val="en-US"/>
        </w:rPr>
        <w:t>), for instance</w:t>
      </w:r>
      <w:r>
        <w:rPr>
          <w:lang w:val="en-US"/>
        </w:rPr>
        <w:t>,</w:t>
      </w:r>
      <w:r w:rsidRPr="00CF30D4">
        <w:rPr>
          <w:lang w:val="en-US"/>
        </w:rPr>
        <w:t xml:space="preserve"> note that from “a prospect theory point of view, the perceived risk (of finding an abnormality) could make loss-framed messages more persuasive in promoting the detection behaviors. However […] gain-framed messages might be more likely to facilitate </w:t>
      </w:r>
      <w:r>
        <w:rPr>
          <w:lang w:val="en-US"/>
        </w:rPr>
        <w:t>performing prevention behaviors</w:t>
      </w:r>
      <w:r w:rsidRPr="00CF30D4">
        <w:rPr>
          <w:lang w:val="en-US"/>
        </w:rPr>
        <w:t xml:space="preserve">” </w:t>
      </w:r>
      <w:r>
        <w:rPr>
          <w:lang w:val="en-US"/>
        </w:rPr>
        <w:t>(</w:t>
      </w:r>
      <w:r w:rsidRPr="00CF30D4">
        <w:rPr>
          <w:lang w:val="en-US"/>
        </w:rPr>
        <w:t>pp. 57-58</w:t>
      </w:r>
      <w:r>
        <w:rPr>
          <w:lang w:val="en-US"/>
        </w:rPr>
        <w:t>).</w:t>
      </w:r>
    </w:p>
  </w:footnote>
  <w:footnote w:id="7">
    <w:p w14:paraId="1AEE4F07" w14:textId="3F5EA86A" w:rsidR="00ED0432" w:rsidRPr="0058296D" w:rsidRDefault="00ED0432" w:rsidP="00FB711E">
      <w:pPr>
        <w:pStyle w:val="FootnoteText"/>
        <w:jc w:val="both"/>
        <w:rPr>
          <w:lang w:val="en-US"/>
        </w:rPr>
      </w:pPr>
      <w:r>
        <w:rPr>
          <w:rStyle w:val="FootnoteReference"/>
        </w:rPr>
        <w:footnoteRef/>
      </w:r>
      <w:r>
        <w:t xml:space="preserve"> </w:t>
      </w:r>
      <w:r w:rsidRPr="00EC3855">
        <w:rPr>
          <w:lang w:val="en-US"/>
        </w:rPr>
        <w:t xml:space="preserve">See e.g. </w:t>
      </w:r>
      <w:r w:rsidRPr="00BF1D1D">
        <w:rPr>
          <w:lang w:val="en-US"/>
        </w:rPr>
        <w:t>Rothman et al. (1993)</w:t>
      </w:r>
      <w:r w:rsidRPr="00EC3855">
        <w:rPr>
          <w:lang w:val="en-US"/>
        </w:rPr>
        <w:t xml:space="preserve"> as a widely cited early study testing the effect of gain vs. loss framing on the </w:t>
      </w:r>
      <w:r w:rsidRPr="00EC3855">
        <w:rPr>
          <w:i/>
          <w:iCs/>
          <w:lang w:val="en-US"/>
        </w:rPr>
        <w:t>intention</w:t>
      </w:r>
      <w:r w:rsidRPr="00EC3855">
        <w:rPr>
          <w:lang w:val="en-US"/>
        </w:rPr>
        <w:t xml:space="preserve"> to seek skin cancer screening.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3BF"/>
    <w:multiLevelType w:val="hybridMultilevel"/>
    <w:tmpl w:val="7E7CF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68733C"/>
    <w:multiLevelType w:val="hybridMultilevel"/>
    <w:tmpl w:val="C0AE4EB0"/>
    <w:lvl w:ilvl="0" w:tplc="35E8964E">
      <w:start w:val="1"/>
      <w:numFmt w:val="bullet"/>
      <w:lvlText w:val="-"/>
      <w:lvlJc w:val="left"/>
      <w:pPr>
        <w:ind w:left="720" w:hanging="360"/>
      </w:pPr>
      <w:rPr>
        <w:rFonts w:ascii="Calibri" w:eastAsia="Calibri" w:hAnsi="Calibri" w:cs="AdvTT3713a23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D0F79"/>
    <w:multiLevelType w:val="hybridMultilevel"/>
    <w:tmpl w:val="7602B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FD7B6F"/>
    <w:multiLevelType w:val="hybridMultilevel"/>
    <w:tmpl w:val="0BD66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42C03"/>
    <w:multiLevelType w:val="hybridMultilevel"/>
    <w:tmpl w:val="53321CDC"/>
    <w:lvl w:ilvl="0" w:tplc="AD92662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305DA9"/>
    <w:multiLevelType w:val="hybridMultilevel"/>
    <w:tmpl w:val="CE9E1350"/>
    <w:lvl w:ilvl="0" w:tplc="2ABCD2DC">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47F10"/>
    <w:multiLevelType w:val="hybridMultilevel"/>
    <w:tmpl w:val="3CB6A282"/>
    <w:lvl w:ilvl="0" w:tplc="5014A16C">
      <w:start w:val="1"/>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1597109"/>
    <w:multiLevelType w:val="hybridMultilevel"/>
    <w:tmpl w:val="369662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Financial Econom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a59sap9iasedve02x3xdsa90tdewzxftsza&quot;&gt;self control papers&lt;record-ids&gt;&lt;item&gt;210&lt;/item&gt;&lt;item&gt;219&lt;/item&gt;&lt;/record-ids&gt;&lt;/item&gt;&lt;/Libraries&gt;"/>
  </w:docVars>
  <w:rsids>
    <w:rsidRoot w:val="00FD39B4"/>
    <w:rsid w:val="000073FD"/>
    <w:rsid w:val="00010EF6"/>
    <w:rsid w:val="000121D8"/>
    <w:rsid w:val="00012DC7"/>
    <w:rsid w:val="00026AD6"/>
    <w:rsid w:val="00033D83"/>
    <w:rsid w:val="00042AA6"/>
    <w:rsid w:val="00043E12"/>
    <w:rsid w:val="00045C34"/>
    <w:rsid w:val="00050A65"/>
    <w:rsid w:val="00054EF6"/>
    <w:rsid w:val="00057D6A"/>
    <w:rsid w:val="00060B95"/>
    <w:rsid w:val="0006628F"/>
    <w:rsid w:val="00073466"/>
    <w:rsid w:val="0008207D"/>
    <w:rsid w:val="0008357C"/>
    <w:rsid w:val="00083F14"/>
    <w:rsid w:val="000908EE"/>
    <w:rsid w:val="00092DB5"/>
    <w:rsid w:val="000A2EE0"/>
    <w:rsid w:val="000A62EC"/>
    <w:rsid w:val="000B5865"/>
    <w:rsid w:val="000C2B1E"/>
    <w:rsid w:val="000E0E2F"/>
    <w:rsid w:val="00130A24"/>
    <w:rsid w:val="00131F3D"/>
    <w:rsid w:val="001359B2"/>
    <w:rsid w:val="00140475"/>
    <w:rsid w:val="001554EA"/>
    <w:rsid w:val="00172F86"/>
    <w:rsid w:val="00173D21"/>
    <w:rsid w:val="001755C1"/>
    <w:rsid w:val="001759C2"/>
    <w:rsid w:val="00177775"/>
    <w:rsid w:val="001811E0"/>
    <w:rsid w:val="00186A82"/>
    <w:rsid w:val="00187E33"/>
    <w:rsid w:val="001A41BF"/>
    <w:rsid w:val="001A4F6D"/>
    <w:rsid w:val="001A5B2A"/>
    <w:rsid w:val="001B0202"/>
    <w:rsid w:val="001B16A1"/>
    <w:rsid w:val="001B77A8"/>
    <w:rsid w:val="001C1933"/>
    <w:rsid w:val="001C1E49"/>
    <w:rsid w:val="001C438A"/>
    <w:rsid w:val="001D23C5"/>
    <w:rsid w:val="001E0ABF"/>
    <w:rsid w:val="001E2985"/>
    <w:rsid w:val="001F1B96"/>
    <w:rsid w:val="001F1C32"/>
    <w:rsid w:val="001F5FD5"/>
    <w:rsid w:val="00210F0C"/>
    <w:rsid w:val="0021142C"/>
    <w:rsid w:val="00220460"/>
    <w:rsid w:val="00235CD4"/>
    <w:rsid w:val="00251848"/>
    <w:rsid w:val="002542F9"/>
    <w:rsid w:val="00266B7D"/>
    <w:rsid w:val="002676CE"/>
    <w:rsid w:val="00274FE2"/>
    <w:rsid w:val="00280EE6"/>
    <w:rsid w:val="0028212B"/>
    <w:rsid w:val="00284B96"/>
    <w:rsid w:val="00290912"/>
    <w:rsid w:val="002922CB"/>
    <w:rsid w:val="00292F10"/>
    <w:rsid w:val="002943AF"/>
    <w:rsid w:val="002A47A0"/>
    <w:rsid w:val="002B1675"/>
    <w:rsid w:val="002B501C"/>
    <w:rsid w:val="002B6826"/>
    <w:rsid w:val="002B6916"/>
    <w:rsid w:val="002C0A82"/>
    <w:rsid w:val="002C24C9"/>
    <w:rsid w:val="002C3A57"/>
    <w:rsid w:val="002C4C67"/>
    <w:rsid w:val="003149B1"/>
    <w:rsid w:val="00321869"/>
    <w:rsid w:val="00327BF3"/>
    <w:rsid w:val="003517F1"/>
    <w:rsid w:val="003521DA"/>
    <w:rsid w:val="003570A5"/>
    <w:rsid w:val="00357964"/>
    <w:rsid w:val="00357DFA"/>
    <w:rsid w:val="0036512B"/>
    <w:rsid w:val="00365385"/>
    <w:rsid w:val="003709F1"/>
    <w:rsid w:val="00386B90"/>
    <w:rsid w:val="00395819"/>
    <w:rsid w:val="003A2C11"/>
    <w:rsid w:val="003A418E"/>
    <w:rsid w:val="003B0C2D"/>
    <w:rsid w:val="003B1515"/>
    <w:rsid w:val="003B37A2"/>
    <w:rsid w:val="003C60C3"/>
    <w:rsid w:val="003C6DBF"/>
    <w:rsid w:val="003D1A15"/>
    <w:rsid w:val="003D3A5A"/>
    <w:rsid w:val="003E0A50"/>
    <w:rsid w:val="003E5120"/>
    <w:rsid w:val="003F1EC0"/>
    <w:rsid w:val="003F5ED4"/>
    <w:rsid w:val="003F6DCF"/>
    <w:rsid w:val="003F752A"/>
    <w:rsid w:val="00417122"/>
    <w:rsid w:val="00417800"/>
    <w:rsid w:val="00417837"/>
    <w:rsid w:val="00420D51"/>
    <w:rsid w:val="004253F4"/>
    <w:rsid w:val="004257FE"/>
    <w:rsid w:val="00432030"/>
    <w:rsid w:val="004417E8"/>
    <w:rsid w:val="004419F0"/>
    <w:rsid w:val="0045068F"/>
    <w:rsid w:val="004524FF"/>
    <w:rsid w:val="0045360A"/>
    <w:rsid w:val="00471B22"/>
    <w:rsid w:val="004740AF"/>
    <w:rsid w:val="00482150"/>
    <w:rsid w:val="00495359"/>
    <w:rsid w:val="004A7871"/>
    <w:rsid w:val="004C4939"/>
    <w:rsid w:val="004C4B87"/>
    <w:rsid w:val="004D2B06"/>
    <w:rsid w:val="004E06D6"/>
    <w:rsid w:val="004E5DB4"/>
    <w:rsid w:val="004E7866"/>
    <w:rsid w:val="004F741A"/>
    <w:rsid w:val="00501B08"/>
    <w:rsid w:val="005038B4"/>
    <w:rsid w:val="0050443C"/>
    <w:rsid w:val="005118BF"/>
    <w:rsid w:val="00533B83"/>
    <w:rsid w:val="00542791"/>
    <w:rsid w:val="0055165D"/>
    <w:rsid w:val="00564BE5"/>
    <w:rsid w:val="00564EF2"/>
    <w:rsid w:val="0058296D"/>
    <w:rsid w:val="00582B21"/>
    <w:rsid w:val="005848DF"/>
    <w:rsid w:val="005872EA"/>
    <w:rsid w:val="0059206E"/>
    <w:rsid w:val="005A5E0D"/>
    <w:rsid w:val="005B4900"/>
    <w:rsid w:val="005C5A3E"/>
    <w:rsid w:val="005D2141"/>
    <w:rsid w:val="005E658C"/>
    <w:rsid w:val="005F4F99"/>
    <w:rsid w:val="005F5CA1"/>
    <w:rsid w:val="005F6674"/>
    <w:rsid w:val="00600585"/>
    <w:rsid w:val="0060345D"/>
    <w:rsid w:val="00607F65"/>
    <w:rsid w:val="00614CF8"/>
    <w:rsid w:val="00617057"/>
    <w:rsid w:val="006226EB"/>
    <w:rsid w:val="00630A62"/>
    <w:rsid w:val="00641E63"/>
    <w:rsid w:val="00651CC0"/>
    <w:rsid w:val="00654D97"/>
    <w:rsid w:val="00666328"/>
    <w:rsid w:val="00676330"/>
    <w:rsid w:val="006777D3"/>
    <w:rsid w:val="0068571E"/>
    <w:rsid w:val="006A4D6E"/>
    <w:rsid w:val="006A5E93"/>
    <w:rsid w:val="006B1800"/>
    <w:rsid w:val="006B3103"/>
    <w:rsid w:val="006C0CAB"/>
    <w:rsid w:val="006C2E2B"/>
    <w:rsid w:val="006C596C"/>
    <w:rsid w:val="006C675E"/>
    <w:rsid w:val="006D2486"/>
    <w:rsid w:val="006D4AAA"/>
    <w:rsid w:val="006E66C8"/>
    <w:rsid w:val="006F4147"/>
    <w:rsid w:val="006F6A9F"/>
    <w:rsid w:val="00701977"/>
    <w:rsid w:val="00702B96"/>
    <w:rsid w:val="007049AE"/>
    <w:rsid w:val="00710194"/>
    <w:rsid w:val="0071579D"/>
    <w:rsid w:val="00724BD4"/>
    <w:rsid w:val="00726672"/>
    <w:rsid w:val="00726E08"/>
    <w:rsid w:val="00734E06"/>
    <w:rsid w:val="0073739D"/>
    <w:rsid w:val="00744608"/>
    <w:rsid w:val="00745F68"/>
    <w:rsid w:val="007503DE"/>
    <w:rsid w:val="00767625"/>
    <w:rsid w:val="00792C77"/>
    <w:rsid w:val="00797DBF"/>
    <w:rsid w:val="007A2A33"/>
    <w:rsid w:val="007A4E17"/>
    <w:rsid w:val="007C143D"/>
    <w:rsid w:val="007C6E70"/>
    <w:rsid w:val="00801473"/>
    <w:rsid w:val="008015A9"/>
    <w:rsid w:val="00813A67"/>
    <w:rsid w:val="0083044F"/>
    <w:rsid w:val="00830B92"/>
    <w:rsid w:val="008314E9"/>
    <w:rsid w:val="00842D8F"/>
    <w:rsid w:val="00854346"/>
    <w:rsid w:val="00857A2C"/>
    <w:rsid w:val="00872CE4"/>
    <w:rsid w:val="0087755E"/>
    <w:rsid w:val="00882AE6"/>
    <w:rsid w:val="008865EB"/>
    <w:rsid w:val="00896D5D"/>
    <w:rsid w:val="008A123E"/>
    <w:rsid w:val="008B11BE"/>
    <w:rsid w:val="008C45A6"/>
    <w:rsid w:val="008C6E4F"/>
    <w:rsid w:val="008C6FC5"/>
    <w:rsid w:val="008D62C7"/>
    <w:rsid w:val="008E13DA"/>
    <w:rsid w:val="008E1F7A"/>
    <w:rsid w:val="008E21AA"/>
    <w:rsid w:val="008E6C18"/>
    <w:rsid w:val="008F0855"/>
    <w:rsid w:val="008F232E"/>
    <w:rsid w:val="008F5CEA"/>
    <w:rsid w:val="00901AFB"/>
    <w:rsid w:val="009130CE"/>
    <w:rsid w:val="009136A2"/>
    <w:rsid w:val="00922C2E"/>
    <w:rsid w:val="00925A09"/>
    <w:rsid w:val="00934312"/>
    <w:rsid w:val="00942570"/>
    <w:rsid w:val="00953977"/>
    <w:rsid w:val="009557E6"/>
    <w:rsid w:val="00967C0C"/>
    <w:rsid w:val="00986137"/>
    <w:rsid w:val="0099140A"/>
    <w:rsid w:val="009A0343"/>
    <w:rsid w:val="009A6D00"/>
    <w:rsid w:val="009A790F"/>
    <w:rsid w:val="009B5DED"/>
    <w:rsid w:val="009B7383"/>
    <w:rsid w:val="009C48AD"/>
    <w:rsid w:val="009D083C"/>
    <w:rsid w:val="009D3C9D"/>
    <w:rsid w:val="009D5CFC"/>
    <w:rsid w:val="009E1837"/>
    <w:rsid w:val="009F4377"/>
    <w:rsid w:val="00A00C8D"/>
    <w:rsid w:val="00A01F26"/>
    <w:rsid w:val="00A048E2"/>
    <w:rsid w:val="00A05DBF"/>
    <w:rsid w:val="00A17650"/>
    <w:rsid w:val="00A365CC"/>
    <w:rsid w:val="00A46E48"/>
    <w:rsid w:val="00A53680"/>
    <w:rsid w:val="00A6073F"/>
    <w:rsid w:val="00A63E23"/>
    <w:rsid w:val="00A63F24"/>
    <w:rsid w:val="00A80196"/>
    <w:rsid w:val="00A813CA"/>
    <w:rsid w:val="00A90435"/>
    <w:rsid w:val="00A92D4B"/>
    <w:rsid w:val="00A93AE9"/>
    <w:rsid w:val="00A94D9C"/>
    <w:rsid w:val="00AA5F5B"/>
    <w:rsid w:val="00AA7D43"/>
    <w:rsid w:val="00AB35AE"/>
    <w:rsid w:val="00AB545C"/>
    <w:rsid w:val="00AC2927"/>
    <w:rsid w:val="00AC7471"/>
    <w:rsid w:val="00AF2175"/>
    <w:rsid w:val="00AF5004"/>
    <w:rsid w:val="00AF6E01"/>
    <w:rsid w:val="00B00661"/>
    <w:rsid w:val="00B00EC1"/>
    <w:rsid w:val="00B0182B"/>
    <w:rsid w:val="00B04BE4"/>
    <w:rsid w:val="00B1455A"/>
    <w:rsid w:val="00B16459"/>
    <w:rsid w:val="00B210E0"/>
    <w:rsid w:val="00B23399"/>
    <w:rsid w:val="00B268BD"/>
    <w:rsid w:val="00B32687"/>
    <w:rsid w:val="00B3585F"/>
    <w:rsid w:val="00B35A76"/>
    <w:rsid w:val="00B36DA6"/>
    <w:rsid w:val="00B4234B"/>
    <w:rsid w:val="00B5553B"/>
    <w:rsid w:val="00B63CC4"/>
    <w:rsid w:val="00B6767C"/>
    <w:rsid w:val="00B67E42"/>
    <w:rsid w:val="00B705DD"/>
    <w:rsid w:val="00B72B2A"/>
    <w:rsid w:val="00B753B5"/>
    <w:rsid w:val="00B756AB"/>
    <w:rsid w:val="00B80B1A"/>
    <w:rsid w:val="00B93D3E"/>
    <w:rsid w:val="00BA06B7"/>
    <w:rsid w:val="00BB1C61"/>
    <w:rsid w:val="00BB4444"/>
    <w:rsid w:val="00BB4488"/>
    <w:rsid w:val="00BB69DC"/>
    <w:rsid w:val="00BD73DC"/>
    <w:rsid w:val="00BE4AE8"/>
    <w:rsid w:val="00BE6675"/>
    <w:rsid w:val="00BF1D1D"/>
    <w:rsid w:val="00C03FE7"/>
    <w:rsid w:val="00C0457D"/>
    <w:rsid w:val="00C0573F"/>
    <w:rsid w:val="00C10E42"/>
    <w:rsid w:val="00C23BFC"/>
    <w:rsid w:val="00C25843"/>
    <w:rsid w:val="00C32E3D"/>
    <w:rsid w:val="00C3472D"/>
    <w:rsid w:val="00C43D54"/>
    <w:rsid w:val="00C56C40"/>
    <w:rsid w:val="00C73E00"/>
    <w:rsid w:val="00C756C9"/>
    <w:rsid w:val="00C85A69"/>
    <w:rsid w:val="00C90448"/>
    <w:rsid w:val="00CA245E"/>
    <w:rsid w:val="00CA6538"/>
    <w:rsid w:val="00CA7ABE"/>
    <w:rsid w:val="00CE0EC2"/>
    <w:rsid w:val="00CE180E"/>
    <w:rsid w:val="00CE20B6"/>
    <w:rsid w:val="00CE2DA6"/>
    <w:rsid w:val="00CE7D63"/>
    <w:rsid w:val="00CF0C2D"/>
    <w:rsid w:val="00CF14D8"/>
    <w:rsid w:val="00CF23C1"/>
    <w:rsid w:val="00D02FD2"/>
    <w:rsid w:val="00D15278"/>
    <w:rsid w:val="00D16782"/>
    <w:rsid w:val="00D22207"/>
    <w:rsid w:val="00D448C8"/>
    <w:rsid w:val="00D45A50"/>
    <w:rsid w:val="00D655CA"/>
    <w:rsid w:val="00D73433"/>
    <w:rsid w:val="00D83FC7"/>
    <w:rsid w:val="00D96D0B"/>
    <w:rsid w:val="00D9769F"/>
    <w:rsid w:val="00D9771A"/>
    <w:rsid w:val="00DB29C2"/>
    <w:rsid w:val="00DB3C32"/>
    <w:rsid w:val="00E13F82"/>
    <w:rsid w:val="00E17869"/>
    <w:rsid w:val="00E25EF5"/>
    <w:rsid w:val="00E260BF"/>
    <w:rsid w:val="00E32151"/>
    <w:rsid w:val="00E337BB"/>
    <w:rsid w:val="00E5403F"/>
    <w:rsid w:val="00E6162A"/>
    <w:rsid w:val="00E631CE"/>
    <w:rsid w:val="00E64A29"/>
    <w:rsid w:val="00E6583D"/>
    <w:rsid w:val="00E66793"/>
    <w:rsid w:val="00E718AE"/>
    <w:rsid w:val="00E75BCE"/>
    <w:rsid w:val="00E8610D"/>
    <w:rsid w:val="00E9039E"/>
    <w:rsid w:val="00E91BD4"/>
    <w:rsid w:val="00E97E52"/>
    <w:rsid w:val="00EA39F7"/>
    <w:rsid w:val="00EA5A3B"/>
    <w:rsid w:val="00EA74FB"/>
    <w:rsid w:val="00EB0D28"/>
    <w:rsid w:val="00EB49BB"/>
    <w:rsid w:val="00EC3855"/>
    <w:rsid w:val="00EC6589"/>
    <w:rsid w:val="00EC7A20"/>
    <w:rsid w:val="00ED0432"/>
    <w:rsid w:val="00ED04AF"/>
    <w:rsid w:val="00ED5C5D"/>
    <w:rsid w:val="00ED725E"/>
    <w:rsid w:val="00EE1B94"/>
    <w:rsid w:val="00EE3615"/>
    <w:rsid w:val="00EE4E7A"/>
    <w:rsid w:val="00EE6BC5"/>
    <w:rsid w:val="00EF1546"/>
    <w:rsid w:val="00EF45A8"/>
    <w:rsid w:val="00EF6567"/>
    <w:rsid w:val="00F02087"/>
    <w:rsid w:val="00F04A25"/>
    <w:rsid w:val="00F06B89"/>
    <w:rsid w:val="00F20530"/>
    <w:rsid w:val="00F2109C"/>
    <w:rsid w:val="00F24C12"/>
    <w:rsid w:val="00F325A7"/>
    <w:rsid w:val="00F47591"/>
    <w:rsid w:val="00F6071F"/>
    <w:rsid w:val="00F60C73"/>
    <w:rsid w:val="00F72D59"/>
    <w:rsid w:val="00F76F3A"/>
    <w:rsid w:val="00F8434F"/>
    <w:rsid w:val="00FA4D6D"/>
    <w:rsid w:val="00FB0B95"/>
    <w:rsid w:val="00FB5CE4"/>
    <w:rsid w:val="00FB711E"/>
    <w:rsid w:val="00FB7D61"/>
    <w:rsid w:val="00FD39B4"/>
    <w:rsid w:val="00FE165B"/>
    <w:rsid w:val="00FE2537"/>
    <w:rsid w:val="00FE69AE"/>
    <w:rsid w:val="00FE7270"/>
    <w:rsid w:val="00FF12A7"/>
    <w:rsid w:val="00FF31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5"/>
    <o:shapelayout v:ext="edit">
      <o:idmap v:ext="edit" data="1"/>
    </o:shapelayout>
  </w:shapeDefaults>
  <w:decimalSymbol w:val="."/>
  <w:listSeparator w:val=","/>
  <w14:docId w14:val="4EAA1688"/>
  <w15:docId w15:val="{7ABE1B71-5D30-4E1B-90C1-F0721142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B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B4"/>
    <w:pPr>
      <w:tabs>
        <w:tab w:val="center" w:pos="4513"/>
        <w:tab w:val="right" w:pos="9026"/>
      </w:tabs>
    </w:pPr>
  </w:style>
  <w:style w:type="character" w:customStyle="1" w:styleId="HeaderChar">
    <w:name w:val="Header Char"/>
    <w:basedOn w:val="DefaultParagraphFont"/>
    <w:link w:val="Header"/>
    <w:uiPriority w:val="99"/>
    <w:rsid w:val="00FD39B4"/>
  </w:style>
  <w:style w:type="paragraph" w:styleId="Footer">
    <w:name w:val="footer"/>
    <w:basedOn w:val="Normal"/>
    <w:link w:val="FooterChar"/>
    <w:uiPriority w:val="99"/>
    <w:unhideWhenUsed/>
    <w:rsid w:val="00FD39B4"/>
    <w:pPr>
      <w:tabs>
        <w:tab w:val="center" w:pos="4513"/>
        <w:tab w:val="right" w:pos="9026"/>
      </w:tabs>
    </w:pPr>
  </w:style>
  <w:style w:type="character" w:customStyle="1" w:styleId="FooterChar">
    <w:name w:val="Footer Char"/>
    <w:basedOn w:val="DefaultParagraphFont"/>
    <w:link w:val="Footer"/>
    <w:uiPriority w:val="99"/>
    <w:rsid w:val="00FD39B4"/>
  </w:style>
  <w:style w:type="paragraph" w:styleId="ListParagraph">
    <w:name w:val="List Paragraph"/>
    <w:basedOn w:val="Normal"/>
    <w:uiPriority w:val="34"/>
    <w:qFormat/>
    <w:rsid w:val="00FD39B4"/>
    <w:pPr>
      <w:ind w:left="720"/>
      <w:contextualSpacing/>
    </w:pPr>
    <w:rPr>
      <w:rFonts w:eastAsia="Calibri"/>
      <w:lang w:eastAsia="en-US"/>
    </w:rPr>
  </w:style>
  <w:style w:type="character" w:styleId="CommentReference">
    <w:name w:val="annotation reference"/>
    <w:basedOn w:val="DefaultParagraphFont"/>
    <w:rsid w:val="00FD39B4"/>
    <w:rPr>
      <w:sz w:val="16"/>
      <w:szCs w:val="16"/>
    </w:rPr>
  </w:style>
  <w:style w:type="paragraph" w:styleId="CommentText">
    <w:name w:val="annotation text"/>
    <w:basedOn w:val="Normal"/>
    <w:link w:val="CommentTextChar"/>
    <w:rsid w:val="00FD39B4"/>
    <w:rPr>
      <w:sz w:val="20"/>
      <w:szCs w:val="20"/>
    </w:rPr>
  </w:style>
  <w:style w:type="character" w:customStyle="1" w:styleId="CommentTextChar">
    <w:name w:val="Comment Text Char"/>
    <w:basedOn w:val="DefaultParagraphFont"/>
    <w:link w:val="CommentText"/>
    <w:rsid w:val="00FD39B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FD39B4"/>
    <w:rPr>
      <w:b/>
      <w:bCs/>
    </w:rPr>
  </w:style>
  <w:style w:type="character" w:customStyle="1" w:styleId="CommentSubjectChar">
    <w:name w:val="Comment Subject Char"/>
    <w:basedOn w:val="CommentTextChar"/>
    <w:link w:val="CommentSubject"/>
    <w:rsid w:val="00FD39B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rsid w:val="00FD39B4"/>
    <w:rPr>
      <w:rFonts w:ascii="Tahoma" w:hAnsi="Tahoma" w:cs="Tahoma"/>
      <w:sz w:val="16"/>
      <w:szCs w:val="16"/>
    </w:rPr>
  </w:style>
  <w:style w:type="character" w:customStyle="1" w:styleId="BalloonTextChar">
    <w:name w:val="Balloon Text Char"/>
    <w:basedOn w:val="DefaultParagraphFont"/>
    <w:link w:val="BalloonText"/>
    <w:uiPriority w:val="99"/>
    <w:rsid w:val="00FD39B4"/>
    <w:rPr>
      <w:rFonts w:ascii="Tahoma" w:eastAsia="Times New Roman" w:hAnsi="Tahoma" w:cs="Tahoma"/>
      <w:sz w:val="16"/>
      <w:szCs w:val="16"/>
      <w:lang w:eastAsia="en-GB"/>
    </w:rPr>
  </w:style>
  <w:style w:type="table" w:styleId="TableGrid">
    <w:name w:val="Table Grid"/>
    <w:basedOn w:val="TableNormal"/>
    <w:uiPriority w:val="59"/>
    <w:rsid w:val="00FD39B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D39B4"/>
    <w:rPr>
      <w:sz w:val="20"/>
      <w:szCs w:val="20"/>
    </w:rPr>
  </w:style>
  <w:style w:type="character" w:customStyle="1" w:styleId="FootnoteTextChar">
    <w:name w:val="Footnote Text Char"/>
    <w:basedOn w:val="DefaultParagraphFont"/>
    <w:link w:val="FootnoteText"/>
    <w:uiPriority w:val="99"/>
    <w:rsid w:val="00FD39B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FD39B4"/>
    <w:rPr>
      <w:vertAlign w:val="superscript"/>
    </w:rPr>
  </w:style>
  <w:style w:type="character" w:styleId="PlaceholderText">
    <w:name w:val="Placeholder Text"/>
    <w:basedOn w:val="DefaultParagraphFont"/>
    <w:uiPriority w:val="99"/>
    <w:semiHidden/>
    <w:rsid w:val="00FD39B4"/>
    <w:rPr>
      <w:color w:val="808080"/>
    </w:rPr>
  </w:style>
  <w:style w:type="character" w:styleId="Hyperlink">
    <w:name w:val="Hyperlink"/>
    <w:basedOn w:val="DefaultParagraphFont"/>
    <w:uiPriority w:val="99"/>
    <w:unhideWhenUsed/>
    <w:rsid w:val="00FD39B4"/>
    <w:rPr>
      <w:color w:val="0000FF" w:themeColor="hyperlink"/>
      <w:u w:val="single"/>
    </w:rPr>
  </w:style>
  <w:style w:type="paragraph" w:customStyle="1" w:styleId="EndNoteBibliography">
    <w:name w:val="EndNote Bibliography"/>
    <w:basedOn w:val="Normal"/>
    <w:link w:val="EndNoteBibliographyChar"/>
    <w:rsid w:val="00FD39B4"/>
    <w:pPr>
      <w:spacing w:after="200"/>
    </w:pPr>
    <w:rPr>
      <w:rFonts w:eastAsiaTheme="minorEastAsia"/>
      <w:noProof/>
      <w:szCs w:val="22"/>
      <w:lang w:eastAsia="ja-JP"/>
    </w:rPr>
  </w:style>
  <w:style w:type="character" w:customStyle="1" w:styleId="EndNoteBibliographyChar">
    <w:name w:val="EndNote Bibliography Char"/>
    <w:basedOn w:val="DefaultParagraphFont"/>
    <w:link w:val="EndNoteBibliography"/>
    <w:rsid w:val="00FD39B4"/>
    <w:rPr>
      <w:rFonts w:ascii="Times New Roman" w:hAnsi="Times New Roman" w:cs="Times New Roman"/>
      <w:noProof/>
      <w:sz w:val="24"/>
      <w:lang w:eastAsia="ja-JP"/>
    </w:rPr>
  </w:style>
  <w:style w:type="paragraph" w:styleId="Revision">
    <w:name w:val="Revision"/>
    <w:hidden/>
    <w:uiPriority w:val="99"/>
    <w:semiHidden/>
    <w:rsid w:val="00FD39B4"/>
    <w:pPr>
      <w:spacing w:after="0"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745F68"/>
    <w:pPr>
      <w:jc w:val="center"/>
    </w:pPr>
    <w:rPr>
      <w:noProof/>
    </w:rPr>
  </w:style>
  <w:style w:type="character" w:customStyle="1" w:styleId="EndNoteBibliographyTitleChar">
    <w:name w:val="EndNote Bibliography Title Char"/>
    <w:basedOn w:val="DefaultParagraphFont"/>
    <w:link w:val="EndNoteBibliographyTitle"/>
    <w:rsid w:val="00745F68"/>
    <w:rPr>
      <w:rFonts w:ascii="Times New Roman" w:eastAsia="Times New Roman" w:hAnsi="Times New Roman" w:cs="Times New Roman"/>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54265">
      <w:bodyDiv w:val="1"/>
      <w:marLeft w:val="0"/>
      <w:marRight w:val="0"/>
      <w:marTop w:val="0"/>
      <w:marBottom w:val="0"/>
      <w:divBdr>
        <w:top w:val="none" w:sz="0" w:space="0" w:color="auto"/>
        <w:left w:val="none" w:sz="0" w:space="0" w:color="auto"/>
        <w:bottom w:val="none" w:sz="0" w:space="0" w:color="auto"/>
        <w:right w:val="none" w:sz="0" w:space="0" w:color="auto"/>
      </w:divBdr>
    </w:div>
    <w:div w:id="214972572">
      <w:bodyDiv w:val="1"/>
      <w:marLeft w:val="0"/>
      <w:marRight w:val="0"/>
      <w:marTop w:val="0"/>
      <w:marBottom w:val="0"/>
      <w:divBdr>
        <w:top w:val="none" w:sz="0" w:space="0" w:color="auto"/>
        <w:left w:val="none" w:sz="0" w:space="0" w:color="auto"/>
        <w:bottom w:val="none" w:sz="0" w:space="0" w:color="auto"/>
        <w:right w:val="none" w:sz="0" w:space="0" w:color="auto"/>
      </w:divBdr>
    </w:div>
    <w:div w:id="454057173">
      <w:bodyDiv w:val="1"/>
      <w:marLeft w:val="0"/>
      <w:marRight w:val="0"/>
      <w:marTop w:val="0"/>
      <w:marBottom w:val="0"/>
      <w:divBdr>
        <w:top w:val="none" w:sz="0" w:space="0" w:color="auto"/>
        <w:left w:val="none" w:sz="0" w:space="0" w:color="auto"/>
        <w:bottom w:val="none" w:sz="0" w:space="0" w:color="auto"/>
        <w:right w:val="none" w:sz="0" w:space="0" w:color="auto"/>
      </w:divBdr>
    </w:div>
    <w:div w:id="1019433077">
      <w:bodyDiv w:val="1"/>
      <w:marLeft w:val="0"/>
      <w:marRight w:val="0"/>
      <w:marTop w:val="0"/>
      <w:marBottom w:val="0"/>
      <w:divBdr>
        <w:top w:val="none" w:sz="0" w:space="0" w:color="auto"/>
        <w:left w:val="none" w:sz="0" w:space="0" w:color="auto"/>
        <w:bottom w:val="none" w:sz="0" w:space="0" w:color="auto"/>
        <w:right w:val="none" w:sz="0" w:space="0" w:color="auto"/>
      </w:divBdr>
    </w:div>
    <w:div w:id="1211108421">
      <w:bodyDiv w:val="1"/>
      <w:marLeft w:val="0"/>
      <w:marRight w:val="0"/>
      <w:marTop w:val="0"/>
      <w:marBottom w:val="0"/>
      <w:divBdr>
        <w:top w:val="none" w:sz="0" w:space="0" w:color="auto"/>
        <w:left w:val="none" w:sz="0" w:space="0" w:color="auto"/>
        <w:bottom w:val="none" w:sz="0" w:space="0" w:color="auto"/>
        <w:right w:val="none" w:sz="0" w:space="0" w:color="auto"/>
      </w:divBdr>
    </w:div>
    <w:div w:id="1503201468">
      <w:bodyDiv w:val="1"/>
      <w:marLeft w:val="0"/>
      <w:marRight w:val="0"/>
      <w:marTop w:val="0"/>
      <w:marBottom w:val="0"/>
      <w:divBdr>
        <w:top w:val="none" w:sz="0" w:space="0" w:color="auto"/>
        <w:left w:val="none" w:sz="0" w:space="0" w:color="auto"/>
        <w:bottom w:val="none" w:sz="0" w:space="0" w:color="auto"/>
        <w:right w:val="none" w:sz="0" w:space="0" w:color="auto"/>
      </w:divBdr>
    </w:div>
    <w:div w:id="1619871641">
      <w:bodyDiv w:val="1"/>
      <w:marLeft w:val="0"/>
      <w:marRight w:val="0"/>
      <w:marTop w:val="0"/>
      <w:marBottom w:val="0"/>
      <w:divBdr>
        <w:top w:val="none" w:sz="0" w:space="0" w:color="auto"/>
        <w:left w:val="none" w:sz="0" w:space="0" w:color="auto"/>
        <w:bottom w:val="none" w:sz="0" w:space="0" w:color="auto"/>
        <w:right w:val="none" w:sz="0" w:space="0" w:color="auto"/>
      </w:divBdr>
    </w:div>
    <w:div w:id="1829323762">
      <w:bodyDiv w:val="1"/>
      <w:marLeft w:val="0"/>
      <w:marRight w:val="0"/>
      <w:marTop w:val="0"/>
      <w:marBottom w:val="0"/>
      <w:divBdr>
        <w:top w:val="none" w:sz="0" w:space="0" w:color="auto"/>
        <w:left w:val="none" w:sz="0" w:space="0" w:color="auto"/>
        <w:bottom w:val="none" w:sz="0" w:space="0" w:color="auto"/>
        <w:right w:val="none" w:sz="0" w:space="0" w:color="auto"/>
      </w:divBdr>
    </w:div>
    <w:div w:id="19323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0.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png"/><Relationship Id="rId8" Type="http://schemas.openxmlformats.org/officeDocument/2006/relationships/hyperlink" Target="mailto:daniel.zizzo@newcastle.ac.uk" TargetMode="External"/><Relationship Id="rId51" Type="http://schemas.openxmlformats.org/officeDocument/2006/relationships/oleObject" Target="embeddings/oleObject21.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20A6-592A-4201-A18B-99A936F9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9194</Words>
  <Characters>52406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61478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ec601</dc:creator>
  <cp:lastModifiedBy>Daniel Zizzo</cp:lastModifiedBy>
  <cp:revision>3</cp:revision>
  <cp:lastPrinted>2016-08-28T14:36:00Z</cp:lastPrinted>
  <dcterms:created xsi:type="dcterms:W3CDTF">2017-07-07T06:51:00Z</dcterms:created>
  <dcterms:modified xsi:type="dcterms:W3CDTF">2017-07-07T06:51:00Z</dcterms:modified>
</cp:coreProperties>
</file>