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F376A" w14:textId="3C085403" w:rsidR="00522E7C" w:rsidRPr="004B5957" w:rsidRDefault="004B5957" w:rsidP="00A62AB8">
      <w:pPr>
        <w:jc w:val="center"/>
        <w:rPr>
          <w:b/>
          <w:sz w:val="28"/>
          <w:szCs w:val="28"/>
        </w:rPr>
      </w:pPr>
      <w:r>
        <w:rPr>
          <w:b/>
          <w:sz w:val="28"/>
          <w:szCs w:val="28"/>
        </w:rPr>
        <w:fldChar w:fldCharType="begin"/>
      </w:r>
      <w:r>
        <w:rPr>
          <w:b/>
          <w:sz w:val="28"/>
          <w:szCs w:val="28"/>
        </w:rPr>
        <w:instrText xml:space="preserve"> MACROBUTTON MTEditEquationSection2 </w:instrText>
      </w:r>
      <w:r w:rsidRPr="004B5957">
        <w:rPr>
          <w:rStyle w:val="MTEquationSection"/>
        </w:rPr>
        <w:instrText>Equation Chapter 1 Section 1</w:instrText>
      </w:r>
      <w:r>
        <w:rPr>
          <w:b/>
          <w:sz w:val="28"/>
          <w:szCs w:val="28"/>
        </w:rPr>
        <w:fldChar w:fldCharType="begin"/>
      </w:r>
      <w:r>
        <w:rPr>
          <w:b/>
          <w:sz w:val="28"/>
          <w:szCs w:val="28"/>
        </w:rPr>
        <w:instrText xml:space="preserve"> SEQ MTEqn \r \h \* MERGEFORMAT </w:instrText>
      </w:r>
      <w:r>
        <w:rPr>
          <w:b/>
          <w:sz w:val="28"/>
          <w:szCs w:val="28"/>
        </w:rPr>
        <w:fldChar w:fldCharType="end"/>
      </w:r>
      <w:r>
        <w:rPr>
          <w:b/>
          <w:sz w:val="28"/>
          <w:szCs w:val="28"/>
        </w:rPr>
        <w:fldChar w:fldCharType="begin"/>
      </w:r>
      <w:r>
        <w:rPr>
          <w:b/>
          <w:sz w:val="28"/>
          <w:szCs w:val="28"/>
        </w:rPr>
        <w:instrText xml:space="preserve"> SEQ MTSec \r 1 \h \* MERGEFORMAT </w:instrText>
      </w:r>
      <w:r>
        <w:rPr>
          <w:b/>
          <w:sz w:val="28"/>
          <w:szCs w:val="28"/>
        </w:rPr>
        <w:fldChar w:fldCharType="end"/>
      </w:r>
      <w:r>
        <w:rPr>
          <w:b/>
          <w:sz w:val="28"/>
          <w:szCs w:val="28"/>
        </w:rPr>
        <w:fldChar w:fldCharType="begin"/>
      </w:r>
      <w:r>
        <w:rPr>
          <w:b/>
          <w:sz w:val="28"/>
          <w:szCs w:val="28"/>
        </w:rPr>
        <w:instrText xml:space="preserve"> SEQ MTChap \r 1 \h \* MERGEFORMAT </w:instrText>
      </w:r>
      <w:r>
        <w:rPr>
          <w:b/>
          <w:sz w:val="28"/>
          <w:szCs w:val="28"/>
        </w:rPr>
        <w:fldChar w:fldCharType="end"/>
      </w:r>
      <w:r>
        <w:rPr>
          <w:b/>
          <w:sz w:val="28"/>
          <w:szCs w:val="28"/>
        </w:rPr>
        <w:fldChar w:fldCharType="end"/>
      </w:r>
      <w:r w:rsidR="00056E50">
        <w:rPr>
          <w:b/>
          <w:sz w:val="32"/>
          <w:szCs w:val="32"/>
        </w:rPr>
        <w:t>How o</w:t>
      </w:r>
      <w:r w:rsidR="00DE07BC" w:rsidRPr="008242B8">
        <w:rPr>
          <w:b/>
          <w:sz w:val="32"/>
          <w:szCs w:val="32"/>
        </w:rPr>
        <w:t>smolytes</w:t>
      </w:r>
      <w:r w:rsidR="00056E50">
        <w:rPr>
          <w:b/>
          <w:sz w:val="32"/>
          <w:szCs w:val="32"/>
        </w:rPr>
        <w:t xml:space="preserve"> c</w:t>
      </w:r>
      <w:r w:rsidR="00E3427E" w:rsidRPr="008242B8">
        <w:rPr>
          <w:b/>
          <w:sz w:val="32"/>
          <w:szCs w:val="32"/>
        </w:rPr>
        <w:t>ounteract</w:t>
      </w:r>
      <w:r w:rsidR="00056E50">
        <w:rPr>
          <w:b/>
          <w:sz w:val="32"/>
          <w:szCs w:val="32"/>
        </w:rPr>
        <w:t xml:space="preserve"> p</w:t>
      </w:r>
      <w:r w:rsidR="00EF7E52" w:rsidRPr="008242B8">
        <w:rPr>
          <w:b/>
          <w:sz w:val="32"/>
          <w:szCs w:val="32"/>
        </w:rPr>
        <w:t>ressure</w:t>
      </w:r>
      <w:r w:rsidR="00F967E8" w:rsidRPr="008242B8">
        <w:rPr>
          <w:b/>
          <w:sz w:val="32"/>
          <w:szCs w:val="32"/>
        </w:rPr>
        <w:t xml:space="preserve"> </w:t>
      </w:r>
      <w:r w:rsidR="00056E50">
        <w:rPr>
          <w:b/>
          <w:sz w:val="32"/>
          <w:szCs w:val="32"/>
        </w:rPr>
        <w:t>d</w:t>
      </w:r>
      <w:r w:rsidR="00E3427E" w:rsidRPr="008242B8">
        <w:rPr>
          <w:b/>
          <w:sz w:val="32"/>
          <w:szCs w:val="32"/>
        </w:rPr>
        <w:t xml:space="preserve">enaturation </w:t>
      </w:r>
      <w:r w:rsidR="00056E50">
        <w:rPr>
          <w:b/>
          <w:sz w:val="32"/>
          <w:szCs w:val="32"/>
        </w:rPr>
        <w:t>on a molecular s</w:t>
      </w:r>
      <w:r w:rsidR="00F967E8" w:rsidRPr="008242B8">
        <w:rPr>
          <w:b/>
          <w:sz w:val="32"/>
          <w:szCs w:val="32"/>
        </w:rPr>
        <w:t>cale</w:t>
      </w:r>
    </w:p>
    <w:p w14:paraId="2E7DBD92" w14:textId="77777777" w:rsidR="004B5957" w:rsidRDefault="00662232" w:rsidP="00A62AB8">
      <w:pPr>
        <w:jc w:val="center"/>
      </w:pPr>
      <w:r>
        <w:t>Seishi Shimizu</w:t>
      </w:r>
      <w:r w:rsidR="00C42B43">
        <w:rPr>
          <w:vertAlign w:val="superscript"/>
        </w:rPr>
        <w:t>1</w:t>
      </w:r>
      <w:r w:rsidR="006C5F66">
        <w:rPr>
          <w:vertAlign w:val="superscript"/>
        </w:rPr>
        <w:t>*</w:t>
      </w:r>
      <w:r>
        <w:t xml:space="preserve"> and Paul E. Smith</w:t>
      </w:r>
      <w:r w:rsidR="00C42B43">
        <w:rPr>
          <w:vertAlign w:val="superscript"/>
        </w:rPr>
        <w:t>2</w:t>
      </w:r>
    </w:p>
    <w:p w14:paraId="28DE4F46" w14:textId="77777777" w:rsidR="00E73AAE" w:rsidRPr="00E73AAE" w:rsidRDefault="00A62AB8" w:rsidP="004A6C3A">
      <w:pPr>
        <w:pStyle w:val="BCAuthorAddress"/>
        <w:spacing w:after="0"/>
      </w:pPr>
      <w:r w:rsidRPr="00A94D13">
        <w:rPr>
          <w:vertAlign w:val="superscript"/>
        </w:rPr>
        <w:t>1</w:t>
      </w:r>
      <w:r w:rsidRPr="001862BE">
        <w:t xml:space="preserve">York Structural Biology Laboratory, Department of Chemistry, University of York, Heslington, </w:t>
      </w:r>
      <w:r>
        <w:t>York YO10 5DD</w:t>
      </w:r>
      <w:r w:rsidR="004A6C3A">
        <w:t>, U</w:t>
      </w:r>
      <w:r>
        <w:t>.</w:t>
      </w:r>
      <w:r w:rsidR="004A6C3A">
        <w:t xml:space="preserve">K. </w:t>
      </w:r>
      <w:r w:rsidR="00E73AAE">
        <w:t xml:space="preserve">Email: </w:t>
      </w:r>
      <w:hyperlink r:id="rId8" w:history="1">
        <w:r w:rsidR="00E73AAE" w:rsidRPr="00E1710D">
          <w:rPr>
            <w:rStyle w:val="Hyperlink"/>
          </w:rPr>
          <w:t>seishi.shimizu@york.ac.uk</w:t>
        </w:r>
      </w:hyperlink>
      <w:r w:rsidR="00E73AAE">
        <w:t xml:space="preserve"> </w:t>
      </w:r>
    </w:p>
    <w:p w14:paraId="739403F9" w14:textId="77777777" w:rsidR="00A62AB8" w:rsidRPr="00A62AB8" w:rsidRDefault="00A62AB8" w:rsidP="00E73AAE">
      <w:pPr>
        <w:pStyle w:val="BCAuthorAddress"/>
      </w:pPr>
      <w:r w:rsidRPr="00A62AB8">
        <w:rPr>
          <w:vertAlign w:val="superscript"/>
        </w:rPr>
        <w:t>2</w:t>
      </w:r>
      <w:r>
        <w:t>Department of Chemistry, Kansas State University, 213 CBC Building, Manhattan, Kansas 6650</w:t>
      </w:r>
      <w:r w:rsidR="004A6C3A">
        <w:t>6-0401, U</w:t>
      </w:r>
      <w:r>
        <w:t>.</w:t>
      </w:r>
      <w:r w:rsidR="004A6C3A">
        <w:t>S.A.</w:t>
      </w:r>
    </w:p>
    <w:p w14:paraId="1069559B" w14:textId="77777777" w:rsidR="00E73AAE" w:rsidRPr="009B6802" w:rsidRDefault="00E73AAE">
      <w:pPr>
        <w:rPr>
          <w:b/>
        </w:rPr>
      </w:pPr>
      <w:r w:rsidRPr="00E73AAE">
        <w:rPr>
          <w:b/>
        </w:rPr>
        <w:t xml:space="preserve">Abstract </w:t>
      </w:r>
    </w:p>
    <w:p w14:paraId="3405CF63" w14:textId="77777777" w:rsidR="00E73AAE" w:rsidRDefault="00601C45">
      <w:r>
        <w:t xml:space="preserve">Life in the deep sea exposes </w:t>
      </w:r>
      <w:r w:rsidR="00FF2AB2">
        <w:t xml:space="preserve">enzymes to high hydrostatic pressure which decreases their stability. </w:t>
      </w:r>
      <w:r w:rsidR="009B5648" w:rsidRPr="00F81E1C">
        <w:t>F</w:t>
      </w:r>
      <w:r w:rsidRPr="00F81E1C">
        <w:t>or survival</w:t>
      </w:r>
      <w:r w:rsidR="00FF2AB2" w:rsidRPr="00F81E1C">
        <w:t xml:space="preserve">, deep sea organisms </w:t>
      </w:r>
      <w:r w:rsidR="00533EA1" w:rsidRPr="00F81E1C">
        <w:t xml:space="preserve">tend to </w:t>
      </w:r>
      <w:r w:rsidR="00FF2AB2" w:rsidRPr="00F81E1C">
        <w:t>accumulate various osmolytes, most notabl</w:t>
      </w:r>
      <w:r w:rsidR="00533EA1" w:rsidRPr="00F81E1C">
        <w:t xml:space="preserve">y trimethylamine N-oxide (TMAO) </w:t>
      </w:r>
      <w:r w:rsidR="00FF2AB2" w:rsidRPr="00F81E1C">
        <w:t xml:space="preserve">used by fish, </w:t>
      </w:r>
      <w:r w:rsidR="009B5648" w:rsidRPr="00F81E1C">
        <w:t>to counteract pressure denaturation.</w:t>
      </w:r>
      <w:r w:rsidR="009B5648">
        <w:t xml:space="preserve"> Y</w:t>
      </w:r>
      <w:r w:rsidR="00FF2AB2">
        <w:t>et</w:t>
      </w:r>
      <w:r w:rsidR="009B5648">
        <w:t>,</w:t>
      </w:r>
      <w:r w:rsidR="00FF2AB2">
        <w:t xml:space="preserve"> </w:t>
      </w:r>
      <w:r w:rsidR="003A6C89">
        <w:t xml:space="preserve">exactly </w:t>
      </w:r>
      <w:r w:rsidR="00FF2AB2">
        <w:t xml:space="preserve">how they work still remains unclear. </w:t>
      </w:r>
      <w:r w:rsidR="00895F12">
        <w:t xml:space="preserve">Here, </w:t>
      </w:r>
      <w:r w:rsidR="00895F12" w:rsidRPr="00D930D3">
        <w:t>we use</w:t>
      </w:r>
      <w:r w:rsidR="00C94D83" w:rsidRPr="00D930D3">
        <w:t xml:space="preserve"> a rigorous statis</w:t>
      </w:r>
      <w:r w:rsidR="00D930D3" w:rsidRPr="00D930D3">
        <w:t>tical thermodynamics approach to</w:t>
      </w:r>
      <w:r w:rsidR="00FF2AB2" w:rsidRPr="00D930D3">
        <w:t xml:space="preserve"> clarify the mechanism of osmoprot</w:t>
      </w:r>
      <w:r w:rsidR="00C94D83" w:rsidRPr="00D930D3">
        <w:t>ection</w:t>
      </w:r>
      <w:r w:rsidR="00FF2AB2" w:rsidRPr="00D930D3">
        <w:t>.</w:t>
      </w:r>
      <w:r w:rsidR="00FF2AB2">
        <w:t xml:space="preserve"> We show that the weak, non-specific</w:t>
      </w:r>
      <w:r w:rsidR="00533EA1">
        <w:t>,</w:t>
      </w:r>
      <w:r w:rsidR="00FF2AB2">
        <w:t xml:space="preserve"> and dynamic interactions of water and osmolytes with proteins can be characterized only statistically, and </w:t>
      </w:r>
      <w:r w:rsidR="00D930D3">
        <w:t xml:space="preserve">that </w:t>
      </w:r>
      <w:r w:rsidR="00FF2AB2">
        <w:t>the competition between protein-osmolyte and protein-water interaction</w:t>
      </w:r>
      <w:r w:rsidR="00533EA1">
        <w:t>s</w:t>
      </w:r>
      <w:r w:rsidR="00FF2AB2">
        <w:t xml:space="preserve"> is crucial in </w:t>
      </w:r>
      <w:r w:rsidR="00533EA1">
        <w:t xml:space="preserve">determining </w:t>
      </w:r>
      <w:r w:rsidR="00FF2AB2">
        <w:t>conformational stability. Osmoprotection is driven by a stronger exclusion of osmolytes from the denatured protein tha</w:t>
      </w:r>
      <w:r w:rsidR="00D930D3">
        <w:t>n from the native conformation</w:t>
      </w:r>
      <w:r w:rsidR="00D930D3" w:rsidRPr="00DC174E">
        <w:t xml:space="preserve">, and the water distribution has no significant effect on these changes </w:t>
      </w:r>
      <w:r w:rsidR="00885EA8" w:rsidRPr="00DC174E">
        <w:t>for</w:t>
      </w:r>
      <w:r w:rsidR="00D930D3" w:rsidRPr="00DC174E">
        <w:t xml:space="preserve"> low osmolyte concentrations.</w:t>
      </w:r>
    </w:p>
    <w:p w14:paraId="5DF1C5A8" w14:textId="77777777" w:rsidR="00FF2AB2" w:rsidRDefault="00FF2AB2"/>
    <w:p w14:paraId="1F389CD1" w14:textId="77777777" w:rsidR="00F967E8" w:rsidRDefault="00F967E8">
      <w:pPr>
        <w:rPr>
          <w:b/>
        </w:rPr>
      </w:pPr>
      <w:r w:rsidRPr="00F967E8">
        <w:rPr>
          <w:b/>
        </w:rPr>
        <w:t xml:space="preserve">1. </w:t>
      </w:r>
      <w:r>
        <w:rPr>
          <w:b/>
        </w:rPr>
        <w:t xml:space="preserve">Introduction </w:t>
      </w:r>
    </w:p>
    <w:p w14:paraId="59E4CF26" w14:textId="77777777" w:rsidR="00F967E8" w:rsidRDefault="0091592E">
      <w:r>
        <w:t>Life in</w:t>
      </w:r>
      <w:r w:rsidR="00C22B1C">
        <w:t xml:space="preserve"> </w:t>
      </w:r>
      <w:r w:rsidR="00533EA1">
        <w:t xml:space="preserve">the </w:t>
      </w:r>
      <w:r w:rsidR="00C22B1C">
        <w:t>deep sea is sub</w:t>
      </w:r>
      <w:r w:rsidR="002E606F">
        <w:t>ject to high pressure</w:t>
      </w:r>
      <w:r w:rsidR="00533EA1">
        <w:t>s</w:t>
      </w:r>
      <w:r w:rsidR="002E606F">
        <w:t xml:space="preserve"> up to </w:t>
      </w:r>
      <w:r w:rsidR="00E46391">
        <w:t>ca.</w:t>
      </w:r>
      <w:r w:rsidR="002E606F">
        <w:t>1</w:t>
      </w:r>
      <w:r>
        <w:t>20 MPa.  Some fish</w:t>
      </w:r>
      <w:r w:rsidR="00B21D67">
        <w:t xml:space="preserve"> </w:t>
      </w:r>
      <w:r w:rsidR="002E606F">
        <w:t>have been found</w:t>
      </w:r>
      <w:r w:rsidR="00B21D67">
        <w:t xml:space="preserve"> </w:t>
      </w:r>
      <w:r>
        <w:t xml:space="preserve">to live as deep as </w:t>
      </w:r>
      <w:r w:rsidR="002E606F">
        <w:t xml:space="preserve">8000 meters below </w:t>
      </w:r>
      <w:r w:rsidR="00B21D67">
        <w:t>sea level,</w:t>
      </w:r>
      <w:r w:rsidR="002E606F">
        <w:t xml:space="preserve"> </w:t>
      </w:r>
      <w:r w:rsidR="009D44C5">
        <w:t>facing</w:t>
      </w:r>
      <w:r>
        <w:t xml:space="preserve"> up to</w:t>
      </w:r>
      <w:r w:rsidR="002E606F">
        <w:t xml:space="preserve"> </w:t>
      </w:r>
      <w:r w:rsidR="00E46391">
        <w:t xml:space="preserve">ca. </w:t>
      </w:r>
      <w:r w:rsidR="002E606F">
        <w:t>80 MPa</w:t>
      </w:r>
      <w:r w:rsidR="00533EA1">
        <w:t xml:space="preserve"> pressures</w:t>
      </w:r>
      <w:r w:rsidR="00253557">
        <w:t>.</w:t>
      </w:r>
      <w:r w:rsidR="00253557">
        <w:fldChar w:fldCharType="begin" w:fldLock="1"/>
      </w:r>
      <w:r w:rsidR="002C1133">
        <w:instrText>ADDIN CSL_CITATION { "citationItems" : [ { "id" : "ITEM-1", "itemData" : { "ISBN" : "0022-0949 (Print)\\r0022-0949 (Linking)", "ISSN" : "0022-0949", "PMID" : "10574736", "abstract" : "Trimethylamine N-oxide (TMAO) is an organic osmolyte present at high levels in elasmobranchs, in which it counteracts the deleterious effects of urea on proteins, and is also accumulated by deep-living invertebrates and teleost fishes. To test the hypothesis that TMAO may compensate for the adverse effects of elevated pressure on protein structure in deep-sea species, we studied the efficacy of TMAO in preventing denaturation and enhanced proteolysis by hydrostatic pressure. TMAO was compared to a common 'compatible' osmolyte, glycine, using muscle-type lactate dehydrogenase (A(4)-LDH) homologs from three scorpaenid teleost fish species and from a mammal, the cow. Test conditions lasted 1 h and were: (1) no addition, (2) 250 mmol l(-)(1) TMAO and (3) 250 mmol l(-)(1) glycine, in the absence and presence of trypsin. Comparisons were made at 0. 1 and 101.3 MPa for the deeper occurring Sebastolobus altivelis, 0.1, 50.7 and 101.3 MPa for the moderate-depth congener S. alascanus, 0. 1 and 25.3 MPa for shallow-living Sebastes melanops and 0.1 and 50.7 MPa for Bos taurus. Susceptibility to denaturation was determined by the residual LDH activity. For all the species and pressures tested, 250 mmol l(-)(1) TMAO reduced trypsinolysis significantly. For all except S. altivelis, which was minimally affected by 101.3 MPa pressure, TMAO stabilized the LDH homologs and reduced pressure denaturation significantly. Glycine, in contrast, showed no ability to reduce pressure denaturation alone, and little or no ability to reduce the rate of proteolysis.", "author" : [ { "dropping-particle" : "", "family" : "Yancey", "given" : "PH H", "non-dropping-particle" : "", "parse-names" : false, "suffix" : "" }, { "dropping-particle" : "", "family" : "Siebenaller", "given" : "JF F", "non-dropping-particle" : "", "parse-names" : false, "suffix" : "" } ], "container-title" : "J. Exp. Biol.", "id" : "ITEM-1", "issue" : "24", "issued" : { "date-parts" : [ [ "1999" ] ] }, "page" : "3597-3603", "title" : "Trimethylamine oxide stabilizes teleost and mammalian lactate dehydrogenases against inactivation by hydrostatic pressure and trypsinolysis", "type" : "article-journal", "volume" : "202" }, "uris" : [ "http://www.mendeley.com/documents/?uuid=8e844f94-ddec-4992-a726-80b76becff8c" ] }, { "id" : "ITEM-2", "itemData" : { "DOI" : "10.1002/1097-010X(20010215)289:3&lt;172::AID-JEZ3&gt;3.0.CO;2-J", "ISBN" : "1552-499X", "ISSN" : "0022104X", "PMID" : "11170013", "abstract" : "In shallow marine teleost fishes, the osmolyte trimethylamine oxide (TMAO) is typically found at &lt;70 mmol/kg wet weight. Recently we found deep-sea teleosts have up to 288 mmol/kg, increasing in the order shallow &lt; bathyal &lt; abyssal. We hypothesized that this protein stabilizer counteracts inhibition of proteins by hydrostatic pressure, and showed that, for lactate dehydrogenases (LDH), 250 mM TMAO fully offset an increase in NADH K(m) at physiological pressure, and partly reversed pressure-enhanced losses of activity at supranormal pressures. In this study, we examined other effects of pressure and TMAO on proteins of teleosts that live from 2000-5000 m (200-500 atmospheres [atm]). First, for LDH from a grenadier (Coryphaenoides leptolepis) at 500 atm for 8 hr, there was a significant 15% loss in activity (P &lt; 0.05 relative to 1 atm control) that was reduced with 250 mM TMAO to an insignificant loss. Second, for pyruvate kinase from a morid cod (Antimora microlepis) at 200 atm, there was 73% increase in ADP K(m) without TMAO (P &lt; 0.01 relative to K(m) at 1 atm) but only a 29% increase with 300 mM TMAO. Third, for G-actin from a grenadier (C. armatus) at 500 atm for 16 hr, there was a significant reduction of F-actin polymerization (P &lt; 0.01 compared to polymerization at 1 atm) that was fully counteracted by 250 mM TMAO, but was unchanged in 250 mM glycine. These findings support the hypothesis. J. Exp. Zool. 289:172-176, 2001.", "author" : [ { "dropping-particle" : "", "family" : "Yancey", "given" : "Paul H.", "non-dropping-particle" : "", "parse-names" : false, "suffix" : "" }, { "dropping-particle" : "", "family" : "Fyfe-Johnson", "given" : "Amber L.", "non-dropping-particle" : "", "parse-names" : false, "suffix" : "" }, { "dropping-particle" : "", "family" : "Kelly", "given" : "Robert H.", "non-dropping-particle" : "", "parse-names" : false, "suffix" : "" }, { "dropping-particle" : "", "family" : "Walker", "given" : "Vanessa P.", "non-dropping-particle" : "", "parse-names" : false, "suffix" : "" }, { "dropping-particle" : "", "family" : "Aun", "given" : "Maria T.", "non-dropping-particle" : "", "parse-names" : false, "suffix" : "" } ], "container-title" : "Journal of Experimental Zoology", "id" : "ITEM-2", "issue" : "3", "issued" : { "date-parts" : [ [ "2001" ] ] }, "page" : "172-176", "title" : "Trimethylamine oxide counteracts effects of hydrostatic pressure on proteins of deep-sea teleosts", "type" : "article-journal", "volume" : "289" }, "uris" : [ "http://www.mendeley.com/documents/?uuid=2e0a8fd2-745d-4c1c-bad7-67ebdcd2f8d0" ] }, { "id" : "ITEM-3", "itemData" : { "DOI" : "10.1073/pnas.1322003111", "ISBN" : "1091-6490 (Electronic)\\r0027-8424 (Linking)", "ISSN" : "0027-8424", "PMID" : "24591588", "abstract" : "No fish have been found in the deepest 25% of the ocean (8,400-11,000 m). This apparent absence has been attributed to hydrostatic pressure, although direct evidence is wanting because of the lack of deepest-living species to study. The common osmolyte trimethylamine N-oxide (TMAO) stabilizes proteins against pressure and increases with depth, going from 40 to 261 mmol/kg in teleost fishes from 0 to 4,850 m. TMAO accumulation with depth results in increasing internal osmolality (typically 350 mOsmol/kg in shallow species compared with seawater's 1,100 mOsmol/kg). Preliminary extrapolation of osmolalities of predicted isosmotic state at 8,000-8,500 m may indicate a possible physiological limit, as greater depths would require reversal of osmotic gradients and, thus, osmoregulatory systems. We tested this prediction by capturing five of the second-deepest known fish, the hadal snailfish (Notoliparis kermadecensis; Liparidae), from 7,000 m in the Kermadec Trench. We found their muscles to have a TMAO content of 386 \u00b1 18 mmol/kg and osmolality of 991 \u00b1 22 mOsmol/kg. These data fit previous extrapolations and, combined with new osmolalities from bathyal and abyssal fishes, predict isosmotic state at 8,200 m. This is previously unidentified evidence that biochemistry could constrain the depth of a large, complex taxonomic group.", "author" : [ { "dropping-particle" : "", "family" : "Yancey", "given" : "Paul H", "non-dropping-particle" : "", "parse-names" : false, "suffix" : "" }, { "dropping-particle" : "", "family" : "Gerringer", "given" : "Mackenzie E", "non-dropping-particle" : "", "parse-names" : false, "suffix" : "" }, { "dropping-particle" : "", "family" : "Drazen", "given" : "Jeffrey C", "non-dropping-particle" : "", "parse-names" : false, "suffix" : "" }, { "dropping-particle" : "", "family" : "Rowden", "given" : "Ashley a", "non-dropping-particle" : "", "parse-names" : false, "suffix" : "" }, { "dropping-particle" : "", "family" : "Jamieson", "given" : "Alan", "non-dropping-particle" : "", "parse-names" : false, "suffix" : "" } ], "container-title" : "Proceedings of the National Academy of Sciences of the United States of America", "id" : "ITEM-3", "issue" : "12", "issued" : { "date-parts" : [ [ "2014" ] ] }, "page" : "4461-4465", "title" : "Marine fish may be biochemically constrained from inhabiting the deepest ocean depths", "type" : "article-journal", "volume" : "111" }, "uris" : [ "http://www.mendeley.com/documents/?uuid=fca9c37b-b0b3-4507-80f0-5e330829743c" ] }, { "id" : "ITEM-4", "itemData" : { "DOI" : "10.1242/jeb.114355", "ISSN" : "1477-9145", "PMID" : "26085665", "abstract" : "Organisms experience a wide range of environmental factors such as temperature, salinity and hydrostatic pressure, which pose challenges to biochemical processes. Studies on adaptations to such factors have largely focused on macromolecules, especially intrinsic adaptations in protein structure and function. However, micromolecular cosolutes can act as cytoprotectants in the cellular milieu to affect biochemical function and they are now recognized as important extrinsic adaptations. These solutes, both inorganic and organic, have been best characterized as osmolytes, which accumulate to reduce osmotic water loss. Singly, and in combination, many cosolutes have properties beyond simple osmotic effects, e.g. altering the stability and function of proteins in the face of numerous stressors. A key example is the marine osmolyte trimethylamine oxide (TMAO), which appears to enhance water structure and is excluded from peptide backbones, favoring protein folding and stability and counteracting destabilizers like urea and temperature. Co-evolution of intrinsic and extrinsic adaptations is illustrated with high hydrostatic pressure in deep-living organisms. Cytosolic and membrane proteins and G-protein-coupled signal transduction in fishes under pressure show inhibited function and stability, while revealing a number of intrinsic adaptations in deep species. Yet, intrinsic adaptations are often incomplete, and those fishes accumulate TMAO linearly with depth, suggesting a role for TMAO as an extrinsic 'piezolyte' or pressure cosolute. Indeed, TMAO is able to counteract the inhibitory effects of pressure on the stability and function of many proteins. Other cosolutes are cytoprotective in other ways, such as via antioxidation. Such observations highlight the importance of considering the cellular milieu in biochemical and cellular adaptation.", "author" : [ { "dropping-particle" : "", "family" : "Yancey", "given" : "Paul H", "non-dropping-particle" : "", "parse-names" : false, "suffix" : "" }, { "dropping-particle" : "", "family" : "Siebenaller", "given" : "Joseph F", "non-dropping-particle" : "", "parse-names" : false, "suffix" : "" } ], "container-title" : "The Journal of experimental biology", "id" : "ITEM-4", "issue" : "Pt 12", "issued" : { "date-parts" : [ [ "2015" ] ] }, "page" : "1880-96", "title" : "Co-evolution of proteins and solutions: protein adaptation versus cytoprotective micromolecules and their roles in marine organisms.", "type" : "article-journal", "volume" : "218" }, "uris" : [ "http://www.mendeley.com/documents/?uuid=4e63a885-ce9f-4c00-bd00-a2feb2c9169d" ] } ], "mendeley" : { "formattedCitation" : "&lt;sup&gt;[1\u20134]&lt;/sup&gt;", "plainTextFormattedCitation" : "[1\u20134]", "previouslyFormattedCitation" : "&lt;sup&gt;[1\u20134]&lt;/sup&gt;" }, "properties" : { "noteIndex" : 0 }, "schema" : "https://github.com/citation-style-language/schema/raw/master/csl-citation.json" }</w:instrText>
      </w:r>
      <w:r w:rsidR="00253557">
        <w:fldChar w:fldCharType="separate"/>
      </w:r>
      <w:r w:rsidR="002C1133" w:rsidRPr="002C1133">
        <w:rPr>
          <w:noProof/>
          <w:vertAlign w:val="superscript"/>
        </w:rPr>
        <w:t>[1–4]</w:t>
      </w:r>
      <w:r w:rsidR="00253557">
        <w:fldChar w:fldCharType="end"/>
      </w:r>
      <w:r w:rsidR="009B5648">
        <w:t xml:space="preserve"> Proteins </w:t>
      </w:r>
      <w:r>
        <w:t xml:space="preserve">are responsible for most tasks </w:t>
      </w:r>
      <w:r w:rsidR="009B5648">
        <w:t xml:space="preserve">required </w:t>
      </w:r>
      <w:r>
        <w:t xml:space="preserve">for life, </w:t>
      </w:r>
      <w:r w:rsidR="009B5648">
        <w:t xml:space="preserve">but </w:t>
      </w:r>
      <w:r>
        <w:t>are designed to b</w:t>
      </w:r>
      <w:r w:rsidR="00E46391">
        <w:t>e only marginally stable</w:t>
      </w:r>
      <w:r w:rsidR="009B5648">
        <w:t>.</w:t>
      </w:r>
      <w:r w:rsidR="005B6EEF">
        <w:fldChar w:fldCharType="begin" w:fldLock="1"/>
      </w:r>
      <w:r w:rsidR="002C1133">
        <w:instrText>ADDIN CSL_CITATION { "citationItems" : [ { "id" : "ITEM-1", "itemData" : { "abstract" : "Most globular proteins are marginally stable regardless of size or activity. The most common interpretation is that proteins must be marginally stable in order to function, and so marginal stability represents the results of positive selection. We consider the issue of marginal stability directly using model proteins and the dynamical aspects of protein evolution in populations. We find that the marginal stability of proteins is an inherent property of proteins due to the high dimensionality of the sequence space, without regard to protein function. In this way, marginal stability can result from neutral, non-adaptive evolution. By allowing evolving protein sub-populations with different stability requirements for functionality to complete, we find that marginally stable populations of proteins tend to dominate. Our results show that functionalities consistent with marginal stability have a strong evolutionary advantage, and might arise because of the natural tendency of proteins towards marginal stability.", "author" : [ { "dropping-particle" : "", "family" : "Taverna", "given" : "Darin M.", "non-dropping-particle" : "", "parse-names" : false, "suffix" : "" }, { "dropping-particle" : "", "family" : "Goldstein", "given" : "Richard A.", "non-dropping-particle" : "", "parse-names" : false, "suffix" : "" } ], "container-title" : "Proteins", "id" : "ITEM-1", "issue" : "1", "issued" : { "date-parts" : [ [ "2002", "1", "1" ] ] }, "page" : "105-109", "title" : "Why are proteins marginally stable?", "type" : "article-journal", "volume" : "46" }, "uris" : [ "http://www.mendeley.com/documents/?uuid=a8227c58-8d42-4684-bd24-2dda7a44b260" ] } ], "mendeley" : { "formattedCitation" : "&lt;sup&gt;[5]&lt;/sup&gt;", "plainTextFormattedCitation" : "[5]", "previouslyFormattedCitation" : "&lt;sup&gt;[5]&lt;/sup&gt;" }, "properties" : { "noteIndex" : 0 }, "schema" : "https://github.com/citation-style-language/schema/raw/master/csl-citation.json" }</w:instrText>
      </w:r>
      <w:r w:rsidR="005B6EEF">
        <w:fldChar w:fldCharType="separate"/>
      </w:r>
      <w:r w:rsidR="002C1133" w:rsidRPr="002C1133">
        <w:rPr>
          <w:noProof/>
          <w:vertAlign w:val="superscript"/>
        </w:rPr>
        <w:t>[5]</w:t>
      </w:r>
      <w:r w:rsidR="005B6EEF">
        <w:fldChar w:fldCharType="end"/>
      </w:r>
      <w:r w:rsidR="00E46391">
        <w:t xml:space="preserve"> </w:t>
      </w:r>
      <w:r w:rsidR="00D930D3" w:rsidRPr="007B17EC">
        <w:t>Unfortunately, the volume of the denatured state of most proteins is typically smaller than that of the native state.</w:t>
      </w:r>
      <w:r w:rsidR="007B17EC" w:rsidRPr="007B17EC">
        <w:fldChar w:fldCharType="begin" w:fldLock="1"/>
      </w:r>
      <w:r w:rsidR="001F67E6">
        <w:instrText>ADDIN CSL_CITATION { "citationItems" : [ { "id" : "ITEM-1", "itemData" : { "abstract" : "The study of pressure effects on protein stability has occupied a relatively marginal position in the field of protein folding, with very few thorough thermodynamic, structural and kinetic studies of this phenomenon. Moreover, theoretical treatment of the issue with a few recent exceptions, has been limited to declarations of its complexity and lack of concordance with the results from other approaches. This paucity of data and theory notwithstanding, understanding the fundamental physical basis for pressure effects on proteins is essential to progress in the field of protein folding. Moreover, pressure presents certain advantages as a perturbation methodology that render it an important, useful and complementary approach. In the present review, the issue of the fundamental basis for the effects of pressure is discussed. Reference is made to studies in the literature, but I have concentrated the detailed presentation on the body of work in pressure-induced protein unfolding carried out by my research group and collaborators on staphylococcal nuclease (Snase) over the past 5 years. The origins of the value of the change in volume upon unfolding must be understood prior to any thorough theoretical analysis of pressure effects. The various arguments for the multiple contributing factors are discussed and then recent studies from my research group designed to probe this question are presented, the overall conclusion being that the existence of packing defects in the folded structure represents the most likely candidate for the negative change in volume upon unfolding. Moreover, the results of the temperature dependence of the volume change for unfolding of Snase implicate the difference in thermal expansivity in the temperature dependence of the value of the volume change of unfolding. Next I present results of a characterization of the physical properties of the pressure denatured state of Snase, and compare these to studies on a number of other pressure denatured proteins. Finally, the results of a series of pressure-jump kinetic studies on the folding/unfolding reactions of this protein are discussed. It is too early to conclude whether the results from these pressure studies on Snase stability and their interpretations are general. For this, many more studies on a number of small, reversibly folding proteins will be required.", "author" : [ { "dropping-particle" : "", "family" : "Royer", "given" : "C A", "non-dropping-particle" : "", "parse-names" : false, "suffix" : "" } ], "container-title" : "High Pressure Molecular Science", "editor" : [ { "dropping-particle" : "", "family" : "Winter", "given" : "Roland", "non-dropping-particle" : "", "parse-names" : false, "suffix" : "" }, { "dropping-particle" : "", "family" : "Jonas", "given" : "Jiri", "non-dropping-particle" : "", "parse-names" : false, "suffix" : "" } ], "id" : "ITEM-1", "issued" : { "date-parts" : [ [ "1999" ] ] }, "page" : "473-495", "publisher" : "Springer", "publisher-place" : "Dordrecht", "title" : "Pressure denaturation of proteins", "type" : "chapter" }, "uris" : [ "http://www.mendeley.com/documents/?uuid=c669c94f-d60d-45aa-abde-0adaf56fa508" ] }, { "id" : "ITEM-2", "itemData" : { "abstract" : "It has long been known that the application of hydrostatic pressure generally leads to the unfolding of proteins. Despite a relatively large number of reports in the literature over the past few decades, there has been great confusion over the sign and magnitude as well as the fundamental factors contributing to volume effects in protein conformational transitions. It is the goal of this review to present and discuss the results obtained concerning the sign and magnitude of the volume changes accompanying the unfolding of proteins. The vast majority of cases point to a significant decrease in volume upon unfolding. Nonetheless, there is evidence that, due to differences in the thermal expansivity of the folded and unfolded states of proteins reported in a half dozen manuscripts, that the sign of the volume change may become positive at higher temperatures. ?? 2002 Elsevier Science B.V. All rights reserved.", "author" : [ { "dropping-particle" : "", "family" : "Royer", "given" : "Catherine A.", "non-dropping-particle" : "", "parse-names" : false, "suffix" : "" } ], "container-title" : "Biochimica et Biophysica Acta", "id" : "ITEM-2", "issue" : "1-2", "issued" : { "date-parts" : [ [ "2002", "3", "25" ] ] }, "page" : "201-209", "title" : "Revisiting volume changes in pressure-induced protein unfolding", "type" : "article", "volume" : "1595" }, "uris" : [ "http://www.mendeley.com/documents/?uuid=2ed00b82-eb7b-452f-baac-e2d7bf51b999" ] }, { "id" : "ITEM-3", "itemData" : { "abstract" : "Proteins can be denatured by pressures of a few hundred MPa. This finding apparently contradicts the most widely used model of protein stability, where the formation of a hydrophobic core drives protein folding. The pressure denaturation puzzle is resolved by focusing on the pressure-dependent transfer of water into the protein interior, in contrast to the transfer of nonpolar residues into water, the approach commonly taken in models of protein unfolding. Pressure denaturation of proteins can then be explained by the pressure destabilization of hydrophobic aggregates by using an information theory model of hydrophobic interactions. Pressure-denatured proteins, unlike heat-denatured proteins, retain a compact structure with water molecules penetrating their core. Activation volumes for hydrophobic contributions to protein folding and unfolding kinetics are positive. Clathrate hydrates are predicted to form by virtually the same mechanism that drives pressure denaturation of proteins.", "author" : [ { "dropping-particle" : "", "family" : "Hummer", "given" : "Gerhard", "non-dropping-particle" : "", "parse-names" : false, "suffix" : "" }, { "dropping-particle" : "", "family" : "Garde", "given" : "Shekhar", "non-dropping-particle" : "", "parse-names" : false, "suffix" : "" }, { "dropping-particle" : "", "family" : "Garc\u00eda", "given" : "Angel E", "non-dropping-particle" : "", "parse-names" : false, "suffix" : "" }, { "dropping-particle" : "", "family" : "Paulaitis", "given" : "Michael E", "non-dropping-particle" : "", "parse-names" : false, "suffix" : "" }, { "dropping-particle" : "", "family" : "Pratt", "given" : "Lawrence R", "non-dropping-particle" : "", "parse-names" : false, "suffix" : "" } ], "container-title" : "Proceedings of the National Academy of Sciences of the United States of America", "id" : "ITEM-3", "issue" : "4", "issued" : { "date-parts" : [ [ "1998" ] ] }, "page" : "1552-1555", "title" : "The pressure dependence of hydrophobic interactions is consistent with the observed pressure denaturation of proteins", "type" : "article-journal", "volume" : "95" }, "uris" : [ "http://www.mendeley.com/documents/?uuid=2c1c009c-87d8-4ef2-af8a-dbd9b9ca3c45" ] }, { "id" : "ITEM-4", "itemData" : { "DOI" : "10.1016/j.jmb.2009.10.020", "ISSN" : "00222836", "PMID" : "19837081", "abstract" : "The molecular mechanisms underlying pressure-induced protein denaturation can be analyzed based on the pressure-dependent differences in the apparent volume occupied by amino acids inside the protein and when they are exposed to water in an unfolded conformation. We present here an analysis for the peptide group and the 20 naturally occurring amino acid side chains based on volumetric parameters for the amino acids in the interior of the native state, the micelle-like interior of the pressure-induced denatured state, and the unfolded conformation modeled by N-acetyl amino acid amides. The transfer of peptide groups from the protein interior to water becomes increasingly favorable as pressure increases. Thus, solvation of peptide groups represents a major driving force in pressure-induced protein denaturation. Polar side chains do not appear to exhibit significant pressure-dependent changes in their preference for the protein interior or solvent. The transfer of nonpolar side chains from the protein interior to water becomes more unfavorable as pressure increases. We conclude that a sizeable population of nonpolar side chains remains buried inside a solvent-inaccessible core of the pressure-induced denatured state. At elevated pressures, this core may become packed almost as tightly as the interior of the native state. The presence and partial disappearance of large intraglobular voids is another driving force facilitating pressure-induced denaturation of individual proteins. Our data also have implications for the kinetics of protein folding and shed light on the nature of the folding transition state ensemble. ?? 2009 Elsevier Ltd. All rights reserved.", "author" : [ { "dropping-particle" : "V.", "family" : "Chalikian", "given" : "Tigran", "non-dropping-particle" : "", "parse-names" : false, "suffix" : "" }, { "dropping-particle" : "", "family" : "Macgregor", "given" : "Robert B.", "non-dropping-particle" : "", "parse-names" : false, "suffix" : "" } ], "container-title" : "Journal of Molecular Biology", "id" : "ITEM-4", "issue" : "5", "issued" : { "date-parts" : [ [ "2009" ] ] }, "page" : "834-842", "publisher" : "Elsevier Ltd", "title" : "Origins of Pressure-Induced Protein Transitions", "type" : "article-journal", "volume" : "394" }, "uris" : [ "http://www.mendeley.com/documents/?uuid=7677e8b3-587d-4bd0-9ea6-e10c249fbe8e" ] } ], "mendeley" : { "formattedCitation" : "&lt;sup&gt;[6\u20139]&lt;/sup&gt;", "plainTextFormattedCitation" : "[6\u20139]", "previouslyFormattedCitation" : "&lt;sup&gt;[6\u20139]&lt;/sup&gt;" }, "properties" : { "noteIndex" : 0 }, "schema" : "https://github.com/citation-style-language/schema/raw/master/csl-citation.json" }</w:instrText>
      </w:r>
      <w:r w:rsidR="007B17EC" w:rsidRPr="007B17EC">
        <w:fldChar w:fldCharType="separate"/>
      </w:r>
      <w:r w:rsidR="002C1133" w:rsidRPr="002C1133">
        <w:rPr>
          <w:noProof/>
          <w:vertAlign w:val="superscript"/>
        </w:rPr>
        <w:t>[6–9]</w:t>
      </w:r>
      <w:r w:rsidR="007B17EC" w:rsidRPr="007B17EC">
        <w:fldChar w:fldCharType="end"/>
      </w:r>
      <w:r w:rsidR="007B17EC" w:rsidRPr="007B17EC">
        <w:t xml:space="preserve"> </w:t>
      </w:r>
      <w:r w:rsidR="00D930D3" w:rsidRPr="007B17EC">
        <w:t>Consequently</w:t>
      </w:r>
      <w:r w:rsidR="009B5648" w:rsidRPr="007B17EC">
        <w:t>,</w:t>
      </w:r>
      <w:r w:rsidR="009B5648">
        <w:t xml:space="preserve"> </w:t>
      </w:r>
      <w:r>
        <w:t xml:space="preserve">high pressure poses </w:t>
      </w:r>
      <w:r w:rsidR="00533EA1">
        <w:t xml:space="preserve">a </w:t>
      </w:r>
      <w:r>
        <w:t xml:space="preserve">challenge to their structural stability </w:t>
      </w:r>
      <w:r>
        <w:lastRenderedPageBreak/>
        <w:t xml:space="preserve">necessary for </w:t>
      </w:r>
      <w:r w:rsidR="00533EA1">
        <w:t xml:space="preserve">normal </w:t>
      </w:r>
      <w:r w:rsidRPr="00DC174E">
        <w:t>function</w:t>
      </w:r>
      <w:r w:rsidR="00D930D3" w:rsidRPr="00DC174E">
        <w:t xml:space="preserve"> as many proteins are susceptible to pressure denaturation</w:t>
      </w:r>
      <w:r w:rsidR="005B6EEF" w:rsidRPr="00DC174E">
        <w:t>.</w:t>
      </w:r>
      <w:r w:rsidR="005B6EEF" w:rsidRPr="00DC174E">
        <w:fldChar w:fldCharType="begin" w:fldLock="1"/>
      </w:r>
      <w:r w:rsidR="001F67E6">
        <w:instrText>ADDIN CSL_CITATION { "citationItems" : [ { "id" : "ITEM-1", "itemData" : { "DOI" : "10.1021/bi00806a045", "ISBN" : "0006-2960", "ISSN" : "0006-2960", "PMID" : "5417389", "abstract" : "... evidence bearing on the two -htatc character of this denaturation was collected ... 1) are the extinction coeficients which the native and denatured protein would have ... change and compressibility change during denaturativn may be readily obtained froiii standard thermodynamics . ... \\n", "author" : [ { "dropping-particle" : "", "family" : "Brandts", "given" : "J F", "non-dropping-particle" : "", "parse-names" : false, "suffix" : "" }, { "dropping-particle" : "", "family" : "Oliveira", "given" : "R J", "non-dropping-particle" : "", "parse-names" : false, "suffix" : "" }, { "dropping-particle" : "", "family" : "Westort", "given" : "C", "non-dropping-particle" : "", "parse-names" : false, "suffix" : "" } ], "container-title" : "Biochemistry", "id" : "ITEM-1", "issue" : "4", "issued" : { "date-parts" : [ [ "1970" ] ] }, "page" : "1038-1047", "title" : "Thermodynamics of protein denaturation. Effect of pressu on the denaturation of ribonuclease A.", "type" : "article-journal", "volume" : "9" }, "uris" : [ "http://www.mendeley.com/documents/?uuid=cdc22b45-466f-4404-89f9-299118ed54e8" ] }, { "id" : "ITEM-2", "itemData" : { "abstract" : "In a discussion about pressure effects on deep-sea animals, Regnard (100) showed that pressures below 1 kbar do not irreversibly affect enzyme processes in bacteria. In contrast, pressures up to 8 kbar coagulate ovalbumin irreversibly (7). These observations have dominated the field of pressure research on biological molecules for some time: pressure effects were assumed to be reversible below I kbar and irreversible at higher pressures. More recently it was found that low pressures affect protein-ligand binding (58) and protein-protein interactions (45); the reversibility at higher pressures depends on the nature of the protein and the solvent conditions (121). On the other hand, it has been shown that DNA is pressure resistant (Il l) and the melting temperature of lipids is strongly pressure dependent (23, 119). Since", "author" : [ { "dropping-particle" : "", "family" : "Heremans", "given" : "Karel", "non-dropping-particle" : "", "parse-names" : false, "suffix" : "" } ], "container-title" : "Annual Review of Biophysic and Bioenergy", "id" : "ITEM-2", "issue" : "2", "issued" : { "date-parts" : [ [ "1982" ] ] }, "page" : "1-21", "title" : "High Pressure Effects", "type" : "article-journal", "volume" : "11" }, "uris" : [ "http://www.mendeley.com/documents/?uuid=73c114f2-48cb-4af4-9109-0e687098a9d4" ] }, { "id" : "ITEM-3", "itemData" : { "DOI" : "10.1017/S0033583500004935", "ISBN" : "doi:10.1017/S0033583500004935", "ISSN" : "0033-5835", "PMID" : "6348832", "abstract" : "We shall not attempt here to enumerate the results or review in a systemateic way the significnat literature dealing with the use of high pressure in studies of proteins and other molecules of biological interest. Two recent reviews on this subjec and a further article by Jaenicke on enzymes under extreme enevironmental conditions contain expositions and references that would reder redundant such a task. Rather we concentrate here on the examination of the conceptual framework employed in the interpretation of high pressure experiements and in the critical discussion of our knowledge of selected areas of present interest and likely future significance.", "author" : [ { "dropping-particle" : "", "family" : "Weber", "given" : "G", "non-dropping-particle" : "", "parse-names" : false, "suffix" : "" }, { "dropping-particle" : "", "family" : "Drickamer", "given" : "H G", "non-dropping-particle" : "", "parse-names" : false, "suffix" : "" } ], "container-title" : "Quarterly reviews of biophysics", "id" : "ITEM-3", "issued" : { "date-parts" : [ [ "1983" ] ] }, "page" : "89-112", "title" : "The effect of high pressure upon proteins and other biomolecules.", "type" : "article-journal", "volume" : "16" }, "uris" : [ "http://www.mendeley.com/documents/?uuid=d821bd6d-0667-42c5-8402-7154f08cd432" ] }, { "id" : "ITEM-4", "itemData" : { "DOI" : "10.1111/j.1432-1033.1994.tb18774.x", "ISBN" : "0014-2956 (Print)\\r0014-2956 (Linking)", "ISSN" : "0014-2956", "PMID" : "8174542", "abstract" : "Oceans not only cover the major part of the earth's surface but also reach into depths exceeding the height of the Mt Everest. They are populated down to the deepest levels (approximately 11,800 m), which means that a significant proportion of the global biosphere is exposed to pressures of up to 120 MPa. Although this fact has been known for more than a century, the ecology of the 'abyss' is still in its infancy. Only recently, barophilic adaptation, i.e. the requirement of elevated pressure for viability, has been firmly established. In non-adapted organisms, increased pressure leads to morphological anomalies or growth inhibition, and ultimately to cell death. The detailed molecular mechanism of the underlying 'metabolic dislocation' is unresolved. Effects of pressure as a variable in microbiology, biochemistry and biotechnology allow the structure/function relationship of proteins conjugates to be analyzed. In this context, stabilization by cofactors or accessory proteins has been observed. High-pressure equipment available today allows the comprehensive characterization of the behaviour of proteins under pressure. Single-chain proteins undergo pressure-induced denaturation in the 100-MPa range, which, in the case of oligomeric proteins or protein assemblies, is preceded by dissociation at lower pressure. The effects may be ascribed to the positive reaction volumes connected with the formation of hydrophobic and ionic interactions. In addition, the possibility of conformational effects exerted by moderate, non-denaturing pressures, and related to the intrinsic compressibility of proteins, is discussed. Crystallization may serve as a model reaction of protein self-organization. Kinetic aspects of its pressure-induced inhibition can be described by a model based on the Oosawa theory of molecular association. Barosensitivity is known to be correlated with the pressure-induced inhibition of protein biosynthesis. Attempts to track down the ultimate cause in the dissociation of ribosomes have revealed remarkable stabilization of functional complexes under pseudo-physiological conditions, with the post-translational complex as the most pressure-sensitive species. Apart from the key issue of barosensitivity and barophilic adaptation, high-pressure biochemistry may provide means to develop new approaches to nonthermic industrial processes, especially in the field of food technology.", "author" : [ { "dropping-particle" : "", "family" : "Gross", "given" : "M", "non-dropping-particle" : "", "parse-names" : false, "suffix" : "" }, { "dropping-particle" : "", "family" : "Jaenicke", "given" : "R", "non-dropping-particle" : "", "parse-names" : false, "suffix" : "" } ], "container-title" : "European journal of biochemistry / FEBS", "id" : "ITEM-4", "issue" : "2", "issued" : { "date-parts" : [ [ "1994" ] ] }, "page" : "617-630", "title" : "Proteins under pressure. The influence of high hydrostatic pressure on structure, function and assembly of proteins and protein complexes.", "type" : "article-journal", "volume" : "221" }, "uris" : [ "http://www.mendeley.com/documents/?uuid=dd82f45b-3e2c-47df-9819-6f3968a7560d" ] }, { "id" : "ITEM-5", "itemData" : { "DOI" : "10.1002/(SICI)1097-0134(199601)24:1&lt;81::AID-PROT6&gt;3.0.CO;2-R", "ISBN" : "0887-3585 (Print)\\r0887-3585 (Linking)", "ISSN" : "0887-3585", "PMID" : "8628735", "abstract" : "Many biochemists would regard pressure as a physical parameter mainly of theoretical interest and of rather limited value in experimental biochemistry. The goal of this overview is to show that pressure is a powerful tool for the study of proteins and modulation of enzymatic activity.", "author" : [ { "dropping-particle" : "V", "family" : "Mozhaev", "given" : "VV", "non-dropping-particle" : "", "parse-names" : false, "suffix" : "" }, { "dropping-particle" : "", "family" : "Heremans", "given" : "K", "non-dropping-particle" : "", "parse-names" : false, "suffix" : "" }, { "dropping-particle" : "", "family" : "Frank", "given" : "J", "non-dropping-particle" : "", "parse-names" : false, "suffix" : "" }, { "dropping-particle" : "", "family" : "Masson", "given" : "P", "non-dropping-particle" : "", "parse-names" : false, "suffix" : "" }, { "dropping-particle" : "", "family" : "Balny", "given" : "C", "non-dropping-particle" : "", "parse-names" : false, "suffix" : "" } ], "container-title" : "Proteins", "id" : "ITEM-5", "issue" : "1", "issued" : { "date-parts" : [ [ "1996" ] ] }, "page" : "81-91", "title" : "High pressure effects on protein structure and function.", "type" : "article-journal", "volume" : "24" }, "uris" : [ "http://www.mendeley.com/documents/?uuid=66f41f83-44d4-4786-919a-0b0c573c2d92" ] }, { "id" : "ITEM-6", "itemData" : { "DOI" : "10.1016/S0167-4838(01)00332-6", "ISBN" : "0167-4838", "ISSN" : "01674838", "PMID" : "11983384", "abstract" : "The pressure-temperature phase diagram of various biomolecules is reviewed. Special attention is focused on the elliptic phase diagram of proteins. The phenomenological thermodynamic theory describing this diagram explains the heat, cold and pressure denaturations in a unified picture. The limitations and possible developments of this theory are discussed as well. It is pointed out that a more complex diagram can be obtained when the intermolecular interactions are also taken into account. In this case metastable states appear on the pressure-temperature (p-T) diagram due to intermolecular interactions. Pressure-temperature phase diagrams of other biopolymers are also discussed. While the p-T diagrams of helix-coil transition of nucleic acids and of gel-liquid crystal transition of lipid bilayers are non-elliptical, those of gelatinization of starch and of phase separation of some synthetic polymers show an elliptic profile, similar to that of proteins. Finally, the p-T diagram of bacterial inactivation is shown to be elliptic. From the point of view of basic science, this fact shows that the key factor of inactivation should be the protein type, and from the viewpoint of practical applications, it serves as the theoretical basis of pressure treatment of biosystems. ?? 2002 Elsevier Science B.V. All rights reserved.", "author" : [ { "dropping-particle" : "", "family" : "Smeller", "given" : "L\u00e1szl\u00f3", "non-dropping-particle" : "", "parse-names" : false, "suffix" : "" } ], "container-title" : "Biochimica et Biophysica Acta", "id" : "ITEM-6", "issue" : "1-2", "issued" : { "date-parts" : [ [ "2002" ] ] }, "page" : "11-29", "title" : "Pressure-temperature phase diagrams of biomolecules", "type" : "article-journal", "volume" : "1595" }, "uris" : [ "http://www.mendeley.com/documents/?uuid=49c50e0b-e666-4655-a486-5c5d4103f8eb" ] }, { "id" : "ITEM-7", "itemData" : { "DOI" : "10.1016/j.bpc.2013.06.019", "ISBN" : "0301-4622", "ISSN" : "03014622", "PMID" : "23891571", "abstract" : "Microbial life has been prevailing in the biosphere for the last 3.8 Ga at least. Throughout most of the Earth's history it has experienced a range of pressures; both dynamic pressure when the young Earth was heavily bombarded, and static pressure in subsurface environments that could have served as a refuge and where microbial life nowadays flourishes. In this review, we discuss the extent of high-pressure habitats in early and modern times and provide a short overview of microbial survival under dynamic pressures. We summarize the current knowledge about the impact of microbial activity on biogeochemical cycles under pressures characteristic of the deep subsurface. We evaluate the possibility that pressure can be a limiting parameter for life at depth. Finally, we discuss the open questions and knowledge gaps that exist in the field of high-pressure geomicrobiology. \u00a9 2013 Elsevier B.V.. All rights reserved.", "author" : [ { "dropping-particle" : "", "family" : "Picard", "given" : "Aude", "non-dropping-particle" : "", "parse-names" : false, "suffix" : "" }, { "dropping-particle" : "", "family" : "Daniel", "given" : "Isabelle", "non-dropping-particle" : "", "parse-names" : false, "suffix" : "" } ], "container-title" : "Biophysical Chemistry", "id" : "ITEM-7", "issued" : { "date-parts" : [ [ "2013" ] ] }, "page" : "30-41", "publisher" : "Elsevier B.V.", "title" : "Pressure as an environmental parameter for microbial life - A review", "type" : "article-journal", "volume" : "183" }, "uris" : [ "http://www.mendeley.com/documents/?uuid=dc872a99-daa6-4129-8401-7f7029a891f8" ] }, { "id" : "ITEM-8", "itemData" : { "DOI" : "10.5488/CMP.19.22801", "ISSN" : "22249079", "author" : [ { "dropping-particle" : "", "family" : "Huang", "given" : "Q.", "non-dropping-particle" : "", "parse-names" : false, "suffix" : "" }, { "dropping-particle" : "", "family" : "Tran", "given" : "K. N.", "non-dropping-particle" : "", "parse-names" : false, "suffix" : "" }, { "dropping-particle" : "", "family" : "Rodgers", "given" : "J. M.", "non-dropping-particle" : "", "parse-names" : false, "suffix" : "" }, { "dropping-particle" : "", "family" : "Bartlett", "given" : "D. H.", "non-dropping-particle" : "", "parse-names" : false, "suffix" : "" }, { "dropping-particle" : "", "family" : "Hemley", "given" : "R. J.", "non-dropping-particle" : "", "parse-names" : false, "suffix" : "" }, { "dropping-particle" : "", "family" : "Ichiye", "given" : "T.", "non-dropping-particle" : "", "parse-names" : false, "suffix" : "" } ], "container-title" : "Condensed Matter Physics", "id" : "ITEM-8", "issue" : "2", "issued" : { "date-parts" : [ [ "2016" ] ] }, "page" : "1-16", "title" : "A molecular perspective on the limits of life: Enzymes under pressure", "type" : "article-journal", "volume" : "19" }, "uris" : [ "http://www.mendeley.com/documents/?uuid=2bff7ba0-e8a8-4532-9a6f-37febd7613c1" ] } ], "mendeley" : { "formattedCitation" : "&lt;sup&gt;[10\u201317]&lt;/sup&gt;", "plainTextFormattedCitation" : "[10\u201317]", "previouslyFormattedCitation" : "&lt;sup&gt;[10\u201317]&lt;/sup&gt;" }, "properties" : { "noteIndex" : 0 }, "schema" : "https://github.com/citation-style-language/schema/raw/master/csl-citation.json" }</w:instrText>
      </w:r>
      <w:r w:rsidR="005B6EEF" w:rsidRPr="00DC174E">
        <w:fldChar w:fldCharType="separate"/>
      </w:r>
      <w:r w:rsidR="002C1133" w:rsidRPr="002C1133">
        <w:rPr>
          <w:noProof/>
          <w:vertAlign w:val="superscript"/>
        </w:rPr>
        <w:t>[10–17]</w:t>
      </w:r>
      <w:r w:rsidR="005B6EEF" w:rsidRPr="00DC174E">
        <w:fldChar w:fldCharType="end"/>
      </w:r>
      <w:r w:rsidR="000D67BD">
        <w:t xml:space="preserve"> </w:t>
      </w:r>
      <w:r>
        <w:t xml:space="preserve">How </w:t>
      </w:r>
      <w:r w:rsidR="00533EA1">
        <w:t xml:space="preserve">then does life </w:t>
      </w:r>
      <w:r>
        <w:t>protect the structural stability of proteins</w:t>
      </w:r>
      <w:r w:rsidR="00533EA1">
        <w:t xml:space="preserve"> in deep sea</w:t>
      </w:r>
      <w:r w:rsidR="000D67BD">
        <w:t xml:space="preserve"> environments</w:t>
      </w:r>
      <w:r>
        <w:t xml:space="preserve">? </w:t>
      </w:r>
    </w:p>
    <w:p w14:paraId="39EBBAC0" w14:textId="77777777" w:rsidR="004F20B1" w:rsidRPr="00294BF3" w:rsidRDefault="0091592E">
      <w:r>
        <w:rPr>
          <w:b/>
        </w:rPr>
        <w:tab/>
      </w:r>
      <w:r w:rsidR="009D44C5">
        <w:t>D</w:t>
      </w:r>
      <w:r w:rsidR="004F20B1">
        <w:t xml:space="preserve">eep sea </w:t>
      </w:r>
      <w:r w:rsidR="009D44C5">
        <w:t>orga</w:t>
      </w:r>
      <w:r w:rsidR="00533EA1">
        <w:t>nisms have been reported to contain</w:t>
      </w:r>
      <w:r w:rsidR="009D44C5">
        <w:t xml:space="preserve"> various organic</w:t>
      </w:r>
      <w:r w:rsidR="00E46391">
        <w:t xml:space="preserve"> molecules, mainly amino acids or sugar derivatives</w:t>
      </w:r>
      <w:r w:rsidR="009D44C5">
        <w:t>, accu</w:t>
      </w:r>
      <w:r w:rsidR="00533EA1">
        <w:t>mulated in their cells to as much as</w:t>
      </w:r>
      <w:r w:rsidR="009D44C5">
        <w:t xml:space="preserve"> 0.5 molar</w:t>
      </w:r>
      <w:r w:rsidR="00533EA1">
        <w:t xml:space="preserve"> concentrations</w:t>
      </w:r>
      <w:r w:rsidR="009D44C5">
        <w:t>. These molecules are commonly referred to as osmol</w:t>
      </w:r>
      <w:r w:rsidR="00533EA1">
        <w:t>ytes, and</w:t>
      </w:r>
      <w:r w:rsidR="00E46391">
        <w:t xml:space="preserve"> are c</w:t>
      </w:r>
      <w:r w:rsidR="00B73DF4">
        <w:t>onsidered to be responsible</w:t>
      </w:r>
      <w:r w:rsidR="00E46391">
        <w:t xml:space="preserve"> for </w:t>
      </w:r>
      <w:r w:rsidR="00B73DF4" w:rsidRPr="00DC174E">
        <w:t xml:space="preserve">keeping </w:t>
      </w:r>
      <w:r w:rsidR="002828E5" w:rsidRPr="00DC174E">
        <w:t xml:space="preserve">the folded (active) state of </w:t>
      </w:r>
      <w:r w:rsidR="00E46391" w:rsidRPr="00DC174E">
        <w:t>proteins</w:t>
      </w:r>
      <w:r w:rsidR="00B73DF4">
        <w:t xml:space="preserve"> stable</w:t>
      </w:r>
      <w:r w:rsidR="005B6EEF">
        <w:t>.</w:t>
      </w:r>
      <w:r w:rsidR="005B6EEF">
        <w:fldChar w:fldCharType="begin" w:fldLock="1"/>
      </w:r>
      <w:r w:rsidR="002C1133">
        <w:instrText>ADDIN CSL_CITATION { "citationItems" : [ { "id" : "ITEM-1", "itemData" : { "abstract" : "Striking convergent evolution is found in the properties of the organic osmotic solute (osmolyte) systems observed in bacteria, plants, and animals. Polyhydric alcohols, free amino acids and their derivatives, and combinations of urea and methylamines are the three types of osmolyte systems found in all water-stressed organisms except the halobacteria. The selective advantages of the organic osmolyte systems are, first, a compatibility with macromolecular structure and function at high or variable (or both) osmolyte concentrations, and, second, greatly reduced needs for modifying proteins to function in concentrated intracellular solutions. Osmolyte compatibility is proposed to result from the absence of osmolyte interactions with substrates and cofactors, and the nonperturbing or favorable effects of osmolytes on macromolecular-solvent interactions.", "author" : [ { "dropping-particle" : "", "family" : "Yancey", "given" : "P H", "non-dropping-particle" : "", "parse-names" : false, "suffix" : "" }, { "dropping-particle" : "", "family" : "Clark", "given" : "M E", "non-dropping-particle" : "", "parse-names" : false, "suffix" : "" }, { "dropping-particle" : "", "family" : "Hand", "given" : "S C", "non-dropping-particle" : "", "parse-names" : false, "suffix" : "" }, { "dropping-particle" : "", "family" : "Bowlus", "given" : "R D", "non-dropping-particle" : "", "parse-names" : false, "suffix" : "" }, { "dropping-particle" : "", "family" : "Somero", "given" : "G N", "non-dropping-particle" : "", "parse-names" : false, "suffix" : "" } ], "container-title" : "Science (New York, N.Y.)", "id" : "ITEM-1", "issue" : "4566", "issued" : { "date-parts" : [ [ "1982" ] ] }, "page" : "1214-1222", "title" : "Living with water stress: evolution of osmolyte systems", "type" : "article-journal", "volume" : "217" }, "uris" : [ "http://www.mendeley.com/documents/?uuid=49905101-4f4d-476d-b6b5-78a5e7e11854" ] }, { "id" : "ITEM-2", "itemData" : { "DOI" : "10.1002/cphy.cp140110", "ISBN" : "9780470650714", "abstract" : "The sections in this article are: 1 What Makes a Solute an Osmolyte? 2 The Basic Osmoregulatory Response: Conservation Paired with Change 3 Osmolyte Taxonomy: Evolutionary Convergence and Conservation 3.1 The Discovery of Organic Osmolytes 3.2 Polyols and Sugars 3.3 Free Amino Acids and Their Derivatives 3.4 Methylated Ammonium and Sulfonium Compounds 3.5 Urea and Urea with Methylamines 4 Osmolyte Effects: Perturbation, Stabilization, and Compatibility 4.1 Changes in Concentrations of Inorganic Ions Are Generally Perturbing of Biochemical Systems 4.2 Organic Osmolyte Compatibility with Biochemical Functions In Vitro 4.3 Organic Osmolyte Compatibility with Protein Structure In Vitro 4.4 Compatibility of Organic Osmolytes: In Vivo and Cell Culture Studies 5 Organic Osmolyte Effects: Counteracting Solute Systems 5.1 Counteracting Solute Effects In Vitro 5.2 Urea Counteraction in Living Systems 5.3 Salt Counteraction (Haloprotection) 5.4 Exceptions to Counteraction 6 Regulation of Osmolyte Concentrations 6.1 Interspecific Similarities in Basic Regulatory Strategies 6.2 Osmolyte Regulation in Bacteria and Plants 6.3 Osmolyte Regulation in Invertebrates 6.4 Osmolyte Regulation in Lower Vertebrates 6.5 The Mammalian Kidney 6.6 Stress Protein Induction in Hyperosmotic Stress 7 Mechanisms of Solute Effects\u2014and Non\u2010Effects 7.1 The Hofmeister Series and Organic Osmolyte Structures 7.2 Preferential Exclusion of Compatible Osmolytes from the Protein Surface 7.3 Solute Interactions with Ligands in Solution 7.4 Nonreactivity of Modified Amino Acid Osmolytes 7.5 Monosaccharide Reactivity with Proteins 7.6 Favorable Effects of Compatible Solutes Not Related to Osmoregulation 7.7 Inorganic Ions: Perturbation and Compatibility 8 Evolutionary Perspectives 8.1 Macromolecular vs. \u201cMicromolecular\u201d Evolution 8.2 Evolution of Osmolyte Molecules: An Overview of Principles of Selection 8.3 Summary: The Adaptive Significance of Osmolyte System Evolution", "author" : [ { "dropping-particle" : "", "family" : "Somero", "given" : "George N.", "non-dropping-particle" : "", "parse-names" : false, "suffix" : "" }, { "dropping-particle" : "", "family" : "Yancey", "given" : "Paul H.", "non-dropping-particle" : "", "parse-names" : false, "suffix" : "" } ], "container-title" : "Comprehensive Physiology. Supplement 31: Handbook of Physiology, Cell Physiology", "id" : "ITEM-2", "issued" : { "date-parts" : [ [ "1997" ] ] }, "page" : "441-484", "title" : "Osmolytes and Cell-Volume Regulation: Physiological and Evolutionary Principles", "type" : "chapter" }, "uris" : [ "http://www.mendeley.com/documents/?uuid=c03aa005-4b97-4ab1-993b-9bc1e80c9143" ] }, { "id" : "ITEM-3", "itemData" : { "abstract" : "The molecular machinery - the diverse array of proteins, nucleic acids, and lipid-containing structures such as membranes - that underpins physiological processes is vulnerable to perturbation from temperature, hydrostatic pressure, and osmotic challenges. Nonetheless, the functions of these environmentally sensitive processes are highly conserved under a species' normal environmental conditions. This conservation is achieved by two primary mechanisms: adaptive change in the large molecular systems themselves (e.g., in protein sequence) and regulation of the milieu, notably the osmolyte pool and pH, in which these molecular systems function. ?? 2011 Elsevier Inc. All rights reserved.", "author" : [ { "dropping-particle" : "", "family" : "Somero", "given" : "G. N.", "non-dropping-particle" : "", "parse-names" : false, "suffix" : "" } ], "container-title" : "Encyclopedia of Fish Physiology", "id" : "ITEM-3", "issued" : { "date-parts" : [ [ "2011" ] ] }, "page" : "1681-1687", "publisher" : "Elsevier", "publisher-place" : "Amsterdam", "title" : "Responses and adaptations to the environment | General Principles of Biochemical Adaptations", "type" : "chapter", "volume" : "3" }, "uris" : [ "http://www.mendeley.com/documents/?uuid=8637ba0a-3ef0-404f-9419-f6eebaf80d68" ] } ], "mendeley" : { "formattedCitation" : "&lt;sup&gt;[18\u201320]&lt;/sup&gt;", "plainTextFormattedCitation" : "[18\u201320]", "previouslyFormattedCitation" : "&lt;sup&gt;[18\u201320]&lt;/sup&gt;" }, "properties" : { "noteIndex" : 0 }, "schema" : "https://github.com/citation-style-language/schema/raw/master/csl-citation.json" }</w:instrText>
      </w:r>
      <w:r w:rsidR="005B6EEF">
        <w:fldChar w:fldCharType="separate"/>
      </w:r>
      <w:r w:rsidR="002C1133" w:rsidRPr="002C1133">
        <w:rPr>
          <w:noProof/>
          <w:vertAlign w:val="superscript"/>
        </w:rPr>
        <w:t>[18–20]</w:t>
      </w:r>
      <w:r w:rsidR="005B6EEF">
        <w:fldChar w:fldCharType="end"/>
      </w:r>
      <w:r w:rsidR="009764BE">
        <w:t xml:space="preserve"> </w:t>
      </w:r>
      <w:r w:rsidR="00F964FD">
        <w:t xml:space="preserve">One of the osmolytes used by fish is trimethylamine N-oxide (TMAO), whose </w:t>
      </w:r>
      <w:r w:rsidR="00533EA1">
        <w:t xml:space="preserve">cellular </w:t>
      </w:r>
      <w:r w:rsidR="00F964FD">
        <w:t xml:space="preserve">concentration reportedly increases with </w:t>
      </w:r>
      <w:r w:rsidR="009B5648">
        <w:t>sea depth</w:t>
      </w:r>
      <w:r w:rsidR="00F964FD">
        <w:t xml:space="preserve">, further </w:t>
      </w:r>
      <w:r w:rsidR="002828E5">
        <w:t>highlight</w:t>
      </w:r>
      <w:r w:rsidR="00533EA1">
        <w:t xml:space="preserve">ing </w:t>
      </w:r>
      <w:r w:rsidR="00F964FD">
        <w:t xml:space="preserve">their </w:t>
      </w:r>
      <w:r w:rsidR="0053411E">
        <w:t>crucial</w:t>
      </w:r>
      <w:bookmarkStart w:id="0" w:name="_GoBack"/>
      <w:bookmarkEnd w:id="0"/>
      <w:r w:rsidR="0053411E">
        <w:t xml:space="preserve"> role for survival </w:t>
      </w:r>
      <w:r w:rsidR="00D930D3">
        <w:t xml:space="preserve">in </w:t>
      </w:r>
      <w:r w:rsidR="00F964FD">
        <w:t>high pressure</w:t>
      </w:r>
      <w:r w:rsidR="0053411E">
        <w:t xml:space="preserve"> environments</w:t>
      </w:r>
      <w:r w:rsidR="005B6EEF">
        <w:t>.</w:t>
      </w:r>
      <w:r w:rsidR="005B6EEF">
        <w:fldChar w:fldCharType="begin" w:fldLock="1"/>
      </w:r>
      <w:r w:rsidR="001F67E6">
        <w:instrText>ADDIN CSL_CITATION { "citationItems" : [ { "id" : "ITEM-1", "itemData" : { "DOI" : "10.1016/j.dsr.2016.03.005", "ISSN" : "09670637", "abstract" : "Trimethylamine oxide (TMAO) is a common osmolyte and counteracting solute. It is believed to combat the denaturation induced by hydrostatic pressure as some deep-sea animals contain higher TMAO levels than their shallow water counterparts. It has also been proposed that TMAO may accumulate passively during lipid storage resulting in a correlation between lipid content and TMAO levels in some groups. Previous research showed that lipid content decreased with depth in species of Hawaiian fishes presenting a novel test of these competing hypotheses. TMAO ranged from 20.4 to 92.8 mmol/kg. Lipid content ranged from 0.50 to 4.7% WW. After completing a comprehensive search for depths available in the literature, provided here, we analyzed TMAO and lipid as a function of average, minimum and maximum depth of occurrence for 27 species of fishes from nine orders. We found that TMAO is positively correlated with all measures of habitat depth (hydrostatic pressure) but the relationship is strongest with average depth. We further showed using phylogenetic independent contrasts that this relationship was not influenced by the evolutionary relatedness of these species. Interestingly, we found that lipid content increased with depth, in direct contrast to previous studies. TMAO is thus also positively correlated with lipid content. While we are unable to distinguish between these hypotheses, we show that TMAO is strongly correlated with depth in mid-water fishes.", "author" : [ { "dropping-particle" : "", "family" : "Bockus", "given" : "Abigail B.", "non-dropping-particle" : "", "parse-names" : false, "suffix" : "" }, { "dropping-particle" : "", "family" : "Seibel", "given" : "Brad A.", "non-dropping-particle" : "", "parse-names" : false, "suffix" : "" } ], "container-title" : "Deep Sea Research I", "id" : "ITEM-1", "issued" : { "date-parts" : [ [ "2016" ] ] }, "page" : "37-44", "publisher" : "Elsevier", "title" : "Trimethylamine oxide accumulation as a function of depth in Hawaiian mid-water fishes", "type" : "article-journal", "volume" : "112" }, "uris" : [ "http://www.mendeley.com/documents/?uuid=f975474d-2e66-4a79-ac00-33fc766eaec3" ] } ], "mendeley" : { "formattedCitation" : "&lt;sup&gt;[21]&lt;/sup&gt;", "plainTextFormattedCitation" : "[21]", "previouslyFormattedCitation" : "&lt;sup&gt;[21]&lt;/sup&gt;" }, "properties" : { "noteIndex" : 0 }, "schema" : "https://github.com/citation-style-language/schema/raw/master/csl-citation.json" }</w:instrText>
      </w:r>
      <w:r w:rsidR="005B6EEF">
        <w:fldChar w:fldCharType="separate"/>
      </w:r>
      <w:r w:rsidR="002C1133" w:rsidRPr="002C1133">
        <w:rPr>
          <w:noProof/>
          <w:vertAlign w:val="superscript"/>
        </w:rPr>
        <w:t>[21]</w:t>
      </w:r>
      <w:r w:rsidR="005B6EEF">
        <w:fldChar w:fldCharType="end"/>
      </w:r>
      <w:r w:rsidR="005B6EEF">
        <w:t xml:space="preserve"> </w:t>
      </w:r>
      <w:r w:rsidR="003E615E">
        <w:t xml:space="preserve"> </w:t>
      </w:r>
    </w:p>
    <w:p w14:paraId="23681857" w14:textId="77777777" w:rsidR="00AB1288" w:rsidRDefault="00B73DF4" w:rsidP="00B73DF4">
      <w:pPr>
        <w:ind w:firstLine="720"/>
      </w:pPr>
      <w:r>
        <w:t>Mounting evidence suggests</w:t>
      </w:r>
      <w:r w:rsidR="00113E52">
        <w:t xml:space="preserve"> that osmolytes </w:t>
      </w:r>
      <w:r>
        <w:t>do indeed increase the stability of native protein structures</w:t>
      </w:r>
      <w:r w:rsidR="005B6EEF">
        <w:t>.</w:t>
      </w:r>
      <w:r w:rsidR="005B6EEF">
        <w:fldChar w:fldCharType="begin" w:fldLock="1"/>
      </w:r>
      <w:r w:rsidR="001F67E6">
        <w:instrText>ADDIN CSL_CITATION { "citationItems" : [ { "id" : "ITEM-1", "itemData" : { "DOI" : "10.1016/S0167-4838(99)00215-0", "ISBN" : "0006-3002 (Print)\\r0006-3002 (Linking)", "ISSN" : "01674838", "PMID" : "10606769", "abstract" : "This study led to the conclusion that naturally occurring osmolytes which are known to protect proteins against denaturing stresses, do not perturb the Gibbs energy of stabilization of proteins at 25\u00b0C (\u0394G(D)\u00b0) which has been shown to control the in vivo rate of degradative protein turnover (Pace et al., Acta Biol. Med. Germ 40 (1981) 1385-1392). This conclusion has been reached from our studies of heat-induced denaturation of lysozyme, ribonuclease A, cytochrome c and myoglobin in the presence of different concentrations of osmolytes, namely, glycine, proline, sarcosine and glycine-betaine. At a fixed concentration of osmolyte a heat-induced denaturation curve measured by following changes in the molar absorption coefficient of the protein, was analyzed for T(m), the midpoint of the denaturation and \u0394H(m), the enthalpy change of denaturation at T(m). Values of \u0394G(D)\u00b0were determined with Gibbs-Helmoltz equation using known values of T(m), \u0394H(m) and \u0394C(p), the constant-pressure heat capacity change. It has been observed that T(m) increases with the osmolyte concentration, whereas \u0394G(D)\u00b0remains unaffected in the presence of the osmolyte. This observation on \u0394G(D)\u00b0in the presence of osmolytes has been considered in the physiological context.", "author" : [ { "dropping-particle" : "", "family" : "Anjum", "given" : "Farah", "non-dropping-particle" : "", "parse-names" : false, "suffix" : "" }, { "dropping-particle" : "", "family" : "Rishi", "given" : "Vikas", "non-dropping-particle" : "", "parse-names" : false, "suffix" : "" }, { "dropping-particle" : "", "family" : "Ahmad", "given" : "Faizan", "non-dropping-particle" : "", "parse-names" : false, "suffix" : "" } ], "container-title" : "Biochimica et Biophysica Acta", "id" : "ITEM-1", "issue" : "1", "issued" : { "date-parts" : [ [ "2000" ] ] }, "page" : "75-84", "title" : "Compatibility of osmolytes with Gibbs energy of stabilization of proteins", "type" : "article-journal", "volume" : "1476" }, "uris" : [ "http://www.mendeley.com/documents/?uuid=85898d65-a33b-4713-a097-9967ea386064" ] }, { "id" : "ITEM-2", "itemData" : { "DOI" : "10.1021/jp404780c", "ISSN" : "15205207", "PMID" : "23992436", "abstract" : "Results concerning the thermostability of hen egg white lysozyme in aqueous solutions with stabilizing osmolytes, trimethylamine-N-oxide (TMAO), glycine (Gly), and its N-methyl derivatives, N-methylglycine (NMG), N,N-dimethylglycine (DMG), and N,N,N-trimethylglycine (betaine, TMG), have been presented. The combination of spectroscopic (IR) and calorimetric (DSC) data allowed us to establish a link between osmolytes' influence on water structure and their ability to thermally stabilize protein molecule. Structural and energetic characteristics of stabilizing osmolytes' and lysozyme's hydration water appear to be very similar. The osmolytes increase lysozyme stabilization in the order bulk water &lt; TMAO &lt; TMG &lt; Gly &lt; DMG &lt; NMG, which is consistent with the order corresponding to the value of the most probable oxygen-oxygen distance of water molecules affected by osmolytes in their surrounding. Obtained results verified the hypothesis concerning the role of water molecules in protein stabilization, explained the osmophobic effect, and finally helped to bring us nearer to the exact mechanism of protein stabilization by osmolytes.", "author" : [ { "dropping-particle" : "", "family" : "Bru\u017adziak", "given" : "Piotr", "non-dropping-particle" : "", "parse-names" : false, "suffix" : "" }, { "dropping-particle" : "", "family" : "Panuszko", "given" : "Aneta", "non-dropping-particle" : "", "parse-names" : false, "suffix" : "" }, { "dropping-particle" : "", "family" : "Stangret", "given" : "Janusz", "non-dropping-particle" : "", "parse-names" : false, "suffix" : "" } ], "container-title" : "Journal of Physical Chemistry B", "id" : "ITEM-2", "issue" : "39", "issued" : { "date-parts" : [ [ "2013" ] ] }, "page" : "11502-11508", "title" : "Influence of osmolytes on protein and water structure: A step to understanding the mechanism of protein stabilization", "type" : "article-journal", "volume" : "117" }, "uris" : [ "http://www.mendeley.com/documents/?uuid=2cf0a72d-a6e4-4ba5-9359-2157365db8d6" ] }, { "id" : "ITEM-3", "itemData" : { "DOI" : "10.1016/S0091-679X(07)84022-2", "ISBN" : "0123725208", "ISSN" : "0091679X", "PMID" : "17964947", "abstract" : "Osmolytes are a class of compounds ubiquitously used by living organisms to respond to cellular stress or to fine-tune molecular properties in the cell. These compounds are also highly useful in vitro. In this chapter, we give an overview of the possible uses of osmolytes in the laboratory, and how we can investigate and understand their modes of action. Experimental procedures are discussed with a specific emphasis on osmolyte-related aspects and on the theoretical aspects that are important to both introductory and more advanced interpretations of such experiments. \u00a9 2007 Elsevier Inc. All rights reserved.", "author" : [ { "dropping-particle" : "", "family" : "Harries", "given" : "Daniel", "non-dropping-particle" : "", "parse-names" : false, "suffix" : "" }, { "dropping-particle" : "", "family" : "R\u00f6sgen", "given" : "J\u00f6rg", "non-dropping-particle" : "", "parse-names" : false, "suffix" : "" } ], "container-title" : "Methods in Cell Biology", "id" : "ITEM-3", "issue" : "07", "issued" : { "date-parts" : [ [ "2008" ] ] }, "page" : "679-735", "title" : "A Practical Guide on How Osmolytes Modulate Macromolecular Properties", "type" : "article-journal", "volume" : "84" }, "uris" : [ "http://www.mendeley.com/documents/?uuid=907c2dd2-fd22-419e-a508-6185f3595a38" ] }, { "id" : "ITEM-4", "itemData" : { "DOI" : "10.1039/c5cp03069b", "ISBN" : "1463-9076", "ISSN" : "1463-9084", "PMID" : "26325021", "abstract" : "Trimethylamine N-oxide (TMAO) is a protecting osmolyte that stabilizes proteins against both temperature and pressure denaturation. Yet, even the solvation of TMAO itself is not well understood beyond ambient conditions. Here, using ab initio molecular dynamics, we analyze how its solvation structure changes upon compressing its \u22480.5 M aqueous solution from 1 bar to 10 kbar. The neat solvent, liquid water compressed to 10 kbar, is analyzed in detail to provide a meaningful gauge for the pressure-induced solvation changes of the solute. Pure water is shown to prefer to keep four H-bonded water molecules in a locally tetrahedral arrangement up to 10 kbar. The eye-catching shape changes of its oxygen-oxygen radial distribution function, where apparently the entire second peak is shifted into the first one, are traced back to about two more water molecules which are squeezed into the tetrahedral voids that are formed in the first shell by the H-bonded water molecules. These additional molecules increase the coordination number of pure water at 10 kbar significantly, but they are definitely not H-bonded to the central water molecule; rather they are its topological second to fourth H-bonded neighbors. The pressure response of TMAO(aq) is distinctly different, although its radial distribution functions do not change much. Under ambient conditions, the negatively charged oxygen site of the solute, which is strongly hydrophilic, predominantly accepts three H-bonds, whereas a roughly equal population of threefold and square-planar fourfold H-bonding is observed at 10 kbar. Moreover, only a negligible contribution of non-H-bonded water molecules is found in the first-shell region of TMAO even at 10 kbar, in contrast to the pressure response of water itself. In the hydrophobic region of TMAO, the solvating water molecules are found to straddle the three methyl groups at ambient pressure, which remains virtually unchanged upon compressing the solution to 10 kbar. Here, the pressure response is an increase from about 17 to 21 water molecules that solvate the methyl groups despite a sizable radial compression of the hydrophobic solvation shell.", "author" : [ { "dropping-particle" : "", "family" : "Imoto", "given" : "Sho", "non-dropping-particle" : "", "parse-names" : false, "suffix" : "" }, { "dropping-particle" : "", "family" : "Forbert", "given" : "Harald", "non-dropping-particle" : "", "parse-names" : false, "suffix" : "" }, { "dropping-particle" : "", "family" : "Marx", "given" : "Dominik", "non-dropping-particle" : "", "parse-names" : false, "suffix" : "" } ], "container-title" : "Physical chemistry chemical physics : PCCP", "id" : "ITEM-4", "issue" : "37", "issued" : { "date-parts" : [ [ "2015" ] ] }, "page" : "24224-37", "publisher" : "Royal Society of Chemistry", "title" : "Water Structure and Solvation of Osmolytes at High Hydrostatic Pressure: Pure Water and Tmao Solutions at 10 kbar Versus 1 bar", "type" : "article-journal", "volume" : "17" }, "uris" : [ "http://www.mendeley.com/documents/?uuid=b2793659-7723-4ee0-934e-ca5b0708d3df" ] }, { "id" : "ITEM-5", "itemData" : { "DOI" : "10.1021/jp311102v", "ISBN" : "1520-5207 (Electronic)\\r1520-5207 (Linking)", "ISSN" : "15205207", "PMID" : "23268746", "abstract" : "Penetration of water molecules into the protein interior under high hydrostatic pressure conditions, leading to protein structural transition, is a well-known phenomenon. The counteracting effect of a naturally occurring osmolyte, trimethylamine N-oxide (TMAO), against pressure-induced protein denaturation is also well-established. But, what is largely unknown is the mechanism by which TMAO counteracts this protein denaturation. So to provide a molecular level understanding of how TMAO protects proteins at high pressure, we report here molecular dynamics (MD) computer simulation results for aqueous solutions of N-methylacetamide (NMA) with different TMAO concentrations over a wide range of pressures relevant to protein denaturation. Hydration behavior of NMA is analyzed at different conditions chosen. It is observed that hydrostatic pressure leads to a significant compression of hydration shell of nonpolar groups and increases hydration number. The compression is relatively insignificant in the vicinity of hydrogen bonding sites. TMAO can prevent pressure-induced enhanced hydration of NMA molecules. Interaction of TMAO with NMA and the structural and dynamical properties of water (site-site radial distribution function, coordination number, hydrogen-bond number, and lifetime) are also investigated to find the origin of the counteracting action of TMAO. Our results confirm that TMAO and pressure have counteracting effects on the water structural and dynamical properties, giving an explanation as to how TMAO counteracts pressure-conferred denaturation of proteins.", "author" : [ { "dropping-particle" : "", "family" : "Sarma", "given" : "Rahul", "non-dropping-particle" : "", "parse-names" : false, "suffix" : "" }, { "dropping-particle" : "", "family" : "Paul", "given" : "Sandip", "non-dropping-particle" : "", "parse-names" : false, "suffix" : "" } ], "container-title" : "Journal of Physical Chemistry B", "id" : "ITEM-5", "issue" : "2", "issued" : { "date-parts" : [ [ "2013" ] ] }, "page" : "677-689", "title" : "Crucial importance of water structure modification on trimethylamine N -oxide counteracting effect at high pressure", "type" : "article-journal", "volume" : "117" }, "uris" : [ "http://www.mendeley.com/documents/?uuid=394ad877-4503-49b0-97ce-d0f98b12850f" ] } ], "mendeley" : { "formattedCitation" : "&lt;sup&gt;[22\u201326]&lt;/sup&gt;", "plainTextFormattedCitation" : "[22\u201326]", "previouslyFormattedCitation" : "&lt;sup&gt;[22\u201326]&lt;/sup&gt;" }, "properties" : { "noteIndex" : 0 }, "schema" : "https://github.com/citation-style-language/schema/raw/master/csl-citation.json" }</w:instrText>
      </w:r>
      <w:r w:rsidR="005B6EEF">
        <w:fldChar w:fldCharType="separate"/>
      </w:r>
      <w:r w:rsidR="002C1133" w:rsidRPr="002C1133">
        <w:rPr>
          <w:noProof/>
          <w:vertAlign w:val="superscript"/>
        </w:rPr>
        <w:t>[22–26]</w:t>
      </w:r>
      <w:r w:rsidR="005B6EEF">
        <w:fldChar w:fldCharType="end"/>
      </w:r>
      <w:r w:rsidR="00091A6E">
        <w:t xml:space="preserve"> </w:t>
      </w:r>
      <w:r>
        <w:t xml:space="preserve">The native structure is generally more </w:t>
      </w:r>
      <w:r w:rsidRPr="00DC174E">
        <w:t>c</w:t>
      </w:r>
      <w:r w:rsidR="0053411E" w:rsidRPr="00DC174E">
        <w:t>ompact</w:t>
      </w:r>
      <w:r w:rsidR="002828E5" w:rsidRPr="00DC174E">
        <w:t xml:space="preserve"> with a significantly smaller surface area</w:t>
      </w:r>
      <w:r w:rsidR="0053411E" w:rsidRPr="00DC174E">
        <w:t xml:space="preserve"> than</w:t>
      </w:r>
      <w:r w:rsidR="0053411E">
        <w:t xml:space="preserve"> the denatured state</w:t>
      </w:r>
      <w:r w:rsidR="002828E5">
        <w:t>,</w:t>
      </w:r>
      <w:r w:rsidR="009B5648">
        <w:t xml:space="preserve"> </w:t>
      </w:r>
      <w:r w:rsidR="002828E5">
        <w:t xml:space="preserve">as </w:t>
      </w:r>
      <w:r w:rsidR="009B5648">
        <w:t>obtained by</w:t>
      </w:r>
      <w:r w:rsidR="00091A6E">
        <w:t xml:space="preserve"> thermal and cosolvent-induced denaturation</w:t>
      </w:r>
      <w:r w:rsidR="005B6EEF">
        <w:t>.</w:t>
      </w:r>
      <w:r w:rsidR="005B6EEF">
        <w:fldChar w:fldCharType="begin" w:fldLock="1"/>
      </w:r>
      <w:r w:rsidR="001F67E6">
        <w:instrText>ADDIN CSL_CITATION { "citationItems" : [ { "id" : "ITEM-1", "itemData" : { "DOI" : "10.1002/prot.10263", "ISBN" : "1097-0134", "ISSN" : "08873585", "PMID" : "12402364", "abstract" : "Free energies of pairwise hydrophobic association are simulated in aqueous solutions of urea at concentrations ranging from 0\u20138 M. Consistent with the expectation that hydrophobic interactions are weakened by urea, the association of relatively large nonpolar solutes is destabilized by urea. However, the association of two small methane-sized nonpolar solutes in water has the opposite tendency of being slightly strengthened by the addition of urea. Such size effects and the dependence of urea-induced stability changes on the configuration of nonpolar solutes are not predicted by solvent accessible surface area approaches based on energetic parameters derived from bulk-phase solubilities of model compounds. Thus, to understand hydrophobic interactions in proteins, it is not sufficient to rely solely on transfer experiment data that effectively characterize a single nonpolar solute in an aqueous environment but not the solvent-mediated interactions among two or more nonpolar solutes. We find that the m-values for the rate of change of two-methane association free energy with respect to urea concentration is a dramatically nonmonotonic function of the spatial separation between the two methanes, with a distance-dependent profile similar to the corresponding two-methane heat capacity of association in pure water. Our results rationalize the persistence of residual hydrophobic contacts in some proteins at high urea concentrations and explain why the heat capacity signature (\u0394CP) of a compact denatured state can be similar to \u0394CP values calculated by assuming an open random-coil-like unfolded state. Proteins 2002;49:560\u2013566. \u00a9 2002 Wiley-Liss, Inc.", "author" : [ { "dropping-particle" : "", "family" : "Shimizu", "given" : "Seishi", "non-dropping-particle" : "", "parse-names" : false, "suffix" : "" }, { "dropping-particle" : "", "family" : "Chan", "given" : "Hue Sun", "non-dropping-particle" : "", "parse-names" : false, "suffix" : "" } ], "container-title" : "Proteins", "id" : "ITEM-1", "issue" : "4", "issued" : { "date-parts" : [ [ "2002" ] ] }, "page" : "560-566", "title" : "Origins of protein denatured state compactness and hydrophobic clustering in aqueous urea: Inferences from nonpolar potentials of mean force", "type" : "article-journal", "volume" : "49" }, "uris" : [ "http://www.mendeley.com/documents/?uuid=0ed44bca-16ec-478a-906e-882ad5f7e239" ] }, { "id" : "ITEM-2", "itemData" : { "DOI" : "10.1016/S0076-6879(04)80016-8", "ISBN" : "0076-6879", "ISSN" : "00766879", "PMID" : "15051345", "abstract" : "Knowledge of the physical driving forces in proteins is essential for understanding their structures and functions. As polymers, proteins have remarkable thermodynamic and kinetic properties. A well-known observation is that the folding and unfolding of many small ...", "author" : [ { "dropping-particle" : "", "family" : "Chan", "given" : "Hue Sun", "non-dropping-particle" : "", "parse-names" : false, "suffix" : "" }, { "dropping-particle" : "", "family" : "Shimizu", "given" : "Seishi", "non-dropping-particle" : "", "parse-names" : false, "suffix" : "" }, { "dropping-particle" : "", "family" : "Kaya", "given" : "H\u00fcseyin", "non-dropping-particle" : "", "parse-names" : false, "suffix" : "" } ], "container-title" : "Methods in Enzymology", "id" : "ITEM-2", "issue" : "2000", "issued" : { "date-parts" : [ [ "2004" ] ] }, "page" : "350-379", "title" : "Cooperativity Principles in Protein Folding", "type" : "article-journal", "volume" : "380" }, "uris" : [ "http://www.mendeley.com/documents/?uuid=8d66cb77-2df4-4bea-85db-e389fa55d680" ] } ], "mendeley" : { "formattedCitation" : "&lt;sup&gt;[27,28]&lt;/sup&gt;", "plainTextFormattedCitation" : "[27,28]", "previouslyFormattedCitation" : "&lt;sup&gt;[27,28]&lt;/sup&gt;" }, "properties" : { "noteIndex" : 0 }, "schema" : "https://github.com/citation-style-language/schema/raw/master/csl-citation.json" }</w:instrText>
      </w:r>
      <w:r w:rsidR="005B6EEF">
        <w:fldChar w:fldCharType="separate"/>
      </w:r>
      <w:r w:rsidR="002C1133" w:rsidRPr="002C1133">
        <w:rPr>
          <w:noProof/>
          <w:vertAlign w:val="superscript"/>
        </w:rPr>
        <w:t>[27,28]</w:t>
      </w:r>
      <w:r w:rsidR="005B6EEF">
        <w:fldChar w:fldCharType="end"/>
      </w:r>
      <w:r w:rsidR="00091A6E">
        <w:t xml:space="preserve"> </w:t>
      </w:r>
      <w:r w:rsidR="0053411E">
        <w:t>H</w:t>
      </w:r>
      <w:r>
        <w:t xml:space="preserve">ence the preferential exclusion of osmolytes (including TMAO), as has </w:t>
      </w:r>
      <w:r w:rsidR="0053411E">
        <w:t>been demonstrated by experiment</w:t>
      </w:r>
      <w:r w:rsidR="002C2FF2">
        <w:t>, provides added stability to the</w:t>
      </w:r>
      <w:r>
        <w:t xml:space="preserve"> comp</w:t>
      </w:r>
      <w:r w:rsidR="002C2FF2">
        <w:t>act native state</w:t>
      </w:r>
      <w:r w:rsidR="0053411E">
        <w:t xml:space="preserve"> due to t</w:t>
      </w:r>
      <w:r w:rsidR="002828E5">
        <w:t xml:space="preserve">he </w:t>
      </w:r>
      <w:r w:rsidR="002828E5" w:rsidRPr="00DC174E">
        <w:t>inherently lower excluded volume</w:t>
      </w:r>
      <w:r w:rsidR="005B6EEF" w:rsidRPr="00DC174E">
        <w:t>.</w:t>
      </w:r>
      <w:r w:rsidR="005B6EEF" w:rsidRPr="00DC174E">
        <w:fldChar w:fldCharType="begin" w:fldLock="1"/>
      </w:r>
      <w:r w:rsidR="002C1133">
        <w:instrText>ADDIN CSL_CITATION { "citationItems" : [ { "id" : "ITEM-1", "itemData" : { "DOI" : "10.1016/S0091-679X(07)84022-2", "ISBN" : "0123725208", "ISSN" : "0091679X", "PMID" : "17964947", "abstract" : "Osmolytes are a class of compounds ubiquitously used by living organisms to respond to cellular stress or to fine-tune molecular properties in the cell. These compounds are also highly useful in vitro. In this chapter, we give an overview of the possible uses of osmolytes in the laboratory, and how we can investigate and understand their modes of action. Experimental procedures are discussed with a specific emphasis on osmolyte-related aspects and on the theoretical aspects that are important to both introductory and more advanced interpretations of such experiments. \u00a9 2007 Elsevier Inc. All rights reserved.", "author" : [ { "dropping-particle" : "", "family" : "Harries", "given" : "Daniel", "non-dropping-particle" : "", "parse-names" : false, "suffix" : "" }, { "dropping-particle" : "", "family" : "R\u00f6sgen", "given" : "J\u00f6rg", "non-dropping-particle" : "", "parse-names" : false, "suffix" : "" } ], "container-title" : "Methods in Cell Biology", "id" : "ITEM-1", "issue" : "07", "issued" : { "date-parts" : [ [ "2008" ] ] }, "page" : "679-735", "title" : "A Practical Guide on How Osmolytes Modulate Macromolecular Properties", "type" : "article-journal", "volume" : "84" }, "uris" : [ "http://www.mendeley.com/documents/?uuid=907c2dd2-fd22-419e-a508-6185f3595a38" ] } ], "mendeley" : { "formattedCitation" : "&lt;sup&gt;[24]&lt;/sup&gt;", "plainTextFormattedCitation" : "[24]", "previouslyFormattedCitation" : "&lt;sup&gt;[24]&lt;/sup&gt;" }, "properties" : { "noteIndex" : 0 }, "schema" : "https://github.com/citation-style-language/schema/raw/master/csl-citation.json" }</w:instrText>
      </w:r>
      <w:r w:rsidR="005B6EEF" w:rsidRPr="00DC174E">
        <w:fldChar w:fldCharType="separate"/>
      </w:r>
      <w:r w:rsidR="002C1133" w:rsidRPr="002C1133">
        <w:rPr>
          <w:noProof/>
          <w:vertAlign w:val="superscript"/>
        </w:rPr>
        <w:t>[24]</w:t>
      </w:r>
      <w:r w:rsidR="005B6EEF" w:rsidRPr="00DC174E">
        <w:fldChar w:fldCharType="end"/>
      </w:r>
      <w:r w:rsidR="005B6EEF" w:rsidRPr="00DC174E">
        <w:t xml:space="preserve"> </w:t>
      </w:r>
      <w:r w:rsidRPr="00DC174E">
        <w:t>To identify</w:t>
      </w:r>
      <w:r>
        <w:t xml:space="preserve"> which atomic groups in proteins are particularly responsible for the stabilization and pr</w:t>
      </w:r>
      <w:r w:rsidR="0053411E">
        <w:t xml:space="preserve">eferential osmolyte exclusion, many </w:t>
      </w:r>
      <w:r>
        <w:t>s</w:t>
      </w:r>
      <w:r w:rsidR="00CB0AB6">
        <w:t>olubility measurements of amino acid analogues have been undertaken</w:t>
      </w:r>
      <w:r w:rsidR="005B6EEF">
        <w:t>.</w:t>
      </w:r>
      <w:r w:rsidR="005B6EEF">
        <w:fldChar w:fldCharType="begin" w:fldLock="1"/>
      </w:r>
      <w:r w:rsidR="002C1133">
        <w:instrText>ADDIN CSL_CITATION { "citationItems" : [ { "id" : "ITEM-1", "itemData" : { "abstract" : "Trimethylamine N-oxide (TMAO) is a solute concentrated in the urea-rich cells of elasmobranchs and coelacanth to offset the damaging effects of urea on intracellular protein structure and function. On the basis of transfer free energy measurements, favorable interaction of TMAO with amino acid side chains promote protein denaturation. This effect is more than offset by highly unfavorable TMAO-peptide backbone interactions that not only oppose denaturation but also provide stabilization against denaturation by urea. By combining transfer free energies of side chains and backbone with surface area exposure in the native and unfolded states of ribonuclease T1, the transfer free energies of native and unfolded protein from water to 1 M TMAO are estimated as 1.7 and 5.9 kcal/mol, respectively. These estimates agree favorably with the respective values of 1.2 and 5.4 kcal/mol determined experimentally by Lin and Timasheff [(1994) Biochemistry 33, 12695-12701]. The unfavorable transfer free energies of native and unfolded protein from water to TMAO provides a molecular level rationale for preferential hydration of proteins by osmolytes. Promotion of denaturation by urea is found to be offset by TMAO in a manner that is roughly additive of the combined effects of both solutes. The favorable interaction of urea with the backbone provides the dominant driving force for protein unfolding by this denaturant, and the unfavorable interaction of TMAO with backbone is the dominant force opposing urea denaturation. In solutions that contain significant organic solute concentration, the ascendance of the role of the peptide backbone over that of side chains can explain many observed effects in protein denaturation and stability induced by a variety of stabilizing and destabilizing organic solutes.", "author" : [ { "dropping-particle" : "", "family" : "Wang", "given" : "Aijun", "non-dropping-particle" : "", "parse-names" : false, "suffix" : "" }, { "dropping-particle" : "", "family" : "Bolen", "given" : "D. W.", "non-dropping-particle" : "", "parse-names" : false, "suffix" : "" } ], "container-title" : "Biochemistry", "id" : "ITEM-1", "issue" : "30", "issued" : { "date-parts" : [ [ "1997", "7", "29" ] ] }, "page" : "9101-9108", "title" : "A naturally occurring protective system in urea-rich cells: Mechanism of osmolyte protection of proteins against urea denaturation", "type" : "article-journal", "volume" : "36" }, "uris" : [ "http://www.mendeley.com/documents/?uuid=9ad14b50-d6e6-404c-9585-cc651541f8b3" ] }, { "id" : "ITEM-2", "itemData" : { "abstract" : "With knowledge of individual transfer free energies of chemical groups that become newly exposed on protein denaturation and assuming the group transfer free energy contributions are additive, it should be possible to predict the stability of a protein in the presence of denaturant. Unfortunately, several unresolved issues have seriously hampered quantitative development of this transfer model for protein folding/unfolding. These issues include the lack of adequate demonstration that group transfer free energies (DeltaG(tr)) are additive and independent of the choice of model compound, the problem arising from dependence of DeltaG(tr) on concentration scales, the lack of knowledge of activity coefficients, and the validity of the mathematical constructs used in obtaining DeltaG(tr) values. Regarding transfer from water to 1 M concentrations of the naturally occurring osmolytes, trimethylamine-N-oxide (TMAO), sarcosine, betaine, proline, glycerol, sorbitol, sucrose, trehalose, and urea, using cyclic glycylglycine, zwitterionic glycine peptides, and N-acetylglycine amide peptides as models for the peptide backbone of proteins, we set out to address these issues and obtain DeltaG(tr) values for the peptide backbone unit. We demonstrate experimental approaches that obviate the choice of concentration scale and demonstrate additivity in DeltaG(tr) of the peptide backbone unit for all solvent systems studied. Evidence is presented to show that the DeltaG(tr) values are independent of the chemical model studied, and experimental conditions are given to illustrate when the mathematical constructs are valid and when activity coefficients can be ignored. Resolution of the long-standing issues that have stymied development of the transfer model now make it possible to design transfer experiments that yield reliable and quantitative values for the interactions between osmolyte-containing solvents and native and unfolded protein.", "author" : [ { "dropping-particle" : "", "family" : "Auton", "given" : "Matthew", "non-dropping-particle" : "", "parse-names" : false, "suffix" : "" }, { "dropping-particle" : "", "family" : "Bolen", "given" : "D. Wayne", "non-dropping-particle" : "", "parse-names" : false, "suffix" : "" } ], "container-title" : "Biochemistry", "id" : "ITEM-2", "issue" : "5", "issued" : { "date-parts" : [ [ "2004", "2", "10" ] ] }, "page" : "1329-1342", "title" : "Additive Transfer Free Energies of the Peptide Backbone Unit That Are Independent of the Model Compound and the Choice of Concentration Scale", "type" : "article-journal", "volume" : "43" }, "uris" : [ "http://www.mendeley.com/documents/?uuid=8a88ca61-6b42-4d03-a46e-f969c29bcc90" ] }, { "id" : "ITEM-3", "itemData" : { "abstract" : "Intracellular organic osmolytes are present in certain organisms adapted to harsh environments and these osmolytes protect intracellular macromolecules against the denaturing environmental stress. In natural selection of organic osmolytes as protein stabilizers, it appears that the osmolyte property selected for is the unfavorable interaction between the osmolyte and the peptide backbone, a solvophobic thermodynamic force that we call the osmophobic effect. Because the peptide backbone is highly exposed to osmolyte in the denatured state, the osmophobic effect preferentially raises the free energy of the denatured state, shifting the equilibrium in favor of the native state. By focusing the solvophobic force on the denatured state, the native state is left free to function relatively unfettered by the presence of osmolyte. The osmophobic effect is a newly uncovered thermodynamic force in nature that complements the well-recognized hydrophobic interactions, hydrogen bonding, electrostatic and dispersion forces that drive protein folding. In organisms whose survival depends on the intracellular presence of osmolytes that can counteract denaturing stresses, the osmophobic effect is as fundamental to protein folding as these well-recognized forces.", "author" : [ { "dropping-particle" : "", "family" : "Bolen", "given" : "D W", "non-dropping-particle" : "", "parse-names" : false, "suffix" : "" }, { "dropping-particle" : "V", "family" : "Baskakov", "given" : "Ilia", "non-dropping-particle" : "", "parse-names" : false, "suffix" : "" } ], "container-title" : "Journal of Molecular Biology", "id" : "ITEM-3", "issue" : "5", "issued" : { "date-parts" : [ [ "2001" ] ] }, "page" : "955-963", "title" : "The osmophobic effect: natural selection of a thermodynamic force in protein folding1", "type" : "article-journal", "volume" : "310" }, "uris" : [ "http://www.mendeley.com/documents/?uuid=b938b9ad-5d78-403f-bbd8-b1298af820bd" ] }, { "id" : "ITEM-4", "itemData" : { "abstract" : "We seek to understand the link between protein thermodynamics and protein structure in molecular detail. A classical approach to this problem involves assessing changes in protein stability resulting from added cosolvents. Under any given conditions, protein molecules in aqueous buffer are in equilibrium between unfolded and folded states, U(nfolded) &lt;==&gt; N(ative). Addition of organic osmolytes, small uncharged compounds found throughout nature, shift this equilibrium. Urea, a denaturing osmolyte, shifts the equilibrium toward U; trimethylamine N-oxide (TMAO), a protecting osmolyte, shifts the equilibrium toward N. Using the Tanford Transfer Model, the thermodynamic response to many such osmolytes has been dissected into groupwise free energy contributions. It is found that the energetics involving backbone hydrogen bonding controls these shifts in protein stability almost entirely, with osmolyte cosolvents simply dialing between solvent-backbone versus backbone-backbone hydrogen bonds, as a function of solvent quality. This reciprocal relationship establishes the essential link between protein thermodynamics and the protein's hydrogen-bonded backbone structure.", "author" : [ { "dropping-particle" : "", "family" : "Bolen", "given" : "D Wayne", "non-dropping-particle" : "", "parse-names" : false, "suffix" : "" }, { "dropping-particle" : "", "family" : "Rose", "given" : "George D", "non-dropping-particle" : "", "parse-names" : false, "suffix" : "" } ], "container-title" : "Annu. Rev. Biochem.", "id" : "ITEM-4", "issued" : { "date-parts" : [ [ "2008", "1" ] ] }, "page" : "339-362", "title" : "Structure and Energetics of the Hydrogen-Bonded Backbone in Protein Folding", "type" : "article-journal", "volume" : "77" }, "uris" : [ "http://www.mendeley.com/documents/?uuid=146aac37-b7e8-421d-87da-ea76d2a168f2" ] }, { "id" : "ITEM-5", "itemData" : { "abstract" : "Protein solubility and stability are issues of consideration in attempts to crystallize proteins. These two properties of proteins are also at issue in the cells of organisms that have adapted to water stress conditions that could ordinarily denature or inactivate some proteins. Most organisms that have adapted to environmental stresses have done so by production and accumulation of certain small organic molecules, known as osmolytes, that arose by natural selection and have the ability to stabilize intracellular proteins against the environmental stress. Here, concepts developed to understand the special properties of the naturally occurring osmolytes in effecting protein stability and solubility, and the principles that have come from studies of these compounds have been presented. Along with excluded volume and preferential interaction parameters, identification of the osmophobic effect and the attenuation of this effect by favorable interactions of solute with side-chains appear to contribute to the full set of effects protecting osmolytes have on protein stability and solubility. With these concepts in mind and the fact that urea interacts favorably with the peptide backbone we note that: (1) osmolyte-induced effects on protein stability ranging from denaturation to forcing proteins to fold can be achieved experimentally and the underlying principles understood at near molecular-level detail, and (2) osmolyte-mediated solubility effects ranging from protein precipitation to protein solubilization are predictable based on these principles. These effects are contrasted and compared with effects of 2-methyl-2,4-pentanediol and polyethylene glycol on proteins, and how the principles found for the naturally occurring osmolytes can be applied to these two commonly used protein crystallizing agents. ?? 2004 Elsevier Inc. All rights reserved.", "author" : [ { "dropping-particle" : "", "family" : "Bolen", "given" : "D. W.", "non-dropping-particle" : "", "parse-names" : false, "suffix" : "" } ], "container-title" : "Methods", "id" : "ITEM-5", "issue" : "3", "issued" : { "date-parts" : [ [ "2004", "11" ] ] }, "page" : "312-322", "title" : "Effects of naturally occurring osmolytes on protein stability and solubility: Issues important in protein crystallization", "type" : "article-journal", "volume" : "34" }, "uris" : [ "http://www.mendeley.com/documents/?uuid=d57884ba-15eb-4d2d-b55e-4febe3c2257a" ] }, { "id" : "ITEM-6", "itemData" : { "abstract" : "A key paradigm in the biology of adaptation holds that urea affects\\nprotein function by increasing the fluctuations of the native state,\\nwhile trimethylamine N-oxide (TMAO) affects function in the opposite\\ndirection by decreasing the normal fluctuations of the native ensemble.\\nUsing urea and TMAO separately and together, hydrogen exchange (HX)\\nstudies on RNase A at pH{*} 6.35 were used to investigate the basic\\ntenets of the urea:TMAO paradigm. TMAO (1 M) alone decreases HX rate\\nconstants of a select number of sites exchanging from the native\\nensemble, and low urea alone increases the rate constants of some of\\nthe same sites. Addition of TMAO to urea solutions containing RNase A\\nalso suppresses HX rate constants. The data show that urea and TMAO\\nindependently or in combination affect the dynamics of the native\\nensemble in opposing ways. The results provide evidence in support of\\nthe counteraction aspect of the urea:TMAO paradigm linking structural\\ndynamics with protein function in urea-rich organs and organisms. RNase\\nA is so resistant to urea denaturation at pH{*} 6.35 that even in the\\npresence of 4.8 M urea, the native ensemble accounts for &gt;99.5% of the\\nprotein. An essential test, devised to determine the HX mechanism of\\nexchangeable protons, shows that over the 0-4.8 M urea concentration\\nrange nearly 80% of all observed sites convert from EX2 to EX1. The\\nslow exchange sites are all EX1; they do not exhibit global exchange\\neven at urea concentrations (5.8 M) well into the denaturation\\ntransition zone, and their energetically distinct activated complexes\\nleading to exchange gives evidence of residual structure. Under these\\nexperimental conditions, the use of DeltaG(HX) as a basis for HX\\nanalysis of RNase A urea denaturation is invalid.", "author" : [ { "dropping-particle" : "", "family" : "Qu", "given" : "Youxing", "non-dropping-particle" : "", "parse-names" : false, "suffix" : "" }, { "dropping-particle" : "", "family" : "Bolen", "given" : "D. Wayne", "non-dropping-particle" : "", "parse-names" : false, "suffix" : "" } ], "container-title" : "Biochemistry", "id" : "ITEM-6", "issue" : "19", "issued" : { "date-parts" : [ [ "2003", "5", "20" ] ] }, "page" : "5837-5849", "title" : "Hydrogen exchange kinetics of RNase A and the urea: TMAO paradigm", "type" : "article-journal", "volume" : "42" }, "uris" : [ "http://www.mendeley.com/documents/?uuid=ebb0265f-37fc-4e57-a7c7-89a3ae6a84c5" ] }, { "id" : "ITEM-7", "itemData" : { "DOI" : "10.1021/jp409934q", "ISSN" : "1520-6106", "PMID" : "24328141", "abstract" : "After studying protein denaturation by urea for many decades, conflicting views of the role of the side chains and the backbone have emerged; many results suggest that urea denatures by enhancing the solubility of both the side chains and the backbone, but the frequently applied transfer model (TM) so far ascribes denaturation exclusively to urea's action on the backbone. We use molecular dynamics simulations to rigorously test one of the TM's key assumptions, the proportionality of a molecule's transfer free energy (TFE) and its solvent-accessible surface. The performance of the TM as it is usually implemented turns out to be unsatisfactory, but the proportionality is satisfied very well after an inconsistency in the treatment of the backbone contribution is corrected. This inconsistency has so far gone unnoticed as it was obscured by a compensating error in the side-chain group TFEs used so far. The revised \"universal backbone\" TM presented in this work shows excellent accuracy in the prediction of experimental m values of a set of 36 proteins. It also settles the conflicting views regarding the role of the side chains because it predicts that both the side chains and the backbone on average contribute favorably to denaturation by urea.", "author" : [ { "dropping-particle" : "", "family" : "Moeser", "given" : "Beate", "non-dropping-particle" : "", "parse-names" : false, "suffix" : "" }, { "dropping-particle" : "", "family" : "Horinek", "given" : "Dominik", "non-dropping-particle" : "", "parse-names" : false, "suffix" : "" } ], "container-title" : "Journal of Physical Chemistry B", "id" : "ITEM-7", "issue" : "1", "issued" : { "date-parts" : [ [ "2014", "1", "9" ] ] }, "page" : "107-114", "publisher" : "American Chemical Society", "title" : "Unified description of urea denaturation: Backbone and side chains contribute equally in the transfer model", "type" : "article-journal", "volume" : "118" }, "uris" : [ "http://www.mendeley.com/documents/?uuid=bbf50b49-a730-4d9b-8fba-00d3aa8cc86c" ] }, { "id" : "ITEM-8", "itemData" : { "abstract" : "The Gibbs free energy of transferring a solute at infinite dilution between two solvents quantifies differences in solute-solvent interactions - if the transfer takes place at constant molarity of the solute. Yet, many calculation formulae and measuring instructions that are commonly used to quantify solute-solvent interactions correspond to transfer processes in which not the molarity of the solute but its concentration measured in another concentration scale is constant. Here, we demonstrate that in this case, not only the change in solute-solvent interactions is quantified but also the entropic effect of a volume change during the transfer. Consequently, the \"phenomenon\" which is known as \"concentration-scale dependence\" of transfer free energies is simply explained by a volume-entropy effect. Our explanations are of high importance for the study of cosolvent effects on protein stability.", "author" : [ { "dropping-particle" : "", "family" : "Moeser", "given" : "Beate", "non-dropping-particle" : "", "parse-names" : false, "suffix" : "" }, { "dropping-particle" : "", "family" : "Horinek", "given" : "Dominik", "non-dropping-particle" : "", "parse-names" : false, "suffix" : "" } ], "container-title" : "Biophysical Chemistry", "id" : "ITEM-8", "issued" : { "date-parts" : [ [ "2015" ] ] }, "page" : "68-76", "publisher" : "Elsevier", "title" : "The role of the concentration scale in the definition of transfer free energies", "type" : "article-journal", "volume" : "196" }, "uris" : [ "http://www.mendeley.com/documents/?uuid=1b995629-98c7-447c-8d63-f7a9f99a9392" ] } ], "mendeley" : { "formattedCitation" : "&lt;sup&gt;[29\u201336]&lt;/sup&gt;", "plainTextFormattedCitation" : "[29\u201336]", "previouslyFormattedCitation" : "&lt;sup&gt;[29\u201336]&lt;/sup&gt;" }, "properties" : { "noteIndex" : 0 }, "schema" : "https://github.com/citation-style-language/schema/raw/master/csl-citation.json" }</w:instrText>
      </w:r>
      <w:r w:rsidR="005B6EEF">
        <w:fldChar w:fldCharType="separate"/>
      </w:r>
      <w:r w:rsidR="002C1133" w:rsidRPr="002C1133">
        <w:rPr>
          <w:noProof/>
          <w:vertAlign w:val="superscript"/>
        </w:rPr>
        <w:t>[29–36]</w:t>
      </w:r>
      <w:r w:rsidR="005B6EEF">
        <w:fldChar w:fldCharType="end"/>
      </w:r>
      <w:r w:rsidR="00AB1288">
        <w:t xml:space="preserve"> However, the vast majority of such studies have focused on stabilization </w:t>
      </w:r>
      <w:r w:rsidR="00AB1288" w:rsidRPr="002C2FF2">
        <w:t xml:space="preserve">against </w:t>
      </w:r>
      <w:r w:rsidR="00B451AD" w:rsidRPr="002C2FF2">
        <w:t>urea and thermal</w:t>
      </w:r>
      <w:r w:rsidR="00B451AD">
        <w:t xml:space="preserve"> </w:t>
      </w:r>
      <w:r w:rsidR="005B2141">
        <w:t xml:space="preserve">denaturation; </w:t>
      </w:r>
      <w:r w:rsidR="002828E5">
        <w:t xml:space="preserve">very </w:t>
      </w:r>
      <w:r w:rsidR="005B2141">
        <w:t>few</w:t>
      </w:r>
      <w:r w:rsidR="00AB1288">
        <w:t xml:space="preserve"> </w:t>
      </w:r>
      <w:r w:rsidR="005B2141">
        <w:t xml:space="preserve">studies deal explicitly </w:t>
      </w:r>
      <w:r w:rsidR="0053411E">
        <w:t xml:space="preserve">with </w:t>
      </w:r>
      <w:r w:rsidR="00AB1288">
        <w:t>how pressure denaturati</w:t>
      </w:r>
      <w:r w:rsidR="001163C1">
        <w:t>on is counteracted by osmolytes</w:t>
      </w:r>
      <w:r w:rsidR="002C2FF2">
        <w:t>, where the</w:t>
      </w:r>
      <w:r w:rsidR="002828E5">
        <w:t xml:space="preserve"> denatured </w:t>
      </w:r>
      <w:r w:rsidR="002828E5" w:rsidRPr="00DC174E">
        <w:t>state occupies a smaller volume</w:t>
      </w:r>
      <w:r w:rsidR="001163C1" w:rsidRPr="00DC174E">
        <w:t xml:space="preserve"> than the native state</w:t>
      </w:r>
      <w:r w:rsidR="00EA544C" w:rsidRPr="00DC174E">
        <w:t>.</w:t>
      </w:r>
      <w:r w:rsidR="00EA544C" w:rsidRPr="00DC174E">
        <w:fldChar w:fldCharType="begin" w:fldLock="1"/>
      </w:r>
      <w:r w:rsidR="001F67E6">
        <w:instrText>ADDIN CSL_CITATION { "citationItems" : [ { "id" : "ITEM-1", "itemData" : { "DOI" : "10.1002/cphc.200800522", "ISBN" : "1439-7641 (Electronic)\\r1439-4235 (Linking)", "ISSN" : "14394235", "PMID" : "18924198", "abstract" : "Herein, we explore the effect of different types of osmolytes on the high-pressure stability and tertiary structure of a well-characterized monomeric protein, staphylococcal nuclease (SNase). Changes in the denaturation pressure and the radius of gyration are obtained in the presence of different concentrations of trimethylamine N-oxide (TMAO), glycerol and urea. To reveal structural changes in the protein upon compression at various osmolyte conditions, small-angle X-ray scattering (SAXS) experiments were carried out. To this end, a new high-pressure cell suitable for high-precision SAXS studies at synchrotron sources was built, which allows one to carry out scattering experiments up to maximum pressures of about 7 kbar. Our data clearly indicate that the osmolytes that stabilize proteins against temperature-induced unfolding drastically increase their pressure stability and that the elliptically shaped curve of the pressure-temperature-stability diagram of proteins is shifted to higher temperatures and pressures with increasing osmolyte concentration. A drastic stabilization is observed for the osmolyte TMAO, which exhibits not only a significant stabilization against temperature-induced unfolding, but also a particularly strong stabilization of the protein against pressure. In fact, such findings are in accordance with in vivo studies (for example P. J. Yancey, J. Exp. Biol. 2005, 208, 2819-2830), where unusually high TMAO concentrations in some deep-sea animals were found. Conversely, chaotropic agents such as urea have a strong destabilizing effect on both the temperature and pressure stability of the protein. Our data also indicate that sufficiently high TMAO concentrations might be able to largely offset the destabilizing effect of urea. The different scenarios observed are discussed in the context of recent experimental and theoretical studies.", "author" : [ { "dropping-particle" : "", "family" : "Krywka", "given" : "Christina", "non-dropping-particle" : "", "parse-names" : false, "suffix" : "" }, { "dropping-particle" : "", "family" : "Sternemann", "given" : "Christian", "non-dropping-particle" : "", "parse-names" : false, "suffix" : "" }, { "dropping-particle" : "", "family" : "Paulus", "given" : "Michael", "non-dropping-particle" : "", "parse-names" : false, "suffix" : "" }, { "dropping-particle" : "", "family" : "Tolan", "given" : "Metin", "non-dropping-particle" : "", "parse-names" : false, "suffix" : "" }, { "dropping-particle" : "", "family" : "Royer", "given" : "Catherine", "non-dropping-particle" : "", "parse-names" : false, "suffix" : "" }, { "dropping-particle" : "", "family" : "Winter", "given" : "Roland", "non-dropping-particle" : "", "parse-names" : false, "suffix" : "" } ], "container-title" : "ChemPhysChem", "id" : "ITEM-1", "issue" : "18", "issued" : { "date-parts" : [ [ "2008" ] ] }, "page" : "2809-2815", "title" : "Effect of osmolytes on pressure-induced unfolding of proteins: A high-pressure SAXS study", "type" : "article-journal", "volume" : "9" }, "uris" : [ "http://www.mendeley.com/documents/?uuid=a56525ae-b586-4cd9-8a49-4266d933e554" ] }, { "id" : "ITEM-2", "itemData" : { "DOI" : "10.1021/bi982825f", "ISBN" : "0006-2960 (Print)\\r0006-2960 (Linking)", "ISSN" : "00062960", "PMID" : "10350469", "abstract" : "We examined the temperature- and pressure-induced unfolding and aggregation of beta-lactoglobulin (beta-Lg) and its genetic variants A and B up to temperatures of 90 degrees C in the pressure range from 1 bar to 10 kbar. To achieve information simultaneously on the secondary, tertiary, and quaternary structures, we have applied Synchrotron small-angle X-ray diffraction and Fourier transform infrared spectroscopy. Upon heating a beta-Lg solution at pH 7.0, the radius of gyration Rg first decreases, indicating a partial dissociation of the dimer into the monomers, the secondary structures remaining essentially unchanged. Above 50 degrees C, the infrared spectroscopy data reveal a decrease in intramolecular beta-sheet and alpha-helical structures, whereas the contribution of disordered structures increases. Within the temperature range from 50 to 60 degrees C, the appearance of the pair distance distribution function is not altered significantly, whereas the amount of defined secondary structures declines approximately by 10%. Above 60 degrees C the aggregation process of 1% beta-Lg solutions is clearly detectable by the increase in Rg and intermolecular beta-sheet content. The irreversible aggregation is due to intermolecular S-H/S-S interchange reactions and hydrophobic interactions. Upon pressurization at room temperature, the equilibrium between monomers and dimers is also shifted and dissociation of dimers is induced. At pressures of approximately 1300 bar, the amount of beta-sheet and alpha-helical structures decreases and the content of disordered structures increases, indicating the beginning unfolding of the protein which enables aggregation. Contrary to the thermal denaturation process, intermolecular beta-sheet formation is of less importance in pressure-induced protein aggregation and gelation. The spatial extent of the resulting protein clusters is time- and concentration-dependent. The aggregation of a 1% (w/w) solution of A, B, and the mixture AB results in the formation of at least octameric units as can be deduced from the radius of gyration of about 36 A. No differences in the pressure stability of the different genetic variants of beta-Lg are detectable in our FT-IR and SAXS experiments. Even application of higher pressures (up to 10 kbar) does not result in complete unfolding of all beta-Lg variants.", "author" : [ { "dropping-particle" : "", "family" : "Panick", "given" : "Gunda", "non-dropping-particle" : "", "parse-names" : false, "suffix" : "" }, { "dropping-particle" : "", "family" : "Malessa", "given" : "Ralf", "non-dropping-particle" : "", "parse-names" : false, "suffix" : "" }, { "dropping-particle" : "", "family" : "Winter", "given" : "Roland", "non-dropping-particle" : "", "parse-names" : false, "suffix" : "" } ], "container-title" : "Biochemistry", "id" : "ITEM-2", "issue" : "20", "issued" : { "date-parts" : [ [ "1999" ] ] }, "page" : "6512-6519", "title" : "Differences between the pressure- and temperature-induced denaturation and aggregation of \u03b2-lactoglobulin A, B, and AB monitored by FT-IR spectroscopy and small-angle X-ray scattering", "type" : "article-journal", "volume" : "38" }, "uris" : [ "http://www.mendeley.com/documents/?uuid=990b6c36-af97-4be5-9551-8f1033e5df08" ] }, { "id" : "ITEM-3", "itemData" : { "DOI" : "10.1002/anie.201104380", "ISSN" : "14337851", "PMID" : "22113799", "author" : [ { "dropping-particle" : "", "family" : "Schroer", "given" : "Martin A.", "non-dropping-particle" : "", "parse-names" : false, "suffix" : "" }, { "dropping-particle" : "", "family" : "Zhai", "given" : "Yong", "non-dropping-particle" : "", "parse-names" : false, "suffix" : "" }, { "dropping-particle" : "", "family" : "Wieland", "given" : "D. C Florian", "non-dropping-particle" : "", "parse-names" : false, "suffix" : "" }, { "dropping-particle" : "", "family" : "Sahle", "given" : "Christoph J.", "non-dropping-particle" : "", "parse-names" : false, "suffix" : "" }, { "dropping-particle" : "", "family" : "Nase", "given" : "Julia", "non-dropping-particle" : "", "parse-names" : false, "suffix" : "" }, { "dropping-particle" : "", "family" : "Paulus", "given" : "Michael", "non-dropping-particle" : "", "parse-names" : false, "suffix" : "" }, { "dropping-particle" : "", "family" : "Tolan", "given" : "Metin", "non-dropping-particle" : "", "parse-names" : false, "suffix" : "" }, { "dropping-particle" : "", "family" : "Winter", "given" : "Roland", "non-dropping-particle" : "", "parse-names" : false, "suffix" : "" } ], "container-title" : "Angewandte Chemie International Edition", "id" : "ITEM-3", "issue" : "48", "issued" : { "date-parts" : [ [ "2011" ] ] }, "page" : "11413-11416", "title" : "Exploring the piezophilic behavior of natural cosolvent mixtures", "type" : "article-journal", "volume" : "50" }, "uris" : [ "http://www.mendeley.com/documents/?uuid=3286f240-7072-4c20-9489-e273ed62453a" ] }, { "id" : "ITEM-4", "itemData" : { "DOI" : "10.1002/cphc.201200767", "ISBN" : "1439-7641 (Electronic)\\r1439-4235 (Linking)", "ISSN" : "14394235", "PMID" : "23281099", "abstract" : "FT-IR spectroscopic and thermodynamic measurements were designed to explore the effect of a macromolecular crowder, dextran, on the temperature and pressure-dependent phase diagram of the protein Ribonuclease A (RNase A), and we compare the experimental data with approximate theoretical predictions based on configuration entropy. Exploring the crowding effect on the pressure-induced unfolding of proteins provides insight in protein stability and folding under cell-like dense conditions, since pressure is a fundamental thermodynamic variable linked to molecular volume. Moreover, these studies are of relevance for understanding protein stability in deep-sea organisms, which have to cope with pressures in the kbar range. We found that not only temperature-induced equilibrium unfolding of RNase A, but also unfolding induced by pressure is markedly prohibited in the crowded dextran solutions, suggesting that crowded environments such as those found intracellularly, will also oppress high-pressure protein unfolding. The FT-IR spectroscopic measurements revealed a marked increase in unfolding pressure of 2 kbar in the presence of 30 wt % dextran. Whereas the structural changes upon thermal unfolding of the protein are not significantly influenced in the presence of the crowding agent, through stabilization by dextran the pressure-unfolded state of the protein retains more ordered secondary structure elements, which seems to be a manifestation of the entropic destabilization of the unfolded state by crowding.", "author" : [ { "dropping-particle" : "", "family" : "Zhai", "given" : "Yong", "non-dropping-particle" : "", "parse-names" : false, "suffix" : "" }, { "dropping-particle" : "", "family" : "Winter", "given" : "Roland", "non-dropping-particle" : "", "parse-names" : false, "suffix" : "" } ], "container-title" : "ChemPhysChem", "id" : "ITEM-4", "issue" : "2", "issued" : { "date-parts" : [ [ "2013" ] ] }, "page" : "386-393", "title" : "Effect of molecular crowding on the temperature-pressure stability diagram of ribonuclease A", "type" : "article-journal", "volume" : "14" }, "uris" : [ "http://www.mendeley.com/documents/?uuid=ab3f447b-0f28-44a0-8d8c-4a6e9ea0d5c7" ] } ], "mendeley" : { "formattedCitation" : "&lt;sup&gt;[37\u201340]&lt;/sup&gt;", "plainTextFormattedCitation" : "[37\u201340]", "previouslyFormattedCitation" : "&lt;sup&gt;[37\u201340]&lt;/sup&gt;" }, "properties" : { "noteIndex" : 0 }, "schema" : "https://github.com/citation-style-language/schema/raw/master/csl-citation.json" }</w:instrText>
      </w:r>
      <w:r w:rsidR="00EA544C" w:rsidRPr="00DC174E">
        <w:fldChar w:fldCharType="separate"/>
      </w:r>
      <w:r w:rsidR="002C1133" w:rsidRPr="002C1133">
        <w:rPr>
          <w:noProof/>
          <w:vertAlign w:val="superscript"/>
        </w:rPr>
        <w:t>[37–40]</w:t>
      </w:r>
      <w:r w:rsidR="00EA544C" w:rsidRPr="00DC174E">
        <w:fldChar w:fldCharType="end"/>
      </w:r>
      <w:r w:rsidR="001163C1">
        <w:t xml:space="preserve"> </w:t>
      </w:r>
    </w:p>
    <w:p w14:paraId="6B7A8B1C" w14:textId="77777777" w:rsidR="00AB1288" w:rsidRDefault="0053411E" w:rsidP="00650D6B">
      <w:pPr>
        <w:ind w:firstLine="720"/>
      </w:pPr>
      <w:r>
        <w:t>Although</w:t>
      </w:r>
      <w:r w:rsidR="008B106E">
        <w:t xml:space="preserve"> measurements of p</w:t>
      </w:r>
      <w:r w:rsidR="001F3732">
        <w:t xml:space="preserve">rotein denaturation </w:t>
      </w:r>
      <w:r w:rsidR="008B106E">
        <w:t xml:space="preserve">under high pressure </w:t>
      </w:r>
      <w:r w:rsidR="005B2141">
        <w:t xml:space="preserve">(in the absence of osmolytes) </w:t>
      </w:r>
      <w:r w:rsidR="008B106E">
        <w:t xml:space="preserve">have revealed useful insights into protein folding and stability in general, pressure </w:t>
      </w:r>
      <w:r>
        <w:t xml:space="preserve">has been used far less </w:t>
      </w:r>
      <w:r w:rsidR="00EA365B">
        <w:t xml:space="preserve">frequently </w:t>
      </w:r>
      <w:r>
        <w:t xml:space="preserve">than heat </w:t>
      </w:r>
      <w:r w:rsidR="00055618">
        <w:t xml:space="preserve">as a means to </w:t>
      </w:r>
      <w:r>
        <w:t xml:space="preserve">probe </w:t>
      </w:r>
      <w:r w:rsidR="002830AD">
        <w:t>protein denaturation</w:t>
      </w:r>
      <w:r w:rsidR="00EA544C">
        <w:t>.</w:t>
      </w:r>
      <w:r w:rsidR="00EA544C">
        <w:fldChar w:fldCharType="begin" w:fldLock="1"/>
      </w:r>
      <w:r w:rsidR="001F67E6">
        <w:instrText>ADDIN CSL_CITATION { "citationItems" : [ { "id" : "ITEM-1", "itemData" : { "DOI" : "10.1021/bi00806a045", "ISBN" : "0006-2960", "ISSN" : "0006-2960", "PMID" : "5417389", "abstract" : "... evidence bearing on the two -htatc character of this denaturation was collected ... 1) are the extinction coeficients which the native and denatured protein would have ... change and compressibility change during denaturativn may be readily obtained froiii standard thermodynamics . ... \\n", "author" : [ { "dropping-particle" : "", "family" : "Brandts", "given" : "J F", "non-dropping-particle" : "", "parse-names" : false, "suffix" : "" }, { "dropping-particle" : "", "family" : "Oliveira", "given" : "R J", "non-dropping-particle" : "", "parse-names" : false, "suffix" : "" }, { "dropping-particle" : "", "family" : "Westort", "given" : "C", "non-dropping-particle" : "", "parse-names" : false, "suffix" : "" } ], "container-title" : "Biochemistry", "id" : "ITEM-1", "issue" : "4", "issued" : { "date-parts" : [ [ "1970" ] ] }, "page" : "1038-1047", "title" : "Thermodynamics of protein denaturation. Effect of pressu on the denaturation of ribonuclease A.", "type" : "article-journal", "volume" : "9" }, "uris" : [ "http://www.mendeley.com/documents/?uuid=cdc22b45-466f-4404-89f9-299118ed54e8" ] }, { "id" : "ITEM-2", "itemData" : { "abstract" : "In a discussion about pressure effects on deep-sea animals, Regnard (100) showed that pressures below 1 kbar do not irreversibly affect enzyme processes in bacteria. In contrast, pressures up to 8 kbar coagulate ovalbumin irreversibly (7). These observations have dominated the field of pressure research on biological molecules for some time: pressure effects were assumed to be reversible below I kbar and irreversible at higher pressures. More recently it was found that low pressures affect protein-ligand binding (58) and protein-protein interactions (45); the reversibility at higher pressures depends on the nature of the protein and the solvent conditions (121). On the other hand, it has been shown that DNA is pressure resistant (Il l) and the melting temperature of lipids is strongly pressure dependent (23, 119). Since", "author" : [ { "dropping-particle" : "", "family" : "Heremans", "given" : "Karel", "non-dropping-particle" : "", "parse-names" : false, "suffix" : "" } ], "container-title" : "Annual Review of Biophysic and Bioenergy", "id" : "ITEM-2", "issue" : "2", "issued" : { "date-parts" : [ [ "1982" ] ] }, "page" : "1-21", "title" : "High Pressure Effects", "type" : "article-journal", "volume" : "11" }, "uris" : [ "http://www.mendeley.com/documents/?uuid=73c114f2-48cb-4af4-9109-0e687098a9d4" ] }, { "id" : "ITEM-3", "itemData" : { "DOI" : "10.1017/S0033583500004935", "ISBN" : "doi:10.1017/S0033583500004935", "ISSN" : "0033-5835", "PMID" : "6348832", "abstract" : "We shall not attempt here to enumerate the results or review in a systemateic way the significnat literature dealing with the use of high pressure in studies of proteins and other molecules of biological interest. Two recent reviews on this subjec and a further article by Jaenicke on enzymes under extreme enevironmental conditions contain expositions and references that would reder redundant such a task. Rather we concentrate here on the examination of the conceptual framework employed in the interpretation of high pressure experiements and in the critical discussion of our knowledge of selected areas of present interest and likely future significance.", "author" : [ { "dropping-particle" : "", "family" : "Weber", "given" : "G", "non-dropping-particle" : "", "parse-names" : false, "suffix" : "" }, { "dropping-particle" : "", "family" : "Drickamer", "given" : "H G", "non-dropping-particle" : "", "parse-names" : false, "suffix" : "" } ], "container-title" : "Quarterly reviews of biophysics", "id" : "ITEM-3", "issued" : { "date-parts" : [ [ "1983" ] ] }, "page" : "89-112", "title" : "The effect of high pressure upon proteins and other biomolecules.", "type" : "article-journal", "volume" : "16" }, "uris" : [ "http://www.mendeley.com/documents/?uuid=d821bd6d-0667-42c5-8402-7154f08cd432" ] }, { "id" : "ITEM-4", "itemData" : { "DOI" : "10.1111/j.1432-1033.1994.tb18774.x", "ISBN" : "0014-2956 (Print)\\r0014-2956 (Linking)", "ISSN" : "0014-2956", "PMID" : "8174542", "abstract" : "Oceans not only cover the major part of the earth's surface but also reach into depths exceeding the height of the Mt Everest. They are populated down to the deepest levels (approximately 11,800 m), which means that a significant proportion of the global biosphere is exposed to pressures of up to 120 MPa. Although this fact has been known for more than a century, the ecology of the 'abyss' is still in its infancy. Only recently, barophilic adaptation, i.e. the requirement of elevated pressure for viability, has been firmly established. In non-adapted organisms, increased pressure leads to morphological anomalies or growth inhibition, and ultimately to cell death. The detailed molecular mechanism of the underlying 'metabolic dislocation' is unresolved. Effects of pressure as a variable in microbiology, biochemistry and biotechnology allow the structure/function relationship of proteins conjugates to be analyzed. In this context, stabilization by cofactors or accessory proteins has been observed. High-pressure equipment available today allows the comprehensive characterization of the behaviour of proteins under pressure. Single-chain proteins undergo pressure-induced denaturation in the 100-MPa range, which, in the case of oligomeric proteins or protein assemblies, is preceded by dissociation at lower pressure. The effects may be ascribed to the positive reaction volumes connected with the formation of hydrophobic and ionic interactions. In addition, the possibility of conformational effects exerted by moderate, non-denaturing pressures, and related to the intrinsic compressibility of proteins, is discussed. Crystallization may serve as a model reaction of protein self-organization. Kinetic aspects of its pressure-induced inhibition can be described by a model based on the Oosawa theory of molecular association. Barosensitivity is known to be correlated with the pressure-induced inhibition of protein biosynthesis. Attempts to track down the ultimate cause in the dissociation of ribosomes have revealed remarkable stabilization of functional complexes under pseudo-physiological conditions, with the post-translational complex as the most pressure-sensitive species. Apart from the key issue of barosensitivity and barophilic adaptation, high-pressure biochemistry may provide means to develop new approaches to nonthermic industrial processes, especially in the field of food technology.", "author" : [ { "dropping-particle" : "", "family" : "Gross", "given" : "M", "non-dropping-particle" : "", "parse-names" : false, "suffix" : "" }, { "dropping-particle" : "", "family" : "Jaenicke", "given" : "R", "non-dropping-particle" : "", "parse-names" : false, "suffix" : "" } ], "container-title" : "European journal of biochemistry / FEBS", "id" : "ITEM-4", "issue" : "2", "issued" : { "date-parts" : [ [ "1994" ] ] }, "page" : "617-630", "title" : "Proteins under pressure. The influence of high hydrostatic pressure on structure, function and assembly of proteins and protein complexes.", "type" : "article-journal", "volume" : "221" }, "uris" : [ "http://www.mendeley.com/documents/?uuid=dd82f45b-3e2c-47df-9819-6f3968a7560d" ] }, { "id" : "ITEM-5", "itemData" : { "DOI" : "10.1002/(SICI)1097-0134(199601)24:1&lt;81::AID-PROT6&gt;3.0.CO;2-R", "ISBN" : "0887-3585 (Print)\\r0887-3585 (Linking)", "ISSN" : "0887-3585", "PMID" : "8628735", "abstract" : "Many biochemists would regard pressure as a physical parameter mainly of theoretical interest and of rather limited value in experimental biochemistry. The goal of this overview is to show that pressure is a powerful tool for the study of proteins and modulation of enzymatic activity.", "author" : [ { "dropping-particle" : "V", "family" : "Mozhaev", "given" : "VV", "non-dropping-particle" : "", "parse-names" : false, "suffix" : "" }, { "dropping-particle" : "", "family" : "Heremans", "given" : "K", "non-dropping-particle" : "", "parse-names" : false, "suffix" : "" }, { "dropping-particle" : "", "family" : "Frank", "given" : "J", "non-dropping-particle" : "", "parse-names" : false, "suffix" : "" }, { "dropping-particle" : "", "family" : "Masson", "given" : "P", "non-dropping-particle" : "", "parse-names" : false, "suffix" : "" }, { "dropping-particle" : "", "family" : "Balny", "given" : "C", "non-dropping-particle" : "", "parse-names" : false, "suffix" : "" } ], "container-title" : "Proteins", "id" : "ITEM-5", "issue" : "1", "issued" : { "date-parts" : [ [ "1996" ] ] }, "page" : "81-91", "title" : "High pressure effects on protein structure and function.", "type" : "article-journal", "volume" : "24" }, "uris" : [ "http://www.mendeley.com/documents/?uuid=66f41f83-44d4-4786-919a-0b0c573c2d92" ] }, { "id" : "ITEM-6", "itemData" : { "DOI" : "10.1016/S0167-4838(01)00332-6", "ISBN" : "0167-4838", "ISSN" : "01674838", "PMID" : "11983384", "abstract" : "The pressure-temperature phase diagram of various biomolecules is reviewed. Special attention is focused on the elliptic phase diagram of proteins. The phenomenological thermodynamic theory describing this diagram explains the heat, cold and pressure denaturations in a unified picture. The limitations and possible developments of this theory are discussed as well. It is pointed out that a more complex diagram can be obtained when the intermolecular interactions are also taken into account. In this case metastable states appear on the pressure-temperature (p-T) diagram due to intermolecular interactions. Pressure-temperature phase diagrams of other biopolymers are also discussed. While the p-T diagrams of helix-coil transition of nucleic acids and of gel-liquid crystal transition of lipid bilayers are non-elliptical, those of gelatinization of starch and of phase separation of some synthetic polymers show an elliptic profile, similar to that of proteins. Finally, the p-T diagram of bacterial inactivation is shown to be elliptic. From the point of view of basic science, this fact shows that the key factor of inactivation should be the protein type, and from the viewpoint of practical applications, it serves as the theoretical basis of pressure treatment of biosystems. ?? 2002 Elsevier Science B.V. All rights reserved.", "author" : [ { "dropping-particle" : "", "family" : "Smeller", "given" : "L\u00e1szl\u00f3", "non-dropping-particle" : "", "parse-names" : false, "suffix" : "" } ], "container-title" : "Biochimica et Biophysica Acta", "id" : "ITEM-6", "issue" : "1-2", "issued" : { "date-parts" : [ [ "2002" ] ] }, "page" : "11-29", "title" : "Pressure-temperature phase diagrams of biomolecules", "type" : "article-journal", "volume" : "1595" }, "uris" : [ "http://www.mendeley.com/documents/?uuid=49c50e0b-e666-4655-a486-5c5d4103f8eb" ] }, { "id" : "ITEM-7", "itemData" : { "DOI" : "10.1016/j.bpc.2013.06.019", "ISBN" : "0301-4622", "ISSN" : "03014622", "PMID" : "23891571", "abstract" : "Microbial life has been prevailing in the biosphere for the last 3.8 Ga at least. Throughout most of the Earth's history it has experienced a range of pressures; both dynamic pressure when the young Earth was heavily bombarded, and static pressure in subsurface environments that could have served as a refuge and where microbial life nowadays flourishes. In this review, we discuss the extent of high-pressure habitats in early and modern times and provide a short overview of microbial survival under dynamic pressures. We summarize the current knowledge about the impact of microbial activity on biogeochemical cycles under pressures characteristic of the deep subsurface. We evaluate the possibility that pressure can be a limiting parameter for life at depth. Finally, we discuss the open questions and knowledge gaps that exist in the field of high-pressure geomicrobiology. \u00a9 2013 Elsevier B.V.. All rights reserved.", "author" : [ { "dropping-particle" : "", "family" : "Picard", "given" : "Aude", "non-dropping-particle" : "", "parse-names" : false, "suffix" : "" }, { "dropping-particle" : "", "family" : "Daniel", "given" : "Isabelle", "non-dropping-particle" : "", "parse-names" : false, "suffix" : "" } ], "container-title" : "Biophysical Chemistry", "id" : "ITEM-7", "issued" : { "date-parts" : [ [ "2013" ] ] }, "page" : "30-41", "publisher" : "Elsevier B.V.", "title" : "Pressure as an environmental parameter for microbial life - A review", "type" : "article-journal", "volume" : "183" }, "uris" : [ "http://www.mendeley.com/documents/?uuid=dc872a99-daa6-4129-8401-7f7029a891f8" ] }, { "id" : "ITEM-8", "itemData" : { "DOI" : "10.5488/CMP.19.22801", "ISSN" : "22249079", "author" : [ { "dropping-particle" : "", "family" : "Huang", "given" : "Q.", "non-dropping-particle" : "", "parse-names" : false, "suffix" : "" }, { "dropping-particle" : "", "family" : "Tran", "given" : "K. N.", "non-dropping-particle" : "", "parse-names" : false, "suffix" : "" }, { "dropping-particle" : "", "family" : "Rodgers", "given" : "J. M.", "non-dropping-particle" : "", "parse-names" : false, "suffix" : "" }, { "dropping-particle" : "", "family" : "Bartlett", "given" : "D. H.", "non-dropping-particle" : "", "parse-names" : false, "suffix" : "" }, { "dropping-particle" : "", "family" : "Hemley", "given" : "R. J.", "non-dropping-particle" : "", "parse-names" : false, "suffix" : "" }, { "dropping-particle" : "", "family" : "Ichiye", "given" : "T.", "non-dropping-particle" : "", "parse-names" : false, "suffix" : "" } ], "container-title" : "Condensed Matter Physics", "id" : "ITEM-8", "issue" : "2", "issued" : { "date-parts" : [ [ "2016" ] ] }, "page" : "1-16", "title" : "A molecular perspective on the limits of life: Enzymes under pressure", "type" : "article-journal", "volume" : "19" }, "uris" : [ "http://www.mendeley.com/documents/?uuid=2bff7ba0-e8a8-4532-9a6f-37febd7613c1" ] } ], "mendeley" : { "formattedCitation" : "&lt;sup&gt;[10\u201317]&lt;/sup&gt;", "plainTextFormattedCitation" : "[10\u201317]", "previouslyFormattedCitation" : "&lt;sup&gt;[10\u201317]&lt;/sup&gt;" }, "properties" : { "noteIndex" : 0 }, "schema" : "https://github.com/citation-style-language/schema/raw/master/csl-citation.json" }</w:instrText>
      </w:r>
      <w:r w:rsidR="00EA544C">
        <w:fldChar w:fldCharType="separate"/>
      </w:r>
      <w:r w:rsidR="002C1133" w:rsidRPr="002C1133">
        <w:rPr>
          <w:noProof/>
          <w:vertAlign w:val="superscript"/>
        </w:rPr>
        <w:t>[10–17]</w:t>
      </w:r>
      <w:r w:rsidR="00EA544C">
        <w:fldChar w:fldCharType="end"/>
      </w:r>
      <w:r w:rsidR="007D213A">
        <w:t xml:space="preserve"> </w:t>
      </w:r>
      <w:r>
        <w:t xml:space="preserve">An even smaller subset </w:t>
      </w:r>
      <w:r w:rsidR="002828E5">
        <w:t>of studies have</w:t>
      </w:r>
      <w:r w:rsidR="00512E8D">
        <w:t xml:space="preserve"> </w:t>
      </w:r>
      <w:r w:rsidR="002828E5">
        <w:t>investigat</w:t>
      </w:r>
      <w:r w:rsidR="005B2141">
        <w:t xml:space="preserve">ed </w:t>
      </w:r>
      <w:r w:rsidR="002830AD">
        <w:t xml:space="preserve">the role of osmolytes on </w:t>
      </w:r>
      <w:r w:rsidR="00055618">
        <w:t>pressur</w:t>
      </w:r>
      <w:r w:rsidR="002830AD">
        <w:t xml:space="preserve">e </w:t>
      </w:r>
      <w:r w:rsidR="00EA365B">
        <w:t>denaturation</w:t>
      </w:r>
      <w:r w:rsidR="00EA544C">
        <w:t>.</w:t>
      </w:r>
      <w:r w:rsidR="00EA544C">
        <w:fldChar w:fldCharType="begin" w:fldLock="1"/>
      </w:r>
      <w:r w:rsidR="001F67E6">
        <w:instrText>ADDIN CSL_CITATION { "citationItems" : [ { "id" : "ITEM-1", "itemData" : { "DOI" : "10.1021/bi982825f", "ISBN" : "0006-2960 (Print)\\r0006-2960 (Linking)", "ISSN" : "00062960", "PMID" : "10350469", "abstract" : "We examined the temperature- and pressure-induced unfolding and aggregation of beta-lactoglobulin (beta-Lg) and its genetic variants A and B up to temperatures of 90 degrees C in the pressure range from 1 bar to 10 kbar. To achieve information simultaneously on the secondary, tertiary, and quaternary structures, we have applied Synchrotron small-angle X-ray diffraction and Fourier transform infrared spectroscopy. Upon heating a beta-Lg solution at pH 7.0, the radius of gyration Rg first decreases, indicating a partial dissociation of the dimer into the monomers, the secondary structures remaining essentially unchanged. Above 50 degrees C, the infrared spectroscopy data reveal a decrease in intramolecular beta-sheet and alpha-helical structures, whereas the contribution of disordered structures increases. Within the temperature range from 50 to 60 degrees C, the appearance of the pair distance distribution function is not altered significantly, whereas the amount of defined secondary structures declines approximately by 10%. Above 60 degrees C the aggregation process of 1% beta-Lg solutions is clearly detectable by the increase in Rg and intermolecular beta-sheet content. The irreversible aggregation is due to intermolecular S-H/S-S interchange reactions and hydrophobic interactions. Upon pressurization at room temperature, the equilibrium between monomers and dimers is also shifted and dissociation of dimers is induced. At pressures of approximately 1300 bar, the amount of beta-sheet and alpha-helical structures decreases and the content of disordered structures increases, indicating the beginning unfolding of the protein which enables aggregation. Contrary to the thermal denaturation process, intermolecular beta-sheet formation is of less importance in pressure-induced protein aggregation and gelation. The spatial extent of the resulting protein clusters is time- and concentration-dependent. The aggregation of a 1% (w/w) solution of A, B, and the mixture AB results in the formation of at least octameric units as can be deduced from the radius of gyration of about 36 A. No differences in the pressure stability of the different genetic variants of beta-Lg are detectable in our FT-IR and SAXS experiments. Even application of higher pressures (up to 10 kbar) does not result in complete unfolding of all beta-Lg variants.", "author" : [ { "dropping-particle" : "", "family" : "Panick", "given" : "Gunda", "non-dropping-particle" : "", "parse-names" : false, "suffix" : "" }, { "dropping-particle" : "", "family" : "Malessa", "given" : "Ralf", "non-dropping-particle" : "", "parse-names" : false, "suffix" : "" }, { "dropping-particle" : "", "family" : "Winter", "given" : "Roland", "non-dropping-particle" : "", "parse-names" : false, "suffix" : "" } ], "container-title" : "Biochemistry", "id" : "ITEM-1", "issue" : "20", "issued" : { "date-parts" : [ [ "1999" ] ] }, "page" : "6512-6519", "title" : "Differences between the pressure- and temperature-induced denaturation and aggregation of \u03b2-lactoglobulin A, B, and AB monitored by FT-IR spectroscopy and small-angle X-ray scattering", "type" : "article-journal", "volume" : "38" }, "uris" : [ "http://www.mendeley.com/documents/?uuid=990b6c36-af97-4be5-9551-8f1033e5df08" ] }, { "id" : "ITEM-2", "itemData" : { "abstract" :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no aggregation occurs. With corresponding measurements of the pressure-induced denaturation of ubiquitin at different temperatures, a p/T?stability diagram of ubiquitin could be obtained. Furthermore, kinetic FT-IR measurements were carried out using the pressure-jump relaxation technique. The denaturation process is shown to occur on a time scale which is about twice as long as that of the renaturation process, and both processes are much slower than the unfolding?refolding kinetics observed at ambient pressure.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\u2026", "author" : [ { "dropping-particle" : "", "family" : "Herberhold", "given" : "Heinz", "non-dropping-particle" : "", "parse-names" : false, "suffix" : "" }, { "dropping-particle" : "", "family" : "Winter", "given" : "Roland", "non-dropping-particle" : "", "parse-names" : false, "suffix" : "" } ], "container-title" : "Biochemistry", "id" : "ITEM-2", "issue" : "7", "issued" : { "date-parts" : [ [ "2002", "2", "19" ] ] }, "page" : "2396-2401", "title" : "Temperature- and pressure-induced unfolding and refolding of ubiquitin: A static and kinetic fourier transform infrared spectroscopy study", "type" : "article-journal", "volume" : "41" }, "uris" : [ "http://www.mendeley.com/documents/?uuid=cb112213-f679-4eb2-b160-92f48a78bf90" ] }, { "id" : "ITEM-3", "itemData" : { "DOI" : "10.1002/anie.201104380", "ISSN" : "14337851", "PMID" : "22113799", "author" : [ { "dropping-particle" : "", "family" : "Schroer", "given" : "Martin A.", "non-dropping-particle" : "", "parse-names" : false, "suffix" : "" }, { "dropping-particle" : "", "family" : "Zhai", "given" : "Yong", "non-dropping-particle" : "", "parse-names" : false, "suffix" : "" }, { "dropping-particle" : "", "family" : "Wieland", "given" : "D. C Florian", "non-dropping-particle" : "", "parse-names" : false, "suffix" : "" }, { "dropping-particle" : "", "family" : "Sahle", "given" : "Christoph J.", "non-dropping-particle" : "", "parse-names" : false, "suffix" : "" }, { "dropping-particle" : "", "family" : "Nase", "given" : "Julia", "non-dropping-particle" : "", "parse-names" : false, "suffix" : "" }, { "dropping-particle" : "", "family" : "Paulus", "given" : "Michael", "non-dropping-particle" : "", "parse-names" : false, "suffix" : "" }, { "dropping-particle" : "", "family" : "Tolan", "given" : "Metin", "non-dropping-particle" : "", "parse-names" : false, "suffix" : "" }, { "dropping-particle" : "", "family" : "Winter", "given" : "Roland", "non-dropping-particle" : "", "parse-names" : false, "suffix" : "" } ], "container-title" : "Angewandte Chemie International Edition", "id" : "ITEM-3", "issue" : "48", "issued" : { "date-parts" : [ [ "2011" ] ] }, "page" : "11413-11416", "title" : "Exploring the piezophilic behavior of natural cosolvent mixtures", "type" : "article-journal", "volume" : "50" }, "uris" : [ "http://www.mendeley.com/documents/?uuid=3286f240-7072-4c20-9489-e273ed62453a" ] }, { "id" : "ITEM-4", "itemData" : { "DOI" : "10.1002/cphc.200800522", "ISBN" : "1439-7641 (Electronic)\\r1439-4235 (Linking)", "ISSN" : "14394235", "PMID" : "18924198", "abstract" : "Herein, we explore the effect of different types of osmolytes on the high-pressure stability and tertiary structure of a well-characterized monomeric protein, staphylococcal nuclease (SNase). Changes in the denaturation pressure and the radius of gyration are obtained in the presence of different concentrations of trimethylamine N-oxide (TMAO), glycerol and urea. To reveal structural changes in the protein upon compression at various osmolyte conditions, small-angle X-ray scattering (SAXS) experiments were carried out. To this end, a new high-pressure cell suitable for high-precision SAXS studies at synchrotron sources was built, which allows one to carry out scattering experiments up to maximum pressures of about 7 kbar. Our data clearly indicate that the osmolytes that stabilize proteins against temperature-induced unfolding drastically increase their pressure stability and that the elliptically shaped curve of the pressure-temperature-stability diagram of proteins is shifted to higher temperatures and pressures with increasing osmolyte concentration. A drastic stabilization is observed for the osmolyte TMAO, which exhibits not only a significant stabilization against temperature-induced unfolding, but also a particularly strong stabilization of the protein against pressure. In fact, such findings are in accordance with in vivo studies (for example P. J. Yancey, J. Exp. Biol. 2005, 208, 2819-2830), where unusually high TMAO concentrations in some deep-sea animals were found. Conversely, chaotropic agents such as urea have a strong destabilizing effect on both the temperature and pressure stability of the protein. Our data also indicate that sufficiently high TMAO concentrations might be able to largely offset the destabilizing effect of urea. The different scenarios observed are discussed in the context of recent experimental and theoretical studies.", "author" : [ { "dropping-particle" : "", "family" : "Krywka", "given" : "Christina", "non-dropping-particle" : "", "parse-names" : false, "suffix" : "" }, { "dropping-particle" : "", "family" : "Sternemann", "given" : "Christian", "non-dropping-particle" : "", "parse-names" : false, "suffix" : "" }, { "dropping-particle" : "", "family" : "Paulus", "given" : "Michael", "non-dropping-particle" : "", "parse-names" : false, "suffix" : "" }, { "dropping-particle" : "", "family" : "Tolan", "given" : "Metin", "non-dropping-particle" : "", "parse-names" : false, "suffix" : "" }, { "dropping-particle" : "", "family" : "Royer", "given" : "Catherine", "non-dropping-particle" : "", "parse-names" : false, "suffix" : "" }, { "dropping-particle" : "", "family" : "Winter", "given" : "Roland", "non-dropping-particle" : "", "parse-names" : false, "suffix" : "" } ], "container-title" : "ChemPhysChem", "id" : "ITEM-4", "issue" : "18", "issued" : { "date-parts" : [ [ "2008" ] ] }, "page" : "2809-2815", "title" : "Effect of osmolytes on pressure-induced unfolding of proteins: A high-pressure SAXS study", "type" : "article-journal", "volume" : "9" }, "uris" : [ "http://www.mendeley.com/documents/?uuid=a56525ae-b586-4cd9-8a49-4266d933e554" ] }, { "id" : "ITEM-5", "itemData" : { "DOI" : "10.1002/cphc.201200767", "ISBN" : "1439-7641 (Electronic)\\r1439-4235 (Linking)", "ISSN" : "14394235", "PMID" : "23281099", "abstract" : "FT-IR spectroscopic and thermodynamic measurements were designed to explore the effect of a macromolecular crowder, dextran, on the temperature and pressure-dependent phase diagram of the protein Ribonuclease A (RNase A), and we compare the experimental data with approximate theoretical predictions based on configuration entropy. Exploring the crowding effect on the pressure-induced unfolding of proteins provides insight in protein stability and folding under cell-like dense conditions, since pressure is a fundamental thermodynamic variable linked to molecular volume. Moreover, these studies are of relevance for understanding protein stability in deep-sea organisms, which have to cope with pressures in the kbar range. We found that not only temperature-induced equilibrium unfolding of RNase A, but also unfolding induced by pressure is markedly prohibited in the crowded dextran solutions, suggesting that crowded environments such as those found intracellularly, will also oppress high-pressure protein unfolding. The FT-IR spectroscopic measurements revealed a marked increase in unfolding pressure of 2 kbar in the presence of 30 wt % dextran. Whereas the structural changes upon thermal unfolding of the protein are not significantly influenced in the presence of the crowding agent, through stabilization by dextran the pressure-unfolded state of the protein retains more ordered secondary structure elements, which seems to be a manifestation of the entropic destabilization of the unfolded state by crowding.", "author" : [ { "dropping-particle" : "", "family" : "Zhai", "given" : "Yong", "non-dropping-particle" : "", "parse-names" : false, "suffix" : "" }, { "dropping-particle" : "", "family" : "Winter", "given" : "Roland", "non-dropping-particle" : "", "parse-names" : false, "suffix" : "" } ], "container-title" : "ChemPhysChem", "id" : "ITEM-5", "issue" : "2", "issued" : { "date-parts" : [ [ "2013" ] ] }, "page" : "386-393", "title" : "Effect of molecular crowding on the temperature-pressure stability diagram of ribonuclease A", "type" : "article-journal", "volume" : "14" }, "uris" : [ "http://www.mendeley.com/documents/?uuid=ab3f447b-0f28-44a0-8d8c-4a6e9ea0d5c7" ] } ], "mendeley" : { "formattedCitation" : "&lt;sup&gt;[37\u201341]&lt;/sup&gt;", "plainTextFormattedCitation" : "[37\u201341]", "previouslyFormattedCitation" : "&lt;sup&gt;[37\u201341]&lt;/sup&gt;" }, "properties" : { "noteIndex" : 0 }, "schema" : "https://github.com/citation-style-language/schema/raw/master/csl-citation.json" }</w:instrText>
      </w:r>
      <w:r w:rsidR="00EA544C">
        <w:fldChar w:fldCharType="separate"/>
      </w:r>
      <w:r w:rsidR="002C1133" w:rsidRPr="002C1133">
        <w:rPr>
          <w:noProof/>
          <w:vertAlign w:val="superscript"/>
        </w:rPr>
        <w:t>[37–41]</w:t>
      </w:r>
      <w:r w:rsidR="00EA544C">
        <w:fldChar w:fldCharType="end"/>
      </w:r>
      <w:r w:rsidR="00EA544C">
        <w:t xml:space="preserve"> </w:t>
      </w:r>
      <w:r w:rsidR="005B2141">
        <w:t>They</w:t>
      </w:r>
      <w:r w:rsidR="002830AD">
        <w:t xml:space="preserve"> </w:t>
      </w:r>
      <w:r w:rsidR="00EA365B">
        <w:t xml:space="preserve">have </w:t>
      </w:r>
      <w:r w:rsidR="002830AD">
        <w:t xml:space="preserve">nevertheless </w:t>
      </w:r>
      <w:r w:rsidR="00EA365B">
        <w:t xml:space="preserve">made it possible to </w:t>
      </w:r>
      <w:r w:rsidR="002830AD">
        <w:t>quantify</w:t>
      </w:r>
      <w:r w:rsidR="00055618">
        <w:t xml:space="preserve"> </w:t>
      </w:r>
      <w:r>
        <w:t xml:space="preserve">the </w:t>
      </w:r>
      <w:r w:rsidR="002830AD">
        <w:t xml:space="preserve">osmoprotection </w:t>
      </w:r>
      <w:r w:rsidR="005B2141">
        <w:t xml:space="preserve">capacity of osmolytes on proteins </w:t>
      </w:r>
      <w:r>
        <w:t xml:space="preserve">via the </w:t>
      </w:r>
      <w:r w:rsidR="00DB448B">
        <w:t xml:space="preserve">observed </w:t>
      </w:r>
      <w:r>
        <w:t xml:space="preserve">increase in </w:t>
      </w:r>
      <w:r w:rsidR="002830AD">
        <w:t xml:space="preserve">pressure </w:t>
      </w:r>
      <w:r>
        <w:t xml:space="preserve">required for denaturation </w:t>
      </w:r>
      <w:r w:rsidR="002828E5">
        <w:t>up</w:t>
      </w:r>
      <w:r>
        <w:t xml:space="preserve">on </w:t>
      </w:r>
      <w:r w:rsidR="002828E5">
        <w:t xml:space="preserve">the </w:t>
      </w:r>
      <w:r>
        <w:t>addition of different osmolytes</w:t>
      </w:r>
      <w:r w:rsidR="00947A3E">
        <w:t xml:space="preserve">. </w:t>
      </w:r>
    </w:p>
    <w:p w14:paraId="57379247" w14:textId="77777777" w:rsidR="00734970" w:rsidRDefault="00596703" w:rsidP="00650D6B">
      <w:pPr>
        <w:ind w:firstLine="720"/>
      </w:pPr>
      <w:r>
        <w:t xml:space="preserve">However, </w:t>
      </w:r>
      <w:r w:rsidR="00947A3E">
        <w:t>understand</w:t>
      </w:r>
      <w:r>
        <w:t>ing</w:t>
      </w:r>
      <w:r w:rsidR="00947A3E">
        <w:t xml:space="preserve"> </w:t>
      </w:r>
      <w:r w:rsidR="004D050D">
        <w:t xml:space="preserve">why osmolytes can increase </w:t>
      </w:r>
      <w:r w:rsidR="0053411E">
        <w:t xml:space="preserve">the </w:t>
      </w:r>
      <w:r w:rsidR="00947A3E">
        <w:t>denaturation pressure</w:t>
      </w:r>
      <w:r w:rsidRPr="00596703">
        <w:t xml:space="preserve"> </w:t>
      </w:r>
      <w:r>
        <w:t xml:space="preserve">on a molecular scale still remains unanswered. </w:t>
      </w:r>
      <w:r w:rsidR="0053411E">
        <w:t xml:space="preserve">To answer this question, </w:t>
      </w:r>
      <w:r>
        <w:t>w</w:t>
      </w:r>
      <w:r w:rsidR="004D050D">
        <w:t xml:space="preserve">e </w:t>
      </w:r>
      <w:r w:rsidR="00DB448B">
        <w:t>show in this study</w:t>
      </w:r>
      <w:r w:rsidR="0053411E">
        <w:t>:</w:t>
      </w:r>
      <w:r>
        <w:t xml:space="preserve"> </w:t>
      </w:r>
    </w:p>
    <w:p w14:paraId="09F39738" w14:textId="77777777" w:rsidR="00734970" w:rsidRPr="00734970" w:rsidRDefault="00734970" w:rsidP="00734970">
      <w:pPr>
        <w:pStyle w:val="ListParagraph"/>
        <w:numPr>
          <w:ilvl w:val="0"/>
          <w:numId w:val="7"/>
        </w:numPr>
        <w:rPr>
          <w:rFonts w:eastAsiaTheme="minorEastAsia"/>
          <w:lang w:eastAsia="ja-JP"/>
        </w:rPr>
      </w:pPr>
      <w:r>
        <w:t xml:space="preserve">how to </w:t>
      </w:r>
      <w:r w:rsidR="0053411E">
        <w:t xml:space="preserve">quantitatively characterize </w:t>
      </w:r>
      <w:r w:rsidR="004D050D">
        <w:t>the protein-water an</w:t>
      </w:r>
      <w:r>
        <w:t xml:space="preserve">d protein-osmolyte interactions </w:t>
      </w:r>
      <w:r w:rsidR="0053411E">
        <w:t xml:space="preserve">using data </w:t>
      </w:r>
      <w:r w:rsidR="004D050D">
        <w:t>from</w:t>
      </w:r>
      <w:r w:rsidR="00DB448B">
        <w:t xml:space="preserve"> high pressure experiments.</w:t>
      </w:r>
    </w:p>
    <w:p w14:paraId="60FD089F" w14:textId="77777777" w:rsidR="00734970" w:rsidRPr="00734970" w:rsidRDefault="004D050D" w:rsidP="00734970">
      <w:pPr>
        <w:pStyle w:val="ListParagraph"/>
        <w:numPr>
          <w:ilvl w:val="0"/>
          <w:numId w:val="7"/>
        </w:numPr>
        <w:rPr>
          <w:rFonts w:eastAsiaTheme="minorEastAsia"/>
          <w:lang w:eastAsia="ja-JP"/>
        </w:rPr>
      </w:pPr>
      <w:r>
        <w:t>how the competition between the</w:t>
      </w:r>
      <w:r w:rsidR="0053411E">
        <w:t>se</w:t>
      </w:r>
      <w:r>
        <w:t xml:space="preserve"> two </w:t>
      </w:r>
      <w:r w:rsidR="0053411E">
        <w:t xml:space="preserve">types of interactions </w:t>
      </w:r>
      <w:r>
        <w:t>can explain the osmoprotection capacity of</w:t>
      </w:r>
      <w:r w:rsidR="00734970">
        <w:t xml:space="preserve"> a osmolyte.</w:t>
      </w:r>
    </w:p>
    <w:p w14:paraId="6640AE53" w14:textId="4F757F1E" w:rsidR="00B451AD" w:rsidRPr="00650D6B" w:rsidRDefault="00DB448B">
      <w:pPr>
        <w:rPr>
          <w:rFonts w:eastAsiaTheme="minorEastAsia"/>
          <w:lang w:eastAsia="ja-JP"/>
        </w:rPr>
      </w:pPr>
      <w:r w:rsidRPr="00DC174E">
        <w:t>This is achieved by employing a</w:t>
      </w:r>
      <w:r w:rsidR="00C94D83" w:rsidRPr="00DC174E">
        <w:t xml:space="preserve"> first principles of statistical thermodynamics </w:t>
      </w:r>
      <w:r w:rsidRPr="00DC174E">
        <w:t xml:space="preserve">approach, </w:t>
      </w:r>
      <w:r w:rsidR="00C94D83" w:rsidRPr="00DC174E">
        <w:t>which is responsible for bridging the microscop</w:t>
      </w:r>
      <w:r w:rsidRPr="00DC174E">
        <w:t>ic and the macroscopic worlds, to establish a</w:t>
      </w:r>
      <w:r w:rsidR="00734970" w:rsidRPr="00DC174E">
        <w:t xml:space="preserve"> l</w:t>
      </w:r>
      <w:r w:rsidR="004D050D" w:rsidRPr="00DC174E">
        <w:t xml:space="preserve">ink between </w:t>
      </w:r>
      <w:r w:rsidRPr="00DC174E">
        <w:t xml:space="preserve">the </w:t>
      </w:r>
      <w:r w:rsidR="004D050D" w:rsidRPr="00DC174E">
        <w:t>experim</w:t>
      </w:r>
      <w:r w:rsidRPr="00DC174E">
        <w:t xml:space="preserve">ental </w:t>
      </w:r>
      <w:r w:rsidR="003A6C89">
        <w:t xml:space="preserve">thermodynamic </w:t>
      </w:r>
      <w:r w:rsidRPr="00DC174E">
        <w:t>data</w:t>
      </w:r>
      <w:r w:rsidR="00C94D83" w:rsidRPr="00DC174E">
        <w:t xml:space="preserve"> and the mol</w:t>
      </w:r>
      <w:r w:rsidRPr="00DC174E">
        <w:t>ecular distributions present at the atomic level</w:t>
      </w:r>
      <w:r w:rsidR="00C94D83" w:rsidRPr="00DC174E">
        <w:t>.</w:t>
      </w:r>
      <w:r w:rsidR="00EA544C" w:rsidRPr="00DC174E">
        <w:fldChar w:fldCharType="begin" w:fldLock="1"/>
      </w:r>
      <w:r w:rsidR="00AE0793">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"10.1021/jp0474879", "abstract" : "A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urea, guanidinium chloride, sodium chloride and 2,2,2,-trifluoroethanol. It is suggested that a determination of the simulated preferential interaction of a cosolvent with the native state of a protein under denaturing conditions provides the simplest test of available force fields, as it avoids simulations of the denatured state which are typically inaccessible with current computer power.\\nA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ur\u2026", "author" : [ { "dropping-particle" : "", "family" : "Smith", "given" : "Paul E.", "non-dropping-particle" : "", "parse-names" : false, "suffix" : "" } ], "container-title" : "Journal of Physical Chemistry B", "id" : "ITEM-2", "issue" : "48", "issued" : { "date-parts" : [ [ "2004", "12", "2" ] ] }, "page" : "18716-18724", "title" : "Cosolvent interactions with biomolecules: Relating computer simulation data to experimental thermodynamic data", "type" : "article-journal", "volume" : "108" }, "uris" : [ "http://www.mendeley.com/documents/?uuid=16db6586-5e10-48af-820c-5339cad79c8b" ] }, { "id" : "ITEM-3", "itemData" : { "abstract" : "A simple model for describing the effects of cosolvents on biomolecular equilibria in solution is presented. The model is developed using the Kirkwood-Buff theory of solutions and relates changes in the chemical potential of the cosolvent, due to the presence of the solute, to changes in the cosolvent (and water) concentrations in the vicinity of the biomolecule. The model is then used to determine the dependence of changes in the free energy for protein denaturation on cosolvent concentration. The experimentally observed linearity for urea, and small deviation from linear behavior for guanidinium chloride denaturation, are reproduced. In addition, the model is also predicted to provide a good description of the helix-inducing effects of TFE solutions.\\n\\nTimes Cited: 0 Article English Cited References Count: 36 860nb", "author" : [ { "dropping-particle" : "", "family" : "Smith", "given" : "Paul E.", "non-dropping-particle" : "", "parse-names" : false, "suffix" : "" } ], "container-title" : "Journal of Physical Chemistry B", "id" : "ITEM-3", "issue" : "41", "issued" : { "date-parts" : [ [ "2004", "10", "14" ] ] }, "page" : "16271-16278", "title" : "Local chemical potential equalization model for cosolvent effects on biomolecular equilibria", "type" : "article-journal", "volume" : "108" }, "uris" : [ "http://www.mendeley.com/documents/?uuid=dc2e1109-13ff-4078-8070-7c9910fa6c5d" ] }, { "id" : "ITEM-4",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"ITEM-4", "issue" : "18", "issued" : { "date-parts" : [ [ "2004" ] ] }, "page" : "9147-9155", "title" : "The Kirkwood-Buff theory and the effect of cosolvents on biochemical reactions", "type" : "article-journal", "volume" : "121" }, "uris" : [ "http://www.mendeley.com/documents/?uuid=773d4c28-f2d5-421b-a5a5-0066df199fbe" ] }, { "id" : "ITEM-5", "itemData" : { "DOI" : "10.1021/jp056100e", "abstract" : "Equilibrium dialysis data has provided valuable information concerning the preferential interaction of a cosolvent with a biomolecule in aqueous solutions. Here, we formulate the experimental data in terms of Kirkwood-Buff (KB) theory, resulting in equations that provide a simple physical picture of the dialysis experiment and thereby the interaction of a cosolvent with a biomolecule. These results are then used to establish exact relationships between preferential interaction coefficients, defined in different ensembles and/or using different concentration scales, in terms of KB integrals. It is then argued that the molality based equilibrium dialysis data represent the situation most relevant to computer simulations performed in either open or closed systems.", "author" : [ { "dropping-particle" : "", "family" : "Smith", "given" : "Paul E.", "non-dropping-particle" : "", "parse-names" : false, "suffix" : "" } ], "container-title" : "Journal of Physical Chemistry B", "id" : "ITEM-5", "issue" : "6", "issued" : { "date-parts" : [ [ "2006", "2", "16" ] ] }, "page" : "2862-2868", "publisher" : "American Chemical Society", "title" : "Equilibrium dialysis data and the relationships between preferential interaction parameters for biological systems in terms of kirkwood-buff integrals", "type" : "article-journal", "volume" : "110" }, "uris" : [ "http://www.mendeley.com/documents/?uuid=30b5c5be-cfb2-403d-ae77-c99d607c11a2" ] }, { "id" : "ITEM-6", "itemData" : { "DOI" : "10.1529/biophysj.105.078790", "abstract" : "New expressions for chemical potential derivatives and preferential interaction parameters for ternary mixtures are derived for open, semiopen, and closed ensembles in terms of Kirkwood-Buff integrals, where all three components are present at finite concentrations. This is achieved using a simple approach that avoids the use of the general matrix formulation of Kirkwood-Buff theory. The resulting expressions provide a rigorous foundation for the analysis of experimental and simulation data. Using the results, a simple model is developed and used to investigate the possible effects of finite protein concentrations on the corresponding cosolvent dependent chemical potential and denaturation thermodynamics.", "author" : [ { "dropping-particle" : "", "family" : "Smith", "given" : "Paul E.", "non-dropping-particle" : "", "parse-names" : false, "suffix" : "" } ], "container-title" : "Biophysical Journal", "id" : "ITEM-6", "issue" : "3", "issued" : { "date-parts" : [ [ "2006" ] ] }, "page" : "849-856", "title" : "Chemical Potential Derivatives and Preferential Interaction Parameters in Biological Systems from Kirkwood-Buff Theory", "type" : "article-journal", "volume" : "91" }, "uris" : [ "http://www.mendeley.com/documents/?uuid=541ab070-ef7f-443a-8357-2ca63184559d" ] }, { "id" : "ITEM-7",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"ITEM-7", "issue" : "23", "issued" : { "date-parts" : [ [ "2006" ] ] }, "page" : "234905", "title" : "The Hofmeister series and protein-salt interactions", "type" : "article-journal", "volume" : "124" }, "uris" : [ "http://www.mendeley.com/documents/?uuid=0a70a1b5-2739-4d43-a695-db256c211fdf" ] }, { "id" : "ITEM-8", "itemData" : { "abstract" : "The effect of cosolvents on biomolecular equilibria has traditionally been rationalized using simple binding models. More recently, a renewed interest in the use of Kirkwood-Buff (KB) theory to analyze solution mixtures has provided new information on the effects of osmolytes and denaturants and their interactions with biomolecules. Here we review the status of KB theory as applied to biological systems. In particular, the existing models of denaturation are analyzed in terms of KB theory, and the use of KB theory to interpret computer simulation data for these systems is discussed.", "author" : [ { "dropping-particle" : "", "family" : "Pierce", "given" : "Veronica", "non-dropping-particle" : "", "parse-names" : false, "suffix" : "" }, { "dropping-particle" : "", "family" : "Kang", "given" : "Myungshim", "non-dropping-particle" : "", "parse-names" : false, "suffix" : "" }, { "dropping-particle" : "", "family" : "Aburi", "given" : "Mahalaxmi", "non-dropping-particle" : "", "parse-names" : false, "suffix" : "" }, { "dropping-particle" : "", "family" : "Weerasinghe", "given" : "Samantha", "non-dropping-particle" : "", "parse-names" : false, "suffix" : "" }, { "dropping-particle" : "", "family" : "Smith", "given" : "Paul E.", "non-dropping-particle" : "", "parse-names" : false, "suffix" : "" } ], "container-title" : "Cell Biochemistry and Biophysics", "id" : "ITEM-8", "issue" : "1", "issued" : { "date-parts" : [ [ "2008", "1" ] ] }, "page" : "1-22", "title" : "Recent applications of Kirkwood-Buff theory to biological systems", "type" : "article", "volume" : "50" }, "uris" : [ "http://www.mendeley.com/documents/?uuid=aa149a7f-d08e-4339-a421-d51cf9a0ed4e" ] }, { "id" : "ITEM-9",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"ITEM-9", "issue" : "14", "issued" : { "date-parts" : [ [ "2014" ] ] }, "page" : "3922-3930", "title" : "Preferential solvation: Dividing surface vs excess numbers", "type" : "article-journal", "volume" : "118" }, "uris" : [ "http://www.mendeley.com/documents/?uuid=896fec6b-354e-41cd-a8de-55bd371a22f5" ] }, { "id" : "ITEM-10",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"ITEM-10",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"&lt;sup&gt;[42\u201351]&lt;/sup&gt;", "plainTextFormattedCitation" : "[42\u201351]", "previouslyFormattedCitation" : "&lt;sup&gt;[42\u201351]&lt;/sup&gt;" }, "properties" : { "noteIndex" : 0 }, "schema" : "https://github.com/citation-style-language/schema/raw/master/csl-citation.json" }</w:instrText>
      </w:r>
      <w:r w:rsidR="00EA544C" w:rsidRPr="00DC174E">
        <w:fldChar w:fldCharType="separate"/>
      </w:r>
      <w:r w:rsidR="002C1133" w:rsidRPr="002C1133">
        <w:rPr>
          <w:noProof/>
          <w:vertAlign w:val="superscript"/>
        </w:rPr>
        <w:t>[42–51]</w:t>
      </w:r>
      <w:r w:rsidR="00EA544C" w:rsidRPr="00DC174E">
        <w:fldChar w:fldCharType="end"/>
      </w:r>
      <w:r w:rsidR="00BF547A">
        <w:t xml:space="preserve"> </w:t>
      </w:r>
    </w:p>
    <w:p w14:paraId="5A6C9BF0" w14:textId="77777777" w:rsidR="00F967E8" w:rsidRPr="00F967E8" w:rsidRDefault="00F967E8">
      <w:pPr>
        <w:rPr>
          <w:b/>
        </w:rPr>
      </w:pPr>
      <w:r>
        <w:rPr>
          <w:b/>
        </w:rPr>
        <w:t xml:space="preserve">2. </w:t>
      </w:r>
      <w:r w:rsidR="001B1D17">
        <w:rPr>
          <w:b/>
        </w:rPr>
        <w:t>Molecular thermodynamics clarifies</w:t>
      </w:r>
      <w:r>
        <w:rPr>
          <w:b/>
        </w:rPr>
        <w:t xml:space="preserve"> how osmolytes protect enzymes from denaturation</w:t>
      </w:r>
    </w:p>
    <w:p w14:paraId="13A734B6" w14:textId="77777777" w:rsidR="00A872D5" w:rsidRPr="00A872D5" w:rsidRDefault="007879D2" w:rsidP="00AE0A36">
      <w:pPr>
        <w:rPr>
          <w:b/>
        </w:rPr>
      </w:pPr>
      <w:r>
        <w:rPr>
          <w:b/>
        </w:rPr>
        <w:t xml:space="preserve">2.1. Thermodynamics and </w:t>
      </w:r>
      <w:r w:rsidR="002F285D">
        <w:rPr>
          <w:b/>
        </w:rPr>
        <w:t>o</w:t>
      </w:r>
      <w:r>
        <w:rPr>
          <w:b/>
        </w:rPr>
        <w:t xml:space="preserve">smoprotection </w:t>
      </w:r>
      <w:r w:rsidR="002F285D">
        <w:rPr>
          <w:b/>
        </w:rPr>
        <w:t>capacity</w:t>
      </w:r>
      <w:r>
        <w:rPr>
          <w:b/>
        </w:rPr>
        <w:t xml:space="preserve"> </w:t>
      </w:r>
    </w:p>
    <w:p w14:paraId="109DDA86" w14:textId="77777777" w:rsidR="008E7186" w:rsidRDefault="00EA15CE" w:rsidP="00DA5AD7">
      <w:pPr>
        <w:rPr>
          <w:rFonts w:eastAsiaTheme="minorEastAsia"/>
        </w:rPr>
      </w:pPr>
      <w:r>
        <w:t xml:space="preserve">Let us consider </w:t>
      </w:r>
      <w:r w:rsidR="001D0BD8">
        <w:t>a protein molecule</w:t>
      </w:r>
      <w:r w:rsidR="00F967E8">
        <w:t xml:space="preserve"> (denoted as </w:t>
      </w:r>
      <m:oMath>
        <m:r>
          <w:rPr>
            <w:rFonts w:ascii="Cambria Math" w:hAnsi="Cambria Math"/>
          </w:rPr>
          <m:t>B</m:t>
        </m:r>
      </m:oMath>
      <w:r w:rsidR="00BB7253">
        <w:rPr>
          <w:rFonts w:eastAsiaTheme="minorEastAsia"/>
        </w:rPr>
        <w:t xml:space="preserve"> for biomolecule</w:t>
      </w:r>
      <w:r w:rsidR="001D0BD8">
        <w:rPr>
          <w:rFonts w:eastAsiaTheme="minorEastAsia"/>
        </w:rPr>
        <w:t>)</w:t>
      </w:r>
      <w:r w:rsidR="00F967E8">
        <w:rPr>
          <w:rFonts w:eastAsiaTheme="minorEastAsia"/>
        </w:rPr>
        <w:t xml:space="preserve"> </w:t>
      </w:r>
      <w:r w:rsidR="001D0BD8">
        <w:rPr>
          <w:rFonts w:eastAsiaTheme="minorEastAsia"/>
        </w:rPr>
        <w:t xml:space="preserve">in a solution </w:t>
      </w:r>
      <w:r w:rsidR="00F967E8">
        <w:rPr>
          <w:rFonts w:eastAsiaTheme="minorEastAsia"/>
        </w:rPr>
        <w:t>mixture consisting of water (</w:t>
      </w:r>
      <m:oMath>
        <m:r>
          <w:rPr>
            <w:rFonts w:ascii="Cambria Math" w:eastAsiaTheme="minorEastAsia" w:hAnsi="Cambria Math"/>
          </w:rPr>
          <m:t>W</m:t>
        </m:r>
      </m:oMath>
      <w:r w:rsidR="00F967E8">
        <w:rPr>
          <w:rFonts w:eastAsiaTheme="minorEastAsia"/>
        </w:rPr>
        <w:t xml:space="preserve">) and osmolyte </w:t>
      </w:r>
      <w:r w:rsidR="00570D90" w:rsidRPr="002C2FF2">
        <w:rPr>
          <w:rFonts w:eastAsiaTheme="minorEastAsia"/>
        </w:rPr>
        <w:t xml:space="preserve">(denoted as </w:t>
      </w:r>
      <m:oMath>
        <m:r>
          <w:rPr>
            <w:rFonts w:ascii="Cambria Math" w:eastAsiaTheme="minorEastAsia" w:hAnsi="Cambria Math"/>
          </w:rPr>
          <m:t>C</m:t>
        </m:r>
      </m:oMath>
      <w:r w:rsidR="00F967E8" w:rsidRPr="002C2FF2">
        <w:rPr>
          <w:rFonts w:eastAsiaTheme="minorEastAsia"/>
        </w:rPr>
        <w:t xml:space="preserve"> </w:t>
      </w:r>
      <w:r w:rsidR="00570D90" w:rsidRPr="002C2FF2">
        <w:rPr>
          <w:rFonts w:eastAsiaTheme="minorEastAsia"/>
        </w:rPr>
        <w:t xml:space="preserve">for </w:t>
      </w:r>
      <w:r w:rsidR="002C2FF2">
        <w:rPr>
          <w:rFonts w:eastAsiaTheme="minorEastAsia"/>
        </w:rPr>
        <w:t>a general cosolvent</w:t>
      </w:r>
      <w:r w:rsidR="00570D90" w:rsidRPr="002C2FF2">
        <w:rPr>
          <w:rFonts w:eastAsiaTheme="minorEastAsia"/>
        </w:rPr>
        <w:t>)</w:t>
      </w:r>
      <w:r w:rsidR="000A4353" w:rsidRPr="002C2FF2">
        <w:rPr>
          <w:rFonts w:eastAsiaTheme="minorEastAsia"/>
        </w:rPr>
        <w:t xml:space="preserve"> at a</w:t>
      </w:r>
      <w:r w:rsidR="000549CE" w:rsidRPr="002C2FF2">
        <w:rPr>
          <w:rFonts w:eastAsiaTheme="minorEastAsia"/>
        </w:rPr>
        <w:t xml:space="preserve"> temperature </w:t>
      </w:r>
      <m:oMath>
        <m:r>
          <w:rPr>
            <w:rFonts w:ascii="Cambria Math" w:eastAsiaTheme="minorEastAsia" w:hAnsi="Cambria Math"/>
          </w:rPr>
          <m:t>T</m:t>
        </m:r>
      </m:oMath>
      <w:r w:rsidRPr="002C2FF2">
        <w:rPr>
          <w:rFonts w:eastAsiaTheme="minorEastAsia"/>
        </w:rPr>
        <w:t xml:space="preserve"> which is </w:t>
      </w:r>
      <w:r w:rsidR="000549CE" w:rsidRPr="002C2FF2">
        <w:rPr>
          <w:rFonts w:eastAsiaTheme="minorEastAsia"/>
        </w:rPr>
        <w:t xml:space="preserve">kept constant throughout. </w:t>
      </w:r>
      <w:r w:rsidR="000A4353" w:rsidRPr="002C2FF2">
        <w:rPr>
          <w:rFonts w:eastAsiaTheme="minorEastAsia"/>
        </w:rPr>
        <w:t>The</w:t>
      </w:r>
      <w:r w:rsidR="001D0BD8" w:rsidRPr="002C2FF2">
        <w:rPr>
          <w:rFonts w:eastAsiaTheme="minorEastAsia"/>
        </w:rPr>
        <w:t xml:space="preserve"> protein</w:t>
      </w:r>
      <w:r w:rsidR="000A4353" w:rsidRPr="002C2FF2">
        <w:rPr>
          <w:rFonts w:eastAsiaTheme="minorEastAsia"/>
        </w:rPr>
        <w:t xml:space="preserve"> can adopt either</w:t>
      </w:r>
      <w:r w:rsidR="001D0BD8" w:rsidRPr="002C2FF2">
        <w:rPr>
          <w:rFonts w:eastAsiaTheme="minorEastAsia"/>
        </w:rPr>
        <w:t xml:space="preserve"> the native (</w:t>
      </w:r>
      <m:oMath>
        <m:r>
          <w:rPr>
            <w:rFonts w:ascii="Cambria Math" w:eastAsiaTheme="minorEastAsia" w:hAnsi="Cambria Math"/>
          </w:rPr>
          <m:t>n</m:t>
        </m:r>
      </m:oMath>
      <w:r w:rsidR="001D0BD8" w:rsidRPr="002C2FF2">
        <w:rPr>
          <w:rFonts w:eastAsiaTheme="minorEastAsia"/>
        </w:rPr>
        <w:t xml:space="preserve">) </w:t>
      </w:r>
      <w:r w:rsidR="000A4353" w:rsidRPr="002C2FF2">
        <w:rPr>
          <w:rFonts w:eastAsiaTheme="minorEastAsia"/>
        </w:rPr>
        <w:t>or</w:t>
      </w:r>
      <w:r w:rsidRPr="002C2FF2">
        <w:rPr>
          <w:rFonts w:eastAsiaTheme="minorEastAsia"/>
        </w:rPr>
        <w:t xml:space="preserve"> </w:t>
      </w:r>
      <w:r w:rsidR="001D0BD8" w:rsidRPr="002C2FF2">
        <w:rPr>
          <w:rFonts w:eastAsiaTheme="minorEastAsia"/>
        </w:rPr>
        <w:t>denatured (</w:t>
      </w:r>
      <m:oMath>
        <m:r>
          <w:rPr>
            <w:rFonts w:ascii="Cambria Math" w:eastAsiaTheme="minorEastAsia" w:hAnsi="Cambria Math"/>
          </w:rPr>
          <m:t>d</m:t>
        </m:r>
      </m:oMath>
      <w:r w:rsidR="000A4353" w:rsidRPr="002C2FF2">
        <w:rPr>
          <w:rFonts w:eastAsiaTheme="minorEastAsia"/>
        </w:rPr>
        <w:t>) state</w:t>
      </w:r>
      <w:r w:rsidR="001D0BD8" w:rsidRPr="002C2FF2">
        <w:rPr>
          <w:rFonts w:eastAsiaTheme="minorEastAsia"/>
        </w:rPr>
        <w:t xml:space="preserve">, </w:t>
      </w:r>
      <w:r w:rsidR="002847A6" w:rsidRPr="002C2FF2">
        <w:rPr>
          <w:rFonts w:eastAsiaTheme="minorEastAsia"/>
        </w:rPr>
        <w:t xml:space="preserve">whose </w:t>
      </w:r>
      <w:r w:rsidRPr="002C2FF2">
        <w:rPr>
          <w:rFonts w:eastAsiaTheme="minorEastAsia"/>
        </w:rPr>
        <w:t xml:space="preserve">respective </w:t>
      </w:r>
      <w:r w:rsidR="002847A6" w:rsidRPr="002C2FF2">
        <w:rPr>
          <w:rFonts w:eastAsiaTheme="minorEastAsia"/>
        </w:rPr>
        <w:t xml:space="preserve">molar concentrations are </w:t>
      </w:r>
      <m:oMath>
        <m:sSubSup>
          <m:sSubSupPr>
            <m:ctrlPr>
              <w:rPr>
                <w:rFonts w:ascii="Cambria Math" w:eastAsiaTheme="minorEastAsia" w:hAnsi="Cambria Math"/>
                <w:i/>
              </w:rPr>
            </m:ctrlPr>
          </m:sSubSupPr>
          <m:e>
            <m:r>
              <w:rPr>
                <w:rFonts w:ascii="Cambria Math" w:eastAsiaTheme="minorEastAsia" w:hAnsi="Cambria Math"/>
              </w:rPr>
              <m:t>ρ</m:t>
            </m:r>
          </m:e>
          <m:sub>
            <m:r>
              <w:rPr>
                <w:rFonts w:ascii="Cambria Math" w:eastAsiaTheme="minorEastAsia" w:hAnsi="Cambria Math"/>
              </w:rPr>
              <m:t>B</m:t>
            </m:r>
          </m:sub>
          <m:sup>
            <m:d>
              <m:dPr>
                <m:ctrlPr>
                  <w:rPr>
                    <w:rFonts w:ascii="Cambria Math" w:eastAsiaTheme="minorEastAsia" w:hAnsi="Cambria Math"/>
                    <w:i/>
                  </w:rPr>
                </m:ctrlPr>
              </m:dPr>
              <m:e>
                <m:r>
                  <w:rPr>
                    <w:rFonts w:ascii="Cambria Math" w:eastAsiaTheme="minorEastAsia" w:hAnsi="Cambria Math"/>
                  </w:rPr>
                  <m:t>d</m:t>
                </m:r>
              </m:e>
            </m:d>
          </m:sup>
        </m:sSubSup>
      </m:oMath>
      <w:r w:rsidR="002847A6" w:rsidRPr="002C2FF2">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ρ</m:t>
            </m:r>
          </m:e>
          <m:sub>
            <m:r>
              <w:rPr>
                <w:rFonts w:ascii="Cambria Math" w:eastAsiaTheme="minorEastAsia" w:hAnsi="Cambria Math"/>
              </w:rPr>
              <m:t>B</m:t>
            </m:r>
          </m:sub>
          <m:sup>
            <m:r>
              <w:rPr>
                <w:rFonts w:ascii="Cambria Math" w:eastAsiaTheme="minorEastAsia" w:hAnsi="Cambria Math"/>
              </w:rPr>
              <m:t>(n)</m:t>
            </m:r>
          </m:sup>
        </m:sSubSup>
      </m:oMath>
      <w:r w:rsidRPr="002C2FF2">
        <w:rPr>
          <w:rFonts w:eastAsiaTheme="minorEastAsia"/>
        </w:rPr>
        <w:t>. The equilibrium constant</w:t>
      </w:r>
      <w:r w:rsidR="002847A6" w:rsidRPr="002C2FF2">
        <w:rPr>
          <w:rFonts w:eastAsiaTheme="minorEastAsia"/>
        </w:rPr>
        <w:t xml:space="preserve"> </w:t>
      </w:r>
      <m:oMath>
        <m:r>
          <w:rPr>
            <w:rFonts w:ascii="Cambria Math" w:eastAsiaTheme="minorEastAsia" w:hAnsi="Cambria Math"/>
          </w:rPr>
          <m:t>K=</m:t>
        </m:r>
        <m:sSubSup>
          <m:sSubSupPr>
            <m:ctrlPr>
              <w:rPr>
                <w:rFonts w:ascii="Cambria Math" w:eastAsiaTheme="minorEastAsia" w:hAnsi="Cambria Math"/>
                <w:i/>
              </w:rPr>
            </m:ctrlPr>
          </m:sSubSupPr>
          <m:e>
            <m:r>
              <w:rPr>
                <w:rFonts w:ascii="Cambria Math" w:eastAsiaTheme="minorEastAsia" w:hAnsi="Cambria Math"/>
              </w:rPr>
              <m:t>ρ</m:t>
            </m:r>
          </m:e>
          <m:sub>
            <m:r>
              <w:rPr>
                <w:rFonts w:ascii="Cambria Math" w:eastAsiaTheme="minorEastAsia" w:hAnsi="Cambria Math"/>
              </w:rPr>
              <m:t>B</m:t>
            </m:r>
          </m:sub>
          <m:sup>
            <m:d>
              <m:dPr>
                <m:ctrlPr>
                  <w:rPr>
                    <w:rFonts w:ascii="Cambria Math" w:eastAsiaTheme="minorEastAsia" w:hAnsi="Cambria Math"/>
                    <w:i/>
                  </w:rPr>
                </m:ctrlPr>
              </m:dPr>
              <m:e>
                <m:r>
                  <w:rPr>
                    <w:rFonts w:ascii="Cambria Math" w:eastAsiaTheme="minorEastAsia" w:hAnsi="Cambria Math"/>
                  </w:rPr>
                  <m:t>d</m:t>
                </m:r>
              </m:e>
            </m:d>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ρ</m:t>
            </m:r>
          </m:e>
          <m:sub>
            <m:r>
              <w:rPr>
                <w:rFonts w:ascii="Cambria Math" w:eastAsiaTheme="minorEastAsia" w:hAnsi="Cambria Math"/>
              </w:rPr>
              <m:t>B</m:t>
            </m:r>
          </m:sub>
          <m:sup>
            <m:r>
              <w:rPr>
                <w:rFonts w:ascii="Cambria Math" w:eastAsiaTheme="minorEastAsia" w:hAnsi="Cambria Math"/>
              </w:rPr>
              <m:t>(n)</m:t>
            </m:r>
          </m:sup>
        </m:sSubSup>
      </m:oMath>
      <w:r w:rsidRPr="002C2FF2">
        <w:rPr>
          <w:rFonts w:eastAsiaTheme="minorEastAsia"/>
        </w:rPr>
        <w:t xml:space="preserve"> is defined for the denaturation process</w:t>
      </w:r>
      <w:r w:rsidR="0043708D" w:rsidRPr="002C2FF2">
        <w:rPr>
          <w:rFonts w:eastAsiaTheme="minorEastAsia"/>
        </w:rPr>
        <w:t xml:space="preserve"> </w:t>
      </w:r>
      <m:oMath>
        <m:r>
          <w:rPr>
            <w:rFonts w:ascii="Cambria Math" w:eastAsiaTheme="minorEastAsia" w:hAnsi="Cambria Math"/>
          </w:rPr>
          <m:t>n→d</m:t>
        </m:r>
      </m:oMath>
      <w:r w:rsidR="007879D2" w:rsidRPr="002C2FF2">
        <w:rPr>
          <w:rFonts w:eastAsiaTheme="minorEastAsia"/>
        </w:rPr>
        <w:t xml:space="preserve">, and is dependent on </w:t>
      </w:r>
      <w:r w:rsidR="000A4353" w:rsidRPr="002C2FF2">
        <w:rPr>
          <w:rFonts w:eastAsiaTheme="minorEastAsia"/>
        </w:rPr>
        <w:t xml:space="preserve">the </w:t>
      </w:r>
      <w:r w:rsidR="007879D2" w:rsidRPr="002C2FF2">
        <w:rPr>
          <w:rFonts w:eastAsiaTheme="minorEastAsia"/>
        </w:rPr>
        <w:t xml:space="preserve">pressure </w:t>
      </w:r>
      <m:oMath>
        <m:r>
          <w:rPr>
            <w:rFonts w:ascii="Cambria Math" w:eastAsiaTheme="minorEastAsia" w:hAnsi="Cambria Math"/>
          </w:rPr>
          <m:t>P</m:t>
        </m:r>
      </m:oMath>
      <w:r w:rsidR="00570D90" w:rsidRPr="002C2FF2">
        <w:rPr>
          <w:rFonts w:eastAsiaTheme="minorEastAsia"/>
        </w:rPr>
        <w:t xml:space="preserve"> and osmolyte concentration, </w:t>
      </w:r>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C</m:t>
            </m:r>
          </m:sub>
        </m:sSub>
      </m:oMath>
      <w:r w:rsidR="007879D2" w:rsidRPr="002C2FF2">
        <w:rPr>
          <w:rFonts w:eastAsiaTheme="minorEastAsia"/>
        </w:rPr>
        <w:t xml:space="preserve">. </w:t>
      </w:r>
      <w:r w:rsidR="007879D2" w:rsidRPr="00DC174E">
        <w:rPr>
          <w:rFonts w:eastAsiaTheme="minorEastAsia"/>
        </w:rPr>
        <w:t>The denatura</w:t>
      </w:r>
      <w:r w:rsidR="00DB448B" w:rsidRPr="00DC174E">
        <w:rPr>
          <w:rFonts w:eastAsiaTheme="minorEastAsia"/>
        </w:rPr>
        <w:t>tion pressure</w:t>
      </w:r>
      <w:r w:rsidR="007879D2" w:rsidRPr="00DC174E">
        <w:rPr>
          <w:rFonts w:eastAsiaTheme="minorEastAsia"/>
        </w:rPr>
        <w:t xml:space="preserve"> is </w:t>
      </w:r>
      <w:r w:rsidR="000A4353" w:rsidRPr="00DC174E">
        <w:rPr>
          <w:rFonts w:eastAsiaTheme="minorEastAsia"/>
        </w:rPr>
        <w:t xml:space="preserve">defined as </w:t>
      </w:r>
      <w:r w:rsidR="007879D2" w:rsidRPr="00DC174E">
        <w:rPr>
          <w:rFonts w:eastAsiaTheme="minorEastAsia"/>
        </w:rPr>
        <w:t>the pressure</w:t>
      </w:r>
      <w:r w:rsidR="00DB448B" w:rsidRPr="00DC174E">
        <w:rPr>
          <w:rFonts w:eastAsiaTheme="minorEastAsia"/>
        </w:rPr>
        <w:t xml:space="preserve"> required to reach </w:t>
      </w:r>
      <w:r w:rsidR="00DA5AD7" w:rsidRPr="00DC174E">
        <w:rPr>
          <w:rFonts w:eastAsiaTheme="minorEastAsia"/>
        </w:rPr>
        <w:t xml:space="preserve">the transition midpoint,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oMath>
      <w:r w:rsidR="00DA5AD7" w:rsidRPr="00DC174E">
        <w:rPr>
          <w:rFonts w:eastAsiaTheme="minorEastAsia"/>
        </w:rPr>
        <w:t>, for</w:t>
      </w:r>
      <w:r w:rsidR="007879D2" w:rsidRPr="00DC174E">
        <w:rPr>
          <w:rFonts w:eastAsiaTheme="minorEastAsia"/>
        </w:rPr>
        <w:t xml:space="preserve"> </w:t>
      </w:r>
      <w:r w:rsidR="00DB448B" w:rsidRPr="00DC174E">
        <w:rPr>
          <w:rFonts w:eastAsiaTheme="minorEastAsia"/>
        </w:rPr>
        <w:t xml:space="preserve">the </w:t>
      </w:r>
      <w:r w:rsidR="002F285D" w:rsidRPr="00DC174E">
        <w:rPr>
          <w:rFonts w:eastAsiaTheme="minorEastAsia"/>
        </w:rPr>
        <w:t>pressure denaturation</w:t>
      </w:r>
      <w:r w:rsidR="00DB448B" w:rsidRPr="00DC174E">
        <w:rPr>
          <w:rFonts w:eastAsiaTheme="minorEastAsia"/>
        </w:rPr>
        <w:t xml:space="preserve"> equilibrium</w:t>
      </w:r>
      <w:r w:rsidR="00DA5AD7" w:rsidRPr="00DC174E">
        <w:rPr>
          <w:rFonts w:eastAsiaTheme="minorEastAsia"/>
        </w:rPr>
        <w:t>, i.e.</w:t>
      </w:r>
      <w:r w:rsidR="000A4353" w:rsidRPr="00DC174E">
        <w:rPr>
          <w:rFonts w:eastAsiaTheme="minorEastAsia"/>
        </w:rPr>
        <w:t xml:space="preserve"> when</w:t>
      </w:r>
      <w:r w:rsidR="002F285D" w:rsidRPr="00DC174E">
        <w:rPr>
          <w:rFonts w:eastAsiaTheme="minorEastAsia"/>
        </w:rPr>
        <w:t xml:space="preserve"> </w:t>
      </w:r>
      <m:oMath>
        <m:r>
          <w:rPr>
            <w:rFonts w:ascii="Cambria Math" w:eastAsiaTheme="minorEastAsia" w:hAnsi="Cambria Math"/>
          </w:rPr>
          <m:t>K=1</m:t>
        </m:r>
      </m:oMath>
      <w:r w:rsidR="002F285D" w:rsidRPr="00DC174E">
        <w:rPr>
          <w:rFonts w:eastAsiaTheme="minorEastAsia"/>
        </w:rPr>
        <w:t xml:space="preserve">. </w:t>
      </w:r>
      <w:r w:rsidR="00B15C15" w:rsidRPr="00DC174E">
        <w:rPr>
          <w:rFonts w:eastAsiaTheme="minorEastAsia"/>
        </w:rPr>
        <w:t xml:space="preserve">Our goal, formulated thermodynamically, is </w:t>
      </w:r>
      <w:r w:rsidR="002F285D" w:rsidRPr="00DC174E">
        <w:rPr>
          <w:rFonts w:eastAsiaTheme="minorEastAsia"/>
        </w:rPr>
        <w:t>to understand the mechanism upon which</w:t>
      </w:r>
      <w:r w:rsidR="00B15C15" w:rsidRPr="00DC174E">
        <w:rPr>
          <w:rFonts w:eastAsiaTheme="minorEastAsia"/>
        </w:rPr>
        <w:t xml:space="preserve"> osmolyte</w:t>
      </w:r>
      <w:r w:rsidR="002F285D" w:rsidRPr="00DC174E">
        <w:rPr>
          <w:rFonts w:eastAsiaTheme="minorEastAsia"/>
        </w:rPr>
        <w:t>s</w:t>
      </w:r>
      <w:r w:rsidR="00B15C15" w:rsidRPr="00DC174E">
        <w:rPr>
          <w:rFonts w:eastAsiaTheme="minorEastAsia"/>
        </w:rPr>
        <w:t xml:space="preserve"> reduce </w:t>
      </w:r>
      <m:oMath>
        <m:r>
          <w:rPr>
            <w:rFonts w:ascii="Cambria Math" w:eastAsiaTheme="minorEastAsia" w:hAnsi="Cambria Math"/>
          </w:rPr>
          <m:t>K</m:t>
        </m:r>
      </m:oMath>
      <w:r w:rsidR="00DA5AD7" w:rsidRPr="00DC174E">
        <w:rPr>
          <w:rFonts w:eastAsiaTheme="minorEastAsia"/>
        </w:rPr>
        <w:t xml:space="preserve"> and thereby increase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oMath>
      <w:r w:rsidR="00DA5AD7" w:rsidRPr="00DC174E">
        <w:rPr>
          <w:rFonts w:eastAsiaTheme="minorEastAsia"/>
        </w:rPr>
        <w:t>.</w:t>
      </w:r>
    </w:p>
    <w:p w14:paraId="12D50732" w14:textId="77777777" w:rsidR="002A4EA5" w:rsidRDefault="00DD0C5A" w:rsidP="00496259">
      <w:pPr>
        <w:ind w:firstLine="720"/>
        <w:rPr>
          <w:rFonts w:eastAsiaTheme="minorEastAsia"/>
        </w:rPr>
      </w:pPr>
      <w:r>
        <w:rPr>
          <w:rFonts w:eastAsiaTheme="minorEastAsia"/>
        </w:rPr>
        <w:t xml:space="preserve">How effectively an osmolyte protects a </w:t>
      </w:r>
      <w:r w:rsidR="00E43BD4">
        <w:rPr>
          <w:rFonts w:eastAsiaTheme="minorEastAsia"/>
        </w:rPr>
        <w:t xml:space="preserve">protein from denaturation can be </w:t>
      </w:r>
      <w:r>
        <w:rPr>
          <w:rFonts w:eastAsiaTheme="minorEastAsia"/>
        </w:rPr>
        <w:t xml:space="preserve">quantified by </w:t>
      </w:r>
      <w:r w:rsidR="00E43BD4">
        <w:rPr>
          <w:rFonts w:eastAsiaTheme="minorEastAsia"/>
        </w:rPr>
        <w:t>the</w:t>
      </w:r>
      <w:r>
        <w:rPr>
          <w:rFonts w:eastAsiaTheme="minorEastAsia"/>
        </w:rPr>
        <w:t xml:space="preserve"> </w:t>
      </w:r>
      <w:r w:rsidR="000A4353">
        <w:rPr>
          <w:rFonts w:eastAsiaTheme="minorEastAsia"/>
        </w:rPr>
        <w:t>increase in</w:t>
      </w:r>
      <w:r w:rsidR="00E43BD4">
        <w:rPr>
          <w:rFonts w:eastAsiaTheme="minorEastAsia"/>
        </w:rPr>
        <w:t xml:space="preserve"> </w:t>
      </w:r>
      <w:r w:rsidR="002C2FF2">
        <w:rPr>
          <w:rFonts w:eastAsiaTheme="minorEastAsia"/>
        </w:rPr>
        <w:t xml:space="preserve">the required </w:t>
      </w:r>
      <w:r w:rsidR="008066BF">
        <w:rPr>
          <w:rFonts w:eastAsiaTheme="minorEastAsia"/>
        </w:rPr>
        <w:t xml:space="preserve">denaturation pressure </w:t>
      </w:r>
      <w:r w:rsidR="000A4353">
        <w:rPr>
          <w:rFonts w:eastAsiaTheme="minorEastAsia"/>
        </w:rPr>
        <w:t>in the presence of</w:t>
      </w:r>
      <w:r w:rsidR="00E43BD4">
        <w:rPr>
          <w:rFonts w:eastAsiaTheme="minorEastAsia"/>
        </w:rPr>
        <w:t xml:space="preserve"> the</w:t>
      </w:r>
      <w:r>
        <w:rPr>
          <w:rFonts w:eastAsiaTheme="minorEastAsia"/>
        </w:rPr>
        <w:t xml:space="preserve"> osmolyte</w:t>
      </w:r>
      <w:r w:rsidR="00E43BD4">
        <w:rPr>
          <w:rFonts w:eastAsiaTheme="minorEastAsia"/>
        </w:rPr>
        <w:t xml:space="preserve">. More precisely, the </w:t>
      </w:r>
      <w:r>
        <w:rPr>
          <w:rFonts w:eastAsiaTheme="minorEastAsia"/>
        </w:rPr>
        <w:t xml:space="preserve">increase of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oMath>
      <w:r>
        <w:rPr>
          <w:rFonts w:eastAsiaTheme="minorEastAsia"/>
        </w:rPr>
        <w:t xml:space="preserve"> per </w:t>
      </w:r>
      <w:r w:rsidR="000A4353">
        <w:rPr>
          <w:rFonts w:eastAsiaTheme="minorEastAsia"/>
        </w:rPr>
        <w:t xml:space="preserve">osmolyte’s molar concentration </w:t>
      </w:r>
      <w:r>
        <w:rPr>
          <w:rFonts w:eastAsiaTheme="minorEastAsia"/>
        </w:rPr>
        <w:t xml:space="preserve">yields a quantitative measure for osmoprotection. </w:t>
      </w:r>
      <w:r w:rsidR="00E43BD4">
        <w:rPr>
          <w:rFonts w:eastAsiaTheme="minorEastAsia"/>
        </w:rPr>
        <w:t>Hence</w:t>
      </w:r>
      <w:r w:rsidR="000A4353">
        <w:rPr>
          <w:rFonts w:eastAsiaTheme="minorEastAsia"/>
        </w:rPr>
        <w:t>,</w:t>
      </w:r>
      <w:r w:rsidR="00E43BD4">
        <w:rPr>
          <w:rFonts w:eastAsiaTheme="minorEastAsia"/>
        </w:rPr>
        <w:t xml:space="preserve"> we term </w:t>
      </w:r>
      <m:oMath>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C</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num>
          <m:den>
            <m: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C</m:t>
                </m:r>
              </m:sub>
            </m:sSub>
          </m:den>
        </m:f>
      </m:oMath>
      <w:r w:rsidR="00E43BD4">
        <w:rPr>
          <w:rFonts w:eastAsiaTheme="minorEastAsia"/>
        </w:rPr>
        <w:t xml:space="preserve">  the </w:t>
      </w:r>
      <w:r w:rsidRPr="00496259">
        <w:rPr>
          <w:rFonts w:eastAsiaTheme="minorEastAsia"/>
          <w:i/>
        </w:rPr>
        <w:t xml:space="preserve">osmoprotection </w:t>
      </w:r>
      <w:r w:rsidR="00316329">
        <w:rPr>
          <w:rFonts w:eastAsiaTheme="minorEastAsia"/>
          <w:i/>
        </w:rPr>
        <w:t>capacity</w:t>
      </w:r>
      <w:r w:rsidR="00FC50E0">
        <w:rPr>
          <w:rFonts w:eastAsiaTheme="minorEastAsia"/>
          <w:i/>
        </w:rPr>
        <w:t xml:space="preserve"> </w:t>
      </w:r>
      <w:r w:rsidR="00FC50E0" w:rsidRPr="00FC50E0">
        <w:rPr>
          <w:rFonts w:eastAsiaTheme="minorEastAsia"/>
        </w:rPr>
        <w:t>of the osmolyte</w:t>
      </w:r>
      <w:r w:rsidR="00E43BD4">
        <w:rPr>
          <w:rFonts w:eastAsiaTheme="minorEastAsia"/>
        </w:rPr>
        <w:t>, and will explore its</w:t>
      </w:r>
      <w:r w:rsidR="00496259">
        <w:rPr>
          <w:rFonts w:eastAsiaTheme="minorEastAsia"/>
        </w:rPr>
        <w:t xml:space="preserve"> </w:t>
      </w:r>
      <w:r w:rsidR="00E43BD4">
        <w:rPr>
          <w:rFonts w:eastAsiaTheme="minorEastAsia"/>
        </w:rPr>
        <w:t xml:space="preserve">relationship to </w:t>
      </w:r>
      <m:oMath>
        <m:r>
          <w:rPr>
            <w:rFonts w:ascii="Cambria Math" w:eastAsiaTheme="minorEastAsia" w:hAnsi="Cambria Math"/>
          </w:rPr>
          <m:t>K</m:t>
        </m:r>
      </m:oMath>
      <w:r w:rsidR="002C2FF2">
        <w:rPr>
          <w:rFonts w:eastAsiaTheme="minorEastAsia"/>
        </w:rPr>
        <w:t xml:space="preserve">, </w:t>
      </w:r>
      <w:r w:rsidR="00E43BD4">
        <w:rPr>
          <w:rFonts w:eastAsiaTheme="minorEastAsia"/>
        </w:rPr>
        <w:t xml:space="preserve">the </w:t>
      </w:r>
      <w:r w:rsidR="002C2FF2">
        <w:rPr>
          <w:rFonts w:eastAsiaTheme="minorEastAsia"/>
        </w:rPr>
        <w:t xml:space="preserve">underlying </w:t>
      </w:r>
      <w:r w:rsidR="00E43BD4">
        <w:rPr>
          <w:rFonts w:eastAsiaTheme="minorEastAsia"/>
        </w:rPr>
        <w:t xml:space="preserve">thermodynamics, and </w:t>
      </w:r>
      <w:r w:rsidR="002C2FF2">
        <w:rPr>
          <w:rFonts w:eastAsiaTheme="minorEastAsia"/>
        </w:rPr>
        <w:t xml:space="preserve">then </w:t>
      </w:r>
      <w:r w:rsidR="00E43BD4">
        <w:rPr>
          <w:rFonts w:eastAsiaTheme="minorEastAsia"/>
        </w:rPr>
        <w:t xml:space="preserve">subsequently to </w:t>
      </w:r>
      <w:r w:rsidR="007879D2">
        <w:rPr>
          <w:rFonts w:eastAsiaTheme="minorEastAsia"/>
        </w:rPr>
        <w:t xml:space="preserve">the molecular mechanism. </w:t>
      </w:r>
      <w:r w:rsidR="00496259">
        <w:rPr>
          <w:rFonts w:eastAsiaTheme="minorEastAsia"/>
        </w:rPr>
        <w:t xml:space="preserve"> </w:t>
      </w:r>
    </w:p>
    <w:p w14:paraId="1181CBB4" w14:textId="77777777" w:rsidR="0020415F" w:rsidRDefault="000A4353" w:rsidP="009C2447">
      <w:pPr>
        <w:ind w:firstLine="720"/>
        <w:rPr>
          <w:rFonts w:eastAsiaTheme="minorEastAsia"/>
        </w:rPr>
      </w:pPr>
      <w:r>
        <w:rPr>
          <w:rFonts w:eastAsiaTheme="minorEastAsia"/>
        </w:rPr>
        <w:t>W</w:t>
      </w:r>
      <w:r w:rsidR="0020415F">
        <w:rPr>
          <w:rFonts w:eastAsiaTheme="minorEastAsia"/>
        </w:rPr>
        <w:t xml:space="preserve">e start from </w:t>
      </w:r>
      <w:r w:rsidR="0020415F">
        <w:t xml:space="preserve">the following first order Taylor expansion of </w:t>
      </w:r>
      <m:oMath>
        <m:func>
          <m:funcPr>
            <m:ctrlPr>
              <w:rPr>
                <w:rFonts w:ascii="Cambria Math" w:hAnsi="Cambria Math"/>
                <w:i/>
              </w:rPr>
            </m:ctrlPr>
          </m:funcPr>
          <m:fName>
            <m:r>
              <m:rPr>
                <m:sty m:val="p"/>
              </m:rPr>
              <w:rPr>
                <w:rFonts w:ascii="Cambria Math" w:hAnsi="Cambria Math"/>
              </w:rPr>
              <m:t>ln</m:t>
            </m:r>
          </m:fName>
          <m:e>
            <m:r>
              <w:rPr>
                <w:rFonts w:ascii="Cambria Math" w:hAnsi="Cambria Math"/>
              </w:rPr>
              <m:t>K</m:t>
            </m:r>
          </m:e>
        </m:func>
      </m:oMath>
      <w:r>
        <w:rPr>
          <w:rFonts w:eastAsiaTheme="minorEastAsia"/>
        </w:rPr>
        <w:t xml:space="preserve"> at constant temperature to give,</w:t>
      </w:r>
    </w:p>
    <w:p w14:paraId="3B707742" w14:textId="77777777" w:rsidR="0020415F" w:rsidRDefault="000549CE" w:rsidP="000549CE">
      <w:pPr>
        <w:ind w:firstLine="720"/>
      </w:pPr>
      <m:oMath>
        <m:r>
          <w:rPr>
            <w:rFonts w:ascii="Cambria Math" w:eastAsiaTheme="minorEastAsia" w:hAnsi="Cambria Math"/>
          </w:rPr>
          <m:t>δ</m:t>
        </m:r>
        <m:func>
          <m:funcPr>
            <m:ctrlPr>
              <w:rPr>
                <w:rFonts w:ascii="Cambria Math" w:hAnsi="Cambria Math"/>
                <w:i/>
              </w:rPr>
            </m:ctrlPr>
          </m:funcPr>
          <m:fName>
            <m:r>
              <m:rPr>
                <m:sty m:val="p"/>
              </m:rPr>
              <w:rPr>
                <w:rFonts w:ascii="Cambria Math" w:hAnsi="Cambria Math"/>
              </w:rPr>
              <m:t>ln</m:t>
            </m:r>
          </m:fName>
          <m:e>
            <m:r>
              <w:rPr>
                <w:rFonts w:ascii="Cambria Math" w:hAnsi="Cambria Math"/>
              </w:rPr>
              <m:t>K</m:t>
            </m:r>
          </m:e>
        </m:func>
        <m:r>
          <w:rPr>
            <w:rFonts w:ascii="Cambria Math" w:hAnsi="Cambria Math"/>
          </w:rPr>
          <m:t>=</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K</m:t>
                        </m:r>
                      </m:e>
                    </m:func>
                  </m:num>
                  <m:den>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C</m:t>
                        </m:r>
                      </m:sub>
                    </m:sSub>
                  </m:den>
                </m:f>
              </m:e>
            </m:d>
          </m:e>
          <m:sub>
            <m:r>
              <w:rPr>
                <w:rFonts w:ascii="Cambria Math" w:hAnsi="Cambria Math"/>
              </w:rPr>
              <m:t>T,P</m:t>
            </m:r>
          </m:sub>
        </m:sSub>
        <m:r>
          <w:rPr>
            <w:rFonts w:ascii="Cambria Math" w:hAnsi="Cambria Math"/>
          </w:rPr>
          <m:t>δ</m:t>
        </m:r>
        <m:sSub>
          <m:sSubPr>
            <m:ctrlPr>
              <w:rPr>
                <w:rFonts w:ascii="Cambria Math" w:hAnsi="Cambria Math"/>
                <w:i/>
              </w:rPr>
            </m:ctrlPr>
          </m:sSubPr>
          <m:e>
            <m:r>
              <w:rPr>
                <w:rFonts w:ascii="Cambria Math" w:hAnsi="Cambria Math"/>
              </w:rPr>
              <m:t>ρ</m:t>
            </m:r>
          </m:e>
          <m:sub>
            <m:r>
              <w:rPr>
                <w:rFonts w:ascii="Cambria Math" w:hAnsi="Cambria Math"/>
              </w:rPr>
              <m:t>C</m:t>
            </m:r>
          </m:sub>
        </m:sSub>
        <m:r>
          <w:rPr>
            <w:rFonts w:ascii="Cambria Math" w:hAnsi="Cambria Math"/>
          </w:rPr>
          <m:t>+</m:t>
        </m:r>
        <m:sSub>
          <m:sSubPr>
            <m:ctrlPr>
              <w:rPr>
                <w:rFonts w:ascii="Cambria Math" w:eastAsiaTheme="minorEastAsia" w:hAnsi="Cambria Math"/>
                <w:i/>
              </w:rPr>
            </m:ctrlPr>
          </m:sSub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K</m:t>
                        </m:r>
                      </m:e>
                    </m:func>
                  </m:num>
                  <m:den>
                    <m:r>
                      <w:rPr>
                        <w:rFonts w:ascii="Cambria Math" w:eastAsiaTheme="minorEastAsia" w:hAnsi="Cambria Math"/>
                      </w:rPr>
                      <m:t>∂P</m:t>
                    </m:r>
                  </m:den>
                </m:f>
              </m:e>
            </m:d>
            <m:ctrlPr>
              <w:rPr>
                <w:rFonts w:ascii="Cambria Math" w:hAnsi="Cambria Math"/>
                <w:i/>
              </w:rPr>
            </m:ctrlPr>
          </m:e>
          <m:sub>
            <m:r>
              <w:rPr>
                <w:rFonts w:ascii="Cambria Math" w:hAnsi="Cambria Math"/>
              </w:rPr>
              <m:t>T,</m:t>
            </m:r>
            <m:sSub>
              <m:sSubPr>
                <m:ctrlPr>
                  <w:rPr>
                    <w:rFonts w:ascii="Cambria Math" w:hAnsi="Cambria Math"/>
                    <w:i/>
                  </w:rPr>
                </m:ctrlPr>
              </m:sSubPr>
              <m:e>
                <m:r>
                  <w:rPr>
                    <w:rFonts w:ascii="Cambria Math" w:hAnsi="Cambria Math"/>
                  </w:rPr>
                  <m:t>m</m:t>
                </m:r>
              </m:e>
              <m:sub>
                <m:r>
                  <w:rPr>
                    <w:rFonts w:ascii="Cambria Math" w:hAnsi="Cambria Math"/>
                  </w:rPr>
                  <m:t>C</m:t>
                </m:r>
              </m:sub>
            </m:sSub>
            <m:r>
              <w:rPr>
                <w:rFonts w:ascii="Cambria Math" w:hAnsi="Cambria Math"/>
              </w:rPr>
              <m:t xml:space="preserve"> </m:t>
            </m:r>
          </m:sub>
        </m:sSub>
        <m:r>
          <w:rPr>
            <w:rFonts w:ascii="Cambria Math" w:eastAsiaTheme="minorEastAsia" w:hAnsi="Cambria Math"/>
          </w:rPr>
          <m:t>δP</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14:paraId="649BE1A9" w14:textId="77777777" w:rsidR="00662B36" w:rsidRPr="00FC50E0" w:rsidRDefault="00EB0E5C" w:rsidP="0020415F">
      <w:pPr>
        <w:rPr>
          <w:rFonts w:eastAsiaTheme="minorEastAsia"/>
        </w:rPr>
      </w:pPr>
      <w:r>
        <w:rPr>
          <w:rFonts w:eastAsiaTheme="minorEastAsia"/>
        </w:rPr>
        <w:t xml:space="preserve">valid for small changes </w:t>
      </w:r>
      <w:r w:rsidR="00DA5AD7" w:rsidRPr="00DC174E">
        <w:rPr>
          <w:rFonts w:eastAsiaTheme="minorEastAsia"/>
        </w:rPr>
        <w:t>and where the derivatives are taken at a reference pressure and osmolyte concentration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C</m:t>
            </m:r>
          </m:sub>
        </m:sSub>
      </m:oMath>
      <w:r w:rsidR="00DA5AD7" w:rsidRPr="00DC174E">
        <w:rPr>
          <w:rFonts w:eastAsiaTheme="minorEastAsia"/>
        </w:rPr>
        <w:t xml:space="preserve"> refers to the molality of the osmolyte)</w:t>
      </w:r>
      <w:r w:rsidRPr="00DC174E">
        <w:rPr>
          <w:rFonts w:eastAsiaTheme="minorEastAsia"/>
        </w:rPr>
        <w:t>.</w:t>
      </w:r>
      <w:r w:rsidR="00DA5AD7" w:rsidRPr="00DC174E">
        <w:rPr>
          <w:rFonts w:eastAsiaTheme="minorEastAsia"/>
        </w:rPr>
        <w:t xml:space="preserve"> W</w:t>
      </w:r>
      <w:r w:rsidR="00175088" w:rsidRPr="00DC174E">
        <w:rPr>
          <w:rFonts w:eastAsiaTheme="minorEastAsia"/>
        </w:rPr>
        <w:t xml:space="preserve">e </w:t>
      </w:r>
      <w:r w:rsidR="00E35C62" w:rsidRPr="00DC174E">
        <w:rPr>
          <w:rFonts w:eastAsiaTheme="minorEastAsia"/>
        </w:rPr>
        <w:t xml:space="preserve">now </w:t>
      </w:r>
      <w:r w:rsidR="00175088" w:rsidRPr="00DC174E">
        <w:rPr>
          <w:rFonts w:eastAsiaTheme="minorEastAsia"/>
        </w:rPr>
        <w:t xml:space="preserve">consider the </w:t>
      </w:r>
      <w:r w:rsidR="00DA5AD7" w:rsidRPr="00DC174E">
        <w:rPr>
          <w:rFonts w:eastAsiaTheme="minorEastAsia"/>
        </w:rPr>
        <w:t xml:space="preserve">change in </w:t>
      </w:r>
      <w:r w:rsidR="00175088" w:rsidRPr="00DC174E">
        <w:rPr>
          <w:rFonts w:eastAsiaTheme="minorEastAsia"/>
        </w:rPr>
        <w:t xml:space="preserve">denaturation pressure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oMath>
      <w:r w:rsidR="007F4088" w:rsidRPr="00DC174E">
        <w:rPr>
          <w:rFonts w:eastAsiaTheme="minorEastAsia"/>
        </w:rPr>
        <w:t xml:space="preserve"> observed on </w:t>
      </w:r>
      <w:r w:rsidR="00DA5AD7" w:rsidRPr="00DC174E">
        <w:rPr>
          <w:rFonts w:eastAsiaTheme="minorEastAsia"/>
        </w:rPr>
        <w:t>introduction of an osmolyte to the system</w:t>
      </w:r>
      <w:r w:rsidR="00175088" w:rsidRPr="00DC174E">
        <w:rPr>
          <w:rFonts w:eastAsiaTheme="minorEastAsia"/>
        </w:rPr>
        <w:t xml:space="preserve">. </w:t>
      </w:r>
      <w:r w:rsidR="00E35C62" w:rsidRPr="00DC174E">
        <w:rPr>
          <w:rFonts w:eastAsiaTheme="minorEastAsia"/>
        </w:rPr>
        <w:t>If we follow this thermodynamic path</w:t>
      </w:r>
      <w:r w:rsidR="00DC174E" w:rsidRPr="00DC174E">
        <w:rPr>
          <w:rFonts w:eastAsiaTheme="minorEastAsia"/>
        </w:rPr>
        <w:t>,</w:t>
      </w:r>
      <w:r w:rsidR="00E35C62" w:rsidRPr="00DC174E">
        <w:rPr>
          <w:rFonts w:eastAsiaTheme="minorEastAsia"/>
        </w:rPr>
        <w:t xml:space="preserve"> then</w:t>
      </w:r>
      <w:r w:rsidR="007879D2" w:rsidRPr="00DC174E">
        <w:rPr>
          <w:rFonts w:eastAsiaTheme="minorEastAsia"/>
        </w:rPr>
        <w:t xml:space="preserve"> </w:t>
      </w:r>
      <m:oMath>
        <m:r>
          <w:rPr>
            <w:rFonts w:ascii="Cambria Math" w:eastAsiaTheme="minorEastAsia" w:hAnsi="Cambria Math"/>
          </w:rPr>
          <m:t>δ</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K</m:t>
            </m:r>
          </m:e>
        </m:func>
        <m:r>
          <w:rPr>
            <w:rFonts w:ascii="Cambria Math" w:eastAsiaTheme="minorEastAsia" w:hAnsi="Cambria Math"/>
          </w:rPr>
          <m:t>=0</m:t>
        </m:r>
      </m:oMath>
      <w:r w:rsidR="007F4088" w:rsidRPr="00DC174E">
        <w:rPr>
          <w:rFonts w:eastAsiaTheme="minorEastAsia"/>
        </w:rPr>
        <w:t xml:space="preserve"> when</w:t>
      </w:r>
      <w:r w:rsidR="00175088" w:rsidRPr="00DC174E">
        <w:rPr>
          <w:rFonts w:eastAsiaTheme="minorEastAsia"/>
        </w:rPr>
        <w:t xml:space="preserve"> </w:t>
      </w:r>
      <m:oMath>
        <m:r>
          <w:rPr>
            <w:rFonts w:ascii="Cambria Math" w:eastAsiaTheme="minorEastAsia" w:hAnsi="Cambria Math"/>
          </w:rPr>
          <m:t>δP=δ</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oMath>
      <w:r w:rsidR="007F4088" w:rsidRPr="00DC174E">
        <w:rPr>
          <w:rFonts w:eastAsiaTheme="minorEastAsia"/>
        </w:rPr>
        <w:t xml:space="preserve"> and </w:t>
      </w:r>
      <m:oMath>
        <m: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C</m:t>
            </m:r>
          </m:sub>
        </m:sSub>
      </m:oMath>
      <w:r w:rsidR="007F4088" w:rsidRPr="00DC174E">
        <w:rPr>
          <w:rFonts w:eastAsiaTheme="minorEastAsia"/>
        </w:rPr>
        <w:t>. Therefore, Eq. (1) can be written</w:t>
      </w:r>
      <w:r w:rsidR="007879D2" w:rsidRPr="00FC50E0">
        <w:rPr>
          <w:rFonts w:eastAsiaTheme="minorEastAsia"/>
        </w:rPr>
        <w:t xml:space="preserve"> </w:t>
      </w:r>
    </w:p>
    <w:p w14:paraId="4B2D038F" w14:textId="77777777" w:rsidR="002A4EA5" w:rsidRPr="00FC50E0" w:rsidRDefault="006B7D0C" w:rsidP="002A4EA5">
      <w:pPr>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C</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num>
          <m:den>
            <m: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C</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K</m:t>
                            </m:r>
                          </m:e>
                        </m:func>
                      </m:num>
                      <m:den>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C</m:t>
                            </m:r>
                          </m:sub>
                        </m:sSub>
                      </m:den>
                    </m:f>
                  </m:e>
                </m:d>
              </m:e>
              <m:sub>
                <m:r>
                  <w:rPr>
                    <w:rFonts w:ascii="Cambria Math" w:hAnsi="Cambria Math"/>
                  </w:rPr>
                  <m:t>T,P</m:t>
                </m:r>
              </m:sub>
            </m:sSub>
          </m:num>
          <m:den>
            <m:sSub>
              <m:sSubPr>
                <m:ctrlPr>
                  <w:rPr>
                    <w:rFonts w:ascii="Cambria Math" w:eastAsiaTheme="minorEastAsia" w:hAnsi="Cambria Math"/>
                    <w:i/>
                  </w:rPr>
                </m:ctrlPr>
              </m:sSub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K</m:t>
                            </m:r>
                          </m:e>
                        </m:func>
                      </m:num>
                      <m:den>
                        <m:r>
                          <w:rPr>
                            <w:rFonts w:ascii="Cambria Math" w:eastAsiaTheme="minorEastAsia" w:hAnsi="Cambria Math"/>
                          </w:rPr>
                          <m:t>∂P</m:t>
                        </m:r>
                      </m:den>
                    </m:f>
                  </m:e>
                </m:d>
                <m:ctrlPr>
                  <w:rPr>
                    <w:rFonts w:ascii="Cambria Math" w:hAnsi="Cambria Math"/>
                    <w:i/>
                  </w:rPr>
                </m:ctrlPr>
              </m:e>
              <m:sub>
                <m:r>
                  <w:rPr>
                    <w:rFonts w:ascii="Cambria Math" w:hAnsi="Cambria Math"/>
                  </w:rPr>
                  <m:t xml:space="preserve">T </m:t>
                </m:r>
              </m:sub>
            </m:sSub>
          </m:den>
        </m:f>
      </m:oMath>
      <w:r w:rsidR="00F81E1C">
        <w:rPr>
          <w:rFonts w:eastAsiaTheme="minorEastAsia"/>
        </w:rPr>
        <w:tab/>
      </w:r>
      <w:r w:rsidR="00F81E1C">
        <w:rPr>
          <w:rFonts w:eastAsiaTheme="minorEastAsia"/>
        </w:rPr>
        <w:tab/>
      </w:r>
      <w:r w:rsidR="00F81E1C">
        <w:rPr>
          <w:rFonts w:eastAsiaTheme="minorEastAsia"/>
        </w:rPr>
        <w:tab/>
      </w:r>
      <w:r w:rsidR="00F81E1C">
        <w:rPr>
          <w:rFonts w:eastAsiaTheme="minorEastAsia"/>
        </w:rPr>
        <w:tab/>
      </w:r>
      <w:r w:rsidR="00F81E1C">
        <w:rPr>
          <w:rFonts w:eastAsiaTheme="minorEastAsia"/>
        </w:rPr>
        <w:tab/>
      </w:r>
      <w:r w:rsidR="00F81E1C">
        <w:rPr>
          <w:rFonts w:eastAsiaTheme="minorEastAsia"/>
        </w:rPr>
        <w:tab/>
      </w:r>
      <w:r w:rsidR="00F81E1C">
        <w:rPr>
          <w:rFonts w:eastAsiaTheme="minorEastAsia"/>
        </w:rPr>
        <w:tab/>
      </w:r>
      <w:r w:rsidR="00F81E1C">
        <w:rPr>
          <w:rFonts w:eastAsiaTheme="minorEastAsia"/>
        </w:rPr>
        <w:tab/>
      </w:r>
      <w:r w:rsidR="002A4EA5" w:rsidRPr="00FC50E0">
        <w:rPr>
          <w:rFonts w:eastAsiaTheme="minorEastAsia"/>
        </w:rPr>
        <w:t>(2)</w:t>
      </w:r>
    </w:p>
    <w:p w14:paraId="18EE65C2" w14:textId="77777777" w:rsidR="008830E6" w:rsidRDefault="00FC50E0">
      <w:pPr>
        <w:rPr>
          <w:rFonts w:eastAsiaTheme="minorEastAsia"/>
        </w:rPr>
      </w:pPr>
      <w:r>
        <w:rPr>
          <w:rFonts w:eastAsiaTheme="minorEastAsia"/>
        </w:rPr>
        <w:t>Consequently, the o</w:t>
      </w:r>
      <w:r w:rsidR="00E43BD4" w:rsidRPr="00FC50E0">
        <w:rPr>
          <w:rFonts w:eastAsiaTheme="minorEastAsia"/>
        </w:rPr>
        <w:t xml:space="preserve">smoprotection capacity has thus been </w:t>
      </w:r>
      <w:r>
        <w:rPr>
          <w:rFonts w:eastAsiaTheme="minorEastAsia"/>
        </w:rPr>
        <w:t xml:space="preserve">directly </w:t>
      </w:r>
      <w:r w:rsidR="00E43BD4" w:rsidRPr="00FC50E0">
        <w:rPr>
          <w:rFonts w:eastAsiaTheme="minorEastAsia"/>
        </w:rPr>
        <w:t xml:space="preserve">linked to </w:t>
      </w:r>
      <w:r>
        <w:rPr>
          <w:rFonts w:eastAsiaTheme="minorEastAsia"/>
        </w:rPr>
        <w:t xml:space="preserve">changes in </w:t>
      </w:r>
      <w:r w:rsidR="00E43BD4" w:rsidRPr="00FC50E0">
        <w:rPr>
          <w:rFonts w:eastAsiaTheme="minorEastAsia"/>
        </w:rPr>
        <w:t xml:space="preserve">the </w:t>
      </w:r>
      <w:r w:rsidR="00E43BD4" w:rsidRPr="00DC174E">
        <w:rPr>
          <w:rFonts w:eastAsiaTheme="minorEastAsia"/>
        </w:rPr>
        <w:t>denaturation equilibrium.</w:t>
      </w:r>
      <w:r w:rsidR="00E35C62" w:rsidRPr="00DC174E">
        <w:rPr>
          <w:rFonts w:eastAsiaTheme="minorEastAsia"/>
        </w:rPr>
        <w:t xml:space="preserve"> This relationship</w:t>
      </w:r>
      <w:r w:rsidR="007F4088" w:rsidRPr="00DC174E">
        <w:rPr>
          <w:rFonts w:eastAsiaTheme="minorEastAsia"/>
        </w:rPr>
        <w:t>, derived in the same manner as the</w:t>
      </w:r>
      <w:r w:rsidR="008830E6" w:rsidRPr="00DC174E">
        <w:rPr>
          <w:rFonts w:eastAsiaTheme="minorEastAsia"/>
        </w:rPr>
        <w:t xml:space="preserve"> Clausius-Clapeyron equation, </w:t>
      </w:r>
      <w:r w:rsidR="00E35C62" w:rsidRPr="00DC174E">
        <w:rPr>
          <w:rFonts w:eastAsiaTheme="minorEastAsia"/>
        </w:rPr>
        <w:t>is exact for low osmolyte concentrations and for linear variations of the denaturation pressure with osmolyte concentration.</w:t>
      </w:r>
      <w:r w:rsidR="00947477" w:rsidRPr="00DC174E">
        <w:rPr>
          <w:rFonts w:eastAsiaTheme="minorEastAsia"/>
        </w:rPr>
        <w:t xml:space="preserve"> </w:t>
      </w:r>
      <w:r w:rsidR="00365218" w:rsidRPr="00DC174E">
        <w:rPr>
          <w:rFonts w:eastAsiaTheme="minorEastAsia"/>
        </w:rPr>
        <w:t xml:space="preserve">Cosolvents can </w:t>
      </w:r>
      <w:r w:rsidR="002E743C" w:rsidRPr="00DC174E">
        <w:rPr>
          <w:rFonts w:eastAsiaTheme="minorEastAsia"/>
        </w:rPr>
        <w:t xml:space="preserve">give rise to a positive, </w:t>
      </w:r>
      <w:r w:rsidR="00365218" w:rsidRPr="00DC174E">
        <w:rPr>
          <w:rFonts w:eastAsiaTheme="minorEastAsia"/>
        </w:rPr>
        <w:t>negative</w:t>
      </w:r>
      <w:r w:rsidR="002E743C" w:rsidRPr="00DC174E">
        <w:rPr>
          <w:rFonts w:eastAsiaTheme="minorEastAsia"/>
        </w:rPr>
        <w:t>, or zero</w:t>
      </w:r>
      <w:r w:rsidR="00365218" w:rsidRPr="00DC174E">
        <w:rPr>
          <w:rFonts w:eastAsiaTheme="minorEastAsia"/>
        </w:rPr>
        <w:t xml:space="preserve"> osmoprotection value depending on whether they act as</w:t>
      </w:r>
      <w:r w:rsidR="002E743C" w:rsidRPr="00DC174E">
        <w:rPr>
          <w:rFonts w:eastAsiaTheme="minorEastAsia"/>
        </w:rPr>
        <w:t xml:space="preserve"> osmolytes,</w:t>
      </w:r>
      <w:r w:rsidR="00365218" w:rsidRPr="00DC174E">
        <w:rPr>
          <w:rFonts w:eastAsiaTheme="minorEastAsia"/>
        </w:rPr>
        <w:t xml:space="preserve"> denaturants, </w:t>
      </w:r>
      <w:r w:rsidR="002E743C" w:rsidRPr="00DC174E">
        <w:rPr>
          <w:rFonts w:eastAsiaTheme="minorEastAsia"/>
        </w:rPr>
        <w:t xml:space="preserve">or have no effect, </w:t>
      </w:r>
      <w:r w:rsidR="00365218" w:rsidRPr="00DC174E">
        <w:rPr>
          <w:rFonts w:eastAsiaTheme="minorEastAsia"/>
        </w:rPr>
        <w:t>respectively.</w:t>
      </w:r>
    </w:p>
    <w:p w14:paraId="0CC29108" w14:textId="77777777" w:rsidR="00DD0C5A" w:rsidRPr="00E43BD4" w:rsidRDefault="00E43BD4">
      <w:pPr>
        <w:rPr>
          <w:rFonts w:eastAsiaTheme="minorEastAsia"/>
          <w:b/>
        </w:rPr>
      </w:pPr>
      <w:r w:rsidRPr="00E43BD4">
        <w:rPr>
          <w:rFonts w:eastAsiaTheme="minorEastAsia"/>
          <w:b/>
        </w:rPr>
        <w:t xml:space="preserve">2.2. Osmoprotection capacity on a molecular scale </w:t>
      </w:r>
    </w:p>
    <w:p w14:paraId="1F42934F" w14:textId="015D6DA4" w:rsidR="00C45567" w:rsidRDefault="00E43BD4" w:rsidP="00E43BD4">
      <w:pPr>
        <w:rPr>
          <w:rFonts w:eastAsiaTheme="minorEastAsia"/>
        </w:rPr>
      </w:pPr>
      <w:r>
        <w:rPr>
          <w:rFonts w:eastAsiaTheme="minorEastAsia"/>
        </w:rPr>
        <w:t xml:space="preserve">Now we </w:t>
      </w:r>
      <w:r w:rsidR="003370BC">
        <w:rPr>
          <w:rFonts w:eastAsiaTheme="minorEastAsia"/>
        </w:rPr>
        <w:t>interpret</w:t>
      </w:r>
      <w:r w:rsidR="00C45567">
        <w:rPr>
          <w:rFonts w:eastAsiaTheme="minorEastAsia"/>
        </w:rPr>
        <w:t xml:space="preserve"> the osmoprotection capacity</w:t>
      </w:r>
      <w:r w:rsidR="00FC50E0">
        <w:rPr>
          <w:rFonts w:eastAsiaTheme="minorEastAsia"/>
        </w:rPr>
        <w:t xml:space="preserve"> </w:t>
      </w:r>
      <w:r w:rsidR="003370BC">
        <w:rPr>
          <w:rFonts w:eastAsiaTheme="minorEastAsia"/>
        </w:rPr>
        <w:t>on a molecular basis. This can be achieved directly from the first principles of</w:t>
      </w:r>
      <w:r w:rsidR="00E35C62">
        <w:rPr>
          <w:rFonts w:eastAsiaTheme="minorEastAsia"/>
        </w:rPr>
        <w:t xml:space="preserve"> statistical </w:t>
      </w:r>
      <w:r w:rsidR="00E35C62" w:rsidRPr="00AE0793">
        <w:rPr>
          <w:rFonts w:eastAsiaTheme="minorEastAsia"/>
        </w:rPr>
        <w:t>thermodynamics using</w:t>
      </w:r>
      <w:r w:rsidR="003370BC" w:rsidRPr="00AE0793">
        <w:rPr>
          <w:rFonts w:eastAsiaTheme="minorEastAsia"/>
        </w:rPr>
        <w:t xml:space="preserve"> </w:t>
      </w:r>
      <w:r w:rsidR="003A6C89" w:rsidRPr="00AE0793">
        <w:rPr>
          <w:rFonts w:eastAsiaTheme="minorEastAsia"/>
        </w:rPr>
        <w:t>Kirkwood-Buff (KB) theory,</w:t>
      </w:r>
      <w:r w:rsidR="007F2A2A" w:rsidRPr="00AE0793">
        <w:rPr>
          <w:rFonts w:eastAsiaTheme="minorEastAsia"/>
        </w:rPr>
        <w:fldChar w:fldCharType="begin" w:fldLock="1"/>
      </w:r>
      <w:r w:rsidR="007F2A2A" w:rsidRPr="00AE0793">
        <w:rPr>
          <w:rFonts w:eastAsiaTheme="minorEastAsia"/>
        </w:rPr>
        <w:instrText>ADDIN CSL_CITATION { "citationItems" : [ { "id" : "ITEM-1", "itemData" : { "DOI" : "10.1063/1.1748352", "ISSN" : "0021-9606", "abstract" : "A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 of the several types of molecular pairs present in the solution. Explicit coefficients of a q\u2010fraction expansion of the thermodynamic variables are presented in a detailed treatment of the two\u2010component system.", "author" : [ { "dropping-particle" : "", "family" : "Kirkwood", "given" : "John G.", "non-dropping-particle" : "", "parse-names" : false, "suffix" : "" }, { "dropping-particle" : "", "family" : "Buff", "given" : "Frank P.", "non-dropping-particle" : "", "parse-names" : false, "suffix" : "" } ], "container-title" : "Journal of Chemical Physics", "id" : "ITEM-1", "issue" : "6", "issued" : { "date-parts" : [ [ "1951", "6" ] ] }, "page" : "774\u2013777", "publisher" : "American Institute of PhysicsAIP", "title" : "The Kirkwood \u2013 Buff theory of solutions", "type" : "article-journal", "volume" : "19" }, "uris" : [ "http://www.mendeley.com/documents/?uuid=0d1b1def-09c1-447e-874a-fa036b0f4d2b" ] }, { "id" : "ITEM-2", "itemData" : { "DOI" : "10.1063/1.434669", "ISSN" : "0021-9606", "abstract" : "A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water\u2013ethanol system is processed in this manner to obtain the quantities G\u03b1\u03b2 which are integrals over the pair correlation functions between two species \u03b1 and \u03b2.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 "author" : [ { "dropping-particle" : "", "family" : "Ben-Naim", "given" : "A.", "non-dropping-particle" : "", "parse-names" : false, "suffix" : "" } ], "container-title" : "The Journal of Chemical Physics", "id" : "ITEM-2", "issue" : "11", "issued" : { "date-parts" : [ [ "1977", "12" ] ] }, "page" : "4884-4890", "publisher" : "American Institute of PhysicsAIP", "title" : "Inversion of the Kirkwood\u2013Buff theory of solutions: Application to the water\u2013ethanol system", "type" : "article-journal", "volume" : "67" }, "uris" : [ "http://www.mendeley.com/documents/?uuid=81e02811-c8ed-3278-8ff2-693fe9432f12" ] } ], "mendeley" : { "formattedCitation" : "&lt;sup&gt;[52,53]&lt;/sup&gt;", "plainTextFormattedCitation" : "[52,53]", "previouslyFormattedCitation" : "&lt;sup&gt;[52,53]&lt;/sup&gt;" }, "properties" : { "noteIndex" : 0 }, "schema" : "https://github.com/citation-style-language/schema/raw/master/csl-citation.json" }</w:instrText>
      </w:r>
      <w:r w:rsidR="007F2A2A" w:rsidRPr="00AE0793">
        <w:rPr>
          <w:rFonts w:eastAsiaTheme="minorEastAsia"/>
        </w:rPr>
        <w:fldChar w:fldCharType="separate"/>
      </w:r>
      <w:r w:rsidR="007F2A2A" w:rsidRPr="00AE0793">
        <w:rPr>
          <w:rFonts w:eastAsiaTheme="minorEastAsia"/>
          <w:noProof/>
          <w:vertAlign w:val="superscript"/>
        </w:rPr>
        <w:t>[52,53]</w:t>
      </w:r>
      <w:r w:rsidR="007F2A2A" w:rsidRPr="00AE0793">
        <w:rPr>
          <w:rFonts w:eastAsiaTheme="minorEastAsia"/>
        </w:rPr>
        <w:fldChar w:fldCharType="end"/>
      </w:r>
      <w:r w:rsidR="003A6C89" w:rsidRPr="00AE0793">
        <w:rPr>
          <w:rFonts w:eastAsiaTheme="minorEastAsia"/>
        </w:rPr>
        <w:t xml:space="preserve"> a subset of</w:t>
      </w:r>
      <w:r w:rsidR="00797187" w:rsidRPr="00AE0793">
        <w:rPr>
          <w:rFonts w:eastAsiaTheme="minorEastAsia"/>
        </w:rPr>
        <w:t xml:space="preserve"> Fluctuation Solution Theor</w:t>
      </w:r>
      <w:r w:rsidR="003A6C89" w:rsidRPr="00AE0793">
        <w:rPr>
          <w:rFonts w:eastAsiaTheme="minorEastAsia"/>
        </w:rPr>
        <w:t>y (FST)</w:t>
      </w:r>
      <w:r w:rsidR="000F34F5" w:rsidRPr="00AE0793">
        <w:rPr>
          <w:rFonts w:eastAsiaTheme="minorEastAsia"/>
        </w:rPr>
        <w:t>,</w:t>
      </w:r>
      <w:r w:rsidR="007F2A2A" w:rsidRPr="00AE0793">
        <w:rPr>
          <w:rFonts w:eastAsiaTheme="minorEastAsia"/>
        </w:rPr>
        <w:fldChar w:fldCharType="begin" w:fldLock="1"/>
      </w:r>
      <w:r w:rsidR="007F2A2A" w:rsidRPr="00AE0793">
        <w:rPr>
          <w:rFonts w:eastAsiaTheme="minorEastAsia"/>
        </w:rPr>
        <w:instrText>ADDIN CSL_CITATION { "citationItems" : [ { "id" : "ITEM-1", "itemData" : { "DOI" : "10.1002/9781118571767.ch4", "ISSN" : "0065-2385", "PMID" : "24683278", "author" : [ { "dropping-particle" : "", "family" : "Ploetz", "given" : "Elizabeth A", "non-dropping-particle" : "", "parse-names" : false, "suffix" : "" }, { "dropping-particle" : "", "family" : "Smith", "given" : "Paul E", "non-dropping-particle" : "", "parse-names" : false, "suffix" : "" } ], "container-title" : "Advances in chemical physics", "id" : "ITEM-1", "issued" : { "date-parts" : [ [ "2013" ] ] }, "page" : "311-372", "publisher" : "NIH Public Access", "title" : "Local Fluctuations in Solution: Theory and Applications.", "type" : "article-journal", "volume" : "153" }, "uris" : [ "http://www.mendeley.com/documents/?uuid=9f114a94-871b-374e-9fe9-e9d2553314b9" ] } ], "mendeley" : { "formattedCitation" : "&lt;sup&gt;[54]&lt;/sup&gt;", "plainTextFormattedCitation" : "[54]", "previouslyFormattedCitation" : "&lt;sup&gt;[54]&lt;/sup&gt;" }, "properties" : { "noteIndex" : 0 }, "schema" : "https://github.com/citation-style-language/schema/raw/master/csl-citation.json" }</w:instrText>
      </w:r>
      <w:r w:rsidR="007F2A2A" w:rsidRPr="00AE0793">
        <w:rPr>
          <w:rFonts w:eastAsiaTheme="minorEastAsia"/>
        </w:rPr>
        <w:fldChar w:fldCharType="separate"/>
      </w:r>
      <w:r w:rsidR="007F2A2A" w:rsidRPr="00AE0793">
        <w:rPr>
          <w:rFonts w:eastAsiaTheme="minorEastAsia"/>
          <w:noProof/>
          <w:vertAlign w:val="superscript"/>
        </w:rPr>
        <w:t>[54]</w:t>
      </w:r>
      <w:r w:rsidR="007F2A2A" w:rsidRPr="00AE0793">
        <w:rPr>
          <w:rFonts w:eastAsiaTheme="minorEastAsia"/>
        </w:rPr>
        <w:fldChar w:fldCharType="end"/>
      </w:r>
      <w:r w:rsidR="000F34F5" w:rsidRPr="00AE0793">
        <w:rPr>
          <w:rFonts w:eastAsiaTheme="minorEastAsia"/>
        </w:rPr>
        <w:t xml:space="preserve"> wi</w:t>
      </w:r>
      <w:r w:rsidR="000F34F5">
        <w:rPr>
          <w:rFonts w:eastAsiaTheme="minorEastAsia"/>
        </w:rPr>
        <w:t xml:space="preserve">thout any need for </w:t>
      </w:r>
      <w:r w:rsidR="00C45567">
        <w:rPr>
          <w:rFonts w:eastAsiaTheme="minorEastAsia"/>
        </w:rPr>
        <w:t>models or</w:t>
      </w:r>
      <w:r w:rsidR="000F34F5">
        <w:rPr>
          <w:rFonts w:eastAsiaTheme="minorEastAsia"/>
        </w:rPr>
        <w:t xml:space="preserve"> </w:t>
      </w:r>
      <w:r w:rsidR="00316329">
        <w:rPr>
          <w:rFonts w:eastAsiaTheme="minorEastAsia"/>
        </w:rPr>
        <w:t>assumptions</w:t>
      </w:r>
      <w:r w:rsidR="00EA544C">
        <w:rPr>
          <w:rFonts w:eastAsiaTheme="minorEastAsia"/>
        </w:rPr>
        <w:t>.</w:t>
      </w:r>
      <w:r w:rsidR="00EA544C">
        <w:fldChar w:fldCharType="begin" w:fldLock="1"/>
      </w:r>
      <w:r w:rsidR="00AE0793">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"10.1021/jp0474879", "abstract" : "A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urea, guanidinium chloride, sodium chloride and 2,2,2,-trifluoroethanol. It is suggested that a determination of the simulated preferential interaction of a cosolvent with the native state of a protein under denaturing conditions provides the simplest test of available force fields, as it avoids simulations of the denatured state which are typically inaccessible with current computer power.\\nA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ur\u2026", "author" : [ { "dropping-particle" : "", "family" : "Smith", "given" : "Paul E.", "non-dropping-particle" : "", "parse-names" : false, "suffix" : "" } ], "container-title" : "Journal of Physical Chemistry B", "id" : "ITEM-2", "issue" : "48", "issued" : { "date-parts" : [ [ "2004", "12", "2" ] ] }, "page" : "18716-18724", "title" : "Cosolvent interactions with biomolecules: Relating computer simulation data to experimental thermodynamic data", "type" : "article-journal", "volume" : "108" }, "uris" : [ "http://www.mendeley.com/documents/?uuid=16db6586-5e10-48af-820c-5339cad79c8b" ] }, { "id" : "ITEM-3", "itemData" : { "abstract" : "A simple model for describing the effects of cosolvents on biomolecular equilibria in solution is presented. The model is developed using the Kirkwood-Buff theory of solutions and relates changes in the chemical potential of the cosolvent, due to the presence of the solute, to changes in the cosolvent (and water) concentrations in the vicinity of the biomolecule. The model is then used to determine the dependence of changes in the free energy for protein denaturation on cosolvent concentration. The experimentally observed linearity for urea, and small deviation from linear behavior for guanidinium chloride denaturation, are reproduced. In addition, the model is also predicted to provide a good description of the helix-inducing effects of TFE solutions.\\n\\nTimes Cited: 0 Article English Cited References Count: 36 860nb", "author" : [ { "dropping-particle" : "", "family" : "Smith", "given" : "Paul E.", "non-dropping-particle" : "", "parse-names" : false, "suffix" : "" } ], "container-title" : "Journal of Physical Chemistry B", "id" : "ITEM-3", "issue" : "41", "issued" : { "date-parts" : [ [ "2004", "10", "14" ] ] }, "page" : "16271-16278", "title" : "Local chemical potential equalization model for cosolvent effects on biomolecular equilibria", "type" : "article-journal", "volume" : "108" }, "uris" : [ "http://www.mendeley.com/documents/?uuid=dc2e1109-13ff-4078-8070-7c9910fa6c5d" ] }, { "id" : "ITEM-4",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"ITEM-4", "issue" : "18", "issued" : { "date-parts" : [ [ "2004" ] ] }, "page" : "9147-9155", "title" : "The Kirkwood-Buff theory and the effect of cosolvents on biochemical reactions", "type" : "article-journal", "volume" : "121" }, "uris" : [ "http://www.mendeley.com/documents/?uuid=773d4c28-f2d5-421b-a5a5-0066df199fbe" ] }, { "id" : "ITEM-5", "itemData" : { "DOI" : "10.1021/jp056100e", "abstract" : "Equilibrium dialysis data has provided valuable information concerning the preferential interaction of a cosolvent with a biomolecule in aqueous solutions. Here, we formulate the experimental data in terms of Kirkwood-Buff (KB) theory, resulting in equations that provide a simple physical picture of the dialysis experiment and thereby the interaction of a cosolvent with a biomolecule. These results are then used to establish exact relationships between preferential interaction coefficients, defined in different ensembles and/or using different concentration scales, in terms of KB integrals. It is then argued that the molality based equilibrium dialysis data represent the situation most relevant to computer simulations performed in either open or closed systems.", "author" : [ { "dropping-particle" : "", "family" : "Smith", "given" : "Paul E.", "non-dropping-particle" : "", "parse-names" : false, "suffix" : "" } ], "container-title" : "Journal of Physical Chemistry B", "id" : "ITEM-5", "issue" : "6", "issued" : { "date-parts" : [ [ "2006", "2", "16" ] ] }, "page" : "2862-2868", "publisher" : "American Chemical Society", "title" : "Equilibrium dialysis data and the relationships between preferential interaction parameters for biological systems in terms of kirkwood-buff integrals", "type" : "article-journal", "volume" : "110" }, "uris" : [ "http://www.mendeley.com/documents/?uuid=30b5c5be-cfb2-403d-ae77-c99d607c11a2" ] }, { "id" : "ITEM-6", "itemData" : { "DOI" : "10.1529/biophysj.105.078790", "abstract" : "New expressions for chemical potential derivatives and preferential interaction parameters for ternary mixtures are derived for open, semiopen, and closed ensembles in terms of Kirkwood-Buff integrals, where all three components are present at finite concentrations. This is achieved using a simple approach that avoids the use of the general matrix formulation of Kirkwood-Buff theory. The resulting expressions provide a rigorous foundation for the analysis of experimental and simulation data. Using the results, a simple model is developed and used to investigate the possible effects of finite protein concentrations on the corresponding cosolvent dependent chemical potential and denaturation thermodynamics.", "author" : [ { "dropping-particle" : "", "family" : "Smith", "given" : "Paul E.", "non-dropping-particle" : "", "parse-names" : false, "suffix" : "" } ], "container-title" : "Biophysical Journal", "id" : "ITEM-6", "issue" : "3", "issued" : { "date-parts" : [ [ "2006" ] ] }, "page" : "849-856", "title" : "Chemical Potential Derivatives and Preferential Interaction Parameters in Biological Systems from Kirkwood-Buff Theory", "type" : "article-journal", "volume" : "91" }, "uris" : [ "http://www.mendeley.com/documents/?uuid=541ab070-ef7f-443a-8357-2ca63184559d" ] }, { "id" : "ITEM-7",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"ITEM-7", "issue" : "23", "issued" : { "date-parts" : [ [ "2006" ] ] }, "page" : "234905", "title" : "The Hofmeister series and protein-salt interactions", "type" : "article-journal", "volume" : "124" }, "uris" : [ "http://www.mendeley.com/documents/?uuid=0a70a1b5-2739-4d43-a695-db256c211fdf" ] } ], "mendeley" : { "formattedCitation" : "&lt;sup&gt;[42\u201348]&lt;/sup&gt;", "plainTextFormattedCitation" : "[42\u201348]", "previouslyFormattedCitation" : "&lt;sup&gt;[42\u201348]&lt;/sup&gt;" }, "properties" : { "noteIndex" : 0 }, "schema" : "https://github.com/citation-style-language/schema/raw/master/csl-citation.json" }</w:instrText>
      </w:r>
      <w:r w:rsidR="00EA544C">
        <w:fldChar w:fldCharType="separate"/>
      </w:r>
      <w:r w:rsidR="002C1133" w:rsidRPr="002C1133">
        <w:rPr>
          <w:noProof/>
          <w:vertAlign w:val="superscript"/>
        </w:rPr>
        <w:t>[42–48]</w:t>
      </w:r>
      <w:r w:rsidR="00EA544C">
        <w:fldChar w:fldCharType="end"/>
      </w:r>
      <w:r w:rsidR="00361750">
        <w:rPr>
          <w:rFonts w:eastAsiaTheme="minorEastAsia"/>
        </w:rPr>
        <w:t xml:space="preserve"> </w:t>
      </w:r>
      <w:r w:rsidR="00E35C62">
        <w:rPr>
          <w:rFonts w:eastAsiaTheme="minorEastAsia"/>
        </w:rPr>
        <w:t xml:space="preserve">Recently, this rigorous approach has proven powerful </w:t>
      </w:r>
      <w:r w:rsidR="000F34F5">
        <w:rPr>
          <w:rFonts w:eastAsiaTheme="minorEastAsia"/>
        </w:rPr>
        <w:t>in clarifying the molecular-based mechanism of a number of chemical, biological and industrial processes</w:t>
      </w:r>
      <w:r w:rsidR="00EA544C">
        <w:rPr>
          <w:rFonts w:eastAsiaTheme="minorEastAsia"/>
        </w:rPr>
        <w:t>.</w:t>
      </w:r>
      <w:r w:rsidR="00EA544C">
        <w:rPr>
          <w:rFonts w:eastAsiaTheme="minorEastAsia"/>
        </w:rPr>
        <w:fldChar w:fldCharType="begin" w:fldLock="1"/>
      </w:r>
      <w:r w:rsidR="002C1133">
        <w:rPr>
          <w:rFonts w:eastAsiaTheme="minorEastAsia"/>
        </w:rPr>
        <w:instrText>ADDIN CSL_CITATION { "citationItems" : [ { "id" : "ITEM-1", "itemData" : { "abstract" : "The effect of cosolvents on biomolecular equilibria has traditionally been rationalized using simple binding models. More recently, a renewed interest in the use of Kirkwood-Buff (KB) theory to analyze solution mixtures has provided new information on the effects of osmolytes and denaturants and their interactions with biomolecules. Here we review the status of KB theory as applied to biological systems. In particular, the existing models of denaturation are analyzed in terms of KB theory, and the use of KB theory to interpret computer simulation data for these systems is discussed.", "author" : [ { "dropping-particle" : "", "family" : "Pierce", "given" : "Veronica", "non-dropping-particle" : "", "parse-names" : false, "suffix" : "" }, { "dropping-particle" : "", "family" : "Kang", "given" : "Myungshim", "non-dropping-particle" : "", "parse-names" : false, "suffix" : "" }, { "dropping-particle" : "", "family" : "Aburi", "given" : "Mahalaxmi", "non-dropping-particle" : "", "parse-names" : false, "suffix" : "" }, { "dropping-particle" : "", "family" : "Weerasinghe", "given" : "Samantha", "non-dropping-particle" : "", "parse-names" : false, "suffix" : "" }, { "dropping-particle" : "", "family" : "Smith", "given" : "Paul E.", "non-dropping-particle" : "", "parse-names" : false, "suffix" : "" } ], "container-title" : "Cell Biochemistry and Biophysics", "id" : "ITEM-1", "issue" : "1", "issued" : { "date-parts" : [ [ "2008", "1" ] ] }, "page" : "1-22", "title" : "Recent applications of Kirkwood-Buff theory to biological systems", "type" : "article", "volume" : "50" }, "uris" : [ "http://www.mendeley.com/documents/?uuid=aa149a7f-d08e-4339-a421-d51cf9a0ed4e" ] }, { "id" : "ITEM-2",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"14", "issued" : { "date-parts" : [ [ "2014" ] ] }, "page" : "3922-3930", "title" : "Preferential solvation: Dividing surface vs excess numbers", "type" : "article-journal", "volume" : "118" }, "uris" : [ "http://www.mendeley.com/documents/?uuid=896fec6b-354e-41cd-a8de-55bd371a22f5" ] }, { "id" : "ITEM-3",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"ITEM-3",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"&lt;sup&gt;[49\u201351]&lt;/sup&gt;", "plainTextFormattedCitation" : "[49\u201351]", "previouslyFormattedCitation" : "&lt;sup&gt;[49\u201351]&lt;/sup&gt;" }, "properties" : { "noteIndex" : 0 }, "schema" : "https://github.com/citation-style-language/schema/raw/master/csl-citation.json" }</w:instrText>
      </w:r>
      <w:r w:rsidR="00EA544C">
        <w:rPr>
          <w:rFonts w:eastAsiaTheme="minorEastAsia"/>
        </w:rPr>
        <w:fldChar w:fldCharType="separate"/>
      </w:r>
      <w:r w:rsidR="002C1133" w:rsidRPr="002C1133">
        <w:rPr>
          <w:rFonts w:eastAsiaTheme="minorEastAsia"/>
          <w:noProof/>
          <w:vertAlign w:val="superscript"/>
        </w:rPr>
        <w:t>[49–51]</w:t>
      </w:r>
      <w:r w:rsidR="00EA544C">
        <w:rPr>
          <w:rFonts w:eastAsiaTheme="minorEastAsia"/>
        </w:rPr>
        <w:fldChar w:fldCharType="end"/>
      </w:r>
      <w:r w:rsidR="000F34F5">
        <w:rPr>
          <w:rFonts w:eastAsiaTheme="minorEastAsia"/>
        </w:rPr>
        <w:t xml:space="preserve"> </w:t>
      </w:r>
      <w:r w:rsidR="00FC50E0" w:rsidRPr="00FC50E0">
        <w:rPr>
          <w:rFonts w:eastAsiaTheme="minorEastAsia"/>
        </w:rPr>
        <w:t>Indeed, a</w:t>
      </w:r>
      <w:r w:rsidR="00265800" w:rsidRPr="00FC50E0">
        <w:rPr>
          <w:rFonts w:eastAsiaTheme="minorEastAsia"/>
        </w:rPr>
        <w:t xml:space="preserve">n approach similar to </w:t>
      </w:r>
      <w:r w:rsidR="006D6747" w:rsidRPr="00FC50E0">
        <w:rPr>
          <w:rFonts w:eastAsiaTheme="minorEastAsia"/>
        </w:rPr>
        <w:t>the one</w:t>
      </w:r>
      <w:r w:rsidR="00265800" w:rsidRPr="00FC50E0">
        <w:rPr>
          <w:rFonts w:eastAsiaTheme="minorEastAsia"/>
        </w:rPr>
        <w:t xml:space="preserve"> presented in this paper has recently been proven successful recently in understanding how osmolytes affect </w:t>
      </w:r>
      <w:r w:rsidR="003D3DEF" w:rsidRPr="00FC50E0">
        <w:rPr>
          <w:rFonts w:eastAsiaTheme="minorEastAsia"/>
        </w:rPr>
        <w:t>protein thermal denaturation and the</w:t>
      </w:r>
      <w:r w:rsidR="00265800" w:rsidRPr="00FC50E0">
        <w:rPr>
          <w:rFonts w:eastAsiaTheme="minorEastAsia"/>
        </w:rPr>
        <w:t xml:space="preserve"> melting temperature of food gels</w:t>
      </w:r>
      <w:r w:rsidR="00EA544C">
        <w:rPr>
          <w:rFonts w:eastAsiaTheme="minorEastAsia"/>
        </w:rPr>
        <w:t>.</w:t>
      </w:r>
      <w:r w:rsidR="00EA544C">
        <w:rPr>
          <w:rFonts w:eastAsiaTheme="minorEastAsia"/>
        </w:rPr>
        <w:fldChar w:fldCharType="begin" w:fldLock="1"/>
      </w:r>
      <w:r w:rsidR="007F2A2A">
        <w:rPr>
          <w:rFonts w:eastAsiaTheme="minorEastAsia"/>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"46", "issued" : { "date-parts" : [ [ "2014" ] ] }, "page" : "13210-13216", "title" : "Gelation: The role of sugars and polyols on gelatin and agarose", "type" : "article-journal", "volume" : "118" }, "uris" : [ "http://www.mendeley.com/documents/?uuid=3f487fe1-7c16-485b-971c-d2e69e2da704" ] }, { "id" : "ITEM-3",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"ITEM-3", "issue" : "1-3", "issued" : { "date-parts" : [ [ "2011" ] ] }, "page" : "156-158", "publisher" : "Elsevier B.V.", "title" : "Molecular origin of the cosolvent-induced changes in the thermal stability of proteins", "type" : "article-journal", "volume" : "514" }, "uris" : [ "http://www.mendeley.com/documents/?uuid=f72a9936-cbbc-4fe0-8a8f-d5f1c1425260" ] } ], "mendeley" : { "formattedCitation" : "&lt;sup&gt;[51,55,56]&lt;/sup&gt;", "plainTextFormattedCitation" : "[51,55,56]", "previouslyFormattedCitation" : "&lt;sup&gt;[51,55,56]&lt;/sup&gt;" }, "properties" : { "noteIndex" : 0 }, "schema" : "https://github.com/citation-style-language/schema/raw/master/csl-citation.json" }</w:instrText>
      </w:r>
      <w:r w:rsidR="00EA544C">
        <w:rPr>
          <w:rFonts w:eastAsiaTheme="minorEastAsia"/>
        </w:rPr>
        <w:fldChar w:fldCharType="separate"/>
      </w:r>
      <w:r w:rsidR="007F2A2A" w:rsidRPr="007F2A2A">
        <w:rPr>
          <w:rFonts w:eastAsiaTheme="minorEastAsia"/>
          <w:noProof/>
          <w:vertAlign w:val="superscript"/>
        </w:rPr>
        <w:t>[51,55,56]</w:t>
      </w:r>
      <w:r w:rsidR="00EA544C">
        <w:rPr>
          <w:rFonts w:eastAsiaTheme="minorEastAsia"/>
        </w:rPr>
        <w:fldChar w:fldCharType="end"/>
      </w:r>
      <w:r w:rsidR="00EA544C">
        <w:rPr>
          <w:rFonts w:eastAsiaTheme="minorEastAsia"/>
        </w:rPr>
        <w:t xml:space="preserve"> </w:t>
      </w:r>
    </w:p>
    <w:p w14:paraId="581A0867" w14:textId="508F2011" w:rsidR="002822E0" w:rsidRDefault="00C45567" w:rsidP="000F34F5">
      <w:pPr>
        <w:rPr>
          <w:rFonts w:eastAsiaTheme="minorEastAsia"/>
          <w:noProof/>
        </w:rPr>
      </w:pPr>
      <w:r>
        <w:rPr>
          <w:rFonts w:eastAsiaTheme="minorEastAsia"/>
        </w:rPr>
        <w:tab/>
      </w:r>
      <w:r w:rsidR="00E35C62">
        <w:rPr>
          <w:rFonts w:eastAsiaTheme="minorEastAsia"/>
        </w:rPr>
        <w:t>Our goal here is to relate</w:t>
      </w:r>
      <w:r w:rsidR="00842EE9">
        <w:rPr>
          <w:rFonts w:eastAsiaTheme="minorEastAsia"/>
        </w:rPr>
        <w:t xml:space="preserve"> </w:t>
      </w:r>
      <w:r w:rsidR="000F34F5">
        <w:rPr>
          <w:rFonts w:eastAsiaTheme="minorEastAsia"/>
        </w:rPr>
        <w:t xml:space="preserve">the </w:t>
      </w:r>
      <w:r w:rsidR="00E35C62">
        <w:rPr>
          <w:rFonts w:eastAsiaTheme="minorEastAsia"/>
        </w:rPr>
        <w:t>osmoprotection power to</w:t>
      </w:r>
      <w:r w:rsidR="000F34F5">
        <w:rPr>
          <w:rFonts w:eastAsiaTheme="minorEastAsia"/>
        </w:rPr>
        <w:t xml:space="preserve"> </w:t>
      </w:r>
      <w:r w:rsidR="00842EE9">
        <w:rPr>
          <w:rFonts w:eastAsiaTheme="minorEastAsia"/>
        </w:rPr>
        <w:t>the competition between protein-water and</w:t>
      </w:r>
      <w:r w:rsidR="004143CF">
        <w:rPr>
          <w:rFonts w:eastAsiaTheme="minorEastAsia"/>
        </w:rPr>
        <w:t xml:space="preserve"> protein-osmolyte interactions. By </w:t>
      </w:r>
      <w:r w:rsidR="00D40709">
        <w:rPr>
          <w:rFonts w:eastAsiaTheme="minorEastAsia"/>
        </w:rPr>
        <w:t>“</w:t>
      </w:r>
      <w:r w:rsidR="004143CF">
        <w:rPr>
          <w:rFonts w:eastAsiaTheme="minorEastAsia"/>
        </w:rPr>
        <w:t>interaction</w:t>
      </w:r>
      <w:r w:rsidR="00D40709">
        <w:rPr>
          <w:rFonts w:eastAsiaTheme="minorEastAsia"/>
        </w:rPr>
        <w:t>”</w:t>
      </w:r>
      <w:r w:rsidR="00E35C62">
        <w:rPr>
          <w:rFonts w:eastAsiaTheme="minorEastAsia"/>
        </w:rPr>
        <w:t xml:space="preserve">, we do not mean </w:t>
      </w:r>
      <w:r w:rsidR="00D40709">
        <w:rPr>
          <w:rFonts w:eastAsiaTheme="minorEastAsia"/>
        </w:rPr>
        <w:t xml:space="preserve">a </w:t>
      </w:r>
      <w:r w:rsidR="00FC50E0">
        <w:rPr>
          <w:rFonts w:eastAsiaTheme="minorEastAsia"/>
        </w:rPr>
        <w:t>specific</w:t>
      </w:r>
      <w:r w:rsidR="004143CF">
        <w:rPr>
          <w:rFonts w:eastAsiaTheme="minorEastAsia"/>
        </w:rPr>
        <w:t xml:space="preserve"> </w:t>
      </w:r>
      <w:r w:rsidR="00FC50E0">
        <w:rPr>
          <w:rFonts w:eastAsiaTheme="minorEastAsia"/>
        </w:rPr>
        <w:t>(</w:t>
      </w:r>
      <w:r w:rsidR="004143CF">
        <w:rPr>
          <w:rFonts w:eastAsiaTheme="minorEastAsia"/>
        </w:rPr>
        <w:t>stoichiometric</w:t>
      </w:r>
      <w:r w:rsidR="00FC50E0">
        <w:rPr>
          <w:rFonts w:eastAsiaTheme="minorEastAsia"/>
        </w:rPr>
        <w:t>)</w:t>
      </w:r>
      <w:r w:rsidR="004143CF">
        <w:rPr>
          <w:rFonts w:eastAsiaTheme="minorEastAsia"/>
        </w:rPr>
        <w:t xml:space="preserve"> </w:t>
      </w:r>
      <w:r w:rsidR="0065361D">
        <w:rPr>
          <w:rFonts w:eastAsiaTheme="minorEastAsia"/>
        </w:rPr>
        <w:t>interaction that can be expressed in terms of</w:t>
      </w:r>
      <w:r w:rsidR="009B1767">
        <w:rPr>
          <w:rFonts w:eastAsiaTheme="minorEastAsia"/>
        </w:rPr>
        <w:t xml:space="preserve"> a chemical equation. </w:t>
      </w:r>
      <w:r w:rsidR="0065361D">
        <w:rPr>
          <w:rFonts w:eastAsiaTheme="minorEastAsia"/>
        </w:rPr>
        <w:t>Unfortunately,</w:t>
      </w:r>
      <w:r w:rsidR="00D9605C">
        <w:rPr>
          <w:rFonts w:eastAsiaTheme="minorEastAsia"/>
        </w:rPr>
        <w:t xml:space="preserve"> protein-osmolyte and protein-water interactions are weak and non-specific</w:t>
      </w:r>
      <w:r w:rsidR="00FC50E0">
        <w:rPr>
          <w:rFonts w:eastAsiaTheme="minorEastAsia"/>
        </w:rPr>
        <w:t xml:space="preserve"> in nature</w:t>
      </w:r>
      <w:r w:rsidR="00D9605C">
        <w:rPr>
          <w:rFonts w:eastAsiaTheme="minorEastAsia"/>
        </w:rPr>
        <w:t xml:space="preserve">, as well as </w:t>
      </w:r>
      <w:r w:rsidR="0065361D">
        <w:rPr>
          <w:rFonts w:eastAsiaTheme="minorEastAsia"/>
        </w:rPr>
        <w:t>being long-ranged</w:t>
      </w:r>
      <w:r w:rsidR="00C27CBD">
        <w:rPr>
          <w:rFonts w:eastAsiaTheme="minorEastAsia"/>
        </w:rPr>
        <w:t>.</w:t>
      </w:r>
      <w:r w:rsidR="00C27CBD">
        <w:rPr>
          <w:rFonts w:eastAsiaTheme="minorEastAsia"/>
        </w:rPr>
        <w:fldChar w:fldCharType="begin" w:fldLock="1"/>
      </w:r>
      <w:r w:rsidR="002C1133">
        <w:rPr>
          <w:rFonts w:eastAsiaTheme="minorEastAsia"/>
        </w:rPr>
        <w:instrText>ADDIN CSL_CITATION { "citationItems" : [ { "id" : "ITEM-1", "itemData" : { "abstract" : "The effect of cosolvents on biomolecular equilibria has traditionally been rationalized using simple binding models. More recently, a renewed interest in the use of Kirkwood-Buff (KB) theory to analyze solution mixtures has provided new information on the effects of osmolytes and denaturants and their interactions with biomolecules. Here we review the status of KB theory as applied to biological systems. In particular, the existing models of denaturation are analyzed in terms of KB theory, and the use of KB theory to interpret computer simulation data for these systems is discussed.", "author" : [ { "dropping-particle" : "", "family" : "Pierce", "given" : "Veronica", "non-dropping-particle" : "", "parse-names" : false, "suffix" : "" }, { "dropping-particle" : "", "family" : "Kang", "given" : "Myungshim", "non-dropping-particle" : "", "parse-names" : false, "suffix" : "" }, { "dropping-particle" : "", "family" : "Aburi", "given" : "Mahalaxmi", "non-dropping-particle" : "", "parse-names" : false, "suffix" : "" }, { "dropping-particle" : "", "family" : "Weerasinghe", "given" : "Samantha", "non-dropping-particle" : "", "parse-names" : false, "suffix" : "" }, { "dropping-particle" : "", "family" : "Smith", "given" : "Paul E.", "non-dropping-particle" : "", "parse-names" : false, "suffix" : "" } ], "container-title" : "Cell Biochemistry and Biophysics", "id" : "ITEM-1", "issue" : "1", "issued" : { "date-parts" : [ [ "2008", "1" ] ] }, "page" : "1-22", "title" : "Recent applications of Kirkwood-Buff theory to biological systems", "type" : "article", "volume" : "50" }, "uris" : [ "http://www.mendeley.com/documents/?uuid=aa149a7f-d08e-4339-a421-d51cf9a0ed4e"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"mendeley" : { "formattedCitation" : "&lt;sup&gt;[42,49]&lt;/sup&gt;", "plainTextFormattedCitation" : "[42,49]", "previouslyFormattedCitation" : "&lt;sup&gt;[42,49]&lt;/sup&gt;" }, "properties" : { "noteIndex" : 0 }, "schema" : "https://github.com/citation-style-language/schema/raw/master/csl-citation.json" }</w:instrText>
      </w:r>
      <w:r w:rsidR="00C27CBD">
        <w:rPr>
          <w:rFonts w:eastAsiaTheme="minorEastAsia"/>
        </w:rPr>
        <w:fldChar w:fldCharType="separate"/>
      </w:r>
      <w:r w:rsidR="002C1133" w:rsidRPr="002C1133">
        <w:rPr>
          <w:rFonts w:eastAsiaTheme="minorEastAsia"/>
          <w:noProof/>
          <w:vertAlign w:val="superscript"/>
        </w:rPr>
        <w:t>[42,49]</w:t>
      </w:r>
      <w:r w:rsidR="00C27CBD">
        <w:rPr>
          <w:rFonts w:eastAsiaTheme="minorEastAsia"/>
        </w:rPr>
        <w:fldChar w:fldCharType="end"/>
      </w:r>
      <w:r w:rsidR="00C27CBD">
        <w:rPr>
          <w:rFonts w:eastAsiaTheme="minorEastAsia"/>
        </w:rPr>
        <w:t xml:space="preserve"> </w:t>
      </w:r>
      <w:r w:rsidR="0065361D" w:rsidRPr="00F81E1C">
        <w:rPr>
          <w:rFonts w:eastAsiaTheme="minorEastAsia"/>
        </w:rPr>
        <w:t xml:space="preserve">Such </w:t>
      </w:r>
      <w:r w:rsidR="002822E0" w:rsidRPr="00F81E1C">
        <w:rPr>
          <w:rFonts w:eastAsiaTheme="minorEastAsia"/>
        </w:rPr>
        <w:t>interaction</w:t>
      </w:r>
      <w:r w:rsidR="0065361D" w:rsidRPr="00F81E1C">
        <w:rPr>
          <w:rFonts w:eastAsiaTheme="minorEastAsia"/>
        </w:rPr>
        <w:t>s are</w:t>
      </w:r>
      <w:r w:rsidR="002822E0" w:rsidRPr="00F81E1C">
        <w:rPr>
          <w:rFonts w:eastAsiaTheme="minorEastAsia"/>
        </w:rPr>
        <w:t xml:space="preserve"> beyond the</w:t>
      </w:r>
      <w:r w:rsidR="00806B97" w:rsidRPr="00F81E1C">
        <w:rPr>
          <w:rFonts w:eastAsiaTheme="minorEastAsia"/>
        </w:rPr>
        <w:t xml:space="preserve"> grasp of chemical equations or</w:t>
      </w:r>
      <w:r w:rsidR="0065361D" w:rsidRPr="00F81E1C">
        <w:rPr>
          <w:rFonts w:eastAsiaTheme="minorEastAsia"/>
        </w:rPr>
        <w:t xml:space="preserve"> </w:t>
      </w:r>
      <w:r w:rsidR="00FC50E0" w:rsidRPr="00F81E1C">
        <w:rPr>
          <w:rFonts w:eastAsiaTheme="minorEastAsia"/>
        </w:rPr>
        <w:t xml:space="preserve">models employing </w:t>
      </w:r>
      <w:r w:rsidR="00806B97" w:rsidRPr="00F81E1C">
        <w:rPr>
          <w:rFonts w:eastAsiaTheme="minorEastAsia"/>
        </w:rPr>
        <w:t xml:space="preserve">a description of possible </w:t>
      </w:r>
      <w:r w:rsidR="002822E0" w:rsidRPr="00F81E1C">
        <w:rPr>
          <w:rFonts w:eastAsiaTheme="minorEastAsia"/>
        </w:rPr>
        <w:t xml:space="preserve">solvent binding sites on </w:t>
      </w:r>
      <w:r w:rsidR="00806B97" w:rsidRPr="00F81E1C">
        <w:rPr>
          <w:rFonts w:eastAsiaTheme="minorEastAsia"/>
        </w:rPr>
        <w:t>a protein</w:t>
      </w:r>
      <w:r w:rsidR="003A6C89">
        <w:rPr>
          <w:rFonts w:eastAsiaTheme="minorEastAsia"/>
        </w:rPr>
        <w:t xml:space="preserve"> </w:t>
      </w:r>
      <w:r w:rsidR="003A6C89" w:rsidRPr="00AE0793">
        <w:rPr>
          <w:rFonts w:eastAsiaTheme="minorEastAsia"/>
        </w:rPr>
        <w:t>(see later discussion)</w:t>
      </w:r>
      <w:r w:rsidR="00652EA6" w:rsidRPr="00AE0793">
        <w:rPr>
          <w:rFonts w:eastAsiaTheme="minorEastAsia"/>
        </w:rPr>
        <w:t>.</w:t>
      </w:r>
      <w:r w:rsidR="007B58C9">
        <w:rPr>
          <w:rFonts w:eastAsiaTheme="minorEastAsia"/>
        </w:rPr>
        <w:fldChar w:fldCharType="begin" w:fldLock="1"/>
      </w:r>
      <w:r w:rsidR="007B58C9">
        <w:rPr>
          <w:rFonts w:eastAsiaTheme="minorEastAsia"/>
        </w:rPr>
        <w:instrText>ADDIN CSL_CITATION { "citationItems" : [ { "id" : "ITEM-1", "itemData" : { "DOI" : "10.1021/la200704s", "ISBN" : "0065-3233 (Print)\\r0065-3233 (Linking)", "ISSN" : "1520-5827", "PMID" : "4882248", "abstract" : "The first of the two classic papers (books) written about the experimental studies of denaturation by Tanford", "author" : [ { "dropping-particle" : "", "family" : "Tanford", "given" : "C", "non-dropping-particle" : "", "parse-names" : false, "suffix" : "" } ], "container-title" : "Adv. Protein Chem.", "id" : "ITEM-1", "issued" : { "date-parts" : [ [ "1968" ] ] }, "page" : "121-282", "title" : "Protein Denaturation", "type" : "article-journal", "volume" : "23" }, "uris" : [ "http://www.mendeley.com/documents/?uuid=837ca73d-629c-4e7c-acc6-daca305037cd" ] }, { "id" : "ITEM-2", "itemData" : { "DOI" : "10.1016/S0065-3233(08)60241-7", "ISBN" : "0065-3233", "ISSN" : "00653233", "PMID" : "4912353", "abstract" : "Publisher Summary This chapter reviews theoretical models that may be constructed and equations that may be derived from them to understand the process of protein denaturation. Given that the native state is stable under physiological conditions, the question arises whether the effects of environmental changes on the equilibrium between native and denatured states can be predicted, so as to account for the loss of stability of the native state and the appearance of different denatured states under specified conditions. This question involves not the absolute values for the free energies and other thermodynamic parameters for denaturation processes, but the changes in these parameters, along with changes in environmental variables. These changes can be predicted semiquantitatively. Furthermore, one can account both for the products formed under different conditions and for the character of the transitions from native to denatured state, at least for the simple proteins that have been studied in detail.", "author" : [ { "dropping-particle" : "", "family" : "Tanford", "given" : "Charles", "non-dropping-particle" : "", "parse-names" : false, "suffix" : "" } ], "container-title" : "Advances in Protein Chemistry", "id" : "ITEM-2", "issue" : "C", "issued" : { "date-parts" : [ [ "1970" ] ] }, "page" : "1-95", "title" : "Protein Denaturation. Part C. Theoretical Models for The Mechanism of Denaturation", "type" : "article-journal", "volume" : "24" }, "uris" : [ "http://www.mendeley.com/documents/?uuid=4b4d86e9-cd5d-40fe-af36-6958cc3f59fe" ] }, { "id" : "ITEM-3", "itemData" : { "DOI" : "10.1002/bip.1978.360170515", "ISSN" : "0006-3525", "abstract" : "Solvent denaturation is developed along thermodynamic lines rather than from multiple-binding theory. Almost all the relations derivable from site-binding theory have their counterparts in the thermodynamic formulation showing that the details of binding models may be sufficient but are not necessary for the general description of solvent denaturation. Equations are derived for the effect of denaturant concentration on stability at constant temperature and on tm. It is recommended that the thermodynamic treatment be used instead of binding models unless stoichiometric interactions are demonstrable experimentally.", "author" : [ { "dropping-particle" : "", "family" : "Schellman", "given" : "John A", "non-dropping-particle" : "", "parse-names" : false, "suffix" : "" } ], "container-title" : "Biopolymers", "id" : "ITEM-3", "issue" : "2", "issued" : { "date-parts" : [ [ "1978" ] ] }, "page" : "1305-1322", "title" : "Solvent Denaturation", "type" : "article-journal", "volume" : "17" }, "uris" : [ "http://www.mendeley.com/documents/?uuid=e4b261f8-5480-4153-b89b-91de2afa6d43" ] }, { "id" : "ITEM-4", "itemData" : { "DOI" : "10.1002/bip.360260408", "ISBN" : "0006-3525", "ISSN" : "10970282", "PMID" : "3567326", "abstract" : "A primitive model for solvent denaturation is that the denaturant binds independently to sites exposed by the unfolding of the protein. For reagents like urea and guanidinium salts, this binding must be very weak since denaturation occurs only at very high concentrations. Standard formulas for very weak binding lead to thermodynamic inconsistencies. In this paper, binding by denaturants is treated as selective solvation. This introduces a factor of K 1 into the binding isotherm and binding free energy, where K is the equilibrium constant for selective interaction with the sites. This leads to a thermodynamically consistent description of the binding and the denaturation since, when K = 1, there is no selective interaction and no effect on denaturation, even in concentrated solutions where site occupancy is inevitable.", "author" : [ { "dropping-particle" : "", "family" : "Schellman", "given" : "John A.", "non-dropping-particle" : "", "parse-names" : false, "suffix" : "" } ], "container-title" : "Biopolymers", "id" : "ITEM-4", "issue" : "4", "issued" : { "date-parts" : [ [ "1987" ] ] }, "page" : "549-559", "title" : "Selective binding and solvent denaturation", "type" : "article-journal", "volume" : "26" }, "uris" : [ "http://www.mendeley.com/documents/?uuid=3ff0bebd-c006-4655-9fac-c69d9656b2ba" ] }, { "id" : "ITEM-5", "itemData" : { "ISBN" : "0471176265", "abstract" : "\"A Wiley-Interscience publication.\" 1. Number of Liganded Molecules -- 2. Affinities: From a Site Perspective -- 3. Affinities: From a Stoichiometric Perspective -- 4. Affinities: From a Ghost-Site Perspective -- 5. Facts and Fantasies from Graphical Analyses -- 6. Numerical Evaluations of Stoichiometric Binding Constants -- 7. Affinity Profiles -- 8. Thermodynamic Perspectives -- 9. Forces of Interaction -- 10. Molecular Scenarios -- App. A1. Experimental Procedures in Equilibrium Dialysis -- App. A2. Properties of Graphical Representations of Multiple Classes of Independent Binding Sites -- App. A3. Relationships Between Stoichiometric Binding Constants and Site-Binding Constants -- App. A4. Relationships Between Stoichiometric Binding Constants and Ghost-Site Binding Constants.", "author" : [ { "dropping-particle" : "", "family" : "Klotz", "given" : "Irving M.", "non-dropping-particle" : "", "parse-names" : false, "suffix" : "" } ], "id" : "ITEM-5", "issued" : { "date-parts" : [ [ "1997" ] ] }, "number-of-pages" : "170", "publisher" : "Wiley", "publisher-place" : "New York", "title" : "Ligand-receptor energetics : a guide for the perplexed", "type" : "book" }, "uris" : [ "http://www.mendeley.com/documents/?uuid=dd952269-684f-3ac3-8305-432524b1ebd4" ] } ], "mendeley" : { "formattedCitation" : "&lt;sup&gt;[57\u201361]&lt;/sup&gt;", "plainTextFormattedCitation" : "[57\u201361]" }, "properties" : { "noteIndex" : 0 }, "schema" : "https://github.com/citation-style-language/schema/raw/master/csl-citation.json" }</w:instrText>
      </w:r>
      <w:r w:rsidR="007B58C9">
        <w:rPr>
          <w:rFonts w:eastAsiaTheme="minorEastAsia"/>
        </w:rPr>
        <w:fldChar w:fldCharType="separate"/>
      </w:r>
      <w:r w:rsidR="007B58C9" w:rsidRPr="007B58C9">
        <w:rPr>
          <w:rFonts w:eastAsiaTheme="minorEastAsia"/>
          <w:noProof/>
          <w:vertAlign w:val="superscript"/>
        </w:rPr>
        <w:t>[57–61]</w:t>
      </w:r>
      <w:r w:rsidR="007B58C9">
        <w:rPr>
          <w:rFonts w:eastAsiaTheme="minorEastAsia"/>
        </w:rPr>
        <w:fldChar w:fldCharType="end"/>
      </w:r>
      <w:r w:rsidR="004C205E">
        <w:rPr>
          <w:rFonts w:eastAsiaTheme="minorEastAsia"/>
        </w:rPr>
        <w:t xml:space="preserve"> </w:t>
      </w:r>
      <w:r w:rsidR="00806B97" w:rsidRPr="00F81E1C">
        <w:rPr>
          <w:rFonts w:eastAsiaTheme="minorEastAsia"/>
        </w:rPr>
        <w:t>Consequently, it is t</w:t>
      </w:r>
      <w:r w:rsidR="002822E0" w:rsidRPr="00F81E1C">
        <w:rPr>
          <w:rFonts w:eastAsiaTheme="minorEastAsia"/>
        </w:rPr>
        <w:t xml:space="preserve">he spatial </w:t>
      </w:r>
      <w:r w:rsidR="002822E0" w:rsidRPr="00F81E1C">
        <w:rPr>
          <w:rFonts w:eastAsiaTheme="minorEastAsia"/>
          <w:i/>
        </w:rPr>
        <w:t>distribution</w:t>
      </w:r>
      <w:r w:rsidR="002822E0" w:rsidRPr="00F81E1C">
        <w:rPr>
          <w:rFonts w:eastAsiaTheme="minorEastAsia"/>
        </w:rPr>
        <w:t xml:space="preserve"> of solvent mole</w:t>
      </w:r>
      <w:r w:rsidR="00806B97" w:rsidRPr="00F81E1C">
        <w:rPr>
          <w:rFonts w:eastAsiaTheme="minorEastAsia"/>
        </w:rPr>
        <w:t xml:space="preserve">cules </w:t>
      </w:r>
      <w:r w:rsidR="0065361D" w:rsidRPr="00F81E1C">
        <w:rPr>
          <w:rFonts w:eastAsiaTheme="minorEastAsia"/>
        </w:rPr>
        <w:t>around the protein in each conformational state</w:t>
      </w:r>
      <w:r w:rsidR="00806B97" w:rsidRPr="00F81E1C">
        <w:rPr>
          <w:rFonts w:eastAsiaTheme="minorEastAsia"/>
        </w:rPr>
        <w:t xml:space="preserve"> that must be considered</w:t>
      </w:r>
      <w:r w:rsidR="002822E0" w:rsidRPr="00F81E1C">
        <w:rPr>
          <w:rFonts w:eastAsiaTheme="minorEastAsia"/>
        </w:rPr>
        <w:t>.</w:t>
      </w:r>
      <w:r w:rsidR="002822E0">
        <w:rPr>
          <w:rFonts w:eastAsiaTheme="minorEastAsia"/>
        </w:rPr>
        <w:t xml:space="preserve"> </w:t>
      </w:r>
    </w:p>
    <w:p w14:paraId="79C134ED" w14:textId="0647DA51" w:rsidR="002822E0" w:rsidRDefault="00806B97" w:rsidP="002822E0">
      <w:pPr>
        <w:ind w:firstLine="720"/>
        <w:rPr>
          <w:rFonts w:eastAsiaTheme="minorEastAsia"/>
        </w:rPr>
      </w:pPr>
      <w:r>
        <w:rPr>
          <w:rFonts w:eastAsiaTheme="minorEastAsia"/>
        </w:rPr>
        <w:t xml:space="preserve">Let us examine the </w:t>
      </w:r>
      <w:r w:rsidR="007A59E6">
        <w:rPr>
          <w:rFonts w:eastAsiaTheme="minorEastAsia"/>
        </w:rPr>
        <w:t>water a</w:t>
      </w:r>
      <w:r w:rsidR="0065361D">
        <w:rPr>
          <w:rFonts w:eastAsiaTheme="minorEastAsia"/>
        </w:rPr>
        <w:t>nd osmolyte molecules</w:t>
      </w:r>
      <w:r w:rsidR="002822E0">
        <w:rPr>
          <w:rFonts w:eastAsiaTheme="minorEastAsia"/>
        </w:rPr>
        <w:t xml:space="preserve"> around each conformational state of a </w:t>
      </w:r>
      <w:r w:rsidR="00842EE9">
        <w:rPr>
          <w:rFonts w:eastAsiaTheme="minorEastAsia"/>
        </w:rPr>
        <w:t>protein</w:t>
      </w:r>
      <w:r w:rsidR="003E59FB">
        <w:rPr>
          <w:rFonts w:eastAsiaTheme="minorEastAsia"/>
        </w:rPr>
        <w:t>, as shown in Figure 1 for the native state.</w:t>
      </w:r>
      <w:r w:rsidR="0065361D">
        <w:rPr>
          <w:rFonts w:eastAsiaTheme="minorEastAsia"/>
        </w:rPr>
        <w:t xml:space="preserve"> Water and osmolyte molecules</w:t>
      </w:r>
      <w:r w:rsidR="002822E0">
        <w:rPr>
          <w:rFonts w:eastAsiaTheme="minorEastAsia"/>
        </w:rPr>
        <w:t xml:space="preserve"> are </w:t>
      </w:r>
      <w:r w:rsidR="00365218">
        <w:rPr>
          <w:rFonts w:eastAsiaTheme="minorEastAsia"/>
        </w:rPr>
        <w:t>constantly moving</w:t>
      </w:r>
      <w:r w:rsidR="002822E0">
        <w:rPr>
          <w:rFonts w:eastAsiaTheme="minorEastAsia"/>
        </w:rPr>
        <w:t>, yet their</w:t>
      </w:r>
      <w:r w:rsidR="0016704B">
        <w:rPr>
          <w:rFonts w:eastAsiaTheme="minorEastAsia"/>
        </w:rPr>
        <w:t xml:space="preserve"> </w:t>
      </w:r>
      <w:r w:rsidR="002822E0">
        <w:rPr>
          <w:rFonts w:eastAsiaTheme="minorEastAsia"/>
        </w:rPr>
        <w:t>time-</w:t>
      </w:r>
      <w:r w:rsidR="0065361D">
        <w:rPr>
          <w:rFonts w:eastAsiaTheme="minorEastAsia"/>
        </w:rPr>
        <w:t>averaged distribution around the protein</w:t>
      </w:r>
      <w:r w:rsidR="002822E0">
        <w:rPr>
          <w:rFonts w:eastAsiaTheme="minorEastAsia"/>
        </w:rPr>
        <w:t xml:space="preserve"> is the onl</w:t>
      </w:r>
      <w:r w:rsidR="00E94EAD">
        <w:rPr>
          <w:rFonts w:eastAsiaTheme="minorEastAsia"/>
        </w:rPr>
        <w:t xml:space="preserve">y concern for </w:t>
      </w:r>
      <w:r>
        <w:rPr>
          <w:rFonts w:eastAsiaTheme="minorEastAsia"/>
        </w:rPr>
        <w:t xml:space="preserve">understanding the corresponding </w:t>
      </w:r>
      <w:r w:rsidR="00E94EAD">
        <w:rPr>
          <w:rFonts w:eastAsiaTheme="minorEastAsia"/>
        </w:rPr>
        <w:t>thermodynamics. The r</w:t>
      </w:r>
      <w:r w:rsidR="002822E0">
        <w:rPr>
          <w:rFonts w:eastAsiaTheme="minorEastAsia"/>
        </w:rPr>
        <w:t>adial distribution function</w:t>
      </w:r>
      <w:r w:rsidR="00A41452">
        <w:rPr>
          <w:rFonts w:eastAsiaTheme="minorEastAsia"/>
        </w:rPr>
        <w:t xml:space="preserve"> (RDF)</w:t>
      </w:r>
      <w:r w:rsidR="002822E0">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Bi</m:t>
            </m:r>
          </m:sub>
          <m:sup>
            <m:r>
              <w:rPr>
                <w:rFonts w:ascii="Cambria Math" w:eastAsiaTheme="minorEastAsia" w:hAnsi="Cambria Math"/>
              </w:rPr>
              <m:t>(α)</m:t>
            </m:r>
          </m:sup>
        </m:sSubSup>
        <m:r>
          <w:rPr>
            <w:rFonts w:ascii="Cambria Math" w:eastAsiaTheme="minorEastAsia" w:hAnsi="Cambria Math"/>
          </w:rPr>
          <m:t>(r)</m:t>
        </m:r>
      </m:oMath>
      <w:r w:rsidR="0065361D">
        <w:rPr>
          <w:rFonts w:eastAsiaTheme="minorEastAsia"/>
        </w:rPr>
        <w:t>, as a</w:t>
      </w:r>
      <w:r w:rsidR="002822E0">
        <w:rPr>
          <w:rFonts w:eastAsiaTheme="minorEastAsia"/>
        </w:rPr>
        <w:t xml:space="preserve"> function of protein-solvent distance, </w:t>
      </w:r>
      <w:r w:rsidR="00E94EAD">
        <w:rPr>
          <w:rFonts w:eastAsiaTheme="minorEastAsia"/>
        </w:rPr>
        <w:t xml:space="preserve">is the signature </w:t>
      </w:r>
      <w:r>
        <w:rPr>
          <w:rFonts w:eastAsiaTheme="minorEastAsia"/>
        </w:rPr>
        <w:t xml:space="preserve">quantity representing the net result of all the </w:t>
      </w:r>
      <w:r w:rsidR="00E94EAD">
        <w:rPr>
          <w:rFonts w:eastAsiaTheme="minorEastAsia"/>
        </w:rPr>
        <w:t>protein-osmolyte and prot</w:t>
      </w:r>
      <w:r w:rsidR="00A27F6D">
        <w:rPr>
          <w:rFonts w:eastAsiaTheme="minorEastAsia"/>
        </w:rPr>
        <w:t>ein-water interactions (Figure 2</w:t>
      </w:r>
      <w:r w:rsidR="00E94EAD">
        <w:rPr>
          <w:rFonts w:eastAsiaTheme="minorEastAsia"/>
        </w:rPr>
        <w:t xml:space="preserve">) that captures the weak, dynamic, and non-stoichiometric nature of </w:t>
      </w:r>
      <w:r w:rsidR="0065361D">
        <w:rPr>
          <w:rFonts w:eastAsiaTheme="minorEastAsia"/>
        </w:rPr>
        <w:t xml:space="preserve">these </w:t>
      </w:r>
      <w:r w:rsidR="00E94EAD">
        <w:rPr>
          <w:rFonts w:eastAsiaTheme="minorEastAsia"/>
        </w:rPr>
        <w:t>interactions</w:t>
      </w:r>
      <w:r w:rsidR="004C205E">
        <w:rPr>
          <w:rFonts w:eastAsiaTheme="minorEastAsia"/>
        </w:rPr>
        <w:t>.</w:t>
      </w:r>
      <w:r w:rsidR="005E50F2">
        <w:fldChar w:fldCharType="begin" w:fldLock="1"/>
      </w:r>
      <w:r w:rsidR="00AE0793">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"10.1021/jp0474879", "abstract" : "A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urea, guanidinium chloride, sodium chloride and 2,2,2,-trifluoroethanol. It is suggested that a determination of the simulated preferential interaction of a cosolvent with the native state of a protein under denaturing conditions provides the simplest test of available force fields, as it avoids simulations of the denatured state which are typically inaccessible with current computer power.\\nA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ur\u2026", "author" : [ { "dropping-particle" : "", "family" : "Smith", "given" : "Paul E.", "non-dropping-particle" : "", "parse-names" : false, "suffix" : "" } ], "container-title" : "Journal of Physical Chemistry B", "id" : "ITEM-2", "issue" : "48", "issued" : { "date-parts" : [ [ "2004", "12", "2" ] ] }, "page" : "18716-18724", "title" : "Cosolvent interactions with biomolecules: Relating computer simulation data to experimental thermodynamic data", "type" : "article-journal", "volume" : "108" }, "uris" : [ "http://www.mendeley.com/documents/?uuid=16db6586-5e10-48af-820c-5339cad79c8b" ] }, { "id" : "ITEM-3", "itemData" : { "abstract" : "A simple model for describing the effects of cosolvents on biomolecular equilibria in solution is presented. The model is developed using the Kirkwood-Buff theory of solutions and relates changes in the chemical potential of the cosolvent, due to the presence of the solute, to changes in the cosolvent (and water) concentrations in the vicinity of the biomolecule. The model is then used to determine the dependence of changes in the free energy for protein denaturation on cosolvent concentration. The experimentally observed linearity for urea, and small deviation from linear behavior for guanidinium chloride denaturation, are reproduced. In addition, the model is also predicted to provide a good description of the helix-inducing effects of TFE solutions.\\n\\nTimes Cited: 0 Article English Cited References Count: 36 860nb", "author" : [ { "dropping-particle" : "", "family" : "Smith", "given" : "Paul E.", "non-dropping-particle" : "", "parse-names" : false, "suffix" : "" } ], "container-title" : "Journal of Physical Chemistry B", "id" : "ITEM-3", "issue" : "41", "issued" : { "date-parts" : [ [ "2004", "10", "14" ] ] }, "page" : "16271-16278", "title" : "Local chemical potential equalization model for cosolvent effects on biomolecular equilibria", "type" : "article-journal", "volume" : "108" }, "uris" : [ "http://www.mendeley.com/documents/?uuid=dc2e1109-13ff-4078-8070-7c9910fa6c5d" ] }, { "id" : "ITEM-4",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"ITEM-4", "issue" : "18", "issued" : { "date-parts" : [ [ "2004" ] ] }, "page" : "9147-9155", "title" : "The Kirkwood-Buff theory and the effect of cosolvents on biochemical reactions", "type" : "article-journal", "volume" : "121" }, "uris" : [ "http://www.mendeley.com/documents/?uuid=773d4c28-f2d5-421b-a5a5-0066df199fbe" ] }, { "id" : "ITEM-5", "itemData" : { "DOI" : "10.1021/jp056100e", "abstract" : "Equilibrium dialysis data has provided valuable information concerning the preferential interaction of a cosolvent with a biomolecule in aqueous solutions. Here, we formulate the experimental data in terms of Kirkwood-Buff (KB) theory, resulting in equations that provide a simple physical picture of the dialysis experiment and thereby the interaction of a cosolvent with a biomolecule. These results are then used to establish exact relationships between preferential interaction coefficients, defined in different ensembles and/or using different concentration scales, in terms of KB integrals. It is then argued that the molality based equilibrium dialysis data represent the situation most relevant to computer simulations performed in either open or closed systems.", "author" : [ { "dropping-particle" : "", "family" : "Smith", "given" : "Paul E.", "non-dropping-particle" : "", "parse-names" : false, "suffix" : "" } ], "container-title" : "Journal of Physical Chemistry B", "id" : "ITEM-5", "issue" : "6", "issued" : { "date-parts" : [ [ "2006", "2", "16" ] ] }, "page" : "2862-2868", "publisher" : "American Chemical Society", "title" : "Equilibrium dialysis data and the relationships between preferential interaction parameters for biological systems in terms of kirkwood-buff integrals", "type" : "article-journal", "volume" : "110" }, "uris" : [ "http://www.mendeley.com/documents/?uuid=30b5c5be-cfb2-403d-ae77-c99d607c11a2" ] }, { "id" : "ITEM-6", "itemData" : { "DOI" : "10.1529/biophysj.105.078790", "abstract" : "New expressions for chemical potential derivatives and preferential interaction parameters for ternary mixtures are derived for open, semiopen, and closed ensembles in terms of Kirkwood-Buff integrals, where all three components are present at finite concentrations. This is achieved using a simple approach that avoids the use of the general matrix formulation of Kirkwood-Buff theory. The resulting expressions provide a rigorous foundation for the analysis of experimental and simulation data. Using the results, a simple model is developed and used to investigate the possible effects of finite protein concentrations on the corresponding cosolvent dependent chemical potential and denaturation thermodynamics.", "author" : [ { "dropping-particle" : "", "family" : "Smith", "given" : "Paul E.", "non-dropping-particle" : "", "parse-names" : false, "suffix" : "" } ], "container-title" : "Biophysical Journal", "id" : "ITEM-6", "issue" : "3", "issued" : { "date-parts" : [ [ "2006" ] ] }, "page" : "849-856", "title" : "Chemical Potential Derivatives and Preferential Interaction Parameters in Biological Systems from Kirkwood-Buff Theory", "type" : "article-journal", "volume" : "91" }, "uris" : [ "http://www.mendeley.com/documents/?uuid=541ab070-ef7f-443a-8357-2ca63184559d" ] }, { "id" : "ITEM-7",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"ITEM-7", "issue" : "23", "issued" : { "date-parts" : [ [ "2006" ] ] }, "page" : "234905", "title" : "The Hofmeister series and protein-salt interactions", "type" : "article-journal", "volume" : "124" }, "uris" : [ "http://www.mendeley.com/documents/?uuid=0a70a1b5-2739-4d43-a695-db256c211fdf" ] } ], "mendeley" : { "formattedCitation" : "&lt;sup&gt;[42\u201348]&lt;/sup&gt;", "plainTextFormattedCitation" : "[42\u201348]", "previouslyFormattedCitation" : "&lt;sup&gt;[42\u201348]&lt;/sup&gt;" }, "properties" : { "noteIndex" : 0 }, "schema" : "https://github.com/citation-style-language/schema/raw/master/csl-citation.json" }</w:instrText>
      </w:r>
      <w:r w:rsidR="005E50F2">
        <w:fldChar w:fldCharType="separate"/>
      </w:r>
      <w:r w:rsidR="002C1133" w:rsidRPr="002C1133">
        <w:rPr>
          <w:noProof/>
          <w:vertAlign w:val="superscript"/>
        </w:rPr>
        <w:t>[42–48]</w:t>
      </w:r>
      <w:r w:rsidR="005E50F2">
        <w:fldChar w:fldCharType="end"/>
      </w:r>
      <w:r w:rsidR="00ED08BC">
        <w:rPr>
          <w:rFonts w:eastAsiaTheme="minorEastAsia"/>
        </w:rPr>
        <w:t xml:space="preserve"> </w:t>
      </w:r>
      <w:r w:rsidRPr="00F81E1C">
        <w:rPr>
          <w:rFonts w:eastAsiaTheme="minorEastAsia"/>
        </w:rPr>
        <w:t xml:space="preserve">The RDF quantifies the distribution of solvent molecules around a protein conformation as a function of distance from the protein solute. Regions where the RDF </w:t>
      </w:r>
      <w:r w:rsidR="00F61D44" w:rsidRPr="00F81E1C">
        <w:rPr>
          <w:rFonts w:eastAsiaTheme="minorEastAsia"/>
        </w:rPr>
        <w:t>is significantly greater than unity, i.e</w:t>
      </w:r>
      <w:r w:rsidR="00365218">
        <w:rPr>
          <w:rFonts w:eastAsiaTheme="minorEastAsia"/>
        </w:rPr>
        <w:t>.</w:t>
      </w:r>
      <w:r w:rsidR="00F61D44" w:rsidRPr="00F81E1C">
        <w:rPr>
          <w:rFonts w:eastAsiaTheme="minorEastAsia"/>
        </w:rPr>
        <w:t xml:space="preserve"> the bulk (random) distribution value, indicate a regi</w:t>
      </w:r>
      <w:r w:rsidR="00365218">
        <w:rPr>
          <w:rFonts w:eastAsiaTheme="minorEastAsia"/>
        </w:rPr>
        <w:t xml:space="preserve">on of </w:t>
      </w:r>
      <w:r w:rsidR="00F61D44" w:rsidRPr="00F81E1C">
        <w:rPr>
          <w:rFonts w:eastAsiaTheme="minorEastAsia"/>
        </w:rPr>
        <w:t xml:space="preserve">attraction between the protein and the solvent molecules, whereas regions where the RDF is significantly lower than unity </w:t>
      </w:r>
      <w:r w:rsidR="00365218">
        <w:rPr>
          <w:rFonts w:eastAsiaTheme="minorEastAsia"/>
        </w:rPr>
        <w:t xml:space="preserve">indicate regions of </w:t>
      </w:r>
      <w:r w:rsidR="00F61D44" w:rsidRPr="00F81E1C">
        <w:rPr>
          <w:rFonts w:eastAsiaTheme="minorEastAsia"/>
        </w:rPr>
        <w:t xml:space="preserve">repulsion or exclusion </w:t>
      </w:r>
      <w:r w:rsidR="00365218">
        <w:rPr>
          <w:rFonts w:eastAsiaTheme="minorEastAsia"/>
        </w:rPr>
        <w:t xml:space="preserve">of solvent </w:t>
      </w:r>
      <w:r w:rsidR="00F61D44" w:rsidRPr="00F81E1C">
        <w:rPr>
          <w:rFonts w:eastAsiaTheme="minorEastAsia"/>
        </w:rPr>
        <w:t>from the protein</w:t>
      </w:r>
      <w:r w:rsidR="004C205E">
        <w:rPr>
          <w:rFonts w:eastAsiaTheme="minorEastAsia"/>
        </w:rPr>
        <w:t>.</w:t>
      </w:r>
      <w:r w:rsidR="005E50F2">
        <w:fldChar w:fldCharType="begin" w:fldLock="1"/>
      </w:r>
      <w:r w:rsidR="00AE0793">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"10.1021/jp0474879", "abstract" : "A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urea, guanidinium chloride, sodium chloride and 2,2,2,-trifluoroethanol. It is suggested that a determination of the simulated preferential interaction of a cosolvent with the native state of a protein under denaturing conditions provides the simplest test of available force fields, as it avoids simulations of the denatured state which are typically inaccessible with current computer power.\\nA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ur\u2026", "author" : [ { "dropping-particle" : "", "family" : "Smith", "given" : "Paul E.", "non-dropping-particle" : "", "parse-names" : false, "suffix" : "" } ], "container-title" : "Journal of Physical Chemistry B", "id" : "ITEM-2", "issue" : "48", "issued" : { "date-parts" : [ [ "2004", "12", "2" ] ] }, "page" : "18716-18724", "title" : "Cosolvent interactions with biomolecules: Relating computer simulation data to experimental thermodynamic data", "type" : "article-journal", "volume" : "108" }, "uris" : [ "http://www.mendeley.com/documents/?uuid=16db6586-5e10-48af-820c-5339cad79c8b" ] }, { "id" : "ITEM-3", "itemData" : { "abstract" : "A simple model for describing the effects of cosolvents on biomolecular equilibria in solution is presented. The model is developed using the Kirkwood-Buff theory of solutions and relates changes in the chemical potential of the cosolvent, due to the presence of the solute, to changes in the cosolvent (and water) concentrations in the vicinity of the biomolecule. The model is then used to determine the dependence of changes in the free energy for protein denaturation on cosolvent concentration. The experimentally observed linearity for urea, and small deviation from linear behavior for guanidinium chloride denaturation, are reproduced. In addition, the model is also predicted to provide a good description of the helix-inducing effects of TFE solutions.\\n\\nTimes Cited: 0 Article English Cited References Count: 36 860nb", "author" : [ { "dropping-particle" : "", "family" : "Smith", "given" : "Paul E.", "non-dropping-particle" : "", "parse-names" : false, "suffix" : "" } ], "container-title" : "Journal of Physical Chemistry B", "id" : "ITEM-3", "issue" : "41", "issued" : { "date-parts" : [ [ "2004", "10", "14" ] ] }, "page" : "16271-16278", "title" : "Local chemical potential equalization model for cosolvent effects on biomolecular equilibria", "type" : "article-journal", "volume" : "108" }, "uris" : [ "http://www.mendeley.com/documents/?uuid=dc2e1109-13ff-4078-8070-7c9910fa6c5d" ] }, { "id" : "ITEM-4",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"ITEM-4", "issue" : "18", "issued" : { "date-parts" : [ [ "2004" ] ] }, "page" : "9147-9155", "title" : "The Kirkwood-Buff theory and the effect of cosolvents on biochemical reactions", "type" : "article-journal", "volume" : "121" }, "uris" : [ "http://www.mendeley.com/documents/?uuid=773d4c28-f2d5-421b-a5a5-0066df199fbe" ] }, { "id" : "ITEM-5", "itemData" : { "DOI" : "10.1021/jp056100e", "abstract" : "Equilibrium dialysis data has provided valuable information concerning the preferential interaction of a cosolvent with a biomolecule in aqueous solutions. Here, we formulate the experimental data in terms of Kirkwood-Buff (KB) theory, resulting in equations that provide a simple physical picture of the dialysis experiment and thereby the interaction of a cosolvent with a biomolecule. These results are then used to establish exact relationships between preferential interaction coefficients, defined in different ensembles and/or using different concentration scales, in terms of KB integrals. It is then argued that the molality based equilibrium dialysis data represent the situation most relevant to computer simulations performed in either open or closed systems.", "author" : [ { "dropping-particle" : "", "family" : "Smith", "given" : "Paul E.", "non-dropping-particle" : "", "parse-names" : false, "suffix" : "" } ], "container-title" : "Journal of Physical Chemistry B", "id" : "ITEM-5", "issue" : "6", "issued" : { "date-parts" : [ [ "2006", "2", "16" ] ] }, "page" : "2862-2868", "publisher" : "American Chemical Society", "title" : "Equilibrium dialysis data and the relationships between preferential interaction parameters for biological systems in terms of kirkwood-buff integrals", "type" : "article-journal", "volume" : "110" }, "uris" : [ "http://www.mendeley.com/documents/?uuid=30b5c5be-cfb2-403d-ae77-c99d607c11a2" ] }, { "id" : "ITEM-6", "itemData" : { "DOI" : "10.1529/biophysj.105.078790", "abstract" : "New expressions for chemical potential derivatives and preferential interaction parameters for ternary mixtures are derived for open, semiopen, and closed ensembles in terms of Kirkwood-Buff integrals, where all three components are present at finite concentrations. This is achieved using a simple approach that avoids the use of the general matrix formulation of Kirkwood-Buff theory. The resulting expressions provide a rigorous foundation for the analysis of experimental and simulation data. Using the results, a simple model is developed and used to investigate the possible effects of finite protein concentrations on the corresponding cosolvent dependent chemical potential and denaturation thermodynamics.", "author" : [ { "dropping-particle" : "", "family" : "Smith", "given" : "Paul E.", "non-dropping-particle" : "", "parse-names" : false, "suffix" : "" } ], "container-title" : "Biophysical Journal", "id" : "ITEM-6", "issue" : "3", "issued" : { "date-parts" : [ [ "2006" ] ] }, "page" : "849-856", "title" : "Chemical Potential Derivatives and Preferential Interaction Parameters in Biological Systems from Kirkwood-Buff Theory", "type" : "article-journal", "volume" : "91" }, "uris" : [ "http://www.mendeley.com/documents/?uuid=541ab070-ef7f-443a-8357-2ca63184559d" ] }, { "id" : "ITEM-7",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"ITEM-7", "issue" : "23", "issued" : { "date-parts" : [ [ "2006" ] ] }, "page" : "234905", "title" : "The Hofmeister series and protein-salt interactions", "type" : "article-journal", "volume" : "124" }, "uris" : [ "http://www.mendeley.com/documents/?uuid=0a70a1b5-2739-4d43-a695-db256c211fdf" ] } ], "mendeley" : { "formattedCitation" : "&lt;sup&gt;[42\u201348]&lt;/sup&gt;", "plainTextFormattedCitation" : "[42\u201348]", "previouslyFormattedCitation" : "&lt;sup&gt;[42\u201348]&lt;/sup&gt;" }, "properties" : { "noteIndex" : 0 }, "schema" : "https://github.com/citation-style-language/schema/raw/master/csl-citation.json" }</w:instrText>
      </w:r>
      <w:r w:rsidR="005E50F2">
        <w:fldChar w:fldCharType="separate"/>
      </w:r>
      <w:r w:rsidR="002C1133" w:rsidRPr="002C1133">
        <w:rPr>
          <w:noProof/>
          <w:vertAlign w:val="superscript"/>
        </w:rPr>
        <w:t>[42–48]</w:t>
      </w:r>
      <w:r w:rsidR="005E50F2">
        <w:fldChar w:fldCharType="end"/>
      </w:r>
      <w:r w:rsidR="00F81E1C">
        <w:rPr>
          <w:rFonts w:eastAsiaTheme="minorEastAsia"/>
        </w:rPr>
        <w:t xml:space="preserve"> </w:t>
      </w:r>
    </w:p>
    <w:p w14:paraId="04185C51" w14:textId="77777777" w:rsidR="00637AE6" w:rsidRDefault="00A41452" w:rsidP="00A41452">
      <w:pPr>
        <w:ind w:firstLine="720"/>
        <w:rPr>
          <w:rFonts w:eastAsiaTheme="minorEastAsia"/>
        </w:rPr>
      </w:pPr>
      <w:r>
        <w:rPr>
          <w:rFonts w:eastAsiaTheme="minorEastAsia"/>
        </w:rPr>
        <w:t xml:space="preserve">Whether a solvent species </w:t>
      </w:r>
      <m:oMath>
        <m:r>
          <w:rPr>
            <w:rFonts w:ascii="Cambria Math" w:eastAsiaTheme="minorEastAsia" w:hAnsi="Cambria Math"/>
          </w:rPr>
          <m:t>i</m:t>
        </m:r>
      </m:oMath>
      <w:r w:rsidR="0033782A">
        <w:rPr>
          <w:rFonts w:eastAsiaTheme="minorEastAsia"/>
        </w:rPr>
        <w:t xml:space="preserve"> </w:t>
      </w:r>
      <w:r>
        <w:rPr>
          <w:rFonts w:eastAsiaTheme="minorEastAsia"/>
        </w:rPr>
        <w:t>(</w:t>
      </w:r>
      <w:r w:rsidR="0033782A">
        <w:rPr>
          <w:rFonts w:eastAsiaTheme="minorEastAsia"/>
        </w:rPr>
        <w:t>=</w:t>
      </w:r>
      <w:r>
        <w:rPr>
          <w:rFonts w:eastAsiaTheme="minorEastAsia"/>
        </w:rPr>
        <w:t xml:space="preserve">water or </w:t>
      </w:r>
      <w:r w:rsidR="00365218">
        <w:rPr>
          <w:rFonts w:eastAsiaTheme="minorEastAsia"/>
        </w:rPr>
        <w:t>cosolvent/</w:t>
      </w:r>
      <w:r>
        <w:rPr>
          <w:rFonts w:eastAsiaTheme="minorEastAsia"/>
        </w:rPr>
        <w:t xml:space="preserve">osmolyte) is net attracted or excluded from a </w:t>
      </w:r>
      <w:r w:rsidR="0065361D">
        <w:rPr>
          <w:rFonts w:eastAsiaTheme="minorEastAsia"/>
        </w:rPr>
        <w:t xml:space="preserve">particular </w:t>
      </w:r>
      <w:r>
        <w:rPr>
          <w:rFonts w:eastAsiaTheme="minorEastAsia"/>
        </w:rPr>
        <w:t>conformational state of a p</w:t>
      </w:r>
      <w:r w:rsidR="00EF1B31">
        <w:rPr>
          <w:rFonts w:eastAsiaTheme="minorEastAsia"/>
        </w:rPr>
        <w:t>rotein can be quantified by the</w:t>
      </w:r>
      <w:r w:rsidR="00E001CA">
        <w:rPr>
          <w:rFonts w:eastAsiaTheme="minorEastAsia"/>
        </w:rPr>
        <w:t xml:space="preserve"> integral</w:t>
      </w:r>
      <w:r w:rsidR="00EF1B31">
        <w:rPr>
          <w:rFonts w:eastAsiaTheme="minorEastAsia"/>
        </w:rPr>
        <w:t>s</w:t>
      </w:r>
      <w:r w:rsidR="00E001CA">
        <w:rPr>
          <w:rFonts w:eastAsiaTheme="minorEastAsia"/>
        </w:rPr>
        <w:t xml:space="preserve"> </w:t>
      </w:r>
      <w:r w:rsidR="00EF1B31">
        <w:rPr>
          <w:rFonts w:eastAsiaTheme="minorEastAsia"/>
        </w:rPr>
        <w:t xml:space="preserve">over the RDFs </w:t>
      </w:r>
      <w:r w:rsidR="0065361D">
        <w:rPr>
          <w:rFonts w:eastAsiaTheme="minorEastAsia"/>
        </w:rPr>
        <w:t xml:space="preserve">between the protein and species </w:t>
      </w:r>
      <w:r w:rsidR="0065361D" w:rsidRPr="0065361D">
        <w:rPr>
          <w:rFonts w:eastAsiaTheme="minorEastAsia"/>
          <w:i/>
        </w:rPr>
        <w:t>i</w:t>
      </w:r>
      <w:r w:rsidR="0065361D">
        <w:rPr>
          <w:rFonts w:eastAsiaTheme="minorEastAsia"/>
        </w:rPr>
        <w:t xml:space="preserve"> as </w:t>
      </w:r>
      <w:r>
        <w:rPr>
          <w:rFonts w:eastAsiaTheme="minorEastAsia"/>
        </w:rPr>
        <w:t>defined by</w:t>
      </w:r>
    </w:p>
    <w:p w14:paraId="359A386A" w14:textId="77777777" w:rsidR="00842EE9" w:rsidRDefault="006B7D0C" w:rsidP="00842EE9">
      <w:pPr>
        <w:ind w:firstLine="720"/>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Bi</m:t>
            </m:r>
          </m:sub>
          <m:sup>
            <m:r>
              <w:rPr>
                <w:rFonts w:ascii="Cambria Math" w:eastAsiaTheme="minorEastAsia" w:hAnsi="Cambria Math"/>
              </w:rPr>
              <m:t>(α)</m:t>
            </m:r>
          </m:sup>
        </m:sSubSup>
        <m:r>
          <w:rPr>
            <w:rFonts w:ascii="Cambria Math" w:eastAsiaTheme="minorEastAsia" w:hAnsi="Cambria Math"/>
          </w:rPr>
          <m:t>=4π</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 xml:space="preserve">dr </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
              <m:dPr>
                <m:begChr m:val="["/>
                <m:endChr m:val="]"/>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Bi</m:t>
                    </m:r>
                  </m:sub>
                  <m:sup>
                    <m:d>
                      <m:dPr>
                        <m:ctrlPr>
                          <w:rPr>
                            <w:rFonts w:ascii="Cambria Math" w:eastAsiaTheme="minorEastAsia" w:hAnsi="Cambria Math"/>
                            <w:i/>
                          </w:rPr>
                        </m:ctrlPr>
                      </m:dPr>
                      <m:e>
                        <m:r>
                          <w:rPr>
                            <w:rFonts w:ascii="Cambria Math" w:eastAsiaTheme="minorEastAsia" w:hAnsi="Cambria Math"/>
                          </w:rPr>
                          <m:t>α</m:t>
                        </m:r>
                      </m:e>
                    </m:d>
                  </m:sup>
                </m:sSubSup>
                <m:d>
                  <m:dPr>
                    <m:ctrlPr>
                      <w:rPr>
                        <w:rFonts w:ascii="Cambria Math" w:eastAsiaTheme="minorEastAsia" w:hAnsi="Cambria Math"/>
                        <w:i/>
                      </w:rPr>
                    </m:ctrlPr>
                  </m:dPr>
                  <m:e>
                    <m:r>
                      <w:rPr>
                        <w:rFonts w:ascii="Cambria Math" w:eastAsiaTheme="minorEastAsia" w:hAnsi="Cambria Math"/>
                      </w:rPr>
                      <m:t>r</m:t>
                    </m:r>
                  </m:e>
                </m:d>
                <m:r>
                  <w:rPr>
                    <w:rFonts w:ascii="Cambria Math" w:eastAsiaTheme="minorEastAsia" w:hAnsi="Cambria Math"/>
                  </w:rPr>
                  <m:t>-1</m:t>
                </m:r>
              </m:e>
            </m:d>
          </m:e>
        </m:nary>
      </m:oMath>
      <w:r w:rsidR="00842EE9">
        <w:rPr>
          <w:rFonts w:eastAsiaTheme="minorEastAsia"/>
        </w:rPr>
        <w:tab/>
      </w:r>
      <w:r w:rsidR="003A6C89">
        <w:rPr>
          <w:rFonts w:eastAsiaTheme="minorEastAsia"/>
        </w:rPr>
        <w:tab/>
      </w:r>
      <w:r w:rsidR="00842EE9">
        <w:rPr>
          <w:rFonts w:eastAsiaTheme="minorEastAsia"/>
        </w:rPr>
        <w:t>(</w:t>
      </w:r>
      <m:oMath>
        <m:r>
          <w:rPr>
            <w:rFonts w:ascii="Cambria Math" w:eastAsiaTheme="minorEastAsia" w:hAnsi="Cambria Math"/>
          </w:rPr>
          <m:t>i=C</m:t>
        </m:r>
      </m:oMath>
      <w:r w:rsidR="00842EE9">
        <w:rPr>
          <w:rFonts w:eastAsiaTheme="minorEastAsia"/>
        </w:rPr>
        <w:t xml:space="preserve"> or </w:t>
      </w:r>
      <m:oMath>
        <m:r>
          <w:rPr>
            <w:rFonts w:ascii="Cambria Math" w:eastAsiaTheme="minorEastAsia" w:hAnsi="Cambria Math"/>
          </w:rPr>
          <m:t>W</m:t>
        </m:r>
      </m:oMath>
      <w:r w:rsidR="00842EE9">
        <w:rPr>
          <w:rFonts w:eastAsiaTheme="minorEastAsia"/>
        </w:rPr>
        <w:t xml:space="preserve">, </w:t>
      </w:r>
      <m:oMath>
        <m:r>
          <w:rPr>
            <w:rFonts w:ascii="Cambria Math" w:eastAsiaTheme="minorEastAsia" w:hAnsi="Cambria Math"/>
          </w:rPr>
          <m:t>α=d</m:t>
        </m:r>
      </m:oMath>
      <w:r w:rsidR="00842EE9">
        <w:rPr>
          <w:rFonts w:eastAsiaTheme="minorEastAsia"/>
        </w:rPr>
        <w:t xml:space="preserve"> or </w:t>
      </w:r>
      <m:oMath>
        <m:r>
          <w:rPr>
            <w:rFonts w:ascii="Cambria Math" w:eastAsiaTheme="minorEastAsia" w:hAnsi="Cambria Math"/>
          </w:rPr>
          <m:t>n</m:t>
        </m:r>
      </m:oMath>
      <w:r w:rsidR="003A6C89">
        <w:rPr>
          <w:rFonts w:eastAsiaTheme="minorEastAsia"/>
        </w:rPr>
        <w:t>)</w:t>
      </w:r>
      <w:r w:rsidR="00842EE9">
        <w:rPr>
          <w:rFonts w:eastAsiaTheme="minorEastAsia"/>
        </w:rPr>
        <w:tab/>
      </w:r>
      <w:r w:rsidR="00842EE9">
        <w:rPr>
          <w:rFonts w:eastAsiaTheme="minorEastAsia"/>
        </w:rPr>
        <w:tab/>
        <w:t>(3)</w:t>
      </w:r>
    </w:p>
    <w:p w14:paraId="7872FBB1" w14:textId="6F01F8DD" w:rsidR="00A41452" w:rsidRDefault="00A41452" w:rsidP="00A41452">
      <w:pPr>
        <w:rPr>
          <w:rFonts w:eastAsiaTheme="minorEastAsia"/>
        </w:rPr>
      </w:pPr>
      <w:r>
        <w:rPr>
          <w:rFonts w:eastAsiaTheme="minorEastAsia"/>
        </w:rPr>
        <w:t>wh</w:t>
      </w:r>
      <w:r w:rsidR="0065361D">
        <w:rPr>
          <w:rFonts w:eastAsiaTheme="minorEastAsia"/>
        </w:rPr>
        <w:t xml:space="preserve">ich expresses the overall </w:t>
      </w:r>
      <w:r w:rsidR="006F004A">
        <w:rPr>
          <w:rFonts w:eastAsiaTheme="minorEastAsia"/>
        </w:rPr>
        <w:t xml:space="preserve">(integrated) </w:t>
      </w:r>
      <w:r w:rsidR="0065361D">
        <w:rPr>
          <w:rFonts w:eastAsiaTheme="minorEastAsia"/>
        </w:rPr>
        <w:t>deviation</w:t>
      </w:r>
      <w:r w:rsidR="00F61D44">
        <w:rPr>
          <w:rFonts w:eastAsiaTheme="minorEastAsia"/>
        </w:rPr>
        <w:t xml:space="preserve"> of the RDF from its (random</w:t>
      </w:r>
      <w:r w:rsidR="0065361D">
        <w:rPr>
          <w:rFonts w:eastAsiaTheme="minorEastAsia"/>
        </w:rPr>
        <w:t>) value of unity</w:t>
      </w:r>
      <w:r w:rsidR="004C205E">
        <w:rPr>
          <w:rFonts w:eastAsiaTheme="minorEastAsia"/>
        </w:rPr>
        <w:t>.</w:t>
      </w:r>
      <w:r w:rsidR="005E50F2">
        <w:fldChar w:fldCharType="begin" w:fldLock="1"/>
      </w:r>
      <w:r w:rsidR="00AE0793">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"10.1021/jp0474879", "abstract" : "A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urea, guanidinium chloride, sodium chloride and 2,2,2,-trifluoroethanol. It is suggested that a determination of the simulated preferential interaction of a cosolvent with the native state of a protein under denaturing conditions provides the simplest test of available force fields, as it avoids simulations of the denatured state which are typically inaccessible with current computer power.\\nA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ur\u2026", "author" : [ { "dropping-particle" : "", "family" : "Smith", "given" : "Paul E.", "non-dropping-particle" : "", "parse-names" : false, "suffix" : "" } ], "container-title" : "Journal of Physical Chemistry B", "id" : "ITEM-2", "issue" : "48", "issued" : { "date-parts" : [ [ "2004", "12", "2" ] ] }, "page" : "18716-18724", "title" : "Cosolvent interactions with biomolecules: Relating computer simulation data to experimental thermodynamic data", "type" : "article-journal", "volume" : "108" }, "uris" : [ "http://www.mendeley.com/documents/?uuid=16db6586-5e10-48af-820c-5339cad79c8b" ] }, { "id" : "ITEM-3", "itemData" : { "abstract" : "A simple model for describing the effects of cosolvents on biomolecular equilibria in solution is presented. The model is developed using the Kirkwood-Buff theory of solutions and relates changes in the chemical potential of the cosolvent, due to the presence of the solute, to changes in the cosolvent (and water) concentrations in the vicinity of the biomolecule. The model is then used to determine the dependence of changes in the free energy for protein denaturation on cosolvent concentration. The experimentally observed linearity for urea, and small deviation from linear behavior for guanidinium chloride denaturation, are reproduced. In addition, the model is also predicted to provide a good description of the helix-inducing effects of TFE solutions.\\n\\nTimes Cited: 0 Article English Cited References Count: 36 860nb", "author" : [ { "dropping-particle" : "", "family" : "Smith", "given" : "Paul E.", "non-dropping-particle" : "", "parse-names" : false, "suffix" : "" } ], "container-title" : "Journal of Physical Chemistry B", "id" : "ITEM-3", "issue" : "41", "issued" : { "date-parts" : [ [ "2004", "10", "14" ] ] }, "page" : "16271-16278", "title" : "Local chemical potential equalization model for cosolvent effects on biomolecular equilibria", "type" : "article-journal", "volume" : "108" }, "uris" : [ "http://www.mendeley.com/documents/?uuid=dc2e1109-13ff-4078-8070-7c9910fa6c5d" ] }, { "id" : "ITEM-4",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"ITEM-4", "issue" : "18", "issued" : { "date-parts" : [ [ "2004" ] ] }, "page" : "9147-9155", "title" : "The Kirkwood-Buff theory and the effect of cosolvents on biochemical reactions", "type" : "article-journal", "volume" : "121" }, "uris" : [ "http://www.mendeley.com/documents/?uuid=773d4c28-f2d5-421b-a5a5-0066df199fbe" ] }, { "id" : "ITEM-5", "itemData" : { "DOI" : "10.1021/jp056100e", "abstract" : "Equilibrium dialysis data has provided valuable information concerning the preferential interaction of a cosolvent with a biomolecule in aqueous solutions. Here, we formulate the experimental data in terms of Kirkwood-Buff (KB) theory, resulting in equations that provide a simple physical picture of the dialysis experiment and thereby the interaction of a cosolvent with a biomolecule. These results are then used to establish exact relationships between preferential interaction coefficients, defined in different ensembles and/or using different concentration scales, in terms of KB integrals. It is then argued that the molality based equilibrium dialysis data represent the situation most relevant to computer simulations performed in either open or closed systems.", "author" : [ { "dropping-particle" : "", "family" : "Smith", "given" : "Paul E.", "non-dropping-particle" : "", "parse-names" : false, "suffix" : "" } ], "container-title" : "Journal of Physical Chemistry B", "id" : "ITEM-5", "issue" : "6", "issued" : { "date-parts" : [ [ "2006", "2", "16" ] ] }, "page" : "2862-2868", "publisher" : "American Chemical Society", "title" : "Equilibrium dialysis data and the relationships between preferential interaction parameters for biological systems in terms of kirkwood-buff integrals", "type" : "article-journal", "volume" : "110" }, "uris" : [ "http://www.mendeley.com/documents/?uuid=30b5c5be-cfb2-403d-ae77-c99d607c11a2" ] }, { "id" : "ITEM-6", "itemData" : { "DOI" : "10.1529/biophysj.105.078790", "abstract" : "New expressions for chemical potential derivatives and preferential interaction parameters for ternary mixtures are derived for open, semiopen, and closed ensembles in terms of Kirkwood-Buff integrals, where all three components are present at finite concentrations. This is achieved using a simple approach that avoids the use of the general matrix formulation of Kirkwood-Buff theory. The resulting expressions provide a rigorous foundation for the analysis of experimental and simulation data. Using the results, a simple model is developed and used to investigate the possible effects of finite protein concentrations on the corresponding cosolvent dependent chemical potential and denaturation thermodynamics.", "author" : [ { "dropping-particle" : "", "family" : "Smith", "given" : "Paul E.", "non-dropping-particle" : "", "parse-names" : false, "suffix" : "" } ], "container-title" : "Biophysical Journal", "id" : "ITEM-6", "issue" : "3", "issued" : { "date-parts" : [ [ "2006" ] ] }, "page" : "849-856", "title" : "Chemical Potential Derivatives and Preferential Interaction Parameters in Biological Systems from Kirkwood-Buff Theory", "type" : "article-journal", "volume" : "91" }, "uris" : [ "http://www.mendeley.com/documents/?uuid=541ab070-ef7f-443a-8357-2ca63184559d" ] }, { "id" : "ITEM-7",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"ITEM-7", "issue" : "23", "issued" : { "date-parts" : [ [ "2006" ] ] }, "page" : "234905", "title" : "The Hofmeister series and protein-salt interactions", "type" : "article-journal", "volume" : "124" }, "uris" : [ "http://www.mendeley.com/documents/?uuid=0a70a1b5-2739-4d43-a695-db256c211fdf" ] } ], "mendeley" : { "formattedCitation" : "&lt;sup&gt;[42\u201348]&lt;/sup&gt;", "plainTextFormattedCitation" : "[42\u201348]", "previouslyFormattedCitation" : "&lt;sup&gt;[42\u201348]&lt;/sup&gt;" }, "properties" : { "noteIndex" : 0 }, "schema" : "https://github.com/citation-style-language/schema/raw/master/csl-citation.json" }</w:instrText>
      </w:r>
      <w:r w:rsidR="005E50F2">
        <w:fldChar w:fldCharType="separate"/>
      </w:r>
      <w:r w:rsidR="002C1133" w:rsidRPr="002C1133">
        <w:rPr>
          <w:noProof/>
          <w:vertAlign w:val="superscript"/>
        </w:rPr>
        <w:t>[42–48]</w:t>
      </w:r>
      <w:r w:rsidR="005E50F2">
        <w:fldChar w:fldCharType="end"/>
      </w:r>
      <w:r w:rsidR="00ED08BC">
        <w:rPr>
          <w:rFonts w:eastAsiaTheme="minorEastAsia"/>
        </w:rPr>
        <w:t xml:space="preserve"> </w:t>
      </w:r>
      <w:r w:rsidR="00EF1B31" w:rsidRPr="00F81E1C">
        <w:rPr>
          <w:rFonts w:eastAsiaTheme="minorEastAsia"/>
        </w:rPr>
        <w:t>These are known as Kirkwood-Buff integrals.</w:t>
      </w:r>
      <w:r w:rsidR="00EF1B31">
        <w:rPr>
          <w:rFonts w:eastAsiaTheme="minorEastAsia"/>
        </w:rPr>
        <w:t xml:space="preserve"> </w:t>
      </w:r>
      <w:r w:rsidR="0065361D" w:rsidRPr="00570D90">
        <w:rPr>
          <w:rFonts w:eastAsiaTheme="minorEastAsia"/>
        </w:rPr>
        <w:t xml:space="preserve">The distribution of water and osmolyte molecules around the protein varies with distance </w:t>
      </w:r>
      <w:r w:rsidR="006F004A" w:rsidRPr="00570D90">
        <w:rPr>
          <w:rFonts w:eastAsiaTheme="minorEastAsia"/>
        </w:rPr>
        <w:t xml:space="preserve">due to a multitude of </w:t>
      </w:r>
      <w:r w:rsidR="0065361D" w:rsidRPr="00570D90">
        <w:rPr>
          <w:rFonts w:eastAsiaTheme="minorEastAsia"/>
        </w:rPr>
        <w:t xml:space="preserve">interactions and the role of packing effects. </w:t>
      </w:r>
      <w:r w:rsidRPr="00570D90">
        <w:rPr>
          <w:rFonts w:eastAsiaTheme="minorEastAsia"/>
        </w:rPr>
        <w:t>A</w:t>
      </w:r>
      <w:r w:rsidR="005046FF" w:rsidRPr="00570D90">
        <w:rPr>
          <w:rFonts w:eastAsiaTheme="minorEastAsia"/>
        </w:rPr>
        <w:t>s shown in Figure 3</w:t>
      </w:r>
      <w:r w:rsidR="004A6C3A" w:rsidRPr="00570D90">
        <w:rPr>
          <w:rFonts w:eastAsiaTheme="minorEastAsia"/>
        </w:rPr>
        <w:t>, a</w:t>
      </w:r>
      <w:r w:rsidR="006F004A" w:rsidRPr="00570D90">
        <w:rPr>
          <w:rFonts w:eastAsiaTheme="minorEastAsia"/>
        </w:rPr>
        <w:t>ny</w:t>
      </w:r>
      <w:r w:rsidR="004A6C3A" w:rsidRPr="00570D90">
        <w:rPr>
          <w:rFonts w:eastAsiaTheme="minorEastAsia"/>
        </w:rPr>
        <w:t xml:space="preserve"> </w:t>
      </w:r>
      <w:r w:rsidR="006F004A" w:rsidRPr="00570D90">
        <w:rPr>
          <w:rFonts w:eastAsiaTheme="minorEastAsia"/>
        </w:rPr>
        <w:t>increase in the distribution of</w:t>
      </w:r>
      <w:r w:rsidR="0033782A" w:rsidRPr="00570D90">
        <w:rPr>
          <w:rFonts w:eastAsiaTheme="minorEastAsia"/>
        </w:rPr>
        <w:t xml:space="preserve"> species </w:t>
      </w:r>
      <m:oMath>
        <m:r>
          <w:rPr>
            <w:rFonts w:ascii="Cambria Math" w:eastAsiaTheme="minorEastAsia" w:hAnsi="Cambria Math"/>
          </w:rPr>
          <m:t>i</m:t>
        </m:r>
      </m:oMath>
      <w:r w:rsidR="006F004A" w:rsidRPr="00570D90">
        <w:rPr>
          <w:rFonts w:eastAsiaTheme="minorEastAsia"/>
        </w:rPr>
        <w:t>,</w:t>
      </w:r>
      <w:r w:rsidR="0033782A" w:rsidRPr="00570D90">
        <w:rPr>
          <w:rFonts w:eastAsiaTheme="minorEastAsia"/>
        </w:rPr>
        <w:t xml:space="preserve"> </w:t>
      </w:r>
      <w:r w:rsidR="006F004A" w:rsidRPr="00570D90">
        <w:rPr>
          <w:rFonts w:eastAsiaTheme="minorEastAsia"/>
        </w:rPr>
        <w:t xml:space="preserve">above the random distribution value of unity, </w:t>
      </w:r>
      <w:r w:rsidR="0033782A" w:rsidRPr="00570D90">
        <w:rPr>
          <w:rFonts w:eastAsiaTheme="minorEastAsia"/>
        </w:rPr>
        <w:t>lead</w:t>
      </w:r>
      <w:r w:rsidR="0065361D" w:rsidRPr="00570D90">
        <w:rPr>
          <w:rFonts w:eastAsiaTheme="minorEastAsia"/>
        </w:rPr>
        <w:t>s</w:t>
      </w:r>
      <w:r w:rsidR="006F004A" w:rsidRPr="00570D90">
        <w:rPr>
          <w:rFonts w:eastAsiaTheme="minorEastAsia"/>
        </w:rPr>
        <w:t xml:space="preserve"> to values of</w:t>
      </w:r>
      <w:r w:rsidR="0033782A" w:rsidRPr="00570D90">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Bi</m:t>
            </m:r>
          </m:sub>
          <m:sup>
            <m:d>
              <m:dPr>
                <m:ctrlPr>
                  <w:rPr>
                    <w:rFonts w:ascii="Cambria Math" w:eastAsiaTheme="minorEastAsia" w:hAnsi="Cambria Math"/>
                    <w:i/>
                  </w:rPr>
                </m:ctrlPr>
              </m:dPr>
              <m:e>
                <m:r>
                  <w:rPr>
                    <w:rFonts w:ascii="Cambria Math" w:eastAsiaTheme="minorEastAsia" w:hAnsi="Cambria Math"/>
                  </w:rPr>
                  <m:t>α</m:t>
                </m:r>
              </m:e>
            </m:d>
          </m:sup>
        </m:sSubSup>
        <m:d>
          <m:dPr>
            <m:ctrlPr>
              <w:rPr>
                <w:rFonts w:ascii="Cambria Math" w:eastAsiaTheme="minorEastAsia" w:hAnsi="Cambria Math"/>
                <w:i/>
              </w:rPr>
            </m:ctrlPr>
          </m:dPr>
          <m:e>
            <m:r>
              <w:rPr>
                <w:rFonts w:ascii="Cambria Math" w:eastAsiaTheme="minorEastAsia" w:hAnsi="Cambria Math"/>
              </w:rPr>
              <m:t>r</m:t>
            </m:r>
          </m:e>
        </m:d>
      </m:oMath>
      <w:r w:rsidR="0033782A" w:rsidRPr="00570D90">
        <w:rPr>
          <w:rFonts w:eastAsiaTheme="minorEastAsia"/>
        </w:rPr>
        <w:t xml:space="preserve"> that contribute positively to the KB integral; </w:t>
      </w:r>
      <w:r w:rsidR="006F004A" w:rsidRPr="00570D90">
        <w:rPr>
          <w:rFonts w:eastAsiaTheme="minorEastAsia"/>
        </w:rPr>
        <w:t xml:space="preserve">whereas </w:t>
      </w:r>
      <w:r w:rsidR="0033782A" w:rsidRPr="00570D90">
        <w:rPr>
          <w:rFonts w:eastAsiaTheme="minorEastAsia"/>
        </w:rPr>
        <w:t>a</w:t>
      </w:r>
      <w:r w:rsidR="006F004A" w:rsidRPr="00570D90">
        <w:rPr>
          <w:rFonts w:eastAsiaTheme="minorEastAsia"/>
        </w:rPr>
        <w:t xml:space="preserve">ny decrease in the distribution </w:t>
      </w:r>
      <w:r w:rsidR="0033782A" w:rsidRPr="00570D90">
        <w:rPr>
          <w:rFonts w:eastAsiaTheme="minorEastAsia"/>
        </w:rPr>
        <w:t>lead</w:t>
      </w:r>
      <w:r w:rsidR="006F004A" w:rsidRPr="00570D90">
        <w:rPr>
          <w:rFonts w:eastAsiaTheme="minorEastAsia"/>
        </w:rPr>
        <w:t>s to regions for</w:t>
      </w:r>
      <w:r w:rsidR="0033782A" w:rsidRPr="00570D90">
        <w:rPr>
          <w:rFonts w:eastAsiaTheme="minorEastAsia"/>
        </w:rPr>
        <w:t xml:space="preserve"> which </w:t>
      </w:r>
      <m:oMath>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Bi</m:t>
            </m:r>
          </m:sub>
          <m:sup>
            <m:d>
              <m:dPr>
                <m:ctrlPr>
                  <w:rPr>
                    <w:rFonts w:ascii="Cambria Math" w:eastAsiaTheme="minorEastAsia" w:hAnsi="Cambria Math"/>
                    <w:i/>
                  </w:rPr>
                </m:ctrlPr>
              </m:dPr>
              <m:e>
                <m:r>
                  <w:rPr>
                    <w:rFonts w:ascii="Cambria Math" w:eastAsiaTheme="minorEastAsia" w:hAnsi="Cambria Math"/>
                  </w:rPr>
                  <m:t>α</m:t>
                </m:r>
              </m:e>
            </m:d>
          </m:sup>
        </m:sSubSup>
        <m:d>
          <m:dPr>
            <m:ctrlPr>
              <w:rPr>
                <w:rFonts w:ascii="Cambria Math" w:eastAsiaTheme="minorEastAsia" w:hAnsi="Cambria Math"/>
                <w:i/>
              </w:rPr>
            </m:ctrlPr>
          </m:dPr>
          <m:e>
            <m:r>
              <w:rPr>
                <w:rFonts w:ascii="Cambria Math" w:eastAsiaTheme="minorEastAsia" w:hAnsi="Cambria Math"/>
              </w:rPr>
              <m:t>r</m:t>
            </m:r>
          </m:e>
        </m:d>
      </m:oMath>
      <w:r w:rsidR="0033782A" w:rsidRPr="00570D90">
        <w:rPr>
          <w:rFonts w:eastAsiaTheme="minorEastAsia"/>
        </w:rPr>
        <w:t xml:space="preserve"> is smalle</w:t>
      </w:r>
      <w:r w:rsidR="006F004A" w:rsidRPr="00570D90">
        <w:rPr>
          <w:rFonts w:eastAsiaTheme="minorEastAsia"/>
        </w:rPr>
        <w:t xml:space="preserve">r than unity and </w:t>
      </w:r>
      <w:r w:rsidR="004A6C3A" w:rsidRPr="00570D90">
        <w:rPr>
          <w:rFonts w:eastAsiaTheme="minorEastAsia"/>
        </w:rPr>
        <w:t>thereby contributes negatively to the KB integral.</w:t>
      </w:r>
      <w:r w:rsidR="006F004A" w:rsidRPr="00570D90">
        <w:rPr>
          <w:rFonts w:eastAsiaTheme="minorEastAsia"/>
        </w:rPr>
        <w:t xml:space="preserve"> Formally, the integration is performed to infinity. However, in reality the RDF tends to unity after a few solvation shells (1 nm or so) and the integral can then be truncated without significant loss of accuracy</w:t>
      </w:r>
      <w:r w:rsidR="004C205E">
        <w:rPr>
          <w:rFonts w:eastAsiaTheme="minorEastAsia"/>
        </w:rPr>
        <w:t>.</w:t>
      </w:r>
      <w:r w:rsidR="004C205E">
        <w:rPr>
          <w:rFonts w:eastAsiaTheme="minorEastAsia"/>
        </w:rPr>
        <w:fldChar w:fldCharType="begin" w:fldLock="1"/>
      </w:r>
      <w:r w:rsidR="007B58C9">
        <w:rPr>
          <w:rFonts w:eastAsiaTheme="minorEastAsia"/>
        </w:rPr>
        <w:instrText>ADDIN CSL_CITATION { "citationItems" : [ { "id" : "ITEM-1", "itemData" : { "author" : [ { "dropping-particle" : "", "family" : "Weerasinghe", "given" : "Samantha", "non-dropping-particle" : "", "parse-names" : false, "suffix" : "" }, { "dropping-particle" : "", "family" : "Smith", "given" : "Paul E", "non-dropping-particle" : "", "parse-names" : false, "suffix" : "" } ], "container-title" : "Journal of Physical Chemistry B", "id" : "ITEM-1", "issued" : { "date-parts" : [ [ "2003" ] ] }, "page" : "3891-3898", "title" : "A Kirkwood - Buff Derived Force Field for Mixtures of Urea and Water", "type" : "article-journal", "volume" : "107" }, "uris" : [ "http://www.mendeley.com/documents/?uuid=e587241e-4789-4b14-b3b0-226dac996ce4" ] }, { "id" : "ITEM-2", "itemData" : { "author" : [ { "dropping-particle" : "", "family" : "Weerasinghe", "given" : "Samantha", "non-dropping-particle" : "", "parse-names" : false, "suffix" : "" }, { "dropping-particle" : "", "family" : "Smith", "given" : "Paul E", "non-dropping-particle" : "", "parse-names" : false, "suffix" : "" } ], "container-title" : "Journal of Physical Chemistry B", "id" : "ITEM-2", "issue" : "5", "issued" : { "date-parts" : [ [ "2005" ] ] }, "page" : "15080-15086", "title" : "A Kirkwood - Buff Derived Force Field for Methanol and Aqueous Methanol Solutions", "type" : "article-journal", "volume" : "109" }, "uris" : [ "http://www.mendeley.com/documents/?uuid=27c3ce1c-4d5e-43d9-9a8e-7abc66207e03" ] }, { "id" : "ITEM-3", "itemData" : { "DOI" : "10.1021/acs.jpcb.5b00741", "author" : [ { "dropping-particle" : "", "family" : "Ploetz", "given" : "Elizabeth A", "non-dropping-particle" : "", "parse-names" : false, "suffix" : "" }, { "dropping-particle" : "", "family" : "Smith", "given" : "Paul E", "non-dropping-particle" : "", "parse-names" : false, "suffix" : "" } ], "container-title" : "Journal of Physical Chemistry B", "id" : "ITEM-3", "issued" : { "date-parts" : [ [ "2015" ] ] }, "page" : "7761-7777", "title" : "Particle and Energy Pair and Triplet Correlations in Liquids and Liquid Mixtures from Experiment and Simulation", "type" : "article-journal", "volume" : "119" }, "uris" : [ "http://www.mendeley.com/documents/?uuid=1ba46550-da72-4a39-b0c3-9114cd641ffb" ] }, { "id" : "ITEM-4", "itemData" : { "DOI" : "10.1021/acs.jctc.5b01115", "author" : [ { "dropping-particle" : "", "family" : "Ploetz", "given" : "Elizabeth A", "non-dropping-particle" : "", "parse-names" : false, "suffix" : "" }, { "dropping-particle" : "", "family" : "Rustenburg", "given" : "S", "non-dropping-particle" : "", "parse-names" : false, "suffix" : "" }, { "dropping-particle" : "", "family" : "Geerke", "given" : "Daan P", "non-dropping-particle" : "", "parse-names" : false, "suffix" : "" }, { "dropping-particle" : "", "family" : "Smith", "given" : "Paul E", "non-dropping-particle" : "", "parse-names" : false, "suffix" : "" } ], "container-title" : "Journal of Chemical Theory and Computation", "id" : "ITEM-4", "issued" : { "date-parts" : [ [ "2016" ] ] }, "page" : "2373-2387", "title" : "To Polarize or Not to Polarize? Charge-on-Spring versus KBFF Models for Water and Methanol Bulk and Vapor \u2212 Liquid Interfacial Mixtures", "type" : "article-journal", "volume" : "12" }, "uris" : [ "http://www.mendeley.com/documents/?uuid=f91a15e2-df4b-43fa-ad7d-df184ea093bd" ] } ], "mendeley" : { "formattedCitation" : "&lt;sup&gt;[62\u201365]&lt;/sup&gt;", "plainTextFormattedCitation" : "[62\u201365]", "previouslyFormattedCitation" : "&lt;sup&gt;[57\u201360]&lt;/sup&gt;" }, "properties" : { "noteIndex" : 0 }, "schema" : "https://github.com/citation-style-language/schema/raw/master/csl-citation.json" }</w:instrText>
      </w:r>
      <w:r w:rsidR="004C205E">
        <w:rPr>
          <w:rFonts w:eastAsiaTheme="minorEastAsia"/>
        </w:rPr>
        <w:fldChar w:fldCharType="separate"/>
      </w:r>
      <w:r w:rsidR="007B58C9" w:rsidRPr="007B58C9">
        <w:rPr>
          <w:rFonts w:eastAsiaTheme="minorEastAsia"/>
          <w:noProof/>
          <w:vertAlign w:val="superscript"/>
        </w:rPr>
        <w:t>[62–65]</w:t>
      </w:r>
      <w:r w:rsidR="004C205E">
        <w:rPr>
          <w:rFonts w:eastAsiaTheme="minorEastAsia"/>
        </w:rPr>
        <w:fldChar w:fldCharType="end"/>
      </w:r>
      <w:r w:rsidR="004C205E">
        <w:rPr>
          <w:rFonts w:eastAsiaTheme="minorEastAsia"/>
        </w:rPr>
        <w:t xml:space="preserve"> </w:t>
      </w:r>
      <w:r w:rsidR="003A6C89" w:rsidRPr="00AE0793">
        <w:rPr>
          <w:rFonts w:eastAsiaTheme="minorEastAsia"/>
        </w:rPr>
        <w:t>A more physical description is provided later.</w:t>
      </w:r>
    </w:p>
    <w:p w14:paraId="6E2EB68D" w14:textId="5BC7C576" w:rsidR="00637AE6" w:rsidRDefault="00F34AA4" w:rsidP="009C2447">
      <w:pPr>
        <w:ind w:firstLine="720"/>
        <w:rPr>
          <w:rFonts w:eastAsiaTheme="minorEastAsia"/>
        </w:rPr>
      </w:pPr>
      <w:r>
        <w:rPr>
          <w:rFonts w:eastAsiaTheme="minorEastAsia"/>
        </w:rPr>
        <w:t>The KB integrals therefore provide a</w:t>
      </w:r>
      <w:r w:rsidR="004A6C3A">
        <w:rPr>
          <w:rFonts w:eastAsiaTheme="minorEastAsia"/>
        </w:rPr>
        <w:t xml:space="preserve"> measure of overall </w:t>
      </w:r>
      <w:r>
        <w:rPr>
          <w:rFonts w:eastAsiaTheme="minorEastAsia"/>
        </w:rPr>
        <w:t>net protein-solvent and protein-osmolyte affinity and</w:t>
      </w:r>
      <w:r w:rsidR="004A6C3A">
        <w:rPr>
          <w:rFonts w:eastAsiaTheme="minorEastAsia"/>
        </w:rPr>
        <w:t xml:space="preserve"> can be linked to </w:t>
      </w:r>
      <w:r>
        <w:rPr>
          <w:rFonts w:eastAsiaTheme="minorEastAsia"/>
        </w:rPr>
        <w:t xml:space="preserve">the </w:t>
      </w:r>
      <w:r w:rsidR="00BC025E">
        <w:rPr>
          <w:rFonts w:eastAsiaTheme="minorEastAsia"/>
        </w:rPr>
        <w:t>thermodynamics of denaturation through</w:t>
      </w:r>
      <w:r w:rsidR="00365218">
        <w:rPr>
          <w:rFonts w:eastAsiaTheme="minorEastAsia"/>
        </w:rPr>
        <w:t xml:space="preserve"> a</w:t>
      </w:r>
      <w:r w:rsidR="00BC025E">
        <w:rPr>
          <w:rFonts w:eastAsiaTheme="minorEastAsia"/>
        </w:rPr>
        <w:t xml:space="preserve"> </w:t>
      </w:r>
      <w:r>
        <w:rPr>
          <w:rFonts w:eastAsiaTheme="minorEastAsia"/>
        </w:rPr>
        <w:t>knowledge of the changes in the</w:t>
      </w:r>
      <w:r w:rsidR="00BC025E">
        <w:rPr>
          <w:rFonts w:eastAsiaTheme="minorEastAsia"/>
        </w:rPr>
        <w:t xml:space="preserve"> KB integrals that accompany denatura</w:t>
      </w:r>
      <w:r>
        <w:rPr>
          <w:rFonts w:eastAsiaTheme="minorEastAsia"/>
        </w:rPr>
        <w:t>tion. This means that the key to understanding osmoprotection is to focus</w:t>
      </w:r>
      <w:r w:rsidR="00BC025E">
        <w:rPr>
          <w:rFonts w:eastAsiaTheme="minorEastAsia"/>
        </w:rPr>
        <w:t xml:space="preserve"> </w:t>
      </w:r>
      <w:r>
        <w:rPr>
          <w:rFonts w:eastAsiaTheme="minorEastAsia"/>
        </w:rPr>
        <w:t>on the difference in the osmolyte and</w:t>
      </w:r>
      <w:r w:rsidR="00BC025E">
        <w:rPr>
          <w:rFonts w:eastAsiaTheme="minorEastAsia"/>
        </w:rPr>
        <w:t xml:space="preserve"> solvent distributions around the protein between the denatured an</w:t>
      </w:r>
      <w:r>
        <w:rPr>
          <w:rFonts w:eastAsiaTheme="minorEastAsia"/>
        </w:rPr>
        <w:t>d the native state (see Figure 4). To achieve this goal</w:t>
      </w:r>
      <w:r w:rsidR="009F29A3">
        <w:rPr>
          <w:rFonts w:eastAsiaTheme="minorEastAsia"/>
        </w:rPr>
        <w:t>,</w:t>
      </w:r>
      <w:r w:rsidR="00BC025E">
        <w:rPr>
          <w:rFonts w:eastAsiaTheme="minorEastAsia"/>
        </w:rPr>
        <w:t xml:space="preserve"> we use our previous results</w:t>
      </w:r>
      <w:r w:rsidR="004C205E">
        <w:rPr>
          <w:rFonts w:eastAsiaTheme="minorEastAsia"/>
        </w:rPr>
        <w:t>.</w:t>
      </w:r>
      <w:r w:rsidR="005E50F2">
        <w:fldChar w:fldCharType="begin" w:fldLock="1"/>
      </w:r>
      <w:r w:rsidR="00AE0793">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"10.1021/jp0474879", "abstract" : "A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urea, guanidinium chloride, sodium chloride and 2,2,2,-trifluoroethanol. It is suggested that a determination of the simulated preferential interaction of a cosolvent with the native state of a protein under denaturing conditions provides the simplest test of available force fields, as it avoids simulations of the denatured state which are typically inaccessible with current computer power.\\nA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ur\u2026", "author" : [ { "dropping-particle" : "", "family" : "Smith", "given" : "Paul E.", "non-dropping-particle" : "", "parse-names" : false, "suffix" : "" } ], "container-title" : "Journal of Physical Chemistry B", "id" : "ITEM-2", "issue" : "48", "issued" : { "date-parts" : [ [ "2004", "12", "2" ] ] }, "page" : "18716-18724", "title" : "Cosolvent interactions with biomolecules: Relating computer simulation data to experimental thermodynamic data", "type" : "article-journal", "volume" : "108" }, "uris" : [ "http://www.mendeley.com/documents/?uuid=16db6586-5e10-48af-820c-5339cad79c8b" ] }, { "id" : "ITEM-3", "itemData" : { "abstract" : "A simple model for describing the effects of cosolvents on biomolecular equilibria in solution is presented. The model is developed using the Kirkwood-Buff theory of solutions and relates changes in the chemical potential of the cosolvent, due to the presence of the solute, to changes in the cosolvent (and water) concentrations in the vicinity of the biomolecule. The model is then used to determine the dependence of changes in the free energy for protein denaturation on cosolvent concentration. The experimentally observed linearity for urea, and small deviation from linear behavior for guanidinium chloride denaturation, are reproduced. In addition, the model is also predicted to provide a good description of the helix-inducing effects of TFE solutions.\\n\\nTimes Cited: 0 Article English Cited References Count: 36 860nb", "author" : [ { "dropping-particle" : "", "family" : "Smith", "given" : "Paul E.", "non-dropping-particle" : "", "parse-names" : false, "suffix" : "" } ], "container-title" : "Journal of Physical Chemistry B", "id" : "ITEM-3", "issue" : "41", "issued" : { "date-parts" : [ [ "2004", "10", "14" ] ] }, "page" : "16271-16278", "title" : "Local chemical potential equalization model for cosolvent effects on biomolecular equilibria", "type" : "article-journal", "volume" : "108" }, "uris" : [ "http://www.mendeley.com/documents/?uuid=dc2e1109-13ff-4078-8070-7c9910fa6c5d" ] }, { "id" : "ITEM-4",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"ITEM-4", "issue" : "18", "issued" : { "date-parts" : [ [ "2004" ] ] }, "page" : "9147-9155", "title" : "The Kirkwood-Buff theory and the effect of cosolvents on biochemical reactions", "type" : "article-journal", "volume" : "121" }, "uris" : [ "http://www.mendeley.com/documents/?uuid=773d4c28-f2d5-421b-a5a5-0066df199fbe" ] }, { "id" : "ITEM-5", "itemData" : { "DOI" : "10.1021/jp056100e", "abstract" : "Equilibrium dialysis data has provided valuable information concerning the preferential interaction of a cosolvent with a biomolecule in aqueous solutions. Here, we formulate the experimental data in terms of Kirkwood-Buff (KB) theory, resulting in equations that provide a simple physical picture of the dialysis experiment and thereby the interaction of a cosolvent with a biomolecule. These results are then used to establish exact relationships between preferential interaction coefficients, defined in different ensembles and/or using different concentration scales, in terms of KB integrals. It is then argued that the molality based equilibrium dialysis data represent the situation most relevant to computer simulations performed in either open or closed systems.", "author" : [ { "dropping-particle" : "", "family" : "Smith", "given" : "Paul E.", "non-dropping-particle" : "", "parse-names" : false, "suffix" : "" } ], "container-title" : "Journal of Physical Chemistry B", "id" : "ITEM-5", "issue" : "6", "issued" : { "date-parts" : [ [ "2006", "2", "16" ] ] }, "page" : "2862-2868", "publisher" : "American Chemical Society", "title" : "Equilibrium dialysis data and the relationships between preferential interaction parameters for biological systems in terms of kirkwood-buff integrals", "type" : "article-journal", "volume" : "110" }, "uris" : [ "http://www.mendeley.com/documents/?uuid=30b5c5be-cfb2-403d-ae77-c99d607c11a2" ] }, { "id" : "ITEM-6", "itemData" : { "DOI" : "10.1529/biophysj.105.078790", "abstract" : "New expressions for chemical potential derivatives and preferential interaction parameters for ternary mixtures are derived for open, semiopen, and closed ensembles in terms of Kirkwood-Buff integrals, where all three components are present at finite concentrations. This is achieved using a simple approach that avoids the use of the general matrix formulation of Kirkwood-Buff theory. The resulting expressions provide a rigorous foundation for the analysis of experimental and simulation data. Using the results, a simple model is developed and used to investigate the possible effects of finite protein concentrations on the corresponding cosolvent dependent chemical potential and denaturation thermodynamics.", "author" : [ { "dropping-particle" : "", "family" : "Smith", "given" : "Paul E.", "non-dropping-particle" : "", "parse-names" : false, "suffix" : "" } ], "container-title" : "Biophysical Journal", "id" : "ITEM-6", "issue" : "3", "issued" : { "date-parts" : [ [ "2006" ] ] }, "page" : "849-856", "title" : "Chemical Potential Derivatives and Preferential Interaction Parameters in Biological Systems from Kirkwood-Buff Theory", "type" : "article-journal", "volume" : "91" }, "uris" : [ "http://www.mendeley.com/documents/?uuid=541ab070-ef7f-443a-8357-2ca63184559d" ] }, { "id" : "ITEM-7",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"ITEM-7", "issue" : "23", "issued" : { "date-parts" : [ [ "2006" ] ] }, "page" : "234905", "title" : "The Hofmeister series and protein-salt interactions", "type" : "article-journal", "volume" : "124" }, "uris" : [ "http://www.mendeley.com/documents/?uuid=0a70a1b5-2739-4d43-a695-db256c211fdf" ] } ], "mendeley" : { "formattedCitation" : "&lt;sup&gt;[42\u201348]&lt;/sup&gt;", "plainTextFormattedCitation" : "[42\u201348]", "previouslyFormattedCitation" : "&lt;sup&gt;[42\u201348]&lt;/sup&gt;" }, "properties" : { "noteIndex" : 0 }, "schema" : "https://github.com/citation-style-language/schema/raw/master/csl-citation.json" }</w:instrText>
      </w:r>
      <w:r w:rsidR="005E50F2">
        <w:fldChar w:fldCharType="separate"/>
      </w:r>
      <w:r w:rsidR="002C1133" w:rsidRPr="002C1133">
        <w:rPr>
          <w:noProof/>
          <w:vertAlign w:val="superscript"/>
        </w:rPr>
        <w:t>[42–48]</w:t>
      </w:r>
      <w:r w:rsidR="005E50F2">
        <w:fldChar w:fldCharType="end"/>
      </w:r>
      <w:r w:rsidR="00BC025E">
        <w:rPr>
          <w:rFonts w:eastAsiaTheme="minorEastAsia"/>
        </w:rPr>
        <w:t xml:space="preserve"> </w:t>
      </w:r>
    </w:p>
    <w:p w14:paraId="111E25CD" w14:textId="77777777" w:rsidR="003370BC" w:rsidRPr="003370BC" w:rsidRDefault="006B7D0C" w:rsidP="003370BC">
      <w:pPr>
        <w:ind w:firstLine="720"/>
        <w:rPr>
          <w:rFonts w:eastAsiaTheme="minorEastAsia"/>
          <w:lang w:val="en-GB" w:eastAsia="ja-JP"/>
        </w:rPr>
      </w:pP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K</m:t>
                        </m:r>
                      </m:e>
                    </m:func>
                  </m:num>
                  <m:den>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C</m:t>
                        </m:r>
                      </m:sub>
                    </m:sSub>
                  </m:den>
                </m:f>
              </m:e>
            </m:d>
          </m:e>
          <m:sub>
            <m:r>
              <w:rPr>
                <w:rFonts w:ascii="Cambria Math" w:hAnsi="Cambria Math"/>
              </w:rPr>
              <m:t>T,</m:t>
            </m:r>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C</m:t>
                </m:r>
              </m:sub>
            </m:sSub>
            <m:r>
              <w:rPr>
                <w:rFonts w:ascii="Cambria Math" w:hAnsi="Cambria Math"/>
              </w:rPr>
              <m:t>→0</m:t>
            </m:r>
          </m:sub>
        </m:sSub>
        <m:r>
          <m:rPr>
            <m:sty m:val="p"/>
          </m:rPr>
          <w:rPr>
            <w:rFonts w:ascii="Cambria Math" w:eastAsiaTheme="minorEastAsia" w:hAnsi="Cambria Math"/>
          </w:rPr>
          <m:t>=</m:t>
        </m:r>
        <m:r>
          <m:rPr>
            <m:sty m:val="p"/>
          </m:rPr>
          <w:rPr>
            <w:rFonts w:ascii="Cambria Math" w:eastAsiaTheme="minorEastAsia" w:hAnsi="Cambria Math"/>
            <w:lang w:val="en-GB"/>
          </w:rPr>
          <m:t>Δ</m:t>
        </m:r>
        <m:sSubSup>
          <m:sSubSupPr>
            <m:ctrlPr>
              <w:rPr>
                <w:rFonts w:ascii="Cambria Math" w:eastAsiaTheme="minorEastAsia" w:hAnsi="Cambria Math"/>
                <w:i/>
                <w:lang w:val="en-GB"/>
              </w:rPr>
            </m:ctrlPr>
          </m:sSubSupPr>
          <m:e>
            <m:r>
              <w:rPr>
                <w:rFonts w:ascii="Cambria Math" w:eastAsiaTheme="minorEastAsia" w:hAnsi="Cambria Math"/>
                <w:lang w:val="en-GB"/>
              </w:rPr>
              <m:t>G</m:t>
            </m:r>
          </m:e>
          <m:sub>
            <m:r>
              <w:rPr>
                <w:rFonts w:ascii="Cambria Math" w:eastAsiaTheme="minorEastAsia" w:hAnsi="Cambria Math"/>
                <w:lang w:val="en-GB"/>
              </w:rPr>
              <m:t>BC</m:t>
            </m:r>
          </m:sub>
          <m:sup>
            <m:r>
              <w:rPr>
                <w:rFonts w:ascii="Cambria Math" w:eastAsiaTheme="minorEastAsia" w:hAnsi="Cambria Math"/>
                <w:lang w:val="en-GB"/>
              </w:rPr>
              <m:t>∞</m:t>
            </m:r>
          </m:sup>
        </m:sSubSup>
        <m:r>
          <w:rPr>
            <w:rFonts w:ascii="Cambria Math" w:eastAsiaTheme="minorEastAsia" w:hAnsi="Cambria Math"/>
            <w:lang w:val="en-GB"/>
          </w:rPr>
          <m:t>-</m:t>
        </m:r>
        <m:r>
          <m:rPr>
            <m:sty m:val="p"/>
          </m:rPr>
          <w:rPr>
            <w:rFonts w:ascii="Cambria Math" w:eastAsiaTheme="minorEastAsia" w:hAnsi="Cambria Math"/>
            <w:lang w:val="en-GB"/>
          </w:rPr>
          <m:t>Δ</m:t>
        </m:r>
        <m:sSubSup>
          <m:sSubSupPr>
            <m:ctrlPr>
              <w:rPr>
                <w:rFonts w:ascii="Cambria Math" w:eastAsiaTheme="minorEastAsia" w:hAnsi="Cambria Math"/>
                <w:i/>
                <w:lang w:val="en-GB"/>
              </w:rPr>
            </m:ctrlPr>
          </m:sSubSupPr>
          <m:e>
            <m:r>
              <w:rPr>
                <w:rFonts w:ascii="Cambria Math" w:eastAsiaTheme="minorEastAsia" w:hAnsi="Cambria Math"/>
                <w:lang w:val="en-GB"/>
              </w:rPr>
              <m:t>G</m:t>
            </m:r>
          </m:e>
          <m:sub>
            <m:r>
              <w:rPr>
                <w:rFonts w:ascii="Cambria Math" w:eastAsiaTheme="minorEastAsia" w:hAnsi="Cambria Math"/>
                <w:lang w:val="en-GB"/>
              </w:rPr>
              <m:t>BW</m:t>
            </m:r>
          </m:sub>
          <m:sup>
            <m:r>
              <w:rPr>
                <w:rFonts w:ascii="Cambria Math" w:eastAsiaTheme="minorEastAsia" w:hAnsi="Cambria Math"/>
                <w:lang w:val="en-GB"/>
              </w:rPr>
              <m:t>∞</m:t>
            </m:r>
          </m:sup>
        </m:sSubSup>
      </m:oMath>
      <w:r w:rsidR="003370BC">
        <w:rPr>
          <w:rFonts w:eastAsiaTheme="minorEastAsia"/>
          <w:i/>
          <w:lang w:val="en-GB"/>
        </w:rPr>
        <w:tab/>
      </w:r>
      <w:r w:rsidR="003370BC">
        <w:rPr>
          <w:rFonts w:eastAsiaTheme="minorEastAsia"/>
          <w:i/>
          <w:lang w:val="en-GB"/>
        </w:rPr>
        <w:tab/>
      </w:r>
      <w:r w:rsidR="003370BC">
        <w:rPr>
          <w:rFonts w:eastAsiaTheme="minorEastAsia"/>
          <w:i/>
          <w:lang w:val="en-GB"/>
        </w:rPr>
        <w:tab/>
      </w:r>
      <w:r w:rsidR="003370BC">
        <w:rPr>
          <w:rFonts w:eastAsiaTheme="minorEastAsia"/>
          <w:i/>
          <w:lang w:val="en-GB"/>
        </w:rPr>
        <w:tab/>
      </w:r>
      <w:r w:rsidR="003370BC">
        <w:rPr>
          <w:rFonts w:eastAsiaTheme="minorEastAsia"/>
          <w:i/>
          <w:lang w:val="en-GB"/>
        </w:rPr>
        <w:tab/>
      </w:r>
      <w:r w:rsidR="008C142E">
        <w:rPr>
          <w:rFonts w:eastAsiaTheme="minorEastAsia"/>
          <w:lang w:val="en-GB"/>
        </w:rPr>
        <w:tab/>
      </w:r>
      <w:r w:rsidR="008C142E">
        <w:rPr>
          <w:rFonts w:eastAsiaTheme="minorEastAsia"/>
          <w:lang w:val="en-GB"/>
        </w:rPr>
        <w:tab/>
        <w:t>(4</w:t>
      </w:r>
      <w:r w:rsidR="003370BC">
        <w:rPr>
          <w:rFonts w:eastAsiaTheme="minorEastAsia"/>
          <w:lang w:val="en-GB"/>
        </w:rPr>
        <w:t>)</w:t>
      </w:r>
    </w:p>
    <w:p w14:paraId="4C9CF693" w14:textId="77777777" w:rsidR="008C142E" w:rsidRDefault="006B7D0C" w:rsidP="008C142E">
      <w:pPr>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RT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K</m:t>
                        </m:r>
                      </m:e>
                    </m:func>
                  </m:num>
                  <m:den>
                    <m:r>
                      <w:rPr>
                        <w:rFonts w:ascii="Cambria Math" w:eastAsiaTheme="minorEastAsia" w:hAnsi="Cambria Math"/>
                      </w:rPr>
                      <m:t>∂P</m:t>
                    </m:r>
                  </m:den>
                </m:f>
              </m:e>
            </m:d>
            <m:ctrlPr>
              <w:rPr>
                <w:rFonts w:ascii="Cambria Math" w:hAnsi="Cambria Math"/>
                <w:i/>
              </w:rPr>
            </m:ctrlPr>
          </m:e>
          <m:sub>
            <m:r>
              <w:rPr>
                <w:rFonts w:ascii="Cambria Math" w:hAnsi="Cambria Math"/>
              </w:rPr>
              <m:t xml:space="preserve">T </m:t>
            </m:r>
          </m:sub>
        </m:sSub>
        <m:r>
          <w:rPr>
            <w:rFonts w:ascii="Cambria Math" w:eastAsiaTheme="minorEastAsia" w:hAnsi="Cambria Math"/>
          </w:rPr>
          <m:t>=-</m:t>
        </m:r>
        <m:r>
          <m:rPr>
            <m:sty m:val="p"/>
          </m:rPr>
          <w:rPr>
            <w:rFonts w:ascii="Cambria Math" w:eastAsiaTheme="minorEastAsia" w:hAnsi="Cambria Math"/>
          </w:rPr>
          <m:t>Δ</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B</m:t>
            </m:r>
          </m:sub>
          <m:sup>
            <m:r>
              <w:rPr>
                <w:rFonts w:ascii="Cambria Math" w:eastAsiaTheme="minorEastAsia" w:hAnsi="Cambria Math"/>
              </w:rPr>
              <m:t>∞</m:t>
            </m:r>
          </m:sup>
        </m:sSubSup>
        <m:r>
          <w:rPr>
            <w:rFonts w:ascii="Cambria Math" w:eastAsiaTheme="minorEastAsia" w:hAnsi="Cambria Math"/>
          </w:rPr>
          <m:t>=</m:t>
        </m:r>
        <m:r>
          <m:rPr>
            <m:sty m:val="p"/>
          </m:rPr>
          <w:rPr>
            <w:rFonts w:ascii="Cambria Math" w:eastAsiaTheme="minorEastAsia" w:hAnsi="Cambria Math"/>
            <w:lang w:val="en-GB"/>
          </w:rPr>
          <m:t>Δ</m:t>
        </m:r>
        <m:sSubSup>
          <m:sSubSupPr>
            <m:ctrlPr>
              <w:rPr>
                <w:rFonts w:ascii="Cambria Math" w:eastAsiaTheme="minorEastAsia" w:hAnsi="Cambria Math"/>
                <w:i/>
                <w:lang w:val="en-GB"/>
              </w:rPr>
            </m:ctrlPr>
          </m:sSubSupPr>
          <m:e>
            <m:r>
              <w:rPr>
                <w:rFonts w:ascii="Cambria Math" w:eastAsiaTheme="minorEastAsia" w:hAnsi="Cambria Math"/>
                <w:lang w:val="en-GB"/>
              </w:rPr>
              <m:t>G</m:t>
            </m:r>
          </m:e>
          <m:sub>
            <m:r>
              <w:rPr>
                <w:rFonts w:ascii="Cambria Math" w:eastAsiaTheme="minorEastAsia" w:hAnsi="Cambria Math"/>
                <w:lang w:val="en-GB"/>
              </w:rPr>
              <m:t>BW</m:t>
            </m:r>
          </m:sub>
          <m:sup>
            <m:r>
              <w:rPr>
                <w:rFonts w:ascii="Cambria Math" w:eastAsiaTheme="minorEastAsia" w:hAnsi="Cambria Math"/>
                <w:lang w:val="en-GB"/>
              </w:rPr>
              <m:t>∞</m:t>
            </m:r>
          </m:sup>
        </m:sSubSup>
      </m:oMath>
      <w:r w:rsidR="003370BC" w:rsidRPr="00F81E1C">
        <w:rPr>
          <w:rFonts w:eastAsiaTheme="minorEastAsia"/>
        </w:rPr>
        <w:tab/>
      </w:r>
      <w:r w:rsidR="001B1D17" w:rsidRPr="00F81E1C">
        <w:rPr>
          <w:rFonts w:eastAsiaTheme="minorEastAsia"/>
        </w:rPr>
        <w:tab/>
      </w:r>
      <w:r w:rsidR="001B1D17" w:rsidRPr="00F81E1C">
        <w:rPr>
          <w:rFonts w:eastAsiaTheme="minorEastAsia"/>
        </w:rPr>
        <w:tab/>
      </w:r>
      <w:r w:rsidR="001B1D17" w:rsidRPr="00F81E1C">
        <w:rPr>
          <w:rFonts w:eastAsiaTheme="minorEastAsia"/>
        </w:rPr>
        <w:tab/>
      </w:r>
      <w:r w:rsidR="001B1D17" w:rsidRPr="00F81E1C">
        <w:rPr>
          <w:rFonts w:eastAsiaTheme="minorEastAsia"/>
        </w:rPr>
        <w:tab/>
      </w:r>
      <w:r w:rsidR="001B1D17" w:rsidRPr="00F81E1C">
        <w:rPr>
          <w:rFonts w:eastAsiaTheme="minorEastAsia"/>
        </w:rPr>
        <w:tab/>
      </w:r>
      <w:r w:rsidR="001B1D17" w:rsidRPr="00F81E1C">
        <w:rPr>
          <w:rFonts w:eastAsiaTheme="minorEastAsia"/>
        </w:rPr>
        <w:tab/>
      </w:r>
      <w:r w:rsidR="008C142E" w:rsidRPr="00F81E1C">
        <w:rPr>
          <w:rFonts w:eastAsiaTheme="minorEastAsia"/>
        </w:rPr>
        <w:t>(5)</w:t>
      </w:r>
    </w:p>
    <w:p w14:paraId="3CAC3BB8" w14:textId="13FC3FF7" w:rsidR="008C142E" w:rsidRDefault="004A6C3A" w:rsidP="008C142E">
      <w:pPr>
        <w:rPr>
          <w:rFonts w:eastAsiaTheme="minorEastAsia"/>
        </w:rPr>
      </w:pPr>
      <w:r>
        <w:rPr>
          <w:rFonts w:eastAsiaTheme="minorEastAsia"/>
        </w:rPr>
        <w:t>w</w:t>
      </w:r>
      <w:r w:rsidR="008C142E">
        <w:rPr>
          <w:rFonts w:eastAsiaTheme="minorEastAsia"/>
        </w:rPr>
        <w:t>here</w:t>
      </w:r>
      <w:r>
        <w:rPr>
          <w:rFonts w:eastAsiaTheme="minorEastAsia"/>
        </w:rPr>
        <w:t xml:space="preserve"> </w:t>
      </w:r>
      <m:oMath>
        <m:r>
          <m:rPr>
            <m:sty m:val="p"/>
          </m:rPr>
          <w:rPr>
            <w:rFonts w:ascii="Cambria Math" w:eastAsiaTheme="minorEastAsia" w:hAnsi="Cambria Math"/>
          </w:rPr>
          <m:t>Δ</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B</m:t>
            </m:r>
          </m:sub>
          <m:sup>
            <m:r>
              <w:rPr>
                <w:rFonts w:ascii="Cambria Math" w:eastAsiaTheme="minorEastAsia" w:hAnsi="Cambria Math"/>
              </w:rPr>
              <m:t>∞</m:t>
            </m:r>
          </m:sup>
        </m:sSubSup>
      </m:oMath>
      <w:r w:rsidR="00F34AA4">
        <w:rPr>
          <w:rFonts w:eastAsiaTheme="minorEastAsia"/>
        </w:rPr>
        <w:t xml:space="preserve"> is the change in the protein</w:t>
      </w:r>
      <w:r>
        <w:rPr>
          <w:rFonts w:eastAsiaTheme="minorEastAsia"/>
        </w:rPr>
        <w:t xml:space="preserve"> partial molar volume upon denaturation</w:t>
      </w:r>
      <w:r w:rsidR="00365218">
        <w:rPr>
          <w:rFonts w:eastAsiaTheme="minorEastAsia"/>
        </w:rPr>
        <w:t xml:space="preserve"> </w:t>
      </w:r>
      <w:r w:rsidR="00365218" w:rsidRPr="00DC174E">
        <w:rPr>
          <w:rFonts w:eastAsiaTheme="minorEastAsia"/>
        </w:rPr>
        <w:t>at the denaturation pressure for pure water</w:t>
      </w:r>
      <w:r w:rsidRPr="00DC174E">
        <w:rPr>
          <w:rFonts w:eastAsiaTheme="minorEastAsia"/>
        </w:rPr>
        <w:t xml:space="preserve">, and </w:t>
      </w:r>
      <m:oMath>
        <m:r>
          <w:rPr>
            <w:rFonts w:ascii="Cambria Math" w:hAnsi="Cambria Math"/>
          </w:rPr>
          <m:t>∆</m:t>
        </m:r>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BC</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BC</m:t>
            </m:r>
          </m:sub>
          <m:sup>
            <m:r>
              <w:rPr>
                <w:rFonts w:ascii="Cambria Math" w:eastAsiaTheme="minorEastAsia" w:hAnsi="Cambria Math"/>
              </w:rPr>
              <m:t>(d)</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BC</m:t>
            </m:r>
          </m:sub>
          <m:sup>
            <m:r>
              <w:rPr>
                <w:rFonts w:ascii="Cambria Math" w:eastAsiaTheme="minorEastAsia" w:hAnsi="Cambria Math"/>
              </w:rPr>
              <m:t>(n)</m:t>
            </m:r>
          </m:sup>
        </m:sSubSup>
      </m:oMath>
      <w:r w:rsidRPr="00DC174E">
        <w:rPr>
          <w:rFonts w:eastAsiaTheme="minorEastAsia"/>
        </w:rPr>
        <w:t xml:space="preserve"> and </w:t>
      </w:r>
      <m:oMath>
        <m:r>
          <m:rPr>
            <m:sty m:val="p"/>
          </m:rPr>
          <w:rPr>
            <w:rFonts w:ascii="Cambria Math" w:eastAsiaTheme="minorEastAsia" w:hAnsi="Cambria Math"/>
            <w:lang w:val="en-GB"/>
          </w:rPr>
          <m:t>Δ</m:t>
        </m:r>
        <m:sSubSup>
          <m:sSubSupPr>
            <m:ctrlPr>
              <w:rPr>
                <w:rFonts w:ascii="Cambria Math" w:eastAsiaTheme="minorEastAsia" w:hAnsi="Cambria Math"/>
                <w:lang w:val="en-GB"/>
              </w:rPr>
            </m:ctrlPr>
          </m:sSubSupPr>
          <m:e>
            <m:r>
              <w:rPr>
                <w:rFonts w:ascii="Cambria Math" w:eastAsiaTheme="minorEastAsia" w:hAnsi="Cambria Math"/>
                <w:lang w:val="en-GB"/>
              </w:rPr>
              <m:t>G</m:t>
            </m:r>
          </m:e>
          <m:sub>
            <m:r>
              <w:rPr>
                <w:rFonts w:ascii="Cambria Math" w:eastAsiaTheme="minorEastAsia" w:hAnsi="Cambria Math"/>
                <w:lang w:val="en-GB"/>
              </w:rPr>
              <m:t>BW</m:t>
            </m:r>
          </m:sub>
          <m:sup>
            <m:r>
              <w:rPr>
                <w:rFonts w:ascii="Cambria Math" w:eastAsiaTheme="minorEastAsia" w:hAnsi="Cambria Math"/>
                <w:lang w:val="en-GB"/>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BW</m:t>
            </m:r>
          </m:sub>
          <m:sup>
            <m:r>
              <w:rPr>
                <w:rFonts w:ascii="Cambria Math" w:eastAsiaTheme="minorEastAsia" w:hAnsi="Cambria Math"/>
              </w:rPr>
              <m:t>(d)</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BW</m:t>
            </m:r>
          </m:sub>
          <m:sup>
            <m:r>
              <w:rPr>
                <w:rFonts w:ascii="Cambria Math" w:eastAsiaTheme="minorEastAsia" w:hAnsi="Cambria Math"/>
              </w:rPr>
              <m:t>(n)</m:t>
            </m:r>
          </m:sup>
        </m:sSubSup>
      </m:oMath>
      <w:r w:rsidR="00F34AA4" w:rsidRPr="00DC174E">
        <w:rPr>
          <w:rFonts w:eastAsiaTheme="minorEastAsia"/>
        </w:rPr>
        <w:t xml:space="preserve"> are the change in the protein-osmolyte and protein-water</w:t>
      </w:r>
      <w:r w:rsidRPr="00DC174E">
        <w:rPr>
          <w:rFonts w:eastAsiaTheme="minorEastAsia"/>
        </w:rPr>
        <w:t xml:space="preserve"> KB integrals that </w:t>
      </w:r>
      <w:r w:rsidR="00090045" w:rsidRPr="00DC174E">
        <w:rPr>
          <w:rFonts w:eastAsiaTheme="minorEastAsia"/>
        </w:rPr>
        <w:t xml:space="preserve">accompany </w:t>
      </w:r>
      <w:r w:rsidRPr="00DC174E">
        <w:rPr>
          <w:rFonts w:eastAsiaTheme="minorEastAsia"/>
        </w:rPr>
        <w:t>denaturation</w:t>
      </w:r>
      <w:r w:rsidR="00365218" w:rsidRPr="00DC174E">
        <w:rPr>
          <w:rFonts w:eastAsiaTheme="minorEastAsia"/>
        </w:rPr>
        <w:t xml:space="preserve"> at the denaturation pressure for pure water</w:t>
      </w:r>
      <w:r w:rsidRPr="00DC174E">
        <w:rPr>
          <w:rFonts w:eastAsiaTheme="minorEastAsia"/>
        </w:rPr>
        <w:t>. Here, as indicated by the</w:t>
      </w:r>
      <w:r w:rsidR="008C142E" w:rsidRPr="00DC174E">
        <w:rPr>
          <w:rFonts w:eastAsiaTheme="minorEastAsia"/>
        </w:rPr>
        <w:t xml:space="preserve"> superscript </w:t>
      </w:r>
      <m:oMath>
        <m:r>
          <w:rPr>
            <w:rFonts w:ascii="Cambria Math" w:eastAsiaTheme="minorEastAsia" w:hAnsi="Cambria Math"/>
          </w:rPr>
          <m:t>∞</m:t>
        </m:r>
      </m:oMath>
      <w:r w:rsidRPr="00DC174E">
        <w:rPr>
          <w:rFonts w:eastAsiaTheme="minorEastAsia"/>
        </w:rPr>
        <w:t>, we focus o</w:t>
      </w:r>
      <w:r w:rsidRPr="00195A8D">
        <w:rPr>
          <w:rFonts w:eastAsiaTheme="minorEastAsia"/>
        </w:rPr>
        <w:t xml:space="preserve">n the </w:t>
      </w:r>
      <w:r w:rsidR="00195A8D">
        <w:rPr>
          <w:rFonts w:eastAsiaTheme="minorEastAsia"/>
        </w:rPr>
        <w:t xml:space="preserve">infinitely </w:t>
      </w:r>
      <w:r w:rsidR="000B0290" w:rsidRPr="00195A8D">
        <w:rPr>
          <w:rFonts w:eastAsiaTheme="minorEastAsia"/>
        </w:rPr>
        <w:t xml:space="preserve">dilute osmolyte range for two reasons. First, </w:t>
      </w:r>
      <w:r w:rsidR="00C74581" w:rsidRPr="00195A8D">
        <w:rPr>
          <w:rFonts w:eastAsiaTheme="minorEastAsia"/>
        </w:rPr>
        <w:t>physiological osmolyte concentration</w:t>
      </w:r>
      <w:r w:rsidR="000B0290" w:rsidRPr="00195A8D">
        <w:rPr>
          <w:rFonts w:eastAsiaTheme="minorEastAsia"/>
        </w:rPr>
        <w:t>s are</w:t>
      </w:r>
      <w:r w:rsidR="00C74581" w:rsidRPr="00195A8D">
        <w:rPr>
          <w:rFonts w:eastAsiaTheme="minorEastAsia"/>
        </w:rPr>
        <w:t xml:space="preserve"> normally fai</w:t>
      </w:r>
      <w:r w:rsidR="00090045" w:rsidRPr="00195A8D">
        <w:rPr>
          <w:rFonts w:eastAsiaTheme="minorEastAsia"/>
        </w:rPr>
        <w:t>r</w:t>
      </w:r>
      <w:r w:rsidR="00C74581" w:rsidRPr="00195A8D">
        <w:rPr>
          <w:rFonts w:eastAsiaTheme="minorEastAsia"/>
        </w:rPr>
        <w:t>ly low, 0.04 to 0.26 molal TMAO i</w:t>
      </w:r>
      <w:r w:rsidR="000B0290" w:rsidRPr="00195A8D">
        <w:rPr>
          <w:rFonts w:eastAsiaTheme="minorEastAsia"/>
        </w:rPr>
        <w:t>n teleost fishes, for example</w:t>
      </w:r>
      <w:r w:rsidR="004C205E">
        <w:rPr>
          <w:rFonts w:eastAsiaTheme="minorEastAsia"/>
        </w:rPr>
        <w:t>.</w:t>
      </w:r>
      <w:r w:rsidR="004C205E">
        <w:rPr>
          <w:rFonts w:eastAsiaTheme="minorEastAsia"/>
        </w:rPr>
        <w:fldChar w:fldCharType="begin" w:fldLock="1"/>
      </w:r>
      <w:r w:rsidR="002C1133">
        <w:rPr>
          <w:rFonts w:eastAsiaTheme="minorEastAsia"/>
        </w:rPr>
        <w:instrText>ADDIN CSL_CITATION { "citationItems" : [ { "id" : "ITEM-1", "itemData" : { "DOI" : "10.1073/pnas.1322003111", "ISBN" : "1091-6490 (Electronic)\\r0027-8424 (Linking)", "ISSN" : "0027-8424", "PMID" : "24591588", "abstract" : "No fish have been found in the deepest 25% of the ocean (8,400-11,000 m). This apparent absence has been attributed to hydrostatic pressure, although direct evidence is wanting because of the lack of deepest-living species to study. The common osmolyte trimethylamine N-oxide (TMAO) stabilizes proteins against pressure and increases with depth, going from 40 to 261 mmol/kg in teleost fishes from 0 to 4,850 m. TMAO accumulation with depth results in increasing internal osmolality (typically 350 mOsmol/kg in shallow species compared with seawater's 1,100 mOsmol/kg). Preliminary extrapolation of osmolalities of predicted isosmotic state at 8,000-8,500 m may indicate a possible physiological limit, as greater depths would require reversal of osmotic gradients and, thus, osmoregulatory systems. We tested this prediction by capturing five of the second-deepest known fish, the hadal snailfish (Notoliparis kermadecensis; Liparidae), from 7,000 m in the Kermadec Trench. We found their muscles to have a TMAO content of 386 \u00b1 18 mmol/kg and osmolality of 991 \u00b1 22 mOsmol/kg. These data fit previous extrapolations and, combined with new osmolalities from bathyal and abyssal fishes, predict isosmotic state at 8,200 m. This is previously unidentified evidence that biochemistry could constrain the depth of a large, complex taxonomic group.", "author" : [ { "dropping-particle" : "", "family" : "Yancey", "given" : "Paul H", "non-dropping-particle" : "", "parse-names" : false, "suffix" : "" }, { "dropping-particle" : "", "family" : "Gerringer", "given" : "Mackenzie E", "non-dropping-particle" : "", "parse-names" : false, "suffix" : "" }, { "dropping-particle" : "", "family" : "Drazen", "given" : "Jeffrey C", "non-dropping-particle" : "", "parse-names" : false, "suffix" : "" }, { "dropping-particle" : "", "family" : "Rowden", "given" : "Ashley a", "non-dropping-particle" : "", "parse-names" : false, "suffix" : "" }, { "dropping-particle" : "", "family" : "Jamieson", "given" : "Alan", "non-dropping-particle" : "", "parse-names" : false, "suffix" : "" } ], "container-title" : "Proceedings of the National Academy of Sciences of the United States of America", "id" : "ITEM-1", "issue" : "12", "issued" : { "date-parts" : [ [ "2014" ] ] }, "page" : "4461-4465", "title" : "Marine fish may be biochemically constrained from inhabiting the deepest ocean depths", "type" : "article-journal", "volume" : "111" }, "uris" : [ "http://www.mendeley.com/documents/?uuid=fca9c37b-b0b3-4507-80f0-5e330829743c" ] }, { "id" : "ITEM-2", "itemData" : { "DOI" : "10.1242/jeb.114355", "ISSN" : "1477-9145", "PMID" : "26085665", "abstract" : "Organisms experience a wide range of environmental factors such as temperature, salinity and hydrostatic pressure, which pose challenges to biochemical processes. Studies on adaptations to such factors have largely focused on macromolecules, especially intrinsic adaptations in protein structure and function. However, micromolecular cosolutes can act as cytoprotectants in the cellular milieu to affect biochemical function and they are now recognized as important extrinsic adaptations. These solutes, both inorganic and organic, have been best characterized as osmolytes, which accumulate to reduce osmotic water loss. Singly, and in combination, many cosolutes have properties beyond simple osmotic effects, e.g. altering the stability and function of proteins in the face of numerous stressors. A key example is the marine osmolyte trimethylamine oxide (TMAO), which appears to enhance water structure and is excluded from peptide backbones, favoring protein folding and stability and counteracting destabilizers like urea and temperature. Co-evolution of intrinsic and extrinsic adaptations is illustrated with high hydrostatic pressure in deep-living organisms. Cytosolic and membrane proteins and G-protein-coupled signal transduction in fishes under pressure show inhibited function and stability, while revealing a number of intrinsic adaptations in deep species. Yet, intrinsic adaptations are often incomplete, and those fishes accumulate TMAO linearly with depth, suggesting a role for TMAO as an extrinsic 'piezolyte' or pressure cosolute. Indeed, TMAO is able to counteract the inhibitory effects of pressure on the stability and function of many proteins. Other cosolutes are cytoprotective in other ways, such as via antioxidation. Such observations highlight the importance of considering the cellular milieu in biochemical and cellular adaptation.", "author" : [ { "dropping-particle" : "", "family" : "Yancey", "given" : "Paul H", "non-dropping-particle" : "", "parse-names" : false, "suffix" : "" }, { "dropping-particle" : "", "family" : "Siebenaller", "given" : "Joseph F", "non-dropping-particle" : "", "parse-names" : false, "suffix" : "" } ], "container-title" : "The Journal of experimental biology", "id" : "ITEM-2", "issue" : "Pt 12", "issued" : { "date-parts" : [ [ "2015" ] ] }, "page" : "1880-96", "title" : "Co-evolution of proteins and solutions: protein adaptation versus cytoprotective micromolecules and their roles in marine organisms.", "type" : "article-journal", "volume" : "218" }, "uris" : [ "http://www.mendeley.com/documents/?uuid=4e63a885-ce9f-4c00-bd00-a2feb2c9169d" ] } ], "mendeley" : { "formattedCitation" : "&lt;sup&gt;[3,4]&lt;/sup&gt;", "plainTextFormattedCitation" : "[3,4]", "previouslyFormattedCitation" : "&lt;sup&gt;[3,4]&lt;/sup&gt;" }, "properties" : { "noteIndex" : 0 }, "schema" : "https://github.com/citation-style-language/schema/raw/master/csl-citation.json" }</w:instrText>
      </w:r>
      <w:r w:rsidR="004C205E">
        <w:rPr>
          <w:rFonts w:eastAsiaTheme="minorEastAsia"/>
        </w:rPr>
        <w:fldChar w:fldCharType="separate"/>
      </w:r>
      <w:r w:rsidR="002C1133" w:rsidRPr="002C1133">
        <w:rPr>
          <w:rFonts w:eastAsiaTheme="minorEastAsia"/>
          <w:noProof/>
          <w:vertAlign w:val="superscript"/>
        </w:rPr>
        <w:t>[3,4]</w:t>
      </w:r>
      <w:r w:rsidR="004C205E">
        <w:rPr>
          <w:rFonts w:eastAsiaTheme="minorEastAsia"/>
        </w:rPr>
        <w:fldChar w:fldCharType="end"/>
      </w:r>
      <w:r w:rsidR="000B5F2F" w:rsidRPr="00195A8D">
        <w:rPr>
          <w:rFonts w:eastAsiaTheme="minorEastAsia"/>
        </w:rPr>
        <w:t xml:space="preserve"> </w:t>
      </w:r>
      <w:r w:rsidR="000B0290" w:rsidRPr="00195A8D">
        <w:rPr>
          <w:rFonts w:eastAsiaTheme="minorEastAsia"/>
        </w:rPr>
        <w:t>Second, w</w:t>
      </w:r>
      <w:r w:rsidR="00C74581" w:rsidRPr="00195A8D">
        <w:rPr>
          <w:rFonts w:eastAsiaTheme="minorEastAsia"/>
        </w:rPr>
        <w:t>e have shown previously that the use of</w:t>
      </w:r>
      <w:r w:rsidR="002B418A" w:rsidRPr="00195A8D">
        <w:rPr>
          <w:rFonts w:eastAsiaTheme="minorEastAsia"/>
        </w:rPr>
        <w:t xml:space="preserve"> the</w:t>
      </w:r>
      <w:r w:rsidR="00C74581" w:rsidRPr="00195A8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C</m:t>
            </m:r>
          </m:sub>
        </m:sSub>
        <m:r>
          <w:rPr>
            <w:rFonts w:ascii="Cambria Math" w:eastAsiaTheme="minorEastAsia" w:hAnsi="Cambria Math"/>
          </w:rPr>
          <m:t>→0</m:t>
        </m:r>
      </m:oMath>
      <w:r w:rsidR="00C74581" w:rsidRPr="00195A8D">
        <w:rPr>
          <w:rFonts w:eastAsiaTheme="minorEastAsia"/>
        </w:rPr>
        <w:t xml:space="preserve"> limit yields a simpler</w:t>
      </w:r>
      <w:r w:rsidR="00C74581">
        <w:rPr>
          <w:rFonts w:eastAsiaTheme="minorEastAsia"/>
        </w:rPr>
        <w:t xml:space="preserve"> and clearer understanding of the molecular picture without the loss of accuracy.</w:t>
      </w:r>
      <w:r w:rsidR="00FF2726">
        <w:rPr>
          <w:rFonts w:eastAsiaTheme="minorEastAsia"/>
        </w:rPr>
        <w:fldChar w:fldCharType="begin" w:fldLock="1"/>
      </w:r>
      <w:r w:rsidR="007F2A2A">
        <w:rPr>
          <w:rFonts w:eastAsiaTheme="minorEastAsia"/>
        </w:rPr>
        <w:instrText>ADDIN CSL_CITATION { "citationItems" : [ { "id" : "ITEM-1",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"ITEM-1", "issue" : "18", "issued" : { "date-parts" : [ [ "2004" ] ] }, "page" : "9147-9155", "title" : "The Kirkwood-Buff theory and the effect of cosolvents on biochemical reactions", "type" : "article-journal", "volume" : "121" }, "uris" : [ "http://www.mendeley.com/documents/?uuid=773d4c28-f2d5-421b-a5a5-0066df199fbe" ] }, { "id" : "ITEM-2",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"ITEM-2",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"ITEM-3",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"46", "issued" : { "date-parts" : [ [ "2014" ] ] }, "page" : "13210-13216", "title" : "Gelation: The role of sugars and polyols on gelatin and agarose", "type" : "article-journal", "volume" : "118" }, "uris" : [ "http://www.mendeley.com/documents/?uuid=3f487fe1-7c16-485b-971c-d2e69e2da704" ] } ], "mendeley" : { "formattedCitation" : "&lt;sup&gt;[45,51,55]&lt;/sup&gt;", "plainTextFormattedCitation" : "[45,51,55]", "previouslyFormattedCitation" : "&lt;sup&gt;[45,51,55]&lt;/sup&gt;" }, "properties" : { "noteIndex" : 0 }, "schema" : "https://github.com/citation-style-language/schema/raw/master/csl-citation.json" }</w:instrText>
      </w:r>
      <w:r w:rsidR="00FF2726">
        <w:rPr>
          <w:rFonts w:eastAsiaTheme="minorEastAsia"/>
        </w:rPr>
        <w:fldChar w:fldCharType="separate"/>
      </w:r>
      <w:r w:rsidR="007F2A2A" w:rsidRPr="007F2A2A">
        <w:rPr>
          <w:rFonts w:eastAsiaTheme="minorEastAsia"/>
          <w:noProof/>
          <w:vertAlign w:val="superscript"/>
        </w:rPr>
        <w:t>[45,51,55]</w:t>
      </w:r>
      <w:r w:rsidR="00FF2726">
        <w:rPr>
          <w:rFonts w:eastAsiaTheme="minorEastAsia"/>
        </w:rPr>
        <w:fldChar w:fldCharType="end"/>
      </w:r>
      <w:r w:rsidR="00FF2726">
        <w:rPr>
          <w:rFonts w:eastAsiaTheme="minorEastAsia"/>
        </w:rPr>
        <w:t xml:space="preserve"> </w:t>
      </w:r>
      <w:r w:rsidR="008C142E">
        <w:rPr>
          <w:rFonts w:eastAsiaTheme="minorEastAsia"/>
        </w:rPr>
        <w:t xml:space="preserve">Using Eq. (4) and (5), </w:t>
      </w:r>
      <w:r w:rsidR="001B1D17">
        <w:rPr>
          <w:rFonts w:eastAsiaTheme="minorEastAsia"/>
        </w:rPr>
        <w:t>we obtain</w:t>
      </w:r>
      <w:r w:rsidR="00195A8D">
        <w:rPr>
          <w:rFonts w:eastAsiaTheme="minorEastAsia"/>
        </w:rPr>
        <w:t xml:space="preserve"> the simple expression</w:t>
      </w:r>
      <w:r w:rsidR="001B1D17">
        <w:rPr>
          <w:rFonts w:eastAsiaTheme="minorEastAsia"/>
        </w:rPr>
        <w:t xml:space="preserve"> </w:t>
      </w:r>
    </w:p>
    <w:p w14:paraId="367BE546" w14:textId="77777777" w:rsidR="001B1D17" w:rsidRDefault="006B7D0C" w:rsidP="00650D6B">
      <w:pPr>
        <w:ind w:firstLine="720"/>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RT</m:t>
            </m:r>
          </m:den>
        </m:f>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C</m:t>
            </m:r>
          </m:sub>
        </m:sSub>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lang w:val="en-GB"/>
              </w:rPr>
              <m:t>Δ</m:t>
            </m:r>
            <m:sSubSup>
              <m:sSubSupPr>
                <m:ctrlPr>
                  <w:rPr>
                    <w:rFonts w:ascii="Cambria Math" w:eastAsiaTheme="minorEastAsia" w:hAnsi="Cambria Math"/>
                    <w:i/>
                    <w:lang w:val="en-GB"/>
                  </w:rPr>
                </m:ctrlPr>
              </m:sSubSupPr>
              <m:e>
                <m:r>
                  <w:rPr>
                    <w:rFonts w:ascii="Cambria Math" w:eastAsiaTheme="minorEastAsia" w:hAnsi="Cambria Math"/>
                    <w:lang w:val="en-GB"/>
                  </w:rPr>
                  <m:t>G</m:t>
                </m:r>
              </m:e>
              <m:sub>
                <m:r>
                  <w:rPr>
                    <w:rFonts w:ascii="Cambria Math" w:eastAsiaTheme="minorEastAsia" w:hAnsi="Cambria Math"/>
                    <w:lang w:val="en-GB"/>
                  </w:rPr>
                  <m:t>BC</m:t>
                </m:r>
              </m:sub>
              <m:sup>
                <m:r>
                  <w:rPr>
                    <w:rFonts w:ascii="Cambria Math" w:eastAsiaTheme="minorEastAsia" w:hAnsi="Cambria Math"/>
                    <w:lang w:val="en-GB"/>
                  </w:rPr>
                  <m:t>∞</m:t>
                </m:r>
              </m:sup>
            </m:sSubSup>
            <m:r>
              <w:rPr>
                <w:rFonts w:ascii="Cambria Math" w:eastAsiaTheme="minorEastAsia" w:hAnsi="Cambria Math"/>
                <w:lang w:val="en-GB"/>
              </w:rPr>
              <m:t>-</m:t>
            </m:r>
            <m:r>
              <m:rPr>
                <m:sty m:val="p"/>
              </m:rPr>
              <w:rPr>
                <w:rFonts w:ascii="Cambria Math" w:eastAsiaTheme="minorEastAsia" w:hAnsi="Cambria Math"/>
                <w:lang w:val="en-GB"/>
              </w:rPr>
              <m:t>Δ</m:t>
            </m:r>
            <m:sSubSup>
              <m:sSubSupPr>
                <m:ctrlPr>
                  <w:rPr>
                    <w:rFonts w:ascii="Cambria Math" w:eastAsiaTheme="minorEastAsia" w:hAnsi="Cambria Math"/>
                    <w:i/>
                    <w:lang w:val="en-GB"/>
                  </w:rPr>
                </m:ctrlPr>
              </m:sSubSupPr>
              <m:e>
                <m:r>
                  <w:rPr>
                    <w:rFonts w:ascii="Cambria Math" w:eastAsiaTheme="minorEastAsia" w:hAnsi="Cambria Math"/>
                    <w:lang w:val="en-GB"/>
                  </w:rPr>
                  <m:t>G</m:t>
                </m:r>
              </m:e>
              <m:sub>
                <m:r>
                  <w:rPr>
                    <w:rFonts w:ascii="Cambria Math" w:eastAsiaTheme="minorEastAsia" w:hAnsi="Cambria Math"/>
                    <w:lang w:val="en-GB"/>
                  </w:rPr>
                  <m:t>BW</m:t>
                </m:r>
              </m:sub>
              <m:sup>
                <m:r>
                  <w:rPr>
                    <w:rFonts w:ascii="Cambria Math" w:eastAsiaTheme="minorEastAsia" w:hAnsi="Cambria Math"/>
                    <w:lang w:val="en-GB"/>
                  </w:rPr>
                  <m:t>∞</m:t>
                </m:r>
              </m:sup>
            </m:sSubSup>
          </m:num>
          <m:den>
            <m:r>
              <m:rPr>
                <m:sty m:val="p"/>
              </m:rPr>
              <w:rPr>
                <w:rFonts w:ascii="Cambria Math" w:eastAsiaTheme="minorEastAsia" w:hAnsi="Cambria Math"/>
              </w:rPr>
              <m:t>Δ</m:t>
            </m:r>
            <m:sSubSup>
              <m:sSubSupPr>
                <m:ctrlPr>
                  <w:rPr>
                    <w:rFonts w:ascii="Cambria Math" w:eastAsiaTheme="minorEastAsia" w:hAnsi="Cambria Math"/>
                    <w:i/>
                  </w:rPr>
                </m:ctrlPr>
              </m:sSubSupPr>
              <m:e>
                <m:r>
                  <m:rPr>
                    <m:sty m:val="p"/>
                  </m:rPr>
                  <w:rPr>
                    <w:rFonts w:ascii="Cambria Math" w:eastAsiaTheme="minorEastAsia" w:hAnsi="Cambria Math"/>
                  </w:rPr>
                  <m:t>G</m:t>
                </m:r>
                <m:ctrlPr>
                  <w:rPr>
                    <w:rFonts w:ascii="Cambria Math" w:eastAsiaTheme="minorEastAsia" w:hAnsi="Cambria Math"/>
                  </w:rPr>
                </m:ctrlPr>
              </m:e>
              <m:sub>
                <m:r>
                  <w:rPr>
                    <w:rFonts w:ascii="Cambria Math" w:eastAsiaTheme="minorEastAsia" w:hAnsi="Cambria Math"/>
                  </w:rPr>
                  <m:t>BW</m:t>
                </m:r>
              </m:sub>
              <m:sup>
                <m:r>
                  <w:rPr>
                    <w:rFonts w:ascii="Cambria Math" w:eastAsiaTheme="minorEastAsia" w:hAnsi="Cambria Math"/>
                  </w:rPr>
                  <m:t>∞</m:t>
                </m:r>
              </m:sup>
            </m:sSubSup>
          </m:den>
        </m:f>
      </m:oMath>
      <w:r w:rsidR="001B1D17">
        <w:rPr>
          <w:rFonts w:eastAsiaTheme="minorEastAsia"/>
        </w:rPr>
        <w:tab/>
      </w:r>
      <w:r w:rsidR="001B1D17">
        <w:rPr>
          <w:rFonts w:eastAsiaTheme="minorEastAsia"/>
        </w:rPr>
        <w:tab/>
      </w:r>
      <w:r w:rsidR="001B1D17">
        <w:rPr>
          <w:rFonts w:eastAsiaTheme="minorEastAsia"/>
        </w:rPr>
        <w:tab/>
      </w:r>
      <w:r w:rsidR="001B1D17">
        <w:rPr>
          <w:rFonts w:eastAsiaTheme="minorEastAsia"/>
        </w:rPr>
        <w:tab/>
      </w:r>
      <w:r w:rsidR="001B1D17">
        <w:rPr>
          <w:rFonts w:eastAsiaTheme="minorEastAsia"/>
        </w:rPr>
        <w:tab/>
      </w:r>
      <w:r w:rsidR="00195A8D">
        <w:rPr>
          <w:rFonts w:eastAsiaTheme="minorEastAsia"/>
        </w:rPr>
        <w:tab/>
      </w:r>
      <w:r w:rsidR="001B1D17">
        <w:rPr>
          <w:rFonts w:eastAsiaTheme="minorEastAsia"/>
        </w:rPr>
        <w:tab/>
      </w:r>
      <w:r w:rsidR="001B1D17">
        <w:rPr>
          <w:rFonts w:eastAsiaTheme="minorEastAsia"/>
        </w:rPr>
        <w:tab/>
      </w:r>
      <w:r w:rsidR="001B1D17">
        <w:rPr>
          <w:rFonts w:eastAsiaTheme="minorEastAsia"/>
        </w:rPr>
        <w:tab/>
        <w:t>(6</w:t>
      </w:r>
      <w:r w:rsidR="00650D6B">
        <w:rPr>
          <w:rFonts w:eastAsiaTheme="minorEastAsia"/>
        </w:rPr>
        <w:t>)</w:t>
      </w:r>
    </w:p>
    <w:p w14:paraId="4A1789B1" w14:textId="77777777" w:rsidR="001B1D17" w:rsidRDefault="00195A8D" w:rsidP="000B0290">
      <w:pPr>
        <w:rPr>
          <w:rFonts w:eastAsiaTheme="minorEastAsia"/>
        </w:rPr>
      </w:pPr>
      <w:r>
        <w:rPr>
          <w:rFonts w:eastAsiaTheme="minorEastAsia"/>
        </w:rPr>
        <w:t>which is exact</w:t>
      </w:r>
      <w:r w:rsidR="000B0290">
        <w:rPr>
          <w:rFonts w:eastAsiaTheme="minorEastAsia"/>
        </w:rPr>
        <w:t xml:space="preserve"> in the limit of low osmolyte (and protein) concentrations. </w:t>
      </w:r>
      <w:r w:rsidR="002E743C">
        <w:rPr>
          <w:rFonts w:eastAsiaTheme="minorEastAsia"/>
        </w:rPr>
        <w:t>Hence, the osmoprotection capacit</w:t>
      </w:r>
      <w:r w:rsidR="003A6C89">
        <w:rPr>
          <w:rFonts w:eastAsiaTheme="minorEastAsia"/>
        </w:rPr>
        <w:t>y</w:t>
      </w:r>
      <w:r w:rsidR="00251A74">
        <w:rPr>
          <w:rFonts w:eastAsiaTheme="minorEastAsia"/>
        </w:rPr>
        <w:t xml:space="preserve"> </w:t>
      </w:r>
      <w:r w:rsidR="004A6C3A">
        <w:rPr>
          <w:rFonts w:eastAsiaTheme="minorEastAsia"/>
        </w:rPr>
        <w:t>has thus been shown to have a rigorous</w:t>
      </w:r>
      <w:r w:rsidR="00251A74">
        <w:rPr>
          <w:rFonts w:eastAsiaTheme="minorEastAsia"/>
        </w:rPr>
        <w:t xml:space="preserve"> molecular-based interpretation </w:t>
      </w:r>
      <w:r w:rsidR="002E743C">
        <w:rPr>
          <w:rFonts w:eastAsiaTheme="minorEastAsia"/>
        </w:rPr>
        <w:t>in terms of the KB integrals characterizing the</w:t>
      </w:r>
      <w:r w:rsidR="00251A74">
        <w:rPr>
          <w:rFonts w:eastAsiaTheme="minorEastAsia"/>
        </w:rPr>
        <w:t xml:space="preserve"> protein-water and protein-osmolyte interactions. </w:t>
      </w:r>
    </w:p>
    <w:p w14:paraId="040A2E49" w14:textId="46B20C43" w:rsidR="00195A8D" w:rsidRDefault="00195A8D" w:rsidP="000B0290">
      <w:pPr>
        <w:rPr>
          <w:rFonts w:eastAsiaTheme="minorEastAsia"/>
        </w:rPr>
      </w:pPr>
      <w:r>
        <w:rPr>
          <w:rFonts w:eastAsiaTheme="minorEastAsia"/>
        </w:rPr>
        <w:tab/>
      </w:r>
      <w:r w:rsidR="00EF1B31" w:rsidRPr="00F81E1C">
        <w:rPr>
          <w:rFonts w:eastAsiaTheme="minorEastAsia"/>
        </w:rPr>
        <w:t>The above result</w:t>
      </w:r>
      <w:r w:rsidRPr="00F81E1C">
        <w:rPr>
          <w:rFonts w:eastAsiaTheme="minorEastAsia"/>
        </w:rPr>
        <w:t xml:space="preserve"> has the advantage that it is based on </w:t>
      </w:r>
      <w:r w:rsidR="00EF1B31" w:rsidRPr="00F81E1C">
        <w:rPr>
          <w:rFonts w:eastAsiaTheme="minorEastAsia"/>
        </w:rPr>
        <w:t xml:space="preserve">a </w:t>
      </w:r>
      <w:r w:rsidRPr="00F81E1C">
        <w:rPr>
          <w:rFonts w:eastAsiaTheme="minorEastAsia"/>
        </w:rPr>
        <w:t>rigorous thermodynamic and statistical mechanics</w:t>
      </w:r>
      <w:r w:rsidR="00EF1B31" w:rsidRPr="00F81E1C">
        <w:rPr>
          <w:rFonts w:eastAsiaTheme="minorEastAsia"/>
        </w:rPr>
        <w:t xml:space="preserve"> approach</w:t>
      </w:r>
      <w:r w:rsidRPr="00F81E1C">
        <w:rPr>
          <w:rFonts w:eastAsiaTheme="minorEastAsia"/>
        </w:rPr>
        <w:t xml:space="preserve">, the </w:t>
      </w:r>
      <w:r w:rsidR="00EF1B31" w:rsidRPr="00F81E1C">
        <w:rPr>
          <w:rFonts w:eastAsiaTheme="minorEastAsia"/>
        </w:rPr>
        <w:t>treatment</w:t>
      </w:r>
      <w:r w:rsidRPr="00F81E1C">
        <w:rPr>
          <w:rFonts w:eastAsiaTheme="minorEastAsia"/>
        </w:rPr>
        <w:t xml:space="preserve"> of weak binding osmolytes is </w:t>
      </w:r>
      <w:r w:rsidR="00EF1B31" w:rsidRPr="00F81E1C">
        <w:rPr>
          <w:rFonts w:eastAsiaTheme="minorEastAsia"/>
        </w:rPr>
        <w:t xml:space="preserve">easy to handle, and one can make a direct link to experimental data. The main disadvantages lie in the fact one requires knowledge of the corresponding KB integrals, and the </w:t>
      </w:r>
      <w:r w:rsidR="002E743C">
        <w:rPr>
          <w:rFonts w:eastAsiaTheme="minorEastAsia"/>
        </w:rPr>
        <w:t xml:space="preserve">corresponding </w:t>
      </w:r>
      <w:r w:rsidR="00EF1B31" w:rsidRPr="00F81E1C">
        <w:rPr>
          <w:rFonts w:eastAsiaTheme="minorEastAsia"/>
        </w:rPr>
        <w:t>interpretation may be more complicated as the statistical nature of the distributions can be difficult to rationalize</w:t>
      </w:r>
      <w:r w:rsidR="004C205E">
        <w:rPr>
          <w:rFonts w:eastAsiaTheme="minorEastAsia"/>
        </w:rPr>
        <w:t>.</w:t>
      </w:r>
      <w:r w:rsidR="004C205E">
        <w:rPr>
          <w:rFonts w:eastAsiaTheme="minorEastAsia"/>
        </w:rPr>
        <w:fldChar w:fldCharType="begin" w:fldLock="1"/>
      </w:r>
      <w:r w:rsidR="00AE0793">
        <w:rPr>
          <w:rFonts w:eastAsiaTheme="minorEastAsi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"10.1021/jp0474879", "abstract" : "A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urea, guanidinium chloride, sodium chloride and 2,2,2,-trifluoroethanol. It is suggested that a determination of the simulated preferential interaction of a cosolvent with the native state of a protein under denaturing conditions provides the simplest test of available force fields, as it avoids simulations of the denatured state which are typically inaccessible with current computer power.\\nA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ur\u2026", "author" : [ { "dropping-particle" : "", "family" : "Smith", "given" : "Paul E.", "non-dropping-particle" : "", "parse-names" : false, "suffix" : "" } ], "container-title" : "Journal of Physical Chemistry B", "id" : "ITEM-2", "issue" : "48", "issued" : { "date-parts" : [ [ "2004", "12", "2" ] ] }, "page" : "18716-18724", "title" : "Cosolvent interactions with biomolecules: Relating computer simulation data to experimental thermodynamic data", "type" : "article-journal", "volume" : "108" }, "uris" : [ "http://www.mendeley.com/documents/?uuid=16db6586-5e10-48af-820c-5339cad79c8b" ] }, { "id" : "ITEM-3", "itemData" : { "abstract" : "A simple model for describing the effects of cosolvents on biomolecular equilibria in solution is presented. The model is developed using the Kirkwood-Buff theory of solutions and relates changes in the chemical potential of the cosolvent, due to the presence of the solute, to changes in the cosolvent (and water) concentrations in the vicinity of the biomolecule. The model is then used to determine the dependence of changes in the free energy for protein denaturation on cosolvent concentration. The experimentally observed linearity for urea, and small deviation from linear behavior for guanidinium chloride denaturation, are reproduced. In addition, the model is also predicted to provide a good description of the helix-inducing effects of TFE solutions.\\n\\nTimes Cited: 0 Article English Cited References Count: 36 860nb", "author" : [ { "dropping-particle" : "", "family" : "Smith", "given" : "Paul E.", "non-dropping-particle" : "", "parse-names" : false, "suffix" : "" } ], "container-title" : "Journal of Physical Chemistry B", "id" : "ITEM-3", "issue" : "41", "issued" : { "date-parts" : [ [ "2004", "10", "14" ] ] }, "page" : "16271-16278", "title" : "Local chemical potential equalization model for cosolvent effects on biomolecular equilibria", "type" : "article-journal", "volume" : "108" }, "uris" : [ "http://www.mendeley.com/documents/?uuid=dc2e1109-13ff-4078-8070-7c9910fa6c5d" ] }, { "id" : "ITEM-4",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"ITEM-4", "issue" : "18", "issued" : { "date-parts" : [ [ "2004" ] ] }, "page" : "9147-9155", "title" : "The Kirkwood-Buff theory and the effect of cosolvents on biochemical reactions", "type" : "article-journal", "volume" : "121" }, "uris" : [ "http://www.mendeley.com/documents/?uuid=773d4c28-f2d5-421b-a5a5-0066df199fbe" ] }, { "id" : "ITEM-5", "itemData" : { "DOI" : "10.1021/jp056100e", "abstract" : "Equilibrium dialysis data has provided valuable information concerning the preferential interaction of a cosolvent with a biomolecule in aqueous solutions. Here, we formulate the experimental data in terms of Kirkwood-Buff (KB) theory, resulting in equations that provide a simple physical picture of the dialysis experiment and thereby the interaction of a cosolvent with a biomolecule. These results are then used to establish exact relationships between preferential interaction coefficients, defined in different ensembles and/or using different concentration scales, in terms of KB integrals. It is then argued that the molality based equilibrium dialysis data represent the situation most relevant to computer simulations performed in either open or closed systems.", "author" : [ { "dropping-particle" : "", "family" : "Smith", "given" : "Paul E.", "non-dropping-particle" : "", "parse-names" : false, "suffix" : "" } ], "container-title" : "Journal of Physical Chemistry B", "id" : "ITEM-5", "issue" : "6", "issued" : { "date-parts" : [ [ "2006", "2", "16" ] ] }, "page" : "2862-2868", "publisher" : "American Chemical Society", "title" : "Equilibrium dialysis data and the relationships between preferential interaction parameters for biological systems in terms of kirkwood-buff integrals", "type" : "article-journal", "volume" : "110" }, "uris" : [ "http://www.mendeley.com/documents/?uuid=30b5c5be-cfb2-403d-ae77-c99d607c11a2" ] }, { "id" : "ITEM-6", "itemData" : { "DOI" : "10.1529/biophysj.105.078790", "abstract" : "New expressions for chemical potential derivatives and preferential interaction parameters for ternary mixtures are derived for open, semiopen, and closed ensembles in terms of Kirkwood-Buff integrals, where all three components are present at finite concentrations. This is achieved using a simple approach that avoids the use of the general matrix formulation of Kirkwood-Buff theory. The resulting expressions provide a rigorous foundation for the analysis of experimental and simulation data. Using the results, a simple model is developed and used to investigate the possible effects of finite protein concentrations on the corresponding cosolvent dependent chemical potential and denaturation thermodynamics.", "author" : [ { "dropping-particle" : "", "family" : "Smith", "given" : "Paul E.", "non-dropping-particle" : "", "parse-names" : false, "suffix" : "" } ], "container-title" : "Biophysical Journal", "id" : "ITEM-6", "issue" : "3", "issued" : { "date-parts" : [ [ "2006" ] ] }, "page" : "849-856", "title" : "Chemical Potential Derivatives and Preferential Interaction Parameters in Biological Systems from Kirkwood-Buff Theory", "type" : "article-journal", "volume" : "91" }, "uris" : [ "http://www.mendeley.com/documents/?uuid=541ab070-ef7f-443a-8357-2ca63184559d" ] }, { "id" : "ITEM-7",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"ITEM-7", "issue" : "23", "issued" : { "date-parts" : [ [ "2006" ] ] }, "page" : "234905", "title" : "The Hofmeister series and protein-salt interactions", "type" : "article-journal", "volume" : "124" }, "uris" : [ "http://www.mendeley.com/documents/?uuid=0a70a1b5-2739-4d43-a695-db256c211fdf" ] } ], "mendeley" : { "formattedCitation" : "&lt;sup&gt;[42\u201348]&lt;/sup&gt;", "plainTextFormattedCitation" : "[42\u201348]", "previouslyFormattedCitation" : "&lt;sup&gt;[42\u201348]&lt;/sup&gt;" }, "properties" : { "noteIndex" : 0 }, "schema" : "https://github.com/citation-style-language/schema/raw/master/csl-citation.json" }</w:instrText>
      </w:r>
      <w:r w:rsidR="004C205E">
        <w:rPr>
          <w:rFonts w:eastAsiaTheme="minorEastAsia"/>
        </w:rPr>
        <w:fldChar w:fldCharType="separate"/>
      </w:r>
      <w:r w:rsidR="002C1133" w:rsidRPr="002C1133">
        <w:rPr>
          <w:rFonts w:eastAsiaTheme="minorEastAsia"/>
          <w:noProof/>
          <w:vertAlign w:val="superscript"/>
        </w:rPr>
        <w:t>[42–48]</w:t>
      </w:r>
      <w:r w:rsidR="004C205E">
        <w:rPr>
          <w:rFonts w:eastAsiaTheme="minorEastAsia"/>
        </w:rPr>
        <w:fldChar w:fldCharType="end"/>
      </w:r>
      <w:r w:rsidR="004C205E">
        <w:rPr>
          <w:rFonts w:eastAsiaTheme="minorEastAsia"/>
        </w:rPr>
        <w:t xml:space="preserve"> </w:t>
      </w:r>
      <w:r w:rsidR="00EF1B31" w:rsidRPr="00F81E1C">
        <w:rPr>
          <w:rFonts w:eastAsiaTheme="minorEastAsia"/>
        </w:rPr>
        <w:t>However, we show below that many of these difficulties can be overcome by using available experimental data.</w:t>
      </w:r>
      <w:r w:rsidR="00EF1B31">
        <w:rPr>
          <w:rFonts w:eastAsiaTheme="minorEastAsia"/>
        </w:rPr>
        <w:t xml:space="preserve">   </w:t>
      </w:r>
    </w:p>
    <w:p w14:paraId="159E57FA" w14:textId="77777777" w:rsidR="001B1D17" w:rsidRDefault="001B1D17">
      <w:pPr>
        <w:rPr>
          <w:b/>
        </w:rPr>
      </w:pPr>
    </w:p>
    <w:p w14:paraId="76A1C0CC" w14:textId="77777777" w:rsidR="0075615F" w:rsidRPr="00293B7C" w:rsidRDefault="00F967E8">
      <w:pPr>
        <w:rPr>
          <w:b/>
        </w:rPr>
      </w:pPr>
      <w:r w:rsidRPr="00F967E8">
        <w:rPr>
          <w:b/>
        </w:rPr>
        <w:t xml:space="preserve">3. </w:t>
      </w:r>
      <w:r w:rsidR="0075615F">
        <w:rPr>
          <w:b/>
        </w:rPr>
        <w:t>M</w:t>
      </w:r>
      <w:r>
        <w:rPr>
          <w:b/>
        </w:rPr>
        <w:t xml:space="preserve">olecular-level </w:t>
      </w:r>
      <w:r w:rsidR="00DD1321">
        <w:rPr>
          <w:b/>
        </w:rPr>
        <w:t xml:space="preserve">protection </w:t>
      </w:r>
      <w:r>
        <w:rPr>
          <w:b/>
        </w:rPr>
        <w:t>me</w:t>
      </w:r>
      <w:r w:rsidR="00EB1A78">
        <w:rPr>
          <w:b/>
        </w:rPr>
        <w:t>chanism can be revealed directly</w:t>
      </w:r>
      <w:r w:rsidR="0075615F">
        <w:rPr>
          <w:b/>
        </w:rPr>
        <w:t xml:space="preserve"> from</w:t>
      </w:r>
      <w:r w:rsidR="001B1D17">
        <w:rPr>
          <w:b/>
        </w:rPr>
        <w:t xml:space="preserve"> experimental data</w:t>
      </w:r>
    </w:p>
    <w:p w14:paraId="366E4E0B" w14:textId="77777777" w:rsidR="007066F7" w:rsidRDefault="00EF1B31">
      <w:r>
        <w:t>Here we show that t</w:t>
      </w:r>
      <w:r w:rsidR="00251A74">
        <w:t>he molecular basis of osm</w:t>
      </w:r>
      <w:r w:rsidR="0033458F">
        <w:t xml:space="preserve">oprotection capacity </w:t>
      </w:r>
      <w:r w:rsidR="007066F7">
        <w:t xml:space="preserve">against pressure denaturation </w:t>
      </w:r>
      <w:r w:rsidR="0033458F">
        <w:t xml:space="preserve">(i.e., </w:t>
      </w:r>
      <w:r w:rsidR="00157A8A">
        <w:t>l.h.s. of Eqs. (6</w:t>
      </w:r>
      <w:r w:rsidR="00251A74">
        <w:t>)</w:t>
      </w:r>
      <w:r w:rsidR="0033458F">
        <w:t>), namely the competition between the non-sp</w:t>
      </w:r>
      <w:r w:rsidR="002B418A">
        <w:t>ecific protein-osmolyte and pro</w:t>
      </w:r>
      <w:r w:rsidR="0033458F">
        <w:t>tein-water interactions (r.h.s.)</w:t>
      </w:r>
      <w:r w:rsidR="007066F7">
        <w:t xml:space="preserve">, can be understood quantitatively by the analysis of experimental data. </w:t>
      </w:r>
    </w:p>
    <w:p w14:paraId="40B4C042" w14:textId="77777777" w:rsidR="004C205E" w:rsidRDefault="007066F7">
      <w:pPr>
        <w:rPr>
          <w:rFonts w:eastAsiaTheme="minorEastAsia"/>
        </w:rPr>
      </w:pPr>
      <w:r>
        <w:tab/>
        <w:t>Direct measurement of the osmoprotection capacity</w:t>
      </w:r>
      <w:r>
        <w:rPr>
          <w:rFonts w:eastAsiaTheme="minorEastAsia"/>
        </w:rPr>
        <w:t xml:space="preserve"> </w:t>
      </w:r>
      <w:r w:rsidR="00157A8A">
        <w:rPr>
          <w:rFonts w:eastAsiaTheme="minorEastAsia"/>
        </w:rPr>
        <w:t>is still rare in the literature. This</w:t>
      </w:r>
      <w:r>
        <w:rPr>
          <w:rFonts w:eastAsiaTheme="minorEastAsia"/>
        </w:rPr>
        <w:t xml:space="preserve"> can be </w:t>
      </w:r>
      <w:r w:rsidR="00157A8A">
        <w:rPr>
          <w:rFonts w:eastAsiaTheme="minorEastAsia"/>
        </w:rPr>
        <w:t xml:space="preserve">directly </w:t>
      </w:r>
      <w:r>
        <w:rPr>
          <w:rFonts w:eastAsiaTheme="minorEastAsia"/>
        </w:rPr>
        <w:t>attributed to the relative technical difficulty of high-pressure experiments compare</w:t>
      </w:r>
      <w:r w:rsidR="002B418A">
        <w:rPr>
          <w:rFonts w:eastAsiaTheme="minorEastAsia"/>
        </w:rPr>
        <w:t>d to their high</w:t>
      </w:r>
      <w:r w:rsidR="002574EF">
        <w:rPr>
          <w:rFonts w:eastAsiaTheme="minorEastAsia"/>
        </w:rPr>
        <w:t xml:space="preserve"> temperature</w:t>
      </w:r>
      <w:r w:rsidR="002B418A">
        <w:rPr>
          <w:rFonts w:eastAsiaTheme="minorEastAsia"/>
        </w:rPr>
        <w:t xml:space="preserve"> analogues</w:t>
      </w:r>
      <w:r w:rsidR="004C205E">
        <w:rPr>
          <w:rFonts w:eastAsiaTheme="minorEastAsia"/>
        </w:rPr>
        <w:t>.</w:t>
      </w:r>
      <w:r w:rsidR="004C205E">
        <w:rPr>
          <w:rFonts w:eastAsiaTheme="minorEastAsia"/>
        </w:rPr>
        <w:fldChar w:fldCharType="begin" w:fldLock="1"/>
      </w:r>
      <w:r w:rsidR="001F67E6">
        <w:rPr>
          <w:rFonts w:eastAsiaTheme="minorEastAsia"/>
        </w:rPr>
        <w:instrText>ADDIN CSL_CITATION { "citationItems" : [ { "id" : "ITEM-1", "itemData" : { "abstract" :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no aggregation occurs. With corresponding measurements of the pressure-induced denaturation of ubiquitin at different temperatures, a p/T?stability diagram of ubiquitin could be obtained. Furthermore, kinetic FT-IR measurements were carried out using the pressure-jump relaxation technique. The denaturation process is shown to occur on a time scale which is about twice as long as that of the renaturation process, and both processes are much slower than the unfolding?refolding kinetics observed at ambient pressure.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\u2026", "author" : [ { "dropping-particle" : "", "family" : "Herberhold", "given" : "Heinz", "non-dropping-particle" : "", "parse-names" : false, "suffix" : "" }, { "dropping-particle" : "", "family" : "Winter", "given" : "Roland", "non-dropping-particle" : "", "parse-names" : false, "suffix" : "" } ], "container-title" : "Biochemistry", "id" : "ITEM-1", "issue" : "7", "issued" : { "date-parts" : [ [ "2002", "2", "19" ] ] }, "page" : "2396-2401", "title" : "Temperature- and pressure-induced unfolding and refolding of ubiquitin: A static and kinetic fourier transform infrared spectroscopy study", "type" : "article-journal", "volume" : "41" }, "uris" : [ "http://www.mendeley.com/documents/?uuid=cb112213-f679-4eb2-b160-92f48a78bf90" ] }, { "id" : "ITEM-2", "itemData" : { "DOI" : "10.1002/cphc.200800522", "ISBN" : "1439-7641 (Electronic)\\r1439-4235 (Linking)", "ISSN" : "14394235", "PMID" : "18924198", "abstract" : "Herein, we explore the effect of different types of osmolytes on the high-pressure stability and tertiary structure of a well-characterized monomeric protein, staphylococcal nuclease (SNase). Changes in the denaturation pressure and the radius of gyration are obtained in the presence of different concentrations of trimethylamine N-oxide (TMAO), glycerol and urea. To reveal structural changes in the protein upon compression at various osmolyte conditions, small-angle X-ray scattering (SAXS) experiments were carried out. To this end, a new high-pressure cell suitable for high-precision SAXS studies at synchrotron sources was built, which allows one to carry out scattering experiments up to maximum pressures of about 7 kbar. Our data clearly indicate that the osmolytes that stabilize proteins against temperature-induced unfolding drastically increase their pressure stability and that the elliptically shaped curve of the pressure-temperature-stability diagram of proteins is shifted to higher temperatures and pressures with increasing osmolyte concentration. A drastic stabilization is observed for the osmolyte TMAO, which exhibits not only a significant stabilization against temperature-induced unfolding, but also a particularly strong stabilization of the protein against pressure. In fact, such findings are in accordance with in vivo studies (for example P. J. Yancey, J. Exp. Biol. 2005, 208, 2819-2830), where unusually high TMAO concentrations in some deep-sea animals were found. Conversely, chaotropic agents such as urea have a strong destabilizing effect on both the temperature and pressure stability of the protein. Our data also indicate that sufficiently high TMAO concentrations might be able to largely offset the destabilizing effect of urea. The different scenarios observed are discussed in the context of recent experimental and theoretical studies.", "author" : [ { "dropping-particle" : "", "family" : "Krywka", "given" : "Christina", "non-dropping-particle" : "", "parse-names" : false, "suffix" : "" }, { "dropping-particle" : "", "family" : "Sternemann", "given" : "Christian", "non-dropping-particle" : "", "parse-names" : false, "suffix" : "" }, { "dropping-particle" : "", "family" : "Paulus", "given" : "Michael", "non-dropping-particle" : "", "parse-names" : false, "suffix" : "" }, { "dropping-particle" : "", "family" : "Tolan", "given" : "Metin", "non-dropping-particle" : "", "parse-names" : false, "suffix" : "" }, { "dropping-particle" : "", "family" : "Royer", "given" : "Catherine", "non-dropping-particle" : "", "parse-names" : false, "suffix" : "" }, { "dropping-particle" : "", "family" : "Winter", "given" : "Roland", "non-dropping-particle" : "", "parse-names" : false, "suffix" : "" } ], "container-title" : "ChemPhysChem", "id" : "ITEM-2", "issue" : "18", "issued" : { "date-parts" : [ [ "2008" ] ] }, "page" : "2809-2815", "title" : "Effect of osmolytes on pressure-induced unfolding of proteins: A high-pressure SAXS study", "type" : "article-journal", "volume" : "9" }, "uris" : [ "http://www.mendeley.com/documents/?uuid=a56525ae-b586-4cd9-8a49-4266d933e554" ] }, { "id" : "ITEM-3", "itemData" : { "DOI" : "10.1002/anie.201104380", "ISSN" : "14337851", "PMID" : "22113799", "author" : [ { "dropping-particle" : "", "family" : "Schroer", "given" : "Martin A.", "non-dropping-particle" : "", "parse-names" : false, "suffix" : "" }, { "dropping-particle" : "", "family" : "Zhai", "given" : "Yong", "non-dropping-particle" : "", "parse-names" : false, "suffix" : "" }, { "dropping-particle" : "", "family" : "Wieland", "given" : "D. C Florian", "non-dropping-particle" : "", "parse-names" : false, "suffix" : "" }, { "dropping-particle" : "", "family" : "Sahle", "given" : "Christoph J.", "non-dropping-particle" : "", "parse-names" : false, "suffix" : "" }, { "dropping-particle" : "", "family" : "Nase", "given" : "Julia", "non-dropping-particle" : "", "parse-names" : false, "suffix" : "" }, { "dropping-particle" : "", "family" : "Paulus", "given" : "Michael", "non-dropping-particle" : "", "parse-names" : false, "suffix" : "" }, { "dropping-particle" : "", "family" : "Tolan", "given" : "Metin", "non-dropping-particle" : "", "parse-names" : false, "suffix" : "" }, { "dropping-particle" : "", "family" : "Winter", "given" : "Roland", "non-dropping-particle" : "", "parse-names" : false, "suffix" : "" } ], "container-title" : "Angewandte Chemie International Edition", "id" : "ITEM-3", "issue" : "48", "issued" : { "date-parts" : [ [ "2011" ] ] }, "page" : "11413-11416", "title" : "Exploring the piezophilic behavior of natural cosolvent mixtures", "type" : "article-journal", "volume" : "50" }, "uris" : [ "http://www.mendeley.com/documents/?uuid=3286f240-7072-4c20-9489-e273ed62453a" ] }, { "id" : "ITEM-4", "itemData" : { "DOI" : "10.1002/cphc.201200767", "ISBN" : "1439-7641 (Electronic)\\r1439-4235 (Linking)", "ISSN" : "14394235", "PMID" : "23281099", "abstract" : "FT-IR spectroscopic and thermodynamic measurements were designed to explore the effect of a macromolecular crowder, dextran, on the temperature and pressure-dependent phase diagram of the protein Ribonuclease A (RNase A), and we compare the experimental data with approximate theoretical predictions based on configuration entropy. Exploring the crowding effect on the pressure-induced unfolding of proteins provides insight in protein stability and folding under cell-like dense conditions, since pressure is a fundamental thermodynamic variable linked to molecular volume. Moreover, these studies are of relevance for understanding protein stability in deep-sea organisms, which have to cope with pressures in the kbar range. We found that not only temperature-induced equilibrium unfolding of RNase A, but also unfolding induced by pressure is markedly prohibited in the crowded dextran solutions, suggesting that crowded environments such as those found intracellularly, will also oppress high-pressure protein unfolding. The FT-IR spectroscopic measurements revealed a marked increase in unfolding pressure of 2 kbar in the presence of 30 wt % dextran. Whereas the structural changes upon thermal unfolding of the protein are not significantly influenced in the presence of the crowding agent, through stabilization by dextran the pressure-unfolded state of the protein retains more ordered secondary structure elements, which seems to be a manifestation of the entropic destabilization of the unfolded state by crowding.", "author" : [ { "dropping-particle" : "", "family" : "Zhai", "given" : "Yong", "non-dropping-particle" : "", "parse-names" : false, "suffix" : "" }, { "dropping-particle" : "", "family" : "Winter", "given" : "Roland", "non-dropping-particle" : "", "parse-names" : false, "suffix" : "" } ], "container-title" : "ChemPhysChem", "id" : "ITEM-4", "issue" : "2", "issued" : { "date-parts" : [ [ "2013" ] ] }, "page" : "386-393", "title" : "Effect of molecular crowding on the temperature-pressure stability diagram of ribonuclease A", "type" : "article-journal", "volume" : "14" }, "uris" : [ "http://www.mendeley.com/documents/?uuid=ab3f447b-0f28-44a0-8d8c-4a6e9ea0d5c7" ] } ], "mendeley" : { "formattedCitation" : "&lt;sup&gt;[37,39\u201341]&lt;/sup&gt;", "plainTextFormattedCitation" : "[37,39\u201341]", "previouslyFormattedCitation" : "&lt;sup&gt;[37,39\u201341]&lt;/sup&gt;" }, "properties" : { "noteIndex" : 0 }, "schema" : "https://github.com/citation-style-language/schema/raw/master/csl-citation.json" }</w:instrText>
      </w:r>
      <w:r w:rsidR="004C205E">
        <w:rPr>
          <w:rFonts w:eastAsiaTheme="minorEastAsia"/>
        </w:rPr>
        <w:fldChar w:fldCharType="separate"/>
      </w:r>
      <w:r w:rsidR="002C1133" w:rsidRPr="002C1133">
        <w:rPr>
          <w:rFonts w:eastAsiaTheme="minorEastAsia"/>
          <w:noProof/>
          <w:vertAlign w:val="superscript"/>
        </w:rPr>
        <w:t>[37,39–41]</w:t>
      </w:r>
      <w:r w:rsidR="004C205E">
        <w:rPr>
          <w:rFonts w:eastAsiaTheme="minorEastAsia"/>
        </w:rPr>
        <w:fldChar w:fldCharType="end"/>
      </w:r>
      <w:r w:rsidR="00FB61D3">
        <w:rPr>
          <w:rFonts w:eastAsiaTheme="minorEastAsia"/>
        </w:rPr>
        <w:t xml:space="preserve"> </w:t>
      </w:r>
      <w:r w:rsidR="00157A8A" w:rsidRPr="00DC174E">
        <w:rPr>
          <w:rFonts w:eastAsiaTheme="minorEastAsia"/>
        </w:rPr>
        <w:t>However, W</w:t>
      </w:r>
      <w:r w:rsidR="002574EF" w:rsidRPr="00DC174E">
        <w:rPr>
          <w:rFonts w:eastAsiaTheme="minorEastAsia"/>
        </w:rPr>
        <w:t>inter and coworkers</w:t>
      </w:r>
      <w:r w:rsidR="004C205E" w:rsidRPr="00DC174E">
        <w:rPr>
          <w:rFonts w:eastAsiaTheme="minorEastAsia"/>
        </w:rPr>
        <w:fldChar w:fldCharType="begin" w:fldLock="1"/>
      </w:r>
      <w:r w:rsidR="002C1133">
        <w:rPr>
          <w:rFonts w:eastAsiaTheme="minorEastAsia"/>
        </w:rPr>
        <w:instrText>ADDIN CSL_CITATION { "citationItems" : [ { "id" : "ITEM-1", "itemData" : { "abstract" :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no aggregation occurs. With corresponding measurements of the pressure-induced denaturation of ubiquitin at different temperatures, a p/T?stability diagram of ubiquitin could be obtained. Furthermore, kinetic FT-IR measurements were carried out using the pressure-jump relaxation technique. The denaturation process is shown to occur on a time scale which is about twice as long as that of the renaturation process, and both processes are much slower than the unfolding?refolding kinetics observed at ambient pressure.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\u2026", "author" : [ { "dropping-particle" : "", "family" : "Herberhold", "given" : "Heinz", "non-dropping-particle" : "", "parse-names" : false, "suffix" : "" }, { "dropping-particle" : "", "family" : "Winter", "given" : "Roland", "non-dropping-particle" : "", "parse-names" : false, "suffix" : "" } ], "container-title" : "Biochemistry", "id" : "ITEM-1", "issue" : "7", "issued" : { "date-parts" : [ [ "2002", "2", "19" ] ] }, "page" : "2396-2401", "title" : "Temperature- and pressure-induced unfolding and refolding of ubiquitin: A static and kinetic fourier transform infrared spectroscopy study", "type" : "article-journal", "volume" : "41" }, "uris" : [ "http://www.mendeley.com/documents/?uuid=cb112213-f679-4eb2-b160-92f48a78bf90" ] }, { "id" : "ITEM-2", "itemData" : { "DOI" : "10.1002/cphc.200800522", "ISBN" : "1439-7641 (Electronic)\\r1439-4235 (Linking)", "ISSN" : "14394235", "PMID" : "18924198", "abstract" : "Herein, we explore the effect of different types of osmolytes on the high-pressure stability and tertiary structure of a well-characterized monomeric protein, staphylococcal nuclease (SNase). Changes in the denaturation pressure and the radius of gyration are obtained in the presence of different concentrations of trimethylamine N-oxide (TMAO), glycerol and urea. To reveal structural changes in the protein upon compression at various osmolyte conditions, small-angle X-ray scattering (SAXS) experiments were carried out. To this end, a new high-pressure cell suitable for high-precision SAXS studies at synchrotron sources was built, which allows one to carry out scattering experiments up to maximum pressures of about 7 kbar. Our data clearly indicate that the osmolytes that stabilize proteins against temperature-induced unfolding drastically increase their pressure stability and that the elliptically shaped curve of the pressure-temperature-stability diagram of proteins is shifted to higher temperatures and pressures with increasing osmolyte concentration. A drastic stabilization is observed for the osmolyte TMAO, which exhibits not only a significant stabilization against temperature-induced unfolding, but also a particularly strong stabilization of the protein against pressure. In fact, such findings are in accordance with in vivo studies (for example P. J. Yancey, J. Exp. Biol. 2005, 208, 2819-2830), where unusually high TMAO concentrations in some deep-sea animals were found. Conversely, chaotropic agents such as urea have a strong destabilizing effect on both the temperature and pressure stability of the protein. Our data also indicate that sufficiently high TMAO concentrations might be able to largely offset the destabilizing effect of urea. The different scenarios observed are discussed in the context of recent experimental and theoretical studies.", "author" : [ { "dropping-particle" : "", "family" : "Krywka", "given" : "Christina", "non-dropping-particle" : "", "parse-names" : false, "suffix" : "" }, { "dropping-particle" : "", "family" : "Sternemann", "given" : "Christian", "non-dropping-particle" : "", "parse-names" : false, "suffix" : "" }, { "dropping-particle" : "", "family" : "Paulus", "given" : "Michael", "non-dropping-particle" : "", "parse-names" : false, "suffix" : "" }, { "dropping-particle" : "", "family" : "Tolan", "given" : "Metin", "non-dropping-particle" : "", "parse-names" : false, "suffix" : "" }, { "dropping-particle" : "", "family" : "Royer", "given" : "Catherine", "non-dropping-particle" : "", "parse-names" : false, "suffix" : "" }, { "dropping-particle" : "", "family" : "Winter", "given" : "Roland", "non-dropping-particle" : "", "parse-names" : false, "suffix" : "" } ], "container-title" : "ChemPhysChem", "id" : "ITEM-2", "issue" : "18", "issued" : { "date-parts" : [ [ "2008" ] ] }, "page" : "2809-2815", "title" : "Effect of osmolytes on pressure-induced unfolding of proteins: A high-pressure SAXS study", "type" : "article-journal", "volume" : "9" }, "uris" : [ "http://www.mendeley.com/documents/?uuid=a56525ae-b586-4cd9-8a49-4266d933e554" ] } ], "mendeley" : { "formattedCitation" : "&lt;sup&gt;[37,41]&lt;/sup&gt;", "plainTextFormattedCitation" : "[37,41]", "previouslyFormattedCitation" : "&lt;sup&gt;[37,41]&lt;/sup&gt;" }, "properties" : { "noteIndex" : 0 }, "schema" : "https://github.com/citation-style-language/schema/raw/master/csl-citation.json" }</w:instrText>
      </w:r>
      <w:r w:rsidR="004C205E" w:rsidRPr="00DC174E">
        <w:rPr>
          <w:rFonts w:eastAsiaTheme="minorEastAsia"/>
        </w:rPr>
        <w:fldChar w:fldCharType="separate"/>
      </w:r>
      <w:r w:rsidR="002C1133" w:rsidRPr="002C1133">
        <w:rPr>
          <w:rFonts w:eastAsiaTheme="minorEastAsia"/>
          <w:noProof/>
          <w:vertAlign w:val="superscript"/>
        </w:rPr>
        <w:t>[37,41]</w:t>
      </w:r>
      <w:r w:rsidR="004C205E" w:rsidRPr="00DC174E">
        <w:rPr>
          <w:rFonts w:eastAsiaTheme="minorEastAsia"/>
        </w:rPr>
        <w:fldChar w:fldCharType="end"/>
      </w:r>
      <w:r w:rsidR="004C205E" w:rsidRPr="00DC174E">
        <w:rPr>
          <w:rFonts w:eastAsiaTheme="minorEastAsia"/>
        </w:rPr>
        <w:t xml:space="preserve"> </w:t>
      </w:r>
      <w:r w:rsidR="002574EF" w:rsidRPr="00DC174E">
        <w:rPr>
          <w:rFonts w:eastAsiaTheme="minorEastAsia"/>
        </w:rPr>
        <w:t xml:space="preserve">have reported experimental data </w:t>
      </w:r>
      <w:r w:rsidR="002073F9" w:rsidRPr="00DC174E">
        <w:rPr>
          <w:rFonts w:eastAsiaTheme="minorEastAsia"/>
        </w:rPr>
        <w:t xml:space="preserve">(summarized in Table 1) </w:t>
      </w:r>
      <w:r w:rsidR="002B418A" w:rsidRPr="00DC174E">
        <w:rPr>
          <w:rFonts w:eastAsiaTheme="minorEastAsia"/>
        </w:rPr>
        <w:t>that can be used directly</w:t>
      </w:r>
      <w:r w:rsidR="002574EF" w:rsidRPr="00DC174E">
        <w:rPr>
          <w:rFonts w:eastAsiaTheme="minorEastAsia"/>
        </w:rPr>
        <w:t xml:space="preserve"> to calculate the ne</w:t>
      </w:r>
      <w:r w:rsidR="002B418A" w:rsidRPr="00DC174E">
        <w:rPr>
          <w:rFonts w:eastAsiaTheme="minorEastAsia"/>
        </w:rPr>
        <w:t>cessary input for the</w:t>
      </w:r>
      <w:r w:rsidR="00157A8A" w:rsidRPr="00DC174E">
        <w:rPr>
          <w:rFonts w:eastAsiaTheme="minorEastAsia"/>
        </w:rPr>
        <w:t xml:space="preserve"> theory resulting in Eq</w:t>
      </w:r>
      <w:r w:rsidR="002574EF" w:rsidRPr="00DC174E">
        <w:rPr>
          <w:rFonts w:eastAsiaTheme="minorEastAsia"/>
        </w:rPr>
        <w:t xml:space="preserve">. </w:t>
      </w:r>
      <w:r w:rsidR="00157A8A" w:rsidRPr="00DC174E">
        <w:rPr>
          <w:rFonts w:eastAsiaTheme="minorEastAsia"/>
        </w:rPr>
        <w:t>(2</w:t>
      </w:r>
      <w:r w:rsidR="002B418A" w:rsidRPr="00DC174E">
        <w:rPr>
          <w:rFonts w:eastAsiaTheme="minorEastAsia"/>
        </w:rPr>
        <w:t xml:space="preserve">) and </w:t>
      </w:r>
      <w:r w:rsidR="00157A8A" w:rsidRPr="00DC174E">
        <w:rPr>
          <w:rFonts w:eastAsiaTheme="minorEastAsia"/>
        </w:rPr>
        <w:t>(4)-(6)</w:t>
      </w:r>
      <w:r w:rsidR="002B418A" w:rsidRPr="00DC174E">
        <w:rPr>
          <w:rFonts w:eastAsiaTheme="minorEastAsia"/>
        </w:rPr>
        <w:t>.</w:t>
      </w:r>
      <w:r w:rsidR="002B418A">
        <w:rPr>
          <w:rFonts w:eastAsiaTheme="minorEastAsia"/>
        </w:rPr>
        <w:t xml:space="preserve"> These include</w:t>
      </w:r>
      <w:r w:rsidR="00EF1B31">
        <w:rPr>
          <w:rFonts w:eastAsiaTheme="minorEastAsia"/>
        </w:rPr>
        <w:t xml:space="preserve"> the osmoprotection capacity </w:t>
      </w:r>
      <w:r w:rsidR="00EF1B31" w:rsidRPr="00EF1B31">
        <w:rPr>
          <w:rFonts w:eastAsiaTheme="minorEastAsia"/>
          <w:i/>
        </w:rPr>
        <w:t>O</w:t>
      </w:r>
      <w:r w:rsidR="00EF1B31" w:rsidRPr="00EF1B31">
        <w:rPr>
          <w:rFonts w:eastAsiaTheme="minorEastAsia"/>
          <w:i/>
          <w:vertAlign w:val="subscript"/>
        </w:rPr>
        <w:t>C</w:t>
      </w:r>
      <w:r w:rsidR="002073F9">
        <w:rPr>
          <w:rFonts w:eastAsiaTheme="minorEastAsia"/>
        </w:rPr>
        <w:t xml:space="preserve"> for several osmolytes and dena</w:t>
      </w:r>
      <w:r w:rsidR="002B418A">
        <w:rPr>
          <w:rFonts w:eastAsiaTheme="minorEastAsia"/>
        </w:rPr>
        <w:t>turants, as well as the volume</w:t>
      </w:r>
      <w:r w:rsidR="002073F9">
        <w:rPr>
          <w:rFonts w:eastAsiaTheme="minorEastAsia"/>
        </w:rPr>
        <w:t xml:space="preserve"> change </w:t>
      </w:r>
      <m:oMath>
        <m:r>
          <m:rPr>
            <m:sty m:val="p"/>
          </m:rPr>
          <w:rPr>
            <w:rFonts w:ascii="Cambria Math" w:eastAsiaTheme="minorEastAsia" w:hAnsi="Cambria Math"/>
          </w:rPr>
          <m:t>Δ</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B</m:t>
            </m:r>
          </m:sub>
          <m:sup>
            <m:r>
              <w:rPr>
                <w:rFonts w:ascii="Cambria Math" w:eastAsiaTheme="minorEastAsia" w:hAnsi="Cambria Math"/>
              </w:rPr>
              <m:t>∞</m:t>
            </m:r>
          </m:sup>
        </m:sSubSup>
      </m:oMath>
      <w:r w:rsidR="002073F9">
        <w:rPr>
          <w:rFonts w:eastAsiaTheme="minorEastAsia"/>
        </w:rPr>
        <w:t xml:space="preserve"> which accompanies pressure denaturation</w:t>
      </w:r>
      <w:r w:rsidR="004C205E">
        <w:rPr>
          <w:rFonts w:eastAsiaTheme="minorEastAsia"/>
        </w:rPr>
        <w:t>.</w:t>
      </w:r>
      <w:r w:rsidR="004C205E">
        <w:rPr>
          <w:rFonts w:eastAsiaTheme="minorEastAsia"/>
        </w:rPr>
        <w:fldChar w:fldCharType="begin" w:fldLock="1"/>
      </w:r>
      <w:r w:rsidR="002C1133">
        <w:rPr>
          <w:rFonts w:eastAsiaTheme="minorEastAsia"/>
        </w:rPr>
        <w:instrText>ADDIN CSL_CITATION { "citationItems" : [ { "id" : "ITEM-1", "itemData" : { "abstract" :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no aggregation occurs. With corresponding measurements of the pressure-induced denaturation of ubiquitin at different temperatures, a p/T?stability diagram of ubiquitin could be obtained. Furthermore, kinetic FT-IR measurements were carried out using the pressure-jump relaxation technique. The denaturation process is shown to occur on a time scale which is about twice as long as that of the renaturation process, and both processes are much slower than the unfolding?refolding kinetics observed at ambient pressure.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\u2026", "author" : [ { "dropping-particle" : "", "family" : "Herberhold", "given" : "Heinz", "non-dropping-particle" : "", "parse-names" : false, "suffix" : "" }, { "dropping-particle" : "", "family" : "Winter", "given" : "Roland", "non-dropping-particle" : "", "parse-names" : false, "suffix" : "" } ], "container-title" : "Biochemistry", "id" : "ITEM-1", "issue" : "7", "issued" : { "date-parts" : [ [ "2002", "2", "19" ] ] }, "page" : "2396-2401", "title" : "Temperature- and pressure-induced unfolding and refolding of ubiquitin: A static and kinetic fourier transform infrared spectroscopy study", "type" : "article-journal", "volume" : "41" }, "uris" : [ "http://www.mendeley.com/documents/?uuid=cb112213-f679-4eb2-b160-92f48a78bf90" ] }, { "id" : "ITEM-2", "itemData" : { "DOI" : "10.1002/cphc.200800522", "ISBN" : "1439-7641 (Electronic)\\r1439-4235 (Linking)", "ISSN" : "14394235", "PMID" : "18924198", "abstract" : "Herein, we explore the effect of different types of osmolytes on the high-pressure stability and tertiary structure of a well-characterized monomeric protein, staphylococcal nuclease (SNase). Changes in the denaturation pressure and the radius of gyration are obtained in the presence of different concentrations of trimethylamine N-oxide (TMAO), glycerol and urea. To reveal structural changes in the protein upon compression at various osmolyte conditions, small-angle X-ray scattering (SAXS) experiments were carried out. To this end, a new high-pressure cell suitable for high-precision SAXS studies at synchrotron sources was built, which allows one to carry out scattering experiments up to maximum pressures of about 7 kbar. Our data clearly indicate that the osmolytes that stabilize proteins against temperature-induced unfolding drastically increase their pressure stability and that the elliptically shaped curve of the pressure-temperature-stability diagram of proteins is shifted to higher temperatures and pressures with increasing osmolyte concentration. A drastic stabilization is observed for the osmolyte TMAO, which exhibits not only a significant stabilization against temperature-induced unfolding, but also a particularly strong stabilization of the protein against pressure. In fact, such findings are in accordance with in vivo studies (for example P. J. Yancey, J. Exp. Biol. 2005, 208, 2819-2830), where unusually high TMAO concentrations in some deep-sea animals were found. Conversely, chaotropic agents such as urea have a strong destabilizing effect on both the temperature and pressure stability of the protein. Our data also indicate that sufficiently high TMAO concentrations might be able to largely offset the destabilizing effect of urea. The different scenarios observed are discussed in the context of recent experimental and theoretical studies.", "author" : [ { "dropping-particle" : "", "family" : "Krywka", "given" : "Christina", "non-dropping-particle" : "", "parse-names" : false, "suffix" : "" }, { "dropping-particle" : "", "family" : "Sternemann", "given" : "Christian", "non-dropping-particle" : "", "parse-names" : false, "suffix" : "" }, { "dropping-particle" : "", "family" : "Paulus", "given" : "Michael", "non-dropping-particle" : "", "parse-names" : false, "suffix" : "" }, { "dropping-particle" : "", "family" : "Tolan", "given" : "Metin", "non-dropping-particle" : "", "parse-names" : false, "suffix" : "" }, { "dropping-particle" : "", "family" : "Royer", "given" : "Catherine", "non-dropping-particle" : "", "parse-names" : false, "suffix" : "" }, { "dropping-particle" : "", "family" : "Winter", "given" : "Roland", "non-dropping-particle" : "", "parse-names" : false, "suffix" : "" } ], "container-title" : "ChemPhysChem", "id" : "ITEM-2", "issue" : "18", "issued" : { "date-parts" : [ [ "2008" ] ] }, "page" : "2809-2815", "title" : "Effect of osmolytes on pressure-induced unfolding of proteins: A high-pressure SAXS study", "type" : "article-journal", "volume" : "9" }, "uris" : [ "http://www.mendeley.com/documents/?uuid=a56525ae-b586-4cd9-8a49-4266d933e554" ] } ], "mendeley" : { "formattedCitation" : "&lt;sup&gt;[37,41]&lt;/sup&gt;", "plainTextFormattedCitation" : "[37,41]", "previouslyFormattedCitation" : "&lt;sup&gt;[37,41]&lt;/sup&gt;" }, "properties" : { "noteIndex" : 0 }, "schema" : "https://github.com/citation-style-language/schema/raw/master/csl-citation.json" }</w:instrText>
      </w:r>
      <w:r w:rsidR="004C205E">
        <w:rPr>
          <w:rFonts w:eastAsiaTheme="minorEastAsia"/>
        </w:rPr>
        <w:fldChar w:fldCharType="separate"/>
      </w:r>
      <w:r w:rsidR="002C1133" w:rsidRPr="002C1133">
        <w:rPr>
          <w:rFonts w:eastAsiaTheme="minorEastAsia"/>
          <w:noProof/>
          <w:vertAlign w:val="superscript"/>
        </w:rPr>
        <w:t>[37,41]</w:t>
      </w:r>
      <w:r w:rsidR="004C205E">
        <w:rPr>
          <w:rFonts w:eastAsiaTheme="minorEastAsia"/>
        </w:rPr>
        <w:fldChar w:fldCharType="end"/>
      </w:r>
    </w:p>
    <w:p w14:paraId="714069A8" w14:textId="77777777" w:rsidR="00F9272B" w:rsidRDefault="00F9272B">
      <w:pPr>
        <w:rPr>
          <w:rFonts w:eastAsiaTheme="minorEastAsia"/>
        </w:rPr>
      </w:pPr>
      <w:r>
        <w:rPr>
          <w:rFonts w:eastAsiaTheme="minorEastAsia"/>
        </w:rPr>
        <w:tab/>
        <w:t xml:space="preserve">First of all, </w:t>
      </w:r>
      <w:r w:rsidR="002B418A">
        <w:rPr>
          <w:rFonts w:eastAsiaTheme="minorEastAsia"/>
        </w:rPr>
        <w:t xml:space="preserve">we </w:t>
      </w:r>
      <w:r>
        <w:rPr>
          <w:rFonts w:eastAsiaTheme="minorEastAsia"/>
        </w:rPr>
        <w:t xml:space="preserve">note that </w:t>
      </w:r>
      <m:oMath>
        <m:r>
          <m:rPr>
            <m:sty m:val="p"/>
          </m:rPr>
          <w:rPr>
            <w:rFonts w:ascii="Cambria Math" w:eastAsiaTheme="minorEastAsia" w:hAnsi="Cambria Math"/>
          </w:rPr>
          <m:t>Δ</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B</m:t>
            </m:r>
          </m:sub>
          <m:sup>
            <m:r>
              <w:rPr>
                <w:rFonts w:ascii="Cambria Math" w:eastAsiaTheme="minorEastAsia" w:hAnsi="Cambria Math"/>
              </w:rPr>
              <m:t>∞</m:t>
            </m:r>
          </m:sup>
        </m:sSubSup>
        <m:r>
          <w:rPr>
            <w:rFonts w:ascii="Cambria Math" w:eastAsiaTheme="minorEastAsia" w:hAnsi="Cambria Math"/>
          </w:rPr>
          <m:t>&lt;0</m:t>
        </m:r>
      </m:oMath>
      <w:r w:rsidR="002B418A">
        <w:rPr>
          <w:rFonts w:eastAsiaTheme="minorEastAsia"/>
        </w:rPr>
        <w:t>, which indicates</w:t>
      </w:r>
      <w:r>
        <w:rPr>
          <w:rFonts w:eastAsiaTheme="minorEastAsia"/>
        </w:rPr>
        <w:t xml:space="preserve"> the volume of the</w:t>
      </w:r>
      <w:r w:rsidR="003A23DB">
        <w:rPr>
          <w:rFonts w:eastAsiaTheme="minorEastAsia"/>
        </w:rPr>
        <w:t xml:space="preserve"> protein decreases on</w:t>
      </w:r>
      <w:r w:rsidR="00157A8A">
        <w:rPr>
          <w:rFonts w:eastAsiaTheme="minorEastAsia"/>
        </w:rPr>
        <w:t xml:space="preserve"> denaturation. This is</w:t>
      </w:r>
      <w:r>
        <w:rPr>
          <w:rFonts w:eastAsiaTheme="minorEastAsia"/>
        </w:rPr>
        <w:t xml:space="preserve"> consistent with </w:t>
      </w:r>
      <w:r w:rsidR="00F94488">
        <w:rPr>
          <w:rFonts w:eastAsiaTheme="minorEastAsia"/>
        </w:rPr>
        <w:t>Le Chatlier’s principle</w:t>
      </w:r>
      <w:r w:rsidR="003A23DB">
        <w:rPr>
          <w:rFonts w:eastAsiaTheme="minorEastAsia"/>
        </w:rPr>
        <w:t>,</w:t>
      </w:r>
      <w:r w:rsidR="00F94488">
        <w:rPr>
          <w:rFonts w:eastAsiaTheme="minorEastAsia"/>
        </w:rPr>
        <w:t xml:space="preserve"> and </w:t>
      </w:r>
      <w:r w:rsidR="00157A8A">
        <w:rPr>
          <w:rFonts w:eastAsiaTheme="minorEastAsia"/>
        </w:rPr>
        <w:t xml:space="preserve">also </w:t>
      </w:r>
      <w:r w:rsidR="00F94488">
        <w:rPr>
          <w:rFonts w:eastAsiaTheme="minorEastAsia"/>
        </w:rPr>
        <w:t xml:space="preserve">with </w:t>
      </w:r>
      <w:r>
        <w:rPr>
          <w:rFonts w:eastAsiaTheme="minorEastAsia"/>
        </w:rPr>
        <w:t>the well-established pic</w:t>
      </w:r>
      <w:r w:rsidR="00157A8A">
        <w:rPr>
          <w:rFonts w:eastAsiaTheme="minorEastAsia"/>
        </w:rPr>
        <w:t xml:space="preserve">ture that </w:t>
      </w:r>
      <w:r w:rsidR="00F94488">
        <w:rPr>
          <w:rFonts w:eastAsiaTheme="minorEastAsia"/>
        </w:rPr>
        <w:t>pressure-denatured states are more hydrated than the native state</w:t>
      </w:r>
      <w:r w:rsidR="004C205E">
        <w:rPr>
          <w:rFonts w:eastAsiaTheme="minorEastAsia"/>
        </w:rPr>
        <w:t>.</w:t>
      </w:r>
      <w:r w:rsidR="004C205E">
        <w:rPr>
          <w:rFonts w:eastAsiaTheme="minorEastAsia"/>
        </w:rPr>
        <w:fldChar w:fldCharType="begin" w:fldLock="1"/>
      </w:r>
      <w:r w:rsidR="002C1133">
        <w:rPr>
          <w:rFonts w:eastAsiaTheme="minorEastAsia"/>
        </w:rPr>
        <w:instrText>ADDIN CSL_CITATION { "citationItems" : [ { "id" : "ITEM-1", "itemData" : { "abstract" :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no aggregation occurs. With corresponding measurements of the pressure-induced denaturation of ubiquitin at different temperatures, a p/T?stability diagram of ubiquitin could be obtained. Furthermore, kinetic FT-IR measurements were carried out using the pressure-jump relaxation technique. The denaturation process is shown to occur on a time scale which is about twice as long as that of the renaturation process, and both processes are much slower than the unfolding?refolding kinetics observed at ambient pressure.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\u2026", "author" : [ { "dropping-particle" : "", "family" : "Herberhold", "given" : "Heinz", "non-dropping-particle" : "", "parse-names" : false, "suffix" : "" }, { "dropping-particle" : "", "family" : "Winter", "given" : "Roland", "non-dropping-particle" : "", "parse-names" : false, "suffix" : "" } ], "container-title" : "Biochemistry", "id" : "ITEM-1", "issue" : "7", "issued" : { "date-parts" : [ [ "2002", "2", "19" ] ] }, "page" : "2396-2401", "title" : "Temperature- and pressure-induced unfolding and refolding of ubiquitin: A static and kinetic fourier transform infrared spectroscopy study", "type" : "article-journal", "volume" : "41" }, "uris" : [ "http://www.mendeley.com/documents/?uuid=cb112213-f679-4eb2-b160-92f48a78bf90" ] }, { "id" : "ITEM-2", "itemData" : { "DOI" : "10.1002/cphc.200800522", "ISBN" : "1439-7641 (Electronic)\\r1439-4235 (Linking)", "ISSN" : "14394235", "PMID" : "18924198", "abstract" : "Herein, we explore the effect of different types of osmolytes on the high-pressure stability and tertiary structure of a well-characterized monomeric protein, staphylococcal nuclease (SNase). Changes in the denaturation pressure and the radius of gyration are obtained in the presence of different concentrations of trimethylamine N-oxide (TMAO), glycerol and urea. To reveal structural changes in the protein upon compression at various osmolyte conditions, small-angle X-ray scattering (SAXS) experiments were carried out. To this end, a new high-pressure cell suitable for high-precision SAXS studies at synchrotron sources was built, which allows one to carry out scattering experiments up to maximum pressures of about 7 kbar. Our data clearly indicate that the osmolytes that stabilize proteins against temperature-induced unfolding drastically increase their pressure stability and that the elliptically shaped curve of the pressure-temperature-stability diagram of proteins is shifted to higher temperatures and pressures with increasing osmolyte concentration. A drastic stabilization is observed for the osmolyte TMAO, which exhibits not only a significant stabilization against temperature-induced unfolding, but also a particularly strong stabilization of the protein against pressure. In fact, such findings are in accordance with in vivo studies (for example P. J. Yancey, J. Exp. Biol. 2005, 208, 2819-2830), where unusually high TMAO concentrations in some deep-sea animals were found. Conversely, chaotropic agents such as urea have a strong destabilizing effect on both the temperature and pressure stability of the protein. Our data also indicate that sufficiently high TMAO concentrations might be able to largely offset the destabilizing effect of urea. The different scenarios observed are discussed in the context of recent experimental and theoretical studies.", "author" : [ { "dropping-particle" : "", "family" : "Krywka", "given" : "Christina", "non-dropping-particle" : "", "parse-names" : false, "suffix" : "" }, { "dropping-particle" : "", "family" : "Sternemann", "given" : "Christian", "non-dropping-particle" : "", "parse-names" : false, "suffix" : "" }, { "dropping-particle" : "", "family" : "Paulus", "given" : "Michael", "non-dropping-particle" : "", "parse-names" : false, "suffix" : "" }, { "dropping-particle" : "", "family" : "Tolan", "given" : "Metin", "non-dropping-particle" : "", "parse-names" : false, "suffix" : "" }, { "dropping-particle" : "", "family" : "Royer", "given" : "Catherine", "non-dropping-particle" : "", "parse-names" : false, "suffix" : "" }, { "dropping-particle" : "", "family" : "Winter", "given" : "Roland", "non-dropping-particle" : "", "parse-names" : false, "suffix" : "" } ], "container-title" : "ChemPhysChem", "id" : "ITEM-2", "issue" : "18", "issued" : { "date-parts" : [ [ "2008" ] ] }, "page" : "2809-2815", "title" : "Effect of osmolytes on pressure-induced unfolding of proteins: A high-pressure SAXS study", "type" : "article-journal", "volume" : "9" }, "uris" : [ "http://www.mendeley.com/documents/?uuid=a56525ae-b586-4cd9-8a49-4266d933e554" ] } ], "mendeley" : { "formattedCitation" : "&lt;sup&gt;[37,41]&lt;/sup&gt;", "plainTextFormattedCitation" : "[37,41]", "previouslyFormattedCitation" : "&lt;sup&gt;[37,41]&lt;/sup&gt;" }, "properties" : { "noteIndex" : 0 }, "schema" : "https://github.com/citation-style-language/schema/raw/master/csl-citation.json" }</w:instrText>
      </w:r>
      <w:r w:rsidR="004C205E">
        <w:rPr>
          <w:rFonts w:eastAsiaTheme="minorEastAsia"/>
        </w:rPr>
        <w:fldChar w:fldCharType="separate"/>
      </w:r>
      <w:r w:rsidR="002C1133" w:rsidRPr="002C1133">
        <w:rPr>
          <w:rFonts w:eastAsiaTheme="minorEastAsia"/>
          <w:noProof/>
          <w:vertAlign w:val="superscript"/>
        </w:rPr>
        <w:t>[37,41]</w:t>
      </w:r>
      <w:r w:rsidR="004C205E">
        <w:rPr>
          <w:rFonts w:eastAsiaTheme="minorEastAsia"/>
        </w:rPr>
        <w:fldChar w:fldCharType="end"/>
      </w:r>
      <w:r w:rsidR="00993098">
        <w:rPr>
          <w:rFonts w:eastAsiaTheme="minorEastAsia"/>
        </w:rPr>
        <w:t xml:space="preserve"> </w:t>
      </w:r>
      <w:r w:rsidR="00F94488">
        <w:rPr>
          <w:rFonts w:eastAsiaTheme="minorEastAsia"/>
        </w:rPr>
        <w:t xml:space="preserve">Hence the sign of </w:t>
      </w:r>
      <m:oMath>
        <m:r>
          <m:rPr>
            <m:sty m:val="p"/>
          </m:rPr>
          <w:rPr>
            <w:rFonts w:ascii="Cambria Math" w:eastAsiaTheme="minorEastAsia" w:hAnsi="Cambria Math"/>
          </w:rPr>
          <m:t>Δ</m:t>
        </m:r>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BW</m:t>
            </m:r>
          </m:sub>
          <m:sup>
            <m:r>
              <w:rPr>
                <w:rFonts w:ascii="Cambria Math" w:eastAsiaTheme="minorEastAsia" w:hAnsi="Cambria Math"/>
              </w:rPr>
              <m:t>∞</m:t>
            </m:r>
          </m:sup>
        </m:sSubSup>
      </m:oMath>
      <w:r w:rsidR="003A23DB">
        <w:rPr>
          <w:rFonts w:eastAsiaTheme="minorEastAsia"/>
        </w:rPr>
        <w:t xml:space="preserve"> is positive</w:t>
      </w:r>
      <w:r w:rsidR="00F94488">
        <w:rPr>
          <w:rFonts w:eastAsiaTheme="minorEastAsia"/>
        </w:rPr>
        <w:t>.</w:t>
      </w:r>
      <w:r w:rsidR="003A23DB">
        <w:rPr>
          <w:rFonts w:eastAsiaTheme="minorEastAsia"/>
        </w:rPr>
        <w:t xml:space="preserve"> Consequently, the direction of the osmoprotection effect is given by the sign of t</w:t>
      </w:r>
      <w:r w:rsidR="00EF1B31">
        <w:rPr>
          <w:rFonts w:eastAsiaTheme="minorEastAsia"/>
        </w:rPr>
        <w:t>he numerator on the r.h.s. of</w:t>
      </w:r>
      <w:r w:rsidR="003A23DB">
        <w:rPr>
          <w:rFonts w:eastAsiaTheme="minorEastAsia"/>
        </w:rPr>
        <w:t xml:space="preserve"> Eq. (6). </w:t>
      </w:r>
      <w:r w:rsidR="00F94488">
        <w:rPr>
          <w:rFonts w:eastAsiaTheme="minorEastAsia"/>
        </w:rPr>
        <w:t xml:space="preserve"> </w:t>
      </w:r>
    </w:p>
    <w:p w14:paraId="4F224F63" w14:textId="77777777" w:rsidR="00F94488" w:rsidRDefault="00F94488">
      <w:pPr>
        <w:rPr>
          <w:rFonts w:eastAsiaTheme="minorEastAsia"/>
        </w:rPr>
      </w:pPr>
      <w:r>
        <w:rPr>
          <w:rFonts w:eastAsiaTheme="minorEastAsia"/>
        </w:rPr>
        <w:tab/>
      </w:r>
      <w:r w:rsidR="007C52FA">
        <w:rPr>
          <w:rFonts w:eastAsiaTheme="minorEastAsia"/>
        </w:rPr>
        <w:t>T</w:t>
      </w:r>
      <w:r w:rsidR="003A23DB">
        <w:rPr>
          <w:rFonts w:eastAsiaTheme="minorEastAsia"/>
        </w:rPr>
        <w:t>he change in the</w:t>
      </w:r>
      <w:r w:rsidR="00837707">
        <w:rPr>
          <w:rFonts w:eastAsiaTheme="minorEastAsia"/>
        </w:rPr>
        <w:t xml:space="preserve"> KB integrals that accompany denatura</w:t>
      </w:r>
      <w:r w:rsidR="00F74BC4">
        <w:rPr>
          <w:rFonts w:eastAsiaTheme="minorEastAsia"/>
        </w:rPr>
        <w:t>tion can be calculated directly</w:t>
      </w:r>
      <w:r w:rsidR="003A23DB">
        <w:rPr>
          <w:rFonts w:eastAsiaTheme="minorEastAsia"/>
        </w:rPr>
        <w:t xml:space="preserve"> using the data of Winter and coworkers</w:t>
      </w:r>
      <w:r w:rsidR="004C205E">
        <w:rPr>
          <w:rFonts w:eastAsiaTheme="minorEastAsia"/>
        </w:rPr>
        <w:t>.</w:t>
      </w:r>
      <w:r w:rsidR="004C205E">
        <w:rPr>
          <w:rFonts w:eastAsiaTheme="minorEastAsia"/>
        </w:rPr>
        <w:fldChar w:fldCharType="begin" w:fldLock="1"/>
      </w:r>
      <w:r w:rsidR="002C1133">
        <w:rPr>
          <w:rFonts w:eastAsiaTheme="minorEastAsia"/>
        </w:rPr>
        <w:instrText>ADDIN CSL_CITATION { "citationItems" : [ { "id" : "ITEM-1", "itemData" : { "abstract" :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no aggregation occurs. With corresponding measurements of the pressure-induced denaturation of ubiquitin at different temperatures, a p/T?stability diagram of ubiquitin could be obtained. Furthermore, kinetic FT-IR measurements were carried out using the pressure-jump relaxation technique. The denaturation process is shown to occur on a time scale which is about twice as long as that of the renaturation process, and both processes are much slower than the unfolding?refolding kinetics observed at ambient pressure.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\u2026", "author" : [ { "dropping-particle" : "", "family" : "Herberhold", "given" : "Heinz", "non-dropping-particle" : "", "parse-names" : false, "suffix" : "" }, { "dropping-particle" : "", "family" : "Winter", "given" : "Roland", "non-dropping-particle" : "", "parse-names" : false, "suffix" : "" } ], "container-title" : "Biochemistry", "id" : "ITEM-1", "issue" : "7", "issued" : { "date-parts" : [ [ "2002", "2", "19" ] ] }, "page" : "2396-2401", "title" : "Temperature- and pressure-induced unfolding and refolding of ubiquitin: A static and kinetic fourier transform infrared spectroscopy study", "type" : "article-journal", "volume" : "41" }, "uris" : [ "http://www.mendeley.com/documents/?uuid=cb112213-f679-4eb2-b160-92f48a78bf90" ] }, { "id" : "ITEM-2", "itemData" : { "DOI" : "10.1002/cphc.200800522", "ISBN" : "1439-7641 (Electronic)\\r1439-4235 (Linking)", "ISSN" : "14394235", "PMID" : "18924198", "abstract" : "Herein, we explore the effect of different types of osmolytes on the high-pressure stability and tertiary structure of a well-characterized monomeric protein, staphylococcal nuclease (SNase). Changes in the denaturation pressure and the radius of gyration are obtained in the presence of different concentrations of trimethylamine N-oxide (TMAO), glycerol and urea. To reveal structural changes in the protein upon compression at various osmolyte conditions, small-angle X-ray scattering (SAXS) experiments were carried out. To this end, a new high-pressure cell suitable for high-precision SAXS studies at synchrotron sources was built, which allows one to carry out scattering experiments up to maximum pressures of about 7 kbar. Our data clearly indicate that the osmolytes that stabilize proteins against temperature-induced unfolding drastically increase their pressure stability and that the elliptically shaped curve of the pressure-temperature-stability diagram of proteins is shifted to higher temperatures and pressures with increasing osmolyte concentration. A drastic stabilization is observed for the osmolyte TMAO, which exhibits not only a significant stabilization against temperature-induced unfolding, but also a particularly strong stabilization of the protein against pressure. In fact, such findings are in accordance with in vivo studies (for example P. J. Yancey, J. Exp. Biol. 2005, 208, 2819-2830), where unusually high TMAO concentrations in some deep-sea animals were found. Conversely, chaotropic agents such as urea have a strong destabilizing effect on both the temperature and pressure stability of the protein. Our data also indicate that sufficiently high TMAO concentrations might be able to largely offset the destabilizing effect of urea. The different scenarios observed are discussed in the context of recent experimental and theoretical studies.", "author" : [ { "dropping-particle" : "", "family" : "Krywka", "given" : "Christina", "non-dropping-particle" : "", "parse-names" : false, "suffix" : "" }, { "dropping-particle" : "", "family" : "Sternemann", "given" : "Christian", "non-dropping-particle" : "", "parse-names" : false, "suffix" : "" }, { "dropping-particle" : "", "family" : "Paulus", "given" : "Michael", "non-dropping-particle" : "", "parse-names" : false, "suffix" : "" }, { "dropping-particle" : "", "family" : "Tolan", "given" : "Metin", "non-dropping-particle" : "", "parse-names" : false, "suffix" : "" }, { "dropping-particle" : "", "family" : "Royer", "given" : "Catherine", "non-dropping-particle" : "", "parse-names" : false, "suffix" : "" }, { "dropping-particle" : "", "family" : "Winter", "given" : "Roland", "non-dropping-particle" : "", "parse-names" : false, "suffix" : "" } ], "container-title" : "ChemPhysChem", "id" : "ITEM-2", "issue" : "18", "issued" : { "date-parts" : [ [ "2008" ] ] }, "page" : "2809-2815", "title" : "Effect of osmolytes on pressure-induced unfolding of proteins: A high-pressure SAXS study", "type" : "article-journal", "volume" : "9" }, "uris" : [ "http://www.mendeley.com/documents/?uuid=a56525ae-b586-4cd9-8a49-4266d933e554" ] } ], "mendeley" : { "formattedCitation" : "&lt;sup&gt;[37,41]&lt;/sup&gt;", "plainTextFormattedCitation" : "[37,41]", "previouslyFormattedCitation" : "&lt;sup&gt;[37,41]&lt;/sup&gt;" }, "properties" : { "noteIndex" : 0 }, "schema" : "https://github.com/citation-style-language/schema/raw/master/csl-citation.json" }</w:instrText>
      </w:r>
      <w:r w:rsidR="004C205E">
        <w:rPr>
          <w:rFonts w:eastAsiaTheme="minorEastAsia"/>
        </w:rPr>
        <w:fldChar w:fldCharType="separate"/>
      </w:r>
      <w:r w:rsidR="002C1133" w:rsidRPr="002C1133">
        <w:rPr>
          <w:rFonts w:eastAsiaTheme="minorEastAsia"/>
          <w:noProof/>
          <w:vertAlign w:val="superscript"/>
        </w:rPr>
        <w:t>[37,41]</w:t>
      </w:r>
      <w:r w:rsidR="004C205E">
        <w:rPr>
          <w:rFonts w:eastAsiaTheme="minorEastAsia"/>
        </w:rPr>
        <w:fldChar w:fldCharType="end"/>
      </w:r>
      <w:r w:rsidR="00993098">
        <w:rPr>
          <w:rFonts w:eastAsiaTheme="minorEastAsia"/>
        </w:rPr>
        <w:t xml:space="preserve"> </w:t>
      </w:r>
      <w:r w:rsidR="003A23DB" w:rsidRPr="00DC174E">
        <w:rPr>
          <w:rFonts w:eastAsiaTheme="minorEastAsia"/>
        </w:rPr>
        <w:t>The results obtained using Eq</w:t>
      </w:r>
      <w:r w:rsidR="00157A8A" w:rsidRPr="00DC174E">
        <w:rPr>
          <w:rFonts w:eastAsiaTheme="minorEastAsia"/>
        </w:rPr>
        <w:t>s. (4)-</w:t>
      </w:r>
      <w:r w:rsidR="003A23DB" w:rsidRPr="00DC174E">
        <w:rPr>
          <w:rFonts w:eastAsiaTheme="minorEastAsia"/>
        </w:rPr>
        <w:t>(6)</w:t>
      </w:r>
      <w:r w:rsidR="00837707" w:rsidRPr="00DC174E">
        <w:rPr>
          <w:rFonts w:eastAsiaTheme="minorEastAsia"/>
        </w:rPr>
        <w:t xml:space="preserve"> are summarized in Table 1. </w:t>
      </w:r>
      <w:r w:rsidR="007C52FA" w:rsidRPr="00DC174E">
        <w:rPr>
          <w:rFonts w:eastAsiaTheme="minorEastAsia"/>
        </w:rPr>
        <w:t xml:space="preserve">Table 1 </w:t>
      </w:r>
      <w:r w:rsidR="00157A8A" w:rsidRPr="00DC174E">
        <w:rPr>
          <w:rFonts w:eastAsiaTheme="minorEastAsia"/>
        </w:rPr>
        <w:t xml:space="preserve">clearly shows </w:t>
      </w:r>
      <w:r w:rsidR="007C52FA" w:rsidRPr="00DC174E">
        <w:rPr>
          <w:rFonts w:eastAsiaTheme="minorEastAsia"/>
        </w:rPr>
        <w:t xml:space="preserve">that </w:t>
      </w:r>
      <w:r w:rsidR="00157A8A" w:rsidRPr="00DC174E">
        <w:rPr>
          <w:rFonts w:eastAsiaTheme="minorEastAsia"/>
        </w:rPr>
        <w:t xml:space="preserve">the </w:t>
      </w:r>
      <w:r w:rsidR="007C52FA" w:rsidRPr="00DC174E">
        <w:rPr>
          <w:rFonts w:eastAsiaTheme="minorEastAsia"/>
        </w:rPr>
        <w:t>osm</w:t>
      </w:r>
      <w:r w:rsidR="004F5FC2" w:rsidRPr="00DC174E">
        <w:rPr>
          <w:rFonts w:eastAsiaTheme="minorEastAsia"/>
        </w:rPr>
        <w:t>oprotection capacity can be attributed to</w:t>
      </w:r>
      <w:r w:rsidR="009C4DBC">
        <w:rPr>
          <w:rFonts w:eastAsiaTheme="minorEastAsia"/>
        </w:rPr>
        <w:t xml:space="preserve"> </w:t>
      </w:r>
    </w:p>
    <w:p w14:paraId="724C5E75" w14:textId="77777777" w:rsidR="009C4DBC" w:rsidRDefault="009C4DBC" w:rsidP="007C52FA">
      <w:pPr>
        <w:pStyle w:val="ListParagraph"/>
        <w:numPr>
          <w:ilvl w:val="0"/>
          <w:numId w:val="9"/>
        </w:numPr>
        <w:rPr>
          <w:rFonts w:eastAsiaTheme="minorEastAsia"/>
        </w:rPr>
      </w:pPr>
      <w:r>
        <w:rPr>
          <w:rFonts w:eastAsiaTheme="minorEastAsia"/>
        </w:rPr>
        <w:t xml:space="preserve">a positive </w:t>
      </w:r>
      <m:oMath>
        <m:r>
          <m:rPr>
            <m:sty m:val="p"/>
          </m:rPr>
          <w:rPr>
            <w:rFonts w:ascii="Cambria Math" w:eastAsiaTheme="minorEastAsia" w:hAnsi="Cambria Math"/>
          </w:rPr>
          <m:t>Δ</m:t>
        </m:r>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BW</m:t>
            </m:r>
          </m:sub>
          <m:sup>
            <m:r>
              <w:rPr>
                <w:rFonts w:ascii="Cambria Math" w:eastAsiaTheme="minorEastAsia" w:hAnsi="Cambria Math"/>
              </w:rPr>
              <m:t>∞</m:t>
            </m:r>
          </m:sup>
        </m:sSubSup>
      </m:oMath>
      <w:r>
        <w:rPr>
          <w:rFonts w:eastAsiaTheme="minorEastAsia"/>
        </w:rPr>
        <w:t xml:space="preserve">; </w:t>
      </w:r>
      <w:r w:rsidR="00157A8A">
        <w:rPr>
          <w:rFonts w:eastAsiaTheme="minorEastAsia"/>
        </w:rPr>
        <w:t xml:space="preserve">the </w:t>
      </w:r>
      <w:r>
        <w:rPr>
          <w:rFonts w:eastAsiaTheme="minorEastAsia"/>
        </w:rPr>
        <w:t xml:space="preserve">denatured state hydration is larger than the </w:t>
      </w:r>
      <w:r w:rsidR="00157A8A">
        <w:rPr>
          <w:rFonts w:eastAsiaTheme="minorEastAsia"/>
        </w:rPr>
        <w:t>native state as discussed above.</w:t>
      </w:r>
      <w:r>
        <w:rPr>
          <w:rFonts w:eastAsiaTheme="minorEastAsia"/>
        </w:rPr>
        <w:t xml:space="preserve">  </w:t>
      </w:r>
    </w:p>
    <w:p w14:paraId="76D09201" w14:textId="77777777" w:rsidR="00ED7B70" w:rsidRDefault="009C4DBC" w:rsidP="007C52FA">
      <w:pPr>
        <w:pStyle w:val="ListParagraph"/>
        <w:numPr>
          <w:ilvl w:val="0"/>
          <w:numId w:val="9"/>
        </w:numPr>
        <w:rPr>
          <w:rFonts w:eastAsiaTheme="minorEastAsia"/>
        </w:rPr>
      </w:pPr>
      <w:r>
        <w:rPr>
          <w:rFonts w:eastAsiaTheme="minorEastAsia"/>
        </w:rPr>
        <w:t>a large negative</w:t>
      </w:r>
      <w:r w:rsidR="00ED7B70">
        <w:rPr>
          <w:rFonts w:eastAsiaTheme="minorEastAsia"/>
        </w:rPr>
        <w:t xml:space="preserve"> </w:t>
      </w:r>
      <m:oMath>
        <m:r>
          <m:rPr>
            <m:sty m:val="p"/>
          </m:rPr>
          <w:rPr>
            <w:rFonts w:ascii="Cambria Math" w:eastAsiaTheme="minorEastAsia" w:hAnsi="Cambria Math"/>
          </w:rPr>
          <m:t>Δ</m:t>
        </m:r>
        <m:sSubSup>
          <m:sSubSupPr>
            <m:ctrlPr>
              <w:rPr>
                <w:rFonts w:ascii="Cambria Math" w:eastAsiaTheme="minorEastAsia" w:hAnsi="Cambria Math"/>
              </w:rPr>
            </m:ctrlPr>
          </m:sSubSupPr>
          <m:e>
            <m:r>
              <w:rPr>
                <w:rFonts w:ascii="Cambria Math" w:eastAsiaTheme="minorEastAsia" w:hAnsi="Cambria Math"/>
              </w:rPr>
              <m:t>G</m:t>
            </m:r>
          </m:e>
          <m:sub>
            <m:r>
              <w:rPr>
                <w:rFonts w:ascii="Cambria Math" w:eastAsiaTheme="minorEastAsia" w:hAnsi="Cambria Math"/>
              </w:rPr>
              <m:t>BC</m:t>
            </m:r>
          </m:sub>
          <m:sup>
            <m:r>
              <w:rPr>
                <w:rFonts w:ascii="Cambria Math" w:eastAsiaTheme="minorEastAsia" w:hAnsi="Cambria Math"/>
              </w:rPr>
              <m:t>∞</m:t>
            </m:r>
          </m:sup>
        </m:sSubSup>
      </m:oMath>
      <w:r>
        <w:rPr>
          <w:rFonts w:eastAsiaTheme="minorEastAsia"/>
        </w:rPr>
        <w:t xml:space="preserve">; considering that </w:t>
      </w:r>
      <m:oMath>
        <m:r>
          <m:rPr>
            <m:sty m:val="p"/>
          </m:rPr>
          <w:rPr>
            <w:rFonts w:ascii="Cambria Math" w:eastAsiaTheme="minorEastAsia" w:hAnsi="Cambria Math"/>
          </w:rPr>
          <m:t>Δ</m:t>
        </m:r>
        <m:sSubSup>
          <m:sSubSupPr>
            <m:ctrlPr>
              <w:rPr>
                <w:rFonts w:ascii="Cambria Math" w:eastAsiaTheme="minorEastAsia" w:hAnsi="Cambria Math"/>
              </w:rPr>
            </m:ctrlPr>
          </m:sSubSupPr>
          <m:e>
            <m:r>
              <w:rPr>
                <w:rFonts w:ascii="Cambria Math" w:eastAsiaTheme="minorEastAsia" w:hAnsi="Cambria Math"/>
              </w:rPr>
              <m:t>G</m:t>
            </m:r>
          </m:e>
          <m:sub>
            <m:r>
              <w:rPr>
                <w:rFonts w:ascii="Cambria Math" w:eastAsiaTheme="minorEastAsia" w:hAnsi="Cambria Math"/>
              </w:rPr>
              <m:t>BC</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BC</m:t>
            </m:r>
          </m:sub>
          <m:sup>
            <m:r>
              <w:rPr>
                <w:rFonts w:ascii="Cambria Math" w:eastAsiaTheme="minorEastAsia" w:hAnsi="Cambria Math"/>
              </w:rPr>
              <m:t>(d)</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BC</m:t>
            </m:r>
          </m:sub>
          <m:sup>
            <m:r>
              <w:rPr>
                <w:rFonts w:ascii="Cambria Math" w:eastAsiaTheme="minorEastAsia" w:hAnsi="Cambria Math"/>
              </w:rPr>
              <m:t>(n)</m:t>
            </m:r>
          </m:sup>
        </m:sSubSup>
      </m:oMath>
      <w:r>
        <w:rPr>
          <w:rFonts w:eastAsiaTheme="minorEastAsia"/>
        </w:rPr>
        <w:t xml:space="preserve">, this </w:t>
      </w:r>
      <w:r w:rsidR="00ED7B70">
        <w:rPr>
          <w:rFonts w:eastAsiaTheme="minorEastAsia"/>
        </w:rPr>
        <w:t>signif</w:t>
      </w:r>
      <w:r>
        <w:rPr>
          <w:rFonts w:eastAsiaTheme="minorEastAsia"/>
        </w:rPr>
        <w:t>ies</w:t>
      </w:r>
      <w:r w:rsidR="00ED7B70">
        <w:rPr>
          <w:rFonts w:eastAsiaTheme="minorEastAsia"/>
        </w:rPr>
        <w:t xml:space="preserve"> that the </w:t>
      </w:r>
      <w:r>
        <w:rPr>
          <w:rFonts w:eastAsiaTheme="minorEastAsia"/>
        </w:rPr>
        <w:t>osmolytes are more ex</w:t>
      </w:r>
      <w:r w:rsidR="001F6278">
        <w:rPr>
          <w:rFonts w:eastAsiaTheme="minorEastAsia"/>
        </w:rPr>
        <w:t>cluded from the denatured state(s)</w:t>
      </w:r>
      <w:r>
        <w:rPr>
          <w:rFonts w:eastAsiaTheme="minorEastAsia"/>
        </w:rPr>
        <w:t xml:space="preserve"> than from the native state. </w:t>
      </w:r>
      <w:r w:rsidR="00ED7B70">
        <w:rPr>
          <w:rFonts w:eastAsiaTheme="minorEastAsia"/>
        </w:rPr>
        <w:t xml:space="preserve">   </w:t>
      </w:r>
    </w:p>
    <w:p w14:paraId="3A7E38F5" w14:textId="77777777" w:rsidR="004F5FC2" w:rsidRPr="00DC174E" w:rsidRDefault="006B7D0C" w:rsidP="004F5FC2">
      <w:pPr>
        <w:pStyle w:val="ListParagraph"/>
        <w:numPr>
          <w:ilvl w:val="0"/>
          <w:numId w:val="9"/>
        </w:numPr>
        <w:rPr>
          <w:rFonts w:eastAsiaTheme="minorEastAsia"/>
        </w:rPr>
      </w:pPr>
      <m:oMath>
        <m:d>
          <m:dPr>
            <m:begChr m:val="|"/>
            <m:endChr m:val="|"/>
            <m:ctrlPr>
              <w:rPr>
                <w:rFonts w:ascii="Cambria Math" w:eastAsiaTheme="minorEastAsia" w:hAnsi="Cambria Math"/>
              </w:rPr>
            </m:ctrlPr>
          </m:dPr>
          <m:e>
            <m:r>
              <m:rPr>
                <m:sty m:val="p"/>
              </m:rPr>
              <w:rPr>
                <w:rFonts w:ascii="Cambria Math" w:eastAsiaTheme="minorEastAsia" w:hAnsi="Cambria Math"/>
              </w:rPr>
              <m:t>Δ</m:t>
            </m:r>
            <m:sSubSup>
              <m:sSubSupPr>
                <m:ctrlPr>
                  <w:rPr>
                    <w:rFonts w:ascii="Cambria Math" w:eastAsiaTheme="minorEastAsia" w:hAnsi="Cambria Math"/>
                  </w:rPr>
                </m:ctrlPr>
              </m:sSubSupPr>
              <m:e>
                <m:r>
                  <w:rPr>
                    <w:rFonts w:ascii="Cambria Math" w:eastAsiaTheme="minorEastAsia" w:hAnsi="Cambria Math"/>
                  </w:rPr>
                  <m:t>G</m:t>
                </m:r>
              </m:e>
              <m:sub>
                <m:r>
                  <w:rPr>
                    <w:rFonts w:ascii="Cambria Math" w:eastAsiaTheme="minorEastAsia" w:hAnsi="Cambria Math"/>
                  </w:rPr>
                  <m:t>BC</m:t>
                </m:r>
              </m:sub>
              <m:sup>
                <m:r>
                  <w:rPr>
                    <w:rFonts w:ascii="Cambria Math" w:eastAsiaTheme="minorEastAsia" w:hAnsi="Cambria Math"/>
                  </w:rPr>
                  <m:t>∞</m:t>
                </m:r>
              </m:sup>
            </m:sSubSup>
          </m:e>
        </m:d>
        <m:r>
          <w:rPr>
            <w:rFonts w:ascii="Cambria Math" w:eastAsiaTheme="minorEastAsia" w:hAnsi="Cambria Math"/>
          </w:rPr>
          <m:t>≫</m:t>
        </m:r>
        <m:d>
          <m:dPr>
            <m:begChr m:val="|"/>
            <m:endChr m:val="|"/>
            <m:ctrlPr>
              <w:rPr>
                <w:rFonts w:ascii="Cambria Math" w:eastAsiaTheme="minorEastAsia" w:hAnsi="Cambria Math"/>
              </w:rPr>
            </m:ctrlPr>
          </m:dPr>
          <m:e>
            <m:r>
              <m:rPr>
                <m:sty m:val="p"/>
              </m:rPr>
              <w:rPr>
                <w:rFonts w:ascii="Cambria Math" w:eastAsiaTheme="minorEastAsia" w:hAnsi="Cambria Math"/>
              </w:rPr>
              <m:t>Δ</m:t>
            </m:r>
            <m:sSubSup>
              <m:sSubSupPr>
                <m:ctrlPr>
                  <w:rPr>
                    <w:rFonts w:ascii="Cambria Math" w:eastAsiaTheme="minorEastAsia" w:hAnsi="Cambria Math"/>
                  </w:rPr>
                </m:ctrlPr>
              </m:sSubSupPr>
              <m:e>
                <m:r>
                  <w:rPr>
                    <w:rFonts w:ascii="Cambria Math" w:eastAsiaTheme="minorEastAsia" w:hAnsi="Cambria Math"/>
                  </w:rPr>
                  <m:t>G</m:t>
                </m:r>
              </m:e>
              <m:sub>
                <m:r>
                  <w:rPr>
                    <w:rFonts w:ascii="Cambria Math" w:eastAsiaTheme="minorEastAsia" w:hAnsi="Cambria Math"/>
                  </w:rPr>
                  <m:t>BW</m:t>
                </m:r>
              </m:sub>
              <m:sup>
                <m:r>
                  <w:rPr>
                    <w:rFonts w:ascii="Cambria Math" w:eastAsiaTheme="minorEastAsia" w:hAnsi="Cambria Math"/>
                  </w:rPr>
                  <m:t>∞</m:t>
                </m:r>
              </m:sup>
            </m:sSubSup>
          </m:e>
        </m:d>
      </m:oMath>
      <w:r w:rsidR="00F74BC4">
        <w:rPr>
          <w:rFonts w:eastAsiaTheme="minorEastAsia"/>
        </w:rPr>
        <w:t xml:space="preserve">; the difference in </w:t>
      </w:r>
      <w:r w:rsidR="009C4DBC" w:rsidRPr="009C4DBC">
        <w:rPr>
          <w:rFonts w:eastAsiaTheme="minorEastAsia"/>
        </w:rPr>
        <w:t>protein</w:t>
      </w:r>
      <w:r w:rsidR="00F74BC4">
        <w:rPr>
          <w:rFonts w:eastAsiaTheme="minorEastAsia"/>
        </w:rPr>
        <w:t>-osmolyte</w:t>
      </w:r>
      <w:r w:rsidR="009C4DBC" w:rsidRPr="009C4DBC">
        <w:rPr>
          <w:rFonts w:eastAsiaTheme="minorEastAsia"/>
        </w:rPr>
        <w:t xml:space="preserve"> interaction (repulsion) between the denatured and native states is much larger </w:t>
      </w:r>
      <w:r w:rsidR="00C152C3">
        <w:rPr>
          <w:rFonts w:eastAsiaTheme="minorEastAsia"/>
        </w:rPr>
        <w:t>that of protein-</w:t>
      </w:r>
      <w:r w:rsidR="00C152C3" w:rsidRPr="00DC174E">
        <w:rPr>
          <w:rFonts w:eastAsiaTheme="minorEastAsia"/>
        </w:rPr>
        <w:t>water, and the water distribution is independent of the osmolyte due to the low osmolyte concentration limit.</w:t>
      </w:r>
    </w:p>
    <w:p w14:paraId="175BEDF1" w14:textId="77777777" w:rsidR="00134011" w:rsidRPr="00134011" w:rsidRDefault="00134011" w:rsidP="00134011">
      <w:pPr>
        <w:rPr>
          <w:rFonts w:eastAsiaTheme="minorEastAsia"/>
        </w:rPr>
      </w:pPr>
      <w:r>
        <w:rPr>
          <w:rFonts w:eastAsiaTheme="minorEastAsia"/>
        </w:rPr>
        <w:t>Such scenarios are summ</w:t>
      </w:r>
      <w:r w:rsidR="001F2F59">
        <w:rPr>
          <w:rFonts w:eastAsiaTheme="minorEastAsia"/>
        </w:rPr>
        <w:t>arized schematically in Figure 5</w:t>
      </w:r>
      <w:r>
        <w:rPr>
          <w:rFonts w:eastAsiaTheme="minorEastAsia"/>
        </w:rPr>
        <w:t xml:space="preserve">. </w:t>
      </w:r>
    </w:p>
    <w:p w14:paraId="3CC3EF59" w14:textId="4EB5BD61" w:rsidR="00134011" w:rsidRDefault="00B535F1" w:rsidP="00B535F1">
      <w:pPr>
        <w:ind w:firstLine="360"/>
        <w:rPr>
          <w:rFonts w:eastAsiaTheme="minorEastAsia"/>
        </w:rPr>
      </w:pPr>
      <w:r>
        <w:rPr>
          <w:rFonts w:eastAsiaTheme="minorEastAsia"/>
        </w:rPr>
        <w:t xml:space="preserve">The conditions 2 and 3 above </w:t>
      </w:r>
      <w:r w:rsidR="001F6278">
        <w:rPr>
          <w:rFonts w:eastAsiaTheme="minorEastAsia"/>
        </w:rPr>
        <w:t xml:space="preserve">also </w:t>
      </w:r>
      <w:r w:rsidR="00283CFE">
        <w:rPr>
          <w:rFonts w:eastAsiaTheme="minorEastAsia"/>
        </w:rPr>
        <w:t xml:space="preserve">have </w:t>
      </w:r>
      <w:r w:rsidR="001F6278">
        <w:rPr>
          <w:rFonts w:eastAsiaTheme="minorEastAsia"/>
        </w:rPr>
        <w:t xml:space="preserve">been identified previously </w:t>
      </w:r>
      <w:r w:rsidR="00283CFE">
        <w:rPr>
          <w:rFonts w:eastAsiaTheme="minorEastAsia"/>
        </w:rPr>
        <w:t xml:space="preserve">in </w:t>
      </w:r>
      <w:r>
        <w:rPr>
          <w:rFonts w:eastAsiaTheme="minorEastAsia"/>
        </w:rPr>
        <w:t>osmoprotecti</w:t>
      </w:r>
      <w:r w:rsidR="00283CFE">
        <w:rPr>
          <w:rFonts w:eastAsiaTheme="minorEastAsia"/>
        </w:rPr>
        <w:t>on against thermal denaturation</w:t>
      </w:r>
      <w:r w:rsidR="004C205E">
        <w:rPr>
          <w:rFonts w:eastAsiaTheme="minorEastAsia"/>
        </w:rPr>
        <w:t>.</w:t>
      </w:r>
      <w:r w:rsidR="004C205E">
        <w:rPr>
          <w:rFonts w:eastAsiaTheme="minorEastAsia"/>
        </w:rPr>
        <w:fldChar w:fldCharType="begin" w:fldLock="1"/>
      </w:r>
      <w:r w:rsidR="007F2A2A">
        <w:rPr>
          <w:rFonts w:eastAsiaTheme="minorEastAsia"/>
        </w:rPr>
        <w:instrText>ADDIN CSL_CITATION { "citationItems" : [ { "id" : "ITEM-1",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"14", "issued" : { "date-parts" : [ [ "2014" ] ] }, "page" : "3922-3930", "title" : "Preferential solvation: Dividing surface vs excess numbers", "type" : "article-journal", "volume" : "118" }, "uris" : [ "http://www.mendeley.com/documents/?uuid=896fec6b-354e-41cd-a8de-55bd371a22f5" ] }, { "id" : "ITEM-2",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"ITEM-2",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"ITEM-3",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"ITEM-3", "issue" : "1-3", "issued" : { "date-parts" : [ [ "2011" ] ] }, "page" : "156-158", "publisher" : "Elsevier B.V.", "title" : "Molecular origin of the cosolvent-induced changes in the thermal stability of proteins", "type" : "article-journal", "volume" : "514" }, "uris" : [ "http://www.mendeley.com/documents/?uuid=f72a9936-cbbc-4fe0-8a8f-d5f1c1425260" ] } ], "mendeley" : { "formattedCitation" : "&lt;sup&gt;[50,51,56]&lt;/sup&gt;", "plainTextFormattedCitation" : "[50,51,56]", "previouslyFormattedCitation" : "&lt;sup&gt;[50,51,56]&lt;/sup&gt;" }, "properties" : { "noteIndex" : 0 }, "schema" : "https://github.com/citation-style-language/schema/raw/master/csl-citation.json" }</w:instrText>
      </w:r>
      <w:r w:rsidR="004C205E">
        <w:rPr>
          <w:rFonts w:eastAsiaTheme="minorEastAsia"/>
        </w:rPr>
        <w:fldChar w:fldCharType="separate"/>
      </w:r>
      <w:r w:rsidR="007F2A2A" w:rsidRPr="007F2A2A">
        <w:rPr>
          <w:rFonts w:eastAsiaTheme="minorEastAsia"/>
          <w:noProof/>
          <w:vertAlign w:val="superscript"/>
        </w:rPr>
        <w:t>[50,51,56]</w:t>
      </w:r>
      <w:r w:rsidR="004C205E">
        <w:rPr>
          <w:rFonts w:eastAsiaTheme="minorEastAsia"/>
        </w:rPr>
        <w:fldChar w:fldCharType="end"/>
      </w:r>
      <w:r w:rsidR="00E95A45">
        <w:rPr>
          <w:rFonts w:eastAsiaTheme="minorEastAsia"/>
        </w:rPr>
        <w:t xml:space="preserve"> </w:t>
      </w:r>
      <w:r w:rsidR="00283CFE">
        <w:rPr>
          <w:rFonts w:eastAsiaTheme="minorEastAsia"/>
        </w:rPr>
        <w:t>However, in t</w:t>
      </w:r>
      <w:r w:rsidR="00823D6A">
        <w:rPr>
          <w:rFonts w:eastAsiaTheme="minorEastAsia"/>
        </w:rPr>
        <w:t>he case of thermal denaturation</w:t>
      </w:r>
      <w:r w:rsidR="00283CFE">
        <w:rPr>
          <w:rFonts w:eastAsiaTheme="minorEastAsia"/>
        </w:rPr>
        <w:t xml:space="preserve"> </w:t>
      </w:r>
      <w:r w:rsidR="00823D6A">
        <w:rPr>
          <w:rFonts w:eastAsiaTheme="minorEastAsia"/>
        </w:rPr>
        <w:t>the volume change</w:t>
      </w:r>
      <w:r w:rsidR="00283CFE">
        <w:rPr>
          <w:rFonts w:eastAsiaTheme="minorEastAsia"/>
        </w:rPr>
        <w:t xml:space="preserve"> can either </w:t>
      </w:r>
      <w:r w:rsidR="00134011">
        <w:rPr>
          <w:rFonts w:eastAsiaTheme="minorEastAsia"/>
        </w:rPr>
        <w:t xml:space="preserve">be positive or negative, </w:t>
      </w:r>
      <w:r w:rsidR="00F74BC4">
        <w:rPr>
          <w:rFonts w:eastAsiaTheme="minorEastAsia"/>
        </w:rPr>
        <w:t xml:space="preserve">as </w:t>
      </w:r>
      <w:r w:rsidR="00134011">
        <w:rPr>
          <w:rFonts w:eastAsiaTheme="minorEastAsia"/>
        </w:rPr>
        <w:t xml:space="preserve">determined by the competition between protein structure expansion (positive contribution) and increased hydration (negative contribution) upon denaturation. Hence the sign of </w:t>
      </w:r>
      <m:oMath>
        <m:r>
          <m:rPr>
            <m:sty m:val="p"/>
          </m:rPr>
          <w:rPr>
            <w:rFonts w:ascii="Cambria Math" w:eastAsiaTheme="minorEastAsia" w:hAnsi="Cambria Math"/>
          </w:rPr>
          <m:t>Δ</m:t>
        </m:r>
        <m:sSubSup>
          <m:sSubSupPr>
            <m:ctrlPr>
              <w:rPr>
                <w:rFonts w:ascii="Cambria Math" w:eastAsiaTheme="minorEastAsia" w:hAnsi="Cambria Math"/>
              </w:rPr>
            </m:ctrlPr>
          </m:sSubSupPr>
          <m:e>
            <m:r>
              <w:rPr>
                <w:rFonts w:ascii="Cambria Math" w:eastAsiaTheme="minorEastAsia" w:hAnsi="Cambria Math"/>
              </w:rPr>
              <m:t>G</m:t>
            </m:r>
          </m:e>
          <m:sub>
            <m:r>
              <w:rPr>
                <w:rFonts w:ascii="Cambria Math" w:eastAsiaTheme="minorEastAsia" w:hAnsi="Cambria Math"/>
              </w:rPr>
              <m:t>BW</m:t>
            </m:r>
          </m:sub>
          <m:sup>
            <m:r>
              <w:rPr>
                <w:rFonts w:ascii="Cambria Math" w:eastAsiaTheme="minorEastAsia" w:hAnsi="Cambria Math"/>
              </w:rPr>
              <m:t>∞</m:t>
            </m:r>
          </m:sup>
        </m:sSubSup>
      </m:oMath>
      <w:r w:rsidR="00134011">
        <w:rPr>
          <w:rFonts w:eastAsiaTheme="minorEastAsia"/>
        </w:rPr>
        <w:t xml:space="preserve"> can either be positive or negative. Note that Le Chatlier’s principle for heat denaturation determines the sign of the denaturation enthalpy but not </w:t>
      </w:r>
      <w:r w:rsidR="00823D6A">
        <w:rPr>
          <w:rFonts w:eastAsiaTheme="minorEastAsia"/>
        </w:rPr>
        <w:t>the denaturation volume</w:t>
      </w:r>
      <w:r w:rsidR="00134011">
        <w:rPr>
          <w:rFonts w:eastAsiaTheme="minorEastAsia"/>
        </w:rPr>
        <w:t xml:space="preserve">. In pressure denaturation, however, it is the sign of </w:t>
      </w:r>
      <m:oMath>
        <m:r>
          <m:rPr>
            <m:sty m:val="p"/>
          </m:rPr>
          <w:rPr>
            <w:rFonts w:ascii="Cambria Math" w:eastAsiaTheme="minorEastAsia" w:hAnsi="Cambria Math"/>
          </w:rPr>
          <m:t>Δ</m:t>
        </m:r>
        <m:sSubSup>
          <m:sSubSupPr>
            <m:ctrlPr>
              <w:rPr>
                <w:rFonts w:ascii="Cambria Math" w:eastAsiaTheme="minorEastAsia" w:hAnsi="Cambria Math"/>
              </w:rPr>
            </m:ctrlPr>
          </m:sSubSupPr>
          <m:e>
            <m:r>
              <w:rPr>
                <w:rFonts w:ascii="Cambria Math" w:eastAsiaTheme="minorEastAsia" w:hAnsi="Cambria Math"/>
              </w:rPr>
              <m:t>G</m:t>
            </m:r>
          </m:e>
          <m:sub>
            <m:r>
              <w:rPr>
                <w:rFonts w:ascii="Cambria Math" w:eastAsiaTheme="minorEastAsia" w:hAnsi="Cambria Math"/>
              </w:rPr>
              <m:t>BW</m:t>
            </m:r>
          </m:sub>
          <m:sup>
            <m:r>
              <w:rPr>
                <w:rFonts w:ascii="Cambria Math" w:eastAsiaTheme="minorEastAsia" w:hAnsi="Cambria Math"/>
              </w:rPr>
              <m:t>∞</m:t>
            </m:r>
          </m:sup>
        </m:sSubSup>
      </m:oMath>
      <w:r w:rsidR="00134011">
        <w:rPr>
          <w:rFonts w:eastAsiaTheme="minorEastAsia"/>
        </w:rPr>
        <w:t xml:space="preserve"> that is set by Le Chatlier’s principle, which is entirely differe</w:t>
      </w:r>
      <w:r w:rsidR="001F6278">
        <w:rPr>
          <w:rFonts w:eastAsiaTheme="minorEastAsia"/>
        </w:rPr>
        <w:t>nt from heat denaturation, giving rise to condition 1</w:t>
      </w:r>
      <w:r w:rsidR="00134011">
        <w:rPr>
          <w:rFonts w:eastAsiaTheme="minorEastAsia"/>
        </w:rPr>
        <w:t xml:space="preserve"> which is specific to the pressure denaturation. </w:t>
      </w:r>
    </w:p>
    <w:p w14:paraId="43C1F708" w14:textId="170919B6" w:rsidR="00EB31AF" w:rsidRDefault="00EB31AF" w:rsidP="00711B72">
      <w:pPr>
        <w:ind w:firstLine="360"/>
        <w:rPr>
          <w:rFonts w:eastAsiaTheme="minorEastAsia"/>
        </w:rPr>
      </w:pPr>
      <w:r>
        <w:rPr>
          <w:rFonts w:eastAsiaTheme="minorEastAsia"/>
        </w:rPr>
        <w:t>Table 1 also demonstrates the outstanding e</w:t>
      </w:r>
      <w:r w:rsidR="00F74BC4">
        <w:rPr>
          <w:rFonts w:eastAsiaTheme="minorEastAsia"/>
        </w:rPr>
        <w:t>ffectiveness of TMAO in comparison</w:t>
      </w:r>
      <w:r>
        <w:rPr>
          <w:rFonts w:eastAsiaTheme="minorEastAsia"/>
        </w:rPr>
        <w:t xml:space="preserve"> to othe</w:t>
      </w:r>
      <w:r w:rsidR="001F6278">
        <w:rPr>
          <w:rFonts w:eastAsiaTheme="minorEastAsia"/>
        </w:rPr>
        <w:t>r osmolytes</w:t>
      </w:r>
      <w:r>
        <w:rPr>
          <w:rFonts w:eastAsiaTheme="minorEastAsia"/>
        </w:rPr>
        <w:t xml:space="preserve">. </w:t>
      </w:r>
      <w:r w:rsidR="001F6278" w:rsidRPr="00570D90">
        <w:rPr>
          <w:rFonts w:eastAsiaTheme="minorEastAsia"/>
        </w:rPr>
        <w:t>The theory presented here is also valid for denaturants (chaotropes). However, chaotropes decrease the denaturation pressure, as in indicated by the results for urea and CaCl</w:t>
      </w:r>
      <w:r w:rsidR="001F6278" w:rsidRPr="00570D90">
        <w:rPr>
          <w:rFonts w:eastAsiaTheme="minorEastAsia"/>
          <w:vertAlign w:val="subscript"/>
        </w:rPr>
        <w:t>2</w:t>
      </w:r>
      <w:r w:rsidR="001F6278" w:rsidRPr="00570D90">
        <w:rPr>
          <w:rFonts w:eastAsiaTheme="minorEastAsia"/>
        </w:rPr>
        <w:t xml:space="preserve"> in Table 1. This decrease is directly related to an increased affinity of urea and CaCl</w:t>
      </w:r>
      <w:r w:rsidR="001F6278" w:rsidRPr="00570D90">
        <w:rPr>
          <w:rFonts w:eastAsiaTheme="minorEastAsia"/>
          <w:vertAlign w:val="subscript"/>
        </w:rPr>
        <w:t>2</w:t>
      </w:r>
      <w:r w:rsidR="001F6278" w:rsidRPr="00570D90">
        <w:rPr>
          <w:rFonts w:eastAsiaTheme="minorEastAsia"/>
        </w:rPr>
        <w:t xml:space="preserve"> for the protein </w:t>
      </w:r>
      <w:r w:rsidR="0041276E" w:rsidRPr="00570D90">
        <w:rPr>
          <w:rFonts w:eastAsiaTheme="minorEastAsia"/>
        </w:rPr>
        <w:t>up</w:t>
      </w:r>
      <w:r w:rsidR="001F6278" w:rsidRPr="00570D90">
        <w:rPr>
          <w:rFonts w:eastAsiaTheme="minorEastAsia"/>
        </w:rPr>
        <w:t xml:space="preserve">on denaturation, presumably due to </w:t>
      </w:r>
      <w:r w:rsidR="00DD7FDF">
        <w:rPr>
          <w:rFonts w:eastAsiaTheme="minorEastAsia"/>
        </w:rPr>
        <w:t xml:space="preserve">increased </w:t>
      </w:r>
      <w:r w:rsidR="001F6278" w:rsidRPr="00570D90">
        <w:rPr>
          <w:rFonts w:eastAsiaTheme="minorEastAsia"/>
        </w:rPr>
        <w:t>specific (direct) interactions</w:t>
      </w:r>
      <w:r w:rsidR="00DD7FDF">
        <w:rPr>
          <w:rFonts w:eastAsiaTheme="minorEastAsia"/>
        </w:rPr>
        <w:t xml:space="preserve"> with the denatured state</w:t>
      </w:r>
      <w:r w:rsidR="001F6278" w:rsidRPr="00570D90">
        <w:rPr>
          <w:rFonts w:eastAsiaTheme="minorEastAsia"/>
        </w:rPr>
        <w:t>, giving rise to a positive numerator in Eq. (1).</w:t>
      </w:r>
      <w:r w:rsidR="001F6278">
        <w:rPr>
          <w:rFonts w:eastAsiaTheme="minorEastAsia"/>
        </w:rPr>
        <w:t xml:space="preserve"> </w:t>
      </w:r>
      <w:r>
        <w:rPr>
          <w:rFonts w:eastAsiaTheme="minorEastAsia"/>
        </w:rPr>
        <w:t xml:space="preserve">Note that the KB integrals for </w:t>
      </w:r>
      <w:r w:rsidR="00D220C2">
        <w:rPr>
          <w:rFonts w:eastAsiaTheme="minorEastAsia"/>
        </w:rPr>
        <w:t>salts have been calculated per ion, namely for the average constituent ion, following the standar</w:t>
      </w:r>
      <w:r w:rsidR="00BA6111">
        <w:rPr>
          <w:rFonts w:eastAsiaTheme="minorEastAsia"/>
        </w:rPr>
        <w:t xml:space="preserve">d </w:t>
      </w:r>
      <w:r w:rsidR="001F6278">
        <w:rPr>
          <w:rFonts w:eastAsiaTheme="minorEastAsia"/>
        </w:rPr>
        <w:t>procedure for</w:t>
      </w:r>
      <w:r w:rsidR="00BA6111">
        <w:rPr>
          <w:rFonts w:eastAsiaTheme="minorEastAsia"/>
        </w:rPr>
        <w:t xml:space="preserve"> ionic solutions</w:t>
      </w:r>
      <w:r w:rsidR="00625CA7">
        <w:rPr>
          <w:rFonts w:eastAsiaTheme="minorEastAsia"/>
        </w:rPr>
        <w:t>.</w:t>
      </w:r>
      <w:r w:rsidR="00625CA7">
        <w:rPr>
          <w:rFonts w:eastAsiaTheme="minorEastAsia"/>
        </w:rPr>
        <w:fldChar w:fldCharType="begin" w:fldLock="1"/>
      </w:r>
      <w:r w:rsidR="007B58C9">
        <w:rPr>
          <w:rFonts w:eastAsiaTheme="minorEastAsia"/>
        </w:rPr>
        <w:instrText>ADDIN CSL_CITATION { "citationItems" : [ { "id" : "ITEM-1",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"ITEM-1", "issue" : "18", "issued" : { "date-parts" : [ [ "2004" ] ] }, "page" : "9147-9155", "title" : "The Kirkwood-Buff theory and the effect of cosolvents on biochemical reactions", "type" : "article-journal", "volume" : "121" }, "uris" : [ "http://www.mendeley.com/documents/?uuid=773d4c28-f2d5-421b-a5a5-0066df199fbe" ] }, { "id" : "ITEM-2", "itemData" : { "abstract" : "Molecular association has been investigated as a function of solution composition for sodium chloride (NaCl), guanidinium chloride (GdmCl), ammonium sulfate ((NH4)2SO4), urea, and 2,2,2-trifluoroethanol (TFE) mixtures with water. A Kirkwood\u2212Buff analysis of the available experimental data provided information concerning the degree of excess association of the various species in solution. The results indicate that increasing concentrations of NaCl have no effect on the excess self-association of water, while GdmCl, (NH4)2SO4, and urea slightly increase the excess self-association of water. The presence of TFE results in composition dependent effects with a strong increase in the self-association of water at low TFE concentrations. The consequences of these observations in the context of water structure making properties are discussed. The excess self-association of cosolvents (except urea) displayed an initial increase which proceeded through a maximum at low cosolvent concentration and then decreased stea...", "author" : [ { "dropping-particle" : "", "family" : "Chitra", "given" : "Rajappa", "non-dropping-particle" : "", "parse-names" : false, "suffix" : "" }, { "dropping-particle" : "", "family" : "Smith", "given" : "Paul E.", "non-dropping-particle" : "", "parse-names" : false, "suffix" : "" } ], "container-title" : "Journal of Physical Chemistry B", "id" : "ITEM-2", "issue" : "6", "issued" : { "date-parts" : [ [ "2002", "2", "14" ] ] }, "page" : "1491-1500", "title" : "Molecular association in solution: A Kirkwood-Buff analysis of sodium chloride, ammonium sulfate, guanidinium chloride, urea, and 2,2,2-trifluoroethanol in water", "type" : "article-journal", "volume" : "106" }, "uris" : [ "http://www.mendeley.com/documents/?uuid=00a85c6f-28e7-4b02-af95-ea533c61094d" ] } ], "mendeley" : { "formattedCitation" : "&lt;sup&gt;[45,66]&lt;/sup&gt;", "plainTextFormattedCitation" : "[45,66]", "previouslyFormattedCitation" : "&lt;sup&gt;[45,61]&lt;/sup&gt;" }, "properties" : { "noteIndex" : 0 }, "schema" : "https://github.com/citation-style-language/schema/raw/master/csl-citation.json" }</w:instrText>
      </w:r>
      <w:r w:rsidR="00625CA7">
        <w:rPr>
          <w:rFonts w:eastAsiaTheme="minorEastAsia"/>
        </w:rPr>
        <w:fldChar w:fldCharType="separate"/>
      </w:r>
      <w:r w:rsidR="007B58C9" w:rsidRPr="007B58C9">
        <w:rPr>
          <w:rFonts w:eastAsiaTheme="minorEastAsia"/>
          <w:noProof/>
          <w:vertAlign w:val="superscript"/>
        </w:rPr>
        <w:t>[45,66]</w:t>
      </w:r>
      <w:r w:rsidR="00625CA7">
        <w:rPr>
          <w:rFonts w:eastAsiaTheme="minorEastAsia"/>
        </w:rPr>
        <w:fldChar w:fldCharType="end"/>
      </w:r>
      <w:r w:rsidR="00113A94">
        <w:rPr>
          <w:rFonts w:eastAsiaTheme="minorEastAsia"/>
        </w:rPr>
        <w:t xml:space="preserve"> </w:t>
      </w:r>
    </w:p>
    <w:p w14:paraId="032ED59C" w14:textId="77777777" w:rsidR="00EB31AF" w:rsidRDefault="00DD7FDF" w:rsidP="00B535F1">
      <w:pPr>
        <w:ind w:firstLine="360"/>
        <w:rPr>
          <w:rFonts w:eastAsiaTheme="minorEastAsia"/>
        </w:rPr>
      </w:pPr>
      <w:r>
        <w:rPr>
          <w:rFonts w:eastAsiaTheme="minorEastAsia"/>
        </w:rPr>
        <w:t>In summary</w:t>
      </w:r>
      <w:r w:rsidR="00BA6111">
        <w:rPr>
          <w:rFonts w:eastAsiaTheme="minorEastAsia"/>
        </w:rPr>
        <w:t>, s</w:t>
      </w:r>
      <w:r w:rsidR="00EB31AF">
        <w:rPr>
          <w:rFonts w:eastAsiaTheme="minorEastAsia"/>
        </w:rPr>
        <w:t xml:space="preserve">ince the weak, non-specific interactions between protein and solvent molecules are statistical in nature, capturing the mechanism of </w:t>
      </w:r>
      <w:r w:rsidR="00F74BC4">
        <w:rPr>
          <w:rFonts w:eastAsiaTheme="minorEastAsia"/>
        </w:rPr>
        <w:t>osmoprotection requires a</w:t>
      </w:r>
      <w:r w:rsidR="00EB31AF">
        <w:rPr>
          <w:rFonts w:eastAsiaTheme="minorEastAsia"/>
        </w:rPr>
        <w:t xml:space="preserve"> </w:t>
      </w:r>
      <w:r w:rsidR="0041276E">
        <w:rPr>
          <w:rFonts w:eastAsiaTheme="minorEastAsia"/>
        </w:rPr>
        <w:t xml:space="preserve">more </w:t>
      </w:r>
      <w:r w:rsidR="00EB31AF">
        <w:rPr>
          <w:rFonts w:eastAsiaTheme="minorEastAsia"/>
        </w:rPr>
        <w:t>statistical approach</w:t>
      </w:r>
      <w:r w:rsidR="00F74BC4">
        <w:rPr>
          <w:rFonts w:eastAsiaTheme="minorEastAsia"/>
        </w:rPr>
        <w:t>,</w:t>
      </w:r>
      <w:r w:rsidR="00F74BC4" w:rsidRPr="00F74BC4">
        <w:rPr>
          <w:rFonts w:eastAsiaTheme="minorEastAsia"/>
        </w:rPr>
        <w:t xml:space="preserve"> </w:t>
      </w:r>
      <w:r w:rsidR="00F74BC4">
        <w:rPr>
          <w:rFonts w:eastAsiaTheme="minorEastAsia"/>
        </w:rPr>
        <w:t>using radial distribution functions,</w:t>
      </w:r>
      <w:r w:rsidR="00EB31AF">
        <w:rPr>
          <w:rFonts w:eastAsiaTheme="minorEastAsia"/>
        </w:rPr>
        <w:t xml:space="preserve"> to </w:t>
      </w:r>
      <w:r w:rsidR="0041276E">
        <w:rPr>
          <w:rFonts w:eastAsiaTheme="minorEastAsia"/>
        </w:rPr>
        <w:t xml:space="preserve">describe </w:t>
      </w:r>
      <w:r w:rsidR="00F74BC4">
        <w:rPr>
          <w:rFonts w:eastAsiaTheme="minorEastAsia"/>
        </w:rPr>
        <w:t xml:space="preserve">the </w:t>
      </w:r>
      <w:r w:rsidR="00EB31AF">
        <w:rPr>
          <w:rFonts w:eastAsiaTheme="minorEastAsia"/>
        </w:rPr>
        <w:t>liquid solution</w:t>
      </w:r>
      <w:r w:rsidR="0041276E">
        <w:rPr>
          <w:rFonts w:eastAsiaTheme="minorEastAsia"/>
        </w:rPr>
        <w:t xml:space="preserve"> structure. The net </w:t>
      </w:r>
      <w:r w:rsidR="00EB31AF">
        <w:rPr>
          <w:rFonts w:eastAsiaTheme="minorEastAsia"/>
        </w:rPr>
        <w:t>statistical exclusion of osmolytes from biomolecular surfaces, more so from the denat</w:t>
      </w:r>
      <w:r w:rsidR="0041276E">
        <w:rPr>
          <w:rFonts w:eastAsiaTheme="minorEastAsia"/>
        </w:rPr>
        <w:t>ured state than from the native</w:t>
      </w:r>
      <w:r w:rsidR="00EB31AF">
        <w:rPr>
          <w:rFonts w:eastAsiaTheme="minorEastAsia"/>
        </w:rPr>
        <w:t xml:space="preserve"> state, is the mechanism of osmoprotection against pressure denaturation. </w:t>
      </w:r>
    </w:p>
    <w:p w14:paraId="36C58422" w14:textId="77777777" w:rsidR="00797187" w:rsidRPr="00342777" w:rsidRDefault="00797187">
      <w:pPr>
        <w:rPr>
          <w:b/>
        </w:rPr>
      </w:pPr>
      <w:r w:rsidRPr="00342777">
        <w:rPr>
          <w:b/>
        </w:rPr>
        <w:t>4. Fluctuation Solution Theory versus thermodynamic models</w:t>
      </w:r>
    </w:p>
    <w:p w14:paraId="526AEA9D" w14:textId="79BEE324" w:rsidR="00CA587B" w:rsidRPr="00342777" w:rsidRDefault="00747DEC" w:rsidP="00CA587B">
      <w:pPr>
        <w:rPr>
          <w:lang w:val="en-GB"/>
        </w:rPr>
      </w:pPr>
      <w:r w:rsidRPr="00342777">
        <w:rPr>
          <w:lang w:val="en-GB"/>
        </w:rPr>
        <w:t xml:space="preserve">We have demonstrated that the competition between weak, non-specific protein-osmolyte and protein-water interactions can be captured by FST via KB integrals directly from experimental data without any model assumptions whatsoever. Classical thermodynamic models, on the other hand, </w:t>
      </w:r>
      <w:r w:rsidR="00D57C7A" w:rsidRPr="00342777">
        <w:rPr>
          <w:lang w:val="en-GB"/>
        </w:rPr>
        <w:t xml:space="preserve">have provided a powerful approach towards the </w:t>
      </w:r>
      <w:r w:rsidRPr="00342777">
        <w:rPr>
          <w:lang w:val="en-GB"/>
        </w:rPr>
        <w:t xml:space="preserve">elucidation of the osmolyte effects on biomolecular folding and </w:t>
      </w:r>
      <w:r w:rsidR="00711B72" w:rsidRPr="00342777">
        <w:rPr>
          <w:lang w:val="en-GB"/>
        </w:rPr>
        <w:t>stability.</w:t>
      </w:r>
      <w:r w:rsidR="00D57C7A" w:rsidRPr="00342777">
        <w:rPr>
          <w:lang w:val="en-GB"/>
        </w:rPr>
        <w:fldChar w:fldCharType="begin" w:fldLock="1"/>
      </w:r>
      <w:r w:rsidR="007B58C9">
        <w:rPr>
          <w:lang w:val="en-GB"/>
        </w:rPr>
        <w:instrText>ADDIN CSL_CITATION { "citationItems" : [ { "id" : "ITEM-1", "itemData" : { "DOI" : "10.1021/la200704s", "ISBN" : "0065-3233 (Print)\\r0065-3233 (Linking)", "ISSN" : "1520-5827", "PMID" : "4882248", "abstract" : "The first of the two classic papers (books) written about the experimental studies of denaturation by Tanford", "author" : [ { "dropping-particle" : "", "family" : "Tanford", "given" : "C", "non-dropping-particle" : "", "parse-names" : false, "suffix" : "" } ], "container-title" : "Adv. Protein Chem.", "id" : "ITEM-1", "issued" : { "date-parts" : [ [ "1968" ] ] }, "page" : "121-282", "title" : "Protein Denaturation", "type" : "article-journal", "volume" : "23" }, "uris" : [ "http://www.mendeley.com/documents/?uuid=837ca73d-629c-4e7c-acc6-daca305037cd" ] }, { "id" : "ITEM-2", "itemData" : { "DOI" : "10.1016/S0065-3233(08)60241-7", "ISBN" : "0065-3233", "ISSN" : "00653233", "PMID" : "4912353", "abstract" : "Publisher Summary This chapter reviews theoretical models that may be constructed and equations that may be derived from them to understand the process of protein denaturation. Given that the native state is stable under physiological conditions, the question arises whether the effects of environmental changes on the equilibrium between native and denatured states can be predicted, so as to account for the loss of stability of the native state and the appearance of different denatured states under specified conditions. This question involves not the absolute values for the free energies and other thermodynamic parameters for denaturation processes, but the changes in these parameters, along with changes in environmental variables. These changes can be predicted semiquantitatively. Furthermore, one can account both for the products formed under different conditions and for the character of the transitions from native to denatured state, at least for the simple proteins that have been studied in detail.", "author" : [ { "dropping-particle" : "", "family" : "Tanford", "given" : "Charles", "non-dropping-particle" : "", "parse-names" : false, "suffix" : "" } ], "container-title" : "Advances in Protein Chemistry", "id" : "ITEM-2", "issue" : "C", "issued" : { "date-parts" : [ [ "1970" ] ] }, "page" : "1-95", "title" : "Protein Denaturation. Part C. Theoretical Models for The Mechanism of Denaturation", "type" : "article-journal", "volume" : "24" }, "uris" : [ "http://www.mendeley.com/documents/?uuid=4b4d86e9-cd5d-40fe-af36-6958cc3f59fe" ] }, { "id" : "ITEM-3", "itemData" : { "DOI" : "10.1002/bip.1978.360170515", "ISSN" : "0006-3525", "abstract" : "Solvent denaturation is developed along thermodynamic lines rather than from multiple-binding theory. Almost all the relations derivable from site-binding theory have their counterparts in the thermodynamic formulation showing that the details of binding models may be sufficient but are not necessary for the general description of solvent denaturation. Equations are derived for the effect of denaturant concentration on stability at constant temperature and on tm. It is recommended that the thermodynamic treatment be used instead of binding models unless stoichiometric interactions are demonstrable experimentally.", "author" : [ { "dropping-particle" : "", "family" : "Schellman", "given" : "John A", "non-dropping-particle" : "", "parse-names" : false, "suffix" : "" } ], "container-title" : "Biopolymers", "id" : "ITEM-3", "issue" : "2", "issued" : { "date-parts" : [ [ "1978" ] ] }, "page" : "1305-1322", "title" : "Solvent Denaturation", "type" : "article-journal", "volume" : "17" }, "uris" : [ "http://www.mendeley.com/documents/?uuid=e4b261f8-5480-4153-b89b-91de2afa6d43" ] }, { "id" : "ITEM-4", "itemData" : { "DOI" : "10.1002/bip.360260408", "ISBN" : "0006-3525", "ISSN" : "10970282", "PMID" : "3567326", "abstract" : "A primitive model for solvent denaturation is that the denaturant binds independently to sites exposed by the unfolding of the protein. For reagents like urea and guanidinium salts, this binding must be very weak since denaturation occurs only at very high concentrations. Standard formulas for very weak binding lead to thermodynamic inconsistencies. In this paper, binding by denaturants is treated as selective solvation. This introduces a factor of K 1 into the binding isotherm and binding free energy, where K is the equilibrium constant for selective interaction with the sites. This leads to a thermodynamically consistent description of the binding and the denaturation since, when K = 1, there is no selective interaction and no effect on denaturation, even in concentrated solutions where site occupancy is inevitable.", "author" : [ { "dropping-particle" : "", "family" : "Schellman", "given" : "John A.", "non-dropping-particle" : "", "parse-names" : false, "suffix" : "" } ], "container-title" : "Biopolymers", "id" : "ITEM-4", "issue" : "4", "issued" : { "date-parts" : [ [ "1987" ] ] }, "page" : "549-559", "title" : "Selective binding and solvent denaturation", "type" : "article-journal", "volume" : "26" }, "uris" : [ "http://www.mendeley.com/documents/?uuid=3ff0bebd-c006-4655-9fac-c69d9656b2ba" ] } ], "mendeley" : { "formattedCitation" : "&lt;sup&gt;[57\u201360]&lt;/sup&gt;", "plainTextFormattedCitation" : "[57\u201360]", "previouslyFormattedCitation" : "&lt;sup&gt;[62\u201365]&lt;/sup&gt;" }, "properties" : { "noteIndex" : 0 }, "schema" : "https://github.com/citation-style-language/schema/raw/master/csl-citation.json" }</w:instrText>
      </w:r>
      <w:r w:rsidR="00D57C7A" w:rsidRPr="00342777">
        <w:rPr>
          <w:lang w:val="en-GB"/>
        </w:rPr>
        <w:fldChar w:fldCharType="separate"/>
      </w:r>
      <w:r w:rsidR="007B58C9" w:rsidRPr="007B58C9">
        <w:rPr>
          <w:noProof/>
          <w:vertAlign w:val="superscript"/>
          <w:lang w:val="en-GB"/>
        </w:rPr>
        <w:t>[57–60]</w:t>
      </w:r>
      <w:r w:rsidR="00D57C7A" w:rsidRPr="00342777">
        <w:rPr>
          <w:lang w:val="en-GB"/>
        </w:rPr>
        <w:fldChar w:fldCharType="end"/>
      </w:r>
      <w:r w:rsidR="00711B72" w:rsidRPr="00342777">
        <w:rPr>
          <w:lang w:val="en-GB"/>
        </w:rPr>
        <w:t xml:space="preserve"> Here we clarify that thermodynamic models involve more assumption on the nature of protein-solvent interaction and are less clear in terms of the relationship between thermodynamic variables and independen</w:t>
      </w:r>
      <w:r w:rsidR="00CA587B" w:rsidRPr="00342777">
        <w:rPr>
          <w:lang w:val="en-GB"/>
        </w:rPr>
        <w:t xml:space="preserve">tly-obtainable interactions.   </w:t>
      </w:r>
    </w:p>
    <w:p w14:paraId="6AB766D8" w14:textId="7760936E" w:rsidR="00797187" w:rsidRPr="00342777" w:rsidRDefault="00797187" w:rsidP="00CA587B">
      <w:pPr>
        <w:ind w:firstLine="720"/>
        <w:rPr>
          <w:lang w:val="en-GB"/>
        </w:rPr>
      </w:pPr>
      <w:r w:rsidRPr="00342777">
        <w:rPr>
          <w:b/>
          <w:lang w:val="en-GB"/>
        </w:rPr>
        <w:t>Cosolvent binding model</w:t>
      </w:r>
      <w:r w:rsidR="00342777">
        <w:rPr>
          <w:b/>
          <w:lang w:val="en-GB"/>
        </w:rPr>
        <w:t>s</w:t>
      </w:r>
      <w:r w:rsidR="00342777">
        <w:rPr>
          <w:lang w:val="en-GB"/>
        </w:rPr>
        <w:t xml:space="preserve"> assume</w:t>
      </w:r>
      <w:r w:rsidRPr="00342777">
        <w:rPr>
          <w:lang w:val="en-GB"/>
        </w:rPr>
        <w:t xml:space="preserve"> </w:t>
      </w:r>
      <m:oMath>
        <m:sSub>
          <m:sSubPr>
            <m:ctrlPr>
              <w:rPr>
                <w:rFonts w:ascii="Cambria Math" w:eastAsiaTheme="minorEastAsia" w:hAnsi="Cambria Math"/>
                <w:i/>
                <w:lang w:val="en-GB"/>
              </w:rPr>
            </m:ctrlPr>
          </m:sSubPr>
          <m:e>
            <m:r>
              <w:rPr>
                <w:rFonts w:ascii="Cambria Math" w:hAnsi="Cambria Math" w:cs="Cambria Math"/>
                <w:lang w:val="en-GB"/>
              </w:rPr>
              <m:t>N</m:t>
            </m:r>
            <m:ctrlPr>
              <w:rPr>
                <w:rFonts w:ascii="Cambria Math" w:hAnsi="Cambria Math" w:cs="Cambria Math"/>
                <w:i/>
                <w:lang w:val="en-GB"/>
              </w:rPr>
            </m:ctrlPr>
          </m:e>
          <m:sub>
            <m:r>
              <w:rPr>
                <w:rFonts w:ascii="Cambria Math" w:eastAsiaTheme="minorEastAsia" w:hAnsi="Cambria Math"/>
                <w:lang w:val="en-GB"/>
              </w:rPr>
              <m:t>b</m:t>
            </m:r>
          </m:sub>
        </m:sSub>
      </m:oMath>
      <w:r w:rsidRPr="00342777">
        <w:rPr>
          <w:lang w:val="en-GB"/>
        </w:rPr>
        <w:t xml:space="preserve"> </w:t>
      </w:r>
      <w:r w:rsidR="00342777">
        <w:rPr>
          <w:lang w:val="en-GB"/>
        </w:rPr>
        <w:t>binding sites on a protein that</w:t>
      </w:r>
      <w:r w:rsidRPr="00342777">
        <w:rPr>
          <w:lang w:val="en-GB"/>
        </w:rPr>
        <w:t xml:space="preserve"> can bind cosolvents</w:t>
      </w:r>
      <w:r w:rsidR="00711B72" w:rsidRPr="00342777">
        <w:rPr>
          <w:lang w:val="en-GB"/>
        </w:rPr>
        <w:t>. In practical applications</w:t>
      </w:r>
      <w:r w:rsidRPr="00342777">
        <w:rPr>
          <w:lang w:val="en-GB"/>
        </w:rPr>
        <w:t xml:space="preserve">, all </w:t>
      </w:r>
      <m:oMath>
        <m:sSub>
          <m:sSubPr>
            <m:ctrlPr>
              <w:rPr>
                <w:rFonts w:ascii="Cambria Math" w:eastAsiaTheme="minorEastAsia" w:hAnsi="Cambria Math"/>
                <w:i/>
                <w:lang w:val="en-GB"/>
              </w:rPr>
            </m:ctrlPr>
          </m:sSubPr>
          <m:e>
            <m:r>
              <w:rPr>
                <w:rFonts w:ascii="Cambria Math" w:hAnsi="Cambria Math" w:cs="Cambria Math"/>
                <w:lang w:val="en-GB"/>
              </w:rPr>
              <m:t>N</m:t>
            </m:r>
            <m:ctrlPr>
              <w:rPr>
                <w:rFonts w:ascii="Cambria Math" w:hAnsi="Cambria Math" w:cs="Cambria Math"/>
                <w:i/>
                <w:lang w:val="en-GB"/>
              </w:rPr>
            </m:ctrlPr>
          </m:e>
          <m:sub>
            <m:r>
              <w:rPr>
                <w:rFonts w:ascii="Cambria Math" w:eastAsiaTheme="minorEastAsia" w:hAnsi="Cambria Math"/>
                <w:lang w:val="en-GB"/>
              </w:rPr>
              <m:t>b</m:t>
            </m:r>
          </m:sub>
        </m:sSub>
      </m:oMath>
      <w:r w:rsidR="00711B72" w:rsidRPr="00342777">
        <w:rPr>
          <w:lang w:val="en-GB"/>
        </w:rPr>
        <w:t xml:space="preserve"> sites are assumed</w:t>
      </w:r>
      <w:r w:rsidRPr="00342777">
        <w:rPr>
          <w:lang w:val="en-GB"/>
        </w:rPr>
        <w:t xml:space="preserve"> to be the same</w:t>
      </w:r>
      <w:r w:rsidR="00342777">
        <w:rPr>
          <w:lang w:val="en-GB"/>
        </w:rPr>
        <w:t xml:space="preserve">, i.e. </w:t>
      </w:r>
      <w:r w:rsidRPr="00342777">
        <w:rPr>
          <w:lang w:val="en-GB"/>
        </w:rPr>
        <w:t xml:space="preserve">the same binding constant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oMath>
      <w:r w:rsidR="00CA587B" w:rsidRPr="00342777">
        <w:rPr>
          <w:lang w:val="en-GB"/>
        </w:rPr>
        <w:t xml:space="preserve"> for the osmolyte (cosolvent)</w:t>
      </w:r>
      <w:r w:rsidR="00342777">
        <w:rPr>
          <w:lang w:val="en-GB"/>
        </w:rPr>
        <w:t xml:space="preserve"> at</w:t>
      </w:r>
      <w:r w:rsidRPr="00342777">
        <w:rPr>
          <w:lang w:val="en-GB"/>
        </w:rPr>
        <w:t xml:space="preserve"> each site</w:t>
      </w:r>
      <w:r w:rsidR="00342777">
        <w:rPr>
          <w:lang w:val="en-GB"/>
        </w:rPr>
        <w:t xml:space="preserve"> is used</w:t>
      </w:r>
      <w:r w:rsidRPr="00342777">
        <w:rPr>
          <w:lang w:val="en-GB"/>
        </w:rPr>
        <w:t>.</w:t>
      </w:r>
      <w:r w:rsidR="00D57C7A" w:rsidRPr="00342777">
        <w:rPr>
          <w:lang w:val="en-GB"/>
        </w:rPr>
        <w:fldChar w:fldCharType="begin" w:fldLock="1"/>
      </w:r>
      <w:r w:rsidR="007B58C9">
        <w:rPr>
          <w:lang w:val="en-GB"/>
        </w:rPr>
        <w:instrText>ADDIN CSL_CITATION { "citationItems" : [ { "id" : "ITEM-1", "itemData" : { "DOI" : "10.1021/la200704s", "ISBN" : "0065-3233 (Print)\\r0065-3233 (Linking)", "ISSN" : "1520-5827", "PMID" : "4882248", "abstract" : "The first of the two classic papers (books) written about the experimental studies of denaturation by Tanford", "author" : [ { "dropping-particle" : "", "family" : "Tanford", "given" : "C", "non-dropping-particle" : "", "parse-names" : false, "suffix" : "" } ], "container-title" : "Adv. Protein Chem.", "id" : "ITEM-1", "issued" : { "date-parts" : [ [ "1968" ] ] }, "page" : "121-282", "title" : "Protein Denaturation", "type" : "article-journal", "volume" : "23" }, "uris" : [ "http://www.mendeley.com/documents/?uuid=837ca73d-629c-4e7c-acc6-daca305037cd" ] }, { "id" : "ITEM-2", "itemData" : { "DOI" : "10.1016/S0065-3233(08)60241-7", "ISBN" : "0065-3233", "ISSN" : "00653233", "PMID" : "4912353", "abstract" : "Publisher Summary This chapter reviews theoretical models that may be constructed and equations that may be derived from them to understand the process of protein denaturation. Given that the native state is stable under physiological conditions, the question arises whether the effects of environmental changes on the equilibrium between native and denatured states can be predicted, so as to account for the loss of stability of the native state and the appearance of different denatured states under specified conditions. This question involves not the absolute values for the free energies and other thermodynamic parameters for denaturation processes, but the changes in these parameters, along with changes in environmental variables. These changes can be predicted semiquantitatively. Furthermore, one can account both for the products formed under different conditions and for the character of the transitions from native to denatured state, at least for the simple proteins that have been studied in detail.", "author" : [ { "dropping-particle" : "", "family" : "Tanford", "given" : "Charles", "non-dropping-particle" : "", "parse-names" : false, "suffix" : "" } ], "container-title" : "Advances in Protein Chemistry", "id" : "ITEM-2", "issue" : "C", "issued" : { "date-parts" : [ [ "1970" ] ] }, "page" : "1-95", "title" : "Protein Denaturation. Part C. Theoretical Models for The Mechanism of Denaturation", "type" : "article-journal", "volume" : "24" }, "uris" : [ "http://www.mendeley.com/documents/?uuid=4b4d86e9-cd5d-40fe-af36-6958cc3f59fe" ] } ], "mendeley" : { "formattedCitation" : "&lt;sup&gt;[57,58]&lt;/sup&gt;", "plainTextFormattedCitation" : "[57,58]", "previouslyFormattedCitation" : "&lt;sup&gt;[62,63]&lt;/sup&gt;" }, "properties" : { "noteIndex" : 0 }, "schema" : "https://github.com/citation-style-language/schema/raw/master/csl-citation.json" }</w:instrText>
      </w:r>
      <w:r w:rsidR="00D57C7A" w:rsidRPr="00342777">
        <w:rPr>
          <w:lang w:val="en-GB"/>
        </w:rPr>
        <w:fldChar w:fldCharType="separate"/>
      </w:r>
      <w:r w:rsidR="007B58C9" w:rsidRPr="007B58C9">
        <w:rPr>
          <w:noProof/>
          <w:vertAlign w:val="superscript"/>
          <w:lang w:val="en-GB"/>
        </w:rPr>
        <w:t>[57,58]</w:t>
      </w:r>
      <w:r w:rsidR="00D57C7A" w:rsidRPr="00342777">
        <w:rPr>
          <w:lang w:val="en-GB"/>
        </w:rPr>
        <w:fldChar w:fldCharType="end"/>
      </w:r>
      <w:r w:rsidRPr="00342777">
        <w:rPr>
          <w:lang w:val="en-GB"/>
        </w:rPr>
        <w:t xml:space="preserve"> This model, which is essentially the application of Hill model to account for the cosolvent role on proteins, gives</w:t>
      </w:r>
    </w:p>
    <w:p w14:paraId="18F15632" w14:textId="62951053" w:rsidR="00797187" w:rsidRPr="00342777" w:rsidRDefault="007D38A3" w:rsidP="00797187">
      <w:pPr>
        <w:rPr>
          <w:lang w:val="en-GB"/>
        </w:rPr>
      </w:pPr>
      <m:oMath>
        <m:r>
          <w:rPr>
            <w:rFonts w:ascii="Cambria Math" w:eastAsiaTheme="minorEastAsia" w:hAnsi="Cambria Math"/>
            <w:lang w:val="en-GB"/>
          </w:rPr>
          <m:t>ν≡</m:t>
        </m:r>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B</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C</m:t>
                        </m:r>
                      </m:sub>
                    </m:sSub>
                  </m:den>
                </m:f>
              </m:e>
            </m:d>
          </m:e>
          <m:sub>
            <m:r>
              <w:rPr>
                <w:rFonts w:ascii="Cambria Math" w:hAnsi="Cambria Math"/>
                <w:lang w:val="en-GB"/>
              </w:rPr>
              <m:t>T,P,</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B</m:t>
                </m:r>
              </m:sub>
            </m:sSub>
          </m:sub>
        </m:sSub>
        <m:r>
          <w:rPr>
            <w:rFonts w:ascii="Cambria Math" w:hAnsi="Cambria Math"/>
            <w:lang w:val="en-GB"/>
          </w:rPr>
          <m:t>=</m:t>
        </m:r>
        <m:sSub>
          <m:sSubPr>
            <m:ctrlPr>
              <w:rPr>
                <w:rFonts w:ascii="Cambria Math" w:eastAsiaTheme="minorEastAsia" w:hAnsi="Cambria Math"/>
                <w:i/>
                <w:lang w:val="en-GB"/>
              </w:rPr>
            </m:ctrlPr>
          </m:sSubPr>
          <m:e>
            <m:r>
              <w:rPr>
                <w:rFonts w:ascii="Cambria Math" w:hAnsi="Cambria Math" w:cs="Cambria Math"/>
                <w:lang w:val="en-GB"/>
              </w:rPr>
              <m:t>N</m:t>
            </m:r>
            <m:ctrlPr>
              <w:rPr>
                <w:rFonts w:ascii="Cambria Math" w:hAnsi="Cambria Math" w:cs="Cambria Math"/>
                <w:i/>
                <w:lang w:val="en-GB"/>
              </w:rPr>
            </m:ctrlPr>
          </m:e>
          <m:sub>
            <m:r>
              <w:rPr>
                <w:rFonts w:ascii="Cambria Math" w:eastAsiaTheme="minorEastAsia" w:hAnsi="Cambria Math"/>
                <w:lang w:val="en-GB"/>
              </w:rPr>
              <m:t>b</m:t>
            </m:r>
          </m:sub>
        </m:sSub>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C</m:t>
                </m:r>
              </m:sub>
            </m:sSub>
          </m:num>
          <m:den>
            <m:r>
              <w:rPr>
                <w:rFonts w:ascii="Cambria Math" w:hAnsi="Cambria Math"/>
                <w:lang w:val="en-GB"/>
              </w:rPr>
              <m:t>1+</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C</m:t>
                </m:r>
              </m:sub>
            </m:sSub>
          </m:den>
        </m:f>
      </m:oMath>
      <w:r w:rsidR="00797187" w:rsidRPr="00342777">
        <w:rPr>
          <w:lang w:val="en-GB"/>
        </w:rPr>
        <w:tab/>
      </w:r>
      <w:r w:rsidR="00797187" w:rsidRPr="00342777">
        <w:rPr>
          <w:lang w:val="en-GB"/>
        </w:rPr>
        <w:tab/>
      </w:r>
      <w:r w:rsidR="00797187" w:rsidRPr="00342777">
        <w:rPr>
          <w:lang w:val="en-GB"/>
        </w:rPr>
        <w:tab/>
      </w:r>
      <w:r>
        <w:rPr>
          <w:lang w:val="en-GB"/>
        </w:rPr>
        <w:tab/>
      </w:r>
      <w:r>
        <w:rPr>
          <w:lang w:val="en-GB"/>
        </w:rPr>
        <w:tab/>
      </w:r>
      <w:r>
        <w:rPr>
          <w:lang w:val="en-GB"/>
        </w:rPr>
        <w:tab/>
      </w:r>
      <w:r>
        <w:rPr>
          <w:lang w:val="en-GB"/>
        </w:rPr>
        <w:tab/>
      </w:r>
      <w:r>
        <w:rPr>
          <w:lang w:val="en-GB"/>
        </w:rPr>
        <w:tab/>
      </w:r>
      <w:r w:rsidR="00711B72" w:rsidRPr="00342777">
        <w:rPr>
          <w:lang w:val="en-GB"/>
        </w:rPr>
        <w:t>(7)</w:t>
      </w:r>
      <w:r w:rsidR="00711B72" w:rsidRPr="00342777">
        <w:rPr>
          <w:lang w:val="en-GB"/>
        </w:rPr>
        <w:tab/>
      </w:r>
    </w:p>
    <w:p w14:paraId="7D847AF3" w14:textId="0C4AC4C8" w:rsidR="00797187" w:rsidRPr="00342777" w:rsidRDefault="00711B72" w:rsidP="00797187">
      <w:pPr>
        <w:rPr>
          <w:lang w:val="en-GB"/>
        </w:rPr>
      </w:pPr>
      <w:r w:rsidRPr="008677C5">
        <w:rPr>
          <w:lang w:val="en-GB"/>
        </w:rPr>
        <w:t xml:space="preserve">where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i</m:t>
            </m:r>
          </m:sub>
        </m:sSub>
      </m:oMath>
      <w:r w:rsidRPr="008677C5">
        <w:rPr>
          <w:rFonts w:eastAsiaTheme="minorEastAsia"/>
          <w:lang w:val="en-GB"/>
        </w:rPr>
        <w:t xml:space="preserve"> </w:t>
      </w:r>
      <w:r w:rsidR="00037C42" w:rsidRPr="008677C5">
        <w:rPr>
          <w:rFonts w:eastAsiaTheme="minorEastAsia"/>
          <w:lang w:val="en-GB"/>
        </w:rPr>
        <w:t xml:space="preserve">and </w:t>
      </w:r>
      <m:oMath>
        <m:sSub>
          <m:sSubPr>
            <m:ctrlPr>
              <w:rPr>
                <w:rFonts w:ascii="Cambria Math" w:eastAsiaTheme="minorEastAsia" w:hAnsi="Cambria Math"/>
                <w:i/>
                <w:lang w:val="en-GB"/>
              </w:rPr>
            </m:ctrlPr>
          </m:sSubPr>
          <m:e>
            <m:r>
              <w:rPr>
                <w:rFonts w:ascii="Cambria Math" w:eastAsiaTheme="minorEastAsia" w:hAnsi="Cambria Math"/>
                <w:lang w:val="en-GB"/>
              </w:rPr>
              <m:t>μ</m:t>
            </m:r>
          </m:e>
          <m:sub>
            <m:r>
              <w:rPr>
                <w:rFonts w:ascii="Cambria Math" w:eastAsiaTheme="minorEastAsia" w:hAnsi="Cambria Math"/>
                <w:lang w:val="en-GB"/>
              </w:rPr>
              <m:t>i</m:t>
            </m:r>
          </m:sub>
        </m:sSub>
      </m:oMath>
      <w:r w:rsidR="00037C42" w:rsidRPr="008677C5">
        <w:rPr>
          <w:rFonts w:eastAsiaTheme="minorEastAsia"/>
          <w:lang w:val="en-GB"/>
        </w:rPr>
        <w:t xml:space="preserve"> respectively represent </w:t>
      </w:r>
      <w:r w:rsidRPr="008677C5">
        <w:rPr>
          <w:rFonts w:eastAsiaTheme="minorEastAsia"/>
          <w:lang w:val="en-GB"/>
        </w:rPr>
        <w:t xml:space="preserve">the molality </w:t>
      </w:r>
      <w:r w:rsidR="00037C42" w:rsidRPr="008677C5">
        <w:rPr>
          <w:rFonts w:eastAsiaTheme="minorEastAsia"/>
          <w:lang w:val="en-GB"/>
        </w:rPr>
        <w:t xml:space="preserve">and chemical potential </w:t>
      </w:r>
      <w:r w:rsidRPr="008677C5">
        <w:rPr>
          <w:rFonts w:eastAsiaTheme="minorEastAsia"/>
          <w:lang w:val="en-GB"/>
        </w:rPr>
        <w:t xml:space="preserve">of the species </w:t>
      </w:r>
      <m:oMath>
        <m:r>
          <w:rPr>
            <w:rFonts w:ascii="Cambria Math" w:eastAsiaTheme="minorEastAsia" w:hAnsi="Cambria Math"/>
            <w:lang w:val="en-GB"/>
          </w:rPr>
          <m:t>i</m:t>
        </m:r>
      </m:oMath>
      <w:r w:rsidR="00037C42" w:rsidRPr="008677C5">
        <w:rPr>
          <w:rFonts w:eastAsiaTheme="minorEastAsia"/>
          <w:lang w:val="en-GB"/>
        </w:rPr>
        <w:t>.</w:t>
      </w:r>
      <w:r w:rsidR="00342777" w:rsidRPr="008677C5">
        <w:rPr>
          <w:rFonts w:eastAsiaTheme="minorEastAsia"/>
          <w:lang w:val="en-GB"/>
        </w:rPr>
        <w:t xml:space="preserve"> </w:t>
      </w:r>
      <w:r w:rsidR="00797187" w:rsidRPr="008677C5">
        <w:rPr>
          <w:lang w:val="en-GB"/>
        </w:rPr>
        <w:t>The</w:t>
      </w:r>
      <w:r w:rsidR="00797187" w:rsidRPr="00342777">
        <w:rPr>
          <w:lang w:val="en-GB"/>
        </w:rPr>
        <w:t xml:space="preserve"> input of this model is the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C</m:t>
            </m:r>
          </m:sub>
        </m:sSub>
      </m:oMath>
      <w:r w:rsidR="00797187" w:rsidRPr="00342777">
        <w:rPr>
          <w:lang w:val="en-GB"/>
        </w:rPr>
        <w:t xml:space="preserve"> dependence of</w:t>
      </w:r>
      <w:r w:rsidR="00342777">
        <w:rPr>
          <w:lang w:val="en-GB"/>
        </w:rPr>
        <w:t xml:space="preserve"> </w:t>
      </w:r>
      <w:r w:rsidRPr="00342777">
        <w:rPr>
          <w:rFonts w:eastAsiaTheme="minorEastAsia"/>
          <w:lang w:val="en-GB"/>
        </w:rPr>
        <w:t xml:space="preserve"> </w:t>
      </w:r>
      <m:oMath>
        <m:r>
          <w:rPr>
            <w:rFonts w:ascii="Cambria Math" w:hAnsi="Cambria Math"/>
            <w:lang w:val="en-GB"/>
          </w:rPr>
          <m:t>ν</m:t>
        </m:r>
      </m:oMath>
      <w:r w:rsidR="00E66D3F">
        <w:rPr>
          <w:lang w:val="en-GB"/>
        </w:rPr>
        <w:t>. The output of the</w:t>
      </w:r>
      <w:r w:rsidR="00797187" w:rsidRPr="00342777">
        <w:rPr>
          <w:lang w:val="en-GB"/>
        </w:rPr>
        <w:t xml:space="preserve"> model are </w:t>
      </w:r>
      <m:oMath>
        <m:sSub>
          <m:sSubPr>
            <m:ctrlPr>
              <w:rPr>
                <w:rFonts w:ascii="Cambria Math" w:eastAsiaTheme="minorEastAsia" w:hAnsi="Cambria Math"/>
                <w:i/>
                <w:lang w:val="en-GB"/>
              </w:rPr>
            </m:ctrlPr>
          </m:sSubPr>
          <m:e>
            <m:r>
              <w:rPr>
                <w:rFonts w:ascii="Cambria Math" w:hAnsi="Cambria Math" w:cs="Cambria Math"/>
                <w:lang w:val="en-GB"/>
              </w:rPr>
              <m:t>N</m:t>
            </m:r>
            <m:ctrlPr>
              <w:rPr>
                <w:rFonts w:ascii="Cambria Math" w:hAnsi="Cambria Math" w:cs="Cambria Math"/>
                <w:i/>
                <w:lang w:val="en-GB"/>
              </w:rPr>
            </m:ctrlPr>
          </m:e>
          <m:sub>
            <m:r>
              <w:rPr>
                <w:rFonts w:ascii="Cambria Math" w:eastAsiaTheme="minorEastAsia" w:hAnsi="Cambria Math"/>
                <w:lang w:val="en-GB"/>
              </w:rPr>
              <m:t>b</m:t>
            </m:r>
          </m:sub>
        </m:sSub>
      </m:oMath>
      <w:r w:rsidR="00797187" w:rsidRPr="00342777">
        <w:rPr>
          <w:lang w:val="en-GB"/>
        </w:rPr>
        <w:t xml:space="preserve"> and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oMath>
      <w:r w:rsidR="00797187" w:rsidRPr="00342777">
        <w:rPr>
          <w:lang w:val="en-GB"/>
        </w:rPr>
        <w:t xml:space="preserve">, which </w:t>
      </w:r>
      <w:r w:rsidRPr="00342777">
        <w:rPr>
          <w:lang w:val="en-GB"/>
        </w:rPr>
        <w:t xml:space="preserve">are determined </w:t>
      </w:r>
      <w:r w:rsidR="00797187" w:rsidRPr="00342777">
        <w:rPr>
          <w:lang w:val="en-GB"/>
        </w:rPr>
        <w:t xml:space="preserve">by plotting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 xml:space="preserve">ν </m:t>
            </m:r>
          </m:den>
        </m:f>
      </m:oMath>
      <w:r w:rsidR="00797187" w:rsidRPr="00342777">
        <w:rPr>
          <w:lang w:val="en-GB"/>
        </w:rPr>
        <w:t xml:space="preserve"> against </w:t>
      </w:r>
      <m:oMath>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C</m:t>
                </m:r>
              </m:sub>
            </m:sSub>
          </m:den>
        </m:f>
      </m:oMath>
      <w:r w:rsidR="00797187" w:rsidRPr="00342777">
        <w:rPr>
          <w:lang w:val="en-GB"/>
        </w:rPr>
        <w:t xml:space="preserve">, because </w:t>
      </w:r>
      <w:r w:rsidR="00E66D3F">
        <w:rPr>
          <w:lang w:val="en-GB"/>
        </w:rPr>
        <w:t>we have</w:t>
      </w:r>
    </w:p>
    <w:p w14:paraId="5E6DC4B8" w14:textId="41E9FF0F" w:rsidR="00797187" w:rsidRPr="00342777" w:rsidRDefault="006B7D0C" w:rsidP="00797187">
      <w:pPr>
        <w:rPr>
          <w:lang w:val="en-GB"/>
        </w:rPr>
      </w:pP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ν</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sSub>
              <m:sSubPr>
                <m:ctrlPr>
                  <w:rPr>
                    <w:rFonts w:ascii="Cambria Math" w:eastAsiaTheme="minorEastAsia" w:hAnsi="Cambria Math"/>
                    <w:i/>
                    <w:lang w:val="en-GB"/>
                  </w:rPr>
                </m:ctrlPr>
              </m:sSubPr>
              <m:e>
                <m:r>
                  <w:rPr>
                    <w:rFonts w:ascii="Cambria Math" w:hAnsi="Cambria Math" w:cs="Cambria Math"/>
                    <w:lang w:val="en-GB"/>
                  </w:rPr>
                  <m:t>N</m:t>
                </m:r>
                <m:ctrlPr>
                  <w:rPr>
                    <w:rFonts w:ascii="Cambria Math" w:hAnsi="Cambria Math" w:cs="Cambria Math"/>
                    <w:i/>
                    <w:lang w:val="en-GB"/>
                  </w:rPr>
                </m:ctrlPr>
              </m:e>
              <m:sub>
                <m:r>
                  <w:rPr>
                    <w:rFonts w:ascii="Cambria Math" w:eastAsiaTheme="minorEastAsia" w:hAnsi="Cambria Math"/>
                    <w:lang w:val="en-GB"/>
                  </w:rPr>
                  <m:t>b</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sSub>
              <m:sSubPr>
                <m:ctrlPr>
                  <w:rPr>
                    <w:rFonts w:ascii="Cambria Math" w:eastAsiaTheme="minorEastAsia" w:hAnsi="Cambria Math"/>
                    <w:i/>
                    <w:lang w:val="en-GB"/>
                  </w:rPr>
                </m:ctrlPr>
              </m:sSubPr>
              <m:e>
                <m:r>
                  <w:rPr>
                    <w:rFonts w:ascii="Cambria Math" w:hAnsi="Cambria Math" w:cs="Cambria Math"/>
                    <w:lang w:val="en-GB"/>
                  </w:rPr>
                  <m:t>N</m:t>
                </m:r>
                <m:ctrlPr>
                  <w:rPr>
                    <w:rFonts w:ascii="Cambria Math" w:hAnsi="Cambria Math" w:cs="Cambria Math"/>
                    <w:i/>
                    <w:lang w:val="en-GB"/>
                  </w:rPr>
                </m:ctrlPr>
              </m:e>
              <m:sub>
                <m:r>
                  <w:rPr>
                    <w:rFonts w:ascii="Cambria Math" w:eastAsiaTheme="minorEastAsia" w:hAnsi="Cambria Math"/>
                    <w:lang w:val="en-GB"/>
                  </w:rPr>
                  <m:t>b</m:t>
                </m:r>
              </m:sub>
            </m:sSub>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den>
        </m:f>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C</m:t>
                </m:r>
              </m:sub>
            </m:sSub>
          </m:den>
        </m:f>
      </m:oMath>
      <w:r w:rsidR="00797187" w:rsidRPr="00342777">
        <w:rPr>
          <w:lang w:val="en-GB"/>
        </w:rPr>
        <w:tab/>
      </w:r>
      <w:r w:rsidR="00711B72" w:rsidRPr="00342777">
        <w:rPr>
          <w:lang w:val="en-GB"/>
        </w:rPr>
        <w:tab/>
      </w:r>
      <w:r w:rsidR="00711B72" w:rsidRPr="00342777">
        <w:rPr>
          <w:lang w:val="en-GB"/>
        </w:rPr>
        <w:tab/>
      </w:r>
      <w:r w:rsidR="00711B72" w:rsidRPr="00342777">
        <w:rPr>
          <w:lang w:val="en-GB"/>
        </w:rPr>
        <w:tab/>
      </w:r>
      <w:r w:rsidR="00711B72" w:rsidRPr="00342777">
        <w:rPr>
          <w:lang w:val="en-GB"/>
        </w:rPr>
        <w:tab/>
      </w:r>
      <w:r w:rsidR="00711B72" w:rsidRPr="00342777">
        <w:rPr>
          <w:lang w:val="en-GB"/>
        </w:rPr>
        <w:tab/>
      </w:r>
      <w:r w:rsidR="00711B72" w:rsidRPr="00342777">
        <w:rPr>
          <w:lang w:val="en-GB"/>
        </w:rPr>
        <w:tab/>
      </w:r>
      <w:r w:rsidR="00711B72" w:rsidRPr="00342777">
        <w:rPr>
          <w:lang w:val="en-GB"/>
        </w:rPr>
        <w:tab/>
      </w:r>
      <w:r w:rsidR="00711B72" w:rsidRPr="00342777">
        <w:rPr>
          <w:lang w:val="en-GB"/>
        </w:rPr>
        <w:tab/>
      </w:r>
      <w:r w:rsidR="00711B72" w:rsidRPr="00342777">
        <w:rPr>
          <w:lang w:val="en-GB"/>
        </w:rPr>
        <w:tab/>
        <w:t>(8)</w:t>
      </w:r>
    </w:p>
    <w:p w14:paraId="3420BE35" w14:textId="33413731" w:rsidR="00711B72" w:rsidRPr="00342777" w:rsidRDefault="00711B72" w:rsidP="00797187">
      <w:pPr>
        <w:rPr>
          <w:lang w:val="en-GB"/>
        </w:rPr>
      </w:pPr>
      <w:r w:rsidRPr="00342777">
        <w:rPr>
          <w:lang w:val="en-GB"/>
        </w:rPr>
        <w:t xml:space="preserve">in which the </w:t>
      </w:r>
      <w:r w:rsidR="00797187" w:rsidRPr="00342777">
        <w:rPr>
          <w:lang w:val="en-GB"/>
        </w:rPr>
        <w:t xml:space="preserve">gradient </w:t>
      </w:r>
      <m:oMath>
        <m:f>
          <m:fPr>
            <m:ctrlPr>
              <w:rPr>
                <w:rFonts w:ascii="Cambria Math" w:hAnsi="Cambria Math"/>
                <w:i/>
                <w:lang w:val="en-GB"/>
              </w:rPr>
            </m:ctrlPr>
          </m:fPr>
          <m:num>
            <m:r>
              <w:rPr>
                <w:rFonts w:ascii="Cambria Math" w:hAnsi="Cambria Math"/>
                <w:lang w:val="en-GB"/>
              </w:rPr>
              <m:t>1</m:t>
            </m:r>
          </m:num>
          <m:den>
            <m:sSub>
              <m:sSubPr>
                <m:ctrlPr>
                  <w:rPr>
                    <w:rFonts w:ascii="Cambria Math" w:eastAsiaTheme="minorEastAsia" w:hAnsi="Cambria Math"/>
                    <w:i/>
                    <w:lang w:val="en-GB"/>
                  </w:rPr>
                </m:ctrlPr>
              </m:sSubPr>
              <m:e>
                <m:r>
                  <w:rPr>
                    <w:rFonts w:ascii="Cambria Math" w:hAnsi="Cambria Math" w:cs="Cambria Math"/>
                    <w:lang w:val="en-GB"/>
                  </w:rPr>
                  <m:t>N</m:t>
                </m:r>
                <m:ctrlPr>
                  <w:rPr>
                    <w:rFonts w:ascii="Cambria Math" w:hAnsi="Cambria Math" w:cs="Cambria Math"/>
                    <w:i/>
                    <w:lang w:val="en-GB"/>
                  </w:rPr>
                </m:ctrlPr>
              </m:e>
              <m:sub>
                <m:r>
                  <w:rPr>
                    <w:rFonts w:ascii="Cambria Math" w:eastAsiaTheme="minorEastAsia" w:hAnsi="Cambria Math"/>
                    <w:lang w:val="en-GB"/>
                  </w:rPr>
                  <m:t>b</m:t>
                </m:r>
              </m:sub>
            </m:sSub>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den>
        </m:f>
      </m:oMath>
      <w:r w:rsidR="00797187" w:rsidRPr="00342777">
        <w:rPr>
          <w:lang w:val="en-GB"/>
        </w:rPr>
        <w:t xml:space="preserve"> and the intercept </w:t>
      </w:r>
      <m:oMath>
        <m:f>
          <m:fPr>
            <m:ctrlPr>
              <w:rPr>
                <w:rFonts w:ascii="Cambria Math" w:hAnsi="Cambria Math"/>
                <w:i/>
                <w:lang w:val="en-GB"/>
              </w:rPr>
            </m:ctrlPr>
          </m:fPr>
          <m:num>
            <m:r>
              <w:rPr>
                <w:rFonts w:ascii="Cambria Math" w:hAnsi="Cambria Math"/>
                <w:lang w:val="en-GB"/>
              </w:rPr>
              <m:t>1</m:t>
            </m:r>
          </m:num>
          <m:den>
            <m:sSub>
              <m:sSubPr>
                <m:ctrlPr>
                  <w:rPr>
                    <w:rFonts w:ascii="Cambria Math" w:eastAsiaTheme="minorEastAsia" w:hAnsi="Cambria Math"/>
                    <w:i/>
                    <w:lang w:val="en-GB"/>
                  </w:rPr>
                </m:ctrlPr>
              </m:sSubPr>
              <m:e>
                <m:r>
                  <w:rPr>
                    <w:rFonts w:ascii="Cambria Math" w:hAnsi="Cambria Math" w:cs="Cambria Math"/>
                    <w:lang w:val="en-GB"/>
                  </w:rPr>
                  <m:t>N</m:t>
                </m:r>
                <m:ctrlPr>
                  <w:rPr>
                    <w:rFonts w:ascii="Cambria Math" w:hAnsi="Cambria Math" w:cs="Cambria Math"/>
                    <w:i/>
                    <w:lang w:val="en-GB"/>
                  </w:rPr>
                </m:ctrlPr>
              </m:e>
              <m:sub>
                <m:r>
                  <w:rPr>
                    <w:rFonts w:ascii="Cambria Math" w:eastAsiaTheme="minorEastAsia" w:hAnsi="Cambria Math"/>
                    <w:lang w:val="en-GB"/>
                  </w:rPr>
                  <m:t>b</m:t>
                </m:r>
              </m:sub>
            </m:sSub>
          </m:den>
        </m:f>
      </m:oMath>
      <w:r w:rsidR="00E66D3F">
        <w:rPr>
          <w:lang w:val="en-GB"/>
        </w:rPr>
        <w:t xml:space="preserve"> provide</w:t>
      </w:r>
      <w:r w:rsidR="00797187" w:rsidRPr="00342777">
        <w:rPr>
          <w:lang w:val="en-GB"/>
        </w:rPr>
        <w:t xml:space="preserve"> </w:t>
      </w:r>
      <w:r w:rsidR="00E66D3F">
        <w:rPr>
          <w:lang w:val="en-GB"/>
        </w:rPr>
        <w:t>the two independent quantities</w:t>
      </w:r>
      <w:r w:rsidR="00797187" w:rsidRPr="00342777">
        <w:rPr>
          <w:lang w:val="en-GB"/>
        </w:rPr>
        <w:t xml:space="preserve"> required for the determination of </w:t>
      </w:r>
      <m:oMath>
        <m:sSub>
          <m:sSubPr>
            <m:ctrlPr>
              <w:rPr>
                <w:rFonts w:ascii="Cambria Math" w:eastAsiaTheme="minorEastAsia" w:hAnsi="Cambria Math"/>
                <w:i/>
                <w:lang w:val="en-GB"/>
              </w:rPr>
            </m:ctrlPr>
          </m:sSubPr>
          <m:e>
            <m:r>
              <w:rPr>
                <w:rFonts w:ascii="Cambria Math" w:hAnsi="Cambria Math" w:cs="Cambria Math"/>
                <w:lang w:val="en-GB"/>
              </w:rPr>
              <m:t>N</m:t>
            </m:r>
            <m:ctrlPr>
              <w:rPr>
                <w:rFonts w:ascii="Cambria Math" w:hAnsi="Cambria Math" w:cs="Cambria Math"/>
                <w:i/>
                <w:lang w:val="en-GB"/>
              </w:rPr>
            </m:ctrlPr>
          </m:e>
          <m:sub>
            <m:r>
              <w:rPr>
                <w:rFonts w:ascii="Cambria Math" w:eastAsiaTheme="minorEastAsia" w:hAnsi="Cambria Math"/>
                <w:lang w:val="en-GB"/>
              </w:rPr>
              <m:t>b</m:t>
            </m:r>
          </m:sub>
        </m:sSub>
      </m:oMath>
      <w:r w:rsidR="00797187" w:rsidRPr="00342777">
        <w:rPr>
          <w:lang w:val="en-GB"/>
        </w:rPr>
        <w:t xml:space="preserve"> and </w:t>
      </w:r>
      <m:oMath>
        <m:sSub>
          <m:sSubPr>
            <m:ctrlPr>
              <w:rPr>
                <w:rFonts w:ascii="Cambria Math" w:eastAsiaTheme="minorEastAsia" w:hAnsi="Cambria Math"/>
                <w:i/>
                <w:lang w:val="en-GB"/>
              </w:rPr>
            </m:ctrlPr>
          </m:sSubPr>
          <m:e>
            <m:r>
              <w:rPr>
                <w:rFonts w:ascii="Cambria Math" w:hAnsi="Cambria Math"/>
                <w:lang w:val="en-GB"/>
              </w:rPr>
              <m:t>K</m:t>
            </m:r>
            <m:ctrlPr>
              <w:rPr>
                <w:rFonts w:ascii="Cambria Math" w:hAnsi="Cambria Math"/>
                <w:i/>
                <w:lang w:val="en-GB"/>
              </w:rPr>
            </m:ctrlPr>
          </m:e>
          <m:sub>
            <m:r>
              <w:rPr>
                <w:rFonts w:ascii="Cambria Math" w:eastAsiaTheme="minorEastAsia" w:hAnsi="Cambria Math"/>
                <w:lang w:val="en-GB"/>
              </w:rPr>
              <m:t>b</m:t>
            </m:r>
          </m:sub>
        </m:sSub>
      </m:oMath>
      <w:r w:rsidR="00797187" w:rsidRPr="00342777">
        <w:rPr>
          <w:lang w:val="en-GB"/>
        </w:rPr>
        <w:t>.</w:t>
      </w:r>
      <w:r w:rsidR="00D57C7A" w:rsidRPr="00342777">
        <w:rPr>
          <w:lang w:val="en-GB"/>
        </w:rPr>
        <w:fldChar w:fldCharType="begin" w:fldLock="1"/>
      </w:r>
      <w:r w:rsidR="007B58C9">
        <w:rPr>
          <w:lang w:val="en-GB"/>
        </w:rPr>
        <w:instrText>ADDIN CSL_CITATION { "citationItems" : [ { "id" : "ITEM-1", "itemData" : { "ISBN" : "0471176265", "abstract" : "\"A Wiley-Interscience publication.\" 1. Number of Liganded Molecules -- 2. Affinities: From a Site Perspective -- 3. Affinities: From a Stoichiometric Perspective -- 4. Affinities: From a Ghost-Site Perspective -- 5. Facts and Fantasies from Graphical Analyses -- 6. Numerical Evaluations of Stoichiometric Binding Constants -- 7. Affinity Profiles -- 8. Thermodynamic Perspectives -- 9. Forces of Interaction -- 10. Molecular Scenarios -- App. A1. Experimental Procedures in Equilibrium Dialysis -- App. A2. Properties of Graphical Representations of Multiple Classes of Independent Binding Sites -- App. A3. Relationships Between Stoichiometric Binding Constants and Site-Binding Constants -- App. A4. Relationships Between Stoichiometric Binding Constants and Ghost-Site Binding Constants.", "author" : [ { "dropping-particle" : "", "family" : "Klotz", "given" : "Irving M.", "non-dropping-particle" : "", "parse-names" : false, "suffix" : "" } ], "id" : "ITEM-1", "issued" : { "date-parts" : [ [ "1997" ] ] }, "number-of-pages" : "170", "publisher" : "Wiley", "publisher-place" : "New York", "title" : "Ligand-receptor energetics : a guide for the perplexed", "type" : "book" }, "uris" : [ "http://www.mendeley.com/documents/?uuid=dd952269-684f-3ac3-8305-432524b1ebd4" ] } ], "mendeley" : { "formattedCitation" : "&lt;sup&gt;[61]&lt;/sup&gt;", "plainTextFormattedCitation" : "[61]", "previouslyFormattedCitation" : "&lt;sup&gt;[66]&lt;/sup&gt;" }, "properties" : { "noteIndex" : 0 }, "schema" : "https://github.com/citation-style-language/schema/raw/master/csl-citation.json" }</w:instrText>
      </w:r>
      <w:r w:rsidR="00D57C7A" w:rsidRPr="00342777">
        <w:rPr>
          <w:lang w:val="en-GB"/>
        </w:rPr>
        <w:fldChar w:fldCharType="separate"/>
      </w:r>
      <w:r w:rsidR="007B58C9" w:rsidRPr="007B58C9">
        <w:rPr>
          <w:noProof/>
          <w:vertAlign w:val="superscript"/>
          <w:lang w:val="en-GB"/>
        </w:rPr>
        <w:t>[61]</w:t>
      </w:r>
      <w:r w:rsidR="00D57C7A" w:rsidRPr="00342777">
        <w:rPr>
          <w:lang w:val="en-GB"/>
        </w:rPr>
        <w:fldChar w:fldCharType="end"/>
      </w:r>
      <w:r w:rsidR="00797187" w:rsidRPr="00342777">
        <w:rPr>
          <w:lang w:val="en-GB"/>
        </w:rPr>
        <w:t xml:space="preserve"> </w:t>
      </w:r>
      <w:r w:rsidRPr="00342777">
        <w:rPr>
          <w:lang w:val="en-GB"/>
        </w:rPr>
        <w:t xml:space="preserve">For strongly excluded osmolytes, </w:t>
      </w:r>
      <m:oMath>
        <m:sSub>
          <m:sSubPr>
            <m:ctrlPr>
              <w:rPr>
                <w:rFonts w:ascii="Cambria Math" w:eastAsiaTheme="minorEastAsia" w:hAnsi="Cambria Math"/>
                <w:i/>
                <w:lang w:val="en-GB"/>
              </w:rPr>
            </m:ctrlPr>
          </m:sSubPr>
          <m:e>
            <m:r>
              <w:rPr>
                <w:rFonts w:ascii="Cambria Math" w:hAnsi="Cambria Math"/>
                <w:lang w:val="en-GB"/>
              </w:rPr>
              <m:t>K</m:t>
            </m:r>
            <m:ctrlPr>
              <w:rPr>
                <w:rFonts w:ascii="Cambria Math" w:hAnsi="Cambria Math"/>
                <w:i/>
                <w:lang w:val="en-GB"/>
              </w:rPr>
            </m:ctrlPr>
          </m:e>
          <m:sub>
            <m:r>
              <w:rPr>
                <w:rFonts w:ascii="Cambria Math" w:eastAsiaTheme="minorEastAsia" w:hAnsi="Cambria Math"/>
                <w:lang w:val="en-GB"/>
              </w:rPr>
              <m:t>b</m:t>
            </m:r>
          </m:sub>
        </m:sSub>
      </m:oMath>
      <w:r w:rsidR="00797187" w:rsidRPr="00342777">
        <w:rPr>
          <w:lang w:val="en-GB"/>
        </w:rPr>
        <w:t xml:space="preserve"> must become negative to account for the cosolvent-induced destabilization (</w:t>
      </w:r>
      <m:oMath>
        <m:r>
          <w:rPr>
            <w:rFonts w:ascii="Cambria Math" w:hAnsi="Cambria Math"/>
            <w:lang w:val="en-GB"/>
          </w:rPr>
          <m:t>ν&lt;0</m:t>
        </m:r>
      </m:oMath>
      <w:r w:rsidR="00E66D3F">
        <w:rPr>
          <w:lang w:val="en-GB"/>
        </w:rPr>
        <w:t>). Clearly, t</w:t>
      </w:r>
      <w:r w:rsidR="00797187" w:rsidRPr="00342777">
        <w:rPr>
          <w:lang w:val="en-GB"/>
        </w:rPr>
        <w:t xml:space="preserve">his contradicts the definition of the binding constant. </w:t>
      </w:r>
      <w:r w:rsidR="00CA587B" w:rsidRPr="00342777">
        <w:rPr>
          <w:lang w:val="en-GB"/>
        </w:rPr>
        <w:t xml:space="preserve">Moreover, since this model only considers the binding of cosolvents, protein hydration </w:t>
      </w:r>
      <w:r w:rsidR="00E66D3F">
        <w:rPr>
          <w:lang w:val="en-GB"/>
        </w:rPr>
        <w:t>effects are not includ</w:t>
      </w:r>
      <w:r w:rsidR="00CA587B" w:rsidRPr="00342777">
        <w:rPr>
          <w:lang w:val="en-GB"/>
        </w:rPr>
        <w:t>ed.</w:t>
      </w:r>
      <w:r w:rsidR="00E66D3F">
        <w:rPr>
          <w:lang w:val="en-GB"/>
        </w:rPr>
        <w:t xml:space="preserve"> </w:t>
      </w:r>
      <w:r w:rsidR="00E66D3F" w:rsidRPr="00AE0793">
        <w:rPr>
          <w:lang w:val="en-GB"/>
        </w:rPr>
        <w:t>Finally, it is difficult to incorporate the effects of pressure into the binding model.</w:t>
      </w:r>
      <w:r w:rsidR="00E66D3F">
        <w:rPr>
          <w:lang w:val="en-GB"/>
        </w:rPr>
        <w:t xml:space="preserve"> </w:t>
      </w:r>
      <w:r w:rsidR="00CA587B" w:rsidRPr="00342777">
        <w:rPr>
          <w:lang w:val="en-GB"/>
        </w:rPr>
        <w:t xml:space="preserve"> </w:t>
      </w:r>
    </w:p>
    <w:p w14:paraId="100986E9" w14:textId="1D9EA629" w:rsidR="00662232" w:rsidRPr="00342777" w:rsidRDefault="00797187" w:rsidP="008677C5">
      <w:pPr>
        <w:ind w:firstLine="720"/>
        <w:rPr>
          <w:lang w:val="en-GB"/>
        </w:rPr>
      </w:pPr>
      <w:r w:rsidRPr="00342777">
        <w:rPr>
          <w:b/>
          <w:lang w:val="en-GB"/>
        </w:rPr>
        <w:t>Solvent exchange model</w:t>
      </w:r>
      <w:r w:rsidR="00711B72" w:rsidRPr="00342777">
        <w:rPr>
          <w:lang w:val="en-GB"/>
        </w:rPr>
        <w:t xml:space="preserve"> </w:t>
      </w:r>
      <w:r w:rsidRPr="00342777">
        <w:rPr>
          <w:lang w:val="en-GB"/>
        </w:rPr>
        <w:t>was introduced to resolve the paradox of the negative</w:t>
      </w:r>
      <w:r w:rsidR="00E66D3F">
        <w:rPr>
          <w:lang w:val="en-GB"/>
        </w:rPr>
        <w:t xml:space="preserve"> binding constant by allowing for an</w:t>
      </w:r>
      <w:r w:rsidRPr="00342777">
        <w:rPr>
          <w:lang w:val="en-GB"/>
        </w:rPr>
        <w:t xml:space="preserve"> exchange equilibriu</w:t>
      </w:r>
      <w:r w:rsidR="00E66D3F">
        <w:rPr>
          <w:lang w:val="en-GB"/>
        </w:rPr>
        <w:t>m between water and cosolvent at the</w:t>
      </w:r>
      <w:r w:rsidRPr="00342777">
        <w:rPr>
          <w:lang w:val="en-GB"/>
        </w:rPr>
        <w:t xml:space="preserve"> binding sites</w:t>
      </w:r>
      <w:r w:rsidR="00E66D3F">
        <w:rPr>
          <w:lang w:val="en-GB"/>
        </w:rPr>
        <w:t>. This exchange can be characterized by an equilibrium constant,</w:t>
      </w:r>
      <w:r w:rsidR="00AD2B69" w:rsidRPr="00342777">
        <w:rPr>
          <w:lang w:val="en-GB"/>
        </w:rPr>
        <w:t xml:space="preserv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e</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C</m:t>
                </m:r>
              </m:sub>
            </m:sSub>
          </m:num>
          <m:den>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W</m:t>
                </m:r>
              </m:sub>
            </m:sSub>
          </m:den>
        </m:f>
      </m:oMath>
      <w:r w:rsidR="00AD2B69" w:rsidRPr="00342777">
        <w:rPr>
          <w:lang w:val="en-GB"/>
        </w:rPr>
        <w:t xml:space="preserve">, </w:t>
      </w:r>
      <w:r w:rsidRPr="00342777">
        <w:rPr>
          <w:lang w:val="en-GB"/>
        </w:rPr>
        <w:t xml:space="preserve">where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W</m:t>
            </m:r>
          </m:sub>
        </m:sSub>
      </m:oMath>
      <w:r w:rsidRPr="00342777">
        <w:rPr>
          <w:lang w:val="en-GB"/>
        </w:rPr>
        <w:t xml:space="preserve"> and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C</m:t>
            </m:r>
          </m:sub>
        </m:sSub>
      </m:oMath>
      <w:r w:rsidR="00E66D3F">
        <w:rPr>
          <w:lang w:val="en-GB"/>
        </w:rPr>
        <w:t xml:space="preserve"> are</w:t>
      </w:r>
      <w:r w:rsidRPr="00342777">
        <w:rPr>
          <w:lang w:val="en-GB"/>
        </w:rPr>
        <w:t xml:space="preserve"> the </w:t>
      </w:r>
      <w:r w:rsidR="00AD2B69" w:rsidRPr="00342777">
        <w:rPr>
          <w:lang w:val="en-GB"/>
        </w:rPr>
        <w:t xml:space="preserve">mean </w:t>
      </w:r>
      <w:r w:rsidRPr="00342777">
        <w:rPr>
          <w:lang w:val="en-GB"/>
        </w:rPr>
        <w:t>binding constants of water and c</w:t>
      </w:r>
      <w:r w:rsidR="00E66D3F">
        <w:rPr>
          <w:lang w:val="en-GB"/>
        </w:rPr>
        <w:t>osolvent at the</w:t>
      </w:r>
      <w:r w:rsidRPr="00342777">
        <w:rPr>
          <w:lang w:val="en-GB"/>
        </w:rPr>
        <w:t xml:space="preserve"> binding sit</w:t>
      </w:r>
      <w:r w:rsidR="00AD2B69" w:rsidRPr="00342777">
        <w:rPr>
          <w:lang w:val="en-GB"/>
        </w:rPr>
        <w:t>es</w:t>
      </w:r>
      <w:r w:rsidR="00E66D3F">
        <w:rPr>
          <w:lang w:val="en-GB"/>
        </w:rPr>
        <w:t>, respectively</w:t>
      </w:r>
      <w:r w:rsidR="00AD2B69" w:rsidRPr="00342777">
        <w:rPr>
          <w:lang w:val="en-GB"/>
        </w:rPr>
        <w:t>.</w:t>
      </w:r>
      <w:r w:rsidR="00D57C7A" w:rsidRPr="00342777">
        <w:rPr>
          <w:lang w:val="en-GB"/>
        </w:rPr>
        <w:fldChar w:fldCharType="begin" w:fldLock="1"/>
      </w:r>
      <w:r w:rsidR="007B58C9">
        <w:rPr>
          <w:lang w:val="en-GB"/>
        </w:rPr>
        <w:instrText>ADDIN CSL_CITATION { "citationItems" : [ { "id" : "ITEM-1", "itemData" : { "DOI" : "10.1002/bip.360260408", "ISBN" : "0006-3525", "ISSN" : "10970282", "PMID" : "3567326", "abstract" : "A primitive model for solvent denaturation is that the denaturant binds independently to sites exposed by the unfolding of the protein. For reagents like urea and guanidinium salts, this binding must be very weak since denaturation occurs only at very high concentrations. Standard formulas for very weak binding lead to thermodynamic inconsistencies. In this paper, binding by denaturants is treated as selective solvation. This introduces a factor of K 1 into the binding isotherm and binding free energy, where K is the equilibrium constant for selective interaction with the sites. This leads to a thermodynamically consistent description of the binding and the denaturation since, when K = 1, there is no selective interaction and no effect on denaturation, even in concentrated solutions where site occupancy is inevitable.", "author" : [ { "dropping-particle" : "", "family" : "Schellman", "given" : "John A.", "non-dropping-particle" : "", "parse-names" : false, "suffix" : "" } ], "container-title" : "Biopolymers", "id" : "ITEM-1", "issue" : "4", "issued" : { "date-parts" : [ [ "1987" ] ] }, "page" : "549-559", "title" : "Selective binding and solvent denaturation", "type" : "article-journal", "volume" : "26" }, "uris" : [ "http://www.mendeley.com/documents/?uuid=3ff0bebd-c006-4655-9fac-c69d9656b2ba" ] } ], "mendeley" : { "formattedCitation" : "&lt;sup&gt;[60]&lt;/sup&gt;", "plainTextFormattedCitation" : "[60]", "previouslyFormattedCitation" : "&lt;sup&gt;[65]&lt;/sup&gt;" }, "properties" : { "noteIndex" : 0 }, "schema" : "https://github.com/citation-style-language/schema/raw/master/csl-citation.json" }</w:instrText>
      </w:r>
      <w:r w:rsidR="00D57C7A" w:rsidRPr="00342777">
        <w:rPr>
          <w:lang w:val="en-GB"/>
        </w:rPr>
        <w:fldChar w:fldCharType="separate"/>
      </w:r>
      <w:r w:rsidR="007B58C9" w:rsidRPr="007B58C9">
        <w:rPr>
          <w:noProof/>
          <w:vertAlign w:val="superscript"/>
          <w:lang w:val="en-GB"/>
        </w:rPr>
        <w:t>[60]</w:t>
      </w:r>
      <w:r w:rsidR="00D57C7A" w:rsidRPr="00342777">
        <w:rPr>
          <w:lang w:val="en-GB"/>
        </w:rPr>
        <w:fldChar w:fldCharType="end"/>
      </w:r>
      <w:r w:rsidR="00AD2B69" w:rsidRPr="00342777">
        <w:rPr>
          <w:lang w:val="en-GB"/>
        </w:rPr>
        <w:t xml:space="preserve"> </w:t>
      </w:r>
      <w:r w:rsidR="00E837C0">
        <w:rPr>
          <w:lang w:val="en-GB"/>
        </w:rPr>
        <w:t>Even though this model successfully resolved the paradox of negative binding constant</w:t>
      </w:r>
      <w:r w:rsidR="007E1683">
        <w:rPr>
          <w:lang w:val="en-GB"/>
        </w:rPr>
        <w:t xml:space="preserve"> through solvent exchange, this model completely ignores the major contribution from the </w:t>
      </w:r>
      <w:r w:rsidR="007B58C9">
        <w:rPr>
          <w:lang w:val="en-GB"/>
        </w:rPr>
        <w:t>excluded volume effect, which should be incorporated into analysis in an ad-hoc manner.</w:t>
      </w:r>
      <w:r w:rsidR="007E1683">
        <w:rPr>
          <w:lang w:val="en-GB"/>
        </w:rPr>
        <w:fldChar w:fldCharType="begin" w:fldLock="1"/>
      </w:r>
      <w:r w:rsidR="007B58C9">
        <w:rPr>
          <w:lang w:val="en-GB"/>
        </w:rPr>
        <w:instrText>ADDIN CSL_CITATION { "citationItems" : [ { "id" : "ITEM-1", "itemData" : { "DOI" : "10.1021/ja982560s", "ISSN" : "00027863", "author" : [ { "dropping-particle" : "", "family" : "Shimizu", "given" : "Seishi", "non-dropping-particle" : "", "parse-names" : false, "suffix" : "" }, { "dropping-particle" : "", "family" : "Shimizu", "given" : "Kentaro", "non-dropping-particle" : "", "parse-names" : false, "suffix" : "" } ], "container-title" : "Journal of the American Chemical Society", "id" : "ITEM-1", "issue" : "11", "issued" : { "date-parts" : [ [ "1999" ] ] }, "page" : "2387-2394", "title" : "Alcohol denaturation: Thermodynamic theory of peptide unit solvation", "type" : "article-journal", "volume" : "121" }, "uris" : [ "http://www.mendeley.com/documents/?uuid=44d2f067-b135-4dc1-8260-7d45471bde2e" ] }, { "id" : "ITEM-2", "itemData" : { "DOI" : "10.1063/1.477940", "ISSN" : "00219606", "abstract" : "The main purpose of this paper is to present a theoretical scheme which describes the solvation and transfer free energies of small molecules and relate them to solvent contributions in the biomolecular processes. Several proposals, based originally on Flory\u2013Huggins theory, have been made recently that there is a non-negligible solute\u2019s volume-proportional term in solvation free energy and the term should be subtracted to obtain solute/solvent contact free energy for biochemical applications. These proposals have resulted in the revision of the magnitude of the hydrophobic effect in biomolecules. The validity has been controversial, since the existence, physical origin, and magnitude of the volume-proportional term have been model dependent. In this paper, we cleared up this problem by using an accurate fused-hard sphere model and a perturbation scheme in which the compensation between the repulsive and attractive interactions has been clarified. The solvation free energy is shown to be dependent on the solute\u2019s surface area and curvature: the volume-proportional term is shown to be negligibly small. This disproves the basic assumption of the previous theories whose purpose is to \u2018\u2018correct\u2019\u2019 the magnitude of the solvation free energy by subtracting volume-proportional terms. The relationship of our theory to previous theories is also discussed.", "author" : [ { "dropping-particle" : "", "family" : "Shimizu", "given" : "Seishi", "non-dropping-particle" : "", "parse-names" : false, "suffix" : "" }, { "dropping-particle" : "", "family" : "Ikeguchi", "given" : "Mitsunori", "non-dropping-particle" : "", "parse-names" : false, "suffix" : "" }, { "dropping-particle" : "", "family" : "Nakamura", "given" : "Shugo", "non-dropping-particle" : "", "parse-names" : false, "suffix" : "" }, { "dropping-particle" : "", "family" : "Shimizu", "given" : "Kentaro", "non-dropping-particle" : "", "parse-names" : false, "suffix" : "" } ], "container-title" : "The Journal of Chemical Physics", "id" : "ITEM-2", "issue" : "6", "issued" : { "date-parts" : [ [ "1999" ] ] }, "page" : "2971-2982", "title" : "Size dependence of transfer free energies: A hard-sphere-chain- based formalism", "type" : "article-journal", "volume" : "110" }, "uris" : [ "http://www.mendeley.com/documents/?uuid=b16065bc-39b9-3be8-bb83-795233c491dd" ] }, { "id" : "ITEM-3", "itemData" : { "DOI" : "10.1016/S0006-3495(03)74459-2", "ISSN" : "00063495", "abstract" : "Changes in excluded volume and contact interaction with the surface of a protein have been suggested as mechanisms for the changes in stability induced by cosolvents. The aim of the present paper is to present an analysis that combines both effects in a quantitative manner. The result is that both processes are present in both stabilizing and destabilizing interactions and neither can be ignored. Excluded volume was estimated using accessible surface area calculations of the kind introduced by Lee and Richards. The change in excluded volume on unfolding, \u0394X, is quite large. For example, \u0394X for ribonuclease is 6.7L in urea and \u223c16L in sucrose. The latter number is greater than the molar volume of the protein. Direct interaction with the protein is represented as the solvent exchange mechanism, which differs from ordinary association theory because of the weakness of the interaction and the high concentrations of cosolvents. The balance between the two effects and their contribution to overall stability are most simply presented as bar diagrams as in Fig. 3. Our finding for five proteins is that excluded volume contributes to the stabilization of the native structure and that contact interaction contributes to destabilization. This is true for five proteins and four cosolvents including both denaturants and osmolytes. Whether a substance stabilizes a protein or destabilizes it depends on the relative size of these two contributions. The constant for the cosolvent contact with the protein is remarkably uniform for four of the proteins, indicating a similarity of groups exposed during unfolding. One protein, staphylococcus nuclease, is anomalous in almost all respects. In general, the strength of the interaction with guanidinium is about twice that of urea, which is about twice that of trimethylamine-N-oxide and sucrose. Arguments are presented for the use of volume fractions in equilibrium equations and the ignoring of activity coefficients of the cosolvent. It is shown in the Appendix that both the excluded volume and the direct interaction can be extracted in a unified way from the McMillan-Mayer formula for the second virial coefficient.", "author" : [ { "dropping-particle" : "", "family" : "Schellman", "given" : "John A.", "non-dropping-particle" : "", "parse-names" : false, "suffix" : "" } ], "container-title" : "Biophysical Journal", "id" : "ITEM-3", "issue" : "1", "issued" : { "date-parts" : [ [ "2003" ] ] }, "page" : "108-125", "title" : "Protein Stability in Mixed Solvents: A Balance of Contact Interaction and Excluded Volume", "type" : "article-journal", "volume" : "85" }, "uris" : [ "http://www.mendeley.com/documents/?uuid=5f135240-c045-3dd0-bd37-c094a0eb013b" ] }, { "id" : "ITEM-4", "itemData" : { "DOI" : "10.1016/S0301-4622(02)00009-1", "ISSN" : "03014622", "abstract" : "The author has worked in the area of solvent denaturation and stabilization, off and on, for approximately 50 years. This paper is a personal view of the progress which has been made since 1950. The topic is limited to the development of thermodynamic molecular models for the interpretation of the unfolding and stabilization of protein structures. The story starts with the work in Kauzmann's laboratory shortly after World War II and proceeds through models for multisite binding, the linear denaturation curve, the special considerations required for understanding weak solvent exchange and a new model for the balance of solvent contact interactions and excluded volume.", "author" : [ { "dropping-particle" : "", "family" : "Schellman", "given" : "John A.", "non-dropping-particle" : "", "parse-names" : false, "suffix" : "" } ], "container-title" : "Biophysical Chemistry", "id" : "ITEM-4", "issue" : "2", "issued" : { "date-parts" : [ [ "2002" ] ] }, "page" : "91-101", "title" : "Fifty years of solvent denaturation", "type" : "article-journal", "volume" : "96" }, "uris" : [ "http://www.mendeley.com/documents/?uuid=6e2aa1b3-b4e0-3786-86b3-4d822b0cd917" ] } ], "mendeley" : { "formattedCitation" : "&lt;sup&gt;[67\u201370]&lt;/sup&gt;", "plainTextFormattedCitation" : "[67\u201370]", "previouslyFormattedCitation" : "&lt;sup&gt;[67\u201370]&lt;/sup&gt;" }, "properties" : { "noteIndex" : 0 }, "schema" : "https://github.com/citation-style-language/schema/raw/master/csl-citation.json" }</w:instrText>
      </w:r>
      <w:r w:rsidR="007E1683">
        <w:rPr>
          <w:lang w:val="en-GB"/>
        </w:rPr>
        <w:fldChar w:fldCharType="separate"/>
      </w:r>
      <w:r w:rsidR="007B58C9" w:rsidRPr="007B58C9">
        <w:rPr>
          <w:noProof/>
          <w:vertAlign w:val="superscript"/>
          <w:lang w:val="en-GB"/>
        </w:rPr>
        <w:t>[67–70]</w:t>
      </w:r>
      <w:r w:rsidR="007E1683">
        <w:rPr>
          <w:lang w:val="en-GB"/>
        </w:rPr>
        <w:fldChar w:fldCharType="end"/>
      </w:r>
      <w:r w:rsidR="007E1683">
        <w:rPr>
          <w:lang w:val="en-GB"/>
        </w:rPr>
        <w:t xml:space="preserve"> </w:t>
      </w:r>
      <w:r w:rsidR="00E837C0">
        <w:rPr>
          <w:lang w:val="en-GB"/>
        </w:rPr>
        <w:t xml:space="preserve"> </w:t>
      </w:r>
      <w:r w:rsidR="00E66D3F" w:rsidRPr="00AE0793">
        <w:rPr>
          <w:lang w:val="en-GB"/>
        </w:rPr>
        <w:t>Furthermore, it is not easy to incorporate pressure effects into such a model.</w:t>
      </w:r>
      <w:r w:rsidR="00E66D3F">
        <w:rPr>
          <w:lang w:val="en-GB"/>
        </w:rPr>
        <w:t xml:space="preserve"> </w:t>
      </w:r>
    </w:p>
    <w:p w14:paraId="53A94A30" w14:textId="34C5B5F7" w:rsidR="00497E7E" w:rsidRPr="00AE0793" w:rsidRDefault="00CA587B" w:rsidP="00497E7E">
      <w:pPr>
        <w:ind w:firstLine="720"/>
        <w:rPr>
          <w:lang w:val="en-GB"/>
        </w:rPr>
      </w:pPr>
      <w:r w:rsidRPr="00342777">
        <w:rPr>
          <w:b/>
          <w:lang w:val="en-GB"/>
        </w:rPr>
        <w:t>FST</w:t>
      </w:r>
      <w:r w:rsidRPr="00342777">
        <w:rPr>
          <w:lang w:val="en-GB"/>
        </w:rPr>
        <w:t>, in contrast, provides a clear guideline for the independent determination of protein-osmolyte and protein-water</w:t>
      </w:r>
      <w:r w:rsidR="00DF5DF1" w:rsidRPr="00342777">
        <w:rPr>
          <w:lang w:val="en-GB"/>
        </w:rPr>
        <w:t xml:space="preserve"> interactions. The interactions have been characterized by KB inte</w:t>
      </w:r>
      <w:r w:rsidR="000C7859">
        <w:rPr>
          <w:lang w:val="en-GB"/>
        </w:rPr>
        <w:t>grals</w:t>
      </w:r>
      <w:r w:rsidR="00DF5DF1" w:rsidRPr="00342777">
        <w:rPr>
          <w:rFonts w:eastAsiaTheme="minorEastAsia"/>
          <w:lang w:val="en-GB"/>
        </w:rPr>
        <w:t xml:space="preserve">. </w:t>
      </w:r>
      <w:r w:rsidR="00DF5DF1" w:rsidRPr="00342777">
        <w:rPr>
          <w:lang w:val="en-GB"/>
        </w:rPr>
        <w:t>Determining the two interactions requires the modulation of protein solvation free energy via two independent thermodynamic parameters, whose independence is guaranteed by the Gibbs phase rule.</w:t>
      </w:r>
      <w:r w:rsidR="00D57C7A" w:rsidRPr="00342777">
        <w:rPr>
          <w:lang w:val="en-GB"/>
        </w:rPr>
        <w:fldChar w:fldCharType="begin" w:fldLock="1"/>
      </w:r>
      <w:r w:rsidR="007B58C9">
        <w:rPr>
          <w:lang w:val="en-GB"/>
        </w:rPr>
        <w:instrText>ADDIN CSL_CITATION { "citationItems" : [ { "id" : "ITEM-1",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"14", "issued" : { "date-parts" : [ [ "2014" ] ] }, "page" : "3922-3930", "title" : "Preferential solvation: Dividing surface vs excess numbers", "type" : "article-journal", "volume" : "118" }, "uris" : [ "http://www.mendeley.com/documents/?uuid=896fec6b-354e-41cd-a8de-55bd371a22f5" ] }, { "id" : "ITEM-2", "itemData" : { "DOI" : "10.1016/j.bpc.2017.02.003", "ISSN" : "03014622", "author" : [ { "dropping-particle" : "", "family" : "Shimizu", "given" : "Seishi", "non-dropping-particle" : "", "parse-names" : false, "suffix" : "" }, { "dropping-particle" : "", "family" : "Matubayasi", "given" : "Nobuyuki", "non-dropping-particle" : "", "parse-names" : false, "suffix" : "" } ], "container-title" : "Biophysical Chemistry", "id" : "ITEM-2", "issued" : { "date-parts" : [ [ "2017" ] ] }, "page" : "DOI: 10.1016/j.bpc.2017.02.003", "publisher" : "Elsevier B.V.", "title" : "Osmolyte depletion viewed in terms of the dividing membrane and its work of expansion against osmotic pressure", "type" : "article-journal" }, "uris" : [ "http://www.mendeley.com/documents/?uuid=b0be0468-93f2-4f18-8f9a-a660a03d9df3" ] }, { "id" : "ITEM-3", "itemData" : { "author" : [ { "dropping-particle" : "", "family" : "Shimizu", "given" : "Seishi", "non-dropping-particle" : "", "parse-names" : false, "suffix" : "" }, { "dropping-particle" : "", "family" : "Matubayasi", "given" : "Nobuyuki", "non-dropping-particle" : "", "parse-names" : false, "suffix" : "" } ], "container-title" : "Physical Chemistry Chemical Physics", "id" : "ITEM-3", "issued" : { "date-parts" : [ [ "2017" ] ] }, "page" : "DOI: 10.1039/c7cp02132a", "title" : "Unifying hydrotropy under Gibbs phase rule", "type" : "article-journal" }, "uris" : [ "http://www.mendeley.com/documents/?uuid=3bb46f78-3154-477d-9868-f9dbb8d6699d" ] } ], "mendeley" : { "formattedCitation" : "&lt;sup&gt;[50,71,72]&lt;/sup&gt;", "plainTextFormattedCitation" : "[50,71,72]", "previouslyFormattedCitation" : "&lt;sup&gt;[50,71,72]&lt;/sup&gt;" }, "properties" : { "noteIndex" : 0 }, "schema" : "https://github.com/citation-style-language/schema/raw/master/csl-citation.json" }</w:instrText>
      </w:r>
      <w:r w:rsidR="00D57C7A" w:rsidRPr="00342777">
        <w:rPr>
          <w:lang w:val="en-GB"/>
        </w:rPr>
        <w:fldChar w:fldCharType="separate"/>
      </w:r>
      <w:r w:rsidR="007B58C9" w:rsidRPr="007B58C9">
        <w:rPr>
          <w:noProof/>
          <w:vertAlign w:val="superscript"/>
          <w:lang w:val="en-GB"/>
        </w:rPr>
        <w:t>[50,71,72]</w:t>
      </w:r>
      <w:r w:rsidR="00D57C7A" w:rsidRPr="00342777">
        <w:rPr>
          <w:lang w:val="en-GB"/>
        </w:rPr>
        <w:fldChar w:fldCharType="end"/>
      </w:r>
      <w:r w:rsidR="00DF5DF1" w:rsidRPr="00342777">
        <w:rPr>
          <w:lang w:val="en-GB"/>
        </w:rPr>
        <w:t xml:space="preserve"> </w:t>
      </w:r>
      <w:r w:rsidR="000C7859" w:rsidRPr="00AE0793">
        <w:rPr>
          <w:lang w:val="en-GB"/>
        </w:rPr>
        <w:t>The KB integrals quantify the distribution of osmolyte and water around the protein. Hence, there are no binding sites in this approach, although any strong binding is naturally incorporated into the integrals. Using the fluctuation formulas for the these integrals one can provide an alternative interpretation of the quantities of interest here.</w:t>
      </w:r>
      <w:r w:rsidR="007F2A2A" w:rsidRPr="00AE0793">
        <w:rPr>
          <w:lang w:val="en-GB"/>
        </w:rPr>
        <w:fldChar w:fldCharType="begin" w:fldLock="1"/>
      </w:r>
      <w:r w:rsidR="007B58C9">
        <w:rPr>
          <w:lang w:val="en-GB"/>
        </w:rPr>
        <w:instrText>ADDIN CSL_CITATION { "citationItems" : [ { "id" : "ITEM-1", "itemData" : { "DOI" : "10.1002/9781118571767.ch4", "ISSN" : "0065-2385", "PMID" : "24683278", "author" : [ { "dropping-particle" : "", "family" : "Ploetz", "given" : "Elizabeth A", "non-dropping-particle" : "", "parse-names" : false, "suffix" : "" }, { "dropping-particle" : "", "family" : "Smith", "given" : "Paul E", "non-dropping-particle" : "", "parse-names" : false, "suffix" : "" } ], "container-title" : "Advances in chemical physics", "id" : "ITEM-1", "issued" : { "date-parts" : [ [ "2013" ] ] }, "page" : "311-372", "publisher" : "NIH Public Access", "title" : "Local Fluctuations in Solution: Theory and Applications.", "type" : "article-journal", "volume" : "153" }, "uris" : [ "http://www.mendeley.com/documents/?uuid=9f114a94-871b-374e-9fe9-e9d2553314b9" ] }, { "id" : "ITEM-2",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"&lt;sup&gt;[54,73]&lt;/sup&gt;", "plainTextFormattedCitation" : "[54,73]", "previouslyFormattedCitation" : "&lt;sup&gt;[54,73]&lt;/sup&gt;" }, "properties" : { "noteIndex" : 0 }, "schema" : "https://github.com/citation-style-language/schema/raw/master/csl-citation.json" }</w:instrText>
      </w:r>
      <w:r w:rsidR="007F2A2A" w:rsidRPr="00AE0793">
        <w:rPr>
          <w:lang w:val="en-GB"/>
        </w:rPr>
        <w:fldChar w:fldCharType="separate"/>
      </w:r>
      <w:r w:rsidR="007B58C9" w:rsidRPr="007B58C9">
        <w:rPr>
          <w:noProof/>
          <w:vertAlign w:val="superscript"/>
          <w:lang w:val="en-GB"/>
        </w:rPr>
        <w:t>[54,73]</w:t>
      </w:r>
      <w:r w:rsidR="007F2A2A" w:rsidRPr="00AE0793">
        <w:rPr>
          <w:lang w:val="en-GB"/>
        </w:rPr>
        <w:fldChar w:fldCharType="end"/>
      </w:r>
      <w:r w:rsidR="000C7859" w:rsidRPr="00AE0793">
        <w:rPr>
          <w:lang w:val="en-GB"/>
        </w:rPr>
        <w:t xml:space="preserve"> </w:t>
      </w:r>
      <w:r w:rsidR="00771674" w:rsidRPr="00AE0793">
        <w:rPr>
          <w:lang w:val="en-GB"/>
        </w:rPr>
        <w:t>The difference in KBIs defining the osmo</w:t>
      </w:r>
      <w:r w:rsidR="00497E7E" w:rsidRPr="00AE0793">
        <w:rPr>
          <w:lang w:val="en-GB"/>
        </w:rPr>
        <w:t xml:space="preserve">protection capacity can </w:t>
      </w:r>
      <w:r w:rsidR="00583017" w:rsidRPr="00AE0793">
        <w:rPr>
          <w:lang w:val="en-GB"/>
        </w:rPr>
        <w:t xml:space="preserve">then </w:t>
      </w:r>
      <w:r w:rsidR="00497E7E" w:rsidRPr="00AE0793">
        <w:rPr>
          <w:lang w:val="en-GB"/>
        </w:rPr>
        <w:t>be written</w:t>
      </w:r>
    </w:p>
    <w:p w14:paraId="78263EAA" w14:textId="5525E3D6" w:rsidR="00497E7E" w:rsidRPr="00AE0793" w:rsidRDefault="00497E7E" w:rsidP="00497E7E">
      <w:pPr>
        <w:rPr>
          <w:rFonts w:eastAsiaTheme="minorEastAsia"/>
        </w:rPr>
      </w:pPr>
      <m:oMath>
        <m:r>
          <m:rPr>
            <m:sty m:val="p"/>
          </m:rPr>
          <w:rPr>
            <w:rFonts w:ascii="Cambria Math" w:eastAsiaTheme="minorEastAsia" w:hAnsi="Cambria Math"/>
          </w:rPr>
          <m:t>Δ</m:t>
        </m:r>
        <m:sSubSup>
          <m:sSubSupPr>
            <m:ctrlPr>
              <w:rPr>
                <w:rFonts w:ascii="Cambria Math" w:eastAsiaTheme="minorEastAsia" w:hAnsi="Cambria Math"/>
              </w:rPr>
            </m:ctrlPr>
          </m:sSubSupPr>
          <m:e>
            <m:r>
              <w:rPr>
                <w:rFonts w:ascii="Cambria Math" w:eastAsiaTheme="minorEastAsia" w:hAnsi="Cambria Math"/>
              </w:rPr>
              <m:t>G</m:t>
            </m:r>
          </m:e>
          <m:sub>
            <m:r>
              <w:rPr>
                <w:rFonts w:ascii="Cambria Math" w:eastAsiaTheme="minorEastAsia" w:hAnsi="Cambria Math"/>
              </w:rPr>
              <m:t>BC</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BC</m:t>
            </m:r>
          </m:sub>
          <m:sup>
            <m:r>
              <w:rPr>
                <w:rFonts w:ascii="Cambria Math" w:eastAsiaTheme="minorEastAsia" w:hAnsi="Cambria Math"/>
              </w:rPr>
              <m:t>(d)</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BC</m:t>
            </m:r>
          </m:sub>
          <m:sup>
            <m:d>
              <m:dPr>
                <m:ctrlPr>
                  <w:rPr>
                    <w:rFonts w:ascii="Cambria Math" w:eastAsiaTheme="minorEastAsia" w:hAnsi="Cambria Math"/>
                    <w:i/>
                  </w:rPr>
                </m:ctrlPr>
              </m:dPr>
              <m:e>
                <m:r>
                  <w:rPr>
                    <w:rFonts w:ascii="Cambria Math" w:eastAsiaTheme="minorEastAsia" w:hAnsi="Cambria Math"/>
                  </w:rPr>
                  <m:t>n</m:t>
                </m:r>
              </m:e>
            </m:d>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ρ</m:t>
            </m:r>
          </m:e>
          <m:sub>
            <m:r>
              <w:rPr>
                <w:rFonts w:ascii="Cambria Math" w:eastAsiaTheme="minorEastAsia" w:hAnsi="Cambria Math"/>
              </w:rPr>
              <m:t>C</m:t>
            </m:r>
          </m:sub>
          <m:sup>
            <m:r>
              <w:rPr>
                <w:rFonts w:ascii="Cambria Math" w:eastAsiaTheme="minorEastAsia" w:hAnsi="Cambria Math"/>
              </w:rPr>
              <m:t>-1</m:t>
            </m:r>
          </m:sup>
        </m:sSubSup>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m:t>
            </m:r>
          </m:sub>
        </m:sSub>
        <m:sSub>
          <m:sSubPr>
            <m:ctrlPr>
              <w:rPr>
                <w:rFonts w:ascii="Cambria Math" w:eastAsiaTheme="minorEastAsia" w:hAnsi="Cambria Math"/>
                <w:i/>
              </w:rPr>
            </m:ctrlPr>
          </m:sSubPr>
          <m:e>
            <m:r>
              <w:rPr>
                <w:rFonts w:ascii="Cambria Math" w:eastAsiaTheme="minorEastAsia" w:hAnsi="Cambria Math"/>
              </w:rPr>
              <m:t>&gt;</m:t>
            </m:r>
          </m:e>
          <m:sub>
            <m:r>
              <w:rPr>
                <w:rFonts w:ascii="Cambria Math" w:eastAsiaTheme="minorEastAsia" w:hAnsi="Cambria Math"/>
              </w:rPr>
              <m:t>d</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m:t>
            </m:r>
          </m:sub>
        </m:sSub>
        <m:sSub>
          <m:sSubPr>
            <m:ctrlPr>
              <w:rPr>
                <w:rFonts w:ascii="Cambria Math" w:eastAsiaTheme="minorEastAsia" w:hAnsi="Cambria Math"/>
                <w:i/>
              </w:rPr>
            </m:ctrlPr>
          </m:sSubPr>
          <m:e>
            <m:r>
              <w:rPr>
                <w:rFonts w:ascii="Cambria Math" w:eastAsiaTheme="minorEastAsia" w:hAnsi="Cambria Math"/>
              </w:rPr>
              <m:t>&gt;</m:t>
            </m:r>
          </m:e>
          <m:sub>
            <m:r>
              <w:rPr>
                <w:rFonts w:ascii="Cambria Math" w:eastAsiaTheme="minorEastAsia" w:hAnsi="Cambria Math"/>
              </w:rPr>
              <m:t>n</m:t>
            </m:r>
          </m:sub>
        </m:sSub>
        <m:r>
          <w:rPr>
            <w:rFonts w:ascii="Cambria Math" w:eastAsiaTheme="minorEastAsia" w:hAnsi="Cambria Math"/>
          </w:rPr>
          <m:t>]</m:t>
        </m:r>
      </m:oMath>
      <w:r w:rsidRPr="00AE0793">
        <w:rPr>
          <w:rFonts w:eastAsiaTheme="minorEastAsia"/>
        </w:rPr>
        <w:tab/>
      </w:r>
      <w:r w:rsidRPr="00AE0793">
        <w:rPr>
          <w:rFonts w:eastAsiaTheme="minorEastAsia"/>
        </w:rPr>
        <w:tab/>
      </w:r>
      <w:r w:rsidRPr="00AE0793">
        <w:rPr>
          <w:rFonts w:eastAsiaTheme="minorEastAsia"/>
        </w:rPr>
        <w:tab/>
      </w:r>
      <w:r w:rsidRPr="00AE0793">
        <w:rPr>
          <w:rFonts w:eastAsiaTheme="minorEastAsia"/>
        </w:rPr>
        <w:tab/>
      </w:r>
      <w:r w:rsidRPr="00AE0793">
        <w:rPr>
          <w:rFonts w:eastAsiaTheme="minorEastAsia"/>
        </w:rPr>
        <w:tab/>
      </w:r>
      <w:r w:rsidRPr="00AE0793">
        <w:rPr>
          <w:rFonts w:eastAsiaTheme="minorEastAsia"/>
        </w:rPr>
        <w:tab/>
        <w:t>(</w:t>
      </w:r>
      <w:r w:rsidR="00766D46">
        <w:rPr>
          <w:rFonts w:eastAsiaTheme="minorEastAsia"/>
        </w:rPr>
        <w:t>9</w:t>
      </w:r>
      <w:r w:rsidRPr="00AE0793">
        <w:rPr>
          <w:rFonts w:eastAsiaTheme="minorEastAsia"/>
        </w:rPr>
        <w:t>)</w:t>
      </w:r>
    </w:p>
    <w:p w14:paraId="4A75F5E7" w14:textId="26C6A8F4" w:rsidR="00497E7E" w:rsidRDefault="00497E7E" w:rsidP="00497E7E">
      <w:pPr>
        <w:rPr>
          <w:rFonts w:eastAsiaTheme="minorEastAsia"/>
        </w:rPr>
      </w:pPr>
      <w:r w:rsidRPr="00AE0793">
        <w:rPr>
          <w:rFonts w:eastAsiaTheme="minorEastAsia"/>
        </w:rPr>
        <w:t xml:space="preserve">where </w:t>
      </w:r>
      <m:oMath>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m:t>
            </m:r>
          </m:sub>
        </m:sSub>
        <m:sSub>
          <m:sSubPr>
            <m:ctrlPr>
              <w:rPr>
                <w:rFonts w:ascii="Cambria Math" w:eastAsiaTheme="minorEastAsia" w:hAnsi="Cambria Math"/>
                <w:i/>
              </w:rPr>
            </m:ctrlPr>
          </m:sSubPr>
          <m:e>
            <m:r>
              <w:rPr>
                <w:rFonts w:ascii="Cambria Math" w:eastAsiaTheme="minorEastAsia" w:hAnsi="Cambria Math"/>
              </w:rPr>
              <m:t>&gt;</m:t>
            </m:r>
          </m:e>
          <m:sub>
            <m:r>
              <w:rPr>
                <w:rFonts w:ascii="Cambria Math" w:eastAsiaTheme="minorEastAsia" w:hAnsi="Cambria Math"/>
              </w:rPr>
              <m:t>d</m:t>
            </m:r>
          </m:sub>
        </m:sSub>
      </m:oMath>
      <w:r w:rsidRPr="00AE0793">
        <w:rPr>
          <w:rFonts w:eastAsiaTheme="minorEastAsia"/>
        </w:rPr>
        <w:t xml:space="preserve"> is the average number of cosolvent molecules i</w:t>
      </w:r>
      <w:r w:rsidR="00114E37" w:rsidRPr="00AE0793">
        <w:rPr>
          <w:rFonts w:eastAsiaTheme="minorEastAsia"/>
        </w:rPr>
        <w:t>n a fixed local volume around</w:t>
      </w:r>
      <w:r w:rsidRPr="00AE0793">
        <w:rPr>
          <w:rFonts w:eastAsiaTheme="minorEastAsia"/>
        </w:rPr>
        <w:t xml:space="preserve"> the denatured protein, compared to the average number in the </w:t>
      </w:r>
      <w:r w:rsidR="00114E37" w:rsidRPr="00AE0793">
        <w:rPr>
          <w:rFonts w:eastAsiaTheme="minorEastAsia"/>
        </w:rPr>
        <w:t>same fixed local volume around</w:t>
      </w:r>
      <w:r w:rsidRPr="00AE0793">
        <w:rPr>
          <w:rFonts w:eastAsiaTheme="minorEastAsia"/>
        </w:rPr>
        <w:t xml:space="preserve"> the native form, </w:t>
      </w:r>
      <m:oMath>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m:t>
            </m:r>
          </m:sub>
        </m:sSub>
        <m:sSub>
          <m:sSubPr>
            <m:ctrlPr>
              <w:rPr>
                <w:rFonts w:ascii="Cambria Math" w:eastAsiaTheme="minorEastAsia" w:hAnsi="Cambria Math"/>
                <w:i/>
              </w:rPr>
            </m:ctrlPr>
          </m:sSubPr>
          <m:e>
            <m:r>
              <w:rPr>
                <w:rFonts w:ascii="Cambria Math" w:eastAsiaTheme="minorEastAsia" w:hAnsi="Cambria Math"/>
              </w:rPr>
              <m:t>&gt;</m:t>
            </m:r>
          </m:e>
          <m:sub>
            <m:r>
              <w:rPr>
                <w:rFonts w:ascii="Cambria Math" w:eastAsiaTheme="minorEastAsia" w:hAnsi="Cambria Math"/>
              </w:rPr>
              <m:t>n</m:t>
            </m:r>
          </m:sub>
        </m:sSub>
      </m:oMath>
      <w:r w:rsidRPr="00AE0793">
        <w:rPr>
          <w:rFonts w:eastAsiaTheme="minorEastAsia"/>
        </w:rPr>
        <w:t xml:space="preserve">. The </w:t>
      </w:r>
      <w:r w:rsidR="00114E37" w:rsidRPr="00AE0793">
        <w:rPr>
          <w:rFonts w:eastAsiaTheme="minorEastAsia"/>
        </w:rPr>
        <w:t xml:space="preserve">“local volume” includes all bound and perturbed cosolvents out to a distance where the unperturbed </w:t>
      </w:r>
      <w:r w:rsidR="00583017" w:rsidRPr="00AE0793">
        <w:rPr>
          <w:rFonts w:eastAsiaTheme="minorEastAsia"/>
        </w:rPr>
        <w:t xml:space="preserve">bulk cosolvent distribution is </w:t>
      </w:r>
      <w:r w:rsidR="00114E37" w:rsidRPr="00AE0793">
        <w:rPr>
          <w:rFonts w:eastAsiaTheme="minorEastAsia"/>
        </w:rPr>
        <w:t xml:space="preserve">realized. </w:t>
      </w:r>
      <w:r w:rsidR="00583017" w:rsidRPr="00AE0793">
        <w:rPr>
          <w:rFonts w:eastAsiaTheme="minorEastAsia"/>
        </w:rPr>
        <w:t xml:space="preserve">A similar expression can be written for </w:t>
      </w:r>
      <m:oMath>
        <m:r>
          <m:rPr>
            <m:sty m:val="p"/>
          </m:rPr>
          <w:rPr>
            <w:rFonts w:ascii="Cambria Math" w:eastAsiaTheme="minorEastAsia" w:hAnsi="Cambria Math"/>
          </w:rPr>
          <m:t xml:space="preserve"> Δ</m:t>
        </m:r>
        <m:sSubSup>
          <m:sSubSupPr>
            <m:ctrlPr>
              <w:rPr>
                <w:rFonts w:ascii="Cambria Math" w:eastAsiaTheme="minorEastAsia" w:hAnsi="Cambria Math"/>
              </w:rPr>
            </m:ctrlPr>
          </m:sSubSupPr>
          <m:e>
            <m:r>
              <w:rPr>
                <w:rFonts w:ascii="Cambria Math" w:eastAsiaTheme="minorEastAsia" w:hAnsi="Cambria Math"/>
              </w:rPr>
              <m:t>G</m:t>
            </m:r>
          </m:e>
          <m:sub>
            <m:r>
              <w:rPr>
                <w:rFonts w:ascii="Cambria Math" w:eastAsiaTheme="minorEastAsia" w:hAnsi="Cambria Math"/>
              </w:rPr>
              <m:t>BW</m:t>
            </m:r>
          </m:sub>
          <m:sup>
            <m:r>
              <w:rPr>
                <w:rFonts w:ascii="Cambria Math" w:eastAsiaTheme="minorEastAsia" w:hAnsi="Cambria Math"/>
              </w:rPr>
              <m:t>∞</m:t>
            </m:r>
          </m:sup>
        </m:sSubSup>
      </m:oMath>
      <w:r w:rsidR="00583017" w:rsidRPr="00AE0793">
        <w:rPr>
          <w:rFonts w:eastAsiaTheme="minorEastAsia"/>
        </w:rPr>
        <w:t>. We believe that t</w:t>
      </w:r>
      <w:r w:rsidR="00114E37" w:rsidRPr="00AE0793">
        <w:rPr>
          <w:rFonts w:eastAsiaTheme="minorEastAsia"/>
        </w:rPr>
        <w:t xml:space="preserve">his provides a </w:t>
      </w:r>
      <w:r w:rsidR="00583017" w:rsidRPr="00AE0793">
        <w:rPr>
          <w:rFonts w:eastAsiaTheme="minorEastAsia"/>
        </w:rPr>
        <w:t xml:space="preserve">rigorous </w:t>
      </w:r>
      <w:r w:rsidR="00114E37" w:rsidRPr="00AE0793">
        <w:rPr>
          <w:rFonts w:eastAsiaTheme="minorEastAsia"/>
        </w:rPr>
        <w:t>simple picture of the effects of osmolytes</w:t>
      </w:r>
      <w:r w:rsidR="004C408E" w:rsidRPr="00AE0793">
        <w:rPr>
          <w:rFonts w:eastAsiaTheme="minorEastAsia"/>
        </w:rPr>
        <w:t xml:space="preserve"> on the denaturation equilibrium</w:t>
      </w:r>
      <w:r w:rsidR="00114E37" w:rsidRPr="00AE0793">
        <w:rPr>
          <w:rFonts w:eastAsiaTheme="minorEastAsia"/>
        </w:rPr>
        <w:t>.</w:t>
      </w:r>
    </w:p>
    <w:p w14:paraId="1C34A77B" w14:textId="7ADC40E0" w:rsidR="00114E37" w:rsidRPr="00497E7E" w:rsidRDefault="00114E37" w:rsidP="00497E7E">
      <w:pPr>
        <w:rPr>
          <w:lang w:val="en-GB"/>
        </w:rPr>
      </w:pPr>
    </w:p>
    <w:p w14:paraId="28E63428" w14:textId="77777777" w:rsidR="00360251" w:rsidRDefault="00C84BE1" w:rsidP="00662232">
      <w:pPr>
        <w:rPr>
          <w:b/>
        </w:rPr>
      </w:pPr>
      <w:r>
        <w:rPr>
          <w:b/>
        </w:rPr>
        <w:t>5</w:t>
      </w:r>
      <w:r w:rsidR="00F967E8">
        <w:rPr>
          <w:b/>
        </w:rPr>
        <w:t xml:space="preserve">. </w:t>
      </w:r>
      <w:r w:rsidR="00FF373E">
        <w:rPr>
          <w:b/>
        </w:rPr>
        <w:t>Conclusion</w:t>
      </w:r>
    </w:p>
    <w:p w14:paraId="226BA632" w14:textId="1EB4C27C" w:rsidR="00C05E6B" w:rsidRDefault="00F8074C" w:rsidP="00F8074C">
      <w:r w:rsidRPr="00F8074C">
        <w:t>Deep sea organisms accumulate various osmolytes to counteract high hydrostatic pressure</w:t>
      </w:r>
      <w:r w:rsidR="0041276E">
        <w:t>s that</w:t>
      </w:r>
      <w:r w:rsidRPr="00F8074C">
        <w:t xml:space="preserve"> </w:t>
      </w:r>
      <w:r w:rsidR="0041276E">
        <w:t>would otherwise destabilize the</w:t>
      </w:r>
      <w:r w:rsidRPr="00F8074C">
        <w:t xml:space="preserve"> protei</w:t>
      </w:r>
      <w:r w:rsidR="0041276E">
        <w:t xml:space="preserve">ns responsible for </w:t>
      </w:r>
      <w:r w:rsidRPr="00F8074C">
        <w:t>necessary cellular functions</w:t>
      </w:r>
      <w:r w:rsidR="00625CA7">
        <w:t>.</w:t>
      </w:r>
      <w:r w:rsidR="00625CA7">
        <w:fldChar w:fldCharType="begin" w:fldLock="1"/>
      </w:r>
      <w:r w:rsidR="00162815">
        <w:instrText>ADDIN CSL_CITATION { "citationItems" : [ { "id" : "ITEM-1", "itemData" : { "ISBN" : "0022-0949 (Print)\\r0022-0949 (Linking)", "ISSN" : "0022-0949", "PMID" : "10574736", "abstract" : "Trimethylamine N-oxide (TMAO) is an organic osmolyte present at high levels in elasmobranchs, in which it counteracts the deleterious effects of urea on proteins, and is also accumulated by deep-living invertebrates and teleost fishes. To test the hypothesis that TMAO may compensate for the adverse effects of elevated pressure on protein structure in deep-sea species, we studied the efficacy of TMAO in preventing denaturation and enhanced proteolysis by hydrostatic pressure. TMAO was compared to a common 'compatible' osmolyte, glycine, using muscle-type lactate dehydrogenase (A(4)-LDH) homologs from three scorpaenid teleost fish species and from a mammal, the cow. Test conditions lasted 1 h and were: (1) no addition, (2) 250 mmol l(-)(1) TMAO and (3) 250 mmol l(-)(1) glycine, in the absence and presence of trypsin. Comparisons were made at 0. 1 and 101.3 MPa for the deeper occurring Sebastolobus altivelis, 0.1, 50.7 and 101.3 MPa for the moderate-depth congener S. alascanus, 0. 1 and 25.3 MPa for shallow-living Sebastes melanops and 0.1 and 50.7 MPa for Bos taurus. Susceptibility to denaturation was determined by the residual LDH activity. For all the species and pressures tested, 250 mmol l(-)(1) TMAO reduced trypsinolysis significantly. For all except S. altivelis, which was minimally affected by 101.3 MPa pressure, TMAO stabilized the LDH homologs and reduced pressure denaturation significantly. Glycine, in contrast, showed no ability to reduce pressure denaturation alone, and little or no ability to reduce the rate of proteolysis.", "author" : [ { "dropping-particle" : "", "family" : "Yancey", "given" : "PH H", "non-dropping-particle" : "", "parse-names" : false, "suffix" : "" }, { "dropping-particle" : "", "family" : "Siebenaller", "given" : "JF F", "non-dropping-particle" : "", "parse-names" : false, "suffix" : "" } ], "container-title" : "J. Exp. Biol.", "id" : "ITEM-1", "issue" : "24", "issued" : { "date-parts" : [ [ "1999" ] ] }, "page" : "3597-3603", "title" : "Trimethylamine oxide stabilizes teleost and mammalian lactate dehydrogenases against inactivation by hydrostatic pressure and trypsinolysis", "type" : "article-journal", "volume" : "202" }, "uris" : [ "http://www.mendeley.com/documents/?uuid=8e844f94-ddec-4992-a726-80b76becff8c" ] }, { "id" : "ITEM-2", "itemData" : { "DOI" : "10.1002/1097-010X(20010215)289:3&lt;172::AID-JEZ3&gt;3.0.CO;2-J", "ISBN" : "1552-499X", "ISSN" : "0022104X", "PMID" : "11170013", "abstract" : "In shallow marine teleost fishes, the osmolyte trimethylamine oxide (TMAO) is typically found at &lt;70 mmol/kg wet weight. Recently we found deep-sea teleosts have up to 288 mmol/kg, increasing in the order shallow &lt; bathyal &lt; abyssal. We hypothesized that this protein stabilizer counteracts inhibition of proteins by hydrostatic pressure, and showed that, for lactate dehydrogenases (LDH), 250 mM TMAO fully offset an increase in NADH K(m) at physiological pressure, and partly reversed pressure-enhanced losses of activity at supranormal pressures. In this study, we examined other effects of pressure and TMAO on proteins of teleosts that live from 2000-5000 m (200-500 atmospheres [atm]). First, for LDH from a grenadier (Coryphaenoides leptolepis) at 500 atm for 8 hr, there was a significant 15% loss in activity (P &lt; 0.05 relative to 1 atm control) that was reduced with 250 mM TMAO to an insignificant loss. Second, for pyruvate kinase from a morid cod (Antimora microlepis) at 200 atm, there was 73% increase in ADP K(m) without TMAO (P &lt; 0.01 relative to K(m) at 1 atm) but only a 29% increase with 300 mM TMAO. Third, for G-actin from a grenadier (C. armatus) at 500 atm for 16 hr, there was a significant reduction of F-actin polymerization (P &lt; 0.01 compared to polymerization at 1 atm) that was fully counteracted by 250 mM TMAO, but was unchanged in 250 mM glycine. These findings support the hypothesis. J. Exp. Zool. 289:172-176, 2001.", "author" : [ { "dropping-particle" : "", "family" : "Yancey", "given" : "Paul H.", "non-dropping-particle" : "", "parse-names" : false, "suffix" : "" }, { "dropping-particle" : "", "family" : "Fyfe-Johnson", "given" : "Amber L.", "non-dropping-particle" : "", "parse-names" : false, "suffix" : "" }, { "dropping-particle" : "", "family" : "Kelly", "given" : "Robert H.", "non-dropping-particle" : "", "parse-names" : false, "suffix" : "" }, { "dropping-particle" : "", "family" : "Walker", "given" : "Vanessa P.", "non-dropping-particle" : "", "parse-names" : false, "suffix" : "" }, { "dropping-particle" : "", "family" : "Aun", "given" : "Maria T.", "non-dropping-particle" : "", "parse-names" : false, "suffix" : "" } ], "container-title" : "Journal of Experimental Zoology", "id" : "ITEM-2", "issue" : "3", "issued" : { "date-parts" : [ [ "2001" ] ] }, "page" : "172-176", "title" : "Trimethylamine oxide counteracts effects of hydrostatic pressure on proteins of deep-sea teleosts", "type" : "article-journal", "volume" : "289" }, "uris" : [ "http://www.mendeley.com/documents/?uuid=2e0a8fd2-745d-4c1c-bad7-67ebdcd2f8d0" ] }, { "id" : "ITEM-3", "itemData" : { "DOI" : "10.1073/pnas.1322003111", "ISBN" : "1091-6490 (Electronic)\\r0027-8424 (Linking)", "ISSN" : "0027-8424", "PMID" : "24591588", "abstract" : "No fish have been found in the deepest 25% of the ocean (8,400-11,000 m). This apparent absence has been attributed to hydrostatic pressure, although direct evidence is wanting because of the lack of deepest-living species to study. The common osmolyte trimethylamine N-oxide (TMAO) stabilizes proteins against pressure and increases with depth, going from 40 to 261 mmol/kg in teleost fishes from 0 to 4,850 m. TMAO accumulation with depth results in increasing internal osmolality (typically 350 mOsmol/kg in shallow species compared with seawater's 1,100 mOsmol/kg). Preliminary extrapolation of osmolalities of predicted isosmotic state at 8,000-8,500 m may indicate a possible physiological limit, as greater depths would require reversal of osmotic gradients and, thus, osmoregulatory systems. We tested this prediction by capturing five of the second-deepest known fish, the hadal snailfish (Notoliparis kermadecensis; Liparidae), from 7,000 m in the Kermadec Trench. We found their muscles to have a TMAO content of 386 \u00b1 18 mmol/kg and osmolality of 991 \u00b1 22 mOsmol/kg. These data fit previous extrapolations and, combined with new osmolalities from bathyal and abyssal fishes, predict isosmotic state at 8,200 m. This is previously unidentified evidence that biochemistry could constrain the depth of a large, complex taxonomic group.", "author" : [ { "dropping-particle" : "", "family" : "Yancey", "given" : "Paul H", "non-dropping-particle" : "", "parse-names" : false, "suffix" : "" }, { "dropping-particle" : "", "family" : "Gerringer", "given" : "Mackenzie E", "non-dropping-particle" : "", "parse-names" : false, "suffix" : "" }, { "dropping-particle" : "", "family" : "Drazen", "given" : "Jeffrey C", "non-dropping-particle" : "", "parse-names" : false, "suffix" : "" }, { "dropping-particle" : "", "family" : "Rowden", "given" : "Ashley a", "non-dropping-particle" : "", "parse-names" : false, "suffix" : "" }, { "dropping-particle" : "", "family" : "Jamieson", "given" : "Alan", "non-dropping-particle" : "", "parse-names" : false, "suffix" : "" } ], "container-title" : "Proceedings of the National Academy of Sciences of the United States of America", "id" : "ITEM-3", "issue" : "12", "issued" : { "date-parts" : [ [ "2014" ] ] }, "page" : "4461-4465", "title" : "Marine fish may be biochemically constrained from inhabiting the deepest ocean depths", "type" : "article-journal", "volume" : "111" }, "uris" : [ "http://www.mendeley.com/documents/?uuid=fca9c37b-b0b3-4507-80f0-5e330829743c" ] }, { "id" : "ITEM-4", "itemData" : { "DOI" : "10.1242/jeb.114355", "ISSN" : "1477-9145", "PMID" : "26085665", "abstract" : "Organisms experience a wide range of environmental factors such as temperature, salinity and hydrostatic pressure, which pose challenges to biochemical processes. Studies on adaptations to such factors have largely focused on macromolecules, especially intrinsic adaptations in protein structure and function. However, micromolecular cosolutes can act as cytoprotectants in the cellular milieu to affect biochemical function and they are now recognized as important extrinsic adaptations. These solutes, both inorganic and organic, have been best characterized as osmolytes, which accumulate to reduce osmotic water loss. Singly, and in combination, many cosolutes have properties beyond simple osmotic effects, e.g. altering the stability and function of proteins in the face of numerous stressors. A key example is the marine osmolyte trimethylamine oxide (TMAO), which appears to enhance water structure and is excluded from peptide backbones, favoring protein folding and stability and counteracting destabilizers like urea and temperature. Co-evolution of intrinsic and extrinsic adaptations is illustrated with high hydrostatic pressure in deep-living organisms. Cytosolic and membrane proteins and G-protein-coupled signal transduction in fishes under pressure show inhibited function and stability, while revealing a number of intrinsic adaptations in deep species. Yet, intrinsic adaptations are often incomplete, and those fishes accumulate TMAO linearly with depth, suggesting a role for TMAO as an extrinsic 'piezolyte' or pressure cosolute. Indeed, TMAO is able to counteract the inhibitory effects of pressure on the stability and function of many proteins. Other cosolutes are cytoprotective in other ways, such as via antioxidation. Such observations highlight the importance of considering the cellular milieu in biochemical and cellular adaptation.", "author" : [ { "dropping-particle" : "", "family" : "Yancey", "given" : "Paul H", "non-dropping-particle" : "", "parse-names" : false, "suffix" : "" }, { "dropping-particle" : "", "family" : "Siebenaller", "given" : "Joseph F", "non-dropping-particle" : "", "parse-names" : false, "suffix" : "" } ], "container-title" : "The Journal of experimental biology", "id" : "ITEM-4", "issue" : "Pt 12", "issued" : { "date-parts" : [ [ "2015" ] ] }, "page" : "1880-96", "title" : "Co-evolution of proteins and solutions: protein adaptation versus cytoprotective micromolecules and their roles in marine organisms.", "type" : "article-journal", "volume" : "218" }, "uris" : [ "http://www.mendeley.com/documents/?uuid=4e63a885-ce9f-4c00-bd00-a2feb2c9169d" ] } ], "mendeley" : { "formattedCitation" : "&lt;sup&gt;[1\u20134]&lt;/sup&gt;", "plainTextFormattedCitation" : "[1\u20134]", "previouslyFormattedCitation" : "&lt;sup&gt;[1\u20134]&lt;/sup&gt;" }, "properties" : { "noteIndex" : 0 }, "schema" : "https://github.com/citation-style-language/schema/raw/master/csl-citation.json" }</w:instrText>
      </w:r>
      <w:r w:rsidR="00625CA7">
        <w:fldChar w:fldCharType="separate"/>
      </w:r>
      <w:r w:rsidR="00162815" w:rsidRPr="00162815">
        <w:rPr>
          <w:noProof/>
          <w:vertAlign w:val="superscript"/>
        </w:rPr>
        <w:t>[1–4]</w:t>
      </w:r>
      <w:r w:rsidR="00625CA7">
        <w:fldChar w:fldCharType="end"/>
      </w:r>
      <w:r w:rsidR="00D67B08">
        <w:t xml:space="preserve"> </w:t>
      </w:r>
      <w:r w:rsidR="0041276E">
        <w:t xml:space="preserve">In particular, the well-known osmolyte, </w:t>
      </w:r>
      <w:r w:rsidRPr="00F8074C">
        <w:t>trimethylamine N-oxide (TMAO)</w:t>
      </w:r>
      <w:r w:rsidR="0041276E">
        <w:t>, is</w:t>
      </w:r>
      <w:r w:rsidRPr="00F8074C">
        <w:t xml:space="preserve"> used by deep sea fish</w:t>
      </w:r>
      <w:r w:rsidR="0041276E">
        <w:t xml:space="preserve"> in</w:t>
      </w:r>
      <w:r w:rsidRPr="00F8074C">
        <w:t xml:space="preserve"> increasing concentration with depth</w:t>
      </w:r>
      <w:r w:rsidR="00625CA7">
        <w:t>.</w:t>
      </w:r>
      <w:r w:rsidR="00625CA7">
        <w:fldChar w:fldCharType="begin" w:fldLock="1"/>
      </w:r>
      <w:r w:rsidR="002C1133">
        <w:instrText>ADDIN CSL_CITATION { "citationItems" : [ { "id" : "ITEM-1", "itemData" : { "DOI" : "10.1073/pnas.1322003111", "ISBN" : "1091-6490 (Electronic)\\r0027-8424 (Linking)", "ISSN" : "0027-8424", "PMID" : "24591588", "abstract" : "No fish have been found in the deepest 25% of the ocean (8,400-11,000 m). This apparent absence has been attributed to hydrostatic pressure, although direct evidence is wanting because of the lack of deepest-living species to study. The common osmolyte trimethylamine N-oxide (TMAO) stabilizes proteins against pressure and increases with depth, going from 40 to 261 mmol/kg in teleost fishes from 0 to 4,850 m. TMAO accumulation with depth results in increasing internal osmolality (typically 350 mOsmol/kg in shallow species compared with seawater's 1,100 mOsmol/kg). Preliminary extrapolation of osmolalities of predicted isosmotic state at 8,000-8,500 m may indicate a possible physiological limit, as greater depths would require reversal of osmotic gradients and, thus, osmoregulatory systems. We tested this prediction by capturing five of the second-deepest known fish, the hadal snailfish (Notoliparis kermadecensis; Liparidae), from 7,000 m in the Kermadec Trench. We found their muscles to have a TMAO content of 386 \u00b1 18 mmol/kg and osmolality of 991 \u00b1 22 mOsmol/kg. These data fit previous extrapolations and, combined with new osmolalities from bathyal and abyssal fishes, predict isosmotic state at 8,200 m. This is previously unidentified evidence that biochemistry could constrain the depth of a large, complex taxonomic group.", "author" : [ { "dropping-particle" : "", "family" : "Yancey", "given" : "Paul H", "non-dropping-particle" : "", "parse-names" : false, "suffix" : "" }, { "dropping-particle" : "", "family" : "Gerringer", "given" : "Mackenzie E", "non-dropping-particle" : "", "parse-names" : false, "suffix" : "" }, { "dropping-particle" : "", "family" : "Drazen", "given" : "Jeffrey C", "non-dropping-particle" : "", "parse-names" : false, "suffix" : "" }, { "dropping-particle" : "", "family" : "Rowden", "given" : "Ashley a", "non-dropping-particle" : "", "parse-names" : false, "suffix" : "" }, { "dropping-particle" : "", "family" : "Jamieson", "given" : "Alan", "non-dropping-particle" : "", "parse-names" : false, "suffix" : "" } ], "container-title" : "Proceedings of the National Academy of Sciences of the United States of America", "id" : "ITEM-1", "issue" : "12", "issued" : { "date-parts" : [ [ "2014" ] ] }, "page" : "4461-4465", "title" : "Marine fish may be biochemically constrained from inhabiting the deepest ocean depths", "type" : "article-journal", "volume" : "111" }, "uris" : [ "http://www.mendeley.com/documents/?uuid=fca9c37b-b0b3-4507-80f0-5e330829743c" ] }, { "id" : "ITEM-2", "itemData" : { "DOI" : "10.1242/jeb.114355", "ISSN" : "1477-9145", "PMID" : "26085665", "abstract" : "Organisms experience a wide range of environmental factors such as temperature, salinity and hydrostatic pressure, which pose challenges to biochemical processes. Studies on adaptations to such factors have largely focused on macromolecules, especially intrinsic adaptations in protein structure and function. However, micromolecular cosolutes can act as cytoprotectants in the cellular milieu to affect biochemical function and they are now recognized as important extrinsic adaptations. These solutes, both inorganic and organic, have been best characterized as osmolytes, which accumulate to reduce osmotic water loss. Singly, and in combination, many cosolutes have properties beyond simple osmotic effects, e.g. altering the stability and function of proteins in the face of numerous stressors. A key example is the marine osmolyte trimethylamine oxide (TMAO), which appears to enhance water structure and is excluded from peptide backbones, favoring protein folding and stability and counteracting destabilizers like urea and temperature. Co-evolution of intrinsic and extrinsic adaptations is illustrated with high hydrostatic pressure in deep-living organisms. Cytosolic and membrane proteins and G-protein-coupled signal transduction in fishes under pressure show inhibited function and stability, while revealing a number of intrinsic adaptations in deep species. Yet, intrinsic adaptations are often incomplete, and those fishes accumulate TMAO linearly with depth, suggesting a role for TMAO as an extrinsic 'piezolyte' or pressure cosolute. Indeed, TMAO is able to counteract the inhibitory effects of pressure on the stability and function of many proteins. Other cosolutes are cytoprotective in other ways, such as via antioxidation. Such observations highlight the importance of considering the cellular milieu in biochemical and cellular adaptation.", "author" : [ { "dropping-particle" : "", "family" : "Yancey", "given" : "Paul H", "non-dropping-particle" : "", "parse-names" : false, "suffix" : "" }, { "dropping-particle" : "", "family" : "Siebenaller", "given" : "Joseph F", "non-dropping-particle" : "", "parse-names" : false, "suffix" : "" } ], "container-title" : "The Journal of experimental biology", "id" : "ITEM-2", "issue" : "Pt 12", "issued" : { "date-parts" : [ [ "2015" ] ] }, "page" : "1880-96", "title" : "Co-evolution of proteins and solutions: protein adaptation versus cytoprotective micromolecules and their roles in marine organisms.", "type" : "article-journal", "volume" : "218" }, "uris" : [ "http://www.mendeley.com/documents/?uuid=4e63a885-ce9f-4c00-bd00-a2feb2c9169d" ] } ], "mendeley" : { "formattedCitation" : "&lt;sup&gt;[3,4]&lt;/sup&gt;", "plainTextFormattedCitation" : "[3,4]", "previouslyFormattedCitation" : "&lt;sup&gt;[3,4]&lt;/sup&gt;" }, "properties" : { "noteIndex" : 0 }, "schema" : "https://github.com/citation-style-language/schema/raw/master/csl-citation.json" }</w:instrText>
      </w:r>
      <w:r w:rsidR="00625CA7">
        <w:fldChar w:fldCharType="separate"/>
      </w:r>
      <w:r w:rsidR="002C1133" w:rsidRPr="002C1133">
        <w:rPr>
          <w:noProof/>
          <w:vertAlign w:val="superscript"/>
        </w:rPr>
        <w:t>[3,4]</w:t>
      </w:r>
      <w:r w:rsidR="00625CA7">
        <w:fldChar w:fldCharType="end"/>
      </w:r>
      <w:r w:rsidR="00D67B08">
        <w:t xml:space="preserve"> </w:t>
      </w:r>
      <w:r w:rsidR="0041276E">
        <w:t xml:space="preserve">The aim of this paper was </w:t>
      </w:r>
      <w:r w:rsidRPr="00F8074C">
        <w:t>t</w:t>
      </w:r>
      <w:r w:rsidR="00C05E6B" w:rsidRPr="00F8074C">
        <w:t>o understand</w:t>
      </w:r>
      <w:r w:rsidR="0041276E">
        <w:t>,</w:t>
      </w:r>
      <w:r w:rsidR="00C05E6B" w:rsidRPr="00F8074C">
        <w:t xml:space="preserve"> </w:t>
      </w:r>
      <w:r w:rsidRPr="00F8074C">
        <w:t>at a molecular level</w:t>
      </w:r>
      <w:r w:rsidR="0041276E">
        <w:t>,</w:t>
      </w:r>
      <w:r w:rsidRPr="00F8074C">
        <w:t xml:space="preserve"> </w:t>
      </w:r>
      <w:r w:rsidR="00C05E6B" w:rsidRPr="00F8074C">
        <w:t xml:space="preserve">the </w:t>
      </w:r>
      <w:r w:rsidR="00F74BC4">
        <w:t xml:space="preserve">general </w:t>
      </w:r>
      <w:r w:rsidR="00C05E6B" w:rsidRPr="00F8074C">
        <w:t xml:space="preserve">mechanism by which </w:t>
      </w:r>
      <w:r w:rsidRPr="00F8074C">
        <w:t xml:space="preserve">osmolytes (including </w:t>
      </w:r>
      <w:r w:rsidR="00C05E6B" w:rsidRPr="00F8074C">
        <w:t>TMAO</w:t>
      </w:r>
      <w:r w:rsidRPr="00F8074C">
        <w:t>) stabilize proteins under high pressure</w:t>
      </w:r>
      <w:r w:rsidR="0041276E">
        <w:t xml:space="preserve"> conditions</w:t>
      </w:r>
      <w:r w:rsidRPr="00F8074C">
        <w:t xml:space="preserve">. </w:t>
      </w:r>
    </w:p>
    <w:p w14:paraId="16D38078" w14:textId="5165C563" w:rsidR="00243750" w:rsidRDefault="0041276E" w:rsidP="00243750">
      <w:r>
        <w:tab/>
        <w:t>D</w:t>
      </w:r>
      <w:r w:rsidR="00F8074C">
        <w:t>enaturation pressure increases with osmolyte</w:t>
      </w:r>
      <w:r>
        <w:t xml:space="preserve"> concentration have</w:t>
      </w:r>
      <w:r w:rsidR="00F8074C">
        <w:t xml:space="preserve"> been measured already</w:t>
      </w:r>
      <w:r w:rsidR="00625CA7">
        <w:t>,</w:t>
      </w:r>
      <w:r w:rsidR="00625CA7">
        <w:fldChar w:fldCharType="begin" w:fldLock="1"/>
      </w:r>
      <w:r w:rsidR="002C1133">
        <w:instrText>ADDIN CSL_CITATION { "citationItems" : [ { "id" : "ITEM-1", "itemData" : { "abstract" :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no aggregation occurs. With corresponding measurements of the pressure-induced denaturation of ubiquitin at different temperatures, a p/T?stability diagram of ubiquitin could be obtained. Furthermore, kinetic FT-IR measurements were carried out using the pressure-jump relaxation technique. The denaturation process is shown to occur on a time scale which is about twice as long as that of the renaturation process, and both processes are much slower than the unfolding?refolding kinetics observed at ambient pressure. Temperature- and pressure-induced denaturation of the protein ubiquitin was investigated using FT-IR spectroscopy. On the basis of IR spectral parameters, different states are distinguished and a pressure/temperature?stability diagram of the protein has been determined. The evolution of the secondary structures with temperature illustrates that the band intensities of disordered structures decrease at the expense of the formation of intermolecular ?-sheets at 83 \u00b0C, pD 7, and ambient pressure, with the population of intramolecular ?-sheets and \u03b1-helices remaining essentially unchanged. At ambient temperature (T = 21 \u00b0C) and pD 7, ubiquitin denatures at 5.4 kbar. Contrary to other proteins studied so far, features of secondary structure of ubiquitin remain distinct at high pressure, suggesting that part of this small protein rearranges and does not unfold to disordered structures. The secondary structural changes during compression and decompression are fully reversible, and \u2026", "author" : [ { "dropping-particle" : "", "family" : "Herberhold", "given" : "Heinz", "non-dropping-particle" : "", "parse-names" : false, "suffix" : "" }, { "dropping-particle" : "", "family" : "Winter", "given" : "Roland", "non-dropping-particle" : "", "parse-names" : false, "suffix" : "" } ], "container-title" : "Biochemistry", "id" : "ITEM-1", "issue" : "7", "issued" : { "date-parts" : [ [ "2002", "2", "19" ] ] }, "page" : "2396-2401", "title" : "Temperature- and pressure-induced unfolding and refolding of ubiquitin: A static and kinetic fourier transform infrared spectroscopy study", "type" : "article-journal", "volume" : "41" }, "uris" : [ "http://www.mendeley.com/documents/?uuid=cb112213-f679-4eb2-b160-92f48a78bf90" ] }, { "id" : "ITEM-2", "itemData" : { "DOI" : "10.1002/cphc.200800522", "ISBN" : "1439-7641 (Electronic)\\r1439-4235 (Linking)", "ISSN" : "14394235", "PMID" : "18924198", "abstract" : "Herein, we explore the effect of different types of osmolytes on the high-pressure stability and tertiary structure of a well-characterized monomeric protein, staphylococcal nuclease (SNase). Changes in the denaturation pressure and the radius of gyration are obtained in the presence of different concentrations of trimethylamine N-oxide (TMAO), glycerol and urea. To reveal structural changes in the protein upon compression at various osmolyte conditions, small-angle X-ray scattering (SAXS) experiments were carried out. To this end, a new high-pressure cell suitable for high-precision SAXS studies at synchrotron sources was built, which allows one to carry out scattering experiments up to maximum pressures of about 7 kbar. Our data clearly indicate that the osmolytes that stabilize proteins against temperature-induced unfolding drastically increase their pressure stability and that the elliptically shaped curve of the pressure-temperature-stability diagram of proteins is shifted to higher temperatures and pressures with increasing osmolyte concentration. A drastic stabilization is observed for the osmolyte TMAO, which exhibits not only a significant stabilization against temperature-induced unfolding, but also a particularly strong stabilization of the protein against pressure. In fact, such findings are in accordance with in vivo studies (for example P. J. Yancey, J. Exp. Biol. 2005, 208, 2819-2830), where unusually high TMAO concentrations in some deep-sea animals were found. Conversely, chaotropic agents such as urea have a strong destabilizing effect on both the temperature and pressure stability of the protein. Our data also indicate that sufficiently high TMAO concentrations might be able to largely offset the destabilizing effect of urea. The different scenarios observed are discussed in the context of recent experimental and theoretical studies.", "author" : [ { "dropping-particle" : "", "family" : "Krywka", "given" : "Christina", "non-dropping-particle" : "", "parse-names" : false, "suffix" : "" }, { "dropping-particle" : "", "family" : "Sternemann", "given" : "Christian", "non-dropping-particle" : "", "parse-names" : false, "suffix" : "" }, { "dropping-particle" : "", "family" : "Paulus", "given" : "Michael", "non-dropping-particle" : "", "parse-names" : false, "suffix" : "" }, { "dropping-particle" : "", "family" : "Tolan", "given" : "Metin", "non-dropping-particle" : "", "parse-names" : false, "suffix" : "" }, { "dropping-particle" : "", "family" : "Royer", "given" : "Catherine", "non-dropping-particle" : "", "parse-names" : false, "suffix" : "" }, { "dropping-particle" : "", "family" : "Winter", "given" : "Roland", "non-dropping-particle" : "", "parse-names" : false, "suffix" : "" } ], "container-title" : "ChemPhysChem", "id" : "ITEM-2", "issue" : "18", "issued" : { "date-parts" : [ [ "2008" ] ] }, "page" : "2809-2815", "title" : "Effect of osmolytes on pressure-induced unfolding of proteins: A high-pressure SAXS study", "type" : "article-journal", "volume" : "9" }, "uris" : [ "http://www.mendeley.com/documents/?uuid=a56525ae-b586-4cd9-8a49-4266d933e554" ] } ], "mendeley" : { "formattedCitation" : "&lt;sup&gt;[37,41]&lt;/sup&gt;", "plainTextFormattedCitation" : "[37,41]", "previouslyFormattedCitation" : "&lt;sup&gt;[37,41]&lt;/sup&gt;" }, "properties" : { "noteIndex" : 0 }, "schema" : "https://github.com/citation-style-language/schema/raw/master/csl-citation.json" }</w:instrText>
      </w:r>
      <w:r w:rsidR="00625CA7">
        <w:fldChar w:fldCharType="separate"/>
      </w:r>
      <w:r w:rsidR="002C1133" w:rsidRPr="002C1133">
        <w:rPr>
          <w:noProof/>
          <w:vertAlign w:val="superscript"/>
        </w:rPr>
        <w:t>[37,41]</w:t>
      </w:r>
      <w:r w:rsidR="00625CA7">
        <w:fldChar w:fldCharType="end"/>
      </w:r>
      <w:r w:rsidR="00D67B08">
        <w:t xml:space="preserve"> </w:t>
      </w:r>
      <w:r w:rsidR="00DD7FDF">
        <w:t>but exactly</w:t>
      </w:r>
      <w:r w:rsidR="00F8074C">
        <w:t xml:space="preserve"> </w:t>
      </w:r>
      <w:r w:rsidR="00767E5D">
        <w:t>how such data should be interpreted on a mo</w:t>
      </w:r>
      <w:r w:rsidR="00674E6C">
        <w:t xml:space="preserve">lecular scale </w:t>
      </w:r>
      <w:r>
        <w:t xml:space="preserve">has </w:t>
      </w:r>
      <w:r w:rsidR="00DD7FDF">
        <w:t>remained unclear. This study</w:t>
      </w:r>
      <w:r w:rsidR="00674E6C">
        <w:t xml:space="preserve"> </w:t>
      </w:r>
      <w:r>
        <w:t xml:space="preserve">has </w:t>
      </w:r>
      <w:r w:rsidR="00F74BC4">
        <w:t>attempted to fill</w:t>
      </w:r>
      <w:r w:rsidR="00674E6C">
        <w:t xml:space="preserve"> the gap between experimental observations and molecular in</w:t>
      </w:r>
      <w:r>
        <w:t>teractions using a rigorous</w:t>
      </w:r>
      <w:r w:rsidR="00674E6C">
        <w:t xml:space="preserve"> statistical thermodynamics</w:t>
      </w:r>
      <w:r>
        <w:t xml:space="preserve"> approach</w:t>
      </w:r>
      <w:r w:rsidR="00625CA7">
        <w:t>.</w:t>
      </w:r>
      <w:r w:rsidR="005E50F2">
        <w:fldChar w:fldCharType="begin" w:fldLock="1"/>
      </w:r>
      <w:r w:rsidR="00AE0793">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"10.1021/jp0474879", "abstract" : "A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urea, guanidinium chloride, sodium chloride and 2,2,2,-trifluoroethanol. It is suggested that a determination of the simulated preferential interaction of a cosolvent with the native state of a protein under denaturing conditions provides the simplest test of available force fields, as it avoids simulations of the denatured state which are typically inaccessible with current computer power.\\nA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ur\u2026", "author" : [ { "dropping-particle" : "", "family" : "Smith", "given" : "Paul E.", "non-dropping-particle" : "", "parse-names" : false, "suffix" : "" } ], "container-title" : "Journal of Physical Chemistry B", "id" : "ITEM-2", "issue" : "48", "issued" : { "date-parts" : [ [ "2004", "12", "2" ] ] }, "page" : "18716-18724", "title" : "Cosolvent interactions with biomolecules: Relating computer simulation data to experimental thermodynamic data", "type" : "article-journal", "volume" : "108" }, "uris" : [ "http://www.mendeley.com/documents/?uuid=16db6586-5e10-48af-820c-5339cad79c8b" ] }, { "id" : "ITEM-3", "itemData" : { "abstract" : "A simple model for describing the effects of cosolvents on biomolecular equilibria in solution is presented. The model is developed using the Kirkwood-Buff theory of solutions and relates changes in the chemical potential of the cosolvent, due to the presence of the solute, to changes in the cosolvent (and water) concentrations in the vicinity of the biomolecule. The model is then used to determine the dependence of changes in the free energy for protein denaturation on cosolvent concentration. The experimentally observed linearity for urea, and small deviation from linear behavior for guanidinium chloride denaturation, are reproduced. In addition, the model is also predicted to provide a good description of the helix-inducing effects of TFE solutions.\\n\\nTimes Cited: 0 Article English Cited References Count: 36 860nb", "author" : [ { "dropping-particle" : "", "family" : "Smith", "given" : "Paul E.", "non-dropping-particle" : "", "parse-names" : false, "suffix" : "" } ], "container-title" : "Journal of Physical Chemistry B", "id" : "ITEM-3", "issue" : "41", "issued" : { "date-parts" : [ [ "2004", "10", "14" ] ] }, "page" : "16271-16278", "title" : "Local chemical potential equalization model for cosolvent effects on biomolecular equilibria", "type" : "article-journal", "volume" : "108" }, "uris" : [ "http://www.mendeley.com/documents/?uuid=dc2e1109-13ff-4078-8070-7c9910fa6c5d" ] }, { "id" : "ITEM-4",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"ITEM-4", "issue" : "18", "issued" : { "date-parts" : [ [ "2004" ] ] }, "page" : "9147-9155", "title" : "The Kirkwood-Buff theory and the effect of cosolvents on biochemical reactions", "type" : "article-journal", "volume" : "121" }, "uris" : [ "http://www.mendeley.com/documents/?uuid=773d4c28-f2d5-421b-a5a5-0066df199fbe" ] }, { "id" : "ITEM-5", "itemData" : { "DOI" : "10.1021/jp056100e", "abstract" : "Equilibrium dialysis data has provided valuable information concerning the preferential interaction of a cosolvent with a biomolecule in aqueous solutions. Here, we formulate the experimental data in terms of Kirkwood-Buff (KB) theory, resulting in equations that provide a simple physical picture of the dialysis experiment and thereby the interaction of a cosolvent with a biomolecule. These results are then used to establish exact relationships between preferential interaction coefficients, defined in different ensembles and/or using different concentration scales, in terms of KB integrals. It is then argued that the molality based equilibrium dialysis data represent the situation most relevant to computer simulations performed in either open or closed systems.", "author" : [ { "dropping-particle" : "", "family" : "Smith", "given" : "Paul E.", "non-dropping-particle" : "", "parse-names" : false, "suffix" : "" } ], "container-title" : "Journal of Physical Chemistry B", "id" : "ITEM-5", "issue" : "6", "issued" : { "date-parts" : [ [ "2006", "2", "16" ] ] }, "page" : "2862-2868", "publisher" : "American Chemical Society", "title" : "Equilibrium dialysis data and the relationships between preferential interaction parameters for biological systems in terms of kirkwood-buff integrals", "type" : "article-journal", "volume" : "110" }, "uris" : [ "http://www.mendeley.com/documents/?uuid=30b5c5be-cfb2-403d-ae77-c99d607c11a2" ] }, { "id" : "ITEM-6", "itemData" : { "DOI" : "10.1529/biophysj.105.078790", "abstract" : "New expressions for chemical potential derivatives and preferential interaction parameters for ternary mixtures are derived for open, semiopen, and closed ensembles in terms of Kirkwood-Buff integrals, where all three components are present at finite concentrations. This is achieved using a simple approach that avoids the use of the general matrix formulation of Kirkwood-Buff theory. The resulting expressions provide a rigorous foundation for the analysis of experimental and simulation data. Using the results, a simple model is developed and used to investigate the possible effects of finite protein concentrations on the corresponding cosolvent dependent chemical potential and denaturation thermodynamics.", "author" : [ { "dropping-particle" : "", "family" : "Smith", "given" : "Paul E.", "non-dropping-particle" : "", "parse-names" : false, "suffix" : "" } ], "container-title" : "Biophysical Journal", "id" : "ITEM-6", "issue" : "3", "issued" : { "date-parts" : [ [ "2006" ] ] }, "page" : "849-856", "title" : "Chemical Potential Derivatives and Preferential Interaction Parameters in Biological Systems from Kirkwood-Buff Theory", "type" : "article-journal", "volume" : "91" }, "uris" : [ "http://www.mendeley.com/documents/?uuid=541ab070-ef7f-443a-8357-2ca63184559d" ] }, { "id" : "ITEM-7",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"ITEM-7", "issue" : "23", "issued" : { "date-parts" : [ [ "2006" ] ] }, "page" : "234905", "title" : "The Hofmeister series and protein-salt interactions", "type" : "article-journal", "volume" : "124" }, "uris" : [ "http://www.mendeley.com/documents/?uuid=0a70a1b5-2739-4d43-a695-db256c211fdf" ] }, { "id" : "ITEM-8", "itemData" : { "abstract" : "The effect of cosolvents on biomolecular equilibria has traditionally been rationalized using simple binding models. More recently, a renewed interest in the use of Kirkwood-Buff (KB) theory to analyze solution mixtures has provided new information on the effects of osmolytes and denaturants and their interactions with biomolecules. Here we review the status of KB theory as applied to biological systems. In particular, the existing models of denaturation are analyzed in terms of KB theory, and the use of KB theory to interpret computer simulation data for these systems is discussed.", "author" : [ { "dropping-particle" : "", "family" : "Pierce", "given" : "Veronica", "non-dropping-particle" : "", "parse-names" : false, "suffix" : "" }, { "dropping-particle" : "", "family" : "Kang", "given" : "Myungshim", "non-dropping-particle" : "", "parse-names" : false, "suffix" : "" }, { "dropping-particle" : "", "family" : "Aburi", "given" : "Mahalaxmi", "non-dropping-particle" : "", "parse-names" : false, "suffix" : "" }, { "dropping-particle" : "", "family" : "Weerasinghe", "given" : "Samantha", "non-dropping-particle" : "", "parse-names" : false, "suffix" : "" }, { "dropping-particle" : "", "family" : "Smith", "given" : "Paul E.", "non-dropping-particle" : "", "parse-names" : false, "suffix" : "" } ], "container-title" : "Cell Biochemistry and Biophysics", "id" : "ITEM-8", "issue" : "1", "issued" : { "date-parts" : [ [ "2008", "1" ] ] }, "page" : "1-22", "title" : "Recent applications of Kirkwood-Buff theory to biological systems", "type" : "article", "volume" : "50" }, "uris" : [ "http://www.mendeley.com/documents/?uuid=aa149a7f-d08e-4339-a421-d51cf9a0ed4e" ] }, { "id" : "ITEM-9",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"ITEM-9", "issue" : "14", "issued" : { "date-parts" : [ [ "2014" ] ] }, "page" : "3922-3930", "title" : "Preferential solvation: Dividing surface vs excess numbers", "type" : "article-journal", "volume" : "118" }, "uris" : [ "http://www.mendeley.com/documents/?uuid=896fec6b-354e-41cd-a8de-55bd371a22f5" ] }, { "id" : "ITEM-10",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"ITEM-10",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"&lt;sup&gt;[42\u201351]&lt;/sup&gt;", "plainTextFormattedCitation" : "[42\u201351]", "previouslyFormattedCitation" : "&lt;sup&gt;[42\u201351]&lt;/sup&gt;" }, "properties" : { "noteIndex" : 0 }, "schema" : "https://github.com/citation-style-language/schema/raw/master/csl-citation.json" }</w:instrText>
      </w:r>
      <w:r w:rsidR="005E50F2">
        <w:fldChar w:fldCharType="separate"/>
      </w:r>
      <w:r w:rsidR="002C1133" w:rsidRPr="002C1133">
        <w:rPr>
          <w:noProof/>
          <w:vertAlign w:val="superscript"/>
        </w:rPr>
        <w:t>[42–51]</w:t>
      </w:r>
      <w:r w:rsidR="005E50F2">
        <w:fldChar w:fldCharType="end"/>
      </w:r>
      <w:r w:rsidR="00625CA7">
        <w:t xml:space="preserve"> </w:t>
      </w:r>
      <w:r w:rsidR="00674E6C">
        <w:t>The theory attributes the origin of osmolytes’ varying osmoprotection capacity to the competition between protein-osmolyte a</w:t>
      </w:r>
      <w:r w:rsidR="00243750">
        <w:t>nd protein-water interaction</w:t>
      </w:r>
      <w:r>
        <w:t>s</w:t>
      </w:r>
      <w:r w:rsidR="00243750">
        <w:t xml:space="preserve">. </w:t>
      </w:r>
      <w:r>
        <w:t xml:space="preserve">Analysis of the experimental data using the theory indicates </w:t>
      </w:r>
      <w:r w:rsidR="00243750">
        <w:t>the following molecular-scale scenario for</w:t>
      </w:r>
      <w:r w:rsidR="00D13695">
        <w:t xml:space="preserve"> s</w:t>
      </w:r>
      <w:r w:rsidR="00D44D22">
        <w:t xml:space="preserve">trong </w:t>
      </w:r>
      <w:r w:rsidR="00674E6C">
        <w:t>osmoprotection</w:t>
      </w:r>
      <w:r w:rsidR="001F2F59">
        <w:t xml:space="preserve"> (see Figure 5</w:t>
      </w:r>
      <w:r w:rsidR="00690596">
        <w:t>)</w:t>
      </w:r>
      <w:r w:rsidR="00243750">
        <w:t xml:space="preserve">: </w:t>
      </w:r>
      <w:r w:rsidR="00674E6C">
        <w:t xml:space="preserve"> </w:t>
      </w:r>
    </w:p>
    <w:p w14:paraId="4AF426D4" w14:textId="77777777" w:rsidR="00D44D22" w:rsidRDefault="00243750" w:rsidP="00243750">
      <w:pPr>
        <w:pStyle w:val="ListParagraph"/>
        <w:numPr>
          <w:ilvl w:val="0"/>
          <w:numId w:val="8"/>
        </w:numPr>
      </w:pPr>
      <w:r>
        <w:t xml:space="preserve">the osmolyte is more strongly excluded from the denatured state than the native state; </w:t>
      </w:r>
    </w:p>
    <w:p w14:paraId="13826571" w14:textId="77777777" w:rsidR="00D44D22" w:rsidRDefault="00243750" w:rsidP="00D44D22">
      <w:pPr>
        <w:pStyle w:val="ListParagraph"/>
        <w:numPr>
          <w:ilvl w:val="0"/>
          <w:numId w:val="8"/>
        </w:numPr>
      </w:pPr>
      <w:r>
        <w:t>the difference in osmolyte exclusion between the denatured and the native states are much larger than the change in hydration;</w:t>
      </w:r>
    </w:p>
    <w:p w14:paraId="0C7A4C0A" w14:textId="77777777" w:rsidR="00DB51FD" w:rsidRDefault="00243750" w:rsidP="00D44D22">
      <w:pPr>
        <w:pStyle w:val="ListParagraph"/>
        <w:numPr>
          <w:ilvl w:val="0"/>
          <w:numId w:val="8"/>
        </w:numPr>
      </w:pPr>
      <w:r>
        <w:t>the denatured state is more hydrated than the native state.</w:t>
      </w:r>
    </w:p>
    <w:p w14:paraId="4AC3C0A6" w14:textId="77777777" w:rsidR="00243750" w:rsidRDefault="00DB51FD" w:rsidP="00DB51FD">
      <w:r w:rsidRPr="00570D90">
        <w:t xml:space="preserve">TMAO represents the best osmoprotectant studied here and </w:t>
      </w:r>
      <w:r w:rsidR="00F74BC4">
        <w:t xml:space="preserve">this </w:t>
      </w:r>
      <w:r w:rsidRPr="00570D90">
        <w:t>indicates it is the most excluded from protein surfaces.</w:t>
      </w:r>
      <w:r w:rsidR="00243750" w:rsidRPr="00570D90">
        <w:t xml:space="preserve"> </w:t>
      </w:r>
      <w:r w:rsidRPr="00570D90">
        <w:t xml:space="preserve">Exactly why TMAO remains solvated rather than interacting directly with the protein surface has yet to be fully understood. </w:t>
      </w:r>
      <w:r w:rsidR="00F74BC4" w:rsidRPr="00F81E1C">
        <w:t>Clearly, strongly solvated molecules will prefer to retain their solvation shells rather than desolvate to interact with specific groups on the protein, i.e. they will be excluded from the protein surface. Nevertheless, rationalizing the relative strengths of different osmolytes, all of which are general</w:t>
      </w:r>
      <w:r w:rsidR="00DD7FDF">
        <w:t>ly</w:t>
      </w:r>
      <w:r w:rsidR="00F74BC4" w:rsidRPr="00F81E1C">
        <w:t xml:space="preserve"> excluded from the protein surface, is more difficult and will probably require computer simulation studies to provide the necessary detail.</w:t>
      </w:r>
      <w:r w:rsidR="00F74BC4">
        <w:t xml:space="preserve"> </w:t>
      </w:r>
      <w:r w:rsidRPr="00570D90">
        <w:t>However, the theory presented here allows one to quantify this effect and provides a direct link between the molecular distributions and the corresponding thermodynamics.</w:t>
      </w:r>
    </w:p>
    <w:p w14:paraId="52C26FCE" w14:textId="41E9A03F" w:rsidR="00A61C4B" w:rsidRDefault="00243750" w:rsidP="00B144EB">
      <w:pPr>
        <w:ind w:firstLine="720"/>
      </w:pPr>
      <w:r>
        <w:t>The protein-water and protein-osmolyte inter</w:t>
      </w:r>
      <w:r w:rsidR="00B144EB">
        <w:t>actions in solution give rise to a general</w:t>
      </w:r>
      <w:r w:rsidR="0027203D">
        <w:t xml:space="preserve"> </w:t>
      </w:r>
      <w:r w:rsidR="00B144EB">
        <w:t>“</w:t>
      </w:r>
      <w:r w:rsidR="0027203D">
        <w:t>solvation</w:t>
      </w:r>
      <w:r w:rsidR="00B144EB">
        <w:t>” of the protein that</w:t>
      </w:r>
      <w:r w:rsidR="00052AA8">
        <w:t xml:space="preserve"> is beyond the reach </w:t>
      </w:r>
      <w:r w:rsidR="00DD7FDF">
        <w:t>of traditional chemistry models -</w:t>
      </w:r>
      <w:r w:rsidR="00052AA8">
        <w:t xml:space="preserve"> such as chemical equations and solvent binding si</w:t>
      </w:r>
      <w:r w:rsidR="00B144EB">
        <w:t>te stoichiometry</w:t>
      </w:r>
      <w:r w:rsidR="00DD7FDF">
        <w:t xml:space="preserve"> -</w:t>
      </w:r>
      <w:r w:rsidR="00084BFE">
        <w:t xml:space="preserve"> despite decades of </w:t>
      </w:r>
      <w:r w:rsidR="00B144EB">
        <w:t>seminal attempts</w:t>
      </w:r>
      <w:r w:rsidR="00052AA8">
        <w:t xml:space="preserve">. </w:t>
      </w:r>
      <w:r w:rsidR="008B3214">
        <w:t xml:space="preserve">Instead, </w:t>
      </w:r>
      <w:r w:rsidR="00B144EB">
        <w:t>this solvation results from</w:t>
      </w:r>
      <w:r w:rsidR="008B3214">
        <w:t xml:space="preserve"> weak, non-specific and long-ranged</w:t>
      </w:r>
      <w:r w:rsidR="00B144EB">
        <w:t xml:space="preserve"> interactions</w:t>
      </w:r>
      <w:r w:rsidR="008B3214">
        <w:t xml:space="preserve">, whose dynamic nature can only be characterized statistically, through the </w:t>
      </w:r>
      <w:r w:rsidR="008B3214" w:rsidRPr="00537726">
        <w:rPr>
          <w:i/>
        </w:rPr>
        <w:t>average</w:t>
      </w:r>
      <w:r w:rsidR="008B3214">
        <w:t xml:space="preserve"> spatial distribution of solvents</w:t>
      </w:r>
      <w:r w:rsidR="00625CA7">
        <w:t>.</w:t>
      </w:r>
      <w:r w:rsidR="00625CA7">
        <w:fldChar w:fldCharType="begin" w:fldLock="1"/>
      </w:r>
      <w:r w:rsidR="00AE0793">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"10.1021/jp0474879", "abstract" : "A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urea, guanidinium chloride, sodium chloride and 2,2,2,-trifluoroethanol. It is suggested that a determination of the simulated preferential interaction of a cosolvent with the native state of a protein under denaturing conditions provides the simplest test of available force fields, as it avoids simulations of the denatured state which are typically inaccessible with current computer power.\\nA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ur\u2026", "author" : [ { "dropping-particle" : "", "family" : "Smith", "given" : "Paul E.", "non-dropping-particle" : "", "parse-names" : false, "suffix" : "" } ], "container-title" : "Journal of Physical Chemistry B", "id" : "ITEM-2", "issue" : "48", "issued" : { "date-parts" : [ [ "2004", "12", "2" ] ] }, "page" : "18716-18724", "title" : "Cosolvent interactions with biomolecules: Relating computer simulation data to experimental thermodynamic data", "type" : "article-journal", "volume" : "108" }, "uris" : [ "http://www.mendeley.com/documents/?uuid=16db6586-5e10-48af-820c-5339cad79c8b" ] }, { "id" : "ITEM-3", "itemData" : { "abstract" : "A simple model for describing the effects of cosolvents on biomolecular equilibria in solution is presented. The model is developed using the Kirkwood-Buff theory of solutions and relates changes in the chemical potential of the cosolvent, due to the presence of the solute, to changes in the cosolvent (and water) concentrations in the vicinity of the biomolecule. The model is then used to determine the dependence of changes in the free energy for protein denaturation on cosolvent concentration. The experimentally observed linearity for urea, and small deviation from linear behavior for guanidinium chloride denaturation, are reproduced. In addition, the model is also predicted to provide a good description of the helix-inducing effects of TFE solutions.\\n\\nTimes Cited: 0 Article English Cited References Count: 36 860nb", "author" : [ { "dropping-particle" : "", "family" : "Smith", "given" : "Paul E.", "non-dropping-particle" : "", "parse-names" : false, "suffix" : "" } ], "container-title" : "Journal of Physical Chemistry B", "id" : "ITEM-3", "issue" : "41", "issued" : { "date-parts" : [ [ "2004", "10", "14" ] ] }, "page" : "16271-16278", "title" : "Local chemical potential equalization model for cosolvent effects on biomolecular equilibria", "type" : "article-journal", "volume" : "108" }, "uris" : [ "http://www.mendeley.com/documents/?uuid=dc2e1109-13ff-4078-8070-7c9910fa6c5d" ] }, { "id" : "ITEM-4",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"ITEM-4", "issue" : "18", "issued" : { "date-parts" : [ [ "2004" ] ] }, "page" : "9147-9155", "title" : "The Kirkwood-Buff theory and the effect of cosolvents on biochemical reactions", "type" : "article-journal", "volume" : "121" }, "uris" : [ "http://www.mendeley.com/documents/?uuid=773d4c28-f2d5-421b-a5a5-0066df199fbe" ] }, { "id" : "ITEM-5", "itemData" : { "DOI" : "10.1021/jp056100e", "abstract" : "Equilibrium dialysis data has provided valuable information concerning the preferential interaction of a cosolvent with a biomolecule in aqueous solutions. Here, we formulate the experimental data in terms of Kirkwood-Buff (KB) theory, resulting in equations that provide a simple physical picture of the dialysis experiment and thereby the interaction of a cosolvent with a biomolecule. These results are then used to establish exact relationships between preferential interaction coefficients, defined in different ensembles and/or using different concentration scales, in terms of KB integrals. It is then argued that the molality based equilibrium dialysis data represent the situation most relevant to computer simulations performed in either open or closed systems.", "author" : [ { "dropping-particle" : "", "family" : "Smith", "given" : "Paul E.", "non-dropping-particle" : "", "parse-names" : false, "suffix" : "" } ], "container-title" : "Journal of Physical Chemistry B", "id" : "ITEM-5", "issue" : "6", "issued" : { "date-parts" : [ [ "2006", "2", "16" ] ] }, "page" : "2862-2868", "publisher" : "American Chemical Society", "title" : "Equilibrium dialysis data and the relationships between preferential interaction parameters for biological systems in terms of kirkwood-buff integrals", "type" : "article-journal", "volume" : "110" }, "uris" : [ "http://www.mendeley.com/documents/?uuid=30b5c5be-cfb2-403d-ae77-c99d607c11a2" ] }, { "id" : "ITEM-6", "itemData" : { "DOI" : "10.1529/biophysj.105.078790", "abstract" : "New expressions for chemical potential derivatives and preferential interaction parameters for ternary mixtures are derived for open, semiopen, and closed ensembles in terms of Kirkwood-Buff integrals, where all three components are present at finite concentrations. This is achieved using a simple approach that avoids the use of the general matrix formulation of Kirkwood-Buff theory. The resulting expressions provide a rigorous foundation for the analysis of experimental and simulation data. Using the results, a simple model is developed and used to investigate the possible effects of finite protein concentrations on the corresponding cosolvent dependent chemical potential and denaturation thermodynamics.", "author" : [ { "dropping-particle" : "", "family" : "Smith", "given" : "Paul E.", "non-dropping-particle" : "", "parse-names" : false, "suffix" : "" } ], "container-title" : "Biophysical Journal", "id" : "ITEM-6", "issue" : "3", "issued" : { "date-parts" : [ [ "2006" ] ] }, "page" : "849-856", "title" : "Chemical Potential Derivatives and Preferential Interaction Parameters in Biological Systems from Kirkwood-Buff Theory", "type" : "article-journal", "volume" : "91" }, "uris" : [ "http://www.mendeley.com/documents/?uuid=541ab070-ef7f-443a-8357-2ca63184559d" ] }, { "id" : "ITEM-7",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"ITEM-7", "issue" : "23", "issued" : { "date-parts" : [ [ "2006" ] ] }, "page" : "234905", "title" : "The Hofmeister series and protein-salt interactions", "type" : "article-journal", "volume" : "124" }, "uris" : [ "http://www.mendeley.com/documents/?uuid=0a70a1b5-2739-4d43-a695-db256c211fdf" ] }, { "id" : "ITEM-8", "itemData" : { "abstract" : "The effect of cosolvents on biomolecular equilibria has traditionally been rationalized using simple binding models. More recently, a renewed interest in the use of Kirkwood-Buff (KB) theory to analyze solution mixtures has provided new information on the effects of osmolytes and denaturants and their interactions with biomolecules. Here we review the status of KB theory as applied to biological systems. In particular, the existing models of denaturation are analyzed in terms of KB theory, and the use of KB theory to interpret computer simulation data for these systems is discussed.", "author" : [ { "dropping-particle" : "", "family" : "Pierce", "given" : "Veronica", "non-dropping-particle" : "", "parse-names" : false, "suffix" : "" }, { "dropping-particle" : "", "family" : "Kang", "given" : "Myungshim", "non-dropping-particle" : "", "parse-names" : false, "suffix" : "" }, { "dropping-particle" : "", "family" : "Aburi", "given" : "Mahalaxmi", "non-dropping-particle" : "", "parse-names" : false, "suffix" : "" }, { "dropping-particle" : "", "family" : "Weerasinghe", "given" : "Samantha", "non-dropping-particle" : "", "parse-names" : false, "suffix" : "" }, { "dropping-particle" : "", "family" : "Smith", "given" : "Paul E.", "non-dropping-particle" : "", "parse-names" : false, "suffix" : "" } ], "container-title" : "Cell Biochemistry and Biophysics", "id" : "ITEM-8", "issue" : "1", "issued" : { "date-parts" : [ [ "2008", "1" ] ] }, "page" : "1-22", "title" : "Recent applications of Kirkwood-Buff theory to biological systems", "type" : "article", "volume" : "50" }, "uris" : [ "http://www.mendeley.com/documents/?uuid=aa149a7f-d08e-4339-a421-d51cf9a0ed4e" ] }, { "id" : "ITEM-9",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"ITEM-9", "issue" : "14", "issued" : { "date-parts" : [ [ "2014" ] ] }, "page" : "3922-3930", "title" : "Preferential solvation: Dividing surface vs excess numbers", "type" : "article-journal", "volume" : "118" }, "uris" : [ "http://www.mendeley.com/documents/?uuid=896fec6b-354e-41cd-a8de-55bd371a22f5" ] }, { "id" : "ITEM-10",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"ITEM-10",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"&lt;sup&gt;[42\u201351]&lt;/sup&gt;", "plainTextFormattedCitation" : "[42\u201351]", "previouslyFormattedCitation" : "&lt;sup&gt;[42\u201351]&lt;/sup&gt;" }, "properties" : { "noteIndex" : 0 }, "schema" : "https://github.com/citation-style-language/schema/raw/master/csl-citation.json" }</w:instrText>
      </w:r>
      <w:r w:rsidR="00625CA7">
        <w:fldChar w:fldCharType="separate"/>
      </w:r>
      <w:r w:rsidR="002C1133" w:rsidRPr="002C1133">
        <w:rPr>
          <w:noProof/>
          <w:vertAlign w:val="superscript"/>
        </w:rPr>
        <w:t>[42–51]</w:t>
      </w:r>
      <w:r w:rsidR="00625CA7">
        <w:fldChar w:fldCharType="end"/>
      </w:r>
      <w:r w:rsidR="00625CA7">
        <w:t xml:space="preserve"> </w:t>
      </w:r>
      <w:r w:rsidR="00820F03">
        <w:t>Deep sea organisms h</w:t>
      </w:r>
      <w:r w:rsidR="00B144EB">
        <w:t>ave long been exploiting such weak</w:t>
      </w:r>
      <w:r w:rsidR="00820F03">
        <w:t xml:space="preserve"> interaction</w:t>
      </w:r>
      <w:r w:rsidR="00B144EB">
        <w:t>s</w:t>
      </w:r>
      <w:r w:rsidR="00820F03">
        <w:t xml:space="preserve"> whose subtlety has eluded the theory of biomolecular solutions</w:t>
      </w:r>
      <w:r w:rsidR="001D4B21">
        <w:t>. Only recently have</w:t>
      </w:r>
      <w:r w:rsidR="00B144EB">
        <w:t xml:space="preserve"> </w:t>
      </w:r>
      <w:r w:rsidR="001D4B21">
        <w:t xml:space="preserve">the required </w:t>
      </w:r>
      <w:r w:rsidR="00B144EB">
        <w:t>distributions been quantified using KB integrals</w:t>
      </w:r>
      <w:r w:rsidR="0030133F">
        <w:t>,</w:t>
      </w:r>
      <w:r w:rsidR="001D4B21">
        <w:t xml:space="preserve"> thereby providing the necessary insig</w:t>
      </w:r>
      <w:r w:rsidR="00A823F4">
        <w:t xml:space="preserve">hts into osmolyte </w:t>
      </w:r>
      <w:r w:rsidR="00DE7E1E">
        <w:t xml:space="preserve">and chaotrope </w:t>
      </w:r>
      <w:r w:rsidR="001D4B21">
        <w:t xml:space="preserve">behavior.  </w:t>
      </w:r>
    </w:p>
    <w:p w14:paraId="084800F7" w14:textId="77777777" w:rsidR="00512E8D" w:rsidRDefault="00512E8D" w:rsidP="00820F03">
      <w:pPr>
        <w:rPr>
          <w:rFonts w:eastAsiaTheme="minorEastAsia"/>
          <w:b/>
        </w:rPr>
      </w:pPr>
    </w:p>
    <w:p w14:paraId="4D59B003" w14:textId="77777777" w:rsidR="00820F03" w:rsidRPr="00820F03" w:rsidRDefault="00820F03" w:rsidP="00820F03">
      <w:pPr>
        <w:rPr>
          <w:rFonts w:eastAsiaTheme="minorEastAsia"/>
          <w:b/>
        </w:rPr>
      </w:pPr>
      <w:r w:rsidRPr="00820F03">
        <w:rPr>
          <w:rFonts w:eastAsiaTheme="minorEastAsia"/>
          <w:b/>
        </w:rPr>
        <w:t>Acknowledgements</w:t>
      </w:r>
    </w:p>
    <w:p w14:paraId="04C24A58" w14:textId="77777777" w:rsidR="00820F03" w:rsidRDefault="00B144EB" w:rsidP="00820F03">
      <w:pPr>
        <w:rPr>
          <w:rFonts w:eastAsiaTheme="minorEastAsia"/>
        </w:rPr>
      </w:pPr>
      <w:r w:rsidRPr="00B144EB">
        <w:rPr>
          <w:rFonts w:eastAsiaTheme="minorEastAsia"/>
        </w:rPr>
        <w:t>The project described wa</w:t>
      </w:r>
      <w:r w:rsidR="00D509A4">
        <w:rPr>
          <w:rFonts w:eastAsiaTheme="minorEastAsia"/>
        </w:rPr>
        <w:t xml:space="preserve">s supported </w:t>
      </w:r>
      <w:r w:rsidR="00570D90" w:rsidRPr="00F74BC4">
        <w:rPr>
          <w:rFonts w:eastAsiaTheme="minorEastAsia"/>
        </w:rPr>
        <w:t xml:space="preserve">by the Gen Foundation to SS and </w:t>
      </w:r>
      <w:r w:rsidR="00D509A4" w:rsidRPr="00F74BC4">
        <w:rPr>
          <w:rFonts w:eastAsiaTheme="minorEastAsia"/>
        </w:rPr>
        <w:t>by grant R01GM118719</w:t>
      </w:r>
      <w:r w:rsidRPr="00F74BC4">
        <w:rPr>
          <w:rFonts w:eastAsiaTheme="minorEastAsia"/>
        </w:rPr>
        <w:t xml:space="preserve"> from the National Institute of General Medical Sciences to PES. The content is solely the responsibility of the authors and does not necessarily represent the official views of </w:t>
      </w:r>
      <w:r w:rsidR="005D2A35" w:rsidRPr="00F74BC4">
        <w:rPr>
          <w:rFonts w:eastAsiaTheme="minorEastAsia"/>
        </w:rPr>
        <w:t xml:space="preserve">the Gen Foundation, </w:t>
      </w:r>
      <w:r w:rsidRPr="00F74BC4">
        <w:rPr>
          <w:rFonts w:eastAsiaTheme="minorEastAsia"/>
        </w:rPr>
        <w:t>the National Institute of Gene</w:t>
      </w:r>
      <w:r w:rsidRPr="00B144EB">
        <w:rPr>
          <w:rFonts w:eastAsiaTheme="minorEastAsia"/>
        </w:rPr>
        <w:t>ral Medi</w:t>
      </w:r>
      <w:r>
        <w:rPr>
          <w:rFonts w:eastAsiaTheme="minorEastAsia"/>
        </w:rPr>
        <w:t>cal Science</w:t>
      </w:r>
      <w:r w:rsidR="00C7020F">
        <w:rPr>
          <w:rFonts w:eastAsiaTheme="minorEastAsia"/>
        </w:rPr>
        <w:t>,</w:t>
      </w:r>
      <w:r>
        <w:rPr>
          <w:rFonts w:eastAsiaTheme="minorEastAsia"/>
        </w:rPr>
        <w:t xml:space="preserve"> or</w:t>
      </w:r>
      <w:r w:rsidRPr="00B144EB">
        <w:rPr>
          <w:rFonts w:eastAsiaTheme="minorEastAsia"/>
        </w:rPr>
        <w:t xml:space="preserve"> the Na</w:t>
      </w:r>
      <w:r>
        <w:rPr>
          <w:rFonts w:eastAsiaTheme="minorEastAsia"/>
        </w:rPr>
        <w:t>tional Institutes of Health.</w:t>
      </w:r>
      <w:r w:rsidRPr="00B144EB">
        <w:rPr>
          <w:rFonts w:eastAsiaTheme="minorEastAsia"/>
        </w:rPr>
        <w:t xml:space="preserve"> </w:t>
      </w:r>
      <w:r>
        <w:rPr>
          <w:rFonts w:eastAsiaTheme="minorEastAsia"/>
        </w:rPr>
        <w:t xml:space="preserve"> </w:t>
      </w:r>
      <w:r w:rsidR="00820F03">
        <w:rPr>
          <w:rFonts w:eastAsiaTheme="minorEastAsia"/>
        </w:rPr>
        <w:t xml:space="preserve"> </w:t>
      </w:r>
    </w:p>
    <w:p w14:paraId="0FDAC02B" w14:textId="78A82644" w:rsidR="00114E37" w:rsidRDefault="00114E37" w:rsidP="00820F03">
      <w:pPr>
        <w:rPr>
          <w:rFonts w:eastAsiaTheme="minorEastAsia"/>
        </w:rPr>
      </w:pPr>
    </w:p>
    <w:p w14:paraId="3020242C" w14:textId="77777777" w:rsidR="007562B6" w:rsidRPr="007562B6" w:rsidRDefault="007562B6" w:rsidP="007562B6">
      <w:pPr>
        <w:rPr>
          <w:rFonts w:eastAsiaTheme="minorEastAsia"/>
          <w:b/>
        </w:rPr>
      </w:pPr>
      <w:r w:rsidRPr="007562B6">
        <w:rPr>
          <w:rFonts w:eastAsiaTheme="minorEastAsia"/>
          <w:b/>
        </w:rPr>
        <w:t>References</w:t>
      </w:r>
    </w:p>
    <w:p w14:paraId="0E4B656C" w14:textId="574B9354" w:rsidR="007B58C9" w:rsidRPr="007B58C9" w:rsidRDefault="00253557" w:rsidP="007B58C9">
      <w:pPr>
        <w:widowControl w:val="0"/>
        <w:autoSpaceDE w:val="0"/>
        <w:autoSpaceDN w:val="0"/>
        <w:adjustRightInd w:val="0"/>
        <w:ind w:left="640" w:hanging="640"/>
        <w:rPr>
          <w:rFonts w:cs="Times New Roman"/>
          <w:noProof/>
          <w:szCs w:val="24"/>
        </w:rPr>
      </w:pPr>
      <w:r>
        <w:rPr>
          <w:rFonts w:eastAsiaTheme="minorEastAsia"/>
          <w:lang w:val="en-GB"/>
        </w:rPr>
        <w:fldChar w:fldCharType="begin" w:fldLock="1"/>
      </w:r>
      <w:r>
        <w:rPr>
          <w:rFonts w:eastAsiaTheme="minorEastAsia"/>
          <w:lang w:val="en-GB"/>
        </w:rPr>
        <w:instrText xml:space="preserve">ADDIN Mendeley Bibliography CSL_BIBLIOGRAPHY </w:instrText>
      </w:r>
      <w:r>
        <w:rPr>
          <w:rFonts w:eastAsiaTheme="minorEastAsia"/>
          <w:lang w:val="en-GB"/>
        </w:rPr>
        <w:fldChar w:fldCharType="separate"/>
      </w:r>
      <w:r w:rsidR="007B58C9" w:rsidRPr="007B58C9">
        <w:rPr>
          <w:rFonts w:cs="Times New Roman"/>
          <w:noProof/>
          <w:szCs w:val="24"/>
        </w:rPr>
        <w:t>[1]</w:t>
      </w:r>
      <w:r w:rsidR="007B58C9" w:rsidRPr="007B58C9">
        <w:rPr>
          <w:rFonts w:cs="Times New Roman"/>
          <w:noProof/>
          <w:szCs w:val="24"/>
        </w:rPr>
        <w:tab/>
        <w:t xml:space="preserve">P. H. Yancey, J. F. Siebenaller, </w:t>
      </w:r>
      <w:r w:rsidR="007B58C9" w:rsidRPr="007B58C9">
        <w:rPr>
          <w:rFonts w:cs="Times New Roman"/>
          <w:i/>
          <w:iCs/>
          <w:noProof/>
          <w:szCs w:val="24"/>
        </w:rPr>
        <w:t>J. Exp. Biol.</w:t>
      </w:r>
      <w:r w:rsidR="007B58C9" w:rsidRPr="007B58C9">
        <w:rPr>
          <w:rFonts w:cs="Times New Roman"/>
          <w:noProof/>
          <w:szCs w:val="24"/>
        </w:rPr>
        <w:t xml:space="preserve"> </w:t>
      </w:r>
      <w:r w:rsidR="007B58C9" w:rsidRPr="007B58C9">
        <w:rPr>
          <w:rFonts w:cs="Times New Roman"/>
          <w:b/>
          <w:bCs/>
          <w:noProof/>
          <w:szCs w:val="24"/>
        </w:rPr>
        <w:t>1999</w:t>
      </w:r>
      <w:r w:rsidR="007B58C9" w:rsidRPr="007B58C9">
        <w:rPr>
          <w:rFonts w:cs="Times New Roman"/>
          <w:noProof/>
          <w:szCs w:val="24"/>
        </w:rPr>
        <w:t xml:space="preserve">, </w:t>
      </w:r>
      <w:r w:rsidR="007B58C9" w:rsidRPr="007B58C9">
        <w:rPr>
          <w:rFonts w:cs="Times New Roman"/>
          <w:i/>
          <w:iCs/>
          <w:noProof/>
          <w:szCs w:val="24"/>
        </w:rPr>
        <w:t>202</w:t>
      </w:r>
      <w:r w:rsidR="007B58C9" w:rsidRPr="007B58C9">
        <w:rPr>
          <w:rFonts w:cs="Times New Roman"/>
          <w:noProof/>
          <w:szCs w:val="24"/>
        </w:rPr>
        <w:t>, 3597–3603.</w:t>
      </w:r>
    </w:p>
    <w:p w14:paraId="7D7EA730"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[2]</w:t>
      </w:r>
      <w:r w:rsidRPr="007B58C9">
        <w:rPr>
          <w:rFonts w:cs="Times New Roman"/>
          <w:noProof/>
          <w:szCs w:val="24"/>
        </w:rPr>
        <w:tab/>
        <w:t xml:space="preserve">P. H. Yancey, A. L. Fyfe-Johnson, R. H. Kelly, V. P. Walker, M. T. Aun, </w:t>
      </w:r>
      <w:r w:rsidRPr="007B58C9">
        <w:rPr>
          <w:rFonts w:cs="Times New Roman"/>
          <w:i/>
          <w:iCs/>
          <w:noProof/>
          <w:szCs w:val="24"/>
        </w:rPr>
        <w:t>J. Exp. Zool.</w:t>
      </w:r>
      <w:r w:rsidRPr="007B58C9">
        <w:rPr>
          <w:rFonts w:cs="Times New Roman"/>
          <w:noProof/>
          <w:szCs w:val="24"/>
        </w:rPr>
        <w:t xml:space="preserve"> </w:t>
      </w:r>
      <w:r w:rsidRPr="007B58C9">
        <w:rPr>
          <w:rFonts w:cs="Times New Roman"/>
          <w:b/>
          <w:bCs/>
          <w:noProof/>
          <w:szCs w:val="24"/>
        </w:rPr>
        <w:t>2001</w:t>
      </w:r>
      <w:r w:rsidRPr="007B58C9">
        <w:rPr>
          <w:rFonts w:cs="Times New Roman"/>
          <w:noProof/>
          <w:szCs w:val="24"/>
        </w:rPr>
        <w:t xml:space="preserve">, </w:t>
      </w:r>
      <w:r w:rsidRPr="007B58C9">
        <w:rPr>
          <w:rFonts w:cs="Times New Roman"/>
          <w:i/>
          <w:iCs/>
          <w:noProof/>
          <w:szCs w:val="24"/>
        </w:rPr>
        <w:t>289</w:t>
      </w:r>
      <w:r w:rsidRPr="007B58C9">
        <w:rPr>
          <w:rFonts w:cs="Times New Roman"/>
          <w:noProof/>
          <w:szCs w:val="24"/>
        </w:rPr>
        <w:t>, 172–176.</w:t>
      </w:r>
    </w:p>
    <w:p w14:paraId="7EE0DD29"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[3]</w:t>
      </w:r>
      <w:r w:rsidRPr="007B58C9">
        <w:rPr>
          <w:rFonts w:cs="Times New Roman"/>
          <w:noProof/>
          <w:szCs w:val="24"/>
        </w:rPr>
        <w:tab/>
        <w:t xml:space="preserve">P. H. Yancey, M. E. Gerringer, J. C. Drazen, A. a Rowden, A. Jamieson, </w:t>
      </w:r>
      <w:r w:rsidRPr="007B58C9">
        <w:rPr>
          <w:rFonts w:cs="Times New Roman"/>
          <w:i/>
          <w:iCs/>
          <w:noProof/>
          <w:szCs w:val="24"/>
        </w:rPr>
        <w:t>Proc. Natl. Acad. Sci. U. S. A.</w:t>
      </w:r>
      <w:r w:rsidRPr="007B58C9">
        <w:rPr>
          <w:rFonts w:cs="Times New Roman"/>
          <w:noProof/>
          <w:szCs w:val="24"/>
        </w:rPr>
        <w:t xml:space="preserve"> </w:t>
      </w:r>
      <w:r w:rsidRPr="007B58C9">
        <w:rPr>
          <w:rFonts w:cs="Times New Roman"/>
          <w:b/>
          <w:bCs/>
          <w:noProof/>
          <w:szCs w:val="24"/>
        </w:rPr>
        <w:t>2014</w:t>
      </w:r>
      <w:r w:rsidRPr="007B58C9">
        <w:rPr>
          <w:rFonts w:cs="Times New Roman"/>
          <w:noProof/>
          <w:szCs w:val="24"/>
        </w:rPr>
        <w:t xml:space="preserve">, </w:t>
      </w:r>
      <w:r w:rsidRPr="007B58C9">
        <w:rPr>
          <w:rFonts w:cs="Times New Roman"/>
          <w:i/>
          <w:iCs/>
          <w:noProof/>
          <w:szCs w:val="24"/>
        </w:rPr>
        <w:t>111</w:t>
      </w:r>
      <w:r w:rsidRPr="007B58C9">
        <w:rPr>
          <w:rFonts w:cs="Times New Roman"/>
          <w:noProof/>
          <w:szCs w:val="24"/>
        </w:rPr>
        <w:t>, 4461–4465.</w:t>
      </w:r>
    </w:p>
    <w:p w14:paraId="1391707F"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[4]</w:t>
      </w:r>
      <w:r w:rsidRPr="007B58C9">
        <w:rPr>
          <w:rFonts w:cs="Times New Roman"/>
          <w:noProof/>
          <w:szCs w:val="24"/>
        </w:rPr>
        <w:tab/>
        <w:t xml:space="preserve">P. H. Yancey, J. F. Siebenaller, </w:t>
      </w:r>
      <w:r w:rsidRPr="007B58C9">
        <w:rPr>
          <w:rFonts w:cs="Times New Roman"/>
          <w:i/>
          <w:iCs/>
          <w:noProof/>
          <w:szCs w:val="24"/>
        </w:rPr>
        <w:t>J. Exp. Biol.</w:t>
      </w:r>
      <w:r w:rsidRPr="007B58C9">
        <w:rPr>
          <w:rFonts w:cs="Times New Roman"/>
          <w:noProof/>
          <w:szCs w:val="24"/>
        </w:rPr>
        <w:t xml:space="preserve"> </w:t>
      </w:r>
      <w:r w:rsidRPr="007B58C9">
        <w:rPr>
          <w:rFonts w:cs="Times New Roman"/>
          <w:b/>
          <w:bCs/>
          <w:noProof/>
          <w:szCs w:val="24"/>
        </w:rPr>
        <w:t>2015</w:t>
      </w:r>
      <w:r w:rsidRPr="007B58C9">
        <w:rPr>
          <w:rFonts w:cs="Times New Roman"/>
          <w:noProof/>
          <w:szCs w:val="24"/>
        </w:rPr>
        <w:t xml:space="preserve">, </w:t>
      </w:r>
      <w:r w:rsidRPr="007B58C9">
        <w:rPr>
          <w:rFonts w:cs="Times New Roman"/>
          <w:i/>
          <w:iCs/>
          <w:noProof/>
          <w:szCs w:val="24"/>
        </w:rPr>
        <w:t>218</w:t>
      </w:r>
      <w:r w:rsidRPr="007B58C9">
        <w:rPr>
          <w:rFonts w:cs="Times New Roman"/>
          <w:noProof/>
          <w:szCs w:val="24"/>
        </w:rPr>
        <w:t>, 1880–96.</w:t>
      </w:r>
    </w:p>
    <w:p w14:paraId="4D9582B1"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[5]</w:t>
      </w:r>
      <w:r w:rsidRPr="007B58C9">
        <w:rPr>
          <w:rFonts w:cs="Times New Roman"/>
          <w:noProof/>
          <w:szCs w:val="24"/>
        </w:rPr>
        <w:tab/>
        <w:t xml:space="preserve">D. M. Taverna, R. A. Goldstein, </w:t>
      </w:r>
      <w:r w:rsidRPr="007B58C9">
        <w:rPr>
          <w:rFonts w:cs="Times New Roman"/>
          <w:i/>
          <w:iCs/>
          <w:noProof/>
          <w:szCs w:val="24"/>
        </w:rPr>
        <w:t>Proteins</w:t>
      </w:r>
      <w:r w:rsidRPr="007B58C9">
        <w:rPr>
          <w:rFonts w:cs="Times New Roman"/>
          <w:noProof/>
          <w:szCs w:val="24"/>
        </w:rPr>
        <w:t xml:space="preserve"> </w:t>
      </w:r>
      <w:r w:rsidRPr="007B58C9">
        <w:rPr>
          <w:rFonts w:cs="Times New Roman"/>
          <w:b/>
          <w:bCs/>
          <w:noProof/>
          <w:szCs w:val="24"/>
        </w:rPr>
        <w:t>2002</w:t>
      </w:r>
      <w:r w:rsidRPr="007B58C9">
        <w:rPr>
          <w:rFonts w:cs="Times New Roman"/>
          <w:noProof/>
          <w:szCs w:val="24"/>
        </w:rPr>
        <w:t xml:space="preserve">, </w:t>
      </w:r>
      <w:r w:rsidRPr="007B58C9">
        <w:rPr>
          <w:rFonts w:cs="Times New Roman"/>
          <w:i/>
          <w:iCs/>
          <w:noProof/>
          <w:szCs w:val="24"/>
        </w:rPr>
        <w:t>46</w:t>
      </w:r>
      <w:r w:rsidRPr="007B58C9">
        <w:rPr>
          <w:rFonts w:cs="Times New Roman"/>
          <w:noProof/>
          <w:szCs w:val="24"/>
        </w:rPr>
        <w:t>, 105–109.</w:t>
      </w:r>
    </w:p>
    <w:p w14:paraId="7BC38FDF"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[6]</w:t>
      </w:r>
      <w:r w:rsidRPr="007B58C9">
        <w:rPr>
          <w:rFonts w:cs="Times New Roman"/>
          <w:noProof/>
          <w:szCs w:val="24"/>
        </w:rPr>
        <w:tab/>
        <w:t xml:space="preserve">C. A. Royer, in </w:t>
      </w:r>
      <w:r w:rsidRPr="007B58C9">
        <w:rPr>
          <w:rFonts w:cs="Times New Roman"/>
          <w:i/>
          <w:iCs/>
          <w:noProof/>
          <w:szCs w:val="24"/>
        </w:rPr>
        <w:t>High Press. Mol. Sci.</w:t>
      </w:r>
      <w:r w:rsidRPr="007B58C9">
        <w:rPr>
          <w:rFonts w:cs="Times New Roman"/>
          <w:noProof/>
          <w:szCs w:val="24"/>
        </w:rPr>
        <w:t xml:space="preserve"> (Eds.: R. Winter, J. Jonas), Springer, Dordrecht, </w:t>
      </w:r>
      <w:r w:rsidRPr="007B58C9">
        <w:rPr>
          <w:rFonts w:cs="Times New Roman"/>
          <w:b/>
          <w:bCs/>
          <w:noProof/>
          <w:szCs w:val="24"/>
        </w:rPr>
        <w:t>1999</w:t>
      </w:r>
      <w:r w:rsidRPr="007B58C9">
        <w:rPr>
          <w:rFonts w:cs="Times New Roman"/>
          <w:noProof/>
          <w:szCs w:val="24"/>
        </w:rPr>
        <w:t>, pp. 473–495.</w:t>
      </w:r>
    </w:p>
    <w:p w14:paraId="18735A78"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[7]</w:t>
      </w:r>
      <w:r w:rsidRPr="007B58C9">
        <w:rPr>
          <w:rFonts w:cs="Times New Roman"/>
          <w:noProof/>
          <w:szCs w:val="24"/>
        </w:rPr>
        <w:tab/>
        <w:t xml:space="preserve">C. A. Royer, </w:t>
      </w:r>
      <w:r w:rsidRPr="007B58C9">
        <w:rPr>
          <w:rFonts w:cs="Times New Roman"/>
          <w:i/>
          <w:iCs/>
          <w:noProof/>
          <w:szCs w:val="24"/>
        </w:rPr>
        <w:t>Biochim. Biophys. Acta</w:t>
      </w:r>
      <w:r w:rsidRPr="007B58C9">
        <w:rPr>
          <w:rFonts w:cs="Times New Roman"/>
          <w:noProof/>
          <w:szCs w:val="24"/>
        </w:rPr>
        <w:t xml:space="preserve"> </w:t>
      </w:r>
      <w:r w:rsidRPr="007B58C9">
        <w:rPr>
          <w:rFonts w:cs="Times New Roman"/>
          <w:b/>
          <w:bCs/>
          <w:noProof/>
          <w:szCs w:val="24"/>
        </w:rPr>
        <w:t>2002</w:t>
      </w:r>
      <w:r w:rsidRPr="007B58C9">
        <w:rPr>
          <w:rFonts w:cs="Times New Roman"/>
          <w:noProof/>
          <w:szCs w:val="24"/>
        </w:rPr>
        <w:t xml:space="preserve">, </w:t>
      </w:r>
      <w:r w:rsidRPr="007B58C9">
        <w:rPr>
          <w:rFonts w:cs="Times New Roman"/>
          <w:i/>
          <w:iCs/>
          <w:noProof/>
          <w:szCs w:val="24"/>
        </w:rPr>
        <w:t>1595</w:t>
      </w:r>
      <w:r w:rsidRPr="007B58C9">
        <w:rPr>
          <w:rFonts w:cs="Times New Roman"/>
          <w:noProof/>
          <w:szCs w:val="24"/>
        </w:rPr>
        <w:t>, 201–209.</w:t>
      </w:r>
    </w:p>
    <w:p w14:paraId="1C627C32"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[8]</w:t>
      </w:r>
      <w:r w:rsidRPr="007B58C9">
        <w:rPr>
          <w:rFonts w:cs="Times New Roman"/>
          <w:noProof/>
          <w:szCs w:val="24"/>
        </w:rPr>
        <w:tab/>
        <w:t xml:space="preserve">G. Hummer, S. Garde, A. E. García, M. E. Paulaitis, L. R. Pratt, </w:t>
      </w:r>
      <w:r w:rsidRPr="007B58C9">
        <w:rPr>
          <w:rFonts w:cs="Times New Roman"/>
          <w:i/>
          <w:iCs/>
          <w:noProof/>
          <w:szCs w:val="24"/>
        </w:rPr>
        <w:t>Proc. Natl. Acad. Sci. U. S. A.</w:t>
      </w:r>
      <w:r w:rsidRPr="007B58C9">
        <w:rPr>
          <w:rFonts w:cs="Times New Roman"/>
          <w:noProof/>
          <w:szCs w:val="24"/>
        </w:rPr>
        <w:t xml:space="preserve"> </w:t>
      </w:r>
      <w:r w:rsidRPr="007B58C9">
        <w:rPr>
          <w:rFonts w:cs="Times New Roman"/>
          <w:b/>
          <w:bCs/>
          <w:noProof/>
          <w:szCs w:val="24"/>
        </w:rPr>
        <w:t>1998</w:t>
      </w:r>
      <w:r w:rsidRPr="007B58C9">
        <w:rPr>
          <w:rFonts w:cs="Times New Roman"/>
          <w:noProof/>
          <w:szCs w:val="24"/>
        </w:rPr>
        <w:t xml:space="preserve">, </w:t>
      </w:r>
      <w:r w:rsidRPr="007B58C9">
        <w:rPr>
          <w:rFonts w:cs="Times New Roman"/>
          <w:i/>
          <w:iCs/>
          <w:noProof/>
          <w:szCs w:val="24"/>
        </w:rPr>
        <w:t>95</w:t>
      </w:r>
      <w:r w:rsidRPr="007B58C9">
        <w:rPr>
          <w:rFonts w:cs="Times New Roman"/>
          <w:noProof/>
          <w:szCs w:val="24"/>
        </w:rPr>
        <w:t>, 1552–1555.</w:t>
      </w:r>
    </w:p>
    <w:p w14:paraId="09435266"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[9]</w:t>
      </w:r>
      <w:r w:rsidRPr="007B58C9">
        <w:rPr>
          <w:rFonts w:cs="Times New Roman"/>
          <w:noProof/>
          <w:szCs w:val="24"/>
        </w:rPr>
        <w:tab/>
        <w:t xml:space="preserve">T. V. Chalikian, R. B. Macgregor, </w:t>
      </w:r>
      <w:r w:rsidRPr="007B58C9">
        <w:rPr>
          <w:rFonts w:cs="Times New Roman"/>
          <w:i/>
          <w:iCs/>
          <w:noProof/>
          <w:szCs w:val="24"/>
        </w:rPr>
        <w:t>J. Mol. Biol.</w:t>
      </w:r>
      <w:r w:rsidRPr="007B58C9">
        <w:rPr>
          <w:rFonts w:cs="Times New Roman"/>
          <w:noProof/>
          <w:szCs w:val="24"/>
        </w:rPr>
        <w:t xml:space="preserve"> </w:t>
      </w:r>
      <w:r w:rsidRPr="007B58C9">
        <w:rPr>
          <w:rFonts w:cs="Times New Roman"/>
          <w:b/>
          <w:bCs/>
          <w:noProof/>
          <w:szCs w:val="24"/>
        </w:rPr>
        <w:t>2009</w:t>
      </w:r>
      <w:r w:rsidRPr="007B58C9">
        <w:rPr>
          <w:rFonts w:cs="Times New Roman"/>
          <w:noProof/>
          <w:szCs w:val="24"/>
        </w:rPr>
        <w:t xml:space="preserve">, </w:t>
      </w:r>
      <w:r w:rsidRPr="007B58C9">
        <w:rPr>
          <w:rFonts w:cs="Times New Roman"/>
          <w:i/>
          <w:iCs/>
          <w:noProof/>
          <w:szCs w:val="24"/>
        </w:rPr>
        <w:t>394</w:t>
      </w:r>
      <w:r w:rsidRPr="007B58C9">
        <w:rPr>
          <w:rFonts w:cs="Times New Roman"/>
          <w:noProof/>
          <w:szCs w:val="24"/>
        </w:rPr>
        <w:t>, 834–842.</w:t>
      </w:r>
    </w:p>
    <w:p w14:paraId="76BCCA6C"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[10]</w:t>
      </w:r>
      <w:r w:rsidRPr="007B58C9">
        <w:rPr>
          <w:rFonts w:cs="Times New Roman"/>
          <w:noProof/>
          <w:szCs w:val="24"/>
        </w:rPr>
        <w:tab/>
        <w:t xml:space="preserve">J. F. Brandts, R. J. Oliveira, C. Westort, </w:t>
      </w:r>
      <w:r w:rsidRPr="007B58C9">
        <w:rPr>
          <w:rFonts w:cs="Times New Roman"/>
          <w:i/>
          <w:iCs/>
          <w:noProof/>
          <w:szCs w:val="24"/>
        </w:rPr>
        <w:t>Biochemistry</w:t>
      </w:r>
      <w:r w:rsidRPr="007B58C9">
        <w:rPr>
          <w:rFonts w:cs="Times New Roman"/>
          <w:noProof/>
          <w:szCs w:val="24"/>
        </w:rPr>
        <w:t xml:space="preserve"> </w:t>
      </w:r>
      <w:r w:rsidRPr="007B58C9">
        <w:rPr>
          <w:rFonts w:cs="Times New Roman"/>
          <w:b/>
          <w:bCs/>
          <w:noProof/>
          <w:szCs w:val="24"/>
        </w:rPr>
        <w:t>1970</w:t>
      </w:r>
      <w:r w:rsidRPr="007B58C9">
        <w:rPr>
          <w:rFonts w:cs="Times New Roman"/>
          <w:noProof/>
          <w:szCs w:val="24"/>
        </w:rPr>
        <w:t xml:space="preserve">, </w:t>
      </w:r>
      <w:r w:rsidRPr="007B58C9">
        <w:rPr>
          <w:rFonts w:cs="Times New Roman"/>
          <w:i/>
          <w:iCs/>
          <w:noProof/>
          <w:szCs w:val="24"/>
        </w:rPr>
        <w:t>9</w:t>
      </w:r>
      <w:r w:rsidRPr="007B58C9">
        <w:rPr>
          <w:rFonts w:cs="Times New Roman"/>
          <w:noProof/>
          <w:szCs w:val="24"/>
        </w:rPr>
        <w:t>, 1038–1047.</w:t>
      </w:r>
    </w:p>
    <w:p w14:paraId="43AE9A5A"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[11]</w:t>
      </w:r>
      <w:r w:rsidRPr="007B58C9">
        <w:rPr>
          <w:rFonts w:cs="Times New Roman"/>
          <w:noProof/>
          <w:szCs w:val="24"/>
        </w:rPr>
        <w:tab/>
        <w:t xml:space="preserve">K. Heremans, </w:t>
      </w:r>
      <w:r w:rsidRPr="007B58C9">
        <w:rPr>
          <w:rFonts w:cs="Times New Roman"/>
          <w:i/>
          <w:iCs/>
          <w:noProof/>
          <w:szCs w:val="24"/>
        </w:rPr>
        <w:t>Annu. Rev. Biophys. Bioenergy</w:t>
      </w:r>
      <w:r w:rsidRPr="007B58C9">
        <w:rPr>
          <w:rFonts w:cs="Times New Roman"/>
          <w:noProof/>
          <w:szCs w:val="24"/>
        </w:rPr>
        <w:t xml:space="preserve"> </w:t>
      </w:r>
      <w:r w:rsidRPr="007B58C9">
        <w:rPr>
          <w:rFonts w:cs="Times New Roman"/>
          <w:b/>
          <w:bCs/>
          <w:noProof/>
          <w:szCs w:val="24"/>
        </w:rPr>
        <w:t>1982</w:t>
      </w:r>
      <w:r w:rsidRPr="007B58C9">
        <w:rPr>
          <w:rFonts w:cs="Times New Roman"/>
          <w:noProof/>
          <w:szCs w:val="24"/>
        </w:rPr>
        <w:t xml:space="preserve">, </w:t>
      </w:r>
      <w:r w:rsidRPr="007B58C9">
        <w:rPr>
          <w:rFonts w:cs="Times New Roman"/>
          <w:i/>
          <w:iCs/>
          <w:noProof/>
          <w:szCs w:val="24"/>
        </w:rPr>
        <w:t>11</w:t>
      </w:r>
      <w:r w:rsidRPr="007B58C9">
        <w:rPr>
          <w:rFonts w:cs="Times New Roman"/>
          <w:noProof/>
          <w:szCs w:val="24"/>
        </w:rPr>
        <w:t>, 1–21.</w:t>
      </w:r>
    </w:p>
    <w:p w14:paraId="1C64581F"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[12]</w:t>
      </w:r>
      <w:r w:rsidRPr="007B58C9">
        <w:rPr>
          <w:rFonts w:cs="Times New Roman"/>
          <w:noProof/>
          <w:szCs w:val="24"/>
        </w:rPr>
        <w:tab/>
        <w:t xml:space="preserve">G. Weber, H. G. Drickamer, </w:t>
      </w:r>
      <w:r w:rsidRPr="007B58C9">
        <w:rPr>
          <w:rFonts w:cs="Times New Roman"/>
          <w:i/>
          <w:iCs/>
          <w:noProof/>
          <w:szCs w:val="24"/>
        </w:rPr>
        <w:t>Q. Rev. Biophys.</w:t>
      </w:r>
      <w:r w:rsidRPr="007B58C9">
        <w:rPr>
          <w:rFonts w:cs="Times New Roman"/>
          <w:noProof/>
          <w:szCs w:val="24"/>
        </w:rPr>
        <w:t xml:space="preserve"> </w:t>
      </w:r>
      <w:r w:rsidRPr="007B58C9">
        <w:rPr>
          <w:rFonts w:cs="Times New Roman"/>
          <w:b/>
          <w:bCs/>
          <w:noProof/>
          <w:szCs w:val="24"/>
        </w:rPr>
        <w:t>1983</w:t>
      </w:r>
      <w:r w:rsidRPr="007B58C9">
        <w:rPr>
          <w:rFonts w:cs="Times New Roman"/>
          <w:noProof/>
          <w:szCs w:val="24"/>
        </w:rPr>
        <w:t xml:space="preserve">, </w:t>
      </w:r>
      <w:r w:rsidRPr="007B58C9">
        <w:rPr>
          <w:rFonts w:cs="Times New Roman"/>
          <w:i/>
          <w:iCs/>
          <w:noProof/>
          <w:szCs w:val="24"/>
        </w:rPr>
        <w:t>16</w:t>
      </w:r>
      <w:r w:rsidRPr="007B58C9">
        <w:rPr>
          <w:rFonts w:cs="Times New Roman"/>
          <w:noProof/>
          <w:szCs w:val="24"/>
        </w:rPr>
        <w:t>, 89–112.</w:t>
      </w:r>
    </w:p>
    <w:p w14:paraId="5095668A"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[13]</w:t>
      </w:r>
      <w:r w:rsidRPr="007B58C9">
        <w:rPr>
          <w:rFonts w:cs="Times New Roman"/>
          <w:noProof/>
          <w:szCs w:val="24"/>
        </w:rPr>
        <w:tab/>
        <w:t xml:space="preserve">M. Gross, R. Jaenicke, </w:t>
      </w:r>
      <w:r w:rsidRPr="007B58C9">
        <w:rPr>
          <w:rFonts w:cs="Times New Roman"/>
          <w:i/>
          <w:iCs/>
          <w:noProof/>
          <w:szCs w:val="24"/>
        </w:rPr>
        <w:t>Eur. J. Biochem.</w:t>
      </w:r>
      <w:r w:rsidRPr="007B58C9">
        <w:rPr>
          <w:rFonts w:cs="Times New Roman"/>
          <w:noProof/>
          <w:szCs w:val="24"/>
        </w:rPr>
        <w:t xml:space="preserve"> </w:t>
      </w:r>
      <w:r w:rsidRPr="007B58C9">
        <w:rPr>
          <w:rFonts w:cs="Times New Roman"/>
          <w:b/>
          <w:bCs/>
          <w:noProof/>
          <w:szCs w:val="24"/>
        </w:rPr>
        <w:t>1994</w:t>
      </w:r>
      <w:r w:rsidRPr="007B58C9">
        <w:rPr>
          <w:rFonts w:cs="Times New Roman"/>
          <w:noProof/>
          <w:szCs w:val="24"/>
        </w:rPr>
        <w:t xml:space="preserve">, </w:t>
      </w:r>
      <w:r w:rsidRPr="007B58C9">
        <w:rPr>
          <w:rFonts w:cs="Times New Roman"/>
          <w:i/>
          <w:iCs/>
          <w:noProof/>
          <w:szCs w:val="24"/>
        </w:rPr>
        <w:t>221</w:t>
      </w:r>
      <w:r w:rsidRPr="007B58C9">
        <w:rPr>
          <w:rFonts w:cs="Times New Roman"/>
          <w:noProof/>
          <w:szCs w:val="24"/>
        </w:rPr>
        <w:t>, 617–630.</w:t>
      </w:r>
    </w:p>
    <w:p w14:paraId="0E8BAEB4"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[14]</w:t>
      </w:r>
      <w:r w:rsidRPr="007B58C9">
        <w:rPr>
          <w:rFonts w:cs="Times New Roman"/>
          <w:noProof/>
          <w:szCs w:val="24"/>
        </w:rPr>
        <w:tab/>
        <w:t xml:space="preserve">V. V Mozhaev, K. Heremans, J. Frank, P. Masson, C. Balny, </w:t>
      </w:r>
      <w:r w:rsidRPr="007B58C9">
        <w:rPr>
          <w:rFonts w:cs="Times New Roman"/>
          <w:i/>
          <w:iCs/>
          <w:noProof/>
          <w:szCs w:val="24"/>
        </w:rPr>
        <w:t>Proteins</w:t>
      </w:r>
      <w:r w:rsidRPr="007B58C9">
        <w:rPr>
          <w:rFonts w:cs="Times New Roman"/>
          <w:noProof/>
          <w:szCs w:val="24"/>
        </w:rPr>
        <w:t xml:space="preserve"> </w:t>
      </w:r>
      <w:r w:rsidRPr="007B58C9">
        <w:rPr>
          <w:rFonts w:cs="Times New Roman"/>
          <w:b/>
          <w:bCs/>
          <w:noProof/>
          <w:szCs w:val="24"/>
        </w:rPr>
        <w:t>1996</w:t>
      </w:r>
      <w:r w:rsidRPr="007B58C9">
        <w:rPr>
          <w:rFonts w:cs="Times New Roman"/>
          <w:noProof/>
          <w:szCs w:val="24"/>
        </w:rPr>
        <w:t xml:space="preserve">, </w:t>
      </w:r>
      <w:r w:rsidRPr="007B58C9">
        <w:rPr>
          <w:rFonts w:cs="Times New Roman"/>
          <w:i/>
          <w:iCs/>
          <w:noProof/>
          <w:szCs w:val="24"/>
        </w:rPr>
        <w:t>24</w:t>
      </w:r>
      <w:r w:rsidRPr="007B58C9">
        <w:rPr>
          <w:rFonts w:cs="Times New Roman"/>
          <w:noProof/>
          <w:szCs w:val="24"/>
        </w:rPr>
        <w:t>, 81–91.</w:t>
      </w:r>
    </w:p>
    <w:p w14:paraId="1FB9D874"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[15]</w:t>
      </w:r>
      <w:r w:rsidRPr="007B58C9">
        <w:rPr>
          <w:rFonts w:cs="Times New Roman"/>
          <w:noProof/>
          <w:szCs w:val="24"/>
        </w:rPr>
        <w:tab/>
        <w:t xml:space="preserve">L. Smeller, </w:t>
      </w:r>
      <w:r w:rsidRPr="007B58C9">
        <w:rPr>
          <w:rFonts w:cs="Times New Roman"/>
          <w:i/>
          <w:iCs/>
          <w:noProof/>
          <w:szCs w:val="24"/>
        </w:rPr>
        <w:t>Biochim. Biophys. Acta</w:t>
      </w:r>
      <w:r w:rsidRPr="007B58C9">
        <w:rPr>
          <w:rFonts w:cs="Times New Roman"/>
          <w:noProof/>
          <w:szCs w:val="24"/>
        </w:rPr>
        <w:t xml:space="preserve"> </w:t>
      </w:r>
      <w:r w:rsidRPr="007B58C9">
        <w:rPr>
          <w:rFonts w:cs="Times New Roman"/>
          <w:b/>
          <w:bCs/>
          <w:noProof/>
          <w:szCs w:val="24"/>
        </w:rPr>
        <w:t>2002</w:t>
      </w:r>
      <w:r w:rsidRPr="007B58C9">
        <w:rPr>
          <w:rFonts w:cs="Times New Roman"/>
          <w:noProof/>
          <w:szCs w:val="24"/>
        </w:rPr>
        <w:t xml:space="preserve">, </w:t>
      </w:r>
      <w:r w:rsidRPr="007B58C9">
        <w:rPr>
          <w:rFonts w:cs="Times New Roman"/>
          <w:i/>
          <w:iCs/>
          <w:noProof/>
          <w:szCs w:val="24"/>
        </w:rPr>
        <w:t>1595</w:t>
      </w:r>
      <w:r w:rsidRPr="007B58C9">
        <w:rPr>
          <w:rFonts w:cs="Times New Roman"/>
          <w:noProof/>
          <w:szCs w:val="24"/>
        </w:rPr>
        <w:t>, 11–29.</w:t>
      </w:r>
    </w:p>
    <w:p w14:paraId="37B1A24C"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[16]</w:t>
      </w:r>
      <w:r w:rsidRPr="007B58C9">
        <w:rPr>
          <w:rFonts w:cs="Times New Roman"/>
          <w:noProof/>
          <w:szCs w:val="24"/>
        </w:rPr>
        <w:tab/>
        <w:t xml:space="preserve">A. Picard, I. Daniel, </w:t>
      </w:r>
      <w:r w:rsidRPr="007B58C9">
        <w:rPr>
          <w:rFonts w:cs="Times New Roman"/>
          <w:i/>
          <w:iCs/>
          <w:noProof/>
          <w:szCs w:val="24"/>
        </w:rPr>
        <w:t>Biophys. Chem.</w:t>
      </w:r>
      <w:r w:rsidRPr="007B58C9">
        <w:rPr>
          <w:rFonts w:cs="Times New Roman"/>
          <w:noProof/>
          <w:szCs w:val="24"/>
        </w:rPr>
        <w:t xml:space="preserve"> </w:t>
      </w:r>
      <w:r w:rsidRPr="007B58C9">
        <w:rPr>
          <w:rFonts w:cs="Times New Roman"/>
          <w:b/>
          <w:bCs/>
          <w:noProof/>
          <w:szCs w:val="24"/>
        </w:rPr>
        <w:t>2013</w:t>
      </w:r>
      <w:r w:rsidRPr="007B58C9">
        <w:rPr>
          <w:rFonts w:cs="Times New Roman"/>
          <w:noProof/>
          <w:szCs w:val="24"/>
        </w:rPr>
        <w:t xml:space="preserve">, </w:t>
      </w:r>
      <w:r w:rsidRPr="007B58C9">
        <w:rPr>
          <w:rFonts w:cs="Times New Roman"/>
          <w:i/>
          <w:iCs/>
          <w:noProof/>
          <w:szCs w:val="24"/>
        </w:rPr>
        <w:t>183</w:t>
      </w:r>
      <w:r w:rsidRPr="007B58C9">
        <w:rPr>
          <w:rFonts w:cs="Times New Roman"/>
          <w:noProof/>
          <w:szCs w:val="24"/>
        </w:rPr>
        <w:t>, 30–41.</w:t>
      </w:r>
    </w:p>
    <w:p w14:paraId="34AC1461"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[17]</w:t>
      </w:r>
      <w:r w:rsidRPr="007B58C9">
        <w:rPr>
          <w:rFonts w:cs="Times New Roman"/>
          <w:noProof/>
          <w:szCs w:val="24"/>
        </w:rPr>
        <w:tab/>
        <w:t xml:space="preserve">Q. Huang, K. N. Tran, J. M. Rodgers, D. H. Bartlett, R. J. Hemley, T. Ichiye, </w:t>
      </w:r>
      <w:r w:rsidRPr="007B58C9">
        <w:rPr>
          <w:rFonts w:cs="Times New Roman"/>
          <w:i/>
          <w:iCs/>
          <w:noProof/>
          <w:szCs w:val="24"/>
        </w:rPr>
        <w:t>Condens. Matter Phys.</w:t>
      </w:r>
      <w:r w:rsidRPr="007B58C9">
        <w:rPr>
          <w:rFonts w:cs="Times New Roman"/>
          <w:noProof/>
          <w:szCs w:val="24"/>
        </w:rPr>
        <w:t xml:space="preserve"> </w:t>
      </w:r>
      <w:r w:rsidRPr="007B58C9">
        <w:rPr>
          <w:rFonts w:cs="Times New Roman"/>
          <w:b/>
          <w:bCs/>
          <w:noProof/>
          <w:szCs w:val="24"/>
        </w:rPr>
        <w:t>2016</w:t>
      </w:r>
      <w:r w:rsidRPr="007B58C9">
        <w:rPr>
          <w:rFonts w:cs="Times New Roman"/>
          <w:noProof/>
          <w:szCs w:val="24"/>
        </w:rPr>
        <w:t xml:space="preserve">, </w:t>
      </w:r>
      <w:r w:rsidRPr="007B58C9">
        <w:rPr>
          <w:rFonts w:cs="Times New Roman"/>
          <w:i/>
          <w:iCs/>
          <w:noProof/>
          <w:szCs w:val="24"/>
        </w:rPr>
        <w:t>19</w:t>
      </w:r>
      <w:r w:rsidRPr="007B58C9">
        <w:rPr>
          <w:rFonts w:cs="Times New Roman"/>
          <w:noProof/>
          <w:szCs w:val="24"/>
        </w:rPr>
        <w:t>, 1–16.</w:t>
      </w:r>
    </w:p>
    <w:p w14:paraId="48968DC0"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[18]</w:t>
      </w:r>
      <w:r w:rsidRPr="007B58C9">
        <w:rPr>
          <w:rFonts w:cs="Times New Roman"/>
          <w:noProof/>
          <w:szCs w:val="24"/>
        </w:rPr>
        <w:tab/>
        <w:t xml:space="preserve">P. H. Yancey, M. E. Clark, S. C. Hand, R. D. Bowlus, G. N. Somero, </w:t>
      </w:r>
      <w:r w:rsidRPr="007B58C9">
        <w:rPr>
          <w:rFonts w:cs="Times New Roman"/>
          <w:i/>
          <w:iCs/>
          <w:noProof/>
          <w:szCs w:val="24"/>
        </w:rPr>
        <w:t>Science</w:t>
      </w:r>
      <w:r w:rsidRPr="007B58C9">
        <w:rPr>
          <w:rFonts w:cs="Times New Roman"/>
          <w:noProof/>
          <w:szCs w:val="24"/>
        </w:rPr>
        <w:t xml:space="preserve"> </w:t>
      </w:r>
      <w:r w:rsidRPr="007B58C9">
        <w:rPr>
          <w:rFonts w:cs="Times New Roman"/>
          <w:b/>
          <w:bCs/>
          <w:noProof/>
          <w:szCs w:val="24"/>
        </w:rPr>
        <w:t>1982</w:t>
      </w:r>
      <w:r w:rsidRPr="007B58C9">
        <w:rPr>
          <w:rFonts w:cs="Times New Roman"/>
          <w:noProof/>
          <w:szCs w:val="24"/>
        </w:rPr>
        <w:t xml:space="preserve">, </w:t>
      </w:r>
      <w:r w:rsidRPr="007B58C9">
        <w:rPr>
          <w:rFonts w:cs="Times New Roman"/>
          <w:i/>
          <w:iCs/>
          <w:noProof/>
          <w:szCs w:val="24"/>
        </w:rPr>
        <w:t>217</w:t>
      </w:r>
      <w:r w:rsidRPr="007B58C9">
        <w:rPr>
          <w:rFonts w:cs="Times New Roman"/>
          <w:noProof/>
          <w:szCs w:val="24"/>
        </w:rPr>
        <w:t>, 1214–1222.</w:t>
      </w:r>
    </w:p>
    <w:p w14:paraId="52C8E7A6"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[19]</w:t>
      </w:r>
      <w:r w:rsidRPr="007B58C9">
        <w:rPr>
          <w:rFonts w:cs="Times New Roman"/>
          <w:noProof/>
          <w:szCs w:val="24"/>
        </w:rPr>
        <w:tab/>
        <w:t xml:space="preserve">G. N. Somero, P. H. Yancey, in </w:t>
      </w:r>
      <w:r w:rsidRPr="007B58C9">
        <w:rPr>
          <w:rFonts w:cs="Times New Roman"/>
          <w:i/>
          <w:iCs/>
          <w:noProof/>
          <w:szCs w:val="24"/>
        </w:rPr>
        <w:t>Compr. Physiol. Suppl. 31 Handb. Physiol. Cell Physiol.</w:t>
      </w:r>
      <w:r w:rsidRPr="007B58C9">
        <w:rPr>
          <w:rFonts w:cs="Times New Roman"/>
          <w:noProof/>
          <w:szCs w:val="24"/>
        </w:rPr>
        <w:t xml:space="preserve">, </w:t>
      </w:r>
      <w:r w:rsidRPr="007B58C9">
        <w:rPr>
          <w:rFonts w:cs="Times New Roman"/>
          <w:b/>
          <w:bCs/>
          <w:noProof/>
          <w:szCs w:val="24"/>
        </w:rPr>
        <w:t>1997</w:t>
      </w:r>
      <w:r w:rsidRPr="007B58C9">
        <w:rPr>
          <w:rFonts w:cs="Times New Roman"/>
          <w:noProof/>
          <w:szCs w:val="24"/>
        </w:rPr>
        <w:t>, pp. 441–484.</w:t>
      </w:r>
    </w:p>
    <w:p w14:paraId="006BB089"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[20]</w:t>
      </w:r>
      <w:r w:rsidRPr="007B58C9">
        <w:rPr>
          <w:rFonts w:cs="Times New Roman"/>
          <w:noProof/>
          <w:szCs w:val="24"/>
        </w:rPr>
        <w:tab/>
        <w:t xml:space="preserve">G. N. Somero, in </w:t>
      </w:r>
      <w:r w:rsidRPr="007B58C9">
        <w:rPr>
          <w:rFonts w:cs="Times New Roman"/>
          <w:i/>
          <w:iCs/>
          <w:noProof/>
          <w:szCs w:val="24"/>
        </w:rPr>
        <w:t>Encycl. Fish Physiol.</w:t>
      </w:r>
      <w:r w:rsidRPr="007B58C9">
        <w:rPr>
          <w:rFonts w:cs="Times New Roman"/>
          <w:noProof/>
          <w:szCs w:val="24"/>
        </w:rPr>
        <w:t xml:space="preserve">, Elsevier, Amsterdam, </w:t>
      </w:r>
      <w:r w:rsidRPr="007B58C9">
        <w:rPr>
          <w:rFonts w:cs="Times New Roman"/>
          <w:b/>
          <w:bCs/>
          <w:noProof/>
          <w:szCs w:val="24"/>
        </w:rPr>
        <w:t>2011</w:t>
      </w:r>
      <w:r w:rsidRPr="007B58C9">
        <w:rPr>
          <w:rFonts w:cs="Times New Roman"/>
          <w:noProof/>
          <w:szCs w:val="24"/>
        </w:rPr>
        <w:t>, pp. 1681–1687.</w:t>
      </w:r>
    </w:p>
    <w:p w14:paraId="3E603A75"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[21]</w:t>
      </w:r>
      <w:r w:rsidRPr="007B58C9">
        <w:rPr>
          <w:rFonts w:cs="Times New Roman"/>
          <w:noProof/>
          <w:szCs w:val="24"/>
        </w:rPr>
        <w:tab/>
        <w:t xml:space="preserve">A. B. Bockus, B. A. Seibel, </w:t>
      </w:r>
      <w:r w:rsidRPr="007B58C9">
        <w:rPr>
          <w:rFonts w:cs="Times New Roman"/>
          <w:i/>
          <w:iCs/>
          <w:noProof/>
          <w:szCs w:val="24"/>
        </w:rPr>
        <w:t>Deep Sea Res. I</w:t>
      </w:r>
      <w:r w:rsidRPr="007B58C9">
        <w:rPr>
          <w:rFonts w:cs="Times New Roman"/>
          <w:noProof/>
          <w:szCs w:val="24"/>
        </w:rPr>
        <w:t xml:space="preserve"> </w:t>
      </w:r>
      <w:r w:rsidRPr="007B58C9">
        <w:rPr>
          <w:rFonts w:cs="Times New Roman"/>
          <w:b/>
          <w:bCs/>
          <w:noProof/>
          <w:szCs w:val="24"/>
        </w:rPr>
        <w:t>2016</w:t>
      </w:r>
      <w:r w:rsidRPr="007B58C9">
        <w:rPr>
          <w:rFonts w:cs="Times New Roman"/>
          <w:noProof/>
          <w:szCs w:val="24"/>
        </w:rPr>
        <w:t xml:space="preserve">, </w:t>
      </w:r>
      <w:r w:rsidRPr="007B58C9">
        <w:rPr>
          <w:rFonts w:cs="Times New Roman"/>
          <w:i/>
          <w:iCs/>
          <w:noProof/>
          <w:szCs w:val="24"/>
        </w:rPr>
        <w:t>112</w:t>
      </w:r>
      <w:r w:rsidRPr="007B58C9">
        <w:rPr>
          <w:rFonts w:cs="Times New Roman"/>
          <w:noProof/>
          <w:szCs w:val="24"/>
        </w:rPr>
        <w:t>, 37–44.</w:t>
      </w:r>
    </w:p>
    <w:p w14:paraId="0CAF674F"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[22]</w:t>
      </w:r>
      <w:r w:rsidRPr="007B58C9">
        <w:rPr>
          <w:rFonts w:cs="Times New Roman"/>
          <w:noProof/>
          <w:szCs w:val="24"/>
        </w:rPr>
        <w:tab/>
        <w:t xml:space="preserve">F. Anjum, V. Rishi, F. Ahmad, </w:t>
      </w:r>
      <w:r w:rsidRPr="007B58C9">
        <w:rPr>
          <w:rFonts w:cs="Times New Roman"/>
          <w:i/>
          <w:iCs/>
          <w:noProof/>
          <w:szCs w:val="24"/>
        </w:rPr>
        <w:t>Biochim. Biophys. Acta</w:t>
      </w:r>
      <w:r w:rsidRPr="007B58C9">
        <w:rPr>
          <w:rFonts w:cs="Times New Roman"/>
          <w:noProof/>
          <w:szCs w:val="24"/>
        </w:rPr>
        <w:t xml:space="preserve"> </w:t>
      </w:r>
      <w:r w:rsidRPr="007B58C9">
        <w:rPr>
          <w:rFonts w:cs="Times New Roman"/>
          <w:b/>
          <w:bCs/>
          <w:noProof/>
          <w:szCs w:val="24"/>
        </w:rPr>
        <w:t>2000</w:t>
      </w:r>
      <w:r w:rsidRPr="007B58C9">
        <w:rPr>
          <w:rFonts w:cs="Times New Roman"/>
          <w:noProof/>
          <w:szCs w:val="24"/>
        </w:rPr>
        <w:t xml:space="preserve">, </w:t>
      </w:r>
      <w:r w:rsidRPr="007B58C9">
        <w:rPr>
          <w:rFonts w:cs="Times New Roman"/>
          <w:i/>
          <w:iCs/>
          <w:noProof/>
          <w:szCs w:val="24"/>
        </w:rPr>
        <w:t>1476</w:t>
      </w:r>
      <w:r w:rsidRPr="007B58C9">
        <w:rPr>
          <w:rFonts w:cs="Times New Roman"/>
          <w:noProof/>
          <w:szCs w:val="24"/>
        </w:rPr>
        <w:t>, 75–84.</w:t>
      </w:r>
    </w:p>
    <w:p w14:paraId="401B079C"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[23]</w:t>
      </w:r>
      <w:r w:rsidRPr="007B58C9">
        <w:rPr>
          <w:rFonts w:cs="Times New Roman"/>
          <w:noProof/>
          <w:szCs w:val="24"/>
        </w:rPr>
        <w:tab/>
        <w:t xml:space="preserve">P. Bruździak, A. Panuszko, J. Stangret, </w:t>
      </w:r>
      <w:r w:rsidRPr="007B58C9">
        <w:rPr>
          <w:rFonts w:cs="Times New Roman"/>
          <w:i/>
          <w:iCs/>
          <w:noProof/>
          <w:szCs w:val="24"/>
        </w:rPr>
        <w:t>J. Phys. Chem. B</w:t>
      </w:r>
      <w:r w:rsidRPr="007B58C9">
        <w:rPr>
          <w:rFonts w:cs="Times New Roman"/>
          <w:noProof/>
          <w:szCs w:val="24"/>
        </w:rPr>
        <w:t xml:space="preserve"> </w:t>
      </w:r>
      <w:r w:rsidRPr="007B58C9">
        <w:rPr>
          <w:rFonts w:cs="Times New Roman"/>
          <w:b/>
          <w:bCs/>
          <w:noProof/>
          <w:szCs w:val="24"/>
        </w:rPr>
        <w:t>2013</w:t>
      </w:r>
      <w:r w:rsidRPr="007B58C9">
        <w:rPr>
          <w:rFonts w:cs="Times New Roman"/>
          <w:noProof/>
          <w:szCs w:val="24"/>
        </w:rPr>
        <w:t xml:space="preserve">, </w:t>
      </w:r>
      <w:r w:rsidRPr="007B58C9">
        <w:rPr>
          <w:rFonts w:cs="Times New Roman"/>
          <w:i/>
          <w:iCs/>
          <w:noProof/>
          <w:szCs w:val="24"/>
        </w:rPr>
        <w:t>117</w:t>
      </w:r>
      <w:r w:rsidRPr="007B58C9">
        <w:rPr>
          <w:rFonts w:cs="Times New Roman"/>
          <w:noProof/>
          <w:szCs w:val="24"/>
        </w:rPr>
        <w:t>, 11502–11508.</w:t>
      </w:r>
    </w:p>
    <w:p w14:paraId="67FFB134"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[24]</w:t>
      </w:r>
      <w:r w:rsidRPr="007B58C9">
        <w:rPr>
          <w:rFonts w:cs="Times New Roman"/>
          <w:noProof/>
          <w:szCs w:val="24"/>
        </w:rPr>
        <w:tab/>
        <w:t xml:space="preserve">D. Harries, J. Rösgen, </w:t>
      </w:r>
      <w:r w:rsidRPr="007B58C9">
        <w:rPr>
          <w:rFonts w:cs="Times New Roman"/>
          <w:i/>
          <w:iCs/>
          <w:noProof/>
          <w:szCs w:val="24"/>
        </w:rPr>
        <w:t>Methods Cell Biol.</w:t>
      </w:r>
      <w:r w:rsidRPr="007B58C9">
        <w:rPr>
          <w:rFonts w:cs="Times New Roman"/>
          <w:noProof/>
          <w:szCs w:val="24"/>
        </w:rPr>
        <w:t xml:space="preserve"> </w:t>
      </w:r>
      <w:r w:rsidRPr="007B58C9">
        <w:rPr>
          <w:rFonts w:cs="Times New Roman"/>
          <w:b/>
          <w:bCs/>
          <w:noProof/>
          <w:szCs w:val="24"/>
        </w:rPr>
        <w:t>2008</w:t>
      </w:r>
      <w:r w:rsidRPr="007B58C9">
        <w:rPr>
          <w:rFonts w:cs="Times New Roman"/>
          <w:noProof/>
          <w:szCs w:val="24"/>
        </w:rPr>
        <w:t xml:space="preserve">, </w:t>
      </w:r>
      <w:r w:rsidRPr="007B58C9">
        <w:rPr>
          <w:rFonts w:cs="Times New Roman"/>
          <w:i/>
          <w:iCs/>
          <w:noProof/>
          <w:szCs w:val="24"/>
        </w:rPr>
        <w:t>84</w:t>
      </w:r>
      <w:r w:rsidRPr="007B58C9">
        <w:rPr>
          <w:rFonts w:cs="Times New Roman"/>
          <w:noProof/>
          <w:szCs w:val="24"/>
        </w:rPr>
        <w:t>, 679–735.</w:t>
      </w:r>
    </w:p>
    <w:p w14:paraId="573E074F"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[25]</w:t>
      </w:r>
      <w:r w:rsidRPr="007B58C9">
        <w:rPr>
          <w:rFonts w:cs="Times New Roman"/>
          <w:noProof/>
          <w:szCs w:val="24"/>
        </w:rPr>
        <w:tab/>
        <w:t xml:space="preserve">S. Imoto, H. Forbert, D. Marx, </w:t>
      </w:r>
      <w:r w:rsidRPr="007B58C9">
        <w:rPr>
          <w:rFonts w:cs="Times New Roman"/>
          <w:i/>
          <w:iCs/>
          <w:noProof/>
          <w:szCs w:val="24"/>
        </w:rPr>
        <w:t>Phys. Chem. Chem. Phys.</w:t>
      </w:r>
      <w:r w:rsidRPr="007B58C9">
        <w:rPr>
          <w:rFonts w:cs="Times New Roman"/>
          <w:noProof/>
          <w:szCs w:val="24"/>
        </w:rPr>
        <w:t xml:space="preserve"> </w:t>
      </w:r>
      <w:r w:rsidRPr="007B58C9">
        <w:rPr>
          <w:rFonts w:cs="Times New Roman"/>
          <w:b/>
          <w:bCs/>
          <w:noProof/>
          <w:szCs w:val="24"/>
        </w:rPr>
        <w:t>2015</w:t>
      </w:r>
      <w:r w:rsidRPr="007B58C9">
        <w:rPr>
          <w:rFonts w:cs="Times New Roman"/>
          <w:noProof/>
          <w:szCs w:val="24"/>
        </w:rPr>
        <w:t xml:space="preserve">, </w:t>
      </w:r>
      <w:r w:rsidRPr="007B58C9">
        <w:rPr>
          <w:rFonts w:cs="Times New Roman"/>
          <w:i/>
          <w:iCs/>
          <w:noProof/>
          <w:szCs w:val="24"/>
        </w:rPr>
        <w:t>17</w:t>
      </w:r>
      <w:r w:rsidRPr="007B58C9">
        <w:rPr>
          <w:rFonts w:cs="Times New Roman"/>
          <w:noProof/>
          <w:szCs w:val="24"/>
        </w:rPr>
        <w:t>, 24224–37.</w:t>
      </w:r>
    </w:p>
    <w:p w14:paraId="01AB3F5D"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[26]</w:t>
      </w:r>
      <w:r w:rsidRPr="007B58C9">
        <w:rPr>
          <w:rFonts w:cs="Times New Roman"/>
          <w:noProof/>
          <w:szCs w:val="24"/>
        </w:rPr>
        <w:tab/>
        <w:t xml:space="preserve">R. Sarma, S. Paul, </w:t>
      </w:r>
      <w:r w:rsidRPr="007B58C9">
        <w:rPr>
          <w:rFonts w:cs="Times New Roman"/>
          <w:i/>
          <w:iCs/>
          <w:noProof/>
          <w:szCs w:val="24"/>
        </w:rPr>
        <w:t>J. Phys. Chem. B</w:t>
      </w:r>
      <w:r w:rsidRPr="007B58C9">
        <w:rPr>
          <w:rFonts w:cs="Times New Roman"/>
          <w:noProof/>
          <w:szCs w:val="24"/>
        </w:rPr>
        <w:t xml:space="preserve"> </w:t>
      </w:r>
      <w:r w:rsidRPr="007B58C9">
        <w:rPr>
          <w:rFonts w:cs="Times New Roman"/>
          <w:b/>
          <w:bCs/>
          <w:noProof/>
          <w:szCs w:val="24"/>
        </w:rPr>
        <w:t>2013</w:t>
      </w:r>
      <w:r w:rsidRPr="007B58C9">
        <w:rPr>
          <w:rFonts w:cs="Times New Roman"/>
          <w:noProof/>
          <w:szCs w:val="24"/>
        </w:rPr>
        <w:t xml:space="preserve">, </w:t>
      </w:r>
      <w:r w:rsidRPr="007B58C9">
        <w:rPr>
          <w:rFonts w:cs="Times New Roman"/>
          <w:i/>
          <w:iCs/>
          <w:noProof/>
          <w:szCs w:val="24"/>
        </w:rPr>
        <w:t>117</w:t>
      </w:r>
      <w:r w:rsidRPr="007B58C9">
        <w:rPr>
          <w:rFonts w:cs="Times New Roman"/>
          <w:noProof/>
          <w:szCs w:val="24"/>
        </w:rPr>
        <w:t>, 677–689.</w:t>
      </w:r>
    </w:p>
    <w:p w14:paraId="21AA8836"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[27]</w:t>
      </w:r>
      <w:r w:rsidRPr="007B58C9">
        <w:rPr>
          <w:rFonts w:cs="Times New Roman"/>
          <w:noProof/>
          <w:szCs w:val="24"/>
        </w:rPr>
        <w:tab/>
        <w:t xml:space="preserve">S. Shimizu, H. S. Chan, </w:t>
      </w:r>
      <w:r w:rsidRPr="007B58C9">
        <w:rPr>
          <w:rFonts w:cs="Times New Roman"/>
          <w:i/>
          <w:iCs/>
          <w:noProof/>
          <w:szCs w:val="24"/>
        </w:rPr>
        <w:t>Proteins</w:t>
      </w:r>
      <w:r w:rsidRPr="007B58C9">
        <w:rPr>
          <w:rFonts w:cs="Times New Roman"/>
          <w:noProof/>
          <w:szCs w:val="24"/>
        </w:rPr>
        <w:t xml:space="preserve"> </w:t>
      </w:r>
      <w:r w:rsidRPr="007B58C9">
        <w:rPr>
          <w:rFonts w:cs="Times New Roman"/>
          <w:b/>
          <w:bCs/>
          <w:noProof/>
          <w:szCs w:val="24"/>
        </w:rPr>
        <w:t>2002</w:t>
      </w:r>
      <w:r w:rsidRPr="007B58C9">
        <w:rPr>
          <w:rFonts w:cs="Times New Roman"/>
          <w:noProof/>
          <w:szCs w:val="24"/>
        </w:rPr>
        <w:t xml:space="preserve">, </w:t>
      </w:r>
      <w:r w:rsidRPr="007B58C9">
        <w:rPr>
          <w:rFonts w:cs="Times New Roman"/>
          <w:i/>
          <w:iCs/>
          <w:noProof/>
          <w:szCs w:val="24"/>
        </w:rPr>
        <w:t>49</w:t>
      </w:r>
      <w:r w:rsidRPr="007B58C9">
        <w:rPr>
          <w:rFonts w:cs="Times New Roman"/>
          <w:noProof/>
          <w:szCs w:val="24"/>
        </w:rPr>
        <w:t>, 560–566.</w:t>
      </w:r>
    </w:p>
    <w:p w14:paraId="263846A7"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[28]</w:t>
      </w:r>
      <w:r w:rsidRPr="007B58C9">
        <w:rPr>
          <w:rFonts w:cs="Times New Roman"/>
          <w:noProof/>
          <w:szCs w:val="24"/>
        </w:rPr>
        <w:tab/>
        <w:t xml:space="preserve">H. S. Chan, S. Shimizu, H. Kaya, </w:t>
      </w:r>
      <w:r w:rsidRPr="007B58C9">
        <w:rPr>
          <w:rFonts w:cs="Times New Roman"/>
          <w:i/>
          <w:iCs/>
          <w:noProof/>
          <w:szCs w:val="24"/>
        </w:rPr>
        <w:t>Methods Enzymol.</w:t>
      </w:r>
      <w:r w:rsidRPr="007B58C9">
        <w:rPr>
          <w:rFonts w:cs="Times New Roman"/>
          <w:noProof/>
          <w:szCs w:val="24"/>
        </w:rPr>
        <w:t xml:space="preserve"> </w:t>
      </w:r>
      <w:r w:rsidRPr="007B58C9">
        <w:rPr>
          <w:rFonts w:cs="Times New Roman"/>
          <w:b/>
          <w:bCs/>
          <w:noProof/>
          <w:szCs w:val="24"/>
        </w:rPr>
        <w:t>2004</w:t>
      </w:r>
      <w:r w:rsidRPr="007B58C9">
        <w:rPr>
          <w:rFonts w:cs="Times New Roman"/>
          <w:noProof/>
          <w:szCs w:val="24"/>
        </w:rPr>
        <w:t xml:space="preserve">, </w:t>
      </w:r>
      <w:r w:rsidRPr="007B58C9">
        <w:rPr>
          <w:rFonts w:cs="Times New Roman"/>
          <w:i/>
          <w:iCs/>
          <w:noProof/>
          <w:szCs w:val="24"/>
        </w:rPr>
        <w:t>380</w:t>
      </w:r>
      <w:r w:rsidRPr="007B58C9">
        <w:rPr>
          <w:rFonts w:cs="Times New Roman"/>
          <w:noProof/>
          <w:szCs w:val="24"/>
        </w:rPr>
        <w:t>, 350–379.</w:t>
      </w:r>
    </w:p>
    <w:p w14:paraId="57FB46A3"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[29]</w:t>
      </w:r>
      <w:r w:rsidRPr="007B58C9">
        <w:rPr>
          <w:rFonts w:cs="Times New Roman"/>
          <w:noProof/>
          <w:szCs w:val="24"/>
        </w:rPr>
        <w:tab/>
        <w:t xml:space="preserve">A. Wang, D. W. Bolen, </w:t>
      </w:r>
      <w:r w:rsidRPr="007B58C9">
        <w:rPr>
          <w:rFonts w:cs="Times New Roman"/>
          <w:i/>
          <w:iCs/>
          <w:noProof/>
          <w:szCs w:val="24"/>
        </w:rPr>
        <w:t>Biochemistry</w:t>
      </w:r>
      <w:r w:rsidRPr="007B58C9">
        <w:rPr>
          <w:rFonts w:cs="Times New Roman"/>
          <w:noProof/>
          <w:szCs w:val="24"/>
        </w:rPr>
        <w:t xml:space="preserve"> </w:t>
      </w:r>
      <w:r w:rsidRPr="007B58C9">
        <w:rPr>
          <w:rFonts w:cs="Times New Roman"/>
          <w:b/>
          <w:bCs/>
          <w:noProof/>
          <w:szCs w:val="24"/>
        </w:rPr>
        <w:t>1997</w:t>
      </w:r>
      <w:r w:rsidRPr="007B58C9">
        <w:rPr>
          <w:rFonts w:cs="Times New Roman"/>
          <w:noProof/>
          <w:szCs w:val="24"/>
        </w:rPr>
        <w:t xml:space="preserve">, </w:t>
      </w:r>
      <w:r w:rsidRPr="007B58C9">
        <w:rPr>
          <w:rFonts w:cs="Times New Roman"/>
          <w:i/>
          <w:iCs/>
          <w:noProof/>
          <w:szCs w:val="24"/>
        </w:rPr>
        <w:t>36</w:t>
      </w:r>
      <w:r w:rsidRPr="007B58C9">
        <w:rPr>
          <w:rFonts w:cs="Times New Roman"/>
          <w:noProof/>
          <w:szCs w:val="24"/>
        </w:rPr>
        <w:t>, 9101–9108.</w:t>
      </w:r>
    </w:p>
    <w:p w14:paraId="5DD1D07A"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[30]</w:t>
      </w:r>
      <w:r w:rsidRPr="007B58C9">
        <w:rPr>
          <w:rFonts w:cs="Times New Roman"/>
          <w:noProof/>
          <w:szCs w:val="24"/>
        </w:rPr>
        <w:tab/>
        <w:t xml:space="preserve">M. Auton, D. W. Bolen, </w:t>
      </w:r>
      <w:r w:rsidRPr="007B58C9">
        <w:rPr>
          <w:rFonts w:cs="Times New Roman"/>
          <w:i/>
          <w:iCs/>
          <w:noProof/>
          <w:szCs w:val="24"/>
        </w:rPr>
        <w:t>Biochemistry</w:t>
      </w:r>
      <w:r w:rsidRPr="007B58C9">
        <w:rPr>
          <w:rFonts w:cs="Times New Roman"/>
          <w:noProof/>
          <w:szCs w:val="24"/>
        </w:rPr>
        <w:t xml:space="preserve"> </w:t>
      </w:r>
      <w:r w:rsidRPr="007B58C9">
        <w:rPr>
          <w:rFonts w:cs="Times New Roman"/>
          <w:b/>
          <w:bCs/>
          <w:noProof/>
          <w:szCs w:val="24"/>
        </w:rPr>
        <w:t>2004</w:t>
      </w:r>
      <w:r w:rsidRPr="007B58C9">
        <w:rPr>
          <w:rFonts w:cs="Times New Roman"/>
          <w:noProof/>
          <w:szCs w:val="24"/>
        </w:rPr>
        <w:t xml:space="preserve">, </w:t>
      </w:r>
      <w:r w:rsidRPr="007B58C9">
        <w:rPr>
          <w:rFonts w:cs="Times New Roman"/>
          <w:i/>
          <w:iCs/>
          <w:noProof/>
          <w:szCs w:val="24"/>
        </w:rPr>
        <w:t>43</w:t>
      </w:r>
      <w:r w:rsidRPr="007B58C9">
        <w:rPr>
          <w:rFonts w:cs="Times New Roman"/>
          <w:noProof/>
          <w:szCs w:val="24"/>
        </w:rPr>
        <w:t>, 1329–1342.</w:t>
      </w:r>
    </w:p>
    <w:p w14:paraId="5537BC6C"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[31]</w:t>
      </w:r>
      <w:r w:rsidRPr="007B58C9">
        <w:rPr>
          <w:rFonts w:cs="Times New Roman"/>
          <w:noProof/>
          <w:szCs w:val="24"/>
        </w:rPr>
        <w:tab/>
        <w:t xml:space="preserve">D. W. Bolen, I. V Baskakov, </w:t>
      </w:r>
      <w:r w:rsidRPr="007B58C9">
        <w:rPr>
          <w:rFonts w:cs="Times New Roman"/>
          <w:i/>
          <w:iCs/>
          <w:noProof/>
          <w:szCs w:val="24"/>
        </w:rPr>
        <w:t>J. Mol. Biol.</w:t>
      </w:r>
      <w:r w:rsidRPr="007B58C9">
        <w:rPr>
          <w:rFonts w:cs="Times New Roman"/>
          <w:noProof/>
          <w:szCs w:val="24"/>
        </w:rPr>
        <w:t xml:space="preserve"> </w:t>
      </w:r>
      <w:r w:rsidRPr="007B58C9">
        <w:rPr>
          <w:rFonts w:cs="Times New Roman"/>
          <w:b/>
          <w:bCs/>
          <w:noProof/>
          <w:szCs w:val="24"/>
        </w:rPr>
        <w:t>2001</w:t>
      </w:r>
      <w:r w:rsidRPr="007B58C9">
        <w:rPr>
          <w:rFonts w:cs="Times New Roman"/>
          <w:noProof/>
          <w:szCs w:val="24"/>
        </w:rPr>
        <w:t xml:space="preserve">, </w:t>
      </w:r>
      <w:r w:rsidRPr="007B58C9">
        <w:rPr>
          <w:rFonts w:cs="Times New Roman"/>
          <w:i/>
          <w:iCs/>
          <w:noProof/>
          <w:szCs w:val="24"/>
        </w:rPr>
        <w:t>310</w:t>
      </w:r>
      <w:r w:rsidRPr="007B58C9">
        <w:rPr>
          <w:rFonts w:cs="Times New Roman"/>
          <w:noProof/>
          <w:szCs w:val="24"/>
        </w:rPr>
        <w:t>, 955–963.</w:t>
      </w:r>
    </w:p>
    <w:p w14:paraId="56446ED9"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[32]</w:t>
      </w:r>
      <w:r w:rsidRPr="007B58C9">
        <w:rPr>
          <w:rFonts w:cs="Times New Roman"/>
          <w:noProof/>
          <w:szCs w:val="24"/>
        </w:rPr>
        <w:tab/>
        <w:t xml:space="preserve">D. W. Bolen, G. D. Rose, </w:t>
      </w:r>
      <w:r w:rsidRPr="007B58C9">
        <w:rPr>
          <w:rFonts w:cs="Times New Roman"/>
          <w:i/>
          <w:iCs/>
          <w:noProof/>
          <w:szCs w:val="24"/>
        </w:rPr>
        <w:t>Annu. Rev. Biochem.</w:t>
      </w:r>
      <w:r w:rsidRPr="007B58C9">
        <w:rPr>
          <w:rFonts w:cs="Times New Roman"/>
          <w:noProof/>
          <w:szCs w:val="24"/>
        </w:rPr>
        <w:t xml:space="preserve"> </w:t>
      </w:r>
      <w:r w:rsidRPr="007B58C9">
        <w:rPr>
          <w:rFonts w:cs="Times New Roman"/>
          <w:b/>
          <w:bCs/>
          <w:noProof/>
          <w:szCs w:val="24"/>
        </w:rPr>
        <w:t>2008</w:t>
      </w:r>
      <w:r w:rsidRPr="007B58C9">
        <w:rPr>
          <w:rFonts w:cs="Times New Roman"/>
          <w:noProof/>
          <w:szCs w:val="24"/>
        </w:rPr>
        <w:t xml:space="preserve">, </w:t>
      </w:r>
      <w:r w:rsidRPr="007B58C9">
        <w:rPr>
          <w:rFonts w:cs="Times New Roman"/>
          <w:i/>
          <w:iCs/>
          <w:noProof/>
          <w:szCs w:val="24"/>
        </w:rPr>
        <w:t>77</w:t>
      </w:r>
      <w:r w:rsidRPr="007B58C9">
        <w:rPr>
          <w:rFonts w:cs="Times New Roman"/>
          <w:noProof/>
          <w:szCs w:val="24"/>
        </w:rPr>
        <w:t>, 339–362.</w:t>
      </w:r>
    </w:p>
    <w:p w14:paraId="1A5D5F17"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[33]</w:t>
      </w:r>
      <w:r w:rsidRPr="007B58C9">
        <w:rPr>
          <w:rFonts w:cs="Times New Roman"/>
          <w:noProof/>
          <w:szCs w:val="24"/>
        </w:rPr>
        <w:tab/>
        <w:t xml:space="preserve">D. W. Bolen, </w:t>
      </w:r>
      <w:r w:rsidRPr="007B58C9">
        <w:rPr>
          <w:rFonts w:cs="Times New Roman"/>
          <w:i/>
          <w:iCs/>
          <w:noProof/>
          <w:szCs w:val="24"/>
        </w:rPr>
        <w:t>Methods</w:t>
      </w:r>
      <w:r w:rsidRPr="007B58C9">
        <w:rPr>
          <w:rFonts w:cs="Times New Roman"/>
          <w:noProof/>
          <w:szCs w:val="24"/>
        </w:rPr>
        <w:t xml:space="preserve"> </w:t>
      </w:r>
      <w:r w:rsidRPr="007B58C9">
        <w:rPr>
          <w:rFonts w:cs="Times New Roman"/>
          <w:b/>
          <w:bCs/>
          <w:noProof/>
          <w:szCs w:val="24"/>
        </w:rPr>
        <w:t>2004</w:t>
      </w:r>
      <w:r w:rsidRPr="007B58C9">
        <w:rPr>
          <w:rFonts w:cs="Times New Roman"/>
          <w:noProof/>
          <w:szCs w:val="24"/>
        </w:rPr>
        <w:t xml:space="preserve">, </w:t>
      </w:r>
      <w:r w:rsidRPr="007B58C9">
        <w:rPr>
          <w:rFonts w:cs="Times New Roman"/>
          <w:i/>
          <w:iCs/>
          <w:noProof/>
          <w:szCs w:val="24"/>
        </w:rPr>
        <w:t>34</w:t>
      </w:r>
      <w:r w:rsidRPr="007B58C9">
        <w:rPr>
          <w:rFonts w:cs="Times New Roman"/>
          <w:noProof/>
          <w:szCs w:val="24"/>
        </w:rPr>
        <w:t>, 312–322.</w:t>
      </w:r>
    </w:p>
    <w:p w14:paraId="0B15AA2F"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[34]</w:t>
      </w:r>
      <w:r w:rsidRPr="007B58C9">
        <w:rPr>
          <w:rFonts w:cs="Times New Roman"/>
          <w:noProof/>
          <w:szCs w:val="24"/>
        </w:rPr>
        <w:tab/>
        <w:t xml:space="preserve">Y. Qu, D. W. Bolen, </w:t>
      </w:r>
      <w:r w:rsidRPr="007B58C9">
        <w:rPr>
          <w:rFonts w:cs="Times New Roman"/>
          <w:i/>
          <w:iCs/>
          <w:noProof/>
          <w:szCs w:val="24"/>
        </w:rPr>
        <w:t>Biochemistry</w:t>
      </w:r>
      <w:r w:rsidRPr="007B58C9">
        <w:rPr>
          <w:rFonts w:cs="Times New Roman"/>
          <w:noProof/>
          <w:szCs w:val="24"/>
        </w:rPr>
        <w:t xml:space="preserve"> </w:t>
      </w:r>
      <w:r w:rsidRPr="007B58C9">
        <w:rPr>
          <w:rFonts w:cs="Times New Roman"/>
          <w:b/>
          <w:bCs/>
          <w:noProof/>
          <w:szCs w:val="24"/>
        </w:rPr>
        <w:t>2003</w:t>
      </w:r>
      <w:r w:rsidRPr="007B58C9">
        <w:rPr>
          <w:rFonts w:cs="Times New Roman"/>
          <w:noProof/>
          <w:szCs w:val="24"/>
        </w:rPr>
        <w:t xml:space="preserve">, </w:t>
      </w:r>
      <w:r w:rsidRPr="007B58C9">
        <w:rPr>
          <w:rFonts w:cs="Times New Roman"/>
          <w:i/>
          <w:iCs/>
          <w:noProof/>
          <w:szCs w:val="24"/>
        </w:rPr>
        <w:t>42</w:t>
      </w:r>
      <w:r w:rsidRPr="007B58C9">
        <w:rPr>
          <w:rFonts w:cs="Times New Roman"/>
          <w:noProof/>
          <w:szCs w:val="24"/>
        </w:rPr>
        <w:t>, 5837–5849.</w:t>
      </w:r>
    </w:p>
    <w:p w14:paraId="592E82B9"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[35]</w:t>
      </w:r>
      <w:r w:rsidRPr="007B58C9">
        <w:rPr>
          <w:rFonts w:cs="Times New Roman"/>
          <w:noProof/>
          <w:szCs w:val="24"/>
        </w:rPr>
        <w:tab/>
        <w:t xml:space="preserve">B. Moeser, D. Horinek, </w:t>
      </w:r>
      <w:r w:rsidRPr="007B58C9">
        <w:rPr>
          <w:rFonts w:cs="Times New Roman"/>
          <w:i/>
          <w:iCs/>
          <w:noProof/>
          <w:szCs w:val="24"/>
        </w:rPr>
        <w:t>J. Phys. Chem. B</w:t>
      </w:r>
      <w:r w:rsidRPr="007B58C9">
        <w:rPr>
          <w:rFonts w:cs="Times New Roman"/>
          <w:noProof/>
          <w:szCs w:val="24"/>
        </w:rPr>
        <w:t xml:space="preserve"> </w:t>
      </w:r>
      <w:r w:rsidRPr="007B58C9">
        <w:rPr>
          <w:rFonts w:cs="Times New Roman"/>
          <w:b/>
          <w:bCs/>
          <w:noProof/>
          <w:szCs w:val="24"/>
        </w:rPr>
        <w:t>2014</w:t>
      </w:r>
      <w:r w:rsidRPr="007B58C9">
        <w:rPr>
          <w:rFonts w:cs="Times New Roman"/>
          <w:noProof/>
          <w:szCs w:val="24"/>
        </w:rPr>
        <w:t xml:space="preserve">, </w:t>
      </w:r>
      <w:r w:rsidRPr="007B58C9">
        <w:rPr>
          <w:rFonts w:cs="Times New Roman"/>
          <w:i/>
          <w:iCs/>
          <w:noProof/>
          <w:szCs w:val="24"/>
        </w:rPr>
        <w:t>118</w:t>
      </w:r>
      <w:r w:rsidRPr="007B58C9">
        <w:rPr>
          <w:rFonts w:cs="Times New Roman"/>
          <w:noProof/>
          <w:szCs w:val="24"/>
        </w:rPr>
        <w:t>, 107–114.</w:t>
      </w:r>
    </w:p>
    <w:p w14:paraId="6859CF24"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[36]</w:t>
      </w:r>
      <w:r w:rsidRPr="007B58C9">
        <w:rPr>
          <w:rFonts w:cs="Times New Roman"/>
          <w:noProof/>
          <w:szCs w:val="24"/>
        </w:rPr>
        <w:tab/>
        <w:t xml:space="preserve">B. Moeser, D. Horinek, </w:t>
      </w:r>
      <w:r w:rsidRPr="007B58C9">
        <w:rPr>
          <w:rFonts w:cs="Times New Roman"/>
          <w:i/>
          <w:iCs/>
          <w:noProof/>
          <w:szCs w:val="24"/>
        </w:rPr>
        <w:t>Biophys. Chem.</w:t>
      </w:r>
      <w:r w:rsidRPr="007B58C9">
        <w:rPr>
          <w:rFonts w:cs="Times New Roman"/>
          <w:noProof/>
          <w:szCs w:val="24"/>
        </w:rPr>
        <w:t xml:space="preserve"> </w:t>
      </w:r>
      <w:r w:rsidRPr="007B58C9">
        <w:rPr>
          <w:rFonts w:cs="Times New Roman"/>
          <w:b/>
          <w:bCs/>
          <w:noProof/>
          <w:szCs w:val="24"/>
        </w:rPr>
        <w:t>2015</w:t>
      </w:r>
      <w:r w:rsidRPr="007B58C9">
        <w:rPr>
          <w:rFonts w:cs="Times New Roman"/>
          <w:noProof/>
          <w:szCs w:val="24"/>
        </w:rPr>
        <w:t xml:space="preserve">, </w:t>
      </w:r>
      <w:r w:rsidRPr="007B58C9">
        <w:rPr>
          <w:rFonts w:cs="Times New Roman"/>
          <w:i/>
          <w:iCs/>
          <w:noProof/>
          <w:szCs w:val="24"/>
        </w:rPr>
        <w:t>196</w:t>
      </w:r>
      <w:r w:rsidRPr="007B58C9">
        <w:rPr>
          <w:rFonts w:cs="Times New Roman"/>
          <w:noProof/>
          <w:szCs w:val="24"/>
        </w:rPr>
        <w:t>, 68–76.</w:t>
      </w:r>
    </w:p>
    <w:p w14:paraId="586C9369"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[37]</w:t>
      </w:r>
      <w:r w:rsidRPr="007B58C9">
        <w:rPr>
          <w:rFonts w:cs="Times New Roman"/>
          <w:noProof/>
          <w:szCs w:val="24"/>
        </w:rPr>
        <w:tab/>
        <w:t xml:space="preserve">C. Krywka, C. Sternemann, M. Paulus, M. Tolan, C. Royer, R. Winter, </w:t>
      </w:r>
      <w:r w:rsidRPr="007B58C9">
        <w:rPr>
          <w:rFonts w:cs="Times New Roman"/>
          <w:i/>
          <w:iCs/>
          <w:noProof/>
          <w:szCs w:val="24"/>
        </w:rPr>
        <w:t>ChemPhysChem</w:t>
      </w:r>
      <w:r w:rsidRPr="007B58C9">
        <w:rPr>
          <w:rFonts w:cs="Times New Roman"/>
          <w:noProof/>
          <w:szCs w:val="24"/>
        </w:rPr>
        <w:t xml:space="preserve"> </w:t>
      </w:r>
      <w:r w:rsidRPr="007B58C9">
        <w:rPr>
          <w:rFonts w:cs="Times New Roman"/>
          <w:b/>
          <w:bCs/>
          <w:noProof/>
          <w:szCs w:val="24"/>
        </w:rPr>
        <w:t>2008</w:t>
      </w:r>
      <w:r w:rsidRPr="007B58C9">
        <w:rPr>
          <w:rFonts w:cs="Times New Roman"/>
          <w:noProof/>
          <w:szCs w:val="24"/>
        </w:rPr>
        <w:t xml:space="preserve">, </w:t>
      </w:r>
      <w:r w:rsidRPr="007B58C9">
        <w:rPr>
          <w:rFonts w:cs="Times New Roman"/>
          <w:i/>
          <w:iCs/>
          <w:noProof/>
          <w:szCs w:val="24"/>
        </w:rPr>
        <w:t>9</w:t>
      </w:r>
      <w:r w:rsidRPr="007B58C9">
        <w:rPr>
          <w:rFonts w:cs="Times New Roman"/>
          <w:noProof/>
          <w:szCs w:val="24"/>
        </w:rPr>
        <w:t>, 2809–2815.</w:t>
      </w:r>
    </w:p>
    <w:p w14:paraId="585FFC3C"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[38]</w:t>
      </w:r>
      <w:r w:rsidRPr="007B58C9">
        <w:rPr>
          <w:rFonts w:cs="Times New Roman"/>
          <w:noProof/>
          <w:szCs w:val="24"/>
        </w:rPr>
        <w:tab/>
        <w:t xml:space="preserve">G. Panick, R. Malessa, R. Winter, </w:t>
      </w:r>
      <w:r w:rsidRPr="007B58C9">
        <w:rPr>
          <w:rFonts w:cs="Times New Roman"/>
          <w:i/>
          <w:iCs/>
          <w:noProof/>
          <w:szCs w:val="24"/>
        </w:rPr>
        <w:t>Biochemistry</w:t>
      </w:r>
      <w:r w:rsidRPr="007B58C9">
        <w:rPr>
          <w:rFonts w:cs="Times New Roman"/>
          <w:noProof/>
          <w:szCs w:val="24"/>
        </w:rPr>
        <w:t xml:space="preserve"> </w:t>
      </w:r>
      <w:r w:rsidRPr="007B58C9">
        <w:rPr>
          <w:rFonts w:cs="Times New Roman"/>
          <w:b/>
          <w:bCs/>
          <w:noProof/>
          <w:szCs w:val="24"/>
        </w:rPr>
        <w:t>1999</w:t>
      </w:r>
      <w:r w:rsidRPr="007B58C9">
        <w:rPr>
          <w:rFonts w:cs="Times New Roman"/>
          <w:noProof/>
          <w:szCs w:val="24"/>
        </w:rPr>
        <w:t xml:space="preserve">, </w:t>
      </w:r>
      <w:r w:rsidRPr="007B58C9">
        <w:rPr>
          <w:rFonts w:cs="Times New Roman"/>
          <w:i/>
          <w:iCs/>
          <w:noProof/>
          <w:szCs w:val="24"/>
        </w:rPr>
        <w:t>38</w:t>
      </w:r>
      <w:r w:rsidRPr="007B58C9">
        <w:rPr>
          <w:rFonts w:cs="Times New Roman"/>
          <w:noProof/>
          <w:szCs w:val="24"/>
        </w:rPr>
        <w:t>, 6512–6519.</w:t>
      </w:r>
    </w:p>
    <w:p w14:paraId="755C6282"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[39]</w:t>
      </w:r>
      <w:r w:rsidRPr="007B58C9">
        <w:rPr>
          <w:rFonts w:cs="Times New Roman"/>
          <w:noProof/>
          <w:szCs w:val="24"/>
        </w:rPr>
        <w:tab/>
        <w:t xml:space="preserve">M. A. Schroer, Y. Zhai, D. C. F. Wieland, C. J. Sahle, J. Nase, M. Paulus, M. Tolan, R. Winter, </w:t>
      </w:r>
      <w:r w:rsidRPr="007B58C9">
        <w:rPr>
          <w:rFonts w:cs="Times New Roman"/>
          <w:i/>
          <w:iCs/>
          <w:noProof/>
          <w:szCs w:val="24"/>
        </w:rPr>
        <w:t>Angew. Chemie Int. Ed.</w:t>
      </w:r>
      <w:r w:rsidRPr="007B58C9">
        <w:rPr>
          <w:rFonts w:cs="Times New Roman"/>
          <w:noProof/>
          <w:szCs w:val="24"/>
        </w:rPr>
        <w:t xml:space="preserve"> </w:t>
      </w:r>
      <w:r w:rsidRPr="007B58C9">
        <w:rPr>
          <w:rFonts w:cs="Times New Roman"/>
          <w:b/>
          <w:bCs/>
          <w:noProof/>
          <w:szCs w:val="24"/>
        </w:rPr>
        <w:t>2011</w:t>
      </w:r>
      <w:r w:rsidRPr="007B58C9">
        <w:rPr>
          <w:rFonts w:cs="Times New Roman"/>
          <w:noProof/>
          <w:szCs w:val="24"/>
        </w:rPr>
        <w:t xml:space="preserve">, </w:t>
      </w:r>
      <w:r w:rsidRPr="007B58C9">
        <w:rPr>
          <w:rFonts w:cs="Times New Roman"/>
          <w:i/>
          <w:iCs/>
          <w:noProof/>
          <w:szCs w:val="24"/>
        </w:rPr>
        <w:t>50</w:t>
      </w:r>
      <w:r w:rsidRPr="007B58C9">
        <w:rPr>
          <w:rFonts w:cs="Times New Roman"/>
          <w:noProof/>
          <w:szCs w:val="24"/>
        </w:rPr>
        <w:t>, 11413–11416.</w:t>
      </w:r>
    </w:p>
    <w:p w14:paraId="743C17D3"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[40]</w:t>
      </w:r>
      <w:r w:rsidRPr="007B58C9">
        <w:rPr>
          <w:rFonts w:cs="Times New Roman"/>
          <w:noProof/>
          <w:szCs w:val="24"/>
        </w:rPr>
        <w:tab/>
        <w:t xml:space="preserve">Y. Zhai, R. Winter, </w:t>
      </w:r>
      <w:r w:rsidRPr="007B58C9">
        <w:rPr>
          <w:rFonts w:cs="Times New Roman"/>
          <w:i/>
          <w:iCs/>
          <w:noProof/>
          <w:szCs w:val="24"/>
        </w:rPr>
        <w:t>ChemPhysChem</w:t>
      </w:r>
      <w:r w:rsidRPr="007B58C9">
        <w:rPr>
          <w:rFonts w:cs="Times New Roman"/>
          <w:noProof/>
          <w:szCs w:val="24"/>
        </w:rPr>
        <w:t xml:space="preserve"> </w:t>
      </w:r>
      <w:r w:rsidRPr="007B58C9">
        <w:rPr>
          <w:rFonts w:cs="Times New Roman"/>
          <w:b/>
          <w:bCs/>
          <w:noProof/>
          <w:szCs w:val="24"/>
        </w:rPr>
        <w:t>2013</w:t>
      </w:r>
      <w:r w:rsidRPr="007B58C9">
        <w:rPr>
          <w:rFonts w:cs="Times New Roman"/>
          <w:noProof/>
          <w:szCs w:val="24"/>
        </w:rPr>
        <w:t xml:space="preserve">, </w:t>
      </w:r>
      <w:r w:rsidRPr="007B58C9">
        <w:rPr>
          <w:rFonts w:cs="Times New Roman"/>
          <w:i/>
          <w:iCs/>
          <w:noProof/>
          <w:szCs w:val="24"/>
        </w:rPr>
        <w:t>14</w:t>
      </w:r>
      <w:r w:rsidRPr="007B58C9">
        <w:rPr>
          <w:rFonts w:cs="Times New Roman"/>
          <w:noProof/>
          <w:szCs w:val="24"/>
        </w:rPr>
        <w:t>, 386–393.</w:t>
      </w:r>
    </w:p>
    <w:p w14:paraId="406AEA92"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[41]</w:t>
      </w:r>
      <w:r w:rsidRPr="007B58C9">
        <w:rPr>
          <w:rFonts w:cs="Times New Roman"/>
          <w:noProof/>
          <w:szCs w:val="24"/>
        </w:rPr>
        <w:tab/>
        <w:t xml:space="preserve">H. Herberhold, R. Winter, </w:t>
      </w:r>
      <w:r w:rsidRPr="007B58C9">
        <w:rPr>
          <w:rFonts w:cs="Times New Roman"/>
          <w:i/>
          <w:iCs/>
          <w:noProof/>
          <w:szCs w:val="24"/>
        </w:rPr>
        <w:t>Biochemistry</w:t>
      </w:r>
      <w:r w:rsidRPr="007B58C9">
        <w:rPr>
          <w:rFonts w:cs="Times New Roman"/>
          <w:noProof/>
          <w:szCs w:val="24"/>
        </w:rPr>
        <w:t xml:space="preserve"> </w:t>
      </w:r>
      <w:r w:rsidRPr="007B58C9">
        <w:rPr>
          <w:rFonts w:cs="Times New Roman"/>
          <w:b/>
          <w:bCs/>
          <w:noProof/>
          <w:szCs w:val="24"/>
        </w:rPr>
        <w:t>2002</w:t>
      </w:r>
      <w:r w:rsidRPr="007B58C9">
        <w:rPr>
          <w:rFonts w:cs="Times New Roman"/>
          <w:noProof/>
          <w:szCs w:val="24"/>
        </w:rPr>
        <w:t xml:space="preserve">, </w:t>
      </w:r>
      <w:r w:rsidRPr="007B58C9">
        <w:rPr>
          <w:rFonts w:cs="Times New Roman"/>
          <w:i/>
          <w:iCs/>
          <w:noProof/>
          <w:szCs w:val="24"/>
        </w:rPr>
        <w:t>41</w:t>
      </w:r>
      <w:r w:rsidRPr="007B58C9">
        <w:rPr>
          <w:rFonts w:cs="Times New Roman"/>
          <w:noProof/>
          <w:szCs w:val="24"/>
        </w:rPr>
        <w:t>, 2396–2401.</w:t>
      </w:r>
    </w:p>
    <w:p w14:paraId="60B5B2B0"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[42]</w:t>
      </w:r>
      <w:r w:rsidRPr="007B58C9">
        <w:rPr>
          <w:rFonts w:cs="Times New Roman"/>
          <w:noProof/>
          <w:szCs w:val="24"/>
        </w:rPr>
        <w:tab/>
        <w:t xml:space="preserve">S. Shimizu, </w:t>
      </w:r>
      <w:r w:rsidRPr="007B58C9">
        <w:rPr>
          <w:rFonts w:cs="Times New Roman"/>
          <w:i/>
          <w:iCs/>
          <w:noProof/>
          <w:szCs w:val="24"/>
        </w:rPr>
        <w:t>Proc. Natl. Acad. Sci. U. S. A.</w:t>
      </w:r>
      <w:r w:rsidRPr="007B58C9">
        <w:rPr>
          <w:rFonts w:cs="Times New Roman"/>
          <w:noProof/>
          <w:szCs w:val="24"/>
        </w:rPr>
        <w:t xml:space="preserve"> </w:t>
      </w:r>
      <w:r w:rsidRPr="007B58C9">
        <w:rPr>
          <w:rFonts w:cs="Times New Roman"/>
          <w:b/>
          <w:bCs/>
          <w:noProof/>
          <w:szCs w:val="24"/>
        </w:rPr>
        <w:t>2004</w:t>
      </w:r>
      <w:r w:rsidRPr="007B58C9">
        <w:rPr>
          <w:rFonts w:cs="Times New Roman"/>
          <w:noProof/>
          <w:szCs w:val="24"/>
        </w:rPr>
        <w:t xml:space="preserve">, </w:t>
      </w:r>
      <w:r w:rsidRPr="007B58C9">
        <w:rPr>
          <w:rFonts w:cs="Times New Roman"/>
          <w:i/>
          <w:iCs/>
          <w:noProof/>
          <w:szCs w:val="24"/>
        </w:rPr>
        <w:t>101</w:t>
      </w:r>
      <w:r w:rsidRPr="007B58C9">
        <w:rPr>
          <w:rFonts w:cs="Times New Roman"/>
          <w:noProof/>
          <w:szCs w:val="24"/>
        </w:rPr>
        <w:t>, 1195–1199.</w:t>
      </w:r>
    </w:p>
    <w:p w14:paraId="3594E700"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[43]</w:t>
      </w:r>
      <w:r w:rsidRPr="007B58C9">
        <w:rPr>
          <w:rFonts w:cs="Times New Roman"/>
          <w:noProof/>
          <w:szCs w:val="24"/>
        </w:rPr>
        <w:tab/>
        <w:t xml:space="preserve">P. E. Smith, </w:t>
      </w:r>
      <w:r w:rsidRPr="007B58C9">
        <w:rPr>
          <w:rFonts w:cs="Times New Roman"/>
          <w:i/>
          <w:iCs/>
          <w:noProof/>
          <w:szCs w:val="24"/>
        </w:rPr>
        <w:t>J. Phys. Chem. B</w:t>
      </w:r>
      <w:r w:rsidRPr="007B58C9">
        <w:rPr>
          <w:rFonts w:cs="Times New Roman"/>
          <w:noProof/>
          <w:szCs w:val="24"/>
        </w:rPr>
        <w:t xml:space="preserve"> </w:t>
      </w:r>
      <w:r w:rsidRPr="007B58C9">
        <w:rPr>
          <w:rFonts w:cs="Times New Roman"/>
          <w:b/>
          <w:bCs/>
          <w:noProof/>
          <w:szCs w:val="24"/>
        </w:rPr>
        <w:t>2004</w:t>
      </w:r>
      <w:r w:rsidRPr="007B58C9">
        <w:rPr>
          <w:rFonts w:cs="Times New Roman"/>
          <w:noProof/>
          <w:szCs w:val="24"/>
        </w:rPr>
        <w:t xml:space="preserve">, </w:t>
      </w:r>
      <w:r w:rsidRPr="007B58C9">
        <w:rPr>
          <w:rFonts w:cs="Times New Roman"/>
          <w:i/>
          <w:iCs/>
          <w:noProof/>
          <w:szCs w:val="24"/>
        </w:rPr>
        <w:t>108</w:t>
      </w:r>
      <w:r w:rsidRPr="007B58C9">
        <w:rPr>
          <w:rFonts w:cs="Times New Roman"/>
          <w:noProof/>
          <w:szCs w:val="24"/>
        </w:rPr>
        <w:t>, 18716–18724.</w:t>
      </w:r>
    </w:p>
    <w:p w14:paraId="2C6EB568"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[44]</w:t>
      </w:r>
      <w:r w:rsidRPr="007B58C9">
        <w:rPr>
          <w:rFonts w:cs="Times New Roman"/>
          <w:noProof/>
          <w:szCs w:val="24"/>
        </w:rPr>
        <w:tab/>
        <w:t xml:space="preserve">P. E. Smith, </w:t>
      </w:r>
      <w:r w:rsidRPr="007B58C9">
        <w:rPr>
          <w:rFonts w:cs="Times New Roman"/>
          <w:i/>
          <w:iCs/>
          <w:noProof/>
          <w:szCs w:val="24"/>
        </w:rPr>
        <w:t>J. Phys. Chem. B</w:t>
      </w:r>
      <w:r w:rsidRPr="007B58C9">
        <w:rPr>
          <w:rFonts w:cs="Times New Roman"/>
          <w:noProof/>
          <w:szCs w:val="24"/>
        </w:rPr>
        <w:t xml:space="preserve"> </w:t>
      </w:r>
      <w:r w:rsidRPr="007B58C9">
        <w:rPr>
          <w:rFonts w:cs="Times New Roman"/>
          <w:b/>
          <w:bCs/>
          <w:noProof/>
          <w:szCs w:val="24"/>
        </w:rPr>
        <w:t>2004</w:t>
      </w:r>
      <w:r w:rsidRPr="007B58C9">
        <w:rPr>
          <w:rFonts w:cs="Times New Roman"/>
          <w:noProof/>
          <w:szCs w:val="24"/>
        </w:rPr>
        <w:t xml:space="preserve">, </w:t>
      </w:r>
      <w:r w:rsidRPr="007B58C9">
        <w:rPr>
          <w:rFonts w:cs="Times New Roman"/>
          <w:i/>
          <w:iCs/>
          <w:noProof/>
          <w:szCs w:val="24"/>
        </w:rPr>
        <w:t>108</w:t>
      </w:r>
      <w:r w:rsidRPr="007B58C9">
        <w:rPr>
          <w:rFonts w:cs="Times New Roman"/>
          <w:noProof/>
          <w:szCs w:val="24"/>
        </w:rPr>
        <w:t>, 16271–16278.</w:t>
      </w:r>
    </w:p>
    <w:p w14:paraId="2E32186B"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[45]</w:t>
      </w:r>
      <w:r w:rsidRPr="007B58C9">
        <w:rPr>
          <w:rFonts w:cs="Times New Roman"/>
          <w:noProof/>
          <w:szCs w:val="24"/>
        </w:rPr>
        <w:tab/>
        <w:t xml:space="preserve">S. Shimizu, C. L. Boon, </w:t>
      </w:r>
      <w:r w:rsidRPr="007B58C9">
        <w:rPr>
          <w:rFonts w:cs="Times New Roman"/>
          <w:i/>
          <w:iCs/>
          <w:noProof/>
          <w:szCs w:val="24"/>
        </w:rPr>
        <w:t>J. Chem. Phys.</w:t>
      </w:r>
      <w:r w:rsidRPr="007B58C9">
        <w:rPr>
          <w:rFonts w:cs="Times New Roman"/>
          <w:noProof/>
          <w:szCs w:val="24"/>
        </w:rPr>
        <w:t xml:space="preserve"> </w:t>
      </w:r>
      <w:r w:rsidRPr="007B58C9">
        <w:rPr>
          <w:rFonts w:cs="Times New Roman"/>
          <w:b/>
          <w:bCs/>
          <w:noProof/>
          <w:szCs w:val="24"/>
        </w:rPr>
        <w:t>2004</w:t>
      </w:r>
      <w:r w:rsidRPr="007B58C9">
        <w:rPr>
          <w:rFonts w:cs="Times New Roman"/>
          <w:noProof/>
          <w:szCs w:val="24"/>
        </w:rPr>
        <w:t xml:space="preserve">, </w:t>
      </w:r>
      <w:r w:rsidRPr="007B58C9">
        <w:rPr>
          <w:rFonts w:cs="Times New Roman"/>
          <w:i/>
          <w:iCs/>
          <w:noProof/>
          <w:szCs w:val="24"/>
        </w:rPr>
        <w:t>121</w:t>
      </w:r>
      <w:r w:rsidRPr="007B58C9">
        <w:rPr>
          <w:rFonts w:cs="Times New Roman"/>
          <w:noProof/>
          <w:szCs w:val="24"/>
        </w:rPr>
        <w:t>, 9147–9155.</w:t>
      </w:r>
    </w:p>
    <w:p w14:paraId="52DF9F34"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[46]</w:t>
      </w:r>
      <w:r w:rsidRPr="007B58C9">
        <w:rPr>
          <w:rFonts w:cs="Times New Roman"/>
          <w:noProof/>
          <w:szCs w:val="24"/>
        </w:rPr>
        <w:tab/>
        <w:t xml:space="preserve">P. E. Smith, </w:t>
      </w:r>
      <w:r w:rsidRPr="007B58C9">
        <w:rPr>
          <w:rFonts w:cs="Times New Roman"/>
          <w:i/>
          <w:iCs/>
          <w:noProof/>
          <w:szCs w:val="24"/>
        </w:rPr>
        <w:t>J. Phys. Chem. B</w:t>
      </w:r>
      <w:r w:rsidRPr="007B58C9">
        <w:rPr>
          <w:rFonts w:cs="Times New Roman"/>
          <w:noProof/>
          <w:szCs w:val="24"/>
        </w:rPr>
        <w:t xml:space="preserve"> </w:t>
      </w:r>
      <w:r w:rsidRPr="007B58C9">
        <w:rPr>
          <w:rFonts w:cs="Times New Roman"/>
          <w:b/>
          <w:bCs/>
          <w:noProof/>
          <w:szCs w:val="24"/>
        </w:rPr>
        <w:t>2006</w:t>
      </w:r>
      <w:r w:rsidRPr="007B58C9">
        <w:rPr>
          <w:rFonts w:cs="Times New Roman"/>
          <w:noProof/>
          <w:szCs w:val="24"/>
        </w:rPr>
        <w:t xml:space="preserve">, </w:t>
      </w:r>
      <w:r w:rsidRPr="007B58C9">
        <w:rPr>
          <w:rFonts w:cs="Times New Roman"/>
          <w:i/>
          <w:iCs/>
          <w:noProof/>
          <w:szCs w:val="24"/>
        </w:rPr>
        <w:t>110</w:t>
      </w:r>
      <w:r w:rsidRPr="007B58C9">
        <w:rPr>
          <w:rFonts w:cs="Times New Roman"/>
          <w:noProof/>
          <w:szCs w:val="24"/>
        </w:rPr>
        <w:t>, 2862–2868.</w:t>
      </w:r>
    </w:p>
    <w:p w14:paraId="67EB8207"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[47]</w:t>
      </w:r>
      <w:r w:rsidRPr="007B58C9">
        <w:rPr>
          <w:rFonts w:cs="Times New Roman"/>
          <w:noProof/>
          <w:szCs w:val="24"/>
        </w:rPr>
        <w:tab/>
        <w:t xml:space="preserve">P. E. Smith, </w:t>
      </w:r>
      <w:r w:rsidRPr="007B58C9">
        <w:rPr>
          <w:rFonts w:cs="Times New Roman"/>
          <w:i/>
          <w:iCs/>
          <w:noProof/>
          <w:szCs w:val="24"/>
        </w:rPr>
        <w:t>Biophys. J.</w:t>
      </w:r>
      <w:r w:rsidRPr="007B58C9">
        <w:rPr>
          <w:rFonts w:cs="Times New Roman"/>
          <w:noProof/>
          <w:szCs w:val="24"/>
        </w:rPr>
        <w:t xml:space="preserve"> </w:t>
      </w:r>
      <w:r w:rsidRPr="007B58C9">
        <w:rPr>
          <w:rFonts w:cs="Times New Roman"/>
          <w:b/>
          <w:bCs/>
          <w:noProof/>
          <w:szCs w:val="24"/>
        </w:rPr>
        <w:t>2006</w:t>
      </w:r>
      <w:r w:rsidRPr="007B58C9">
        <w:rPr>
          <w:rFonts w:cs="Times New Roman"/>
          <w:noProof/>
          <w:szCs w:val="24"/>
        </w:rPr>
        <w:t xml:space="preserve">, </w:t>
      </w:r>
      <w:r w:rsidRPr="007B58C9">
        <w:rPr>
          <w:rFonts w:cs="Times New Roman"/>
          <w:i/>
          <w:iCs/>
          <w:noProof/>
          <w:szCs w:val="24"/>
        </w:rPr>
        <w:t>91</w:t>
      </w:r>
      <w:r w:rsidRPr="007B58C9">
        <w:rPr>
          <w:rFonts w:cs="Times New Roman"/>
          <w:noProof/>
          <w:szCs w:val="24"/>
        </w:rPr>
        <w:t>, 849–856.</w:t>
      </w:r>
    </w:p>
    <w:p w14:paraId="50E83536"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[48]</w:t>
      </w:r>
      <w:r w:rsidRPr="007B58C9">
        <w:rPr>
          <w:rFonts w:cs="Times New Roman"/>
          <w:noProof/>
          <w:szCs w:val="24"/>
        </w:rPr>
        <w:tab/>
        <w:t xml:space="preserve">S. Shimizu, W. M. McLaren, N. Matubayasi, </w:t>
      </w:r>
      <w:r w:rsidRPr="007B58C9">
        <w:rPr>
          <w:rFonts w:cs="Times New Roman"/>
          <w:i/>
          <w:iCs/>
          <w:noProof/>
          <w:szCs w:val="24"/>
        </w:rPr>
        <w:t>J. Chem. Phys.</w:t>
      </w:r>
      <w:r w:rsidRPr="007B58C9">
        <w:rPr>
          <w:rFonts w:cs="Times New Roman"/>
          <w:noProof/>
          <w:szCs w:val="24"/>
        </w:rPr>
        <w:t xml:space="preserve"> </w:t>
      </w:r>
      <w:r w:rsidRPr="007B58C9">
        <w:rPr>
          <w:rFonts w:cs="Times New Roman"/>
          <w:b/>
          <w:bCs/>
          <w:noProof/>
          <w:szCs w:val="24"/>
        </w:rPr>
        <w:t>2006</w:t>
      </w:r>
      <w:r w:rsidRPr="007B58C9">
        <w:rPr>
          <w:rFonts w:cs="Times New Roman"/>
          <w:noProof/>
          <w:szCs w:val="24"/>
        </w:rPr>
        <w:t xml:space="preserve">, </w:t>
      </w:r>
      <w:r w:rsidRPr="007B58C9">
        <w:rPr>
          <w:rFonts w:cs="Times New Roman"/>
          <w:i/>
          <w:iCs/>
          <w:noProof/>
          <w:szCs w:val="24"/>
        </w:rPr>
        <w:t>124</w:t>
      </w:r>
      <w:r w:rsidRPr="007B58C9">
        <w:rPr>
          <w:rFonts w:cs="Times New Roman"/>
          <w:noProof/>
          <w:szCs w:val="24"/>
        </w:rPr>
        <w:t>, 234905.</w:t>
      </w:r>
    </w:p>
    <w:p w14:paraId="774E3D51"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[49]</w:t>
      </w:r>
      <w:r w:rsidRPr="007B58C9">
        <w:rPr>
          <w:rFonts w:cs="Times New Roman"/>
          <w:noProof/>
          <w:szCs w:val="24"/>
        </w:rPr>
        <w:tab/>
        <w:t xml:space="preserve">V. Pierce, M. Kang, M. Aburi, S. Weerasinghe, P. E. Smith, </w:t>
      </w:r>
      <w:r w:rsidRPr="007B58C9">
        <w:rPr>
          <w:rFonts w:cs="Times New Roman"/>
          <w:i/>
          <w:iCs/>
          <w:noProof/>
          <w:szCs w:val="24"/>
        </w:rPr>
        <w:t>Cell Biochem. Biophys.</w:t>
      </w:r>
      <w:r w:rsidRPr="007B58C9">
        <w:rPr>
          <w:rFonts w:cs="Times New Roman"/>
          <w:noProof/>
          <w:szCs w:val="24"/>
        </w:rPr>
        <w:t xml:space="preserve"> </w:t>
      </w:r>
      <w:r w:rsidRPr="007B58C9">
        <w:rPr>
          <w:rFonts w:cs="Times New Roman"/>
          <w:b/>
          <w:bCs/>
          <w:noProof/>
          <w:szCs w:val="24"/>
        </w:rPr>
        <w:t>2008</w:t>
      </w:r>
      <w:r w:rsidRPr="007B58C9">
        <w:rPr>
          <w:rFonts w:cs="Times New Roman"/>
          <w:noProof/>
          <w:szCs w:val="24"/>
        </w:rPr>
        <w:t xml:space="preserve">, </w:t>
      </w:r>
      <w:r w:rsidRPr="007B58C9">
        <w:rPr>
          <w:rFonts w:cs="Times New Roman"/>
          <w:i/>
          <w:iCs/>
          <w:noProof/>
          <w:szCs w:val="24"/>
        </w:rPr>
        <w:t>50</w:t>
      </w:r>
      <w:r w:rsidRPr="007B58C9">
        <w:rPr>
          <w:rFonts w:cs="Times New Roman"/>
          <w:noProof/>
          <w:szCs w:val="24"/>
        </w:rPr>
        <w:t>, 1–22.</w:t>
      </w:r>
    </w:p>
    <w:p w14:paraId="0F93516D"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[50]</w:t>
      </w:r>
      <w:r w:rsidRPr="007B58C9">
        <w:rPr>
          <w:rFonts w:cs="Times New Roman"/>
          <w:noProof/>
          <w:szCs w:val="24"/>
        </w:rPr>
        <w:tab/>
        <w:t xml:space="preserve">S. Shimizu, N. Matubayasi, </w:t>
      </w:r>
      <w:r w:rsidRPr="007B58C9">
        <w:rPr>
          <w:rFonts w:cs="Times New Roman"/>
          <w:i/>
          <w:iCs/>
          <w:noProof/>
          <w:szCs w:val="24"/>
        </w:rPr>
        <w:t>J. Phys. Chem. B</w:t>
      </w:r>
      <w:r w:rsidRPr="007B58C9">
        <w:rPr>
          <w:rFonts w:cs="Times New Roman"/>
          <w:noProof/>
          <w:szCs w:val="24"/>
        </w:rPr>
        <w:t xml:space="preserve"> </w:t>
      </w:r>
      <w:r w:rsidRPr="007B58C9">
        <w:rPr>
          <w:rFonts w:cs="Times New Roman"/>
          <w:b/>
          <w:bCs/>
          <w:noProof/>
          <w:szCs w:val="24"/>
        </w:rPr>
        <w:t>2014</w:t>
      </w:r>
      <w:r w:rsidRPr="007B58C9">
        <w:rPr>
          <w:rFonts w:cs="Times New Roman"/>
          <w:noProof/>
          <w:szCs w:val="24"/>
        </w:rPr>
        <w:t xml:space="preserve">, </w:t>
      </w:r>
      <w:r w:rsidRPr="007B58C9">
        <w:rPr>
          <w:rFonts w:cs="Times New Roman"/>
          <w:i/>
          <w:iCs/>
          <w:noProof/>
          <w:szCs w:val="24"/>
        </w:rPr>
        <w:t>118</w:t>
      </w:r>
      <w:r w:rsidRPr="007B58C9">
        <w:rPr>
          <w:rFonts w:cs="Times New Roman"/>
          <w:noProof/>
          <w:szCs w:val="24"/>
        </w:rPr>
        <w:t>, 3922–3930.</w:t>
      </w:r>
    </w:p>
    <w:p w14:paraId="21A785F6"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[51]</w:t>
      </w:r>
      <w:r w:rsidRPr="007B58C9">
        <w:rPr>
          <w:rFonts w:cs="Times New Roman"/>
          <w:noProof/>
          <w:szCs w:val="24"/>
        </w:rPr>
        <w:tab/>
        <w:t xml:space="preserve">S. Shimizu, R. Stenner, N. Matubayasi, </w:t>
      </w:r>
      <w:r w:rsidRPr="007B58C9">
        <w:rPr>
          <w:rFonts w:cs="Times New Roman"/>
          <w:i/>
          <w:iCs/>
          <w:noProof/>
          <w:szCs w:val="24"/>
        </w:rPr>
        <w:t>Food Hydrocoll.</w:t>
      </w:r>
      <w:r w:rsidRPr="007B58C9">
        <w:rPr>
          <w:rFonts w:cs="Times New Roman"/>
          <w:noProof/>
          <w:szCs w:val="24"/>
        </w:rPr>
        <w:t xml:space="preserve"> </w:t>
      </w:r>
      <w:r w:rsidRPr="007B58C9">
        <w:rPr>
          <w:rFonts w:cs="Times New Roman"/>
          <w:b/>
          <w:bCs/>
          <w:noProof/>
          <w:szCs w:val="24"/>
        </w:rPr>
        <w:t>2017</w:t>
      </w:r>
      <w:r w:rsidRPr="007B58C9">
        <w:rPr>
          <w:rFonts w:cs="Times New Roman"/>
          <w:noProof/>
          <w:szCs w:val="24"/>
        </w:rPr>
        <w:t xml:space="preserve">, </w:t>
      </w:r>
      <w:r w:rsidRPr="007B58C9">
        <w:rPr>
          <w:rFonts w:cs="Times New Roman"/>
          <w:i/>
          <w:iCs/>
          <w:noProof/>
          <w:szCs w:val="24"/>
        </w:rPr>
        <w:t>62</w:t>
      </w:r>
      <w:r w:rsidRPr="007B58C9">
        <w:rPr>
          <w:rFonts w:cs="Times New Roman"/>
          <w:noProof/>
          <w:szCs w:val="24"/>
        </w:rPr>
        <w:t>, 128–139.</w:t>
      </w:r>
    </w:p>
    <w:p w14:paraId="32CAED29"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[52]</w:t>
      </w:r>
      <w:r w:rsidRPr="007B58C9">
        <w:rPr>
          <w:rFonts w:cs="Times New Roman"/>
          <w:noProof/>
          <w:szCs w:val="24"/>
        </w:rPr>
        <w:tab/>
        <w:t xml:space="preserve">J. G. Kirkwood, F. P. Buff, </w:t>
      </w:r>
      <w:r w:rsidRPr="007B58C9">
        <w:rPr>
          <w:rFonts w:cs="Times New Roman"/>
          <w:i/>
          <w:iCs/>
          <w:noProof/>
          <w:szCs w:val="24"/>
        </w:rPr>
        <w:t>J. Chem. Phys.</w:t>
      </w:r>
      <w:r w:rsidRPr="007B58C9">
        <w:rPr>
          <w:rFonts w:cs="Times New Roman"/>
          <w:noProof/>
          <w:szCs w:val="24"/>
        </w:rPr>
        <w:t xml:space="preserve"> </w:t>
      </w:r>
      <w:r w:rsidRPr="007B58C9">
        <w:rPr>
          <w:rFonts w:cs="Times New Roman"/>
          <w:b/>
          <w:bCs/>
          <w:noProof/>
          <w:szCs w:val="24"/>
        </w:rPr>
        <w:t>1951</w:t>
      </w:r>
      <w:r w:rsidRPr="007B58C9">
        <w:rPr>
          <w:rFonts w:cs="Times New Roman"/>
          <w:noProof/>
          <w:szCs w:val="24"/>
        </w:rPr>
        <w:t xml:space="preserve">, </w:t>
      </w:r>
      <w:r w:rsidRPr="007B58C9">
        <w:rPr>
          <w:rFonts w:cs="Times New Roman"/>
          <w:i/>
          <w:iCs/>
          <w:noProof/>
          <w:szCs w:val="24"/>
        </w:rPr>
        <w:t>19</w:t>
      </w:r>
      <w:r w:rsidRPr="007B58C9">
        <w:rPr>
          <w:rFonts w:cs="Times New Roman"/>
          <w:noProof/>
          <w:szCs w:val="24"/>
        </w:rPr>
        <w:t>, 774–777.</w:t>
      </w:r>
    </w:p>
    <w:p w14:paraId="2DF8F99D"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[53]</w:t>
      </w:r>
      <w:r w:rsidRPr="007B58C9">
        <w:rPr>
          <w:rFonts w:cs="Times New Roman"/>
          <w:noProof/>
          <w:szCs w:val="24"/>
        </w:rPr>
        <w:tab/>
        <w:t xml:space="preserve">A. Ben-Naim, </w:t>
      </w:r>
      <w:r w:rsidRPr="007B58C9">
        <w:rPr>
          <w:rFonts w:cs="Times New Roman"/>
          <w:i/>
          <w:iCs/>
          <w:noProof/>
          <w:szCs w:val="24"/>
        </w:rPr>
        <w:t>J. Chem. Phys.</w:t>
      </w:r>
      <w:r w:rsidRPr="007B58C9">
        <w:rPr>
          <w:rFonts w:cs="Times New Roman"/>
          <w:noProof/>
          <w:szCs w:val="24"/>
        </w:rPr>
        <w:t xml:space="preserve"> </w:t>
      </w:r>
      <w:r w:rsidRPr="007B58C9">
        <w:rPr>
          <w:rFonts w:cs="Times New Roman"/>
          <w:b/>
          <w:bCs/>
          <w:noProof/>
          <w:szCs w:val="24"/>
        </w:rPr>
        <w:t>1977</w:t>
      </w:r>
      <w:r w:rsidRPr="007B58C9">
        <w:rPr>
          <w:rFonts w:cs="Times New Roman"/>
          <w:noProof/>
          <w:szCs w:val="24"/>
        </w:rPr>
        <w:t xml:space="preserve">, </w:t>
      </w:r>
      <w:r w:rsidRPr="007B58C9">
        <w:rPr>
          <w:rFonts w:cs="Times New Roman"/>
          <w:i/>
          <w:iCs/>
          <w:noProof/>
          <w:szCs w:val="24"/>
        </w:rPr>
        <w:t>67</w:t>
      </w:r>
      <w:r w:rsidRPr="007B58C9">
        <w:rPr>
          <w:rFonts w:cs="Times New Roman"/>
          <w:noProof/>
          <w:szCs w:val="24"/>
        </w:rPr>
        <w:t>, 4884–4890.</w:t>
      </w:r>
    </w:p>
    <w:p w14:paraId="438CCCF5"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[54]</w:t>
      </w:r>
      <w:r w:rsidRPr="007B58C9">
        <w:rPr>
          <w:rFonts w:cs="Times New Roman"/>
          <w:noProof/>
          <w:szCs w:val="24"/>
        </w:rPr>
        <w:tab/>
        <w:t xml:space="preserve">E. A. Ploetz, P. E. Smith, </w:t>
      </w:r>
      <w:r w:rsidRPr="007B58C9">
        <w:rPr>
          <w:rFonts w:cs="Times New Roman"/>
          <w:i/>
          <w:iCs/>
          <w:noProof/>
          <w:szCs w:val="24"/>
        </w:rPr>
        <w:t>Adv. Chem. Phys.</w:t>
      </w:r>
      <w:r w:rsidRPr="007B58C9">
        <w:rPr>
          <w:rFonts w:cs="Times New Roman"/>
          <w:noProof/>
          <w:szCs w:val="24"/>
        </w:rPr>
        <w:t xml:space="preserve"> </w:t>
      </w:r>
      <w:r w:rsidRPr="007B58C9">
        <w:rPr>
          <w:rFonts w:cs="Times New Roman"/>
          <w:b/>
          <w:bCs/>
          <w:noProof/>
          <w:szCs w:val="24"/>
        </w:rPr>
        <w:t>2013</w:t>
      </w:r>
      <w:r w:rsidRPr="007B58C9">
        <w:rPr>
          <w:rFonts w:cs="Times New Roman"/>
          <w:noProof/>
          <w:szCs w:val="24"/>
        </w:rPr>
        <w:t xml:space="preserve">, </w:t>
      </w:r>
      <w:r w:rsidRPr="007B58C9">
        <w:rPr>
          <w:rFonts w:cs="Times New Roman"/>
          <w:i/>
          <w:iCs/>
          <w:noProof/>
          <w:szCs w:val="24"/>
        </w:rPr>
        <w:t>153</w:t>
      </w:r>
      <w:r w:rsidRPr="007B58C9">
        <w:rPr>
          <w:rFonts w:cs="Times New Roman"/>
          <w:noProof/>
          <w:szCs w:val="24"/>
        </w:rPr>
        <w:t>, 311–372.</w:t>
      </w:r>
    </w:p>
    <w:p w14:paraId="0B9FB371"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[55]</w:t>
      </w:r>
      <w:r w:rsidRPr="007B58C9">
        <w:rPr>
          <w:rFonts w:cs="Times New Roman"/>
          <w:noProof/>
          <w:szCs w:val="24"/>
        </w:rPr>
        <w:tab/>
        <w:t xml:space="preserve">S. Shimizu, N. Matubayasi, </w:t>
      </w:r>
      <w:r w:rsidRPr="007B58C9">
        <w:rPr>
          <w:rFonts w:cs="Times New Roman"/>
          <w:i/>
          <w:iCs/>
          <w:noProof/>
          <w:szCs w:val="24"/>
        </w:rPr>
        <w:t>J. Phys. Chem. B</w:t>
      </w:r>
      <w:r w:rsidRPr="007B58C9">
        <w:rPr>
          <w:rFonts w:cs="Times New Roman"/>
          <w:noProof/>
          <w:szCs w:val="24"/>
        </w:rPr>
        <w:t xml:space="preserve"> </w:t>
      </w:r>
      <w:r w:rsidRPr="007B58C9">
        <w:rPr>
          <w:rFonts w:cs="Times New Roman"/>
          <w:b/>
          <w:bCs/>
          <w:noProof/>
          <w:szCs w:val="24"/>
        </w:rPr>
        <w:t>2014</w:t>
      </w:r>
      <w:r w:rsidRPr="007B58C9">
        <w:rPr>
          <w:rFonts w:cs="Times New Roman"/>
          <w:noProof/>
          <w:szCs w:val="24"/>
        </w:rPr>
        <w:t xml:space="preserve">, </w:t>
      </w:r>
      <w:r w:rsidRPr="007B58C9">
        <w:rPr>
          <w:rFonts w:cs="Times New Roman"/>
          <w:i/>
          <w:iCs/>
          <w:noProof/>
          <w:szCs w:val="24"/>
        </w:rPr>
        <w:t>118</w:t>
      </w:r>
      <w:r w:rsidRPr="007B58C9">
        <w:rPr>
          <w:rFonts w:cs="Times New Roman"/>
          <w:noProof/>
          <w:szCs w:val="24"/>
        </w:rPr>
        <w:t>, 13210–13216.</w:t>
      </w:r>
    </w:p>
    <w:p w14:paraId="08B3A0C3"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[56]</w:t>
      </w:r>
      <w:r w:rsidRPr="007B58C9">
        <w:rPr>
          <w:rFonts w:cs="Times New Roman"/>
          <w:noProof/>
          <w:szCs w:val="24"/>
        </w:rPr>
        <w:tab/>
        <w:t xml:space="preserve">S. Shimizu, </w:t>
      </w:r>
      <w:r w:rsidRPr="007B58C9">
        <w:rPr>
          <w:rFonts w:cs="Times New Roman"/>
          <w:i/>
          <w:iCs/>
          <w:noProof/>
          <w:szCs w:val="24"/>
        </w:rPr>
        <w:t>Chem. Phys. Lett.</w:t>
      </w:r>
      <w:r w:rsidRPr="007B58C9">
        <w:rPr>
          <w:rFonts w:cs="Times New Roman"/>
          <w:noProof/>
          <w:szCs w:val="24"/>
        </w:rPr>
        <w:t xml:space="preserve"> </w:t>
      </w:r>
      <w:r w:rsidRPr="007B58C9">
        <w:rPr>
          <w:rFonts w:cs="Times New Roman"/>
          <w:b/>
          <w:bCs/>
          <w:noProof/>
          <w:szCs w:val="24"/>
        </w:rPr>
        <w:t>2011</w:t>
      </w:r>
      <w:r w:rsidRPr="007B58C9">
        <w:rPr>
          <w:rFonts w:cs="Times New Roman"/>
          <w:noProof/>
          <w:szCs w:val="24"/>
        </w:rPr>
        <w:t xml:space="preserve">, </w:t>
      </w:r>
      <w:r w:rsidRPr="007B58C9">
        <w:rPr>
          <w:rFonts w:cs="Times New Roman"/>
          <w:i/>
          <w:iCs/>
          <w:noProof/>
          <w:szCs w:val="24"/>
        </w:rPr>
        <w:t>514</w:t>
      </w:r>
      <w:r w:rsidRPr="007B58C9">
        <w:rPr>
          <w:rFonts w:cs="Times New Roman"/>
          <w:noProof/>
          <w:szCs w:val="24"/>
        </w:rPr>
        <w:t>, 156–158.</w:t>
      </w:r>
    </w:p>
    <w:p w14:paraId="6E2B20D8"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[57]</w:t>
      </w:r>
      <w:r w:rsidRPr="007B58C9">
        <w:rPr>
          <w:rFonts w:cs="Times New Roman"/>
          <w:noProof/>
          <w:szCs w:val="24"/>
        </w:rPr>
        <w:tab/>
        <w:t xml:space="preserve">C. Tanford, </w:t>
      </w:r>
      <w:r w:rsidRPr="007B58C9">
        <w:rPr>
          <w:rFonts w:cs="Times New Roman"/>
          <w:i/>
          <w:iCs/>
          <w:noProof/>
          <w:szCs w:val="24"/>
        </w:rPr>
        <w:t>Adv. Protein Chem.</w:t>
      </w:r>
      <w:r w:rsidRPr="007B58C9">
        <w:rPr>
          <w:rFonts w:cs="Times New Roman"/>
          <w:noProof/>
          <w:szCs w:val="24"/>
        </w:rPr>
        <w:t xml:space="preserve"> </w:t>
      </w:r>
      <w:r w:rsidRPr="007B58C9">
        <w:rPr>
          <w:rFonts w:cs="Times New Roman"/>
          <w:b/>
          <w:bCs/>
          <w:noProof/>
          <w:szCs w:val="24"/>
        </w:rPr>
        <w:t>1968</w:t>
      </w:r>
      <w:r w:rsidRPr="007B58C9">
        <w:rPr>
          <w:rFonts w:cs="Times New Roman"/>
          <w:noProof/>
          <w:szCs w:val="24"/>
        </w:rPr>
        <w:t xml:space="preserve">, </w:t>
      </w:r>
      <w:r w:rsidRPr="007B58C9">
        <w:rPr>
          <w:rFonts w:cs="Times New Roman"/>
          <w:i/>
          <w:iCs/>
          <w:noProof/>
          <w:szCs w:val="24"/>
        </w:rPr>
        <w:t>23</w:t>
      </w:r>
      <w:r w:rsidRPr="007B58C9">
        <w:rPr>
          <w:rFonts w:cs="Times New Roman"/>
          <w:noProof/>
          <w:szCs w:val="24"/>
        </w:rPr>
        <w:t>, 121–282.</w:t>
      </w:r>
    </w:p>
    <w:p w14:paraId="0797EDAB"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[58]</w:t>
      </w:r>
      <w:r w:rsidRPr="007B58C9">
        <w:rPr>
          <w:rFonts w:cs="Times New Roman"/>
          <w:noProof/>
          <w:szCs w:val="24"/>
        </w:rPr>
        <w:tab/>
        <w:t xml:space="preserve">C. Tanford, </w:t>
      </w:r>
      <w:r w:rsidRPr="007B58C9">
        <w:rPr>
          <w:rFonts w:cs="Times New Roman"/>
          <w:i/>
          <w:iCs/>
          <w:noProof/>
          <w:szCs w:val="24"/>
        </w:rPr>
        <w:t>Adv. Protein Chem.</w:t>
      </w:r>
      <w:r w:rsidRPr="007B58C9">
        <w:rPr>
          <w:rFonts w:cs="Times New Roman"/>
          <w:noProof/>
          <w:szCs w:val="24"/>
        </w:rPr>
        <w:t xml:space="preserve"> </w:t>
      </w:r>
      <w:r w:rsidRPr="007B58C9">
        <w:rPr>
          <w:rFonts w:cs="Times New Roman"/>
          <w:b/>
          <w:bCs/>
          <w:noProof/>
          <w:szCs w:val="24"/>
        </w:rPr>
        <w:t>1970</w:t>
      </w:r>
      <w:r w:rsidRPr="007B58C9">
        <w:rPr>
          <w:rFonts w:cs="Times New Roman"/>
          <w:noProof/>
          <w:szCs w:val="24"/>
        </w:rPr>
        <w:t xml:space="preserve">, </w:t>
      </w:r>
      <w:r w:rsidRPr="007B58C9">
        <w:rPr>
          <w:rFonts w:cs="Times New Roman"/>
          <w:i/>
          <w:iCs/>
          <w:noProof/>
          <w:szCs w:val="24"/>
        </w:rPr>
        <w:t>24</w:t>
      </w:r>
      <w:r w:rsidRPr="007B58C9">
        <w:rPr>
          <w:rFonts w:cs="Times New Roman"/>
          <w:noProof/>
          <w:szCs w:val="24"/>
        </w:rPr>
        <w:t>, 1–95.</w:t>
      </w:r>
    </w:p>
    <w:p w14:paraId="6A855B83"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[59]</w:t>
      </w:r>
      <w:r w:rsidRPr="007B58C9">
        <w:rPr>
          <w:rFonts w:cs="Times New Roman"/>
          <w:noProof/>
          <w:szCs w:val="24"/>
        </w:rPr>
        <w:tab/>
        <w:t xml:space="preserve">J. A. Schellman, </w:t>
      </w:r>
      <w:r w:rsidRPr="007B58C9">
        <w:rPr>
          <w:rFonts w:cs="Times New Roman"/>
          <w:i/>
          <w:iCs/>
          <w:noProof/>
          <w:szCs w:val="24"/>
        </w:rPr>
        <w:t>Biopolymers</w:t>
      </w:r>
      <w:r w:rsidRPr="007B58C9">
        <w:rPr>
          <w:rFonts w:cs="Times New Roman"/>
          <w:noProof/>
          <w:szCs w:val="24"/>
        </w:rPr>
        <w:t xml:space="preserve"> </w:t>
      </w:r>
      <w:r w:rsidRPr="007B58C9">
        <w:rPr>
          <w:rFonts w:cs="Times New Roman"/>
          <w:b/>
          <w:bCs/>
          <w:noProof/>
          <w:szCs w:val="24"/>
        </w:rPr>
        <w:t>1978</w:t>
      </w:r>
      <w:r w:rsidRPr="007B58C9">
        <w:rPr>
          <w:rFonts w:cs="Times New Roman"/>
          <w:noProof/>
          <w:szCs w:val="24"/>
        </w:rPr>
        <w:t xml:space="preserve">, </w:t>
      </w:r>
      <w:r w:rsidRPr="007B58C9">
        <w:rPr>
          <w:rFonts w:cs="Times New Roman"/>
          <w:i/>
          <w:iCs/>
          <w:noProof/>
          <w:szCs w:val="24"/>
        </w:rPr>
        <w:t>17</w:t>
      </w:r>
      <w:r w:rsidRPr="007B58C9">
        <w:rPr>
          <w:rFonts w:cs="Times New Roman"/>
          <w:noProof/>
          <w:szCs w:val="24"/>
        </w:rPr>
        <w:t>, 1305–1322.</w:t>
      </w:r>
    </w:p>
    <w:p w14:paraId="191498BE"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[60]</w:t>
      </w:r>
      <w:r w:rsidRPr="007B58C9">
        <w:rPr>
          <w:rFonts w:cs="Times New Roman"/>
          <w:noProof/>
          <w:szCs w:val="24"/>
        </w:rPr>
        <w:tab/>
        <w:t xml:space="preserve">J. A. Schellman, </w:t>
      </w:r>
      <w:r w:rsidRPr="007B58C9">
        <w:rPr>
          <w:rFonts w:cs="Times New Roman"/>
          <w:i/>
          <w:iCs/>
          <w:noProof/>
          <w:szCs w:val="24"/>
        </w:rPr>
        <w:t>Biopolymers</w:t>
      </w:r>
      <w:r w:rsidRPr="007B58C9">
        <w:rPr>
          <w:rFonts w:cs="Times New Roman"/>
          <w:noProof/>
          <w:szCs w:val="24"/>
        </w:rPr>
        <w:t xml:space="preserve"> </w:t>
      </w:r>
      <w:r w:rsidRPr="007B58C9">
        <w:rPr>
          <w:rFonts w:cs="Times New Roman"/>
          <w:b/>
          <w:bCs/>
          <w:noProof/>
          <w:szCs w:val="24"/>
        </w:rPr>
        <w:t>1987</w:t>
      </w:r>
      <w:r w:rsidRPr="007B58C9">
        <w:rPr>
          <w:rFonts w:cs="Times New Roman"/>
          <w:noProof/>
          <w:szCs w:val="24"/>
        </w:rPr>
        <w:t xml:space="preserve">, </w:t>
      </w:r>
      <w:r w:rsidRPr="007B58C9">
        <w:rPr>
          <w:rFonts w:cs="Times New Roman"/>
          <w:i/>
          <w:iCs/>
          <w:noProof/>
          <w:szCs w:val="24"/>
        </w:rPr>
        <w:t>26</w:t>
      </w:r>
      <w:r w:rsidRPr="007B58C9">
        <w:rPr>
          <w:rFonts w:cs="Times New Roman"/>
          <w:noProof/>
          <w:szCs w:val="24"/>
        </w:rPr>
        <w:t>, 549–559.</w:t>
      </w:r>
    </w:p>
    <w:p w14:paraId="463476EE"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[61]</w:t>
      </w:r>
      <w:r w:rsidRPr="007B58C9">
        <w:rPr>
          <w:rFonts w:cs="Times New Roman"/>
          <w:noProof/>
          <w:szCs w:val="24"/>
        </w:rPr>
        <w:tab/>
        <w:t xml:space="preserve">I. M. Klotz, </w:t>
      </w:r>
      <w:r w:rsidRPr="007B58C9">
        <w:rPr>
          <w:rFonts w:cs="Times New Roman"/>
          <w:i/>
          <w:iCs/>
          <w:noProof/>
          <w:szCs w:val="24"/>
        </w:rPr>
        <w:t>Ligand-Receptor Energetics : A Guide for the Perplexed</w:t>
      </w:r>
      <w:r w:rsidRPr="007B58C9">
        <w:rPr>
          <w:rFonts w:cs="Times New Roman"/>
          <w:noProof/>
          <w:szCs w:val="24"/>
        </w:rPr>
        <w:t xml:space="preserve">, Wiley, New York, </w:t>
      </w:r>
      <w:r w:rsidRPr="007B58C9">
        <w:rPr>
          <w:rFonts w:cs="Times New Roman"/>
          <w:b/>
          <w:bCs/>
          <w:noProof/>
          <w:szCs w:val="24"/>
        </w:rPr>
        <w:t>1997</w:t>
      </w:r>
      <w:r w:rsidRPr="007B58C9">
        <w:rPr>
          <w:rFonts w:cs="Times New Roman"/>
          <w:noProof/>
          <w:szCs w:val="24"/>
        </w:rPr>
        <w:t>.</w:t>
      </w:r>
    </w:p>
    <w:p w14:paraId="65C3745B"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[62]</w:t>
      </w:r>
      <w:r w:rsidRPr="007B58C9">
        <w:rPr>
          <w:rFonts w:cs="Times New Roman"/>
          <w:noProof/>
          <w:szCs w:val="24"/>
        </w:rPr>
        <w:tab/>
        <w:t xml:space="preserve">S. Weerasinghe, P. E. Smith, </w:t>
      </w:r>
      <w:r w:rsidRPr="007B58C9">
        <w:rPr>
          <w:rFonts w:cs="Times New Roman"/>
          <w:i/>
          <w:iCs/>
          <w:noProof/>
          <w:szCs w:val="24"/>
        </w:rPr>
        <w:t>J. Phys. Chem. B</w:t>
      </w:r>
      <w:r w:rsidRPr="007B58C9">
        <w:rPr>
          <w:rFonts w:cs="Times New Roman"/>
          <w:noProof/>
          <w:szCs w:val="24"/>
        </w:rPr>
        <w:t xml:space="preserve"> </w:t>
      </w:r>
      <w:r w:rsidRPr="007B58C9">
        <w:rPr>
          <w:rFonts w:cs="Times New Roman"/>
          <w:b/>
          <w:bCs/>
          <w:noProof/>
          <w:szCs w:val="24"/>
        </w:rPr>
        <w:t>2003</w:t>
      </w:r>
      <w:r w:rsidRPr="007B58C9">
        <w:rPr>
          <w:rFonts w:cs="Times New Roman"/>
          <w:noProof/>
          <w:szCs w:val="24"/>
        </w:rPr>
        <w:t xml:space="preserve">, </w:t>
      </w:r>
      <w:r w:rsidRPr="007B58C9">
        <w:rPr>
          <w:rFonts w:cs="Times New Roman"/>
          <w:i/>
          <w:iCs/>
          <w:noProof/>
          <w:szCs w:val="24"/>
        </w:rPr>
        <w:t>107</w:t>
      </w:r>
      <w:r w:rsidRPr="007B58C9">
        <w:rPr>
          <w:rFonts w:cs="Times New Roman"/>
          <w:noProof/>
          <w:szCs w:val="24"/>
        </w:rPr>
        <w:t>, 3891–3898.</w:t>
      </w:r>
    </w:p>
    <w:p w14:paraId="1653B67B"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[63]</w:t>
      </w:r>
      <w:r w:rsidRPr="007B58C9">
        <w:rPr>
          <w:rFonts w:cs="Times New Roman"/>
          <w:noProof/>
          <w:szCs w:val="24"/>
        </w:rPr>
        <w:tab/>
        <w:t xml:space="preserve">S. Weerasinghe, P. E. Smith, </w:t>
      </w:r>
      <w:r w:rsidRPr="007B58C9">
        <w:rPr>
          <w:rFonts w:cs="Times New Roman"/>
          <w:i/>
          <w:iCs/>
          <w:noProof/>
          <w:szCs w:val="24"/>
        </w:rPr>
        <w:t>J. Phys. Chem. B</w:t>
      </w:r>
      <w:r w:rsidRPr="007B58C9">
        <w:rPr>
          <w:rFonts w:cs="Times New Roman"/>
          <w:noProof/>
          <w:szCs w:val="24"/>
        </w:rPr>
        <w:t xml:space="preserve"> </w:t>
      </w:r>
      <w:r w:rsidRPr="007B58C9">
        <w:rPr>
          <w:rFonts w:cs="Times New Roman"/>
          <w:b/>
          <w:bCs/>
          <w:noProof/>
          <w:szCs w:val="24"/>
        </w:rPr>
        <w:t>2005</w:t>
      </w:r>
      <w:r w:rsidRPr="007B58C9">
        <w:rPr>
          <w:rFonts w:cs="Times New Roman"/>
          <w:noProof/>
          <w:szCs w:val="24"/>
        </w:rPr>
        <w:t xml:space="preserve">, </w:t>
      </w:r>
      <w:r w:rsidRPr="007B58C9">
        <w:rPr>
          <w:rFonts w:cs="Times New Roman"/>
          <w:i/>
          <w:iCs/>
          <w:noProof/>
          <w:szCs w:val="24"/>
        </w:rPr>
        <w:t>109</w:t>
      </w:r>
      <w:r w:rsidRPr="007B58C9">
        <w:rPr>
          <w:rFonts w:cs="Times New Roman"/>
          <w:noProof/>
          <w:szCs w:val="24"/>
        </w:rPr>
        <w:t>, 15080–15086.</w:t>
      </w:r>
    </w:p>
    <w:p w14:paraId="248C43FC"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[64]</w:t>
      </w:r>
      <w:r w:rsidRPr="007B58C9">
        <w:rPr>
          <w:rFonts w:cs="Times New Roman"/>
          <w:noProof/>
          <w:szCs w:val="24"/>
        </w:rPr>
        <w:tab/>
        <w:t xml:space="preserve">E. A. Ploetz, P. E. Smith, </w:t>
      </w:r>
      <w:r w:rsidRPr="007B58C9">
        <w:rPr>
          <w:rFonts w:cs="Times New Roman"/>
          <w:i/>
          <w:iCs/>
          <w:noProof/>
          <w:szCs w:val="24"/>
        </w:rPr>
        <w:t>J. Phys. Chem. B</w:t>
      </w:r>
      <w:r w:rsidRPr="007B58C9">
        <w:rPr>
          <w:rFonts w:cs="Times New Roman"/>
          <w:noProof/>
          <w:szCs w:val="24"/>
        </w:rPr>
        <w:t xml:space="preserve"> </w:t>
      </w:r>
      <w:r w:rsidRPr="007B58C9">
        <w:rPr>
          <w:rFonts w:cs="Times New Roman"/>
          <w:b/>
          <w:bCs/>
          <w:noProof/>
          <w:szCs w:val="24"/>
        </w:rPr>
        <w:t>2015</w:t>
      </w:r>
      <w:r w:rsidRPr="007B58C9">
        <w:rPr>
          <w:rFonts w:cs="Times New Roman"/>
          <w:noProof/>
          <w:szCs w:val="24"/>
        </w:rPr>
        <w:t xml:space="preserve">, </w:t>
      </w:r>
      <w:r w:rsidRPr="007B58C9">
        <w:rPr>
          <w:rFonts w:cs="Times New Roman"/>
          <w:i/>
          <w:iCs/>
          <w:noProof/>
          <w:szCs w:val="24"/>
        </w:rPr>
        <w:t>119</w:t>
      </w:r>
      <w:r w:rsidRPr="007B58C9">
        <w:rPr>
          <w:rFonts w:cs="Times New Roman"/>
          <w:noProof/>
          <w:szCs w:val="24"/>
        </w:rPr>
        <w:t>, 7761–7777.</w:t>
      </w:r>
    </w:p>
    <w:p w14:paraId="3418CFF9"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[65]</w:t>
      </w:r>
      <w:r w:rsidRPr="007B58C9">
        <w:rPr>
          <w:rFonts w:cs="Times New Roman"/>
          <w:noProof/>
          <w:szCs w:val="24"/>
        </w:rPr>
        <w:tab/>
        <w:t xml:space="preserve">E. A. Ploetz, S. Rustenburg, D. P. Geerke, P. E. Smith, </w:t>
      </w:r>
      <w:r w:rsidRPr="007B58C9">
        <w:rPr>
          <w:rFonts w:cs="Times New Roman"/>
          <w:i/>
          <w:iCs/>
          <w:noProof/>
          <w:szCs w:val="24"/>
        </w:rPr>
        <w:t>J. Chem. Theory Comput.</w:t>
      </w:r>
      <w:r w:rsidRPr="007B58C9">
        <w:rPr>
          <w:rFonts w:cs="Times New Roman"/>
          <w:noProof/>
          <w:szCs w:val="24"/>
        </w:rPr>
        <w:t xml:space="preserve"> </w:t>
      </w:r>
      <w:r w:rsidRPr="007B58C9">
        <w:rPr>
          <w:rFonts w:cs="Times New Roman"/>
          <w:b/>
          <w:bCs/>
          <w:noProof/>
          <w:szCs w:val="24"/>
        </w:rPr>
        <w:t>2016</w:t>
      </w:r>
      <w:r w:rsidRPr="007B58C9">
        <w:rPr>
          <w:rFonts w:cs="Times New Roman"/>
          <w:noProof/>
          <w:szCs w:val="24"/>
        </w:rPr>
        <w:t xml:space="preserve">, </w:t>
      </w:r>
      <w:r w:rsidRPr="007B58C9">
        <w:rPr>
          <w:rFonts w:cs="Times New Roman"/>
          <w:i/>
          <w:iCs/>
          <w:noProof/>
          <w:szCs w:val="24"/>
        </w:rPr>
        <w:t>12</w:t>
      </w:r>
      <w:r w:rsidRPr="007B58C9">
        <w:rPr>
          <w:rFonts w:cs="Times New Roman"/>
          <w:noProof/>
          <w:szCs w:val="24"/>
        </w:rPr>
        <w:t>, 2373–2387.</w:t>
      </w:r>
    </w:p>
    <w:p w14:paraId="36EF4A7D"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[66]</w:t>
      </w:r>
      <w:r w:rsidRPr="007B58C9">
        <w:rPr>
          <w:rFonts w:cs="Times New Roman"/>
          <w:noProof/>
          <w:szCs w:val="24"/>
        </w:rPr>
        <w:tab/>
        <w:t xml:space="preserve">R. Chitra, P. E. Smith, </w:t>
      </w:r>
      <w:r w:rsidRPr="007B58C9">
        <w:rPr>
          <w:rFonts w:cs="Times New Roman"/>
          <w:i/>
          <w:iCs/>
          <w:noProof/>
          <w:szCs w:val="24"/>
        </w:rPr>
        <w:t>J. Phys. Chem. B</w:t>
      </w:r>
      <w:r w:rsidRPr="007B58C9">
        <w:rPr>
          <w:rFonts w:cs="Times New Roman"/>
          <w:noProof/>
          <w:szCs w:val="24"/>
        </w:rPr>
        <w:t xml:space="preserve"> </w:t>
      </w:r>
      <w:r w:rsidRPr="007B58C9">
        <w:rPr>
          <w:rFonts w:cs="Times New Roman"/>
          <w:b/>
          <w:bCs/>
          <w:noProof/>
          <w:szCs w:val="24"/>
        </w:rPr>
        <w:t>2002</w:t>
      </w:r>
      <w:r w:rsidRPr="007B58C9">
        <w:rPr>
          <w:rFonts w:cs="Times New Roman"/>
          <w:noProof/>
          <w:szCs w:val="24"/>
        </w:rPr>
        <w:t xml:space="preserve">, </w:t>
      </w:r>
      <w:r w:rsidRPr="007B58C9">
        <w:rPr>
          <w:rFonts w:cs="Times New Roman"/>
          <w:i/>
          <w:iCs/>
          <w:noProof/>
          <w:szCs w:val="24"/>
        </w:rPr>
        <w:t>106</w:t>
      </w:r>
      <w:r w:rsidRPr="007B58C9">
        <w:rPr>
          <w:rFonts w:cs="Times New Roman"/>
          <w:noProof/>
          <w:szCs w:val="24"/>
        </w:rPr>
        <w:t>, 1491–1500.</w:t>
      </w:r>
    </w:p>
    <w:p w14:paraId="15097EBF"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[67]</w:t>
      </w:r>
      <w:r w:rsidRPr="007B58C9">
        <w:rPr>
          <w:rFonts w:cs="Times New Roman"/>
          <w:noProof/>
          <w:szCs w:val="24"/>
        </w:rPr>
        <w:tab/>
        <w:t xml:space="preserve">S. Shimizu, K. Shimizu, </w:t>
      </w:r>
      <w:r w:rsidRPr="007B58C9">
        <w:rPr>
          <w:rFonts w:cs="Times New Roman"/>
          <w:i/>
          <w:iCs/>
          <w:noProof/>
          <w:szCs w:val="24"/>
        </w:rPr>
        <w:t>J. Am. Chem. Soc.</w:t>
      </w:r>
      <w:r w:rsidRPr="007B58C9">
        <w:rPr>
          <w:rFonts w:cs="Times New Roman"/>
          <w:noProof/>
          <w:szCs w:val="24"/>
        </w:rPr>
        <w:t xml:space="preserve"> </w:t>
      </w:r>
      <w:r w:rsidRPr="007B58C9">
        <w:rPr>
          <w:rFonts w:cs="Times New Roman"/>
          <w:b/>
          <w:bCs/>
          <w:noProof/>
          <w:szCs w:val="24"/>
        </w:rPr>
        <w:t>1999</w:t>
      </w:r>
      <w:r w:rsidRPr="007B58C9">
        <w:rPr>
          <w:rFonts w:cs="Times New Roman"/>
          <w:noProof/>
          <w:szCs w:val="24"/>
        </w:rPr>
        <w:t xml:space="preserve">, </w:t>
      </w:r>
      <w:r w:rsidRPr="007B58C9">
        <w:rPr>
          <w:rFonts w:cs="Times New Roman"/>
          <w:i/>
          <w:iCs/>
          <w:noProof/>
          <w:szCs w:val="24"/>
        </w:rPr>
        <w:t>121</w:t>
      </w:r>
      <w:r w:rsidRPr="007B58C9">
        <w:rPr>
          <w:rFonts w:cs="Times New Roman"/>
          <w:noProof/>
          <w:szCs w:val="24"/>
        </w:rPr>
        <w:t>, 2387–2394.</w:t>
      </w:r>
    </w:p>
    <w:p w14:paraId="285016FE"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[68]</w:t>
      </w:r>
      <w:r w:rsidRPr="007B58C9">
        <w:rPr>
          <w:rFonts w:cs="Times New Roman"/>
          <w:noProof/>
          <w:szCs w:val="24"/>
        </w:rPr>
        <w:tab/>
        <w:t xml:space="preserve">S. Shimizu, M. Ikeguchi, S. Nakamura, K. Shimizu, </w:t>
      </w:r>
      <w:r w:rsidRPr="007B58C9">
        <w:rPr>
          <w:rFonts w:cs="Times New Roman"/>
          <w:i/>
          <w:iCs/>
          <w:noProof/>
          <w:szCs w:val="24"/>
        </w:rPr>
        <w:t>J. Chem. Phys.</w:t>
      </w:r>
      <w:r w:rsidRPr="007B58C9">
        <w:rPr>
          <w:rFonts w:cs="Times New Roman"/>
          <w:noProof/>
          <w:szCs w:val="24"/>
        </w:rPr>
        <w:t xml:space="preserve"> </w:t>
      </w:r>
      <w:r w:rsidRPr="007B58C9">
        <w:rPr>
          <w:rFonts w:cs="Times New Roman"/>
          <w:b/>
          <w:bCs/>
          <w:noProof/>
          <w:szCs w:val="24"/>
        </w:rPr>
        <w:t>1999</w:t>
      </w:r>
      <w:r w:rsidRPr="007B58C9">
        <w:rPr>
          <w:rFonts w:cs="Times New Roman"/>
          <w:noProof/>
          <w:szCs w:val="24"/>
        </w:rPr>
        <w:t xml:space="preserve">, </w:t>
      </w:r>
      <w:r w:rsidRPr="007B58C9">
        <w:rPr>
          <w:rFonts w:cs="Times New Roman"/>
          <w:i/>
          <w:iCs/>
          <w:noProof/>
          <w:szCs w:val="24"/>
        </w:rPr>
        <w:t>110</w:t>
      </w:r>
      <w:r w:rsidRPr="007B58C9">
        <w:rPr>
          <w:rFonts w:cs="Times New Roman"/>
          <w:noProof/>
          <w:szCs w:val="24"/>
        </w:rPr>
        <w:t>, 2971–2982.</w:t>
      </w:r>
    </w:p>
    <w:p w14:paraId="238ECB31"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[69]</w:t>
      </w:r>
      <w:r w:rsidRPr="007B58C9">
        <w:rPr>
          <w:rFonts w:cs="Times New Roman"/>
          <w:noProof/>
          <w:szCs w:val="24"/>
        </w:rPr>
        <w:tab/>
        <w:t xml:space="preserve">J. A. Schellman, </w:t>
      </w:r>
      <w:r w:rsidRPr="007B58C9">
        <w:rPr>
          <w:rFonts w:cs="Times New Roman"/>
          <w:i/>
          <w:iCs/>
          <w:noProof/>
          <w:szCs w:val="24"/>
        </w:rPr>
        <w:t>Biophys. J.</w:t>
      </w:r>
      <w:r w:rsidRPr="007B58C9">
        <w:rPr>
          <w:rFonts w:cs="Times New Roman"/>
          <w:noProof/>
          <w:szCs w:val="24"/>
        </w:rPr>
        <w:t xml:space="preserve"> </w:t>
      </w:r>
      <w:r w:rsidRPr="007B58C9">
        <w:rPr>
          <w:rFonts w:cs="Times New Roman"/>
          <w:b/>
          <w:bCs/>
          <w:noProof/>
          <w:szCs w:val="24"/>
        </w:rPr>
        <w:t>2003</w:t>
      </w:r>
      <w:r w:rsidRPr="007B58C9">
        <w:rPr>
          <w:rFonts w:cs="Times New Roman"/>
          <w:noProof/>
          <w:szCs w:val="24"/>
        </w:rPr>
        <w:t xml:space="preserve">, </w:t>
      </w:r>
      <w:r w:rsidRPr="007B58C9">
        <w:rPr>
          <w:rFonts w:cs="Times New Roman"/>
          <w:i/>
          <w:iCs/>
          <w:noProof/>
          <w:szCs w:val="24"/>
        </w:rPr>
        <w:t>85</w:t>
      </w:r>
      <w:r w:rsidRPr="007B58C9">
        <w:rPr>
          <w:rFonts w:cs="Times New Roman"/>
          <w:noProof/>
          <w:szCs w:val="24"/>
        </w:rPr>
        <w:t>, 108–125.</w:t>
      </w:r>
    </w:p>
    <w:p w14:paraId="3815E421"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[70]</w:t>
      </w:r>
      <w:r w:rsidRPr="007B58C9">
        <w:rPr>
          <w:rFonts w:cs="Times New Roman"/>
          <w:noProof/>
          <w:szCs w:val="24"/>
        </w:rPr>
        <w:tab/>
        <w:t xml:space="preserve">J. A. Schellman, </w:t>
      </w:r>
      <w:r w:rsidRPr="007B58C9">
        <w:rPr>
          <w:rFonts w:cs="Times New Roman"/>
          <w:i/>
          <w:iCs/>
          <w:noProof/>
          <w:szCs w:val="24"/>
        </w:rPr>
        <w:t>Biophys. Chem.</w:t>
      </w:r>
      <w:r w:rsidRPr="007B58C9">
        <w:rPr>
          <w:rFonts w:cs="Times New Roman"/>
          <w:noProof/>
          <w:szCs w:val="24"/>
        </w:rPr>
        <w:t xml:space="preserve"> </w:t>
      </w:r>
      <w:r w:rsidRPr="007B58C9">
        <w:rPr>
          <w:rFonts w:cs="Times New Roman"/>
          <w:b/>
          <w:bCs/>
          <w:noProof/>
          <w:szCs w:val="24"/>
        </w:rPr>
        <w:t>2002</w:t>
      </w:r>
      <w:r w:rsidRPr="007B58C9">
        <w:rPr>
          <w:rFonts w:cs="Times New Roman"/>
          <w:noProof/>
          <w:szCs w:val="24"/>
        </w:rPr>
        <w:t xml:space="preserve">, </w:t>
      </w:r>
      <w:r w:rsidRPr="007B58C9">
        <w:rPr>
          <w:rFonts w:cs="Times New Roman"/>
          <w:i/>
          <w:iCs/>
          <w:noProof/>
          <w:szCs w:val="24"/>
        </w:rPr>
        <w:t>96</w:t>
      </w:r>
      <w:r w:rsidRPr="007B58C9">
        <w:rPr>
          <w:rFonts w:cs="Times New Roman"/>
          <w:noProof/>
          <w:szCs w:val="24"/>
        </w:rPr>
        <w:t>, 91–101.</w:t>
      </w:r>
    </w:p>
    <w:p w14:paraId="3ADD8AD9"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[71]</w:t>
      </w:r>
      <w:r w:rsidRPr="007B58C9">
        <w:rPr>
          <w:rFonts w:cs="Times New Roman"/>
          <w:noProof/>
          <w:szCs w:val="24"/>
        </w:rPr>
        <w:tab/>
        <w:t xml:space="preserve">S. Shimizu, N. Matubayasi, </w:t>
      </w:r>
      <w:r w:rsidRPr="007B58C9">
        <w:rPr>
          <w:rFonts w:cs="Times New Roman"/>
          <w:i/>
          <w:iCs/>
          <w:noProof/>
          <w:szCs w:val="24"/>
        </w:rPr>
        <w:t>Biophys. Chem.</w:t>
      </w:r>
      <w:r w:rsidRPr="007B58C9">
        <w:rPr>
          <w:rFonts w:cs="Times New Roman"/>
          <w:noProof/>
          <w:szCs w:val="24"/>
        </w:rPr>
        <w:t xml:space="preserve"> </w:t>
      </w:r>
      <w:r w:rsidRPr="007B58C9">
        <w:rPr>
          <w:rFonts w:cs="Times New Roman"/>
          <w:b/>
          <w:bCs/>
          <w:noProof/>
          <w:szCs w:val="24"/>
        </w:rPr>
        <w:t>2017</w:t>
      </w:r>
      <w:r w:rsidRPr="007B58C9">
        <w:rPr>
          <w:rFonts w:cs="Times New Roman"/>
          <w:noProof/>
          <w:szCs w:val="24"/>
        </w:rPr>
        <w:t>, DOI: 10.1016/j.bpc.2017.02.003.</w:t>
      </w:r>
    </w:p>
    <w:p w14:paraId="60247DE6" w14:textId="77777777" w:rsidR="007B58C9" w:rsidRPr="007B58C9" w:rsidRDefault="007B58C9" w:rsidP="007B58C9">
      <w:pPr>
        <w:widowControl w:val="0"/>
        <w:autoSpaceDE w:val="0"/>
        <w:autoSpaceDN w:val="0"/>
        <w:adjustRightInd w:val="0"/>
        <w:ind w:left="640" w:hanging="640"/>
        <w:rPr>
          <w:rFonts w:cs="Times New Roman"/>
          <w:noProof/>
          <w:szCs w:val="24"/>
        </w:rPr>
      </w:pPr>
      <w:r w:rsidRPr="007B58C9">
        <w:rPr>
          <w:rFonts w:cs="Times New Roman"/>
          <w:noProof/>
          <w:szCs w:val="24"/>
        </w:rPr>
        <w:t>[72]</w:t>
      </w:r>
      <w:r w:rsidRPr="007B58C9">
        <w:rPr>
          <w:rFonts w:cs="Times New Roman"/>
          <w:noProof/>
          <w:szCs w:val="24"/>
        </w:rPr>
        <w:tab/>
        <w:t xml:space="preserve">S. Shimizu, N. Matubayasi, </w:t>
      </w:r>
      <w:r w:rsidRPr="007B58C9">
        <w:rPr>
          <w:rFonts w:cs="Times New Roman"/>
          <w:i/>
          <w:iCs/>
          <w:noProof/>
          <w:szCs w:val="24"/>
        </w:rPr>
        <w:t>Phys. Chem. Chem. Phys.</w:t>
      </w:r>
      <w:r w:rsidRPr="007B58C9">
        <w:rPr>
          <w:rFonts w:cs="Times New Roman"/>
          <w:noProof/>
          <w:szCs w:val="24"/>
        </w:rPr>
        <w:t xml:space="preserve"> </w:t>
      </w:r>
      <w:r w:rsidRPr="007B58C9">
        <w:rPr>
          <w:rFonts w:cs="Times New Roman"/>
          <w:b/>
          <w:bCs/>
          <w:noProof/>
          <w:szCs w:val="24"/>
        </w:rPr>
        <w:t>2017</w:t>
      </w:r>
      <w:r w:rsidRPr="007B58C9">
        <w:rPr>
          <w:rFonts w:cs="Times New Roman"/>
          <w:noProof/>
          <w:szCs w:val="24"/>
        </w:rPr>
        <w:t>, DOI: 10.1039/c7cp02132a.</w:t>
      </w:r>
    </w:p>
    <w:p w14:paraId="72FEBCF0" w14:textId="77777777" w:rsidR="007B58C9" w:rsidRPr="007B58C9" w:rsidRDefault="007B58C9" w:rsidP="007B58C9">
      <w:pPr>
        <w:widowControl w:val="0"/>
        <w:autoSpaceDE w:val="0"/>
        <w:autoSpaceDN w:val="0"/>
        <w:adjustRightInd w:val="0"/>
        <w:ind w:left="640" w:hanging="640"/>
        <w:rPr>
          <w:rFonts w:cs="Times New Roman"/>
          <w:noProof/>
        </w:rPr>
      </w:pPr>
      <w:r w:rsidRPr="007B58C9">
        <w:rPr>
          <w:rFonts w:cs="Times New Roman"/>
          <w:noProof/>
          <w:szCs w:val="24"/>
        </w:rPr>
        <w:t>[73]</w:t>
      </w:r>
      <w:r w:rsidRPr="007B58C9">
        <w:rPr>
          <w:rFonts w:cs="Times New Roman"/>
          <w:noProof/>
          <w:szCs w:val="24"/>
        </w:rPr>
        <w:tab/>
        <w:t xml:space="preserve">S. Shimizu, N. Matubayasi, </w:t>
      </w:r>
      <w:r w:rsidRPr="007B58C9">
        <w:rPr>
          <w:rFonts w:cs="Times New Roman"/>
          <w:i/>
          <w:iCs/>
          <w:noProof/>
          <w:szCs w:val="24"/>
        </w:rPr>
        <w:t>J. Phys. Chem. B</w:t>
      </w:r>
      <w:r w:rsidRPr="007B58C9">
        <w:rPr>
          <w:rFonts w:cs="Times New Roman"/>
          <w:noProof/>
          <w:szCs w:val="24"/>
        </w:rPr>
        <w:t xml:space="preserve"> </w:t>
      </w:r>
      <w:r w:rsidRPr="007B58C9">
        <w:rPr>
          <w:rFonts w:cs="Times New Roman"/>
          <w:b/>
          <w:bCs/>
          <w:noProof/>
          <w:szCs w:val="24"/>
        </w:rPr>
        <w:t>2014</w:t>
      </w:r>
      <w:r w:rsidRPr="007B58C9">
        <w:rPr>
          <w:rFonts w:cs="Times New Roman"/>
          <w:noProof/>
          <w:szCs w:val="24"/>
        </w:rPr>
        <w:t xml:space="preserve">, </w:t>
      </w:r>
      <w:r w:rsidRPr="007B58C9">
        <w:rPr>
          <w:rFonts w:cs="Times New Roman"/>
          <w:i/>
          <w:iCs/>
          <w:noProof/>
          <w:szCs w:val="24"/>
        </w:rPr>
        <w:t>118</w:t>
      </w:r>
      <w:r w:rsidRPr="007B58C9">
        <w:rPr>
          <w:rFonts w:cs="Times New Roman"/>
          <w:noProof/>
          <w:szCs w:val="24"/>
        </w:rPr>
        <w:t>, 10515–10524.</w:t>
      </w:r>
    </w:p>
    <w:p w14:paraId="3E16AA3A" w14:textId="77777777" w:rsidR="00253557" w:rsidRDefault="00253557" w:rsidP="007562B6">
      <w:pPr>
        <w:rPr>
          <w:rFonts w:eastAsiaTheme="minorEastAsia"/>
          <w:lang w:val="en-GB"/>
        </w:rPr>
      </w:pPr>
      <w:r>
        <w:rPr>
          <w:rFonts w:eastAsiaTheme="minorEastAsia"/>
          <w:lang w:val="en-GB"/>
        </w:rPr>
        <w:fldChar w:fldCharType="end"/>
      </w:r>
    </w:p>
    <w:p w14:paraId="068D4ABE" w14:textId="77777777" w:rsidR="007562B6" w:rsidRDefault="007562B6" w:rsidP="00820F03">
      <w:pPr>
        <w:rPr>
          <w:rFonts w:eastAsiaTheme="minorEastAsia"/>
        </w:rPr>
      </w:pPr>
    </w:p>
    <w:p w14:paraId="7578FC10" w14:textId="77777777" w:rsidR="00541963" w:rsidRDefault="00541963" w:rsidP="00820F03">
      <w:pPr>
        <w:rPr>
          <w:rFonts w:eastAsiaTheme="minorEastAsia"/>
        </w:rPr>
      </w:pPr>
    </w:p>
    <w:p w14:paraId="3D6AF5FD" w14:textId="77777777" w:rsidR="00541963" w:rsidRDefault="00541963">
      <w:pPr>
        <w:rPr>
          <w:rFonts w:eastAsiaTheme="minorEastAsia"/>
        </w:rPr>
      </w:pPr>
      <w:r>
        <w:rPr>
          <w:rFonts w:eastAsiaTheme="minorEastAsia"/>
        </w:rPr>
        <w:br w:type="page"/>
      </w:r>
    </w:p>
    <w:p w14:paraId="4B6BAE45" w14:textId="77777777" w:rsidR="00541963" w:rsidRPr="00541963" w:rsidRDefault="00541963" w:rsidP="00541963">
      <w:pPr>
        <w:tabs>
          <w:tab w:val="left" w:pos="1565"/>
        </w:tabs>
        <w:rPr>
          <w:rFonts w:eastAsiaTheme="minorEastAsia"/>
          <w:b/>
        </w:rPr>
      </w:pPr>
      <w:r w:rsidRPr="00541963">
        <w:rPr>
          <w:rFonts w:eastAsiaTheme="minorEastAsia"/>
          <w:b/>
        </w:rPr>
        <w:t xml:space="preserve">Figures </w:t>
      </w:r>
      <w:r w:rsidR="00677DEB">
        <w:rPr>
          <w:rFonts w:eastAsiaTheme="minorEastAsia"/>
          <w:b/>
        </w:rPr>
        <w:t>and a Table</w:t>
      </w:r>
      <w:r>
        <w:rPr>
          <w:rFonts w:eastAsiaTheme="minorEastAsia"/>
          <w:b/>
        </w:rPr>
        <w:tab/>
      </w:r>
    </w:p>
    <w:p w14:paraId="7D097237" w14:textId="77777777" w:rsidR="00541963" w:rsidRDefault="00541963" w:rsidP="00820F03">
      <w:pPr>
        <w:rPr>
          <w:rFonts w:eastAsiaTheme="minorEastAsia"/>
          <w:b/>
        </w:rPr>
      </w:pPr>
    </w:p>
    <w:p w14:paraId="6E6FB06C" w14:textId="77777777" w:rsidR="00541963" w:rsidRDefault="00541963" w:rsidP="00820F03">
      <w:pPr>
        <w:rPr>
          <w:rFonts w:eastAsiaTheme="minorEastAsia"/>
          <w:b/>
        </w:rPr>
      </w:pPr>
    </w:p>
    <w:p w14:paraId="4DD01698" w14:textId="77777777" w:rsidR="00153254" w:rsidRDefault="00153254">
      <w:pPr>
        <w:rPr>
          <w:rFonts w:eastAsiaTheme="minorEastAsia"/>
          <w:b/>
        </w:rPr>
      </w:pPr>
      <w:r>
        <w:rPr>
          <w:rFonts w:eastAsiaTheme="minorEastAsia"/>
          <w:b/>
          <w:noProof/>
          <w:lang w:val="en-GB" w:eastAsia="ja-JP"/>
        </w:rPr>
        <w:drawing>
          <wp:inline distT="0" distB="0" distL="0" distR="0" wp14:anchorId="2EBAF6DD" wp14:editId="559D5A05">
            <wp:extent cx="3156877" cy="286473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png"/>
                    <pic:cNvPicPr/>
                  </pic:nvPicPr>
                  <pic:blipFill>
                    <a:blip r:embed="rId9">
                      <a:extLst>
                        <a:ext uri="{28A0092B-C50C-407E-A947-70E740481C1C}">
                          <a14:useLocalDpi xmlns:a14="http://schemas.microsoft.com/office/drawing/2010/main" val="0"/>
                        </a:ext>
                      </a:extLst>
                    </a:blip>
                    <a:stretch>
                      <a:fillRect/>
                    </a:stretch>
                  </pic:blipFill>
                  <pic:spPr>
                    <a:xfrm>
                      <a:off x="0" y="0"/>
                      <a:ext cx="3170318" cy="2876931"/>
                    </a:xfrm>
                    <a:prstGeom prst="rect">
                      <a:avLst/>
                    </a:prstGeom>
                  </pic:spPr>
                </pic:pic>
              </a:graphicData>
            </a:graphic>
          </wp:inline>
        </w:drawing>
      </w:r>
    </w:p>
    <w:p w14:paraId="42FFACB2" w14:textId="77777777" w:rsidR="00541963" w:rsidRDefault="006F1360">
      <w:pPr>
        <w:rPr>
          <w:rFonts w:eastAsiaTheme="minorEastAsia"/>
          <w:b/>
        </w:rPr>
      </w:pPr>
      <w:r>
        <w:rPr>
          <w:rFonts w:eastAsiaTheme="minorEastAsia"/>
          <w:b/>
        </w:rPr>
        <w:t>Figure 1.</w:t>
      </w:r>
      <w:r w:rsidR="00153254" w:rsidRPr="00153254">
        <w:rPr>
          <w:rFonts w:eastAsiaTheme="minorEastAsia"/>
          <w:b/>
        </w:rPr>
        <w:t xml:space="preserve"> </w:t>
      </w:r>
      <w:r w:rsidR="00153254" w:rsidRPr="00153254">
        <w:rPr>
          <w:rFonts w:eastAsiaTheme="minorEastAsia"/>
        </w:rPr>
        <w:t>Schematic</w:t>
      </w:r>
      <w:r w:rsidR="00D509A4">
        <w:rPr>
          <w:rFonts w:eastAsiaTheme="minorEastAsia"/>
        </w:rPr>
        <w:t xml:space="preserve"> approach to capturing weak and</w:t>
      </w:r>
      <w:r w:rsidR="00153254" w:rsidRPr="00153254">
        <w:rPr>
          <w:rFonts w:eastAsiaTheme="minorEastAsia"/>
        </w:rPr>
        <w:t xml:space="preserve"> nonspecific i</w:t>
      </w:r>
      <w:r w:rsidR="006607C3">
        <w:rPr>
          <w:rFonts w:eastAsiaTheme="minorEastAsia"/>
        </w:rPr>
        <w:t>nteractions. The d</w:t>
      </w:r>
      <w:r w:rsidR="00153254" w:rsidRPr="00153254">
        <w:rPr>
          <w:rFonts w:eastAsiaTheme="minorEastAsia"/>
        </w:rPr>
        <w:t xml:space="preserve">ifference </w:t>
      </w:r>
      <w:r w:rsidR="006607C3">
        <w:rPr>
          <w:rFonts w:eastAsiaTheme="minorEastAsia"/>
        </w:rPr>
        <w:t xml:space="preserve">in concentration </w:t>
      </w:r>
      <w:r w:rsidR="00153254" w:rsidRPr="00153254">
        <w:rPr>
          <w:rFonts w:eastAsiaTheme="minorEastAsia"/>
        </w:rPr>
        <w:t>of water (blue) and osmolyte (orange) molecules between t</w:t>
      </w:r>
      <w:r w:rsidR="00D509A4">
        <w:rPr>
          <w:rFonts w:eastAsiaTheme="minorEastAsia"/>
        </w:rPr>
        <w:t>he “local” and “bulk” regions provides</w:t>
      </w:r>
      <w:r w:rsidR="00153254" w:rsidRPr="00153254">
        <w:rPr>
          <w:rFonts w:eastAsiaTheme="minorEastAsia"/>
        </w:rPr>
        <w:t xml:space="preserve"> the key to describe the solvent effect </w:t>
      </w:r>
      <w:r w:rsidR="00D509A4">
        <w:rPr>
          <w:rFonts w:eastAsiaTheme="minorEastAsia"/>
        </w:rPr>
        <w:t>in a statistical manner</w:t>
      </w:r>
      <w:r w:rsidR="00153254" w:rsidRPr="00153254">
        <w:rPr>
          <w:rFonts w:eastAsiaTheme="minorEastAsia"/>
        </w:rPr>
        <w:t xml:space="preserve">.  </w:t>
      </w:r>
      <w:r w:rsidR="00541963" w:rsidRPr="00153254">
        <w:rPr>
          <w:rFonts w:eastAsiaTheme="minorEastAsia"/>
        </w:rPr>
        <w:br w:type="page"/>
      </w:r>
    </w:p>
    <w:p w14:paraId="6590FC95" w14:textId="77777777" w:rsidR="00A27F6D" w:rsidRDefault="00A27F6D" w:rsidP="00A27F6D">
      <w:pPr>
        <w:rPr>
          <w:rFonts w:eastAsiaTheme="minorEastAsia"/>
          <w:b/>
        </w:rPr>
      </w:pPr>
      <w:r>
        <w:rPr>
          <w:rFonts w:eastAsiaTheme="minorEastAsia"/>
          <w:b/>
          <w:noProof/>
          <w:lang w:val="en-GB" w:eastAsia="ja-JP"/>
        </w:rPr>
        <w:drawing>
          <wp:inline distT="0" distB="0" distL="0" distR="0" wp14:anchorId="10935493" wp14:editId="7F204E4F">
            <wp:extent cx="3804079" cy="423099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4079" cy="4230990"/>
                    </a:xfrm>
                    <a:prstGeom prst="rect">
                      <a:avLst/>
                    </a:prstGeom>
                  </pic:spPr>
                </pic:pic>
              </a:graphicData>
            </a:graphic>
          </wp:inline>
        </w:drawing>
      </w:r>
    </w:p>
    <w:p w14:paraId="0636CAC1" w14:textId="77777777" w:rsidR="00A27F6D" w:rsidRPr="00346FD5" w:rsidRDefault="00A27F6D" w:rsidP="00A27F6D">
      <w:pPr>
        <w:rPr>
          <w:rFonts w:eastAsiaTheme="minorEastAsia"/>
          <w:b/>
          <w:color w:val="FF0000"/>
        </w:rPr>
      </w:pPr>
      <w:r>
        <w:rPr>
          <w:rFonts w:eastAsiaTheme="minorEastAsia"/>
          <w:b/>
        </w:rPr>
        <w:t xml:space="preserve">Figure 2. </w:t>
      </w:r>
      <w:r>
        <w:rPr>
          <w:rFonts w:eastAsiaTheme="minorEastAsia"/>
        </w:rPr>
        <w:t xml:space="preserve">Schematic representation of the radial </w:t>
      </w:r>
      <w:r w:rsidR="00D509A4">
        <w:rPr>
          <w:rFonts w:eastAsiaTheme="minorEastAsia"/>
        </w:rPr>
        <w:t xml:space="preserve">distribution functions (RDF) for </w:t>
      </w:r>
      <w:r>
        <w:rPr>
          <w:rFonts w:eastAsiaTheme="minorEastAsia"/>
        </w:rPr>
        <w:t xml:space="preserve">water </w:t>
      </w:r>
      <w:r w:rsidR="009C65FD">
        <w:rPr>
          <w:rFonts w:eastAsiaTheme="minorEastAsia"/>
        </w:rPr>
        <w:t>(</w:t>
      </w:r>
      <m:oMath>
        <m:r>
          <w:rPr>
            <w:rFonts w:ascii="Cambria Math" w:eastAsiaTheme="minorEastAsia" w:hAnsi="Cambria Math"/>
          </w:rPr>
          <m:t>W</m:t>
        </m:r>
      </m:oMath>
      <w:r w:rsidR="009C65FD">
        <w:rPr>
          <w:rFonts w:eastAsiaTheme="minorEastAsia"/>
        </w:rPr>
        <w:t xml:space="preserve">) </w:t>
      </w:r>
      <w:r>
        <w:rPr>
          <w:rFonts w:eastAsiaTheme="minorEastAsia"/>
        </w:rPr>
        <w:t xml:space="preserve">and osmolyte </w:t>
      </w:r>
      <w:r w:rsidR="009C65FD">
        <w:rPr>
          <w:rFonts w:eastAsiaTheme="minorEastAsia"/>
        </w:rPr>
        <w:t>(</w:t>
      </w:r>
      <m:oMath>
        <m:r>
          <w:rPr>
            <w:rFonts w:ascii="Cambria Math" w:eastAsiaTheme="minorEastAsia" w:hAnsi="Cambria Math"/>
          </w:rPr>
          <m:t>C</m:t>
        </m:r>
      </m:oMath>
      <w:r w:rsidR="009C65FD">
        <w:rPr>
          <w:rFonts w:eastAsiaTheme="minorEastAsia"/>
        </w:rPr>
        <w:t xml:space="preserve">) </w:t>
      </w:r>
      <w:r>
        <w:rPr>
          <w:rFonts w:eastAsiaTheme="minorEastAsia"/>
        </w:rPr>
        <w:t>molecule</w:t>
      </w:r>
      <w:r w:rsidR="00D509A4">
        <w:rPr>
          <w:rFonts w:eastAsiaTheme="minorEastAsia"/>
        </w:rPr>
        <w:t>s</w:t>
      </w:r>
      <w:r>
        <w:rPr>
          <w:rFonts w:eastAsiaTheme="minorEastAsia"/>
        </w:rPr>
        <w:t xml:space="preserve"> around a conformational state of a protein.  RDFs represent the local density of water and osmolyte in compa</w:t>
      </w:r>
      <w:r w:rsidR="00D509A4">
        <w:rPr>
          <w:rFonts w:eastAsiaTheme="minorEastAsia"/>
        </w:rPr>
        <w:t>rison to the bulk value corresponding to unity</w:t>
      </w:r>
      <w:r>
        <w:rPr>
          <w:rFonts w:eastAsiaTheme="minorEastAsia"/>
        </w:rPr>
        <w:t xml:space="preserve">.  </w:t>
      </w:r>
    </w:p>
    <w:p w14:paraId="7F0D13CB" w14:textId="77777777" w:rsidR="005046FF" w:rsidRDefault="005046FF">
      <w:pPr>
        <w:rPr>
          <w:rFonts w:eastAsiaTheme="minorEastAsia"/>
        </w:rPr>
      </w:pPr>
      <w:r>
        <w:rPr>
          <w:rFonts w:eastAsiaTheme="minorEastAsia"/>
        </w:rPr>
        <w:br w:type="page"/>
      </w:r>
    </w:p>
    <w:p w14:paraId="33BD501A" w14:textId="77777777" w:rsidR="005046FF" w:rsidRDefault="005046FF" w:rsidP="005046FF">
      <w:pPr>
        <w:rPr>
          <w:rFonts w:eastAsiaTheme="minorEastAsia"/>
          <w:b/>
        </w:rPr>
      </w:pPr>
      <w:r>
        <w:rPr>
          <w:rFonts w:eastAsiaTheme="minorEastAsia"/>
          <w:b/>
          <w:noProof/>
          <w:lang w:val="en-GB" w:eastAsia="ja-JP"/>
        </w:rPr>
        <w:drawing>
          <wp:inline distT="0" distB="0" distL="0" distR="0" wp14:anchorId="156934C6" wp14:editId="001A3E04">
            <wp:extent cx="3825123" cy="3267710"/>
            <wp:effectExtent l="0" t="0" r="444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825123" cy="3267710"/>
                    </a:xfrm>
                    <a:prstGeom prst="rect">
                      <a:avLst/>
                    </a:prstGeom>
                    <a:noFill/>
                    <a:ln>
                      <a:noFill/>
                    </a:ln>
                  </pic:spPr>
                </pic:pic>
              </a:graphicData>
            </a:graphic>
          </wp:inline>
        </w:drawing>
      </w:r>
    </w:p>
    <w:p w14:paraId="00B6CAF1" w14:textId="77777777" w:rsidR="005046FF" w:rsidRPr="009A4C45" w:rsidRDefault="005046FF" w:rsidP="005046FF">
      <w:pPr>
        <w:rPr>
          <w:rFonts w:eastAsiaTheme="minorEastAsia"/>
        </w:rPr>
      </w:pPr>
      <w:r>
        <w:rPr>
          <w:rFonts w:eastAsiaTheme="minorEastAsia"/>
          <w:b/>
        </w:rPr>
        <w:t xml:space="preserve">Figure 3. </w:t>
      </w:r>
      <w:r>
        <w:rPr>
          <w:rFonts w:eastAsiaTheme="minorEastAsia"/>
        </w:rPr>
        <w:t xml:space="preserve">Protein-water and protein-osmolyte Kirkwood-Buff (KB) integrals, defined as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Bi</m:t>
            </m:r>
          </m:sub>
        </m:sSub>
        <m:r>
          <w:rPr>
            <w:rFonts w:ascii="Cambria Math" w:eastAsiaTheme="minorEastAsia" w:hAnsi="Cambria Math"/>
          </w:rPr>
          <m:t>=4π</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dr</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Bi</m:t>
                    </m:r>
                  </m:sub>
                </m:sSub>
                <m:d>
                  <m:dPr>
                    <m:ctrlPr>
                      <w:rPr>
                        <w:rFonts w:ascii="Cambria Math" w:eastAsiaTheme="minorEastAsia" w:hAnsi="Cambria Math"/>
                        <w:i/>
                      </w:rPr>
                    </m:ctrlPr>
                  </m:dPr>
                  <m:e>
                    <m:r>
                      <w:rPr>
                        <w:rFonts w:ascii="Cambria Math" w:eastAsiaTheme="minorEastAsia" w:hAnsi="Cambria Math"/>
                      </w:rPr>
                      <m:t>r</m:t>
                    </m:r>
                  </m:e>
                </m:d>
                <m:r>
                  <w:rPr>
                    <w:rFonts w:ascii="Cambria Math" w:eastAsiaTheme="minorEastAsia" w:hAnsi="Cambria Math"/>
                  </w:rPr>
                  <m:t>-1</m:t>
                </m:r>
              </m:e>
            </m:d>
          </m:e>
        </m:nary>
      </m:oMath>
      <w:r>
        <w:rPr>
          <w:rFonts w:eastAsiaTheme="minorEastAsia"/>
        </w:rPr>
        <w:t xml:space="preserve"> for </w:t>
      </w:r>
      <m:oMath>
        <m:r>
          <w:rPr>
            <w:rFonts w:ascii="Cambria Math" w:eastAsiaTheme="minorEastAsia" w:hAnsi="Cambria Math"/>
          </w:rPr>
          <m:t>i=W</m:t>
        </m:r>
      </m:oMath>
      <w:r>
        <w:rPr>
          <w:rFonts w:eastAsiaTheme="minorEastAsia"/>
        </w:rPr>
        <w:t xml:space="preserve"> and </w:t>
      </w:r>
      <m:oMath>
        <m:r>
          <w:rPr>
            <w:rFonts w:ascii="Cambria Math" w:eastAsiaTheme="minorEastAsia" w:hAnsi="Cambria Math"/>
          </w:rPr>
          <m:t>C</m:t>
        </m:r>
      </m:oMath>
      <w:r>
        <w:rPr>
          <w:rFonts w:eastAsiaTheme="minorEastAsia"/>
        </w:rPr>
        <w:t xml:space="preserve"> for each conformation. Posit</w:t>
      </w:r>
      <w:r w:rsidR="00F81E1C">
        <w:rPr>
          <w:rFonts w:eastAsiaTheme="minorEastAsia"/>
        </w:rPr>
        <w:t xml:space="preserve">ive (green) and negative (red) </w:t>
      </w:r>
      <w:r>
        <w:rPr>
          <w:rFonts w:eastAsiaTheme="minorEastAsia"/>
        </w:rPr>
        <w:t>contributions to th</w:t>
      </w:r>
      <w:r w:rsidR="006607C3">
        <w:rPr>
          <w:rFonts w:eastAsiaTheme="minorEastAsia"/>
        </w:rPr>
        <w:t xml:space="preserve">e KB integral come </w:t>
      </w:r>
      <w:r>
        <w:rPr>
          <w:rFonts w:eastAsiaTheme="minorEastAsia"/>
        </w:rPr>
        <w:t xml:space="preserve">from the range of </w:t>
      </w:r>
      <m:oMath>
        <m:r>
          <w:rPr>
            <w:rFonts w:ascii="Cambria Math" w:eastAsiaTheme="minorEastAsia" w:hAnsi="Cambria Math"/>
          </w:rPr>
          <m:t>r</m:t>
        </m:r>
      </m:oMath>
      <w:r w:rsidR="006607C3">
        <w:rPr>
          <w:rFonts w:eastAsiaTheme="minorEastAsia"/>
        </w:rPr>
        <w:t xml:space="preserve"> where</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Bi</m:t>
            </m:r>
          </m:sub>
        </m:sSub>
        <m:d>
          <m:dPr>
            <m:ctrlPr>
              <w:rPr>
                <w:rFonts w:ascii="Cambria Math" w:eastAsiaTheme="minorEastAsia" w:hAnsi="Cambria Math"/>
                <w:i/>
              </w:rPr>
            </m:ctrlPr>
          </m:dPr>
          <m:e>
            <m:r>
              <w:rPr>
                <w:rFonts w:ascii="Cambria Math" w:eastAsiaTheme="minorEastAsia" w:hAnsi="Cambria Math"/>
              </w:rPr>
              <m:t>r</m:t>
            </m:r>
          </m:e>
        </m:d>
        <m:r>
          <w:rPr>
            <w:rFonts w:ascii="Cambria Math" w:eastAsiaTheme="minorEastAsia" w:hAnsi="Cambria Math"/>
          </w:rPr>
          <m:t>&gt;1</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Bi</m:t>
            </m:r>
          </m:sub>
        </m:sSub>
        <m:d>
          <m:dPr>
            <m:ctrlPr>
              <w:rPr>
                <w:rFonts w:ascii="Cambria Math" w:eastAsiaTheme="minorEastAsia" w:hAnsi="Cambria Math"/>
                <w:i/>
              </w:rPr>
            </m:ctrlPr>
          </m:dPr>
          <m:e>
            <m:r>
              <w:rPr>
                <w:rFonts w:ascii="Cambria Math" w:eastAsiaTheme="minorEastAsia" w:hAnsi="Cambria Math"/>
              </w:rPr>
              <m:t>r</m:t>
            </m:r>
          </m:e>
        </m:d>
        <m:r>
          <w:rPr>
            <w:rFonts w:ascii="Cambria Math" w:eastAsiaTheme="minorEastAsia" w:hAnsi="Cambria Math"/>
          </w:rPr>
          <m:t>&lt;0</m:t>
        </m:r>
      </m:oMath>
      <w:r w:rsidR="006607C3">
        <w:rPr>
          <w:rFonts w:eastAsiaTheme="minorEastAsia"/>
        </w:rPr>
        <w:t>, respectively</w:t>
      </w:r>
      <w:r>
        <w:rPr>
          <w:rFonts w:eastAsiaTheme="minorEastAsia"/>
        </w:rPr>
        <w:t xml:space="preserve">.  </w:t>
      </w:r>
    </w:p>
    <w:p w14:paraId="7F943CB0" w14:textId="77777777" w:rsidR="005046FF" w:rsidRDefault="005046FF" w:rsidP="005046FF">
      <w:pPr>
        <w:rPr>
          <w:rFonts w:eastAsiaTheme="minorEastAsia"/>
          <w:b/>
        </w:rPr>
      </w:pPr>
      <w:r>
        <w:rPr>
          <w:rFonts w:eastAsiaTheme="minorEastAsia"/>
          <w:b/>
        </w:rPr>
        <w:br w:type="page"/>
      </w:r>
    </w:p>
    <w:p w14:paraId="74E93488" w14:textId="77777777" w:rsidR="0039011A" w:rsidRDefault="0039011A" w:rsidP="0039011A">
      <w:pPr>
        <w:rPr>
          <w:rFonts w:eastAsiaTheme="minorEastAsia"/>
          <w:b/>
        </w:rPr>
      </w:pPr>
      <w:r>
        <w:rPr>
          <w:rFonts w:eastAsiaTheme="minorEastAsia"/>
          <w:b/>
          <w:noProof/>
          <w:lang w:val="en-GB" w:eastAsia="ja-JP"/>
        </w:rPr>
        <w:drawing>
          <wp:inline distT="0" distB="0" distL="0" distR="0" wp14:anchorId="09C9C7C5" wp14:editId="1D017968">
            <wp:extent cx="3996948" cy="1614152"/>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11226" cy="1660303"/>
                    </a:xfrm>
                    <a:prstGeom prst="rect">
                      <a:avLst/>
                    </a:prstGeom>
                  </pic:spPr>
                </pic:pic>
              </a:graphicData>
            </a:graphic>
          </wp:inline>
        </w:drawing>
      </w:r>
    </w:p>
    <w:p w14:paraId="31912FE1" w14:textId="77777777" w:rsidR="0039011A" w:rsidRDefault="0039011A" w:rsidP="0039011A">
      <w:pPr>
        <w:rPr>
          <w:rFonts w:eastAsiaTheme="minorEastAsia"/>
        </w:rPr>
      </w:pPr>
      <w:r>
        <w:rPr>
          <w:rFonts w:eastAsiaTheme="minorEastAsia"/>
          <w:b/>
        </w:rPr>
        <w:t xml:space="preserve">Figure 4. </w:t>
      </w:r>
      <w:r>
        <w:rPr>
          <w:rFonts w:eastAsiaTheme="minorEastAsia"/>
        </w:rPr>
        <w:t>Under</w:t>
      </w:r>
      <w:r w:rsidR="00D509A4">
        <w:rPr>
          <w:rFonts w:eastAsiaTheme="minorEastAsia"/>
        </w:rPr>
        <w:t xml:space="preserve">standing </w:t>
      </w:r>
      <w:r>
        <w:rPr>
          <w:rFonts w:eastAsiaTheme="minorEastAsia"/>
        </w:rPr>
        <w:t>the osmolyte effect on protein stability requires the consideration of local-b</w:t>
      </w:r>
      <w:r w:rsidR="006607C3">
        <w:rPr>
          <w:rFonts w:eastAsiaTheme="minorEastAsia"/>
        </w:rPr>
        <w:t>ulk concentration differences for the</w:t>
      </w:r>
      <w:r>
        <w:rPr>
          <w:rFonts w:eastAsiaTheme="minorEastAsia"/>
        </w:rPr>
        <w:t xml:space="preserve"> water </w:t>
      </w:r>
      <w:r w:rsidR="00ED0A64">
        <w:rPr>
          <w:rFonts w:eastAsiaTheme="minorEastAsia"/>
        </w:rPr>
        <w:t xml:space="preserve">(blue) </w:t>
      </w:r>
      <w:r>
        <w:rPr>
          <w:rFonts w:eastAsiaTheme="minorEastAsia"/>
        </w:rPr>
        <w:t xml:space="preserve">and osmolyte </w:t>
      </w:r>
      <w:r w:rsidR="00ED0A64">
        <w:rPr>
          <w:rFonts w:eastAsiaTheme="minorEastAsia"/>
        </w:rPr>
        <w:t xml:space="preserve">(orange) </w:t>
      </w:r>
      <w:r>
        <w:rPr>
          <w:rFonts w:eastAsiaTheme="minorEastAsia"/>
        </w:rPr>
        <w:t>molecules around both the denatured and the native states of a protein</w:t>
      </w:r>
      <w:r w:rsidR="00ED0A64">
        <w:rPr>
          <w:rFonts w:eastAsiaTheme="minorEastAsia"/>
        </w:rPr>
        <w:t xml:space="preserve"> (black)</w:t>
      </w:r>
      <w:r>
        <w:rPr>
          <w:rFonts w:eastAsiaTheme="minorEastAsia"/>
        </w:rPr>
        <w:t xml:space="preserve">. </w:t>
      </w:r>
    </w:p>
    <w:p w14:paraId="29E6A8ED" w14:textId="77777777" w:rsidR="0039011A" w:rsidRDefault="0039011A" w:rsidP="0039011A">
      <w:pPr>
        <w:rPr>
          <w:rFonts w:eastAsiaTheme="minorEastAsia"/>
        </w:rPr>
      </w:pPr>
      <w:r>
        <w:rPr>
          <w:rFonts w:eastAsiaTheme="minorEastAsia"/>
        </w:rPr>
        <w:br w:type="page"/>
      </w:r>
    </w:p>
    <w:p w14:paraId="10EB4BF1" w14:textId="77777777" w:rsidR="00541963" w:rsidRPr="00541963" w:rsidRDefault="00541963" w:rsidP="00820F03">
      <w:pPr>
        <w:rPr>
          <w:rFonts w:eastAsiaTheme="minorEastAsia"/>
          <w:b/>
        </w:rPr>
      </w:pPr>
    </w:p>
    <w:p w14:paraId="2DCD06BD" w14:textId="77777777" w:rsidR="00541963" w:rsidRPr="00820F03" w:rsidRDefault="00541963" w:rsidP="00820F03">
      <w:pPr>
        <w:rPr>
          <w:rFonts w:eastAsiaTheme="minorEastAsia"/>
        </w:rPr>
      </w:pPr>
    </w:p>
    <w:p w14:paraId="2D883E41" w14:textId="77777777" w:rsidR="00BF0621" w:rsidRDefault="00BF0621" w:rsidP="001035FA">
      <w:pPr>
        <w:ind w:left="720"/>
        <w:rPr>
          <w:rFonts w:eastAsiaTheme="minorEastAsia"/>
          <w:color w:val="FF0000"/>
        </w:rPr>
      </w:pPr>
      <w:r>
        <w:rPr>
          <w:rFonts w:eastAsiaTheme="minorEastAsia"/>
          <w:noProof/>
          <w:color w:val="FF0000"/>
          <w:lang w:val="en-GB" w:eastAsia="ja-JP"/>
        </w:rPr>
        <w:drawing>
          <wp:inline distT="0" distB="0" distL="0" distR="0" wp14:anchorId="5C9B4C68" wp14:editId="4CCF273B">
            <wp:extent cx="3836513" cy="3109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AO with Pau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36513" cy="3109227"/>
                    </a:xfrm>
                    <a:prstGeom prst="rect">
                      <a:avLst/>
                    </a:prstGeom>
                  </pic:spPr>
                </pic:pic>
              </a:graphicData>
            </a:graphic>
          </wp:inline>
        </w:drawing>
      </w:r>
    </w:p>
    <w:p w14:paraId="5EC902ED" w14:textId="77777777" w:rsidR="00C05E6B" w:rsidRPr="006F1360" w:rsidRDefault="00153254" w:rsidP="00AF288C">
      <w:r w:rsidRPr="006F1360">
        <w:rPr>
          <w:rFonts w:eastAsiaTheme="minorEastAsia"/>
          <w:b/>
        </w:rPr>
        <w:t>Figure 5.</w:t>
      </w:r>
      <w:r w:rsidRPr="006F1360">
        <w:rPr>
          <w:rFonts w:eastAsiaTheme="minorEastAsia"/>
        </w:rPr>
        <w:t xml:space="preserve"> Mechanism of osmoprotection against pressure denaturation. (i) </w:t>
      </w:r>
      <w:r w:rsidR="006F1360" w:rsidRPr="006F1360">
        <w:rPr>
          <w:rFonts w:eastAsiaTheme="minorEastAsia"/>
        </w:rPr>
        <w:t xml:space="preserve">The pressure-denatured state is more hydrated (water=blue) than the native. (ii) </w:t>
      </w:r>
      <w:r w:rsidRPr="006F1360">
        <w:rPr>
          <w:rFonts w:eastAsiaTheme="minorEastAsia"/>
        </w:rPr>
        <w:t>Osmolytes (orange) are</w:t>
      </w:r>
      <w:r w:rsidR="006F1360" w:rsidRPr="006F1360">
        <w:rPr>
          <w:rFonts w:eastAsiaTheme="minorEastAsia"/>
        </w:rPr>
        <w:t xml:space="preserve"> more excluded from the </w:t>
      </w:r>
      <w:r w:rsidRPr="006F1360">
        <w:rPr>
          <w:rFonts w:eastAsiaTheme="minorEastAsia"/>
        </w:rPr>
        <w:t>denatured state than from the native.</w:t>
      </w:r>
      <w:r w:rsidR="006F1360" w:rsidRPr="006F1360">
        <w:rPr>
          <w:rFonts w:eastAsiaTheme="minorEastAsia"/>
        </w:rPr>
        <w:t xml:space="preserve"> (iii) The effect of (ii) is much larger than (i). </w:t>
      </w:r>
    </w:p>
    <w:p w14:paraId="60822A98" w14:textId="77777777" w:rsidR="00C05E6B" w:rsidRDefault="00C05E6B" w:rsidP="00AF288C"/>
    <w:p w14:paraId="7CA8E3A7" w14:textId="77777777" w:rsidR="00F802C1" w:rsidRDefault="00F802C1">
      <w:r>
        <w:br w:type="page"/>
      </w:r>
    </w:p>
    <w:p w14:paraId="76328715" w14:textId="77777777" w:rsidR="007E166D" w:rsidRPr="007E166D" w:rsidRDefault="007E166D">
      <w:pPr>
        <w:rPr>
          <w:b/>
        </w:rPr>
      </w:pPr>
      <w:r w:rsidRPr="007E166D">
        <w:rPr>
          <w:b/>
        </w:rPr>
        <w:t>Table 1</w:t>
      </w:r>
    </w:p>
    <w:tbl>
      <w:tblPr>
        <w:tblStyle w:val="TableGrid"/>
        <w:tblW w:w="0" w:type="auto"/>
        <w:tblLook w:val="04A0" w:firstRow="1" w:lastRow="0" w:firstColumn="1" w:lastColumn="0" w:noHBand="0" w:noVBand="1"/>
      </w:tblPr>
      <w:tblGrid>
        <w:gridCol w:w="1271"/>
        <w:gridCol w:w="1276"/>
        <w:gridCol w:w="1417"/>
        <w:gridCol w:w="1276"/>
        <w:gridCol w:w="1276"/>
      </w:tblGrid>
      <w:tr w:rsidR="00F802C1" w14:paraId="16842A75" w14:textId="77777777" w:rsidTr="006C0BEB">
        <w:tc>
          <w:tcPr>
            <w:tcW w:w="1271" w:type="dxa"/>
          </w:tcPr>
          <w:p w14:paraId="0B7535EE" w14:textId="77777777" w:rsidR="00F802C1" w:rsidRDefault="00F802C1" w:rsidP="00AF288C">
            <w:r>
              <w:t>osmolyte</w:t>
            </w:r>
          </w:p>
        </w:tc>
        <w:tc>
          <w:tcPr>
            <w:tcW w:w="1276" w:type="dxa"/>
          </w:tcPr>
          <w:p w14:paraId="2AA2A455" w14:textId="77777777" w:rsidR="00F802C1" w:rsidRDefault="00F802C1" w:rsidP="00F802C1">
            <w:pPr>
              <w:rPr>
                <w:rFonts w:eastAsiaTheme="minorEastAsia"/>
              </w:rPr>
            </w:pPr>
            <m:oMath>
              <m:r>
                <m:rPr>
                  <m:sty m:val="p"/>
                </m:rPr>
                <w:rPr>
                  <w:rFonts w:ascii="Cambria Math" w:hAnsi="Cambria Math"/>
                </w:rPr>
                <m:t>Δ</m:t>
              </m:r>
              <m:sSubSup>
                <m:sSubSupPr>
                  <m:ctrlPr>
                    <w:rPr>
                      <w:rFonts w:ascii="Cambria Math" w:hAnsi="Cambria Math"/>
                      <w:i/>
                    </w:rPr>
                  </m:ctrlPr>
                </m:sSubSupPr>
                <m:e>
                  <m:r>
                    <w:rPr>
                      <w:rFonts w:ascii="Cambria Math" w:hAnsi="Cambria Math"/>
                    </w:rPr>
                    <m:t>V</m:t>
                  </m:r>
                </m:e>
                <m:sub>
                  <m:r>
                    <w:rPr>
                      <w:rFonts w:ascii="Cambria Math" w:hAnsi="Cambria Math"/>
                    </w:rPr>
                    <m:t>B</m:t>
                  </m:r>
                </m:sub>
                <m:sup>
                  <m:r>
                    <w:rPr>
                      <w:rFonts w:ascii="Cambria Math" w:hAnsi="Cambria Math"/>
                    </w:rPr>
                    <m:t>∞</m:t>
                  </m:r>
                </m:sup>
              </m:sSubSup>
            </m:oMath>
            <w:r>
              <w:rPr>
                <w:rFonts w:eastAsiaTheme="minorEastAsia"/>
              </w:rPr>
              <w:t xml:space="preserve"> </w:t>
            </w:r>
          </w:p>
          <w:p w14:paraId="3C87258C" w14:textId="77777777" w:rsidR="00F802C1" w:rsidRDefault="00F802C1" w:rsidP="00F802C1"/>
        </w:tc>
        <w:tc>
          <w:tcPr>
            <w:tcW w:w="1417" w:type="dxa"/>
          </w:tcPr>
          <w:p w14:paraId="27B84F71" w14:textId="77777777" w:rsidR="00F802C1" w:rsidRPr="00D509A4" w:rsidRDefault="006B7D0C" w:rsidP="00F802C1">
            <w:pPr>
              <w:rPr>
                <w:rFonts w:eastAsiaTheme="minorEastAsia"/>
              </w:rPr>
            </w:pPr>
            <m:oMath>
              <m:sSub>
                <m:sSubPr>
                  <m:ctrlPr>
                    <w:rPr>
                      <w:rFonts w:ascii="Cambria Math" w:hAnsi="Cambria Math"/>
                      <w:i/>
                    </w:rPr>
                  </m:ctrlPr>
                </m:sSubPr>
                <m:e>
                  <m:r>
                    <w:rPr>
                      <w:rFonts w:ascii="Cambria Math" w:hAnsi="Cambria Math"/>
                    </w:rPr>
                    <m:t>O</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m</m:t>
                      </m:r>
                    </m:sub>
                  </m:sSub>
                </m:num>
                <m:den>
                  <m:r>
                    <w:rPr>
                      <w:rFonts w:ascii="Cambria Math" w:hAnsi="Cambria Math"/>
                    </w:rPr>
                    <m:t>δ</m:t>
                  </m:r>
                  <m:sSub>
                    <m:sSubPr>
                      <m:ctrlPr>
                        <w:rPr>
                          <w:rFonts w:ascii="Cambria Math" w:hAnsi="Cambria Math"/>
                          <w:i/>
                        </w:rPr>
                      </m:ctrlPr>
                    </m:sSubPr>
                    <m:e>
                      <m:r>
                        <w:rPr>
                          <w:rFonts w:ascii="Cambria Math" w:hAnsi="Cambria Math"/>
                        </w:rPr>
                        <m:t>ρ</m:t>
                      </m:r>
                    </m:e>
                    <m:sub>
                      <m:r>
                        <w:rPr>
                          <w:rFonts w:ascii="Cambria Math" w:hAnsi="Cambria Math"/>
                        </w:rPr>
                        <m:t>C</m:t>
                      </m:r>
                    </m:sub>
                  </m:sSub>
                </m:den>
              </m:f>
            </m:oMath>
            <w:r w:rsidR="00D509A4">
              <w:rPr>
                <w:rFonts w:eastAsiaTheme="minorEastAsia"/>
              </w:rPr>
              <w:t xml:space="preserve"> </w:t>
            </w:r>
          </w:p>
        </w:tc>
        <w:tc>
          <w:tcPr>
            <w:tcW w:w="1276" w:type="dxa"/>
          </w:tcPr>
          <w:p w14:paraId="64CC64E3" w14:textId="77777777" w:rsidR="00F802C1" w:rsidRPr="00D509A4" w:rsidRDefault="00F802C1" w:rsidP="00F802C1">
            <w:pPr>
              <w:rPr>
                <w:rFonts w:eastAsiaTheme="minorEastAsia"/>
              </w:rPr>
            </w:pPr>
            <m:oMath>
              <m:r>
                <m:rPr>
                  <m:sty m:val="p"/>
                </m:rPr>
                <w:rPr>
                  <w:rFonts w:ascii="Cambria Math" w:hAnsi="Cambria Math"/>
                </w:rPr>
                <m:t>Δ</m:t>
              </m:r>
              <m:sSubSup>
                <m:sSubSupPr>
                  <m:ctrlPr>
                    <w:rPr>
                      <w:rFonts w:ascii="Cambria Math" w:hAnsi="Cambria Math"/>
                      <w:i/>
                    </w:rPr>
                  </m:ctrlPr>
                </m:sSubSupPr>
                <m:e>
                  <m:r>
                    <w:rPr>
                      <w:rFonts w:ascii="Cambria Math" w:hAnsi="Cambria Math"/>
                    </w:rPr>
                    <m:t>G</m:t>
                  </m:r>
                </m:e>
                <m:sub>
                  <m:r>
                    <w:rPr>
                      <w:rFonts w:ascii="Cambria Math" w:hAnsi="Cambria Math"/>
                    </w:rPr>
                    <m:t>BW</m:t>
                  </m:r>
                </m:sub>
                <m:sup>
                  <m:r>
                    <w:rPr>
                      <w:rFonts w:ascii="Cambria Math" w:hAnsi="Cambria Math"/>
                    </w:rPr>
                    <m:t>∞</m:t>
                  </m:r>
                </m:sup>
              </m:sSubSup>
            </m:oMath>
            <w:r w:rsidR="00D509A4">
              <w:rPr>
                <w:rFonts w:eastAsiaTheme="minorEastAsia"/>
              </w:rPr>
              <w:t xml:space="preserve"> </w:t>
            </w:r>
          </w:p>
        </w:tc>
        <w:tc>
          <w:tcPr>
            <w:tcW w:w="1276" w:type="dxa"/>
          </w:tcPr>
          <w:p w14:paraId="10473335" w14:textId="77777777" w:rsidR="00F802C1" w:rsidRPr="00D509A4" w:rsidRDefault="00F802C1" w:rsidP="00F802C1">
            <w:pPr>
              <w:rPr>
                <w:rFonts w:eastAsiaTheme="minorEastAsia"/>
              </w:rPr>
            </w:pPr>
            <m:oMath>
              <m:r>
                <m:rPr>
                  <m:sty m:val="p"/>
                </m:rPr>
                <w:rPr>
                  <w:rFonts w:ascii="Cambria Math" w:hAnsi="Cambria Math"/>
                </w:rPr>
                <m:t>Δ</m:t>
              </m:r>
              <m:sSubSup>
                <m:sSubSupPr>
                  <m:ctrlPr>
                    <w:rPr>
                      <w:rFonts w:ascii="Cambria Math" w:hAnsi="Cambria Math"/>
                      <w:i/>
                    </w:rPr>
                  </m:ctrlPr>
                </m:sSubSupPr>
                <m:e>
                  <m:r>
                    <w:rPr>
                      <w:rFonts w:ascii="Cambria Math" w:hAnsi="Cambria Math"/>
                    </w:rPr>
                    <m:t>G</m:t>
                  </m:r>
                </m:e>
                <m:sub>
                  <m:r>
                    <w:rPr>
                      <w:rFonts w:ascii="Cambria Math" w:hAnsi="Cambria Math"/>
                    </w:rPr>
                    <m:t>BC</m:t>
                  </m:r>
                </m:sub>
                <m:sup>
                  <m:r>
                    <w:rPr>
                      <w:rFonts w:ascii="Cambria Math" w:hAnsi="Cambria Math"/>
                    </w:rPr>
                    <m:t>∞</m:t>
                  </m:r>
                </m:sup>
              </m:sSubSup>
            </m:oMath>
            <w:r w:rsidR="00D509A4">
              <w:rPr>
                <w:rFonts w:eastAsiaTheme="minorEastAsia"/>
              </w:rPr>
              <w:t xml:space="preserve"> </w:t>
            </w:r>
          </w:p>
        </w:tc>
      </w:tr>
      <w:tr w:rsidR="00D509A4" w14:paraId="52097AE1" w14:textId="77777777" w:rsidTr="006C0BEB">
        <w:tc>
          <w:tcPr>
            <w:tcW w:w="1271" w:type="dxa"/>
          </w:tcPr>
          <w:p w14:paraId="675D98CD" w14:textId="77777777" w:rsidR="00D509A4" w:rsidRDefault="00D509A4" w:rsidP="00AF288C"/>
        </w:tc>
        <w:tc>
          <w:tcPr>
            <w:tcW w:w="1276" w:type="dxa"/>
          </w:tcPr>
          <w:p w14:paraId="0CBBE98F" w14:textId="77777777" w:rsidR="00D509A4" w:rsidRDefault="00D509A4" w:rsidP="00AF288C">
            <w:r>
              <w:rPr>
                <w:rFonts w:eastAsiaTheme="minorEastAsia"/>
              </w:rPr>
              <w:t>cm</w:t>
            </w:r>
            <w:r w:rsidRPr="00F802C1">
              <w:rPr>
                <w:rFonts w:eastAsiaTheme="minorEastAsia"/>
                <w:vertAlign w:val="superscript"/>
              </w:rPr>
              <w:t>3</w:t>
            </w:r>
            <w:r>
              <w:rPr>
                <w:rFonts w:eastAsiaTheme="minorEastAsia"/>
              </w:rPr>
              <w:t xml:space="preserve"> mol</w:t>
            </w:r>
            <w:r w:rsidRPr="00F802C1">
              <w:rPr>
                <w:rFonts w:eastAsiaTheme="minorEastAsia"/>
                <w:vertAlign w:val="superscript"/>
              </w:rPr>
              <w:t>-1</w:t>
            </w:r>
          </w:p>
        </w:tc>
        <w:tc>
          <w:tcPr>
            <w:tcW w:w="1417" w:type="dxa"/>
          </w:tcPr>
          <w:p w14:paraId="1FFBDACF" w14:textId="77777777" w:rsidR="00D509A4" w:rsidRDefault="00D509A4" w:rsidP="00AF288C">
            <w:r>
              <w:rPr>
                <w:rFonts w:eastAsiaTheme="minorEastAsia"/>
              </w:rPr>
              <w:t>kbar M</w:t>
            </w:r>
            <w:r w:rsidRPr="00F802C1">
              <w:rPr>
                <w:rFonts w:eastAsiaTheme="minorEastAsia"/>
                <w:vertAlign w:val="superscript"/>
              </w:rPr>
              <w:t>-1</w:t>
            </w:r>
          </w:p>
        </w:tc>
        <w:tc>
          <w:tcPr>
            <w:tcW w:w="1276" w:type="dxa"/>
          </w:tcPr>
          <w:p w14:paraId="1C05F218" w14:textId="77777777" w:rsidR="00D509A4" w:rsidRDefault="00D509A4" w:rsidP="00F802C1">
            <w:pPr>
              <w:tabs>
                <w:tab w:val="left" w:pos="900"/>
              </w:tabs>
            </w:pPr>
            <w:r>
              <w:rPr>
                <w:rFonts w:eastAsiaTheme="minorEastAsia"/>
              </w:rPr>
              <w:t>cm</w:t>
            </w:r>
            <w:r w:rsidRPr="00F802C1">
              <w:rPr>
                <w:rFonts w:eastAsiaTheme="minorEastAsia"/>
                <w:vertAlign w:val="superscript"/>
              </w:rPr>
              <w:t>3</w:t>
            </w:r>
            <w:r>
              <w:rPr>
                <w:rFonts w:eastAsiaTheme="minorEastAsia"/>
              </w:rPr>
              <w:t xml:space="preserve"> mol</w:t>
            </w:r>
            <w:r w:rsidRPr="00F802C1">
              <w:rPr>
                <w:rFonts w:eastAsiaTheme="minorEastAsia"/>
                <w:vertAlign w:val="superscript"/>
              </w:rPr>
              <w:t>-1</w:t>
            </w:r>
          </w:p>
        </w:tc>
        <w:tc>
          <w:tcPr>
            <w:tcW w:w="1276" w:type="dxa"/>
          </w:tcPr>
          <w:p w14:paraId="2B2553B8" w14:textId="77777777" w:rsidR="00D509A4" w:rsidRDefault="00D509A4" w:rsidP="00AF288C">
            <w:r>
              <w:rPr>
                <w:rFonts w:eastAsiaTheme="minorEastAsia"/>
              </w:rPr>
              <w:t>cm</w:t>
            </w:r>
            <w:r w:rsidRPr="00F802C1">
              <w:rPr>
                <w:rFonts w:eastAsiaTheme="minorEastAsia"/>
                <w:vertAlign w:val="superscript"/>
              </w:rPr>
              <w:t>3</w:t>
            </w:r>
            <w:r>
              <w:rPr>
                <w:rFonts w:eastAsiaTheme="minorEastAsia"/>
              </w:rPr>
              <w:t xml:space="preserve"> mol</w:t>
            </w:r>
            <w:r w:rsidRPr="00F802C1">
              <w:rPr>
                <w:rFonts w:eastAsiaTheme="minorEastAsia"/>
                <w:vertAlign w:val="superscript"/>
              </w:rPr>
              <w:t>-1</w:t>
            </w:r>
          </w:p>
        </w:tc>
      </w:tr>
      <w:tr w:rsidR="00F802C1" w14:paraId="00D73137" w14:textId="77777777" w:rsidTr="006C0BEB">
        <w:tc>
          <w:tcPr>
            <w:tcW w:w="1271" w:type="dxa"/>
          </w:tcPr>
          <w:p w14:paraId="50BBFD0D" w14:textId="77777777" w:rsidR="00F802C1" w:rsidRDefault="00F802C1" w:rsidP="00AF288C">
            <w:r>
              <w:t>TMAO</w:t>
            </w:r>
          </w:p>
        </w:tc>
        <w:tc>
          <w:tcPr>
            <w:tcW w:w="1276" w:type="dxa"/>
          </w:tcPr>
          <w:p w14:paraId="56E7CA77" w14:textId="77777777" w:rsidR="00F802C1" w:rsidRDefault="00F802C1" w:rsidP="00AF288C">
            <w:r>
              <w:t>-66</w:t>
            </w:r>
          </w:p>
        </w:tc>
        <w:tc>
          <w:tcPr>
            <w:tcW w:w="1417" w:type="dxa"/>
          </w:tcPr>
          <w:p w14:paraId="154F22E8" w14:textId="77777777" w:rsidR="00F802C1" w:rsidRDefault="00F802C1" w:rsidP="00AF288C">
            <w:r>
              <w:t>3</w:t>
            </w:r>
          </w:p>
        </w:tc>
        <w:tc>
          <w:tcPr>
            <w:tcW w:w="1276" w:type="dxa"/>
          </w:tcPr>
          <w:p w14:paraId="17FAD26F" w14:textId="77777777" w:rsidR="00F802C1" w:rsidRDefault="00F802C1" w:rsidP="00F802C1">
            <w:pPr>
              <w:tabs>
                <w:tab w:val="left" w:pos="900"/>
              </w:tabs>
            </w:pPr>
            <w:r>
              <w:t>66</w:t>
            </w:r>
          </w:p>
        </w:tc>
        <w:tc>
          <w:tcPr>
            <w:tcW w:w="1276" w:type="dxa"/>
          </w:tcPr>
          <w:p w14:paraId="0C67AFFD" w14:textId="77777777" w:rsidR="00F802C1" w:rsidRDefault="00F802C1" w:rsidP="00AF288C">
            <w:r>
              <w:t>-7930</w:t>
            </w:r>
          </w:p>
        </w:tc>
      </w:tr>
      <w:tr w:rsidR="00F802C1" w14:paraId="621662A2" w14:textId="77777777" w:rsidTr="006C0BEB">
        <w:tc>
          <w:tcPr>
            <w:tcW w:w="1271" w:type="dxa"/>
          </w:tcPr>
          <w:p w14:paraId="5A87B636" w14:textId="77777777" w:rsidR="00F802C1" w:rsidRDefault="007E166D" w:rsidP="00AF288C">
            <w:r>
              <w:t>G</w:t>
            </w:r>
            <w:r w:rsidR="00F802C1">
              <w:t>lycerol</w:t>
            </w:r>
          </w:p>
        </w:tc>
        <w:tc>
          <w:tcPr>
            <w:tcW w:w="1276" w:type="dxa"/>
          </w:tcPr>
          <w:p w14:paraId="23662E68" w14:textId="77777777" w:rsidR="00F802C1" w:rsidRDefault="00F802C1" w:rsidP="00AF288C">
            <w:r>
              <w:t>-66</w:t>
            </w:r>
          </w:p>
        </w:tc>
        <w:tc>
          <w:tcPr>
            <w:tcW w:w="1417" w:type="dxa"/>
          </w:tcPr>
          <w:p w14:paraId="220F033B" w14:textId="77777777" w:rsidR="00F802C1" w:rsidRDefault="00F802C1" w:rsidP="00AF288C">
            <w:r>
              <w:t>1.7</w:t>
            </w:r>
          </w:p>
        </w:tc>
        <w:tc>
          <w:tcPr>
            <w:tcW w:w="1276" w:type="dxa"/>
          </w:tcPr>
          <w:p w14:paraId="34FBB1CC" w14:textId="77777777" w:rsidR="00F802C1" w:rsidRDefault="00F802C1" w:rsidP="00AF288C">
            <w:r>
              <w:t>66</w:t>
            </w:r>
          </w:p>
        </w:tc>
        <w:tc>
          <w:tcPr>
            <w:tcW w:w="1276" w:type="dxa"/>
          </w:tcPr>
          <w:p w14:paraId="36E09DE6" w14:textId="77777777" w:rsidR="00F802C1" w:rsidRDefault="00F802C1" w:rsidP="00AF288C">
            <w:r>
              <w:t>-4520</w:t>
            </w:r>
          </w:p>
        </w:tc>
      </w:tr>
      <w:tr w:rsidR="00F802C1" w14:paraId="3ED77D1A" w14:textId="77777777" w:rsidTr="006C0BEB">
        <w:tc>
          <w:tcPr>
            <w:tcW w:w="1271" w:type="dxa"/>
          </w:tcPr>
          <w:p w14:paraId="0FD2D824" w14:textId="77777777" w:rsidR="00F802C1" w:rsidRDefault="007E166D" w:rsidP="00AF288C">
            <w:r>
              <w:t>S</w:t>
            </w:r>
            <w:r w:rsidR="00F802C1">
              <w:t>orbitol</w:t>
            </w:r>
          </w:p>
        </w:tc>
        <w:tc>
          <w:tcPr>
            <w:tcW w:w="1276" w:type="dxa"/>
          </w:tcPr>
          <w:p w14:paraId="26BA9726" w14:textId="77777777" w:rsidR="00F802C1" w:rsidRDefault="00F802C1" w:rsidP="00AF288C">
            <w:r>
              <w:t>-66</w:t>
            </w:r>
          </w:p>
        </w:tc>
        <w:tc>
          <w:tcPr>
            <w:tcW w:w="1417" w:type="dxa"/>
          </w:tcPr>
          <w:p w14:paraId="5F455DE0" w14:textId="77777777" w:rsidR="00F802C1" w:rsidRDefault="00F802C1" w:rsidP="00AF288C">
            <w:r>
              <w:t>2</w:t>
            </w:r>
          </w:p>
        </w:tc>
        <w:tc>
          <w:tcPr>
            <w:tcW w:w="1276" w:type="dxa"/>
          </w:tcPr>
          <w:p w14:paraId="032F48C0" w14:textId="77777777" w:rsidR="00F802C1" w:rsidRDefault="00F802C1" w:rsidP="00AF288C">
            <w:r>
              <w:t>66</w:t>
            </w:r>
          </w:p>
        </w:tc>
        <w:tc>
          <w:tcPr>
            <w:tcW w:w="1276" w:type="dxa"/>
          </w:tcPr>
          <w:p w14:paraId="48069038" w14:textId="77777777" w:rsidR="00F802C1" w:rsidRDefault="00F802C1" w:rsidP="00AF288C">
            <w:r>
              <w:t>-5330</w:t>
            </w:r>
          </w:p>
        </w:tc>
      </w:tr>
      <w:tr w:rsidR="00F802C1" w14:paraId="78F833F8" w14:textId="77777777" w:rsidTr="006C0BEB">
        <w:tc>
          <w:tcPr>
            <w:tcW w:w="1271" w:type="dxa"/>
          </w:tcPr>
          <w:p w14:paraId="6BE7273C" w14:textId="77777777" w:rsidR="00F802C1" w:rsidRDefault="007E166D" w:rsidP="00AF288C">
            <w:r>
              <w:t>S</w:t>
            </w:r>
            <w:r w:rsidR="00F802C1">
              <w:t>ucrose</w:t>
            </w:r>
          </w:p>
        </w:tc>
        <w:tc>
          <w:tcPr>
            <w:tcW w:w="1276" w:type="dxa"/>
          </w:tcPr>
          <w:p w14:paraId="1DD90C01" w14:textId="77777777" w:rsidR="00F802C1" w:rsidRDefault="00F802C1" w:rsidP="00AF288C">
            <w:r>
              <w:t>-66</w:t>
            </w:r>
          </w:p>
        </w:tc>
        <w:tc>
          <w:tcPr>
            <w:tcW w:w="1417" w:type="dxa"/>
          </w:tcPr>
          <w:p w14:paraId="2AAE48B9" w14:textId="77777777" w:rsidR="00F802C1" w:rsidRDefault="00F802C1" w:rsidP="00AF288C">
            <w:r>
              <w:t>2.3</w:t>
            </w:r>
          </w:p>
        </w:tc>
        <w:tc>
          <w:tcPr>
            <w:tcW w:w="1276" w:type="dxa"/>
          </w:tcPr>
          <w:p w14:paraId="7B28AA2F" w14:textId="77777777" w:rsidR="00F802C1" w:rsidRDefault="00F802C1" w:rsidP="00AF288C">
            <w:r>
              <w:t>66</w:t>
            </w:r>
          </w:p>
        </w:tc>
        <w:tc>
          <w:tcPr>
            <w:tcW w:w="1276" w:type="dxa"/>
          </w:tcPr>
          <w:p w14:paraId="6215CA21" w14:textId="77777777" w:rsidR="00F802C1" w:rsidRDefault="00F802C1" w:rsidP="00AF288C">
            <w:r>
              <w:t>-6140</w:t>
            </w:r>
          </w:p>
        </w:tc>
      </w:tr>
      <w:tr w:rsidR="00F802C1" w14:paraId="4D154E9D" w14:textId="77777777" w:rsidTr="006C0BEB">
        <w:tc>
          <w:tcPr>
            <w:tcW w:w="1271" w:type="dxa"/>
          </w:tcPr>
          <w:p w14:paraId="64EEA515" w14:textId="77777777" w:rsidR="00F802C1" w:rsidRDefault="00F802C1" w:rsidP="00AF288C">
            <w:r>
              <w:t>K</w:t>
            </w:r>
            <w:r w:rsidRPr="00F802C1">
              <w:rPr>
                <w:vertAlign w:val="subscript"/>
              </w:rPr>
              <w:t>2</w:t>
            </w:r>
            <w:r>
              <w:t>SO</w:t>
            </w:r>
            <w:r w:rsidRPr="00F802C1">
              <w:rPr>
                <w:vertAlign w:val="subscript"/>
              </w:rPr>
              <w:t>4</w:t>
            </w:r>
          </w:p>
        </w:tc>
        <w:tc>
          <w:tcPr>
            <w:tcW w:w="1276" w:type="dxa"/>
          </w:tcPr>
          <w:p w14:paraId="323FF75D" w14:textId="77777777" w:rsidR="00F802C1" w:rsidRDefault="00F802C1" w:rsidP="00AF288C">
            <w:r>
              <w:t>-66</w:t>
            </w:r>
          </w:p>
        </w:tc>
        <w:tc>
          <w:tcPr>
            <w:tcW w:w="1417" w:type="dxa"/>
          </w:tcPr>
          <w:p w14:paraId="5B01715E" w14:textId="77777777" w:rsidR="00F802C1" w:rsidRDefault="00F802C1" w:rsidP="00AF288C">
            <w:r>
              <w:t>4.1</w:t>
            </w:r>
          </w:p>
        </w:tc>
        <w:tc>
          <w:tcPr>
            <w:tcW w:w="1276" w:type="dxa"/>
          </w:tcPr>
          <w:p w14:paraId="61670108" w14:textId="77777777" w:rsidR="00F802C1" w:rsidRDefault="00F802C1" w:rsidP="00AF288C">
            <w:r>
              <w:t>66</w:t>
            </w:r>
          </w:p>
        </w:tc>
        <w:tc>
          <w:tcPr>
            <w:tcW w:w="1276" w:type="dxa"/>
          </w:tcPr>
          <w:p w14:paraId="479F8099" w14:textId="77777777" w:rsidR="00F802C1" w:rsidRDefault="007E166D" w:rsidP="00AF288C">
            <w:r>
              <w:t>-3670</w:t>
            </w:r>
            <w:r w:rsidRPr="007E166D">
              <w:rPr>
                <w:vertAlign w:val="superscript"/>
              </w:rPr>
              <w:t>a</w:t>
            </w:r>
          </w:p>
        </w:tc>
      </w:tr>
      <w:tr w:rsidR="00F802C1" w14:paraId="4FD2D09F" w14:textId="77777777" w:rsidTr="006C0BEB">
        <w:tc>
          <w:tcPr>
            <w:tcW w:w="1271" w:type="dxa"/>
          </w:tcPr>
          <w:p w14:paraId="4575BF7E" w14:textId="77777777" w:rsidR="00F802C1" w:rsidRDefault="007E166D" w:rsidP="00AF288C">
            <w:r>
              <w:t>U</w:t>
            </w:r>
            <w:r w:rsidR="00F802C1">
              <w:t>rea</w:t>
            </w:r>
          </w:p>
        </w:tc>
        <w:tc>
          <w:tcPr>
            <w:tcW w:w="1276" w:type="dxa"/>
          </w:tcPr>
          <w:p w14:paraId="5140122C" w14:textId="77777777" w:rsidR="00F802C1" w:rsidRDefault="00F802C1" w:rsidP="00AF288C">
            <w:r>
              <w:t>-66</w:t>
            </w:r>
          </w:p>
        </w:tc>
        <w:tc>
          <w:tcPr>
            <w:tcW w:w="1417" w:type="dxa"/>
          </w:tcPr>
          <w:p w14:paraId="2206142D" w14:textId="77777777" w:rsidR="00F802C1" w:rsidRDefault="00F802C1" w:rsidP="00AF288C">
            <w:r>
              <w:t>-2.8</w:t>
            </w:r>
          </w:p>
        </w:tc>
        <w:tc>
          <w:tcPr>
            <w:tcW w:w="1276" w:type="dxa"/>
          </w:tcPr>
          <w:p w14:paraId="5E40D54B" w14:textId="77777777" w:rsidR="00F802C1" w:rsidRDefault="00F802C1" w:rsidP="00AF288C">
            <w:r>
              <w:t>66</w:t>
            </w:r>
          </w:p>
        </w:tc>
        <w:tc>
          <w:tcPr>
            <w:tcW w:w="1276" w:type="dxa"/>
          </w:tcPr>
          <w:p w14:paraId="78437B01" w14:textId="77777777" w:rsidR="00F802C1" w:rsidRDefault="007E166D" w:rsidP="00AF288C">
            <w:r>
              <w:t>7620</w:t>
            </w:r>
          </w:p>
        </w:tc>
      </w:tr>
      <w:tr w:rsidR="00F802C1" w14:paraId="5251831F" w14:textId="77777777" w:rsidTr="006C0BEB">
        <w:tc>
          <w:tcPr>
            <w:tcW w:w="1271" w:type="dxa"/>
          </w:tcPr>
          <w:p w14:paraId="659A35F5" w14:textId="77777777" w:rsidR="00F802C1" w:rsidRDefault="00F802C1" w:rsidP="00AF288C">
            <w:r>
              <w:t>CaCl</w:t>
            </w:r>
            <w:r w:rsidRPr="00F802C1">
              <w:rPr>
                <w:vertAlign w:val="subscript"/>
              </w:rPr>
              <w:t>2</w:t>
            </w:r>
          </w:p>
        </w:tc>
        <w:tc>
          <w:tcPr>
            <w:tcW w:w="1276" w:type="dxa"/>
          </w:tcPr>
          <w:p w14:paraId="6814DBCE" w14:textId="77777777" w:rsidR="00F802C1" w:rsidRDefault="00F802C1" w:rsidP="00AF288C">
            <w:r>
              <w:t>-66</w:t>
            </w:r>
          </w:p>
        </w:tc>
        <w:tc>
          <w:tcPr>
            <w:tcW w:w="1417" w:type="dxa"/>
          </w:tcPr>
          <w:p w14:paraId="03416BF2" w14:textId="77777777" w:rsidR="00F802C1" w:rsidRDefault="00F802C1" w:rsidP="00AF288C">
            <w:r>
              <w:t>-1</w:t>
            </w:r>
          </w:p>
        </w:tc>
        <w:tc>
          <w:tcPr>
            <w:tcW w:w="1276" w:type="dxa"/>
          </w:tcPr>
          <w:p w14:paraId="7FD6CAEC" w14:textId="77777777" w:rsidR="00F802C1" w:rsidRDefault="00F802C1" w:rsidP="00AF288C">
            <w:r>
              <w:t>66</w:t>
            </w:r>
          </w:p>
        </w:tc>
        <w:tc>
          <w:tcPr>
            <w:tcW w:w="1276" w:type="dxa"/>
          </w:tcPr>
          <w:p w14:paraId="6E33BFC9" w14:textId="77777777" w:rsidR="00F802C1" w:rsidRDefault="007E166D" w:rsidP="00AF288C">
            <w:r>
              <w:t>920</w:t>
            </w:r>
            <w:r w:rsidRPr="007E166D">
              <w:rPr>
                <w:vertAlign w:val="superscript"/>
              </w:rPr>
              <w:t>a</w:t>
            </w:r>
          </w:p>
        </w:tc>
      </w:tr>
    </w:tbl>
    <w:p w14:paraId="1C2014E8" w14:textId="77777777" w:rsidR="007E166D" w:rsidRDefault="007E166D" w:rsidP="00AF288C">
      <w:pPr>
        <w:rPr>
          <w:vertAlign w:val="superscript"/>
        </w:rPr>
      </w:pPr>
    </w:p>
    <w:p w14:paraId="15CEB730" w14:textId="77777777" w:rsidR="00F802C1" w:rsidRPr="005401B6" w:rsidRDefault="007E166D" w:rsidP="00AF288C">
      <w:r>
        <w:rPr>
          <w:b/>
        </w:rPr>
        <w:t>Table 1.</w:t>
      </w:r>
      <w:r>
        <w:t xml:space="preserve"> Pressure denaturation of Snase </w:t>
      </w:r>
      <w:r w:rsidR="00C75D16">
        <w:t xml:space="preserve">A </w:t>
      </w:r>
      <w:r>
        <w:t xml:space="preserve">in the presence of </w:t>
      </w:r>
      <w:r w:rsidR="00D509A4">
        <w:t xml:space="preserve">various osmolytes and chaotropes. </w:t>
      </w:r>
      <w:r>
        <w:t xml:space="preserve">Experimental data have been taken from </w:t>
      </w:r>
      <w:r w:rsidR="00B86009">
        <w:t xml:space="preserve">Herberhold and Winter (2002) and </w:t>
      </w:r>
      <w:r w:rsidR="00B86009" w:rsidRPr="00993098">
        <w:t>Krywka</w:t>
      </w:r>
      <w:r w:rsidR="00B86009">
        <w:t xml:space="preserve"> et al. (2008)</w:t>
      </w:r>
      <w:r>
        <w:t>. T</w:t>
      </w:r>
      <w:r w:rsidR="00D509A4">
        <w:t>he t</w:t>
      </w:r>
      <w:r>
        <w:t>emperature</w:t>
      </w:r>
      <w:r w:rsidR="00D509A4">
        <w:t xml:space="preserve"> was fixed at</w:t>
      </w:r>
      <w:r>
        <w:t xml:space="preserve"> 25 </w:t>
      </w:r>
      <w:r w:rsidRPr="007E166D">
        <w:rPr>
          <w:vertAlign w:val="superscript"/>
        </w:rPr>
        <w:t>o</w:t>
      </w:r>
      <w:r>
        <w:t xml:space="preserve">C, except for TMAO (21 </w:t>
      </w:r>
      <w:r w:rsidRPr="007E166D">
        <w:rPr>
          <w:vertAlign w:val="superscript"/>
        </w:rPr>
        <w:t>o</w:t>
      </w:r>
      <w:r>
        <w:t xml:space="preserve">C). </w:t>
      </w:r>
      <w:r w:rsidRPr="007E166D">
        <w:rPr>
          <w:vertAlign w:val="superscript"/>
        </w:rPr>
        <w:t>a</w:t>
      </w:r>
      <w:r>
        <w:t>Per ion</w:t>
      </w:r>
      <w:r w:rsidRPr="006607C3">
        <w:t xml:space="preserve">. </w:t>
      </w:r>
      <w:r w:rsidR="00D509A4" w:rsidRPr="006607C3">
        <w:t>The volume decrease on denaturation corresponds to approximately four water molecules.</w:t>
      </w:r>
      <w:r w:rsidR="00C75D16" w:rsidRPr="006607C3">
        <w:t xml:space="preserve"> Glycerol did not display linear behavior even at low concentrations and so this result should be considered approximate.</w:t>
      </w:r>
    </w:p>
    <w:p w14:paraId="36567B0A" w14:textId="77777777" w:rsidR="00B05092" w:rsidRDefault="007347E0" w:rsidP="00406A57">
      <w:r>
        <w:tab/>
      </w:r>
    </w:p>
    <w:sectPr w:rsidR="00B0509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B6DD6" w14:textId="77777777" w:rsidR="00C00388" w:rsidRDefault="00C00388" w:rsidP="0058146D">
      <w:pPr>
        <w:spacing w:after="0" w:line="240" w:lineRule="auto"/>
      </w:pPr>
      <w:r>
        <w:separator/>
      </w:r>
    </w:p>
  </w:endnote>
  <w:endnote w:type="continuationSeparator" w:id="0">
    <w:p w14:paraId="0625E1D3" w14:textId="77777777" w:rsidR="00C00388" w:rsidRDefault="00C00388" w:rsidP="0058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098638"/>
      <w:docPartObj>
        <w:docPartGallery w:val="Page Numbers (Bottom of Page)"/>
        <w:docPartUnique/>
      </w:docPartObj>
    </w:sdtPr>
    <w:sdtEndPr>
      <w:rPr>
        <w:noProof/>
      </w:rPr>
    </w:sdtEndPr>
    <w:sdtContent>
      <w:p w14:paraId="1DBA5360" w14:textId="668C04B2" w:rsidR="00B23C7B" w:rsidRDefault="00B23C7B">
        <w:pPr>
          <w:pStyle w:val="Footer"/>
          <w:jc w:val="center"/>
        </w:pPr>
        <w:r>
          <w:fldChar w:fldCharType="begin"/>
        </w:r>
        <w:r>
          <w:instrText xml:space="preserve"> PAGE   \* MERGEFORMAT </w:instrText>
        </w:r>
        <w:r>
          <w:fldChar w:fldCharType="separate"/>
        </w:r>
        <w:r w:rsidR="006B7D0C">
          <w:rPr>
            <w:noProof/>
          </w:rPr>
          <w:t>1</w:t>
        </w:r>
        <w:r>
          <w:rPr>
            <w:noProof/>
          </w:rPr>
          <w:fldChar w:fldCharType="end"/>
        </w:r>
      </w:p>
    </w:sdtContent>
  </w:sdt>
  <w:p w14:paraId="101D54BB" w14:textId="77777777" w:rsidR="00B23C7B" w:rsidRDefault="00B23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0DDB0" w14:textId="77777777" w:rsidR="00C00388" w:rsidRDefault="00C00388" w:rsidP="0058146D">
      <w:pPr>
        <w:spacing w:after="0" w:line="240" w:lineRule="auto"/>
      </w:pPr>
      <w:r>
        <w:separator/>
      </w:r>
    </w:p>
  </w:footnote>
  <w:footnote w:type="continuationSeparator" w:id="0">
    <w:p w14:paraId="4389803A" w14:textId="77777777" w:rsidR="00C00388" w:rsidRDefault="00C00388" w:rsidP="00581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7109"/>
    <w:multiLevelType w:val="hybridMultilevel"/>
    <w:tmpl w:val="19D41842"/>
    <w:lvl w:ilvl="0" w:tplc="3F228FD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7D01"/>
    <w:multiLevelType w:val="hybridMultilevel"/>
    <w:tmpl w:val="C9626E08"/>
    <w:lvl w:ilvl="0" w:tplc="967EF7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CFD3ED2"/>
    <w:multiLevelType w:val="hybridMultilevel"/>
    <w:tmpl w:val="0E4CD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5E2150"/>
    <w:multiLevelType w:val="hybridMultilevel"/>
    <w:tmpl w:val="737AA036"/>
    <w:lvl w:ilvl="0" w:tplc="4AECC170">
      <w:start w:val="1"/>
      <w:numFmt w:val="decimal"/>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6874E2E"/>
    <w:multiLevelType w:val="hybridMultilevel"/>
    <w:tmpl w:val="DFC4270C"/>
    <w:lvl w:ilvl="0" w:tplc="6AB63D7E">
      <w:start w:val="1"/>
      <w:numFmt w:val="decimal"/>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E8513C"/>
    <w:multiLevelType w:val="hybridMultilevel"/>
    <w:tmpl w:val="5762A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FE1C6F"/>
    <w:multiLevelType w:val="hybridMultilevel"/>
    <w:tmpl w:val="0860B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3C4781"/>
    <w:multiLevelType w:val="hybridMultilevel"/>
    <w:tmpl w:val="66CE5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4B421A"/>
    <w:multiLevelType w:val="hybridMultilevel"/>
    <w:tmpl w:val="D9CE30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C55234"/>
    <w:multiLevelType w:val="hybridMultilevel"/>
    <w:tmpl w:val="3C982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7"/>
  </w:num>
  <w:num w:numId="5">
    <w:abstractNumId w:val="0"/>
  </w:num>
  <w:num w:numId="6">
    <w:abstractNumId w:val="9"/>
  </w:num>
  <w:num w:numId="7">
    <w:abstractNumId w:val="3"/>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F2"/>
    <w:rsid w:val="0000002D"/>
    <w:rsid w:val="000000B8"/>
    <w:rsid w:val="0000058F"/>
    <w:rsid w:val="000005DC"/>
    <w:rsid w:val="00000938"/>
    <w:rsid w:val="00000B3A"/>
    <w:rsid w:val="00001621"/>
    <w:rsid w:val="00001DCC"/>
    <w:rsid w:val="00001DFE"/>
    <w:rsid w:val="0000203C"/>
    <w:rsid w:val="000020C5"/>
    <w:rsid w:val="0000211E"/>
    <w:rsid w:val="00002318"/>
    <w:rsid w:val="0000256F"/>
    <w:rsid w:val="000025DA"/>
    <w:rsid w:val="00002B38"/>
    <w:rsid w:val="00002B99"/>
    <w:rsid w:val="00003571"/>
    <w:rsid w:val="00003A32"/>
    <w:rsid w:val="00003B9E"/>
    <w:rsid w:val="0000461E"/>
    <w:rsid w:val="00004C75"/>
    <w:rsid w:val="00005062"/>
    <w:rsid w:val="000050C9"/>
    <w:rsid w:val="00005BFF"/>
    <w:rsid w:val="0000606A"/>
    <w:rsid w:val="0000632B"/>
    <w:rsid w:val="0000665C"/>
    <w:rsid w:val="00006BE2"/>
    <w:rsid w:val="00006D5E"/>
    <w:rsid w:val="0000756F"/>
    <w:rsid w:val="000076F0"/>
    <w:rsid w:val="000079D3"/>
    <w:rsid w:val="00007BB8"/>
    <w:rsid w:val="00007BBA"/>
    <w:rsid w:val="00007C9B"/>
    <w:rsid w:val="00007E1E"/>
    <w:rsid w:val="00007E9D"/>
    <w:rsid w:val="000103D5"/>
    <w:rsid w:val="00010BEF"/>
    <w:rsid w:val="00011070"/>
    <w:rsid w:val="000111DA"/>
    <w:rsid w:val="000119F4"/>
    <w:rsid w:val="00011A09"/>
    <w:rsid w:val="00011B44"/>
    <w:rsid w:val="00011F90"/>
    <w:rsid w:val="00012080"/>
    <w:rsid w:val="0001221A"/>
    <w:rsid w:val="00012248"/>
    <w:rsid w:val="00012EA0"/>
    <w:rsid w:val="00013021"/>
    <w:rsid w:val="000130E5"/>
    <w:rsid w:val="00013BBB"/>
    <w:rsid w:val="00013CDE"/>
    <w:rsid w:val="00013E50"/>
    <w:rsid w:val="00014274"/>
    <w:rsid w:val="00014300"/>
    <w:rsid w:val="0001449B"/>
    <w:rsid w:val="000149D6"/>
    <w:rsid w:val="00014BF8"/>
    <w:rsid w:val="000153D8"/>
    <w:rsid w:val="0001548C"/>
    <w:rsid w:val="00015601"/>
    <w:rsid w:val="00015986"/>
    <w:rsid w:val="00015BB1"/>
    <w:rsid w:val="00015E83"/>
    <w:rsid w:val="00015F47"/>
    <w:rsid w:val="00015FA3"/>
    <w:rsid w:val="0001619A"/>
    <w:rsid w:val="00016299"/>
    <w:rsid w:val="00016FC0"/>
    <w:rsid w:val="00017727"/>
    <w:rsid w:val="00017D19"/>
    <w:rsid w:val="00017E27"/>
    <w:rsid w:val="00017FE2"/>
    <w:rsid w:val="0002029A"/>
    <w:rsid w:val="00020474"/>
    <w:rsid w:val="00020B30"/>
    <w:rsid w:val="00021452"/>
    <w:rsid w:val="00021667"/>
    <w:rsid w:val="000217CA"/>
    <w:rsid w:val="0002190F"/>
    <w:rsid w:val="00021A26"/>
    <w:rsid w:val="00021A6D"/>
    <w:rsid w:val="000221FE"/>
    <w:rsid w:val="00022293"/>
    <w:rsid w:val="00022303"/>
    <w:rsid w:val="00022309"/>
    <w:rsid w:val="00022502"/>
    <w:rsid w:val="000227FE"/>
    <w:rsid w:val="0002286F"/>
    <w:rsid w:val="0002297D"/>
    <w:rsid w:val="00022D4E"/>
    <w:rsid w:val="00022E30"/>
    <w:rsid w:val="00022E5A"/>
    <w:rsid w:val="0002354D"/>
    <w:rsid w:val="00023A8D"/>
    <w:rsid w:val="0002438D"/>
    <w:rsid w:val="00024AA9"/>
    <w:rsid w:val="00024CFC"/>
    <w:rsid w:val="00025197"/>
    <w:rsid w:val="000251FB"/>
    <w:rsid w:val="00025523"/>
    <w:rsid w:val="000256A5"/>
    <w:rsid w:val="0002570C"/>
    <w:rsid w:val="00025B59"/>
    <w:rsid w:val="00026260"/>
    <w:rsid w:val="000262BC"/>
    <w:rsid w:val="00026591"/>
    <w:rsid w:val="00026795"/>
    <w:rsid w:val="000267C3"/>
    <w:rsid w:val="00027294"/>
    <w:rsid w:val="0002773F"/>
    <w:rsid w:val="000303BD"/>
    <w:rsid w:val="00030AC5"/>
    <w:rsid w:val="00031620"/>
    <w:rsid w:val="0003186D"/>
    <w:rsid w:val="000319DE"/>
    <w:rsid w:val="00031F15"/>
    <w:rsid w:val="000326FA"/>
    <w:rsid w:val="00032A89"/>
    <w:rsid w:val="00032BDF"/>
    <w:rsid w:val="0003339A"/>
    <w:rsid w:val="000335CE"/>
    <w:rsid w:val="00033C6C"/>
    <w:rsid w:val="00033CEA"/>
    <w:rsid w:val="000344F4"/>
    <w:rsid w:val="000345DB"/>
    <w:rsid w:val="0003461E"/>
    <w:rsid w:val="000349AB"/>
    <w:rsid w:val="00034A8D"/>
    <w:rsid w:val="00035060"/>
    <w:rsid w:val="00035B75"/>
    <w:rsid w:val="00035C0C"/>
    <w:rsid w:val="00036183"/>
    <w:rsid w:val="00036491"/>
    <w:rsid w:val="00037467"/>
    <w:rsid w:val="00037C42"/>
    <w:rsid w:val="00037D0B"/>
    <w:rsid w:val="0004016C"/>
    <w:rsid w:val="0004018A"/>
    <w:rsid w:val="00040398"/>
    <w:rsid w:val="0004056E"/>
    <w:rsid w:val="00040821"/>
    <w:rsid w:val="00040892"/>
    <w:rsid w:val="00040C88"/>
    <w:rsid w:val="00040C8B"/>
    <w:rsid w:val="0004171E"/>
    <w:rsid w:val="000418F0"/>
    <w:rsid w:val="00041A1F"/>
    <w:rsid w:val="00041FAF"/>
    <w:rsid w:val="00042589"/>
    <w:rsid w:val="00042CD1"/>
    <w:rsid w:val="00042EAC"/>
    <w:rsid w:val="00042F77"/>
    <w:rsid w:val="0004320F"/>
    <w:rsid w:val="00043C03"/>
    <w:rsid w:val="000441D9"/>
    <w:rsid w:val="00044454"/>
    <w:rsid w:val="00044862"/>
    <w:rsid w:val="00044A35"/>
    <w:rsid w:val="00044F00"/>
    <w:rsid w:val="0004549B"/>
    <w:rsid w:val="00045835"/>
    <w:rsid w:val="00045AAE"/>
    <w:rsid w:val="00045F77"/>
    <w:rsid w:val="00046289"/>
    <w:rsid w:val="0004647A"/>
    <w:rsid w:val="00046E6C"/>
    <w:rsid w:val="000470CC"/>
    <w:rsid w:val="00047168"/>
    <w:rsid w:val="00047E2E"/>
    <w:rsid w:val="00050018"/>
    <w:rsid w:val="000503A6"/>
    <w:rsid w:val="000506B1"/>
    <w:rsid w:val="000508BE"/>
    <w:rsid w:val="0005098B"/>
    <w:rsid w:val="00050A1D"/>
    <w:rsid w:val="00050B02"/>
    <w:rsid w:val="00050B19"/>
    <w:rsid w:val="00050C53"/>
    <w:rsid w:val="00050EB5"/>
    <w:rsid w:val="00051132"/>
    <w:rsid w:val="000511E3"/>
    <w:rsid w:val="00051472"/>
    <w:rsid w:val="000517CB"/>
    <w:rsid w:val="00051CD4"/>
    <w:rsid w:val="00051EB9"/>
    <w:rsid w:val="000526C1"/>
    <w:rsid w:val="0005270F"/>
    <w:rsid w:val="00052AA8"/>
    <w:rsid w:val="00052FE5"/>
    <w:rsid w:val="000531C4"/>
    <w:rsid w:val="00053392"/>
    <w:rsid w:val="000534A2"/>
    <w:rsid w:val="000537E0"/>
    <w:rsid w:val="00053F8D"/>
    <w:rsid w:val="00053FD9"/>
    <w:rsid w:val="00054143"/>
    <w:rsid w:val="000549CE"/>
    <w:rsid w:val="00054C33"/>
    <w:rsid w:val="0005509F"/>
    <w:rsid w:val="000550BD"/>
    <w:rsid w:val="00055618"/>
    <w:rsid w:val="00055A66"/>
    <w:rsid w:val="00056216"/>
    <w:rsid w:val="00056732"/>
    <w:rsid w:val="00056754"/>
    <w:rsid w:val="00056B3C"/>
    <w:rsid w:val="00056E50"/>
    <w:rsid w:val="00057C2A"/>
    <w:rsid w:val="000602F8"/>
    <w:rsid w:val="000604FF"/>
    <w:rsid w:val="00060872"/>
    <w:rsid w:val="000608BD"/>
    <w:rsid w:val="000614F6"/>
    <w:rsid w:val="000620E1"/>
    <w:rsid w:val="00062197"/>
    <w:rsid w:val="0006249D"/>
    <w:rsid w:val="000624D3"/>
    <w:rsid w:val="0006251D"/>
    <w:rsid w:val="00062790"/>
    <w:rsid w:val="000627CA"/>
    <w:rsid w:val="00062815"/>
    <w:rsid w:val="00062A91"/>
    <w:rsid w:val="0006310B"/>
    <w:rsid w:val="00063242"/>
    <w:rsid w:val="000635BB"/>
    <w:rsid w:val="00063C5C"/>
    <w:rsid w:val="000642BD"/>
    <w:rsid w:val="00064822"/>
    <w:rsid w:val="000649F9"/>
    <w:rsid w:val="00064AC6"/>
    <w:rsid w:val="00064CBE"/>
    <w:rsid w:val="00064DB0"/>
    <w:rsid w:val="00064E71"/>
    <w:rsid w:val="00065255"/>
    <w:rsid w:val="0006586B"/>
    <w:rsid w:val="00065CD4"/>
    <w:rsid w:val="00065E05"/>
    <w:rsid w:val="000662C2"/>
    <w:rsid w:val="0006668E"/>
    <w:rsid w:val="00066748"/>
    <w:rsid w:val="00066C70"/>
    <w:rsid w:val="00066EA6"/>
    <w:rsid w:val="000670EC"/>
    <w:rsid w:val="0006793B"/>
    <w:rsid w:val="00067A12"/>
    <w:rsid w:val="0007002B"/>
    <w:rsid w:val="000701FD"/>
    <w:rsid w:val="0007086A"/>
    <w:rsid w:val="00070E96"/>
    <w:rsid w:val="0007155F"/>
    <w:rsid w:val="00071B60"/>
    <w:rsid w:val="00071C13"/>
    <w:rsid w:val="00071DD5"/>
    <w:rsid w:val="000722F0"/>
    <w:rsid w:val="00072313"/>
    <w:rsid w:val="00072314"/>
    <w:rsid w:val="00072527"/>
    <w:rsid w:val="000728FA"/>
    <w:rsid w:val="00072B59"/>
    <w:rsid w:val="00072D25"/>
    <w:rsid w:val="0007322B"/>
    <w:rsid w:val="00073795"/>
    <w:rsid w:val="00073890"/>
    <w:rsid w:val="000738EA"/>
    <w:rsid w:val="000743E6"/>
    <w:rsid w:val="000745C2"/>
    <w:rsid w:val="0007488D"/>
    <w:rsid w:val="0007497C"/>
    <w:rsid w:val="00074BA6"/>
    <w:rsid w:val="00074F0A"/>
    <w:rsid w:val="000750B6"/>
    <w:rsid w:val="0007511E"/>
    <w:rsid w:val="000757EE"/>
    <w:rsid w:val="00075877"/>
    <w:rsid w:val="00075DB1"/>
    <w:rsid w:val="00075F04"/>
    <w:rsid w:val="00076077"/>
    <w:rsid w:val="000766D6"/>
    <w:rsid w:val="000769AE"/>
    <w:rsid w:val="00076F7E"/>
    <w:rsid w:val="00077048"/>
    <w:rsid w:val="000770FF"/>
    <w:rsid w:val="00077552"/>
    <w:rsid w:val="0007797C"/>
    <w:rsid w:val="00077B7A"/>
    <w:rsid w:val="000806BE"/>
    <w:rsid w:val="00080C01"/>
    <w:rsid w:val="000810DF"/>
    <w:rsid w:val="00081127"/>
    <w:rsid w:val="00081D27"/>
    <w:rsid w:val="000820C8"/>
    <w:rsid w:val="00082E81"/>
    <w:rsid w:val="00083258"/>
    <w:rsid w:val="00083397"/>
    <w:rsid w:val="0008349D"/>
    <w:rsid w:val="00083680"/>
    <w:rsid w:val="00083B87"/>
    <w:rsid w:val="00083C08"/>
    <w:rsid w:val="00083CC5"/>
    <w:rsid w:val="000841C3"/>
    <w:rsid w:val="0008420D"/>
    <w:rsid w:val="00084272"/>
    <w:rsid w:val="00084BFE"/>
    <w:rsid w:val="000852CB"/>
    <w:rsid w:val="00085582"/>
    <w:rsid w:val="000858C8"/>
    <w:rsid w:val="000864F0"/>
    <w:rsid w:val="000866B2"/>
    <w:rsid w:val="00086A46"/>
    <w:rsid w:val="00086AC6"/>
    <w:rsid w:val="00086DFA"/>
    <w:rsid w:val="00086F17"/>
    <w:rsid w:val="00086FA7"/>
    <w:rsid w:val="0008701E"/>
    <w:rsid w:val="000873D5"/>
    <w:rsid w:val="00090045"/>
    <w:rsid w:val="0009041E"/>
    <w:rsid w:val="00090A75"/>
    <w:rsid w:val="00090B19"/>
    <w:rsid w:val="00090CBD"/>
    <w:rsid w:val="00091033"/>
    <w:rsid w:val="00091696"/>
    <w:rsid w:val="00091A6E"/>
    <w:rsid w:val="00091B3F"/>
    <w:rsid w:val="00091F05"/>
    <w:rsid w:val="0009283B"/>
    <w:rsid w:val="00092C8E"/>
    <w:rsid w:val="00093A0E"/>
    <w:rsid w:val="00094329"/>
    <w:rsid w:val="00094CF9"/>
    <w:rsid w:val="00095F72"/>
    <w:rsid w:val="00096286"/>
    <w:rsid w:val="00096407"/>
    <w:rsid w:val="000967FC"/>
    <w:rsid w:val="00096C77"/>
    <w:rsid w:val="00096DAB"/>
    <w:rsid w:val="000971F0"/>
    <w:rsid w:val="000973FF"/>
    <w:rsid w:val="000977EA"/>
    <w:rsid w:val="00097DAB"/>
    <w:rsid w:val="000A028E"/>
    <w:rsid w:val="000A0297"/>
    <w:rsid w:val="000A0600"/>
    <w:rsid w:val="000A0DC2"/>
    <w:rsid w:val="000A12B1"/>
    <w:rsid w:val="000A1474"/>
    <w:rsid w:val="000A149F"/>
    <w:rsid w:val="000A1651"/>
    <w:rsid w:val="000A17D6"/>
    <w:rsid w:val="000A2B0F"/>
    <w:rsid w:val="000A2EDB"/>
    <w:rsid w:val="000A3145"/>
    <w:rsid w:val="000A367F"/>
    <w:rsid w:val="000A38CD"/>
    <w:rsid w:val="000A3BD6"/>
    <w:rsid w:val="000A3D08"/>
    <w:rsid w:val="000A3D78"/>
    <w:rsid w:val="000A40B2"/>
    <w:rsid w:val="000A4353"/>
    <w:rsid w:val="000A450A"/>
    <w:rsid w:val="000A4683"/>
    <w:rsid w:val="000A4733"/>
    <w:rsid w:val="000A4B78"/>
    <w:rsid w:val="000A5047"/>
    <w:rsid w:val="000A5141"/>
    <w:rsid w:val="000A5568"/>
    <w:rsid w:val="000A5906"/>
    <w:rsid w:val="000A652E"/>
    <w:rsid w:val="000A65EC"/>
    <w:rsid w:val="000A699E"/>
    <w:rsid w:val="000A6F45"/>
    <w:rsid w:val="000A7A55"/>
    <w:rsid w:val="000A7AD1"/>
    <w:rsid w:val="000A7ADB"/>
    <w:rsid w:val="000A7CF4"/>
    <w:rsid w:val="000A7EE4"/>
    <w:rsid w:val="000B0290"/>
    <w:rsid w:val="000B0791"/>
    <w:rsid w:val="000B0E70"/>
    <w:rsid w:val="000B1BF7"/>
    <w:rsid w:val="000B212B"/>
    <w:rsid w:val="000B2785"/>
    <w:rsid w:val="000B27A5"/>
    <w:rsid w:val="000B2ADF"/>
    <w:rsid w:val="000B2E8F"/>
    <w:rsid w:val="000B3111"/>
    <w:rsid w:val="000B314C"/>
    <w:rsid w:val="000B33D0"/>
    <w:rsid w:val="000B383B"/>
    <w:rsid w:val="000B3AFF"/>
    <w:rsid w:val="000B3DE1"/>
    <w:rsid w:val="000B4270"/>
    <w:rsid w:val="000B4304"/>
    <w:rsid w:val="000B45E9"/>
    <w:rsid w:val="000B45F2"/>
    <w:rsid w:val="000B481C"/>
    <w:rsid w:val="000B4879"/>
    <w:rsid w:val="000B4BA5"/>
    <w:rsid w:val="000B5171"/>
    <w:rsid w:val="000B5E51"/>
    <w:rsid w:val="000B5F2F"/>
    <w:rsid w:val="000B624A"/>
    <w:rsid w:val="000B67C1"/>
    <w:rsid w:val="000B6CBE"/>
    <w:rsid w:val="000B6E84"/>
    <w:rsid w:val="000B7308"/>
    <w:rsid w:val="000B74D8"/>
    <w:rsid w:val="000B7906"/>
    <w:rsid w:val="000B7A84"/>
    <w:rsid w:val="000C0EE9"/>
    <w:rsid w:val="000C15AC"/>
    <w:rsid w:val="000C163B"/>
    <w:rsid w:val="000C1685"/>
    <w:rsid w:val="000C1BAF"/>
    <w:rsid w:val="000C1F07"/>
    <w:rsid w:val="000C1FB9"/>
    <w:rsid w:val="000C2167"/>
    <w:rsid w:val="000C27B9"/>
    <w:rsid w:val="000C2A86"/>
    <w:rsid w:val="000C355E"/>
    <w:rsid w:val="000C36BD"/>
    <w:rsid w:val="000C3766"/>
    <w:rsid w:val="000C3CD2"/>
    <w:rsid w:val="000C4543"/>
    <w:rsid w:val="000C5136"/>
    <w:rsid w:val="000C551A"/>
    <w:rsid w:val="000C5E64"/>
    <w:rsid w:val="000C6421"/>
    <w:rsid w:val="000C680E"/>
    <w:rsid w:val="000C6A97"/>
    <w:rsid w:val="000C7859"/>
    <w:rsid w:val="000D04F5"/>
    <w:rsid w:val="000D0760"/>
    <w:rsid w:val="000D0880"/>
    <w:rsid w:val="000D14AC"/>
    <w:rsid w:val="000D1AB3"/>
    <w:rsid w:val="000D1B6A"/>
    <w:rsid w:val="000D1EAF"/>
    <w:rsid w:val="000D1FC0"/>
    <w:rsid w:val="000D260C"/>
    <w:rsid w:val="000D265D"/>
    <w:rsid w:val="000D2714"/>
    <w:rsid w:val="000D2895"/>
    <w:rsid w:val="000D2EB6"/>
    <w:rsid w:val="000D2ED1"/>
    <w:rsid w:val="000D303F"/>
    <w:rsid w:val="000D3163"/>
    <w:rsid w:val="000D4678"/>
    <w:rsid w:val="000D4795"/>
    <w:rsid w:val="000D4A0E"/>
    <w:rsid w:val="000D4A12"/>
    <w:rsid w:val="000D4C5A"/>
    <w:rsid w:val="000D4D04"/>
    <w:rsid w:val="000D4D14"/>
    <w:rsid w:val="000D505E"/>
    <w:rsid w:val="000D566A"/>
    <w:rsid w:val="000D5790"/>
    <w:rsid w:val="000D57B3"/>
    <w:rsid w:val="000D5CB3"/>
    <w:rsid w:val="000D5DB8"/>
    <w:rsid w:val="000D5FF1"/>
    <w:rsid w:val="000D60AD"/>
    <w:rsid w:val="000D623C"/>
    <w:rsid w:val="000D632E"/>
    <w:rsid w:val="000D6497"/>
    <w:rsid w:val="000D67BD"/>
    <w:rsid w:val="000D7445"/>
    <w:rsid w:val="000D74E7"/>
    <w:rsid w:val="000D77A9"/>
    <w:rsid w:val="000D7B05"/>
    <w:rsid w:val="000D7E35"/>
    <w:rsid w:val="000D7F01"/>
    <w:rsid w:val="000E005F"/>
    <w:rsid w:val="000E02C6"/>
    <w:rsid w:val="000E02F8"/>
    <w:rsid w:val="000E0727"/>
    <w:rsid w:val="000E0935"/>
    <w:rsid w:val="000E0F49"/>
    <w:rsid w:val="000E1801"/>
    <w:rsid w:val="000E1813"/>
    <w:rsid w:val="000E187C"/>
    <w:rsid w:val="000E1EE9"/>
    <w:rsid w:val="000E273D"/>
    <w:rsid w:val="000E297E"/>
    <w:rsid w:val="000E2E08"/>
    <w:rsid w:val="000E2FA9"/>
    <w:rsid w:val="000E307E"/>
    <w:rsid w:val="000E318E"/>
    <w:rsid w:val="000E31D0"/>
    <w:rsid w:val="000E34D9"/>
    <w:rsid w:val="000E3644"/>
    <w:rsid w:val="000E3B23"/>
    <w:rsid w:val="000E3F5A"/>
    <w:rsid w:val="000E5252"/>
    <w:rsid w:val="000E53AF"/>
    <w:rsid w:val="000E56F6"/>
    <w:rsid w:val="000E5875"/>
    <w:rsid w:val="000E5900"/>
    <w:rsid w:val="000E59DB"/>
    <w:rsid w:val="000E6B9F"/>
    <w:rsid w:val="000E769E"/>
    <w:rsid w:val="000F0347"/>
    <w:rsid w:val="000F0442"/>
    <w:rsid w:val="000F0D89"/>
    <w:rsid w:val="000F1233"/>
    <w:rsid w:val="000F1E0E"/>
    <w:rsid w:val="000F20CA"/>
    <w:rsid w:val="000F29B6"/>
    <w:rsid w:val="000F2CF6"/>
    <w:rsid w:val="000F2F72"/>
    <w:rsid w:val="000F34F5"/>
    <w:rsid w:val="000F45A1"/>
    <w:rsid w:val="000F4793"/>
    <w:rsid w:val="000F4CAD"/>
    <w:rsid w:val="000F4DBA"/>
    <w:rsid w:val="000F5581"/>
    <w:rsid w:val="000F5983"/>
    <w:rsid w:val="000F5A6F"/>
    <w:rsid w:val="000F5C9D"/>
    <w:rsid w:val="000F5E25"/>
    <w:rsid w:val="000F5E63"/>
    <w:rsid w:val="000F5ED9"/>
    <w:rsid w:val="000F605A"/>
    <w:rsid w:val="000F6915"/>
    <w:rsid w:val="000F6D3A"/>
    <w:rsid w:val="000F72C8"/>
    <w:rsid w:val="000F7430"/>
    <w:rsid w:val="000F7582"/>
    <w:rsid w:val="000F7A6B"/>
    <w:rsid w:val="000F7E0A"/>
    <w:rsid w:val="0010001B"/>
    <w:rsid w:val="00100057"/>
    <w:rsid w:val="001001A0"/>
    <w:rsid w:val="00100C50"/>
    <w:rsid w:val="00100F6E"/>
    <w:rsid w:val="00100F73"/>
    <w:rsid w:val="00101072"/>
    <w:rsid w:val="001011D0"/>
    <w:rsid w:val="00101244"/>
    <w:rsid w:val="001012DC"/>
    <w:rsid w:val="001018B6"/>
    <w:rsid w:val="0010211B"/>
    <w:rsid w:val="001021AB"/>
    <w:rsid w:val="001030D2"/>
    <w:rsid w:val="00103164"/>
    <w:rsid w:val="001035FA"/>
    <w:rsid w:val="001038D9"/>
    <w:rsid w:val="00104124"/>
    <w:rsid w:val="0010494C"/>
    <w:rsid w:val="00104F27"/>
    <w:rsid w:val="001054DA"/>
    <w:rsid w:val="00105767"/>
    <w:rsid w:val="001061A4"/>
    <w:rsid w:val="001064BB"/>
    <w:rsid w:val="0010654E"/>
    <w:rsid w:val="00106BF2"/>
    <w:rsid w:val="00106D30"/>
    <w:rsid w:val="00106F25"/>
    <w:rsid w:val="00107060"/>
    <w:rsid w:val="0010753A"/>
    <w:rsid w:val="00107639"/>
    <w:rsid w:val="001077A2"/>
    <w:rsid w:val="00107BF0"/>
    <w:rsid w:val="00107C74"/>
    <w:rsid w:val="00107D81"/>
    <w:rsid w:val="00107DF5"/>
    <w:rsid w:val="001100E5"/>
    <w:rsid w:val="001103DF"/>
    <w:rsid w:val="00110AD7"/>
    <w:rsid w:val="00110C45"/>
    <w:rsid w:val="00111439"/>
    <w:rsid w:val="0011143A"/>
    <w:rsid w:val="00111730"/>
    <w:rsid w:val="001123C4"/>
    <w:rsid w:val="00112527"/>
    <w:rsid w:val="001127A8"/>
    <w:rsid w:val="00112925"/>
    <w:rsid w:val="00112CF4"/>
    <w:rsid w:val="00113A94"/>
    <w:rsid w:val="00113E52"/>
    <w:rsid w:val="00113EB1"/>
    <w:rsid w:val="00114040"/>
    <w:rsid w:val="00114E37"/>
    <w:rsid w:val="00114ECB"/>
    <w:rsid w:val="00115484"/>
    <w:rsid w:val="00115618"/>
    <w:rsid w:val="00115AAB"/>
    <w:rsid w:val="00115AB9"/>
    <w:rsid w:val="00115E0A"/>
    <w:rsid w:val="001163C1"/>
    <w:rsid w:val="00116F88"/>
    <w:rsid w:val="00117015"/>
    <w:rsid w:val="001170E2"/>
    <w:rsid w:val="001177A7"/>
    <w:rsid w:val="001177D6"/>
    <w:rsid w:val="00117897"/>
    <w:rsid w:val="00117931"/>
    <w:rsid w:val="001179A0"/>
    <w:rsid w:val="00117F83"/>
    <w:rsid w:val="00120017"/>
    <w:rsid w:val="00120BCC"/>
    <w:rsid w:val="001212FF"/>
    <w:rsid w:val="00121311"/>
    <w:rsid w:val="00121846"/>
    <w:rsid w:val="00121885"/>
    <w:rsid w:val="00121AAC"/>
    <w:rsid w:val="00122309"/>
    <w:rsid w:val="0012244A"/>
    <w:rsid w:val="00122621"/>
    <w:rsid w:val="001226C9"/>
    <w:rsid w:val="001229B5"/>
    <w:rsid w:val="001234A0"/>
    <w:rsid w:val="00123855"/>
    <w:rsid w:val="0012387A"/>
    <w:rsid w:val="0012392A"/>
    <w:rsid w:val="0012395D"/>
    <w:rsid w:val="001239A5"/>
    <w:rsid w:val="001239C1"/>
    <w:rsid w:val="00123C06"/>
    <w:rsid w:val="00123D6D"/>
    <w:rsid w:val="00124090"/>
    <w:rsid w:val="0012443A"/>
    <w:rsid w:val="001247D8"/>
    <w:rsid w:val="00124FD3"/>
    <w:rsid w:val="001250A2"/>
    <w:rsid w:val="00125795"/>
    <w:rsid w:val="00125E67"/>
    <w:rsid w:val="00125E7D"/>
    <w:rsid w:val="0012625C"/>
    <w:rsid w:val="001262BA"/>
    <w:rsid w:val="001268FA"/>
    <w:rsid w:val="00127058"/>
    <w:rsid w:val="00130124"/>
    <w:rsid w:val="00130193"/>
    <w:rsid w:val="0013053C"/>
    <w:rsid w:val="00130E80"/>
    <w:rsid w:val="00130F4E"/>
    <w:rsid w:val="00131321"/>
    <w:rsid w:val="001313B2"/>
    <w:rsid w:val="00131B22"/>
    <w:rsid w:val="00131F02"/>
    <w:rsid w:val="00131F83"/>
    <w:rsid w:val="00132632"/>
    <w:rsid w:val="001328ED"/>
    <w:rsid w:val="00132956"/>
    <w:rsid w:val="00132A2E"/>
    <w:rsid w:val="00132DC0"/>
    <w:rsid w:val="00132F55"/>
    <w:rsid w:val="001336A1"/>
    <w:rsid w:val="00133A54"/>
    <w:rsid w:val="00133BB0"/>
    <w:rsid w:val="00133D1B"/>
    <w:rsid w:val="00133E0D"/>
    <w:rsid w:val="00134011"/>
    <w:rsid w:val="001341BE"/>
    <w:rsid w:val="0013498C"/>
    <w:rsid w:val="00134E88"/>
    <w:rsid w:val="001355F1"/>
    <w:rsid w:val="00135786"/>
    <w:rsid w:val="001366E3"/>
    <w:rsid w:val="00136E0F"/>
    <w:rsid w:val="001374F1"/>
    <w:rsid w:val="001378B2"/>
    <w:rsid w:val="001378E3"/>
    <w:rsid w:val="001408F3"/>
    <w:rsid w:val="0014108F"/>
    <w:rsid w:val="001415D8"/>
    <w:rsid w:val="00141623"/>
    <w:rsid w:val="001417A7"/>
    <w:rsid w:val="00141F61"/>
    <w:rsid w:val="001423D9"/>
    <w:rsid w:val="0014258B"/>
    <w:rsid w:val="001428EE"/>
    <w:rsid w:val="00142E3F"/>
    <w:rsid w:val="00142F82"/>
    <w:rsid w:val="001434A2"/>
    <w:rsid w:val="001434D6"/>
    <w:rsid w:val="00143695"/>
    <w:rsid w:val="00143CF5"/>
    <w:rsid w:val="00143EE3"/>
    <w:rsid w:val="00144AE0"/>
    <w:rsid w:val="00144E9B"/>
    <w:rsid w:val="00145083"/>
    <w:rsid w:val="00145411"/>
    <w:rsid w:val="00145622"/>
    <w:rsid w:val="00145962"/>
    <w:rsid w:val="0014611A"/>
    <w:rsid w:val="00146235"/>
    <w:rsid w:val="00146894"/>
    <w:rsid w:val="00146C53"/>
    <w:rsid w:val="00147059"/>
    <w:rsid w:val="001474CB"/>
    <w:rsid w:val="00147757"/>
    <w:rsid w:val="00147C62"/>
    <w:rsid w:val="00150916"/>
    <w:rsid w:val="00150C12"/>
    <w:rsid w:val="00151042"/>
    <w:rsid w:val="00151051"/>
    <w:rsid w:val="001516C1"/>
    <w:rsid w:val="001519E5"/>
    <w:rsid w:val="001522C0"/>
    <w:rsid w:val="0015240B"/>
    <w:rsid w:val="001526B2"/>
    <w:rsid w:val="00152782"/>
    <w:rsid w:val="00152F29"/>
    <w:rsid w:val="001530E4"/>
    <w:rsid w:val="00153254"/>
    <w:rsid w:val="00153F26"/>
    <w:rsid w:val="001540DD"/>
    <w:rsid w:val="0015432E"/>
    <w:rsid w:val="00154D8F"/>
    <w:rsid w:val="001551B4"/>
    <w:rsid w:val="0015598A"/>
    <w:rsid w:val="00156B67"/>
    <w:rsid w:val="00156C0B"/>
    <w:rsid w:val="00156C96"/>
    <w:rsid w:val="00156E14"/>
    <w:rsid w:val="001572A7"/>
    <w:rsid w:val="00157303"/>
    <w:rsid w:val="00157316"/>
    <w:rsid w:val="00157593"/>
    <w:rsid w:val="001575D3"/>
    <w:rsid w:val="00157A32"/>
    <w:rsid w:val="00157A8A"/>
    <w:rsid w:val="00157C64"/>
    <w:rsid w:val="00160184"/>
    <w:rsid w:val="00160519"/>
    <w:rsid w:val="001606F5"/>
    <w:rsid w:val="001608AE"/>
    <w:rsid w:val="00160F64"/>
    <w:rsid w:val="00161E92"/>
    <w:rsid w:val="001620AC"/>
    <w:rsid w:val="00162734"/>
    <w:rsid w:val="00162815"/>
    <w:rsid w:val="00162986"/>
    <w:rsid w:val="001630F0"/>
    <w:rsid w:val="00163148"/>
    <w:rsid w:val="00163E40"/>
    <w:rsid w:val="00164293"/>
    <w:rsid w:val="0016437C"/>
    <w:rsid w:val="00164537"/>
    <w:rsid w:val="0016467E"/>
    <w:rsid w:val="00164815"/>
    <w:rsid w:val="00165BAE"/>
    <w:rsid w:val="00165EF1"/>
    <w:rsid w:val="00165F22"/>
    <w:rsid w:val="001662CF"/>
    <w:rsid w:val="001663B3"/>
    <w:rsid w:val="0016685E"/>
    <w:rsid w:val="00166E1B"/>
    <w:rsid w:val="00166F8E"/>
    <w:rsid w:val="0016704B"/>
    <w:rsid w:val="001678BD"/>
    <w:rsid w:val="00167C8B"/>
    <w:rsid w:val="00167D31"/>
    <w:rsid w:val="00167EAF"/>
    <w:rsid w:val="001708D1"/>
    <w:rsid w:val="001709DD"/>
    <w:rsid w:val="00170E45"/>
    <w:rsid w:val="00171145"/>
    <w:rsid w:val="00171333"/>
    <w:rsid w:val="00171742"/>
    <w:rsid w:val="00171871"/>
    <w:rsid w:val="001719C6"/>
    <w:rsid w:val="00171A84"/>
    <w:rsid w:val="00171D7D"/>
    <w:rsid w:val="0017248B"/>
    <w:rsid w:val="0017258B"/>
    <w:rsid w:val="00173422"/>
    <w:rsid w:val="001735B2"/>
    <w:rsid w:val="0017396A"/>
    <w:rsid w:val="00173C75"/>
    <w:rsid w:val="00174052"/>
    <w:rsid w:val="0017423C"/>
    <w:rsid w:val="0017441E"/>
    <w:rsid w:val="00174516"/>
    <w:rsid w:val="00174890"/>
    <w:rsid w:val="001748B1"/>
    <w:rsid w:val="00174AE2"/>
    <w:rsid w:val="00174D13"/>
    <w:rsid w:val="00174E2F"/>
    <w:rsid w:val="00175088"/>
    <w:rsid w:val="001752CF"/>
    <w:rsid w:val="001753D3"/>
    <w:rsid w:val="00175587"/>
    <w:rsid w:val="00175B11"/>
    <w:rsid w:val="00175F06"/>
    <w:rsid w:val="00176123"/>
    <w:rsid w:val="00176282"/>
    <w:rsid w:val="00176304"/>
    <w:rsid w:val="00176829"/>
    <w:rsid w:val="00176E51"/>
    <w:rsid w:val="00176F7B"/>
    <w:rsid w:val="001776BF"/>
    <w:rsid w:val="00177986"/>
    <w:rsid w:val="00180496"/>
    <w:rsid w:val="001804F5"/>
    <w:rsid w:val="00180B21"/>
    <w:rsid w:val="00180D51"/>
    <w:rsid w:val="00181246"/>
    <w:rsid w:val="00181448"/>
    <w:rsid w:val="001816D6"/>
    <w:rsid w:val="00181C7E"/>
    <w:rsid w:val="00181EAA"/>
    <w:rsid w:val="00181F48"/>
    <w:rsid w:val="00182370"/>
    <w:rsid w:val="0018241F"/>
    <w:rsid w:val="00182D72"/>
    <w:rsid w:val="00182DFB"/>
    <w:rsid w:val="00182EBD"/>
    <w:rsid w:val="00183338"/>
    <w:rsid w:val="00183430"/>
    <w:rsid w:val="00183DD0"/>
    <w:rsid w:val="00183FFE"/>
    <w:rsid w:val="00184158"/>
    <w:rsid w:val="00184257"/>
    <w:rsid w:val="0018452B"/>
    <w:rsid w:val="001845D8"/>
    <w:rsid w:val="00184C7C"/>
    <w:rsid w:val="00184EB2"/>
    <w:rsid w:val="00184F9A"/>
    <w:rsid w:val="00185448"/>
    <w:rsid w:val="001855A2"/>
    <w:rsid w:val="00185804"/>
    <w:rsid w:val="00185B64"/>
    <w:rsid w:val="00185D69"/>
    <w:rsid w:val="00185DF5"/>
    <w:rsid w:val="00185EBD"/>
    <w:rsid w:val="00185F90"/>
    <w:rsid w:val="001863EC"/>
    <w:rsid w:val="00186AF2"/>
    <w:rsid w:val="00187A20"/>
    <w:rsid w:val="001900DF"/>
    <w:rsid w:val="0019027E"/>
    <w:rsid w:val="001909D7"/>
    <w:rsid w:val="00191596"/>
    <w:rsid w:val="001917A2"/>
    <w:rsid w:val="00191F62"/>
    <w:rsid w:val="001927EA"/>
    <w:rsid w:val="00192BF9"/>
    <w:rsid w:val="001930EA"/>
    <w:rsid w:val="00193977"/>
    <w:rsid w:val="00193BB5"/>
    <w:rsid w:val="00193CCF"/>
    <w:rsid w:val="001940AE"/>
    <w:rsid w:val="00195106"/>
    <w:rsid w:val="001951EF"/>
    <w:rsid w:val="001952BE"/>
    <w:rsid w:val="0019543A"/>
    <w:rsid w:val="001954CB"/>
    <w:rsid w:val="00195A8D"/>
    <w:rsid w:val="00195E35"/>
    <w:rsid w:val="0019607D"/>
    <w:rsid w:val="00196EFD"/>
    <w:rsid w:val="00197B85"/>
    <w:rsid w:val="00197C5C"/>
    <w:rsid w:val="00197CB2"/>
    <w:rsid w:val="00197CB4"/>
    <w:rsid w:val="00197D3A"/>
    <w:rsid w:val="00197E17"/>
    <w:rsid w:val="001A0193"/>
    <w:rsid w:val="001A1086"/>
    <w:rsid w:val="001A1847"/>
    <w:rsid w:val="001A1AED"/>
    <w:rsid w:val="001A1B7A"/>
    <w:rsid w:val="001A1BF5"/>
    <w:rsid w:val="001A20F0"/>
    <w:rsid w:val="001A2ADB"/>
    <w:rsid w:val="001A2CAB"/>
    <w:rsid w:val="001A2CC8"/>
    <w:rsid w:val="001A2F04"/>
    <w:rsid w:val="001A31D7"/>
    <w:rsid w:val="001A3476"/>
    <w:rsid w:val="001A3B2A"/>
    <w:rsid w:val="001A3B4F"/>
    <w:rsid w:val="001A3DC5"/>
    <w:rsid w:val="001A3F59"/>
    <w:rsid w:val="001A40BA"/>
    <w:rsid w:val="001A4263"/>
    <w:rsid w:val="001A4828"/>
    <w:rsid w:val="001A4EEE"/>
    <w:rsid w:val="001A52C0"/>
    <w:rsid w:val="001A57A3"/>
    <w:rsid w:val="001A593E"/>
    <w:rsid w:val="001A59F9"/>
    <w:rsid w:val="001A5B47"/>
    <w:rsid w:val="001A5BDE"/>
    <w:rsid w:val="001A5CB1"/>
    <w:rsid w:val="001A6065"/>
    <w:rsid w:val="001A635C"/>
    <w:rsid w:val="001A63A8"/>
    <w:rsid w:val="001A6904"/>
    <w:rsid w:val="001A6F1F"/>
    <w:rsid w:val="001A70B1"/>
    <w:rsid w:val="001A753C"/>
    <w:rsid w:val="001A77BE"/>
    <w:rsid w:val="001A780A"/>
    <w:rsid w:val="001A7DD3"/>
    <w:rsid w:val="001A7FE2"/>
    <w:rsid w:val="001B022E"/>
    <w:rsid w:val="001B0504"/>
    <w:rsid w:val="001B0DE3"/>
    <w:rsid w:val="001B127F"/>
    <w:rsid w:val="001B137D"/>
    <w:rsid w:val="001B15CB"/>
    <w:rsid w:val="001B17F9"/>
    <w:rsid w:val="001B1977"/>
    <w:rsid w:val="001B1AA1"/>
    <w:rsid w:val="001B1AFB"/>
    <w:rsid w:val="001B1C32"/>
    <w:rsid w:val="001B1D17"/>
    <w:rsid w:val="001B1F8D"/>
    <w:rsid w:val="001B223F"/>
    <w:rsid w:val="001B2507"/>
    <w:rsid w:val="001B250F"/>
    <w:rsid w:val="001B28B3"/>
    <w:rsid w:val="001B2952"/>
    <w:rsid w:val="001B296E"/>
    <w:rsid w:val="001B2AA8"/>
    <w:rsid w:val="001B2DE7"/>
    <w:rsid w:val="001B2FE7"/>
    <w:rsid w:val="001B377E"/>
    <w:rsid w:val="001B3841"/>
    <w:rsid w:val="001B3A87"/>
    <w:rsid w:val="001B4473"/>
    <w:rsid w:val="001B460D"/>
    <w:rsid w:val="001B4AA7"/>
    <w:rsid w:val="001B4FAD"/>
    <w:rsid w:val="001B5386"/>
    <w:rsid w:val="001B5A56"/>
    <w:rsid w:val="001B61DF"/>
    <w:rsid w:val="001B6213"/>
    <w:rsid w:val="001B6E45"/>
    <w:rsid w:val="001B7476"/>
    <w:rsid w:val="001B7507"/>
    <w:rsid w:val="001B753E"/>
    <w:rsid w:val="001B79CF"/>
    <w:rsid w:val="001B7E58"/>
    <w:rsid w:val="001C008F"/>
    <w:rsid w:val="001C0164"/>
    <w:rsid w:val="001C061C"/>
    <w:rsid w:val="001C1407"/>
    <w:rsid w:val="001C14FA"/>
    <w:rsid w:val="001C1935"/>
    <w:rsid w:val="001C1A6B"/>
    <w:rsid w:val="001C1E2F"/>
    <w:rsid w:val="001C1E75"/>
    <w:rsid w:val="001C21A7"/>
    <w:rsid w:val="001C2A9B"/>
    <w:rsid w:val="001C2AEA"/>
    <w:rsid w:val="001C34C3"/>
    <w:rsid w:val="001C3BAA"/>
    <w:rsid w:val="001C3C78"/>
    <w:rsid w:val="001C3EC3"/>
    <w:rsid w:val="001C425D"/>
    <w:rsid w:val="001C52DD"/>
    <w:rsid w:val="001C5791"/>
    <w:rsid w:val="001C5864"/>
    <w:rsid w:val="001C5874"/>
    <w:rsid w:val="001C58F1"/>
    <w:rsid w:val="001C5B7F"/>
    <w:rsid w:val="001C5BDD"/>
    <w:rsid w:val="001C6253"/>
    <w:rsid w:val="001C63E9"/>
    <w:rsid w:val="001C65BD"/>
    <w:rsid w:val="001C68D8"/>
    <w:rsid w:val="001C6928"/>
    <w:rsid w:val="001C6AFA"/>
    <w:rsid w:val="001C6E08"/>
    <w:rsid w:val="001C6E52"/>
    <w:rsid w:val="001C7155"/>
    <w:rsid w:val="001C76E8"/>
    <w:rsid w:val="001C7860"/>
    <w:rsid w:val="001D006D"/>
    <w:rsid w:val="001D0B0F"/>
    <w:rsid w:val="001D0BD8"/>
    <w:rsid w:val="001D1319"/>
    <w:rsid w:val="001D13D1"/>
    <w:rsid w:val="001D1449"/>
    <w:rsid w:val="001D1751"/>
    <w:rsid w:val="001D21CC"/>
    <w:rsid w:val="001D28EC"/>
    <w:rsid w:val="001D297C"/>
    <w:rsid w:val="001D3297"/>
    <w:rsid w:val="001D3682"/>
    <w:rsid w:val="001D39F4"/>
    <w:rsid w:val="001D3D8D"/>
    <w:rsid w:val="001D3E09"/>
    <w:rsid w:val="001D4893"/>
    <w:rsid w:val="001D4B21"/>
    <w:rsid w:val="001D4DAE"/>
    <w:rsid w:val="001D4DD8"/>
    <w:rsid w:val="001D5BC6"/>
    <w:rsid w:val="001D5BE3"/>
    <w:rsid w:val="001D5CEB"/>
    <w:rsid w:val="001D6059"/>
    <w:rsid w:val="001D61F9"/>
    <w:rsid w:val="001D6209"/>
    <w:rsid w:val="001D710A"/>
    <w:rsid w:val="001D77E3"/>
    <w:rsid w:val="001E0671"/>
    <w:rsid w:val="001E17BE"/>
    <w:rsid w:val="001E1834"/>
    <w:rsid w:val="001E1937"/>
    <w:rsid w:val="001E1CA3"/>
    <w:rsid w:val="001E1D4F"/>
    <w:rsid w:val="001E2264"/>
    <w:rsid w:val="001E2449"/>
    <w:rsid w:val="001E2767"/>
    <w:rsid w:val="001E2886"/>
    <w:rsid w:val="001E296F"/>
    <w:rsid w:val="001E2E61"/>
    <w:rsid w:val="001E36D1"/>
    <w:rsid w:val="001E38C5"/>
    <w:rsid w:val="001E3DAB"/>
    <w:rsid w:val="001E400B"/>
    <w:rsid w:val="001E42EC"/>
    <w:rsid w:val="001E4C69"/>
    <w:rsid w:val="001E4EF4"/>
    <w:rsid w:val="001E5442"/>
    <w:rsid w:val="001E5542"/>
    <w:rsid w:val="001E55C3"/>
    <w:rsid w:val="001E5ABA"/>
    <w:rsid w:val="001E6006"/>
    <w:rsid w:val="001E62AD"/>
    <w:rsid w:val="001E6E32"/>
    <w:rsid w:val="001E6F7E"/>
    <w:rsid w:val="001E705B"/>
    <w:rsid w:val="001E7236"/>
    <w:rsid w:val="001E74E0"/>
    <w:rsid w:val="001E7AF0"/>
    <w:rsid w:val="001F0000"/>
    <w:rsid w:val="001F1286"/>
    <w:rsid w:val="001F15A4"/>
    <w:rsid w:val="001F1887"/>
    <w:rsid w:val="001F1936"/>
    <w:rsid w:val="001F1B57"/>
    <w:rsid w:val="001F21A3"/>
    <w:rsid w:val="001F2854"/>
    <w:rsid w:val="001F2992"/>
    <w:rsid w:val="001F29C3"/>
    <w:rsid w:val="001F2F59"/>
    <w:rsid w:val="001F3732"/>
    <w:rsid w:val="001F3A84"/>
    <w:rsid w:val="001F3EB2"/>
    <w:rsid w:val="001F40AC"/>
    <w:rsid w:val="001F42D5"/>
    <w:rsid w:val="001F44D3"/>
    <w:rsid w:val="001F4D92"/>
    <w:rsid w:val="001F541F"/>
    <w:rsid w:val="001F5843"/>
    <w:rsid w:val="001F618D"/>
    <w:rsid w:val="001F6205"/>
    <w:rsid w:val="001F6278"/>
    <w:rsid w:val="001F652B"/>
    <w:rsid w:val="001F6621"/>
    <w:rsid w:val="001F66D9"/>
    <w:rsid w:val="001F67E6"/>
    <w:rsid w:val="001F67EC"/>
    <w:rsid w:val="001F6C5F"/>
    <w:rsid w:val="001F6DFA"/>
    <w:rsid w:val="001F76BC"/>
    <w:rsid w:val="001F7AA3"/>
    <w:rsid w:val="00201117"/>
    <w:rsid w:val="002015EC"/>
    <w:rsid w:val="00201A90"/>
    <w:rsid w:val="00202558"/>
    <w:rsid w:val="00202B86"/>
    <w:rsid w:val="00202D8A"/>
    <w:rsid w:val="00202DEC"/>
    <w:rsid w:val="00202E37"/>
    <w:rsid w:val="00202E71"/>
    <w:rsid w:val="002036E9"/>
    <w:rsid w:val="0020415F"/>
    <w:rsid w:val="0020451E"/>
    <w:rsid w:val="00204655"/>
    <w:rsid w:val="00204C4B"/>
    <w:rsid w:val="00204D1C"/>
    <w:rsid w:val="00204D3E"/>
    <w:rsid w:val="00205A1A"/>
    <w:rsid w:val="00205DD0"/>
    <w:rsid w:val="00205E37"/>
    <w:rsid w:val="00206130"/>
    <w:rsid w:val="002062F9"/>
    <w:rsid w:val="00206BF1"/>
    <w:rsid w:val="00206C66"/>
    <w:rsid w:val="00206E6A"/>
    <w:rsid w:val="0020737E"/>
    <w:rsid w:val="002073F9"/>
    <w:rsid w:val="00207EE5"/>
    <w:rsid w:val="00207FCE"/>
    <w:rsid w:val="00210449"/>
    <w:rsid w:val="002107D9"/>
    <w:rsid w:val="00210E89"/>
    <w:rsid w:val="00211394"/>
    <w:rsid w:val="0021143A"/>
    <w:rsid w:val="002117E1"/>
    <w:rsid w:val="0021233B"/>
    <w:rsid w:val="002123EA"/>
    <w:rsid w:val="002132ED"/>
    <w:rsid w:val="00213FF3"/>
    <w:rsid w:val="00214239"/>
    <w:rsid w:val="00214278"/>
    <w:rsid w:val="0021486C"/>
    <w:rsid w:val="00214AB2"/>
    <w:rsid w:val="00214BEF"/>
    <w:rsid w:val="00214C0C"/>
    <w:rsid w:val="00214C2A"/>
    <w:rsid w:val="00214EAC"/>
    <w:rsid w:val="00214F7D"/>
    <w:rsid w:val="00214FB6"/>
    <w:rsid w:val="0021533F"/>
    <w:rsid w:val="00215426"/>
    <w:rsid w:val="0021545A"/>
    <w:rsid w:val="00215A67"/>
    <w:rsid w:val="00215C1F"/>
    <w:rsid w:val="002160AF"/>
    <w:rsid w:val="0021687E"/>
    <w:rsid w:val="002168F6"/>
    <w:rsid w:val="00216C17"/>
    <w:rsid w:val="0021712A"/>
    <w:rsid w:val="00217905"/>
    <w:rsid w:val="00217B92"/>
    <w:rsid w:val="00217D4D"/>
    <w:rsid w:val="00217D8D"/>
    <w:rsid w:val="002200B2"/>
    <w:rsid w:val="002201F5"/>
    <w:rsid w:val="00220244"/>
    <w:rsid w:val="002202BC"/>
    <w:rsid w:val="002202F7"/>
    <w:rsid w:val="00220385"/>
    <w:rsid w:val="00220CF5"/>
    <w:rsid w:val="00220E84"/>
    <w:rsid w:val="00220F38"/>
    <w:rsid w:val="0022129C"/>
    <w:rsid w:val="002213AD"/>
    <w:rsid w:val="0022140D"/>
    <w:rsid w:val="00221977"/>
    <w:rsid w:val="00221FBE"/>
    <w:rsid w:val="00222011"/>
    <w:rsid w:val="00222100"/>
    <w:rsid w:val="0022232E"/>
    <w:rsid w:val="00222A05"/>
    <w:rsid w:val="0022307C"/>
    <w:rsid w:val="0022339A"/>
    <w:rsid w:val="002238D0"/>
    <w:rsid w:val="00223908"/>
    <w:rsid w:val="002242A0"/>
    <w:rsid w:val="0022450B"/>
    <w:rsid w:val="00224895"/>
    <w:rsid w:val="002248FF"/>
    <w:rsid w:val="00224B2B"/>
    <w:rsid w:val="00225535"/>
    <w:rsid w:val="002255D1"/>
    <w:rsid w:val="002256A6"/>
    <w:rsid w:val="00225C24"/>
    <w:rsid w:val="00225ED1"/>
    <w:rsid w:val="002260B1"/>
    <w:rsid w:val="00226A40"/>
    <w:rsid w:val="00226E60"/>
    <w:rsid w:val="002271E1"/>
    <w:rsid w:val="0022758F"/>
    <w:rsid w:val="0022769E"/>
    <w:rsid w:val="00227B1A"/>
    <w:rsid w:val="00227DB3"/>
    <w:rsid w:val="00227F42"/>
    <w:rsid w:val="00230171"/>
    <w:rsid w:val="002302F0"/>
    <w:rsid w:val="00230498"/>
    <w:rsid w:val="00230B24"/>
    <w:rsid w:val="00230C0C"/>
    <w:rsid w:val="0023100A"/>
    <w:rsid w:val="00231C4F"/>
    <w:rsid w:val="00231D1F"/>
    <w:rsid w:val="00231ED6"/>
    <w:rsid w:val="00232B27"/>
    <w:rsid w:val="00233405"/>
    <w:rsid w:val="00233FF5"/>
    <w:rsid w:val="0023420B"/>
    <w:rsid w:val="00234772"/>
    <w:rsid w:val="00234A61"/>
    <w:rsid w:val="002351B3"/>
    <w:rsid w:val="00235207"/>
    <w:rsid w:val="002352E2"/>
    <w:rsid w:val="002355EC"/>
    <w:rsid w:val="00236789"/>
    <w:rsid w:val="00236EC3"/>
    <w:rsid w:val="00237450"/>
    <w:rsid w:val="00237BD5"/>
    <w:rsid w:val="002409F8"/>
    <w:rsid w:val="00240BFA"/>
    <w:rsid w:val="00240E37"/>
    <w:rsid w:val="00240E54"/>
    <w:rsid w:val="00240F1B"/>
    <w:rsid w:val="002411AD"/>
    <w:rsid w:val="002411C7"/>
    <w:rsid w:val="0024127B"/>
    <w:rsid w:val="0024136C"/>
    <w:rsid w:val="00242192"/>
    <w:rsid w:val="0024280D"/>
    <w:rsid w:val="00242B6A"/>
    <w:rsid w:val="00243559"/>
    <w:rsid w:val="00243750"/>
    <w:rsid w:val="00243FF9"/>
    <w:rsid w:val="0024479F"/>
    <w:rsid w:val="00244B5A"/>
    <w:rsid w:val="00245707"/>
    <w:rsid w:val="002458E9"/>
    <w:rsid w:val="00245E84"/>
    <w:rsid w:val="002460D2"/>
    <w:rsid w:val="002462E6"/>
    <w:rsid w:val="0024645E"/>
    <w:rsid w:val="002468B5"/>
    <w:rsid w:val="00246A81"/>
    <w:rsid w:val="00247036"/>
    <w:rsid w:val="002470DB"/>
    <w:rsid w:val="002474A6"/>
    <w:rsid w:val="00247D2A"/>
    <w:rsid w:val="00247F5E"/>
    <w:rsid w:val="002501EE"/>
    <w:rsid w:val="002502F9"/>
    <w:rsid w:val="00250915"/>
    <w:rsid w:val="002510DF"/>
    <w:rsid w:val="002510F7"/>
    <w:rsid w:val="0025121D"/>
    <w:rsid w:val="00251377"/>
    <w:rsid w:val="00251488"/>
    <w:rsid w:val="00251A74"/>
    <w:rsid w:val="00251BE4"/>
    <w:rsid w:val="00251E5C"/>
    <w:rsid w:val="0025232A"/>
    <w:rsid w:val="002523FA"/>
    <w:rsid w:val="0025289F"/>
    <w:rsid w:val="00253487"/>
    <w:rsid w:val="00253557"/>
    <w:rsid w:val="002546EB"/>
    <w:rsid w:val="00254BC5"/>
    <w:rsid w:val="00255B26"/>
    <w:rsid w:val="00255FC6"/>
    <w:rsid w:val="002560C6"/>
    <w:rsid w:val="002561A3"/>
    <w:rsid w:val="00256769"/>
    <w:rsid w:val="002574EF"/>
    <w:rsid w:val="002579B6"/>
    <w:rsid w:val="002579FE"/>
    <w:rsid w:val="00257B99"/>
    <w:rsid w:val="00257D10"/>
    <w:rsid w:val="00257D14"/>
    <w:rsid w:val="00260445"/>
    <w:rsid w:val="00260A5D"/>
    <w:rsid w:val="00260BB8"/>
    <w:rsid w:val="00260CFB"/>
    <w:rsid w:val="00260EBD"/>
    <w:rsid w:val="00261058"/>
    <w:rsid w:val="00261255"/>
    <w:rsid w:val="002613BB"/>
    <w:rsid w:val="002617D2"/>
    <w:rsid w:val="00261DE2"/>
    <w:rsid w:val="002625E2"/>
    <w:rsid w:val="002627CC"/>
    <w:rsid w:val="00262917"/>
    <w:rsid w:val="00263293"/>
    <w:rsid w:val="00263329"/>
    <w:rsid w:val="002638AA"/>
    <w:rsid w:val="002640E5"/>
    <w:rsid w:val="002641E4"/>
    <w:rsid w:val="00264760"/>
    <w:rsid w:val="00264765"/>
    <w:rsid w:val="00264814"/>
    <w:rsid w:val="00264D57"/>
    <w:rsid w:val="00264E2B"/>
    <w:rsid w:val="00264EC0"/>
    <w:rsid w:val="00264ED0"/>
    <w:rsid w:val="00265744"/>
    <w:rsid w:val="00265800"/>
    <w:rsid w:val="00265DBC"/>
    <w:rsid w:val="00266042"/>
    <w:rsid w:val="002668C2"/>
    <w:rsid w:val="00266E1D"/>
    <w:rsid w:val="00266E56"/>
    <w:rsid w:val="00266E57"/>
    <w:rsid w:val="00267185"/>
    <w:rsid w:val="002673FF"/>
    <w:rsid w:val="00267A9A"/>
    <w:rsid w:val="00267BD8"/>
    <w:rsid w:val="00267C78"/>
    <w:rsid w:val="00267D32"/>
    <w:rsid w:val="00267F98"/>
    <w:rsid w:val="00267FBE"/>
    <w:rsid w:val="00270717"/>
    <w:rsid w:val="002713FE"/>
    <w:rsid w:val="0027143F"/>
    <w:rsid w:val="0027156A"/>
    <w:rsid w:val="0027203D"/>
    <w:rsid w:val="002724FA"/>
    <w:rsid w:val="002732A4"/>
    <w:rsid w:val="00273675"/>
    <w:rsid w:val="00273817"/>
    <w:rsid w:val="00273ADA"/>
    <w:rsid w:val="00273E65"/>
    <w:rsid w:val="00273FF4"/>
    <w:rsid w:val="00274868"/>
    <w:rsid w:val="00274C10"/>
    <w:rsid w:val="0027500F"/>
    <w:rsid w:val="00275287"/>
    <w:rsid w:val="00275303"/>
    <w:rsid w:val="00275D29"/>
    <w:rsid w:val="00276E48"/>
    <w:rsid w:val="0027745B"/>
    <w:rsid w:val="00277790"/>
    <w:rsid w:val="002778ED"/>
    <w:rsid w:val="0027791C"/>
    <w:rsid w:val="00277AFF"/>
    <w:rsid w:val="002801F1"/>
    <w:rsid w:val="00280351"/>
    <w:rsid w:val="0028042A"/>
    <w:rsid w:val="00280738"/>
    <w:rsid w:val="00280EA0"/>
    <w:rsid w:val="00280F30"/>
    <w:rsid w:val="002810FD"/>
    <w:rsid w:val="00281157"/>
    <w:rsid w:val="00281C9E"/>
    <w:rsid w:val="002822E0"/>
    <w:rsid w:val="002823A5"/>
    <w:rsid w:val="00282580"/>
    <w:rsid w:val="002828E5"/>
    <w:rsid w:val="0028293D"/>
    <w:rsid w:val="00282961"/>
    <w:rsid w:val="00282BD6"/>
    <w:rsid w:val="002830AD"/>
    <w:rsid w:val="0028337A"/>
    <w:rsid w:val="002834B3"/>
    <w:rsid w:val="00283531"/>
    <w:rsid w:val="00283965"/>
    <w:rsid w:val="002839F2"/>
    <w:rsid w:val="00283CFE"/>
    <w:rsid w:val="00283EA9"/>
    <w:rsid w:val="00284467"/>
    <w:rsid w:val="002847A6"/>
    <w:rsid w:val="00284E70"/>
    <w:rsid w:val="002852D7"/>
    <w:rsid w:val="0028554C"/>
    <w:rsid w:val="002856E3"/>
    <w:rsid w:val="00285878"/>
    <w:rsid w:val="002862E8"/>
    <w:rsid w:val="00286CFB"/>
    <w:rsid w:val="002870B1"/>
    <w:rsid w:val="0028715E"/>
    <w:rsid w:val="00287656"/>
    <w:rsid w:val="002878DA"/>
    <w:rsid w:val="00287A9A"/>
    <w:rsid w:val="00287F86"/>
    <w:rsid w:val="00290056"/>
    <w:rsid w:val="0029010D"/>
    <w:rsid w:val="00291208"/>
    <w:rsid w:val="0029125F"/>
    <w:rsid w:val="002912A0"/>
    <w:rsid w:val="0029176E"/>
    <w:rsid w:val="00291BB8"/>
    <w:rsid w:val="002925D4"/>
    <w:rsid w:val="00292F70"/>
    <w:rsid w:val="00293AC0"/>
    <w:rsid w:val="00293B7C"/>
    <w:rsid w:val="00294165"/>
    <w:rsid w:val="0029431A"/>
    <w:rsid w:val="00294BF3"/>
    <w:rsid w:val="00294C95"/>
    <w:rsid w:val="0029512E"/>
    <w:rsid w:val="002951DE"/>
    <w:rsid w:val="002951E8"/>
    <w:rsid w:val="00295A45"/>
    <w:rsid w:val="00295DC6"/>
    <w:rsid w:val="00295F13"/>
    <w:rsid w:val="00297805"/>
    <w:rsid w:val="0029787B"/>
    <w:rsid w:val="00297DD2"/>
    <w:rsid w:val="002A06C8"/>
    <w:rsid w:val="002A0E35"/>
    <w:rsid w:val="002A0EF9"/>
    <w:rsid w:val="002A1113"/>
    <w:rsid w:val="002A157C"/>
    <w:rsid w:val="002A15EA"/>
    <w:rsid w:val="002A1CC6"/>
    <w:rsid w:val="002A1E42"/>
    <w:rsid w:val="002A1E8B"/>
    <w:rsid w:val="002A1F8B"/>
    <w:rsid w:val="002A2378"/>
    <w:rsid w:val="002A29D2"/>
    <w:rsid w:val="002A2B0C"/>
    <w:rsid w:val="002A2D15"/>
    <w:rsid w:val="002A2D27"/>
    <w:rsid w:val="002A2F5C"/>
    <w:rsid w:val="002A3415"/>
    <w:rsid w:val="002A3503"/>
    <w:rsid w:val="002A398B"/>
    <w:rsid w:val="002A456F"/>
    <w:rsid w:val="002A477A"/>
    <w:rsid w:val="002A47D4"/>
    <w:rsid w:val="002A48F6"/>
    <w:rsid w:val="002A494F"/>
    <w:rsid w:val="002A4D8E"/>
    <w:rsid w:val="002A4EA5"/>
    <w:rsid w:val="002A5167"/>
    <w:rsid w:val="002A5293"/>
    <w:rsid w:val="002A5506"/>
    <w:rsid w:val="002A57AD"/>
    <w:rsid w:val="002A5A86"/>
    <w:rsid w:val="002A61EF"/>
    <w:rsid w:val="002A6263"/>
    <w:rsid w:val="002A6CDC"/>
    <w:rsid w:val="002A704C"/>
    <w:rsid w:val="002A70A7"/>
    <w:rsid w:val="002A7395"/>
    <w:rsid w:val="002A751B"/>
    <w:rsid w:val="002B0033"/>
    <w:rsid w:val="002B07C6"/>
    <w:rsid w:val="002B0CB1"/>
    <w:rsid w:val="002B1148"/>
    <w:rsid w:val="002B11FC"/>
    <w:rsid w:val="002B1507"/>
    <w:rsid w:val="002B16F6"/>
    <w:rsid w:val="002B1B22"/>
    <w:rsid w:val="002B1C3E"/>
    <w:rsid w:val="002B1C9B"/>
    <w:rsid w:val="002B1CCF"/>
    <w:rsid w:val="002B1F83"/>
    <w:rsid w:val="002B2544"/>
    <w:rsid w:val="002B2611"/>
    <w:rsid w:val="002B2868"/>
    <w:rsid w:val="002B2A9F"/>
    <w:rsid w:val="002B30BF"/>
    <w:rsid w:val="002B336F"/>
    <w:rsid w:val="002B3442"/>
    <w:rsid w:val="002B3701"/>
    <w:rsid w:val="002B3811"/>
    <w:rsid w:val="002B3E39"/>
    <w:rsid w:val="002B3F03"/>
    <w:rsid w:val="002B3F71"/>
    <w:rsid w:val="002B418A"/>
    <w:rsid w:val="002B4CD4"/>
    <w:rsid w:val="002B56B4"/>
    <w:rsid w:val="002B5995"/>
    <w:rsid w:val="002B5D72"/>
    <w:rsid w:val="002B5FB9"/>
    <w:rsid w:val="002B6085"/>
    <w:rsid w:val="002B65D5"/>
    <w:rsid w:val="002B6A1C"/>
    <w:rsid w:val="002B73C6"/>
    <w:rsid w:val="002B741D"/>
    <w:rsid w:val="002B75AD"/>
    <w:rsid w:val="002B7926"/>
    <w:rsid w:val="002B7A55"/>
    <w:rsid w:val="002B7CEE"/>
    <w:rsid w:val="002B7F83"/>
    <w:rsid w:val="002C010C"/>
    <w:rsid w:val="002C0197"/>
    <w:rsid w:val="002C03D4"/>
    <w:rsid w:val="002C06C3"/>
    <w:rsid w:val="002C0961"/>
    <w:rsid w:val="002C0C64"/>
    <w:rsid w:val="002C0CA2"/>
    <w:rsid w:val="002C1133"/>
    <w:rsid w:val="002C2377"/>
    <w:rsid w:val="002C2970"/>
    <w:rsid w:val="002C2AAB"/>
    <w:rsid w:val="002C2AB4"/>
    <w:rsid w:val="002C2BAB"/>
    <w:rsid w:val="002C2BD5"/>
    <w:rsid w:val="002C2E1C"/>
    <w:rsid w:val="002C2F34"/>
    <w:rsid w:val="002C2FF2"/>
    <w:rsid w:val="002C3346"/>
    <w:rsid w:val="002C3C8B"/>
    <w:rsid w:val="002C3F7A"/>
    <w:rsid w:val="002C450E"/>
    <w:rsid w:val="002C451C"/>
    <w:rsid w:val="002C465A"/>
    <w:rsid w:val="002C4790"/>
    <w:rsid w:val="002C4839"/>
    <w:rsid w:val="002C5561"/>
    <w:rsid w:val="002C569A"/>
    <w:rsid w:val="002C5FF4"/>
    <w:rsid w:val="002C697C"/>
    <w:rsid w:val="002C6DF8"/>
    <w:rsid w:val="002C6E81"/>
    <w:rsid w:val="002C730D"/>
    <w:rsid w:val="002C75C8"/>
    <w:rsid w:val="002C7879"/>
    <w:rsid w:val="002C790A"/>
    <w:rsid w:val="002C7BA2"/>
    <w:rsid w:val="002C7D63"/>
    <w:rsid w:val="002D038E"/>
    <w:rsid w:val="002D068C"/>
    <w:rsid w:val="002D0887"/>
    <w:rsid w:val="002D094D"/>
    <w:rsid w:val="002D0B78"/>
    <w:rsid w:val="002D0BE9"/>
    <w:rsid w:val="002D0BFB"/>
    <w:rsid w:val="002D19B0"/>
    <w:rsid w:val="002D1EA6"/>
    <w:rsid w:val="002D239F"/>
    <w:rsid w:val="002D2507"/>
    <w:rsid w:val="002D25A2"/>
    <w:rsid w:val="002D25E5"/>
    <w:rsid w:val="002D28FE"/>
    <w:rsid w:val="002D2A0A"/>
    <w:rsid w:val="002D2E23"/>
    <w:rsid w:val="002D2E4E"/>
    <w:rsid w:val="002D399C"/>
    <w:rsid w:val="002D3D63"/>
    <w:rsid w:val="002D3D96"/>
    <w:rsid w:val="002D4BB0"/>
    <w:rsid w:val="002D4D54"/>
    <w:rsid w:val="002D4E44"/>
    <w:rsid w:val="002D553D"/>
    <w:rsid w:val="002D616A"/>
    <w:rsid w:val="002D617B"/>
    <w:rsid w:val="002D6A52"/>
    <w:rsid w:val="002D6BA9"/>
    <w:rsid w:val="002D74DB"/>
    <w:rsid w:val="002D75FE"/>
    <w:rsid w:val="002D7F47"/>
    <w:rsid w:val="002E0124"/>
    <w:rsid w:val="002E0454"/>
    <w:rsid w:val="002E0802"/>
    <w:rsid w:val="002E083D"/>
    <w:rsid w:val="002E0B4F"/>
    <w:rsid w:val="002E0D2E"/>
    <w:rsid w:val="002E0F91"/>
    <w:rsid w:val="002E104B"/>
    <w:rsid w:val="002E110C"/>
    <w:rsid w:val="002E1635"/>
    <w:rsid w:val="002E1842"/>
    <w:rsid w:val="002E2523"/>
    <w:rsid w:val="002E259D"/>
    <w:rsid w:val="002E2C58"/>
    <w:rsid w:val="002E2D4D"/>
    <w:rsid w:val="002E308A"/>
    <w:rsid w:val="002E3754"/>
    <w:rsid w:val="002E3853"/>
    <w:rsid w:val="002E3857"/>
    <w:rsid w:val="002E44C5"/>
    <w:rsid w:val="002E457C"/>
    <w:rsid w:val="002E49D8"/>
    <w:rsid w:val="002E5921"/>
    <w:rsid w:val="002E5A1D"/>
    <w:rsid w:val="002E5BDA"/>
    <w:rsid w:val="002E5F9F"/>
    <w:rsid w:val="002E606F"/>
    <w:rsid w:val="002E64B2"/>
    <w:rsid w:val="002E66A1"/>
    <w:rsid w:val="002E67AC"/>
    <w:rsid w:val="002E6A2D"/>
    <w:rsid w:val="002E6F28"/>
    <w:rsid w:val="002E700C"/>
    <w:rsid w:val="002E7127"/>
    <w:rsid w:val="002E743C"/>
    <w:rsid w:val="002E7761"/>
    <w:rsid w:val="002E7B05"/>
    <w:rsid w:val="002F0107"/>
    <w:rsid w:val="002F0304"/>
    <w:rsid w:val="002F056C"/>
    <w:rsid w:val="002F05FE"/>
    <w:rsid w:val="002F07EC"/>
    <w:rsid w:val="002F0847"/>
    <w:rsid w:val="002F0F1A"/>
    <w:rsid w:val="002F0F2C"/>
    <w:rsid w:val="002F1182"/>
    <w:rsid w:val="002F209B"/>
    <w:rsid w:val="002F23F3"/>
    <w:rsid w:val="002F2431"/>
    <w:rsid w:val="002F245F"/>
    <w:rsid w:val="002F24A7"/>
    <w:rsid w:val="002F2582"/>
    <w:rsid w:val="002F25A4"/>
    <w:rsid w:val="002F2660"/>
    <w:rsid w:val="002F279C"/>
    <w:rsid w:val="002F27C4"/>
    <w:rsid w:val="002F285D"/>
    <w:rsid w:val="002F2A09"/>
    <w:rsid w:val="002F32C9"/>
    <w:rsid w:val="002F34C4"/>
    <w:rsid w:val="002F3522"/>
    <w:rsid w:val="002F3725"/>
    <w:rsid w:val="002F3A0F"/>
    <w:rsid w:val="002F4181"/>
    <w:rsid w:val="002F4382"/>
    <w:rsid w:val="002F4579"/>
    <w:rsid w:val="002F4FA6"/>
    <w:rsid w:val="002F5279"/>
    <w:rsid w:val="002F5640"/>
    <w:rsid w:val="002F5D22"/>
    <w:rsid w:val="002F603F"/>
    <w:rsid w:val="002F6301"/>
    <w:rsid w:val="002F6379"/>
    <w:rsid w:val="002F65AD"/>
    <w:rsid w:val="002F67B6"/>
    <w:rsid w:val="002F6AC4"/>
    <w:rsid w:val="002F6B8E"/>
    <w:rsid w:val="002F7151"/>
    <w:rsid w:val="002F7640"/>
    <w:rsid w:val="002F764C"/>
    <w:rsid w:val="002F7E6D"/>
    <w:rsid w:val="002F7E8B"/>
    <w:rsid w:val="002F7F2E"/>
    <w:rsid w:val="00300201"/>
    <w:rsid w:val="003005B1"/>
    <w:rsid w:val="00300D67"/>
    <w:rsid w:val="00301295"/>
    <w:rsid w:val="0030133F"/>
    <w:rsid w:val="0030191A"/>
    <w:rsid w:val="003019B9"/>
    <w:rsid w:val="00301FCB"/>
    <w:rsid w:val="00302113"/>
    <w:rsid w:val="00302185"/>
    <w:rsid w:val="003028EA"/>
    <w:rsid w:val="00302A70"/>
    <w:rsid w:val="00302B02"/>
    <w:rsid w:val="00302D14"/>
    <w:rsid w:val="00302D2A"/>
    <w:rsid w:val="00302DCB"/>
    <w:rsid w:val="00302E20"/>
    <w:rsid w:val="00302E6C"/>
    <w:rsid w:val="0030315B"/>
    <w:rsid w:val="0030319C"/>
    <w:rsid w:val="0030335D"/>
    <w:rsid w:val="003036D8"/>
    <w:rsid w:val="00303BDE"/>
    <w:rsid w:val="00303CBF"/>
    <w:rsid w:val="003044B5"/>
    <w:rsid w:val="00304592"/>
    <w:rsid w:val="003049B1"/>
    <w:rsid w:val="00304ACE"/>
    <w:rsid w:val="00304DCC"/>
    <w:rsid w:val="00304E6D"/>
    <w:rsid w:val="003050F0"/>
    <w:rsid w:val="0030511C"/>
    <w:rsid w:val="0030531F"/>
    <w:rsid w:val="003055EA"/>
    <w:rsid w:val="003056E4"/>
    <w:rsid w:val="00305DC2"/>
    <w:rsid w:val="00305F3A"/>
    <w:rsid w:val="003067D1"/>
    <w:rsid w:val="003070CF"/>
    <w:rsid w:val="00307E7C"/>
    <w:rsid w:val="00307EF4"/>
    <w:rsid w:val="003107BB"/>
    <w:rsid w:val="00310D06"/>
    <w:rsid w:val="00311032"/>
    <w:rsid w:val="0031147C"/>
    <w:rsid w:val="003116B6"/>
    <w:rsid w:val="00311731"/>
    <w:rsid w:val="003118D4"/>
    <w:rsid w:val="00311996"/>
    <w:rsid w:val="00311B87"/>
    <w:rsid w:val="00312558"/>
    <w:rsid w:val="00312645"/>
    <w:rsid w:val="003128FB"/>
    <w:rsid w:val="00312A4A"/>
    <w:rsid w:val="00312A89"/>
    <w:rsid w:val="00312A99"/>
    <w:rsid w:val="0031320E"/>
    <w:rsid w:val="00313581"/>
    <w:rsid w:val="003137FE"/>
    <w:rsid w:val="00313BEF"/>
    <w:rsid w:val="003140AB"/>
    <w:rsid w:val="00314565"/>
    <w:rsid w:val="0031483B"/>
    <w:rsid w:val="00314DEB"/>
    <w:rsid w:val="00315032"/>
    <w:rsid w:val="00315232"/>
    <w:rsid w:val="00315D5C"/>
    <w:rsid w:val="00315EBB"/>
    <w:rsid w:val="00316329"/>
    <w:rsid w:val="00316922"/>
    <w:rsid w:val="00316B98"/>
    <w:rsid w:val="00316EA1"/>
    <w:rsid w:val="00316F91"/>
    <w:rsid w:val="0031756A"/>
    <w:rsid w:val="003178A6"/>
    <w:rsid w:val="00317948"/>
    <w:rsid w:val="00317A73"/>
    <w:rsid w:val="0032006D"/>
    <w:rsid w:val="00320974"/>
    <w:rsid w:val="00320CC4"/>
    <w:rsid w:val="00321120"/>
    <w:rsid w:val="00321505"/>
    <w:rsid w:val="003215EA"/>
    <w:rsid w:val="0032187C"/>
    <w:rsid w:val="00321EAE"/>
    <w:rsid w:val="00322ED0"/>
    <w:rsid w:val="0032336F"/>
    <w:rsid w:val="00323953"/>
    <w:rsid w:val="00324207"/>
    <w:rsid w:val="0032424F"/>
    <w:rsid w:val="003256D0"/>
    <w:rsid w:val="00325868"/>
    <w:rsid w:val="00325A86"/>
    <w:rsid w:val="00325E97"/>
    <w:rsid w:val="00325EA8"/>
    <w:rsid w:val="00326511"/>
    <w:rsid w:val="0032663E"/>
    <w:rsid w:val="00326731"/>
    <w:rsid w:val="0032675D"/>
    <w:rsid w:val="00327AAC"/>
    <w:rsid w:val="00327DCC"/>
    <w:rsid w:val="00330502"/>
    <w:rsid w:val="003305D5"/>
    <w:rsid w:val="003307F1"/>
    <w:rsid w:val="00330832"/>
    <w:rsid w:val="00330C65"/>
    <w:rsid w:val="00331251"/>
    <w:rsid w:val="0033152E"/>
    <w:rsid w:val="0033174A"/>
    <w:rsid w:val="003317D0"/>
    <w:rsid w:val="003319CB"/>
    <w:rsid w:val="00331DC3"/>
    <w:rsid w:val="00331ED7"/>
    <w:rsid w:val="003322AB"/>
    <w:rsid w:val="00332683"/>
    <w:rsid w:val="00332CF9"/>
    <w:rsid w:val="003336D9"/>
    <w:rsid w:val="00333A04"/>
    <w:rsid w:val="00333B88"/>
    <w:rsid w:val="00333B8C"/>
    <w:rsid w:val="00333F8E"/>
    <w:rsid w:val="0033407B"/>
    <w:rsid w:val="0033458F"/>
    <w:rsid w:val="00334760"/>
    <w:rsid w:val="003348AD"/>
    <w:rsid w:val="00334F3C"/>
    <w:rsid w:val="003352C6"/>
    <w:rsid w:val="003352F4"/>
    <w:rsid w:val="00335466"/>
    <w:rsid w:val="00335675"/>
    <w:rsid w:val="0033597A"/>
    <w:rsid w:val="0033615A"/>
    <w:rsid w:val="0033640F"/>
    <w:rsid w:val="00336413"/>
    <w:rsid w:val="003370BC"/>
    <w:rsid w:val="0033715F"/>
    <w:rsid w:val="0033782A"/>
    <w:rsid w:val="00337FD7"/>
    <w:rsid w:val="00337FE7"/>
    <w:rsid w:val="003406FB"/>
    <w:rsid w:val="00340EC7"/>
    <w:rsid w:val="0034101D"/>
    <w:rsid w:val="00341523"/>
    <w:rsid w:val="003416CD"/>
    <w:rsid w:val="003422BB"/>
    <w:rsid w:val="00342777"/>
    <w:rsid w:val="003428DB"/>
    <w:rsid w:val="00342CA1"/>
    <w:rsid w:val="00342E31"/>
    <w:rsid w:val="00343383"/>
    <w:rsid w:val="00343410"/>
    <w:rsid w:val="00343B13"/>
    <w:rsid w:val="00343E42"/>
    <w:rsid w:val="0034406E"/>
    <w:rsid w:val="00344284"/>
    <w:rsid w:val="003442F7"/>
    <w:rsid w:val="00344662"/>
    <w:rsid w:val="003446E9"/>
    <w:rsid w:val="003447DC"/>
    <w:rsid w:val="00345069"/>
    <w:rsid w:val="00345151"/>
    <w:rsid w:val="00345387"/>
    <w:rsid w:val="003457AE"/>
    <w:rsid w:val="003457EB"/>
    <w:rsid w:val="00345870"/>
    <w:rsid w:val="00345D22"/>
    <w:rsid w:val="00346100"/>
    <w:rsid w:val="003465C9"/>
    <w:rsid w:val="00346FD5"/>
    <w:rsid w:val="0034753D"/>
    <w:rsid w:val="00347845"/>
    <w:rsid w:val="00347D62"/>
    <w:rsid w:val="00347DC1"/>
    <w:rsid w:val="0035003D"/>
    <w:rsid w:val="003505EA"/>
    <w:rsid w:val="00350A2A"/>
    <w:rsid w:val="00351662"/>
    <w:rsid w:val="00351BBB"/>
    <w:rsid w:val="00351D9F"/>
    <w:rsid w:val="003522FC"/>
    <w:rsid w:val="003523A1"/>
    <w:rsid w:val="00352A59"/>
    <w:rsid w:val="00352A7C"/>
    <w:rsid w:val="003530B7"/>
    <w:rsid w:val="00353294"/>
    <w:rsid w:val="00353395"/>
    <w:rsid w:val="003534D1"/>
    <w:rsid w:val="00353568"/>
    <w:rsid w:val="00353B05"/>
    <w:rsid w:val="003544D2"/>
    <w:rsid w:val="00354F7E"/>
    <w:rsid w:val="003554B2"/>
    <w:rsid w:val="00355A71"/>
    <w:rsid w:val="00355AC5"/>
    <w:rsid w:val="00355DDF"/>
    <w:rsid w:val="00356D2E"/>
    <w:rsid w:val="00356DA3"/>
    <w:rsid w:val="00356F1B"/>
    <w:rsid w:val="00356FF6"/>
    <w:rsid w:val="00357298"/>
    <w:rsid w:val="00357626"/>
    <w:rsid w:val="00357876"/>
    <w:rsid w:val="00357AD8"/>
    <w:rsid w:val="00360215"/>
    <w:rsid w:val="00360251"/>
    <w:rsid w:val="00360AE9"/>
    <w:rsid w:val="00360F7F"/>
    <w:rsid w:val="00361024"/>
    <w:rsid w:val="00361750"/>
    <w:rsid w:val="0036176E"/>
    <w:rsid w:val="00361ADB"/>
    <w:rsid w:val="00361E07"/>
    <w:rsid w:val="003621C2"/>
    <w:rsid w:val="003622DA"/>
    <w:rsid w:val="003624AA"/>
    <w:rsid w:val="0036254C"/>
    <w:rsid w:val="00362904"/>
    <w:rsid w:val="00362D7D"/>
    <w:rsid w:val="00362E25"/>
    <w:rsid w:val="00363510"/>
    <w:rsid w:val="00363B5D"/>
    <w:rsid w:val="00363C58"/>
    <w:rsid w:val="00364169"/>
    <w:rsid w:val="00364368"/>
    <w:rsid w:val="0036441B"/>
    <w:rsid w:val="00364706"/>
    <w:rsid w:val="0036480D"/>
    <w:rsid w:val="003649F2"/>
    <w:rsid w:val="00364A74"/>
    <w:rsid w:val="00364DA1"/>
    <w:rsid w:val="00365218"/>
    <w:rsid w:val="003653CA"/>
    <w:rsid w:val="003655B2"/>
    <w:rsid w:val="003658AF"/>
    <w:rsid w:val="00365CD6"/>
    <w:rsid w:val="0036608B"/>
    <w:rsid w:val="0036615C"/>
    <w:rsid w:val="003667DE"/>
    <w:rsid w:val="00367268"/>
    <w:rsid w:val="00367A8D"/>
    <w:rsid w:val="00367CFE"/>
    <w:rsid w:val="00367E10"/>
    <w:rsid w:val="00367EF7"/>
    <w:rsid w:val="00370076"/>
    <w:rsid w:val="00370471"/>
    <w:rsid w:val="003707B7"/>
    <w:rsid w:val="003707D2"/>
    <w:rsid w:val="00370C23"/>
    <w:rsid w:val="00370EBE"/>
    <w:rsid w:val="00370FB3"/>
    <w:rsid w:val="00370FD6"/>
    <w:rsid w:val="00371006"/>
    <w:rsid w:val="00371192"/>
    <w:rsid w:val="003715E3"/>
    <w:rsid w:val="00371ACC"/>
    <w:rsid w:val="00371D0A"/>
    <w:rsid w:val="003720CC"/>
    <w:rsid w:val="003722D1"/>
    <w:rsid w:val="00372A34"/>
    <w:rsid w:val="00372CC2"/>
    <w:rsid w:val="00373264"/>
    <w:rsid w:val="00373C16"/>
    <w:rsid w:val="00373CF5"/>
    <w:rsid w:val="0037410F"/>
    <w:rsid w:val="0037412A"/>
    <w:rsid w:val="003741ED"/>
    <w:rsid w:val="0037469A"/>
    <w:rsid w:val="003746D8"/>
    <w:rsid w:val="00374710"/>
    <w:rsid w:val="00374887"/>
    <w:rsid w:val="00374DB0"/>
    <w:rsid w:val="00375213"/>
    <w:rsid w:val="0037544A"/>
    <w:rsid w:val="00375840"/>
    <w:rsid w:val="00375899"/>
    <w:rsid w:val="00375A7A"/>
    <w:rsid w:val="00375C3E"/>
    <w:rsid w:val="00375D34"/>
    <w:rsid w:val="00375D68"/>
    <w:rsid w:val="00376121"/>
    <w:rsid w:val="00376189"/>
    <w:rsid w:val="00376435"/>
    <w:rsid w:val="00376A13"/>
    <w:rsid w:val="00376FF5"/>
    <w:rsid w:val="0037751A"/>
    <w:rsid w:val="00377977"/>
    <w:rsid w:val="003779EE"/>
    <w:rsid w:val="00377A4C"/>
    <w:rsid w:val="00380669"/>
    <w:rsid w:val="00380AF1"/>
    <w:rsid w:val="00381269"/>
    <w:rsid w:val="0038130C"/>
    <w:rsid w:val="003815B4"/>
    <w:rsid w:val="0038185E"/>
    <w:rsid w:val="00381BDD"/>
    <w:rsid w:val="00383E4C"/>
    <w:rsid w:val="00383ECF"/>
    <w:rsid w:val="00384106"/>
    <w:rsid w:val="0038445C"/>
    <w:rsid w:val="00384665"/>
    <w:rsid w:val="003846F8"/>
    <w:rsid w:val="00384900"/>
    <w:rsid w:val="00384E24"/>
    <w:rsid w:val="00385015"/>
    <w:rsid w:val="003850A8"/>
    <w:rsid w:val="00385374"/>
    <w:rsid w:val="00385407"/>
    <w:rsid w:val="003855EC"/>
    <w:rsid w:val="003857CE"/>
    <w:rsid w:val="0038585B"/>
    <w:rsid w:val="00385C08"/>
    <w:rsid w:val="00386300"/>
    <w:rsid w:val="00386653"/>
    <w:rsid w:val="0038730E"/>
    <w:rsid w:val="00387428"/>
    <w:rsid w:val="00387CBC"/>
    <w:rsid w:val="00387DD6"/>
    <w:rsid w:val="0039006B"/>
    <w:rsid w:val="003900D0"/>
    <w:rsid w:val="0039011A"/>
    <w:rsid w:val="003906FB"/>
    <w:rsid w:val="00391115"/>
    <w:rsid w:val="003912D9"/>
    <w:rsid w:val="00391918"/>
    <w:rsid w:val="003919D5"/>
    <w:rsid w:val="00391BB6"/>
    <w:rsid w:val="00391DE7"/>
    <w:rsid w:val="003931C1"/>
    <w:rsid w:val="00393626"/>
    <w:rsid w:val="00393CF0"/>
    <w:rsid w:val="003940F2"/>
    <w:rsid w:val="00394540"/>
    <w:rsid w:val="0039455B"/>
    <w:rsid w:val="003945A0"/>
    <w:rsid w:val="003947F0"/>
    <w:rsid w:val="00394CBC"/>
    <w:rsid w:val="00395137"/>
    <w:rsid w:val="00395154"/>
    <w:rsid w:val="00395596"/>
    <w:rsid w:val="00395DCC"/>
    <w:rsid w:val="00396121"/>
    <w:rsid w:val="003963C0"/>
    <w:rsid w:val="0039684B"/>
    <w:rsid w:val="0039689D"/>
    <w:rsid w:val="003968DA"/>
    <w:rsid w:val="00396C4D"/>
    <w:rsid w:val="00396DB5"/>
    <w:rsid w:val="003971D5"/>
    <w:rsid w:val="00397677"/>
    <w:rsid w:val="00397918"/>
    <w:rsid w:val="003979F6"/>
    <w:rsid w:val="00397F5A"/>
    <w:rsid w:val="003A053B"/>
    <w:rsid w:val="003A0FC5"/>
    <w:rsid w:val="003A1127"/>
    <w:rsid w:val="003A122D"/>
    <w:rsid w:val="003A1306"/>
    <w:rsid w:val="003A171E"/>
    <w:rsid w:val="003A18F6"/>
    <w:rsid w:val="003A23DB"/>
    <w:rsid w:val="003A2C13"/>
    <w:rsid w:val="003A2C47"/>
    <w:rsid w:val="003A2CFC"/>
    <w:rsid w:val="003A2DAD"/>
    <w:rsid w:val="003A2EC2"/>
    <w:rsid w:val="003A3036"/>
    <w:rsid w:val="003A3094"/>
    <w:rsid w:val="003A310F"/>
    <w:rsid w:val="003A3455"/>
    <w:rsid w:val="003A38E5"/>
    <w:rsid w:val="003A4070"/>
    <w:rsid w:val="003A4236"/>
    <w:rsid w:val="003A49D5"/>
    <w:rsid w:val="003A543F"/>
    <w:rsid w:val="003A5852"/>
    <w:rsid w:val="003A5B41"/>
    <w:rsid w:val="003A5C36"/>
    <w:rsid w:val="003A5CB4"/>
    <w:rsid w:val="003A5D8D"/>
    <w:rsid w:val="003A5FCF"/>
    <w:rsid w:val="003A60D8"/>
    <w:rsid w:val="003A64DC"/>
    <w:rsid w:val="003A6BB7"/>
    <w:rsid w:val="003A6C89"/>
    <w:rsid w:val="003A71C1"/>
    <w:rsid w:val="003A7204"/>
    <w:rsid w:val="003A732C"/>
    <w:rsid w:val="003A73E3"/>
    <w:rsid w:val="003A74C9"/>
    <w:rsid w:val="003A7E33"/>
    <w:rsid w:val="003A7F3B"/>
    <w:rsid w:val="003A7FB5"/>
    <w:rsid w:val="003B0302"/>
    <w:rsid w:val="003B0494"/>
    <w:rsid w:val="003B07C6"/>
    <w:rsid w:val="003B0E66"/>
    <w:rsid w:val="003B1269"/>
    <w:rsid w:val="003B193A"/>
    <w:rsid w:val="003B2267"/>
    <w:rsid w:val="003B2382"/>
    <w:rsid w:val="003B23CC"/>
    <w:rsid w:val="003B24EB"/>
    <w:rsid w:val="003B2DD2"/>
    <w:rsid w:val="003B3027"/>
    <w:rsid w:val="003B30DD"/>
    <w:rsid w:val="003B332E"/>
    <w:rsid w:val="003B35C1"/>
    <w:rsid w:val="003B360B"/>
    <w:rsid w:val="003B3641"/>
    <w:rsid w:val="003B5575"/>
    <w:rsid w:val="003B5BAF"/>
    <w:rsid w:val="003B6358"/>
    <w:rsid w:val="003B637C"/>
    <w:rsid w:val="003B651F"/>
    <w:rsid w:val="003B6C8D"/>
    <w:rsid w:val="003B6CC3"/>
    <w:rsid w:val="003B6DE6"/>
    <w:rsid w:val="003B719A"/>
    <w:rsid w:val="003B723A"/>
    <w:rsid w:val="003B72B8"/>
    <w:rsid w:val="003B7424"/>
    <w:rsid w:val="003B76BD"/>
    <w:rsid w:val="003B7711"/>
    <w:rsid w:val="003C022E"/>
    <w:rsid w:val="003C04D3"/>
    <w:rsid w:val="003C04FE"/>
    <w:rsid w:val="003C0731"/>
    <w:rsid w:val="003C0750"/>
    <w:rsid w:val="003C09D7"/>
    <w:rsid w:val="003C0B8C"/>
    <w:rsid w:val="003C0E73"/>
    <w:rsid w:val="003C1250"/>
    <w:rsid w:val="003C12DC"/>
    <w:rsid w:val="003C12E2"/>
    <w:rsid w:val="003C1AB1"/>
    <w:rsid w:val="003C1AC3"/>
    <w:rsid w:val="003C1E1A"/>
    <w:rsid w:val="003C2149"/>
    <w:rsid w:val="003C216E"/>
    <w:rsid w:val="003C235E"/>
    <w:rsid w:val="003C23D4"/>
    <w:rsid w:val="003C2BC8"/>
    <w:rsid w:val="003C33E2"/>
    <w:rsid w:val="003C3B71"/>
    <w:rsid w:val="003C3EE7"/>
    <w:rsid w:val="003C4C35"/>
    <w:rsid w:val="003C5226"/>
    <w:rsid w:val="003C55AD"/>
    <w:rsid w:val="003C5A0E"/>
    <w:rsid w:val="003C5A81"/>
    <w:rsid w:val="003C644F"/>
    <w:rsid w:val="003C65CA"/>
    <w:rsid w:val="003C6B91"/>
    <w:rsid w:val="003C6D31"/>
    <w:rsid w:val="003C71AF"/>
    <w:rsid w:val="003C72DB"/>
    <w:rsid w:val="003D0168"/>
    <w:rsid w:val="003D0476"/>
    <w:rsid w:val="003D04F4"/>
    <w:rsid w:val="003D08F5"/>
    <w:rsid w:val="003D0AA7"/>
    <w:rsid w:val="003D0FCC"/>
    <w:rsid w:val="003D185B"/>
    <w:rsid w:val="003D18E3"/>
    <w:rsid w:val="003D2937"/>
    <w:rsid w:val="003D2B48"/>
    <w:rsid w:val="003D2CC1"/>
    <w:rsid w:val="003D2D9F"/>
    <w:rsid w:val="003D30D3"/>
    <w:rsid w:val="003D3779"/>
    <w:rsid w:val="003D3934"/>
    <w:rsid w:val="003D39EE"/>
    <w:rsid w:val="003D3A99"/>
    <w:rsid w:val="003D3CFE"/>
    <w:rsid w:val="003D3DEF"/>
    <w:rsid w:val="003D3E0A"/>
    <w:rsid w:val="003D3F4A"/>
    <w:rsid w:val="003D4515"/>
    <w:rsid w:val="003D4D41"/>
    <w:rsid w:val="003D4F61"/>
    <w:rsid w:val="003D5018"/>
    <w:rsid w:val="003D51E5"/>
    <w:rsid w:val="003D5775"/>
    <w:rsid w:val="003D5967"/>
    <w:rsid w:val="003D5AAC"/>
    <w:rsid w:val="003D5F57"/>
    <w:rsid w:val="003D5FF2"/>
    <w:rsid w:val="003D686A"/>
    <w:rsid w:val="003D7216"/>
    <w:rsid w:val="003D7A44"/>
    <w:rsid w:val="003D7BA1"/>
    <w:rsid w:val="003D7C99"/>
    <w:rsid w:val="003D7F11"/>
    <w:rsid w:val="003E0340"/>
    <w:rsid w:val="003E04C7"/>
    <w:rsid w:val="003E04CE"/>
    <w:rsid w:val="003E054A"/>
    <w:rsid w:val="003E070B"/>
    <w:rsid w:val="003E0BF9"/>
    <w:rsid w:val="003E1432"/>
    <w:rsid w:val="003E1584"/>
    <w:rsid w:val="003E1694"/>
    <w:rsid w:val="003E169D"/>
    <w:rsid w:val="003E1A17"/>
    <w:rsid w:val="003E2688"/>
    <w:rsid w:val="003E33E7"/>
    <w:rsid w:val="003E40A5"/>
    <w:rsid w:val="003E40D6"/>
    <w:rsid w:val="003E417C"/>
    <w:rsid w:val="003E4E21"/>
    <w:rsid w:val="003E51A9"/>
    <w:rsid w:val="003E5852"/>
    <w:rsid w:val="003E5949"/>
    <w:rsid w:val="003E59FB"/>
    <w:rsid w:val="003E615E"/>
    <w:rsid w:val="003E64AA"/>
    <w:rsid w:val="003E66E0"/>
    <w:rsid w:val="003E6BBE"/>
    <w:rsid w:val="003E6C52"/>
    <w:rsid w:val="003E6C65"/>
    <w:rsid w:val="003E774A"/>
    <w:rsid w:val="003E779D"/>
    <w:rsid w:val="003E7B99"/>
    <w:rsid w:val="003F05DF"/>
    <w:rsid w:val="003F07FD"/>
    <w:rsid w:val="003F0808"/>
    <w:rsid w:val="003F1A0F"/>
    <w:rsid w:val="003F1AEC"/>
    <w:rsid w:val="003F1FD0"/>
    <w:rsid w:val="003F2557"/>
    <w:rsid w:val="003F2810"/>
    <w:rsid w:val="003F2A50"/>
    <w:rsid w:val="003F2C80"/>
    <w:rsid w:val="003F3015"/>
    <w:rsid w:val="003F3627"/>
    <w:rsid w:val="003F364F"/>
    <w:rsid w:val="003F4374"/>
    <w:rsid w:val="003F484C"/>
    <w:rsid w:val="003F4DA6"/>
    <w:rsid w:val="003F5030"/>
    <w:rsid w:val="003F5588"/>
    <w:rsid w:val="003F56E4"/>
    <w:rsid w:val="003F576A"/>
    <w:rsid w:val="003F5B26"/>
    <w:rsid w:val="003F5C30"/>
    <w:rsid w:val="003F62C1"/>
    <w:rsid w:val="003F69B6"/>
    <w:rsid w:val="003F6AB4"/>
    <w:rsid w:val="003F6B06"/>
    <w:rsid w:val="003F701D"/>
    <w:rsid w:val="003F708B"/>
    <w:rsid w:val="003F7643"/>
    <w:rsid w:val="003F76DB"/>
    <w:rsid w:val="003F7734"/>
    <w:rsid w:val="003F7D57"/>
    <w:rsid w:val="004001D3"/>
    <w:rsid w:val="0040042E"/>
    <w:rsid w:val="004007C6"/>
    <w:rsid w:val="004007F9"/>
    <w:rsid w:val="00400C4D"/>
    <w:rsid w:val="00400CF9"/>
    <w:rsid w:val="00400D39"/>
    <w:rsid w:val="00401032"/>
    <w:rsid w:val="00401097"/>
    <w:rsid w:val="00401D81"/>
    <w:rsid w:val="00401E02"/>
    <w:rsid w:val="00401E4E"/>
    <w:rsid w:val="004025F7"/>
    <w:rsid w:val="004027B5"/>
    <w:rsid w:val="004027C8"/>
    <w:rsid w:val="00402E69"/>
    <w:rsid w:val="00403270"/>
    <w:rsid w:val="00403508"/>
    <w:rsid w:val="004036EA"/>
    <w:rsid w:val="004039B2"/>
    <w:rsid w:val="00403A46"/>
    <w:rsid w:val="00403B3C"/>
    <w:rsid w:val="004046E5"/>
    <w:rsid w:val="00404946"/>
    <w:rsid w:val="004049F4"/>
    <w:rsid w:val="00404A06"/>
    <w:rsid w:val="00404A0D"/>
    <w:rsid w:val="00404A40"/>
    <w:rsid w:val="00404A98"/>
    <w:rsid w:val="00404B64"/>
    <w:rsid w:val="00404CD4"/>
    <w:rsid w:val="00404D40"/>
    <w:rsid w:val="004053C3"/>
    <w:rsid w:val="00405A78"/>
    <w:rsid w:val="00406A57"/>
    <w:rsid w:val="00406CE4"/>
    <w:rsid w:val="00406EC0"/>
    <w:rsid w:val="00406F1E"/>
    <w:rsid w:val="00407A43"/>
    <w:rsid w:val="004105D4"/>
    <w:rsid w:val="00410B88"/>
    <w:rsid w:val="0041101B"/>
    <w:rsid w:val="00411070"/>
    <w:rsid w:val="004114BC"/>
    <w:rsid w:val="00411543"/>
    <w:rsid w:val="004115ED"/>
    <w:rsid w:val="00411740"/>
    <w:rsid w:val="00411DD8"/>
    <w:rsid w:val="004124DF"/>
    <w:rsid w:val="0041276E"/>
    <w:rsid w:val="00412A7D"/>
    <w:rsid w:val="00412C40"/>
    <w:rsid w:val="00412F25"/>
    <w:rsid w:val="00412F2C"/>
    <w:rsid w:val="00413529"/>
    <w:rsid w:val="00413547"/>
    <w:rsid w:val="004136AE"/>
    <w:rsid w:val="00413EFF"/>
    <w:rsid w:val="00413FCB"/>
    <w:rsid w:val="004142F1"/>
    <w:rsid w:val="004143CF"/>
    <w:rsid w:val="004144FC"/>
    <w:rsid w:val="0041461C"/>
    <w:rsid w:val="004149CC"/>
    <w:rsid w:val="00414AF2"/>
    <w:rsid w:val="0041572A"/>
    <w:rsid w:val="004159D7"/>
    <w:rsid w:val="00415AD7"/>
    <w:rsid w:val="00416DB9"/>
    <w:rsid w:val="00417564"/>
    <w:rsid w:val="00417778"/>
    <w:rsid w:val="004177F0"/>
    <w:rsid w:val="00417B54"/>
    <w:rsid w:val="00417C55"/>
    <w:rsid w:val="00420209"/>
    <w:rsid w:val="00420443"/>
    <w:rsid w:val="00420B79"/>
    <w:rsid w:val="00420D29"/>
    <w:rsid w:val="004213B2"/>
    <w:rsid w:val="004217B7"/>
    <w:rsid w:val="004219C2"/>
    <w:rsid w:val="00421F79"/>
    <w:rsid w:val="004229C4"/>
    <w:rsid w:val="00422A9C"/>
    <w:rsid w:val="00422B75"/>
    <w:rsid w:val="00423476"/>
    <w:rsid w:val="00423D56"/>
    <w:rsid w:val="00424092"/>
    <w:rsid w:val="00424113"/>
    <w:rsid w:val="0042466F"/>
    <w:rsid w:val="00424763"/>
    <w:rsid w:val="00424DE8"/>
    <w:rsid w:val="00425034"/>
    <w:rsid w:val="00425194"/>
    <w:rsid w:val="00425543"/>
    <w:rsid w:val="004256CE"/>
    <w:rsid w:val="00425869"/>
    <w:rsid w:val="00425DC0"/>
    <w:rsid w:val="00425E05"/>
    <w:rsid w:val="00425E12"/>
    <w:rsid w:val="00425EA0"/>
    <w:rsid w:val="00426045"/>
    <w:rsid w:val="004261CB"/>
    <w:rsid w:val="00426343"/>
    <w:rsid w:val="0042639F"/>
    <w:rsid w:val="00426967"/>
    <w:rsid w:val="00426EC1"/>
    <w:rsid w:val="0042703E"/>
    <w:rsid w:val="00427985"/>
    <w:rsid w:val="00427AB4"/>
    <w:rsid w:val="00427AE6"/>
    <w:rsid w:val="00427B01"/>
    <w:rsid w:val="00427BC2"/>
    <w:rsid w:val="00427C3F"/>
    <w:rsid w:val="00427ECE"/>
    <w:rsid w:val="0043048B"/>
    <w:rsid w:val="0043053A"/>
    <w:rsid w:val="00430629"/>
    <w:rsid w:val="0043098C"/>
    <w:rsid w:val="00430B8E"/>
    <w:rsid w:val="00430E8E"/>
    <w:rsid w:val="00431613"/>
    <w:rsid w:val="004317D5"/>
    <w:rsid w:val="00431C58"/>
    <w:rsid w:val="0043218F"/>
    <w:rsid w:val="00432869"/>
    <w:rsid w:val="004337D3"/>
    <w:rsid w:val="00433D74"/>
    <w:rsid w:val="00434345"/>
    <w:rsid w:val="00434665"/>
    <w:rsid w:val="00434700"/>
    <w:rsid w:val="00434C74"/>
    <w:rsid w:val="004350DD"/>
    <w:rsid w:val="00435218"/>
    <w:rsid w:val="004355A3"/>
    <w:rsid w:val="004357FC"/>
    <w:rsid w:val="00436370"/>
    <w:rsid w:val="00436884"/>
    <w:rsid w:val="00436F5D"/>
    <w:rsid w:val="00436FBD"/>
    <w:rsid w:val="0043708D"/>
    <w:rsid w:val="00437B48"/>
    <w:rsid w:val="00440191"/>
    <w:rsid w:val="00440FCE"/>
    <w:rsid w:val="00441689"/>
    <w:rsid w:val="00441781"/>
    <w:rsid w:val="004418AF"/>
    <w:rsid w:val="0044217C"/>
    <w:rsid w:val="00442232"/>
    <w:rsid w:val="004423C9"/>
    <w:rsid w:val="00442601"/>
    <w:rsid w:val="004426C2"/>
    <w:rsid w:val="00442880"/>
    <w:rsid w:val="00442D4F"/>
    <w:rsid w:val="00442E3F"/>
    <w:rsid w:val="004433C0"/>
    <w:rsid w:val="004433D7"/>
    <w:rsid w:val="0044351C"/>
    <w:rsid w:val="004444C1"/>
    <w:rsid w:val="004447E9"/>
    <w:rsid w:val="00444A94"/>
    <w:rsid w:val="00444E62"/>
    <w:rsid w:val="004450D9"/>
    <w:rsid w:val="004458CD"/>
    <w:rsid w:val="0044630B"/>
    <w:rsid w:val="00446540"/>
    <w:rsid w:val="004466D9"/>
    <w:rsid w:val="00446DA6"/>
    <w:rsid w:val="00446EB8"/>
    <w:rsid w:val="00447AB8"/>
    <w:rsid w:val="00447B20"/>
    <w:rsid w:val="00447B5C"/>
    <w:rsid w:val="00447BAD"/>
    <w:rsid w:val="00447D3B"/>
    <w:rsid w:val="00450323"/>
    <w:rsid w:val="00450947"/>
    <w:rsid w:val="00450B3F"/>
    <w:rsid w:val="00451108"/>
    <w:rsid w:val="00451647"/>
    <w:rsid w:val="00451A5A"/>
    <w:rsid w:val="00452709"/>
    <w:rsid w:val="00452E5C"/>
    <w:rsid w:val="00452F22"/>
    <w:rsid w:val="00453200"/>
    <w:rsid w:val="00453DC5"/>
    <w:rsid w:val="004542DA"/>
    <w:rsid w:val="004545E2"/>
    <w:rsid w:val="00454C1F"/>
    <w:rsid w:val="00454FCD"/>
    <w:rsid w:val="0045510A"/>
    <w:rsid w:val="00455555"/>
    <w:rsid w:val="0045566C"/>
    <w:rsid w:val="00455D12"/>
    <w:rsid w:val="00456654"/>
    <w:rsid w:val="004567C6"/>
    <w:rsid w:val="0045681D"/>
    <w:rsid w:val="00456B05"/>
    <w:rsid w:val="00456C9F"/>
    <w:rsid w:val="00456D26"/>
    <w:rsid w:val="00456EAB"/>
    <w:rsid w:val="00457327"/>
    <w:rsid w:val="00457532"/>
    <w:rsid w:val="00457805"/>
    <w:rsid w:val="00457C0A"/>
    <w:rsid w:val="00457E1F"/>
    <w:rsid w:val="00460330"/>
    <w:rsid w:val="00460428"/>
    <w:rsid w:val="0046061E"/>
    <w:rsid w:val="00460DFE"/>
    <w:rsid w:val="00460EA9"/>
    <w:rsid w:val="00460FAC"/>
    <w:rsid w:val="004610EC"/>
    <w:rsid w:val="0046141F"/>
    <w:rsid w:val="004617C4"/>
    <w:rsid w:val="00461B33"/>
    <w:rsid w:val="00462081"/>
    <w:rsid w:val="00462418"/>
    <w:rsid w:val="00462471"/>
    <w:rsid w:val="004628CB"/>
    <w:rsid w:val="00463DAE"/>
    <w:rsid w:val="00463E42"/>
    <w:rsid w:val="00464B67"/>
    <w:rsid w:val="00465289"/>
    <w:rsid w:val="00465B5E"/>
    <w:rsid w:val="00465B7D"/>
    <w:rsid w:val="00465F35"/>
    <w:rsid w:val="0046622B"/>
    <w:rsid w:val="00466AC2"/>
    <w:rsid w:val="00466BFC"/>
    <w:rsid w:val="004670AA"/>
    <w:rsid w:val="00467468"/>
    <w:rsid w:val="0046776C"/>
    <w:rsid w:val="00467E17"/>
    <w:rsid w:val="00467E23"/>
    <w:rsid w:val="00467FDF"/>
    <w:rsid w:val="00470AC3"/>
    <w:rsid w:val="00471294"/>
    <w:rsid w:val="00471D25"/>
    <w:rsid w:val="00471D9F"/>
    <w:rsid w:val="00472328"/>
    <w:rsid w:val="0047270C"/>
    <w:rsid w:val="0047276C"/>
    <w:rsid w:val="00472B98"/>
    <w:rsid w:val="00472EFB"/>
    <w:rsid w:val="00472F0D"/>
    <w:rsid w:val="00472FD5"/>
    <w:rsid w:val="00473426"/>
    <w:rsid w:val="004739A7"/>
    <w:rsid w:val="00473D2B"/>
    <w:rsid w:val="004740A9"/>
    <w:rsid w:val="00474507"/>
    <w:rsid w:val="004745AE"/>
    <w:rsid w:val="00474FC8"/>
    <w:rsid w:val="00475035"/>
    <w:rsid w:val="00475256"/>
    <w:rsid w:val="0047528D"/>
    <w:rsid w:val="004757A8"/>
    <w:rsid w:val="004758A2"/>
    <w:rsid w:val="00475DAC"/>
    <w:rsid w:val="00476345"/>
    <w:rsid w:val="00476E7E"/>
    <w:rsid w:val="004773B6"/>
    <w:rsid w:val="0047762F"/>
    <w:rsid w:val="00477818"/>
    <w:rsid w:val="00477863"/>
    <w:rsid w:val="00477C8A"/>
    <w:rsid w:val="00477DFC"/>
    <w:rsid w:val="00477EE2"/>
    <w:rsid w:val="00477F97"/>
    <w:rsid w:val="0048006B"/>
    <w:rsid w:val="004800CE"/>
    <w:rsid w:val="00480312"/>
    <w:rsid w:val="00480453"/>
    <w:rsid w:val="00480530"/>
    <w:rsid w:val="004808CA"/>
    <w:rsid w:val="00480FD1"/>
    <w:rsid w:val="004810D2"/>
    <w:rsid w:val="004810E4"/>
    <w:rsid w:val="00481418"/>
    <w:rsid w:val="0048210E"/>
    <w:rsid w:val="0048223C"/>
    <w:rsid w:val="00482886"/>
    <w:rsid w:val="00483933"/>
    <w:rsid w:val="00483B34"/>
    <w:rsid w:val="00483C24"/>
    <w:rsid w:val="00483DA5"/>
    <w:rsid w:val="004842E5"/>
    <w:rsid w:val="004845AE"/>
    <w:rsid w:val="00484848"/>
    <w:rsid w:val="004853E2"/>
    <w:rsid w:val="00485783"/>
    <w:rsid w:val="004857F7"/>
    <w:rsid w:val="00485BF9"/>
    <w:rsid w:val="00485E54"/>
    <w:rsid w:val="00486514"/>
    <w:rsid w:val="004866C5"/>
    <w:rsid w:val="0048673E"/>
    <w:rsid w:val="00486882"/>
    <w:rsid w:val="00486A4E"/>
    <w:rsid w:val="00486BC0"/>
    <w:rsid w:val="00486C7E"/>
    <w:rsid w:val="00487081"/>
    <w:rsid w:val="0048780F"/>
    <w:rsid w:val="00490F78"/>
    <w:rsid w:val="004914A7"/>
    <w:rsid w:val="004917CE"/>
    <w:rsid w:val="004917E0"/>
    <w:rsid w:val="004919A3"/>
    <w:rsid w:val="00491A28"/>
    <w:rsid w:val="00491E6E"/>
    <w:rsid w:val="00492050"/>
    <w:rsid w:val="00492AF8"/>
    <w:rsid w:val="00492B0B"/>
    <w:rsid w:val="00492BA3"/>
    <w:rsid w:val="00492FBA"/>
    <w:rsid w:val="00493720"/>
    <w:rsid w:val="00493B5C"/>
    <w:rsid w:val="00493DF7"/>
    <w:rsid w:val="0049448D"/>
    <w:rsid w:val="004947A0"/>
    <w:rsid w:val="00494DFC"/>
    <w:rsid w:val="00494E63"/>
    <w:rsid w:val="0049511C"/>
    <w:rsid w:val="00495360"/>
    <w:rsid w:val="00495413"/>
    <w:rsid w:val="00495EBB"/>
    <w:rsid w:val="00495FA1"/>
    <w:rsid w:val="00496098"/>
    <w:rsid w:val="004961FB"/>
    <w:rsid w:val="00496259"/>
    <w:rsid w:val="004963A6"/>
    <w:rsid w:val="004965CB"/>
    <w:rsid w:val="004966F3"/>
    <w:rsid w:val="004969AA"/>
    <w:rsid w:val="00497090"/>
    <w:rsid w:val="00497289"/>
    <w:rsid w:val="00497562"/>
    <w:rsid w:val="004977DA"/>
    <w:rsid w:val="00497995"/>
    <w:rsid w:val="00497ACC"/>
    <w:rsid w:val="00497E7E"/>
    <w:rsid w:val="004A0405"/>
    <w:rsid w:val="004A0697"/>
    <w:rsid w:val="004A0EC5"/>
    <w:rsid w:val="004A1D14"/>
    <w:rsid w:val="004A1D83"/>
    <w:rsid w:val="004A2749"/>
    <w:rsid w:val="004A274A"/>
    <w:rsid w:val="004A27EA"/>
    <w:rsid w:val="004A295B"/>
    <w:rsid w:val="004A2C01"/>
    <w:rsid w:val="004A319F"/>
    <w:rsid w:val="004A376D"/>
    <w:rsid w:val="004A3ACD"/>
    <w:rsid w:val="004A3C39"/>
    <w:rsid w:val="004A3FB5"/>
    <w:rsid w:val="004A4091"/>
    <w:rsid w:val="004A451F"/>
    <w:rsid w:val="004A485A"/>
    <w:rsid w:val="004A4DC4"/>
    <w:rsid w:val="004A5424"/>
    <w:rsid w:val="004A5490"/>
    <w:rsid w:val="004A5B44"/>
    <w:rsid w:val="004A6358"/>
    <w:rsid w:val="004A6487"/>
    <w:rsid w:val="004A654E"/>
    <w:rsid w:val="004A698B"/>
    <w:rsid w:val="004A6C3A"/>
    <w:rsid w:val="004A76D5"/>
    <w:rsid w:val="004A7D3C"/>
    <w:rsid w:val="004A7E57"/>
    <w:rsid w:val="004B0827"/>
    <w:rsid w:val="004B0831"/>
    <w:rsid w:val="004B0CDA"/>
    <w:rsid w:val="004B0DE2"/>
    <w:rsid w:val="004B127B"/>
    <w:rsid w:val="004B1592"/>
    <w:rsid w:val="004B1679"/>
    <w:rsid w:val="004B17E1"/>
    <w:rsid w:val="004B187F"/>
    <w:rsid w:val="004B21F7"/>
    <w:rsid w:val="004B2504"/>
    <w:rsid w:val="004B3407"/>
    <w:rsid w:val="004B3B03"/>
    <w:rsid w:val="004B3D93"/>
    <w:rsid w:val="004B55AA"/>
    <w:rsid w:val="004B58DC"/>
    <w:rsid w:val="004B5957"/>
    <w:rsid w:val="004B5C64"/>
    <w:rsid w:val="004B5D0A"/>
    <w:rsid w:val="004B5F0D"/>
    <w:rsid w:val="004B6062"/>
    <w:rsid w:val="004B646C"/>
    <w:rsid w:val="004B696D"/>
    <w:rsid w:val="004B698A"/>
    <w:rsid w:val="004B7497"/>
    <w:rsid w:val="004B74F0"/>
    <w:rsid w:val="004B7997"/>
    <w:rsid w:val="004B7CE1"/>
    <w:rsid w:val="004C078A"/>
    <w:rsid w:val="004C0820"/>
    <w:rsid w:val="004C0A57"/>
    <w:rsid w:val="004C0ACF"/>
    <w:rsid w:val="004C0AEE"/>
    <w:rsid w:val="004C1845"/>
    <w:rsid w:val="004C205E"/>
    <w:rsid w:val="004C25C3"/>
    <w:rsid w:val="004C27BB"/>
    <w:rsid w:val="004C2B75"/>
    <w:rsid w:val="004C3C1A"/>
    <w:rsid w:val="004C3D83"/>
    <w:rsid w:val="004C408E"/>
    <w:rsid w:val="004C40EF"/>
    <w:rsid w:val="004C4111"/>
    <w:rsid w:val="004C414A"/>
    <w:rsid w:val="004C4662"/>
    <w:rsid w:val="004C46D2"/>
    <w:rsid w:val="004C4831"/>
    <w:rsid w:val="004C4B97"/>
    <w:rsid w:val="004C5D29"/>
    <w:rsid w:val="004C6026"/>
    <w:rsid w:val="004C6278"/>
    <w:rsid w:val="004C648E"/>
    <w:rsid w:val="004C768D"/>
    <w:rsid w:val="004D00B0"/>
    <w:rsid w:val="004D050D"/>
    <w:rsid w:val="004D11D5"/>
    <w:rsid w:val="004D11E9"/>
    <w:rsid w:val="004D1230"/>
    <w:rsid w:val="004D1647"/>
    <w:rsid w:val="004D1EAA"/>
    <w:rsid w:val="004D23D8"/>
    <w:rsid w:val="004D248C"/>
    <w:rsid w:val="004D2BA4"/>
    <w:rsid w:val="004D2C59"/>
    <w:rsid w:val="004D2DC2"/>
    <w:rsid w:val="004D2E53"/>
    <w:rsid w:val="004D30DF"/>
    <w:rsid w:val="004D395C"/>
    <w:rsid w:val="004D3962"/>
    <w:rsid w:val="004D3FE5"/>
    <w:rsid w:val="004D409D"/>
    <w:rsid w:val="004D4317"/>
    <w:rsid w:val="004D4339"/>
    <w:rsid w:val="004D4CC5"/>
    <w:rsid w:val="004D514E"/>
    <w:rsid w:val="004D51B6"/>
    <w:rsid w:val="004D51DC"/>
    <w:rsid w:val="004D605B"/>
    <w:rsid w:val="004D64DA"/>
    <w:rsid w:val="004D683F"/>
    <w:rsid w:val="004D6C32"/>
    <w:rsid w:val="004D6D57"/>
    <w:rsid w:val="004D765C"/>
    <w:rsid w:val="004D7BDE"/>
    <w:rsid w:val="004E006E"/>
    <w:rsid w:val="004E010D"/>
    <w:rsid w:val="004E0173"/>
    <w:rsid w:val="004E01BE"/>
    <w:rsid w:val="004E07C2"/>
    <w:rsid w:val="004E0C9B"/>
    <w:rsid w:val="004E0E0B"/>
    <w:rsid w:val="004E12B9"/>
    <w:rsid w:val="004E1351"/>
    <w:rsid w:val="004E1388"/>
    <w:rsid w:val="004E1478"/>
    <w:rsid w:val="004E1A58"/>
    <w:rsid w:val="004E1BE1"/>
    <w:rsid w:val="004E2199"/>
    <w:rsid w:val="004E2202"/>
    <w:rsid w:val="004E223C"/>
    <w:rsid w:val="004E2675"/>
    <w:rsid w:val="004E2686"/>
    <w:rsid w:val="004E26C3"/>
    <w:rsid w:val="004E2D03"/>
    <w:rsid w:val="004E2EF4"/>
    <w:rsid w:val="004E2FEE"/>
    <w:rsid w:val="004E3F1B"/>
    <w:rsid w:val="004E4297"/>
    <w:rsid w:val="004E4840"/>
    <w:rsid w:val="004E4DAE"/>
    <w:rsid w:val="004E4E9B"/>
    <w:rsid w:val="004E4EF7"/>
    <w:rsid w:val="004E5816"/>
    <w:rsid w:val="004E5B20"/>
    <w:rsid w:val="004E5BD8"/>
    <w:rsid w:val="004E5D6C"/>
    <w:rsid w:val="004E6166"/>
    <w:rsid w:val="004E6331"/>
    <w:rsid w:val="004E63AB"/>
    <w:rsid w:val="004E6590"/>
    <w:rsid w:val="004E6651"/>
    <w:rsid w:val="004E66AE"/>
    <w:rsid w:val="004E673F"/>
    <w:rsid w:val="004E67CA"/>
    <w:rsid w:val="004E6ACE"/>
    <w:rsid w:val="004E6C35"/>
    <w:rsid w:val="004E6CEF"/>
    <w:rsid w:val="004E71A7"/>
    <w:rsid w:val="004E7803"/>
    <w:rsid w:val="004F043D"/>
    <w:rsid w:val="004F0BBE"/>
    <w:rsid w:val="004F0DA6"/>
    <w:rsid w:val="004F0E14"/>
    <w:rsid w:val="004F16C1"/>
    <w:rsid w:val="004F1885"/>
    <w:rsid w:val="004F1987"/>
    <w:rsid w:val="004F19C8"/>
    <w:rsid w:val="004F20B1"/>
    <w:rsid w:val="004F23AC"/>
    <w:rsid w:val="004F2868"/>
    <w:rsid w:val="004F2A24"/>
    <w:rsid w:val="004F31DB"/>
    <w:rsid w:val="004F3564"/>
    <w:rsid w:val="004F364C"/>
    <w:rsid w:val="004F37D0"/>
    <w:rsid w:val="004F39B1"/>
    <w:rsid w:val="004F439D"/>
    <w:rsid w:val="004F4683"/>
    <w:rsid w:val="004F4944"/>
    <w:rsid w:val="004F4B8F"/>
    <w:rsid w:val="004F4BE3"/>
    <w:rsid w:val="004F4C2E"/>
    <w:rsid w:val="004F52ED"/>
    <w:rsid w:val="004F5438"/>
    <w:rsid w:val="004F54E8"/>
    <w:rsid w:val="004F586B"/>
    <w:rsid w:val="004F58C4"/>
    <w:rsid w:val="004F58EA"/>
    <w:rsid w:val="004F5F32"/>
    <w:rsid w:val="004F5FC2"/>
    <w:rsid w:val="004F60B4"/>
    <w:rsid w:val="004F7C24"/>
    <w:rsid w:val="004F7C5D"/>
    <w:rsid w:val="00500054"/>
    <w:rsid w:val="00500601"/>
    <w:rsid w:val="0050086E"/>
    <w:rsid w:val="00500B83"/>
    <w:rsid w:val="00501647"/>
    <w:rsid w:val="00501C6D"/>
    <w:rsid w:val="00501DDB"/>
    <w:rsid w:val="00501FC6"/>
    <w:rsid w:val="00502647"/>
    <w:rsid w:val="00502680"/>
    <w:rsid w:val="00502927"/>
    <w:rsid w:val="00502971"/>
    <w:rsid w:val="00502C11"/>
    <w:rsid w:val="00502E87"/>
    <w:rsid w:val="00502F50"/>
    <w:rsid w:val="00502FE4"/>
    <w:rsid w:val="0050313A"/>
    <w:rsid w:val="00503922"/>
    <w:rsid w:val="00503A99"/>
    <w:rsid w:val="00503C6F"/>
    <w:rsid w:val="00503DED"/>
    <w:rsid w:val="0050412F"/>
    <w:rsid w:val="00504203"/>
    <w:rsid w:val="00504475"/>
    <w:rsid w:val="005046FF"/>
    <w:rsid w:val="005049E5"/>
    <w:rsid w:val="00504DF8"/>
    <w:rsid w:val="005051FF"/>
    <w:rsid w:val="00505CFE"/>
    <w:rsid w:val="0050611C"/>
    <w:rsid w:val="0050670C"/>
    <w:rsid w:val="00506D96"/>
    <w:rsid w:val="00507728"/>
    <w:rsid w:val="00507926"/>
    <w:rsid w:val="00507C1D"/>
    <w:rsid w:val="005104CD"/>
    <w:rsid w:val="005105FA"/>
    <w:rsid w:val="00510867"/>
    <w:rsid w:val="00510952"/>
    <w:rsid w:val="00510DCE"/>
    <w:rsid w:val="005112A5"/>
    <w:rsid w:val="0051148D"/>
    <w:rsid w:val="00511642"/>
    <w:rsid w:val="00511BFE"/>
    <w:rsid w:val="0051203E"/>
    <w:rsid w:val="0051205E"/>
    <w:rsid w:val="00512507"/>
    <w:rsid w:val="0051279E"/>
    <w:rsid w:val="005129FE"/>
    <w:rsid w:val="00512AC0"/>
    <w:rsid w:val="00512E8D"/>
    <w:rsid w:val="00512F7F"/>
    <w:rsid w:val="005143BD"/>
    <w:rsid w:val="0051454D"/>
    <w:rsid w:val="00514596"/>
    <w:rsid w:val="00514793"/>
    <w:rsid w:val="005152E5"/>
    <w:rsid w:val="00515409"/>
    <w:rsid w:val="0051547A"/>
    <w:rsid w:val="00515B82"/>
    <w:rsid w:val="0051687F"/>
    <w:rsid w:val="00517354"/>
    <w:rsid w:val="005173F5"/>
    <w:rsid w:val="00517C70"/>
    <w:rsid w:val="00517EE4"/>
    <w:rsid w:val="00520130"/>
    <w:rsid w:val="005201D1"/>
    <w:rsid w:val="0052020B"/>
    <w:rsid w:val="00520556"/>
    <w:rsid w:val="00520A0F"/>
    <w:rsid w:val="00520BAF"/>
    <w:rsid w:val="00520FDF"/>
    <w:rsid w:val="00521394"/>
    <w:rsid w:val="00521872"/>
    <w:rsid w:val="00521B88"/>
    <w:rsid w:val="00521C32"/>
    <w:rsid w:val="005221A2"/>
    <w:rsid w:val="005221A7"/>
    <w:rsid w:val="005229CD"/>
    <w:rsid w:val="00522B0D"/>
    <w:rsid w:val="00522B1C"/>
    <w:rsid w:val="00522C16"/>
    <w:rsid w:val="00522E7C"/>
    <w:rsid w:val="00522F3B"/>
    <w:rsid w:val="0052375E"/>
    <w:rsid w:val="00523EA6"/>
    <w:rsid w:val="00524143"/>
    <w:rsid w:val="005243B2"/>
    <w:rsid w:val="005243EB"/>
    <w:rsid w:val="00524872"/>
    <w:rsid w:val="00525431"/>
    <w:rsid w:val="005254FA"/>
    <w:rsid w:val="0052572E"/>
    <w:rsid w:val="005257F8"/>
    <w:rsid w:val="00525825"/>
    <w:rsid w:val="00525A24"/>
    <w:rsid w:val="00526A21"/>
    <w:rsid w:val="00527C64"/>
    <w:rsid w:val="00527FEA"/>
    <w:rsid w:val="00530F44"/>
    <w:rsid w:val="00531171"/>
    <w:rsid w:val="005315D1"/>
    <w:rsid w:val="00531991"/>
    <w:rsid w:val="00531A03"/>
    <w:rsid w:val="0053240A"/>
    <w:rsid w:val="00532550"/>
    <w:rsid w:val="00532B7C"/>
    <w:rsid w:val="00533241"/>
    <w:rsid w:val="00533686"/>
    <w:rsid w:val="00533974"/>
    <w:rsid w:val="005339F0"/>
    <w:rsid w:val="00533CA1"/>
    <w:rsid w:val="00533E38"/>
    <w:rsid w:val="00533EA1"/>
    <w:rsid w:val="0053411E"/>
    <w:rsid w:val="005342C6"/>
    <w:rsid w:val="005346AD"/>
    <w:rsid w:val="005347D5"/>
    <w:rsid w:val="0053524D"/>
    <w:rsid w:val="00535267"/>
    <w:rsid w:val="005354A1"/>
    <w:rsid w:val="00535A38"/>
    <w:rsid w:val="00535C79"/>
    <w:rsid w:val="00535F35"/>
    <w:rsid w:val="00535F71"/>
    <w:rsid w:val="00536E10"/>
    <w:rsid w:val="00536FC6"/>
    <w:rsid w:val="00537059"/>
    <w:rsid w:val="00537726"/>
    <w:rsid w:val="0053787C"/>
    <w:rsid w:val="00537F1A"/>
    <w:rsid w:val="00540014"/>
    <w:rsid w:val="005401B6"/>
    <w:rsid w:val="005404DD"/>
    <w:rsid w:val="00540609"/>
    <w:rsid w:val="005408B7"/>
    <w:rsid w:val="00540A17"/>
    <w:rsid w:val="00540C80"/>
    <w:rsid w:val="00540E0D"/>
    <w:rsid w:val="00540F2A"/>
    <w:rsid w:val="00541239"/>
    <w:rsid w:val="0054184E"/>
    <w:rsid w:val="00541963"/>
    <w:rsid w:val="00541999"/>
    <w:rsid w:val="00541CE3"/>
    <w:rsid w:val="00541D50"/>
    <w:rsid w:val="00541E23"/>
    <w:rsid w:val="00541E2A"/>
    <w:rsid w:val="0054221F"/>
    <w:rsid w:val="005427A0"/>
    <w:rsid w:val="00542923"/>
    <w:rsid w:val="0054298B"/>
    <w:rsid w:val="00542D47"/>
    <w:rsid w:val="0054306E"/>
    <w:rsid w:val="005430D7"/>
    <w:rsid w:val="00543473"/>
    <w:rsid w:val="00543597"/>
    <w:rsid w:val="005436AF"/>
    <w:rsid w:val="005438DB"/>
    <w:rsid w:val="00543C0F"/>
    <w:rsid w:val="00543F10"/>
    <w:rsid w:val="00544303"/>
    <w:rsid w:val="00544490"/>
    <w:rsid w:val="0054481A"/>
    <w:rsid w:val="00544940"/>
    <w:rsid w:val="0054496B"/>
    <w:rsid w:val="00544A47"/>
    <w:rsid w:val="00544A9B"/>
    <w:rsid w:val="00544EC0"/>
    <w:rsid w:val="00544FE9"/>
    <w:rsid w:val="00545264"/>
    <w:rsid w:val="0054529B"/>
    <w:rsid w:val="00545874"/>
    <w:rsid w:val="005458B7"/>
    <w:rsid w:val="00545DF5"/>
    <w:rsid w:val="00545E5F"/>
    <w:rsid w:val="005461EC"/>
    <w:rsid w:val="00546577"/>
    <w:rsid w:val="00547835"/>
    <w:rsid w:val="00547E61"/>
    <w:rsid w:val="005501E0"/>
    <w:rsid w:val="00550524"/>
    <w:rsid w:val="00550A58"/>
    <w:rsid w:val="00550B65"/>
    <w:rsid w:val="00550F05"/>
    <w:rsid w:val="005511A9"/>
    <w:rsid w:val="00551445"/>
    <w:rsid w:val="005516BD"/>
    <w:rsid w:val="00551735"/>
    <w:rsid w:val="0055196A"/>
    <w:rsid w:val="005519B2"/>
    <w:rsid w:val="00551E58"/>
    <w:rsid w:val="00551F99"/>
    <w:rsid w:val="0055200C"/>
    <w:rsid w:val="0055212D"/>
    <w:rsid w:val="005521CC"/>
    <w:rsid w:val="0055276D"/>
    <w:rsid w:val="00553E90"/>
    <w:rsid w:val="005547A7"/>
    <w:rsid w:val="0055496A"/>
    <w:rsid w:val="00554A90"/>
    <w:rsid w:val="00555503"/>
    <w:rsid w:val="00555640"/>
    <w:rsid w:val="00555709"/>
    <w:rsid w:val="00555854"/>
    <w:rsid w:val="00555B9E"/>
    <w:rsid w:val="00555C2B"/>
    <w:rsid w:val="00555FA9"/>
    <w:rsid w:val="005562D1"/>
    <w:rsid w:val="005572BF"/>
    <w:rsid w:val="005572DC"/>
    <w:rsid w:val="005572E2"/>
    <w:rsid w:val="00557412"/>
    <w:rsid w:val="0055779D"/>
    <w:rsid w:val="005600B0"/>
    <w:rsid w:val="005607F4"/>
    <w:rsid w:val="005610B6"/>
    <w:rsid w:val="0056180E"/>
    <w:rsid w:val="00561CE2"/>
    <w:rsid w:val="00561E38"/>
    <w:rsid w:val="00562066"/>
    <w:rsid w:val="00562143"/>
    <w:rsid w:val="00562A6A"/>
    <w:rsid w:val="00562AA6"/>
    <w:rsid w:val="00562DA2"/>
    <w:rsid w:val="00562F0F"/>
    <w:rsid w:val="0056355B"/>
    <w:rsid w:val="00564103"/>
    <w:rsid w:val="00564143"/>
    <w:rsid w:val="00564633"/>
    <w:rsid w:val="00564A67"/>
    <w:rsid w:val="00564B19"/>
    <w:rsid w:val="00565087"/>
    <w:rsid w:val="00565244"/>
    <w:rsid w:val="00565782"/>
    <w:rsid w:val="00565B99"/>
    <w:rsid w:val="00565D66"/>
    <w:rsid w:val="00565EBB"/>
    <w:rsid w:val="00566069"/>
    <w:rsid w:val="0056651D"/>
    <w:rsid w:val="0056698B"/>
    <w:rsid w:val="00566E07"/>
    <w:rsid w:val="00567512"/>
    <w:rsid w:val="005676CE"/>
    <w:rsid w:val="005676E8"/>
    <w:rsid w:val="00567910"/>
    <w:rsid w:val="00567929"/>
    <w:rsid w:val="00567A86"/>
    <w:rsid w:val="00567DED"/>
    <w:rsid w:val="00567EDD"/>
    <w:rsid w:val="00567F7C"/>
    <w:rsid w:val="005709E8"/>
    <w:rsid w:val="00570ACF"/>
    <w:rsid w:val="00570D90"/>
    <w:rsid w:val="00570EDA"/>
    <w:rsid w:val="005710C2"/>
    <w:rsid w:val="005711DD"/>
    <w:rsid w:val="005716EA"/>
    <w:rsid w:val="00571760"/>
    <w:rsid w:val="00571C2F"/>
    <w:rsid w:val="00571E18"/>
    <w:rsid w:val="0057225B"/>
    <w:rsid w:val="00572537"/>
    <w:rsid w:val="005727DE"/>
    <w:rsid w:val="00572BF2"/>
    <w:rsid w:val="005735AB"/>
    <w:rsid w:val="00573953"/>
    <w:rsid w:val="00573E93"/>
    <w:rsid w:val="00574291"/>
    <w:rsid w:val="005746B2"/>
    <w:rsid w:val="00574B32"/>
    <w:rsid w:val="005751D0"/>
    <w:rsid w:val="00575BDD"/>
    <w:rsid w:val="00575D65"/>
    <w:rsid w:val="005761A0"/>
    <w:rsid w:val="00576502"/>
    <w:rsid w:val="0057671D"/>
    <w:rsid w:val="00576796"/>
    <w:rsid w:val="005775F9"/>
    <w:rsid w:val="005776AC"/>
    <w:rsid w:val="005776E8"/>
    <w:rsid w:val="00577A01"/>
    <w:rsid w:val="00577EA6"/>
    <w:rsid w:val="0058018E"/>
    <w:rsid w:val="00580362"/>
    <w:rsid w:val="00580746"/>
    <w:rsid w:val="00580815"/>
    <w:rsid w:val="0058093E"/>
    <w:rsid w:val="00580B53"/>
    <w:rsid w:val="00580F8D"/>
    <w:rsid w:val="0058146D"/>
    <w:rsid w:val="005820E5"/>
    <w:rsid w:val="0058232B"/>
    <w:rsid w:val="005823A0"/>
    <w:rsid w:val="00582871"/>
    <w:rsid w:val="005829B4"/>
    <w:rsid w:val="00582BF1"/>
    <w:rsid w:val="00583017"/>
    <w:rsid w:val="00583368"/>
    <w:rsid w:val="005834F7"/>
    <w:rsid w:val="00583573"/>
    <w:rsid w:val="00583D01"/>
    <w:rsid w:val="00584167"/>
    <w:rsid w:val="005841E6"/>
    <w:rsid w:val="00584570"/>
    <w:rsid w:val="005846A8"/>
    <w:rsid w:val="00584964"/>
    <w:rsid w:val="0058525B"/>
    <w:rsid w:val="00585435"/>
    <w:rsid w:val="005857DD"/>
    <w:rsid w:val="00586535"/>
    <w:rsid w:val="005874E4"/>
    <w:rsid w:val="005877D7"/>
    <w:rsid w:val="00587A83"/>
    <w:rsid w:val="00587EF0"/>
    <w:rsid w:val="0059033D"/>
    <w:rsid w:val="00590A55"/>
    <w:rsid w:val="00590E7A"/>
    <w:rsid w:val="0059181C"/>
    <w:rsid w:val="00591A6F"/>
    <w:rsid w:val="00591C24"/>
    <w:rsid w:val="00591CDD"/>
    <w:rsid w:val="0059244C"/>
    <w:rsid w:val="00592515"/>
    <w:rsid w:val="0059272B"/>
    <w:rsid w:val="005932FD"/>
    <w:rsid w:val="0059340A"/>
    <w:rsid w:val="005937AB"/>
    <w:rsid w:val="00593CCF"/>
    <w:rsid w:val="00594672"/>
    <w:rsid w:val="00594698"/>
    <w:rsid w:val="00594BD2"/>
    <w:rsid w:val="00594DDC"/>
    <w:rsid w:val="00595290"/>
    <w:rsid w:val="0059543A"/>
    <w:rsid w:val="005956EA"/>
    <w:rsid w:val="0059574A"/>
    <w:rsid w:val="00595890"/>
    <w:rsid w:val="005958EC"/>
    <w:rsid w:val="00595977"/>
    <w:rsid w:val="005961E3"/>
    <w:rsid w:val="00596667"/>
    <w:rsid w:val="00596703"/>
    <w:rsid w:val="00596763"/>
    <w:rsid w:val="00596A37"/>
    <w:rsid w:val="00596AE7"/>
    <w:rsid w:val="00596E31"/>
    <w:rsid w:val="00596E87"/>
    <w:rsid w:val="005972F9"/>
    <w:rsid w:val="00597555"/>
    <w:rsid w:val="00597776"/>
    <w:rsid w:val="00597EF4"/>
    <w:rsid w:val="00597F5E"/>
    <w:rsid w:val="00597FDD"/>
    <w:rsid w:val="005A0DEE"/>
    <w:rsid w:val="005A1117"/>
    <w:rsid w:val="005A18A4"/>
    <w:rsid w:val="005A1DFD"/>
    <w:rsid w:val="005A1FCC"/>
    <w:rsid w:val="005A30C8"/>
    <w:rsid w:val="005A346B"/>
    <w:rsid w:val="005A34B4"/>
    <w:rsid w:val="005A35FF"/>
    <w:rsid w:val="005A387F"/>
    <w:rsid w:val="005A38DB"/>
    <w:rsid w:val="005A3923"/>
    <w:rsid w:val="005A39CF"/>
    <w:rsid w:val="005A3A39"/>
    <w:rsid w:val="005A3E73"/>
    <w:rsid w:val="005A3F0A"/>
    <w:rsid w:val="005A3F43"/>
    <w:rsid w:val="005A4091"/>
    <w:rsid w:val="005A410B"/>
    <w:rsid w:val="005A4276"/>
    <w:rsid w:val="005A4400"/>
    <w:rsid w:val="005A4A8B"/>
    <w:rsid w:val="005A4CA8"/>
    <w:rsid w:val="005A505C"/>
    <w:rsid w:val="005A55D9"/>
    <w:rsid w:val="005A55F9"/>
    <w:rsid w:val="005A59E0"/>
    <w:rsid w:val="005A5E54"/>
    <w:rsid w:val="005A6121"/>
    <w:rsid w:val="005A65BF"/>
    <w:rsid w:val="005A673D"/>
    <w:rsid w:val="005A69FC"/>
    <w:rsid w:val="005A711B"/>
    <w:rsid w:val="005A7374"/>
    <w:rsid w:val="005A7A59"/>
    <w:rsid w:val="005A7F55"/>
    <w:rsid w:val="005B009D"/>
    <w:rsid w:val="005B047F"/>
    <w:rsid w:val="005B0A40"/>
    <w:rsid w:val="005B0CE4"/>
    <w:rsid w:val="005B1C6A"/>
    <w:rsid w:val="005B1FEA"/>
    <w:rsid w:val="005B20BF"/>
    <w:rsid w:val="005B2141"/>
    <w:rsid w:val="005B24E1"/>
    <w:rsid w:val="005B2F91"/>
    <w:rsid w:val="005B30FE"/>
    <w:rsid w:val="005B37AB"/>
    <w:rsid w:val="005B4627"/>
    <w:rsid w:val="005B46A6"/>
    <w:rsid w:val="005B516F"/>
    <w:rsid w:val="005B51BB"/>
    <w:rsid w:val="005B5C65"/>
    <w:rsid w:val="005B5D64"/>
    <w:rsid w:val="005B5EC3"/>
    <w:rsid w:val="005B618B"/>
    <w:rsid w:val="005B6589"/>
    <w:rsid w:val="005B6AEC"/>
    <w:rsid w:val="005B6EEF"/>
    <w:rsid w:val="005B7145"/>
    <w:rsid w:val="005B72BD"/>
    <w:rsid w:val="005B74D5"/>
    <w:rsid w:val="005B7991"/>
    <w:rsid w:val="005B7D9B"/>
    <w:rsid w:val="005C0698"/>
    <w:rsid w:val="005C0853"/>
    <w:rsid w:val="005C08C0"/>
    <w:rsid w:val="005C1038"/>
    <w:rsid w:val="005C1EF0"/>
    <w:rsid w:val="005C2118"/>
    <w:rsid w:val="005C23B2"/>
    <w:rsid w:val="005C3417"/>
    <w:rsid w:val="005C41E3"/>
    <w:rsid w:val="005C45B1"/>
    <w:rsid w:val="005C4651"/>
    <w:rsid w:val="005C46B1"/>
    <w:rsid w:val="005C4762"/>
    <w:rsid w:val="005C4A1B"/>
    <w:rsid w:val="005C5F00"/>
    <w:rsid w:val="005C6360"/>
    <w:rsid w:val="005C68CC"/>
    <w:rsid w:val="005C6C1D"/>
    <w:rsid w:val="005C6CFD"/>
    <w:rsid w:val="005C727B"/>
    <w:rsid w:val="005C7483"/>
    <w:rsid w:val="005C788C"/>
    <w:rsid w:val="005D01FC"/>
    <w:rsid w:val="005D0259"/>
    <w:rsid w:val="005D0775"/>
    <w:rsid w:val="005D0DEF"/>
    <w:rsid w:val="005D11EE"/>
    <w:rsid w:val="005D15D6"/>
    <w:rsid w:val="005D16D4"/>
    <w:rsid w:val="005D1D1D"/>
    <w:rsid w:val="005D1FEA"/>
    <w:rsid w:val="005D2A35"/>
    <w:rsid w:val="005D2B8C"/>
    <w:rsid w:val="005D2DA7"/>
    <w:rsid w:val="005D30B1"/>
    <w:rsid w:val="005D328D"/>
    <w:rsid w:val="005D3AEC"/>
    <w:rsid w:val="005D3D86"/>
    <w:rsid w:val="005D4068"/>
    <w:rsid w:val="005D4116"/>
    <w:rsid w:val="005D4DAA"/>
    <w:rsid w:val="005D4ED7"/>
    <w:rsid w:val="005D4FE3"/>
    <w:rsid w:val="005D573D"/>
    <w:rsid w:val="005D58FD"/>
    <w:rsid w:val="005D69CC"/>
    <w:rsid w:val="005D7260"/>
    <w:rsid w:val="005D72E7"/>
    <w:rsid w:val="005D7338"/>
    <w:rsid w:val="005D7504"/>
    <w:rsid w:val="005D779C"/>
    <w:rsid w:val="005D7DCA"/>
    <w:rsid w:val="005D7DEE"/>
    <w:rsid w:val="005D7DFC"/>
    <w:rsid w:val="005E031E"/>
    <w:rsid w:val="005E0358"/>
    <w:rsid w:val="005E0442"/>
    <w:rsid w:val="005E0E14"/>
    <w:rsid w:val="005E0E40"/>
    <w:rsid w:val="005E140A"/>
    <w:rsid w:val="005E1D86"/>
    <w:rsid w:val="005E237C"/>
    <w:rsid w:val="005E23AB"/>
    <w:rsid w:val="005E249C"/>
    <w:rsid w:val="005E2538"/>
    <w:rsid w:val="005E2A4B"/>
    <w:rsid w:val="005E2D16"/>
    <w:rsid w:val="005E34BE"/>
    <w:rsid w:val="005E3777"/>
    <w:rsid w:val="005E3ABB"/>
    <w:rsid w:val="005E3BC1"/>
    <w:rsid w:val="005E3C81"/>
    <w:rsid w:val="005E4002"/>
    <w:rsid w:val="005E416A"/>
    <w:rsid w:val="005E4363"/>
    <w:rsid w:val="005E4393"/>
    <w:rsid w:val="005E4902"/>
    <w:rsid w:val="005E4AA4"/>
    <w:rsid w:val="005E4C7C"/>
    <w:rsid w:val="005E4D70"/>
    <w:rsid w:val="005E4FBE"/>
    <w:rsid w:val="005E50F2"/>
    <w:rsid w:val="005E52BB"/>
    <w:rsid w:val="005E584A"/>
    <w:rsid w:val="005E590F"/>
    <w:rsid w:val="005E5B53"/>
    <w:rsid w:val="005E68C4"/>
    <w:rsid w:val="005E69A6"/>
    <w:rsid w:val="005E70FB"/>
    <w:rsid w:val="005E71F2"/>
    <w:rsid w:val="005E732B"/>
    <w:rsid w:val="005E7AF9"/>
    <w:rsid w:val="005E7B11"/>
    <w:rsid w:val="005E7DA2"/>
    <w:rsid w:val="005F07A6"/>
    <w:rsid w:val="005F07C9"/>
    <w:rsid w:val="005F0803"/>
    <w:rsid w:val="005F0939"/>
    <w:rsid w:val="005F0E1F"/>
    <w:rsid w:val="005F1226"/>
    <w:rsid w:val="005F1C40"/>
    <w:rsid w:val="005F269B"/>
    <w:rsid w:val="005F276B"/>
    <w:rsid w:val="005F2990"/>
    <w:rsid w:val="005F2AAB"/>
    <w:rsid w:val="005F2AE7"/>
    <w:rsid w:val="005F2C72"/>
    <w:rsid w:val="005F2CB4"/>
    <w:rsid w:val="005F2D4A"/>
    <w:rsid w:val="005F2F61"/>
    <w:rsid w:val="005F32F1"/>
    <w:rsid w:val="005F3311"/>
    <w:rsid w:val="005F351B"/>
    <w:rsid w:val="005F3978"/>
    <w:rsid w:val="005F3D07"/>
    <w:rsid w:val="005F3F2E"/>
    <w:rsid w:val="005F3F9C"/>
    <w:rsid w:val="005F4280"/>
    <w:rsid w:val="005F429B"/>
    <w:rsid w:val="005F4658"/>
    <w:rsid w:val="005F47F1"/>
    <w:rsid w:val="005F4B53"/>
    <w:rsid w:val="005F5FDB"/>
    <w:rsid w:val="005F646B"/>
    <w:rsid w:val="005F66FB"/>
    <w:rsid w:val="005F6731"/>
    <w:rsid w:val="005F7195"/>
    <w:rsid w:val="005F7444"/>
    <w:rsid w:val="005F7C2D"/>
    <w:rsid w:val="00600780"/>
    <w:rsid w:val="006009A3"/>
    <w:rsid w:val="0060149A"/>
    <w:rsid w:val="006014FD"/>
    <w:rsid w:val="00601688"/>
    <w:rsid w:val="00601884"/>
    <w:rsid w:val="00601C45"/>
    <w:rsid w:val="0060261A"/>
    <w:rsid w:val="00602FF6"/>
    <w:rsid w:val="006035EA"/>
    <w:rsid w:val="006036B2"/>
    <w:rsid w:val="00603CBA"/>
    <w:rsid w:val="00603E3A"/>
    <w:rsid w:val="00604818"/>
    <w:rsid w:val="006049D4"/>
    <w:rsid w:val="00604B16"/>
    <w:rsid w:val="00605907"/>
    <w:rsid w:val="00605AF0"/>
    <w:rsid w:val="0060628A"/>
    <w:rsid w:val="006063AF"/>
    <w:rsid w:val="006063F0"/>
    <w:rsid w:val="006066B4"/>
    <w:rsid w:val="00606892"/>
    <w:rsid w:val="00606A12"/>
    <w:rsid w:val="00607777"/>
    <w:rsid w:val="00607811"/>
    <w:rsid w:val="00607BF5"/>
    <w:rsid w:val="00607DF4"/>
    <w:rsid w:val="00607E5D"/>
    <w:rsid w:val="00607F35"/>
    <w:rsid w:val="0061055A"/>
    <w:rsid w:val="00610AEE"/>
    <w:rsid w:val="00610DC7"/>
    <w:rsid w:val="0061124E"/>
    <w:rsid w:val="006119AB"/>
    <w:rsid w:val="0061224B"/>
    <w:rsid w:val="00612943"/>
    <w:rsid w:val="00612E2E"/>
    <w:rsid w:val="00613585"/>
    <w:rsid w:val="00613AD5"/>
    <w:rsid w:val="006146D6"/>
    <w:rsid w:val="00614990"/>
    <w:rsid w:val="00614D9C"/>
    <w:rsid w:val="006158B5"/>
    <w:rsid w:val="00615C84"/>
    <w:rsid w:val="00615E48"/>
    <w:rsid w:val="00615F51"/>
    <w:rsid w:val="00615F61"/>
    <w:rsid w:val="00616050"/>
    <w:rsid w:val="00616167"/>
    <w:rsid w:val="00616E37"/>
    <w:rsid w:val="006173B1"/>
    <w:rsid w:val="006177A4"/>
    <w:rsid w:val="00617935"/>
    <w:rsid w:val="00617C63"/>
    <w:rsid w:val="006200F0"/>
    <w:rsid w:val="0062021B"/>
    <w:rsid w:val="0062057F"/>
    <w:rsid w:val="00620679"/>
    <w:rsid w:val="00620E43"/>
    <w:rsid w:val="0062102B"/>
    <w:rsid w:val="00621178"/>
    <w:rsid w:val="006211ED"/>
    <w:rsid w:val="00621558"/>
    <w:rsid w:val="00621B6B"/>
    <w:rsid w:val="00621C9F"/>
    <w:rsid w:val="00621DC4"/>
    <w:rsid w:val="0062212A"/>
    <w:rsid w:val="00622354"/>
    <w:rsid w:val="006226C6"/>
    <w:rsid w:val="0062289C"/>
    <w:rsid w:val="00622C7C"/>
    <w:rsid w:val="00622DE0"/>
    <w:rsid w:val="00623449"/>
    <w:rsid w:val="0062352B"/>
    <w:rsid w:val="00623658"/>
    <w:rsid w:val="006237C1"/>
    <w:rsid w:val="00623CA3"/>
    <w:rsid w:val="00624119"/>
    <w:rsid w:val="006241B5"/>
    <w:rsid w:val="00624423"/>
    <w:rsid w:val="0062460A"/>
    <w:rsid w:val="00624C2B"/>
    <w:rsid w:val="00624D87"/>
    <w:rsid w:val="006250B5"/>
    <w:rsid w:val="0062510A"/>
    <w:rsid w:val="00625394"/>
    <w:rsid w:val="00625B1A"/>
    <w:rsid w:val="00625CA7"/>
    <w:rsid w:val="006260DA"/>
    <w:rsid w:val="006264B7"/>
    <w:rsid w:val="0062658B"/>
    <w:rsid w:val="00626647"/>
    <w:rsid w:val="0062671C"/>
    <w:rsid w:val="00626C68"/>
    <w:rsid w:val="00627047"/>
    <w:rsid w:val="006270CE"/>
    <w:rsid w:val="0062725D"/>
    <w:rsid w:val="006279FF"/>
    <w:rsid w:val="00627A93"/>
    <w:rsid w:val="00630626"/>
    <w:rsid w:val="00630A68"/>
    <w:rsid w:val="00630CF4"/>
    <w:rsid w:val="006311FE"/>
    <w:rsid w:val="00631513"/>
    <w:rsid w:val="0063153B"/>
    <w:rsid w:val="0063230A"/>
    <w:rsid w:val="006323C1"/>
    <w:rsid w:val="00632649"/>
    <w:rsid w:val="00632E90"/>
    <w:rsid w:val="0063395F"/>
    <w:rsid w:val="00633AA8"/>
    <w:rsid w:val="00633CD6"/>
    <w:rsid w:val="006340E5"/>
    <w:rsid w:val="00634F0B"/>
    <w:rsid w:val="0063500A"/>
    <w:rsid w:val="00636382"/>
    <w:rsid w:val="00636507"/>
    <w:rsid w:val="006365A8"/>
    <w:rsid w:val="006369B5"/>
    <w:rsid w:val="00636AB5"/>
    <w:rsid w:val="00636D6E"/>
    <w:rsid w:val="00636EA7"/>
    <w:rsid w:val="00636FB9"/>
    <w:rsid w:val="006370C9"/>
    <w:rsid w:val="00637531"/>
    <w:rsid w:val="006376A2"/>
    <w:rsid w:val="006379EF"/>
    <w:rsid w:val="00637AE6"/>
    <w:rsid w:val="00637D4C"/>
    <w:rsid w:val="00637FBB"/>
    <w:rsid w:val="00640ACC"/>
    <w:rsid w:val="00640B50"/>
    <w:rsid w:val="00640D0E"/>
    <w:rsid w:val="00640DE5"/>
    <w:rsid w:val="0064132A"/>
    <w:rsid w:val="00641346"/>
    <w:rsid w:val="0064154F"/>
    <w:rsid w:val="006416ED"/>
    <w:rsid w:val="00641822"/>
    <w:rsid w:val="00641BA9"/>
    <w:rsid w:val="00641CB7"/>
    <w:rsid w:val="00641EE9"/>
    <w:rsid w:val="0064216A"/>
    <w:rsid w:val="0064283A"/>
    <w:rsid w:val="00642901"/>
    <w:rsid w:val="00642ACA"/>
    <w:rsid w:val="00642B68"/>
    <w:rsid w:val="006439DD"/>
    <w:rsid w:val="00643D6B"/>
    <w:rsid w:val="0064417C"/>
    <w:rsid w:val="00644C7E"/>
    <w:rsid w:val="00644CE2"/>
    <w:rsid w:val="00645373"/>
    <w:rsid w:val="00645FCE"/>
    <w:rsid w:val="00646094"/>
    <w:rsid w:val="006463AD"/>
    <w:rsid w:val="006469DA"/>
    <w:rsid w:val="00646DE9"/>
    <w:rsid w:val="00646E0E"/>
    <w:rsid w:val="006473CF"/>
    <w:rsid w:val="00650524"/>
    <w:rsid w:val="00650749"/>
    <w:rsid w:val="00650D2E"/>
    <w:rsid w:val="00650D6B"/>
    <w:rsid w:val="006510E9"/>
    <w:rsid w:val="0065141B"/>
    <w:rsid w:val="006520D7"/>
    <w:rsid w:val="00652942"/>
    <w:rsid w:val="00652C2D"/>
    <w:rsid w:val="00652C68"/>
    <w:rsid w:val="00652EA6"/>
    <w:rsid w:val="0065354F"/>
    <w:rsid w:val="0065361D"/>
    <w:rsid w:val="00653649"/>
    <w:rsid w:val="00653C47"/>
    <w:rsid w:val="00653EA0"/>
    <w:rsid w:val="00654A19"/>
    <w:rsid w:val="0065599F"/>
    <w:rsid w:val="006561AE"/>
    <w:rsid w:val="00656669"/>
    <w:rsid w:val="00656710"/>
    <w:rsid w:val="006569C9"/>
    <w:rsid w:val="00656C6C"/>
    <w:rsid w:val="00657462"/>
    <w:rsid w:val="00657DCA"/>
    <w:rsid w:val="006601E3"/>
    <w:rsid w:val="006602AD"/>
    <w:rsid w:val="006603BA"/>
    <w:rsid w:val="006604AB"/>
    <w:rsid w:val="006607C3"/>
    <w:rsid w:val="00660F16"/>
    <w:rsid w:val="00661036"/>
    <w:rsid w:val="0066136C"/>
    <w:rsid w:val="00661642"/>
    <w:rsid w:val="006616CB"/>
    <w:rsid w:val="00661915"/>
    <w:rsid w:val="006619BE"/>
    <w:rsid w:val="00661EE5"/>
    <w:rsid w:val="00661F60"/>
    <w:rsid w:val="00662232"/>
    <w:rsid w:val="00662B36"/>
    <w:rsid w:val="00662BE0"/>
    <w:rsid w:val="00663041"/>
    <w:rsid w:val="006630FC"/>
    <w:rsid w:val="00663123"/>
    <w:rsid w:val="006639F0"/>
    <w:rsid w:val="00663E0A"/>
    <w:rsid w:val="00663F51"/>
    <w:rsid w:val="0066415D"/>
    <w:rsid w:val="00664A79"/>
    <w:rsid w:val="00664E4C"/>
    <w:rsid w:val="006653B6"/>
    <w:rsid w:val="00665486"/>
    <w:rsid w:val="00665F67"/>
    <w:rsid w:val="00666034"/>
    <w:rsid w:val="0066639E"/>
    <w:rsid w:val="006663E0"/>
    <w:rsid w:val="006664B6"/>
    <w:rsid w:val="0066656C"/>
    <w:rsid w:val="006667AB"/>
    <w:rsid w:val="00666871"/>
    <w:rsid w:val="006668AB"/>
    <w:rsid w:val="00666D70"/>
    <w:rsid w:val="00667421"/>
    <w:rsid w:val="006678C2"/>
    <w:rsid w:val="00667B97"/>
    <w:rsid w:val="00667F97"/>
    <w:rsid w:val="0067012F"/>
    <w:rsid w:val="0067045A"/>
    <w:rsid w:val="00670706"/>
    <w:rsid w:val="00670B97"/>
    <w:rsid w:val="00670C53"/>
    <w:rsid w:val="00671859"/>
    <w:rsid w:val="006718C0"/>
    <w:rsid w:val="006719F5"/>
    <w:rsid w:val="00671C6A"/>
    <w:rsid w:val="00671F2F"/>
    <w:rsid w:val="00672C86"/>
    <w:rsid w:val="006732D4"/>
    <w:rsid w:val="00673456"/>
    <w:rsid w:val="00673731"/>
    <w:rsid w:val="00673C68"/>
    <w:rsid w:val="00673D32"/>
    <w:rsid w:val="00674373"/>
    <w:rsid w:val="00674AB7"/>
    <w:rsid w:val="00674ADB"/>
    <w:rsid w:val="00674E6C"/>
    <w:rsid w:val="006754E0"/>
    <w:rsid w:val="0067570E"/>
    <w:rsid w:val="00675B55"/>
    <w:rsid w:val="00676A61"/>
    <w:rsid w:val="00676BA3"/>
    <w:rsid w:val="00676DDB"/>
    <w:rsid w:val="006772C0"/>
    <w:rsid w:val="006772D5"/>
    <w:rsid w:val="0067730B"/>
    <w:rsid w:val="00677521"/>
    <w:rsid w:val="00677820"/>
    <w:rsid w:val="00677C50"/>
    <w:rsid w:val="00677DEB"/>
    <w:rsid w:val="00677E53"/>
    <w:rsid w:val="006802E6"/>
    <w:rsid w:val="00680606"/>
    <w:rsid w:val="00680BDE"/>
    <w:rsid w:val="00680E3F"/>
    <w:rsid w:val="006810FA"/>
    <w:rsid w:val="006815F9"/>
    <w:rsid w:val="0068182A"/>
    <w:rsid w:val="006818C2"/>
    <w:rsid w:val="00681D7F"/>
    <w:rsid w:val="006822E6"/>
    <w:rsid w:val="006824C3"/>
    <w:rsid w:val="0068262D"/>
    <w:rsid w:val="0068325A"/>
    <w:rsid w:val="00683B68"/>
    <w:rsid w:val="006840E7"/>
    <w:rsid w:val="006848E2"/>
    <w:rsid w:val="00684C56"/>
    <w:rsid w:val="00684CEA"/>
    <w:rsid w:val="00684E9D"/>
    <w:rsid w:val="00685899"/>
    <w:rsid w:val="006858A8"/>
    <w:rsid w:val="006861BA"/>
    <w:rsid w:val="00686409"/>
    <w:rsid w:val="006869A6"/>
    <w:rsid w:val="00686E42"/>
    <w:rsid w:val="00687DFD"/>
    <w:rsid w:val="00690596"/>
    <w:rsid w:val="0069091C"/>
    <w:rsid w:val="00690E27"/>
    <w:rsid w:val="00690F76"/>
    <w:rsid w:val="006911D4"/>
    <w:rsid w:val="0069164D"/>
    <w:rsid w:val="00691667"/>
    <w:rsid w:val="00691A7C"/>
    <w:rsid w:val="00691AA0"/>
    <w:rsid w:val="00691E3C"/>
    <w:rsid w:val="00692A71"/>
    <w:rsid w:val="00692D42"/>
    <w:rsid w:val="00693458"/>
    <w:rsid w:val="00693A57"/>
    <w:rsid w:val="00693BEB"/>
    <w:rsid w:val="00693C1E"/>
    <w:rsid w:val="00693C24"/>
    <w:rsid w:val="00694204"/>
    <w:rsid w:val="006945AE"/>
    <w:rsid w:val="006949F0"/>
    <w:rsid w:val="00694EBA"/>
    <w:rsid w:val="006955A9"/>
    <w:rsid w:val="00696083"/>
    <w:rsid w:val="0069629B"/>
    <w:rsid w:val="006964A2"/>
    <w:rsid w:val="006965C8"/>
    <w:rsid w:val="00696B95"/>
    <w:rsid w:val="00696FAD"/>
    <w:rsid w:val="006974A9"/>
    <w:rsid w:val="00697A92"/>
    <w:rsid w:val="00697F2D"/>
    <w:rsid w:val="006A0880"/>
    <w:rsid w:val="006A11E7"/>
    <w:rsid w:val="006A23F1"/>
    <w:rsid w:val="006A2B51"/>
    <w:rsid w:val="006A3180"/>
    <w:rsid w:val="006A3C13"/>
    <w:rsid w:val="006A3E4D"/>
    <w:rsid w:val="006A4017"/>
    <w:rsid w:val="006A462A"/>
    <w:rsid w:val="006A4855"/>
    <w:rsid w:val="006A4904"/>
    <w:rsid w:val="006A4BD9"/>
    <w:rsid w:val="006A4FA9"/>
    <w:rsid w:val="006A5156"/>
    <w:rsid w:val="006A53C1"/>
    <w:rsid w:val="006A5667"/>
    <w:rsid w:val="006A5689"/>
    <w:rsid w:val="006A614D"/>
    <w:rsid w:val="006A6A43"/>
    <w:rsid w:val="006A6AB5"/>
    <w:rsid w:val="006A6B48"/>
    <w:rsid w:val="006A76FE"/>
    <w:rsid w:val="006A7734"/>
    <w:rsid w:val="006A7744"/>
    <w:rsid w:val="006B0296"/>
    <w:rsid w:val="006B03BA"/>
    <w:rsid w:val="006B0580"/>
    <w:rsid w:val="006B111C"/>
    <w:rsid w:val="006B1691"/>
    <w:rsid w:val="006B1C52"/>
    <w:rsid w:val="006B2874"/>
    <w:rsid w:val="006B2BA3"/>
    <w:rsid w:val="006B2BC5"/>
    <w:rsid w:val="006B2D37"/>
    <w:rsid w:val="006B322B"/>
    <w:rsid w:val="006B33AB"/>
    <w:rsid w:val="006B34E4"/>
    <w:rsid w:val="006B36A8"/>
    <w:rsid w:val="006B45C6"/>
    <w:rsid w:val="006B4763"/>
    <w:rsid w:val="006B48C3"/>
    <w:rsid w:val="006B4E7B"/>
    <w:rsid w:val="006B50AD"/>
    <w:rsid w:val="006B5489"/>
    <w:rsid w:val="006B5696"/>
    <w:rsid w:val="006B69C5"/>
    <w:rsid w:val="006B71D2"/>
    <w:rsid w:val="006B7562"/>
    <w:rsid w:val="006B78C6"/>
    <w:rsid w:val="006B7BCD"/>
    <w:rsid w:val="006B7D0C"/>
    <w:rsid w:val="006C0812"/>
    <w:rsid w:val="006C0BEB"/>
    <w:rsid w:val="006C0EA2"/>
    <w:rsid w:val="006C1356"/>
    <w:rsid w:val="006C1BB8"/>
    <w:rsid w:val="006C1DB8"/>
    <w:rsid w:val="006C21DA"/>
    <w:rsid w:val="006C24A6"/>
    <w:rsid w:val="006C252E"/>
    <w:rsid w:val="006C25B8"/>
    <w:rsid w:val="006C2C74"/>
    <w:rsid w:val="006C3651"/>
    <w:rsid w:val="006C378C"/>
    <w:rsid w:val="006C3C11"/>
    <w:rsid w:val="006C40DF"/>
    <w:rsid w:val="006C4260"/>
    <w:rsid w:val="006C44C2"/>
    <w:rsid w:val="006C4619"/>
    <w:rsid w:val="006C4AC4"/>
    <w:rsid w:val="006C4E38"/>
    <w:rsid w:val="006C4EE1"/>
    <w:rsid w:val="006C50A4"/>
    <w:rsid w:val="006C52F3"/>
    <w:rsid w:val="006C5F66"/>
    <w:rsid w:val="006C606D"/>
    <w:rsid w:val="006C6152"/>
    <w:rsid w:val="006C62B5"/>
    <w:rsid w:val="006C6341"/>
    <w:rsid w:val="006C6504"/>
    <w:rsid w:val="006C6C5C"/>
    <w:rsid w:val="006C6D7C"/>
    <w:rsid w:val="006C6ECF"/>
    <w:rsid w:val="006C7079"/>
    <w:rsid w:val="006C77CA"/>
    <w:rsid w:val="006C798E"/>
    <w:rsid w:val="006C79F9"/>
    <w:rsid w:val="006C7D8D"/>
    <w:rsid w:val="006D0428"/>
    <w:rsid w:val="006D0724"/>
    <w:rsid w:val="006D0A97"/>
    <w:rsid w:val="006D0D79"/>
    <w:rsid w:val="006D0DCD"/>
    <w:rsid w:val="006D0FBA"/>
    <w:rsid w:val="006D1348"/>
    <w:rsid w:val="006D2944"/>
    <w:rsid w:val="006D2AAE"/>
    <w:rsid w:val="006D3285"/>
    <w:rsid w:val="006D3530"/>
    <w:rsid w:val="006D35C0"/>
    <w:rsid w:val="006D36CE"/>
    <w:rsid w:val="006D38D3"/>
    <w:rsid w:val="006D3B5A"/>
    <w:rsid w:val="006D3DCD"/>
    <w:rsid w:val="006D3F44"/>
    <w:rsid w:val="006D410C"/>
    <w:rsid w:val="006D4885"/>
    <w:rsid w:val="006D4C58"/>
    <w:rsid w:val="006D5229"/>
    <w:rsid w:val="006D5430"/>
    <w:rsid w:val="006D59DB"/>
    <w:rsid w:val="006D5B46"/>
    <w:rsid w:val="006D5D51"/>
    <w:rsid w:val="006D6270"/>
    <w:rsid w:val="006D66FA"/>
    <w:rsid w:val="006D6747"/>
    <w:rsid w:val="006D7C68"/>
    <w:rsid w:val="006D7EEF"/>
    <w:rsid w:val="006E05E0"/>
    <w:rsid w:val="006E0A47"/>
    <w:rsid w:val="006E1462"/>
    <w:rsid w:val="006E197D"/>
    <w:rsid w:val="006E1BF6"/>
    <w:rsid w:val="006E1E6B"/>
    <w:rsid w:val="006E2C4E"/>
    <w:rsid w:val="006E2F9A"/>
    <w:rsid w:val="006E31F1"/>
    <w:rsid w:val="006E3D48"/>
    <w:rsid w:val="006E3DCA"/>
    <w:rsid w:val="006E40B8"/>
    <w:rsid w:val="006E43F9"/>
    <w:rsid w:val="006E44FE"/>
    <w:rsid w:val="006E4A7D"/>
    <w:rsid w:val="006E4D40"/>
    <w:rsid w:val="006E4E83"/>
    <w:rsid w:val="006E5EC6"/>
    <w:rsid w:val="006E657D"/>
    <w:rsid w:val="006E767E"/>
    <w:rsid w:val="006E7862"/>
    <w:rsid w:val="006E7E1D"/>
    <w:rsid w:val="006F004A"/>
    <w:rsid w:val="006F013B"/>
    <w:rsid w:val="006F05A0"/>
    <w:rsid w:val="006F05EC"/>
    <w:rsid w:val="006F06B2"/>
    <w:rsid w:val="006F080A"/>
    <w:rsid w:val="006F09CE"/>
    <w:rsid w:val="006F10EB"/>
    <w:rsid w:val="006F1230"/>
    <w:rsid w:val="006F1318"/>
    <w:rsid w:val="006F1360"/>
    <w:rsid w:val="006F180A"/>
    <w:rsid w:val="006F20CB"/>
    <w:rsid w:val="006F20F0"/>
    <w:rsid w:val="006F2133"/>
    <w:rsid w:val="006F27DF"/>
    <w:rsid w:val="006F2AB3"/>
    <w:rsid w:val="006F2CA1"/>
    <w:rsid w:val="006F3E09"/>
    <w:rsid w:val="006F4175"/>
    <w:rsid w:val="006F4495"/>
    <w:rsid w:val="006F453E"/>
    <w:rsid w:val="006F45A0"/>
    <w:rsid w:val="006F49CB"/>
    <w:rsid w:val="006F4B04"/>
    <w:rsid w:val="006F4D4C"/>
    <w:rsid w:val="006F5014"/>
    <w:rsid w:val="006F5C52"/>
    <w:rsid w:val="006F5C8D"/>
    <w:rsid w:val="006F643A"/>
    <w:rsid w:val="006F6525"/>
    <w:rsid w:val="006F6963"/>
    <w:rsid w:val="006F76C0"/>
    <w:rsid w:val="006F77D5"/>
    <w:rsid w:val="006F7D4E"/>
    <w:rsid w:val="00700497"/>
    <w:rsid w:val="007005E9"/>
    <w:rsid w:val="00700B62"/>
    <w:rsid w:val="00700D7C"/>
    <w:rsid w:val="00700E97"/>
    <w:rsid w:val="007012CC"/>
    <w:rsid w:val="007013FB"/>
    <w:rsid w:val="00701563"/>
    <w:rsid w:val="0070189F"/>
    <w:rsid w:val="00701CCD"/>
    <w:rsid w:val="00701E60"/>
    <w:rsid w:val="00702002"/>
    <w:rsid w:val="0070206F"/>
    <w:rsid w:val="00702D53"/>
    <w:rsid w:val="00703272"/>
    <w:rsid w:val="00703637"/>
    <w:rsid w:val="00703F7D"/>
    <w:rsid w:val="0070406A"/>
    <w:rsid w:val="00704276"/>
    <w:rsid w:val="00705864"/>
    <w:rsid w:val="00705E19"/>
    <w:rsid w:val="00706376"/>
    <w:rsid w:val="00706615"/>
    <w:rsid w:val="007066F7"/>
    <w:rsid w:val="00706A1A"/>
    <w:rsid w:val="00707141"/>
    <w:rsid w:val="007071EF"/>
    <w:rsid w:val="00707C5A"/>
    <w:rsid w:val="00707DC0"/>
    <w:rsid w:val="00707FB1"/>
    <w:rsid w:val="00710621"/>
    <w:rsid w:val="00710840"/>
    <w:rsid w:val="00710A2C"/>
    <w:rsid w:val="00710B0A"/>
    <w:rsid w:val="0071111B"/>
    <w:rsid w:val="007116A1"/>
    <w:rsid w:val="00711726"/>
    <w:rsid w:val="00711953"/>
    <w:rsid w:val="00711B72"/>
    <w:rsid w:val="00711C33"/>
    <w:rsid w:val="00711E72"/>
    <w:rsid w:val="0071285C"/>
    <w:rsid w:val="00712A0A"/>
    <w:rsid w:val="00712B4B"/>
    <w:rsid w:val="00712D7D"/>
    <w:rsid w:val="0071317F"/>
    <w:rsid w:val="00713704"/>
    <w:rsid w:val="00713766"/>
    <w:rsid w:val="00713984"/>
    <w:rsid w:val="0071436D"/>
    <w:rsid w:val="0071475A"/>
    <w:rsid w:val="007149DC"/>
    <w:rsid w:val="00714DFA"/>
    <w:rsid w:val="00714F7E"/>
    <w:rsid w:val="0071592D"/>
    <w:rsid w:val="00716029"/>
    <w:rsid w:val="00716BC2"/>
    <w:rsid w:val="00716C96"/>
    <w:rsid w:val="00716CD5"/>
    <w:rsid w:val="00716D54"/>
    <w:rsid w:val="0071702F"/>
    <w:rsid w:val="00717E48"/>
    <w:rsid w:val="00717F1A"/>
    <w:rsid w:val="0072012A"/>
    <w:rsid w:val="00720283"/>
    <w:rsid w:val="007202E0"/>
    <w:rsid w:val="00720834"/>
    <w:rsid w:val="00720BE6"/>
    <w:rsid w:val="00721130"/>
    <w:rsid w:val="007212C5"/>
    <w:rsid w:val="00721406"/>
    <w:rsid w:val="007215FD"/>
    <w:rsid w:val="007217C7"/>
    <w:rsid w:val="007218C5"/>
    <w:rsid w:val="00721AEF"/>
    <w:rsid w:val="00721F6E"/>
    <w:rsid w:val="007222E2"/>
    <w:rsid w:val="007227E7"/>
    <w:rsid w:val="00722979"/>
    <w:rsid w:val="0072311E"/>
    <w:rsid w:val="007231B2"/>
    <w:rsid w:val="007233D7"/>
    <w:rsid w:val="00723619"/>
    <w:rsid w:val="00723A1F"/>
    <w:rsid w:val="00723ADD"/>
    <w:rsid w:val="00723B6A"/>
    <w:rsid w:val="00723CF2"/>
    <w:rsid w:val="00723D38"/>
    <w:rsid w:val="00724190"/>
    <w:rsid w:val="00724604"/>
    <w:rsid w:val="00724B9B"/>
    <w:rsid w:val="00724F70"/>
    <w:rsid w:val="0072515C"/>
    <w:rsid w:val="00725E82"/>
    <w:rsid w:val="00726064"/>
    <w:rsid w:val="007261A7"/>
    <w:rsid w:val="00726A89"/>
    <w:rsid w:val="00726B4B"/>
    <w:rsid w:val="00726CC1"/>
    <w:rsid w:val="00726E66"/>
    <w:rsid w:val="00727078"/>
    <w:rsid w:val="00727AD5"/>
    <w:rsid w:val="00727D8A"/>
    <w:rsid w:val="00727DFD"/>
    <w:rsid w:val="00730184"/>
    <w:rsid w:val="007305B7"/>
    <w:rsid w:val="0073065B"/>
    <w:rsid w:val="0073069B"/>
    <w:rsid w:val="00731E80"/>
    <w:rsid w:val="0073274A"/>
    <w:rsid w:val="007328DF"/>
    <w:rsid w:val="0073299B"/>
    <w:rsid w:val="00732AD9"/>
    <w:rsid w:val="00732B02"/>
    <w:rsid w:val="007336E6"/>
    <w:rsid w:val="00733B69"/>
    <w:rsid w:val="007346C5"/>
    <w:rsid w:val="007347E0"/>
    <w:rsid w:val="00734970"/>
    <w:rsid w:val="007349E3"/>
    <w:rsid w:val="00734CE5"/>
    <w:rsid w:val="00734E69"/>
    <w:rsid w:val="00735F81"/>
    <w:rsid w:val="00736473"/>
    <w:rsid w:val="00736531"/>
    <w:rsid w:val="0073658D"/>
    <w:rsid w:val="0073717E"/>
    <w:rsid w:val="00737297"/>
    <w:rsid w:val="0073733B"/>
    <w:rsid w:val="007374A1"/>
    <w:rsid w:val="007405E9"/>
    <w:rsid w:val="007405EA"/>
    <w:rsid w:val="00740FA8"/>
    <w:rsid w:val="00741078"/>
    <w:rsid w:val="007410F9"/>
    <w:rsid w:val="00741AC2"/>
    <w:rsid w:val="00741C60"/>
    <w:rsid w:val="00742600"/>
    <w:rsid w:val="0074271B"/>
    <w:rsid w:val="00742A9D"/>
    <w:rsid w:val="00742D65"/>
    <w:rsid w:val="0074323A"/>
    <w:rsid w:val="00743422"/>
    <w:rsid w:val="0074380D"/>
    <w:rsid w:val="00743D78"/>
    <w:rsid w:val="00743DFE"/>
    <w:rsid w:val="00743EA4"/>
    <w:rsid w:val="00743F8D"/>
    <w:rsid w:val="0074450F"/>
    <w:rsid w:val="00744C9A"/>
    <w:rsid w:val="00744D22"/>
    <w:rsid w:val="0074507F"/>
    <w:rsid w:val="007453B9"/>
    <w:rsid w:val="0074553D"/>
    <w:rsid w:val="00745E1A"/>
    <w:rsid w:val="00745E63"/>
    <w:rsid w:val="00745EEA"/>
    <w:rsid w:val="00745F68"/>
    <w:rsid w:val="0074629C"/>
    <w:rsid w:val="00746A2D"/>
    <w:rsid w:val="00746B9A"/>
    <w:rsid w:val="0074713B"/>
    <w:rsid w:val="0074756F"/>
    <w:rsid w:val="00747705"/>
    <w:rsid w:val="00747BDB"/>
    <w:rsid w:val="00747DEC"/>
    <w:rsid w:val="00747E96"/>
    <w:rsid w:val="00747FD2"/>
    <w:rsid w:val="007500C7"/>
    <w:rsid w:val="0075029A"/>
    <w:rsid w:val="00750E5C"/>
    <w:rsid w:val="00751CE8"/>
    <w:rsid w:val="00751D82"/>
    <w:rsid w:val="00752237"/>
    <w:rsid w:val="00752365"/>
    <w:rsid w:val="00752922"/>
    <w:rsid w:val="00752B21"/>
    <w:rsid w:val="00753132"/>
    <w:rsid w:val="0075314D"/>
    <w:rsid w:val="007534C5"/>
    <w:rsid w:val="0075376D"/>
    <w:rsid w:val="00753903"/>
    <w:rsid w:val="00753CCC"/>
    <w:rsid w:val="00753CF4"/>
    <w:rsid w:val="00755016"/>
    <w:rsid w:val="00755048"/>
    <w:rsid w:val="0075510B"/>
    <w:rsid w:val="0075537F"/>
    <w:rsid w:val="007557AD"/>
    <w:rsid w:val="007557D1"/>
    <w:rsid w:val="00755ECB"/>
    <w:rsid w:val="0075615F"/>
    <w:rsid w:val="007562B6"/>
    <w:rsid w:val="007566CC"/>
    <w:rsid w:val="00756DB8"/>
    <w:rsid w:val="00756E37"/>
    <w:rsid w:val="00757561"/>
    <w:rsid w:val="00757701"/>
    <w:rsid w:val="00757A04"/>
    <w:rsid w:val="007601CC"/>
    <w:rsid w:val="007602E6"/>
    <w:rsid w:val="0076033B"/>
    <w:rsid w:val="0076074F"/>
    <w:rsid w:val="00760C24"/>
    <w:rsid w:val="00761016"/>
    <w:rsid w:val="007614D7"/>
    <w:rsid w:val="00761F2C"/>
    <w:rsid w:val="00761FD5"/>
    <w:rsid w:val="00761FF2"/>
    <w:rsid w:val="00762081"/>
    <w:rsid w:val="00762609"/>
    <w:rsid w:val="007627AC"/>
    <w:rsid w:val="00762A52"/>
    <w:rsid w:val="00763145"/>
    <w:rsid w:val="007631D3"/>
    <w:rsid w:val="007635D6"/>
    <w:rsid w:val="00763765"/>
    <w:rsid w:val="007639CF"/>
    <w:rsid w:val="00763B7D"/>
    <w:rsid w:val="00763C80"/>
    <w:rsid w:val="00763CB4"/>
    <w:rsid w:val="00763D16"/>
    <w:rsid w:val="00763D60"/>
    <w:rsid w:val="00764274"/>
    <w:rsid w:val="00764A37"/>
    <w:rsid w:val="00765017"/>
    <w:rsid w:val="0076516D"/>
    <w:rsid w:val="007656CC"/>
    <w:rsid w:val="007658FE"/>
    <w:rsid w:val="00765AD6"/>
    <w:rsid w:val="007662BB"/>
    <w:rsid w:val="0076671B"/>
    <w:rsid w:val="00766D46"/>
    <w:rsid w:val="00767408"/>
    <w:rsid w:val="00767480"/>
    <w:rsid w:val="007676F5"/>
    <w:rsid w:val="00767879"/>
    <w:rsid w:val="00767BD9"/>
    <w:rsid w:val="00767E5D"/>
    <w:rsid w:val="00767E60"/>
    <w:rsid w:val="00767F59"/>
    <w:rsid w:val="007701B4"/>
    <w:rsid w:val="0077020B"/>
    <w:rsid w:val="00770350"/>
    <w:rsid w:val="00770885"/>
    <w:rsid w:val="0077089B"/>
    <w:rsid w:val="00770936"/>
    <w:rsid w:val="007709D9"/>
    <w:rsid w:val="00770A75"/>
    <w:rsid w:val="00770BED"/>
    <w:rsid w:val="007711CA"/>
    <w:rsid w:val="007714F0"/>
    <w:rsid w:val="00771674"/>
    <w:rsid w:val="00771678"/>
    <w:rsid w:val="007718EA"/>
    <w:rsid w:val="00771ACE"/>
    <w:rsid w:val="00771CC1"/>
    <w:rsid w:val="00772086"/>
    <w:rsid w:val="00772535"/>
    <w:rsid w:val="0077276E"/>
    <w:rsid w:val="00772DCF"/>
    <w:rsid w:val="00772E58"/>
    <w:rsid w:val="0077375D"/>
    <w:rsid w:val="00773B17"/>
    <w:rsid w:val="00773C47"/>
    <w:rsid w:val="007740AE"/>
    <w:rsid w:val="007743E0"/>
    <w:rsid w:val="00774486"/>
    <w:rsid w:val="007745AD"/>
    <w:rsid w:val="007745CB"/>
    <w:rsid w:val="007746EE"/>
    <w:rsid w:val="00775032"/>
    <w:rsid w:val="007750D3"/>
    <w:rsid w:val="0077566C"/>
    <w:rsid w:val="00776066"/>
    <w:rsid w:val="0077649B"/>
    <w:rsid w:val="0077759F"/>
    <w:rsid w:val="0077784D"/>
    <w:rsid w:val="00777B5C"/>
    <w:rsid w:val="00777F05"/>
    <w:rsid w:val="0078003C"/>
    <w:rsid w:val="00780050"/>
    <w:rsid w:val="00780EC0"/>
    <w:rsid w:val="00781209"/>
    <w:rsid w:val="007812A4"/>
    <w:rsid w:val="00781636"/>
    <w:rsid w:val="007816A1"/>
    <w:rsid w:val="00781CD6"/>
    <w:rsid w:val="00781D21"/>
    <w:rsid w:val="00781EB9"/>
    <w:rsid w:val="00781ED3"/>
    <w:rsid w:val="00781F71"/>
    <w:rsid w:val="00781FA2"/>
    <w:rsid w:val="00781FAC"/>
    <w:rsid w:val="0078217C"/>
    <w:rsid w:val="0078285A"/>
    <w:rsid w:val="00782C6A"/>
    <w:rsid w:val="0078303F"/>
    <w:rsid w:val="007830DE"/>
    <w:rsid w:val="00783E2F"/>
    <w:rsid w:val="00784044"/>
    <w:rsid w:val="00784198"/>
    <w:rsid w:val="00784297"/>
    <w:rsid w:val="00784378"/>
    <w:rsid w:val="00784DF0"/>
    <w:rsid w:val="00785021"/>
    <w:rsid w:val="007853C4"/>
    <w:rsid w:val="007855FC"/>
    <w:rsid w:val="00785CEA"/>
    <w:rsid w:val="0078635D"/>
    <w:rsid w:val="00786E54"/>
    <w:rsid w:val="00786E72"/>
    <w:rsid w:val="00787046"/>
    <w:rsid w:val="00787387"/>
    <w:rsid w:val="007873B9"/>
    <w:rsid w:val="00787421"/>
    <w:rsid w:val="00787839"/>
    <w:rsid w:val="007879D2"/>
    <w:rsid w:val="007879D3"/>
    <w:rsid w:val="00787BE5"/>
    <w:rsid w:val="00790294"/>
    <w:rsid w:val="0079081B"/>
    <w:rsid w:val="00791933"/>
    <w:rsid w:val="00791A58"/>
    <w:rsid w:val="00791AE2"/>
    <w:rsid w:val="00791AF7"/>
    <w:rsid w:val="00791E48"/>
    <w:rsid w:val="007921D9"/>
    <w:rsid w:val="0079287D"/>
    <w:rsid w:val="00792894"/>
    <w:rsid w:val="00792C16"/>
    <w:rsid w:val="00793460"/>
    <w:rsid w:val="007934B8"/>
    <w:rsid w:val="00793FB7"/>
    <w:rsid w:val="00794C56"/>
    <w:rsid w:val="00795C85"/>
    <w:rsid w:val="00797187"/>
    <w:rsid w:val="00797D9D"/>
    <w:rsid w:val="007A05CE"/>
    <w:rsid w:val="007A09E1"/>
    <w:rsid w:val="007A0A85"/>
    <w:rsid w:val="007A1242"/>
    <w:rsid w:val="007A19E2"/>
    <w:rsid w:val="007A25CF"/>
    <w:rsid w:val="007A32D9"/>
    <w:rsid w:val="007A59E6"/>
    <w:rsid w:val="007A5C2A"/>
    <w:rsid w:val="007A5D15"/>
    <w:rsid w:val="007A618A"/>
    <w:rsid w:val="007A63CB"/>
    <w:rsid w:val="007A66E8"/>
    <w:rsid w:val="007A6C35"/>
    <w:rsid w:val="007A6F63"/>
    <w:rsid w:val="007A718A"/>
    <w:rsid w:val="007A7C6F"/>
    <w:rsid w:val="007A7D63"/>
    <w:rsid w:val="007B04A0"/>
    <w:rsid w:val="007B0B93"/>
    <w:rsid w:val="007B129F"/>
    <w:rsid w:val="007B1598"/>
    <w:rsid w:val="007B17EC"/>
    <w:rsid w:val="007B1F41"/>
    <w:rsid w:val="007B2146"/>
    <w:rsid w:val="007B2292"/>
    <w:rsid w:val="007B35DD"/>
    <w:rsid w:val="007B3A97"/>
    <w:rsid w:val="007B3FBB"/>
    <w:rsid w:val="007B43BD"/>
    <w:rsid w:val="007B4E49"/>
    <w:rsid w:val="007B51A2"/>
    <w:rsid w:val="007B5294"/>
    <w:rsid w:val="007B5458"/>
    <w:rsid w:val="007B5662"/>
    <w:rsid w:val="007B56B8"/>
    <w:rsid w:val="007B5715"/>
    <w:rsid w:val="007B58C9"/>
    <w:rsid w:val="007B5CA4"/>
    <w:rsid w:val="007B5CB5"/>
    <w:rsid w:val="007B5EB4"/>
    <w:rsid w:val="007B6059"/>
    <w:rsid w:val="007B626A"/>
    <w:rsid w:val="007B6688"/>
    <w:rsid w:val="007B66BE"/>
    <w:rsid w:val="007B6B79"/>
    <w:rsid w:val="007B6E79"/>
    <w:rsid w:val="007B6FDF"/>
    <w:rsid w:val="007B7178"/>
    <w:rsid w:val="007B7BA2"/>
    <w:rsid w:val="007C02A1"/>
    <w:rsid w:val="007C0399"/>
    <w:rsid w:val="007C09FB"/>
    <w:rsid w:val="007C0A47"/>
    <w:rsid w:val="007C158F"/>
    <w:rsid w:val="007C164E"/>
    <w:rsid w:val="007C1959"/>
    <w:rsid w:val="007C1DA0"/>
    <w:rsid w:val="007C1F9E"/>
    <w:rsid w:val="007C21C9"/>
    <w:rsid w:val="007C237C"/>
    <w:rsid w:val="007C2AC5"/>
    <w:rsid w:val="007C3A16"/>
    <w:rsid w:val="007C3CDC"/>
    <w:rsid w:val="007C424A"/>
    <w:rsid w:val="007C491A"/>
    <w:rsid w:val="007C4950"/>
    <w:rsid w:val="007C4B08"/>
    <w:rsid w:val="007C4C31"/>
    <w:rsid w:val="007C5195"/>
    <w:rsid w:val="007C5197"/>
    <w:rsid w:val="007C52FA"/>
    <w:rsid w:val="007C55A0"/>
    <w:rsid w:val="007C58AF"/>
    <w:rsid w:val="007C5FEA"/>
    <w:rsid w:val="007C61A8"/>
    <w:rsid w:val="007C648A"/>
    <w:rsid w:val="007C67A9"/>
    <w:rsid w:val="007C68D7"/>
    <w:rsid w:val="007C6927"/>
    <w:rsid w:val="007C6ADC"/>
    <w:rsid w:val="007C6C2E"/>
    <w:rsid w:val="007C6D30"/>
    <w:rsid w:val="007C6E03"/>
    <w:rsid w:val="007C73C3"/>
    <w:rsid w:val="007C79AA"/>
    <w:rsid w:val="007C7C07"/>
    <w:rsid w:val="007D02FB"/>
    <w:rsid w:val="007D0E58"/>
    <w:rsid w:val="007D11E3"/>
    <w:rsid w:val="007D1281"/>
    <w:rsid w:val="007D12A7"/>
    <w:rsid w:val="007D141E"/>
    <w:rsid w:val="007D1480"/>
    <w:rsid w:val="007D18ED"/>
    <w:rsid w:val="007D1B54"/>
    <w:rsid w:val="007D1E60"/>
    <w:rsid w:val="007D213A"/>
    <w:rsid w:val="007D278D"/>
    <w:rsid w:val="007D2B76"/>
    <w:rsid w:val="007D2C9E"/>
    <w:rsid w:val="007D347A"/>
    <w:rsid w:val="007D34D5"/>
    <w:rsid w:val="007D38A3"/>
    <w:rsid w:val="007D3A1E"/>
    <w:rsid w:val="007D3D44"/>
    <w:rsid w:val="007D3D73"/>
    <w:rsid w:val="007D42B6"/>
    <w:rsid w:val="007D49FB"/>
    <w:rsid w:val="007D5434"/>
    <w:rsid w:val="007D5EA8"/>
    <w:rsid w:val="007D6357"/>
    <w:rsid w:val="007D665D"/>
    <w:rsid w:val="007D6BFF"/>
    <w:rsid w:val="007D6C7E"/>
    <w:rsid w:val="007D6F2B"/>
    <w:rsid w:val="007D725F"/>
    <w:rsid w:val="007D776B"/>
    <w:rsid w:val="007D7838"/>
    <w:rsid w:val="007D7A2A"/>
    <w:rsid w:val="007E00AF"/>
    <w:rsid w:val="007E0484"/>
    <w:rsid w:val="007E0D47"/>
    <w:rsid w:val="007E166D"/>
    <w:rsid w:val="007E1683"/>
    <w:rsid w:val="007E1A2B"/>
    <w:rsid w:val="007E1BBC"/>
    <w:rsid w:val="007E2272"/>
    <w:rsid w:val="007E2692"/>
    <w:rsid w:val="007E297B"/>
    <w:rsid w:val="007E2D7C"/>
    <w:rsid w:val="007E2FE8"/>
    <w:rsid w:val="007E3465"/>
    <w:rsid w:val="007E37E6"/>
    <w:rsid w:val="007E3AC7"/>
    <w:rsid w:val="007E3BCF"/>
    <w:rsid w:val="007E40A3"/>
    <w:rsid w:val="007E4599"/>
    <w:rsid w:val="007E4813"/>
    <w:rsid w:val="007E4B23"/>
    <w:rsid w:val="007E4C77"/>
    <w:rsid w:val="007E5085"/>
    <w:rsid w:val="007E5DA7"/>
    <w:rsid w:val="007E631E"/>
    <w:rsid w:val="007E6856"/>
    <w:rsid w:val="007E68C7"/>
    <w:rsid w:val="007E7301"/>
    <w:rsid w:val="007E732A"/>
    <w:rsid w:val="007E733D"/>
    <w:rsid w:val="007E7367"/>
    <w:rsid w:val="007E73E0"/>
    <w:rsid w:val="007E7475"/>
    <w:rsid w:val="007E7C6D"/>
    <w:rsid w:val="007E7EB1"/>
    <w:rsid w:val="007F01D2"/>
    <w:rsid w:val="007F0C71"/>
    <w:rsid w:val="007F0CBE"/>
    <w:rsid w:val="007F0EBE"/>
    <w:rsid w:val="007F113A"/>
    <w:rsid w:val="007F11F3"/>
    <w:rsid w:val="007F1407"/>
    <w:rsid w:val="007F184D"/>
    <w:rsid w:val="007F186F"/>
    <w:rsid w:val="007F1BF1"/>
    <w:rsid w:val="007F1F9E"/>
    <w:rsid w:val="007F1FE2"/>
    <w:rsid w:val="007F2183"/>
    <w:rsid w:val="007F2244"/>
    <w:rsid w:val="007F23E8"/>
    <w:rsid w:val="007F2A2A"/>
    <w:rsid w:val="007F328C"/>
    <w:rsid w:val="007F3291"/>
    <w:rsid w:val="007F334B"/>
    <w:rsid w:val="007F4088"/>
    <w:rsid w:val="007F40DD"/>
    <w:rsid w:val="007F4555"/>
    <w:rsid w:val="007F46B6"/>
    <w:rsid w:val="007F4A30"/>
    <w:rsid w:val="007F4B2C"/>
    <w:rsid w:val="007F5606"/>
    <w:rsid w:val="007F5684"/>
    <w:rsid w:val="007F5E32"/>
    <w:rsid w:val="007F5EE1"/>
    <w:rsid w:val="007F62B0"/>
    <w:rsid w:val="007F6614"/>
    <w:rsid w:val="007F66F1"/>
    <w:rsid w:val="007F689A"/>
    <w:rsid w:val="007F6FC6"/>
    <w:rsid w:val="007F7088"/>
    <w:rsid w:val="007F70EF"/>
    <w:rsid w:val="007F7485"/>
    <w:rsid w:val="008004DE"/>
    <w:rsid w:val="008004EF"/>
    <w:rsid w:val="00800952"/>
    <w:rsid w:val="0080099B"/>
    <w:rsid w:val="00801018"/>
    <w:rsid w:val="0080184A"/>
    <w:rsid w:val="00801865"/>
    <w:rsid w:val="00802317"/>
    <w:rsid w:val="008026B3"/>
    <w:rsid w:val="00802A6C"/>
    <w:rsid w:val="00802C9D"/>
    <w:rsid w:val="00803123"/>
    <w:rsid w:val="00803160"/>
    <w:rsid w:val="008032D7"/>
    <w:rsid w:val="00803349"/>
    <w:rsid w:val="00803365"/>
    <w:rsid w:val="00803B4B"/>
    <w:rsid w:val="00803FA8"/>
    <w:rsid w:val="00804077"/>
    <w:rsid w:val="00804168"/>
    <w:rsid w:val="00804A0A"/>
    <w:rsid w:val="00804ACE"/>
    <w:rsid w:val="0080501B"/>
    <w:rsid w:val="00805335"/>
    <w:rsid w:val="0080538B"/>
    <w:rsid w:val="00805871"/>
    <w:rsid w:val="00805C8A"/>
    <w:rsid w:val="00805F5E"/>
    <w:rsid w:val="008066BF"/>
    <w:rsid w:val="00806B1D"/>
    <w:rsid w:val="00806B97"/>
    <w:rsid w:val="00806C9F"/>
    <w:rsid w:val="00806D9B"/>
    <w:rsid w:val="00807539"/>
    <w:rsid w:val="008077DC"/>
    <w:rsid w:val="00807963"/>
    <w:rsid w:val="00807B04"/>
    <w:rsid w:val="00810096"/>
    <w:rsid w:val="00810201"/>
    <w:rsid w:val="008103CA"/>
    <w:rsid w:val="008104C2"/>
    <w:rsid w:val="0081055B"/>
    <w:rsid w:val="00810F14"/>
    <w:rsid w:val="00811497"/>
    <w:rsid w:val="008116CB"/>
    <w:rsid w:val="00811989"/>
    <w:rsid w:val="00811AF9"/>
    <w:rsid w:val="00811BE2"/>
    <w:rsid w:val="00811FC8"/>
    <w:rsid w:val="00812218"/>
    <w:rsid w:val="008125CC"/>
    <w:rsid w:val="00812DF3"/>
    <w:rsid w:val="008131DF"/>
    <w:rsid w:val="0081374D"/>
    <w:rsid w:val="00813B26"/>
    <w:rsid w:val="00814A55"/>
    <w:rsid w:val="00814EC6"/>
    <w:rsid w:val="00815058"/>
    <w:rsid w:val="00815361"/>
    <w:rsid w:val="0081560A"/>
    <w:rsid w:val="00815742"/>
    <w:rsid w:val="00815888"/>
    <w:rsid w:val="00815D3C"/>
    <w:rsid w:val="00816055"/>
    <w:rsid w:val="008162F1"/>
    <w:rsid w:val="00816596"/>
    <w:rsid w:val="00816FD5"/>
    <w:rsid w:val="00816FDB"/>
    <w:rsid w:val="00816FF0"/>
    <w:rsid w:val="0081783A"/>
    <w:rsid w:val="00817902"/>
    <w:rsid w:val="00817C98"/>
    <w:rsid w:val="00820111"/>
    <w:rsid w:val="00820335"/>
    <w:rsid w:val="008207D1"/>
    <w:rsid w:val="00820CC1"/>
    <w:rsid w:val="00820EC8"/>
    <w:rsid w:val="00820F03"/>
    <w:rsid w:val="00820FEF"/>
    <w:rsid w:val="0082106A"/>
    <w:rsid w:val="00821207"/>
    <w:rsid w:val="0082148D"/>
    <w:rsid w:val="0082184A"/>
    <w:rsid w:val="00821C06"/>
    <w:rsid w:val="00822AD0"/>
    <w:rsid w:val="00823028"/>
    <w:rsid w:val="008230B8"/>
    <w:rsid w:val="0082382C"/>
    <w:rsid w:val="008239B0"/>
    <w:rsid w:val="00823D6A"/>
    <w:rsid w:val="008242B8"/>
    <w:rsid w:val="0082445C"/>
    <w:rsid w:val="00824F11"/>
    <w:rsid w:val="00825198"/>
    <w:rsid w:val="008252DC"/>
    <w:rsid w:val="00825836"/>
    <w:rsid w:val="00826852"/>
    <w:rsid w:val="008271B6"/>
    <w:rsid w:val="0082755B"/>
    <w:rsid w:val="0082774E"/>
    <w:rsid w:val="008277F9"/>
    <w:rsid w:val="0082788F"/>
    <w:rsid w:val="00827B69"/>
    <w:rsid w:val="00830113"/>
    <w:rsid w:val="008301A4"/>
    <w:rsid w:val="008301B2"/>
    <w:rsid w:val="0083056C"/>
    <w:rsid w:val="00830C0A"/>
    <w:rsid w:val="00830F2D"/>
    <w:rsid w:val="00831499"/>
    <w:rsid w:val="00831A4E"/>
    <w:rsid w:val="00831B49"/>
    <w:rsid w:val="00831C46"/>
    <w:rsid w:val="00832163"/>
    <w:rsid w:val="00832532"/>
    <w:rsid w:val="00832989"/>
    <w:rsid w:val="00832E90"/>
    <w:rsid w:val="008330C0"/>
    <w:rsid w:val="008330C5"/>
    <w:rsid w:val="00833362"/>
    <w:rsid w:val="008334A1"/>
    <w:rsid w:val="00833561"/>
    <w:rsid w:val="008336A9"/>
    <w:rsid w:val="00833707"/>
    <w:rsid w:val="0083396A"/>
    <w:rsid w:val="00833ED0"/>
    <w:rsid w:val="008341C5"/>
    <w:rsid w:val="00834276"/>
    <w:rsid w:val="0083431F"/>
    <w:rsid w:val="00834AE0"/>
    <w:rsid w:val="00834C34"/>
    <w:rsid w:val="00834E15"/>
    <w:rsid w:val="00834F1D"/>
    <w:rsid w:val="00835013"/>
    <w:rsid w:val="00835583"/>
    <w:rsid w:val="00835610"/>
    <w:rsid w:val="00835621"/>
    <w:rsid w:val="00835832"/>
    <w:rsid w:val="00835AD0"/>
    <w:rsid w:val="00835F13"/>
    <w:rsid w:val="00835F99"/>
    <w:rsid w:val="0083604B"/>
    <w:rsid w:val="008363A5"/>
    <w:rsid w:val="00836530"/>
    <w:rsid w:val="008365A9"/>
    <w:rsid w:val="008366E3"/>
    <w:rsid w:val="00836BBB"/>
    <w:rsid w:val="00836D0E"/>
    <w:rsid w:val="00837488"/>
    <w:rsid w:val="00837583"/>
    <w:rsid w:val="00837707"/>
    <w:rsid w:val="0083785B"/>
    <w:rsid w:val="008378CB"/>
    <w:rsid w:val="00837E7D"/>
    <w:rsid w:val="008400F0"/>
    <w:rsid w:val="008405D5"/>
    <w:rsid w:val="00840DC8"/>
    <w:rsid w:val="00840E3B"/>
    <w:rsid w:val="008411D5"/>
    <w:rsid w:val="00841335"/>
    <w:rsid w:val="00841587"/>
    <w:rsid w:val="00841C34"/>
    <w:rsid w:val="00842077"/>
    <w:rsid w:val="008429F4"/>
    <w:rsid w:val="00842EE9"/>
    <w:rsid w:val="00842F01"/>
    <w:rsid w:val="00843232"/>
    <w:rsid w:val="00843509"/>
    <w:rsid w:val="00843A43"/>
    <w:rsid w:val="00843B62"/>
    <w:rsid w:val="00843BDC"/>
    <w:rsid w:val="008442B2"/>
    <w:rsid w:val="0084454B"/>
    <w:rsid w:val="00844D82"/>
    <w:rsid w:val="00844D93"/>
    <w:rsid w:val="008452BC"/>
    <w:rsid w:val="00845A5E"/>
    <w:rsid w:val="00845BC4"/>
    <w:rsid w:val="0084605E"/>
    <w:rsid w:val="00846224"/>
    <w:rsid w:val="008466EE"/>
    <w:rsid w:val="0084689A"/>
    <w:rsid w:val="00847236"/>
    <w:rsid w:val="00847845"/>
    <w:rsid w:val="00847868"/>
    <w:rsid w:val="00847C65"/>
    <w:rsid w:val="008501CD"/>
    <w:rsid w:val="00850661"/>
    <w:rsid w:val="0085129C"/>
    <w:rsid w:val="00851540"/>
    <w:rsid w:val="00851610"/>
    <w:rsid w:val="008519F6"/>
    <w:rsid w:val="00851DA6"/>
    <w:rsid w:val="0085249D"/>
    <w:rsid w:val="0085286A"/>
    <w:rsid w:val="00852CD9"/>
    <w:rsid w:val="00852E85"/>
    <w:rsid w:val="00852E89"/>
    <w:rsid w:val="00852F1B"/>
    <w:rsid w:val="00853174"/>
    <w:rsid w:val="00854139"/>
    <w:rsid w:val="0085424A"/>
    <w:rsid w:val="008545D2"/>
    <w:rsid w:val="00854648"/>
    <w:rsid w:val="0085486C"/>
    <w:rsid w:val="00854E75"/>
    <w:rsid w:val="00855149"/>
    <w:rsid w:val="008560E3"/>
    <w:rsid w:val="0085616C"/>
    <w:rsid w:val="008562EB"/>
    <w:rsid w:val="00856EFA"/>
    <w:rsid w:val="0085723E"/>
    <w:rsid w:val="0085739E"/>
    <w:rsid w:val="008575C2"/>
    <w:rsid w:val="00857B2B"/>
    <w:rsid w:val="0086005B"/>
    <w:rsid w:val="008603A0"/>
    <w:rsid w:val="00860712"/>
    <w:rsid w:val="008610AE"/>
    <w:rsid w:val="00861192"/>
    <w:rsid w:val="00861338"/>
    <w:rsid w:val="008616D9"/>
    <w:rsid w:val="00861F44"/>
    <w:rsid w:val="00861FC8"/>
    <w:rsid w:val="00862131"/>
    <w:rsid w:val="008621B0"/>
    <w:rsid w:val="00862B42"/>
    <w:rsid w:val="00862E3A"/>
    <w:rsid w:val="00863ACC"/>
    <w:rsid w:val="00863EA7"/>
    <w:rsid w:val="00863EB1"/>
    <w:rsid w:val="00863FB8"/>
    <w:rsid w:val="0086428D"/>
    <w:rsid w:val="008642BD"/>
    <w:rsid w:val="00864965"/>
    <w:rsid w:val="008649CD"/>
    <w:rsid w:val="00864A76"/>
    <w:rsid w:val="00864F7A"/>
    <w:rsid w:val="00864FAF"/>
    <w:rsid w:val="00865C34"/>
    <w:rsid w:val="00865C73"/>
    <w:rsid w:val="0086637C"/>
    <w:rsid w:val="00866419"/>
    <w:rsid w:val="008671C5"/>
    <w:rsid w:val="008675A8"/>
    <w:rsid w:val="00867732"/>
    <w:rsid w:val="008677C5"/>
    <w:rsid w:val="00867A4A"/>
    <w:rsid w:val="00867D1E"/>
    <w:rsid w:val="00867DDB"/>
    <w:rsid w:val="008703AA"/>
    <w:rsid w:val="00870CD7"/>
    <w:rsid w:val="00871740"/>
    <w:rsid w:val="008717CD"/>
    <w:rsid w:val="0087193D"/>
    <w:rsid w:val="00871982"/>
    <w:rsid w:val="00871E50"/>
    <w:rsid w:val="00872651"/>
    <w:rsid w:val="008726AF"/>
    <w:rsid w:val="00872895"/>
    <w:rsid w:val="00872F11"/>
    <w:rsid w:val="008731D7"/>
    <w:rsid w:val="00873436"/>
    <w:rsid w:val="008746A6"/>
    <w:rsid w:val="008747C8"/>
    <w:rsid w:val="00874892"/>
    <w:rsid w:val="00874B15"/>
    <w:rsid w:val="00874BAD"/>
    <w:rsid w:val="00875814"/>
    <w:rsid w:val="00875B3D"/>
    <w:rsid w:val="00875EDB"/>
    <w:rsid w:val="00876CF7"/>
    <w:rsid w:val="00876D1C"/>
    <w:rsid w:val="00876ED0"/>
    <w:rsid w:val="00877163"/>
    <w:rsid w:val="00877B55"/>
    <w:rsid w:val="00877D30"/>
    <w:rsid w:val="00877D39"/>
    <w:rsid w:val="0088030C"/>
    <w:rsid w:val="008805C1"/>
    <w:rsid w:val="00880C8A"/>
    <w:rsid w:val="00880E4E"/>
    <w:rsid w:val="00880E86"/>
    <w:rsid w:val="008811B1"/>
    <w:rsid w:val="008811CE"/>
    <w:rsid w:val="00881EA0"/>
    <w:rsid w:val="008820D9"/>
    <w:rsid w:val="00882175"/>
    <w:rsid w:val="008823A4"/>
    <w:rsid w:val="0088278B"/>
    <w:rsid w:val="00882E51"/>
    <w:rsid w:val="008830E6"/>
    <w:rsid w:val="008832FF"/>
    <w:rsid w:val="00883B66"/>
    <w:rsid w:val="00883E1D"/>
    <w:rsid w:val="00883EAE"/>
    <w:rsid w:val="00884108"/>
    <w:rsid w:val="0088427C"/>
    <w:rsid w:val="008842C1"/>
    <w:rsid w:val="0088476C"/>
    <w:rsid w:val="00885389"/>
    <w:rsid w:val="00885A16"/>
    <w:rsid w:val="00885B7A"/>
    <w:rsid w:val="00885C2B"/>
    <w:rsid w:val="00885CBD"/>
    <w:rsid w:val="00885EA8"/>
    <w:rsid w:val="00886A33"/>
    <w:rsid w:val="00886EEA"/>
    <w:rsid w:val="0088751D"/>
    <w:rsid w:val="008875DF"/>
    <w:rsid w:val="008875EC"/>
    <w:rsid w:val="00887959"/>
    <w:rsid w:val="00887A21"/>
    <w:rsid w:val="00887AB1"/>
    <w:rsid w:val="00887C8C"/>
    <w:rsid w:val="00887FE7"/>
    <w:rsid w:val="00890704"/>
    <w:rsid w:val="008908D0"/>
    <w:rsid w:val="00891168"/>
    <w:rsid w:val="008918EF"/>
    <w:rsid w:val="00891A23"/>
    <w:rsid w:val="00891D0D"/>
    <w:rsid w:val="00892201"/>
    <w:rsid w:val="0089224A"/>
    <w:rsid w:val="0089236E"/>
    <w:rsid w:val="008927C2"/>
    <w:rsid w:val="00893837"/>
    <w:rsid w:val="00893971"/>
    <w:rsid w:val="00893EC3"/>
    <w:rsid w:val="00894D58"/>
    <w:rsid w:val="00894D59"/>
    <w:rsid w:val="008954B8"/>
    <w:rsid w:val="0089559C"/>
    <w:rsid w:val="008959F6"/>
    <w:rsid w:val="00895F12"/>
    <w:rsid w:val="008961C8"/>
    <w:rsid w:val="00896BD0"/>
    <w:rsid w:val="00896F13"/>
    <w:rsid w:val="008972E2"/>
    <w:rsid w:val="00897A83"/>
    <w:rsid w:val="008A0478"/>
    <w:rsid w:val="008A068B"/>
    <w:rsid w:val="008A118F"/>
    <w:rsid w:val="008A11EC"/>
    <w:rsid w:val="008A1409"/>
    <w:rsid w:val="008A150C"/>
    <w:rsid w:val="008A15A2"/>
    <w:rsid w:val="008A232B"/>
    <w:rsid w:val="008A245E"/>
    <w:rsid w:val="008A2C71"/>
    <w:rsid w:val="008A34B3"/>
    <w:rsid w:val="008A3AEC"/>
    <w:rsid w:val="008A3C6B"/>
    <w:rsid w:val="008A3E8C"/>
    <w:rsid w:val="008A40D3"/>
    <w:rsid w:val="008A52B0"/>
    <w:rsid w:val="008A55F0"/>
    <w:rsid w:val="008A5874"/>
    <w:rsid w:val="008A5DC1"/>
    <w:rsid w:val="008A5F98"/>
    <w:rsid w:val="008A6023"/>
    <w:rsid w:val="008A642B"/>
    <w:rsid w:val="008A65F3"/>
    <w:rsid w:val="008A6621"/>
    <w:rsid w:val="008A71AA"/>
    <w:rsid w:val="008A73E5"/>
    <w:rsid w:val="008A7685"/>
    <w:rsid w:val="008A7818"/>
    <w:rsid w:val="008A7A5D"/>
    <w:rsid w:val="008A7B03"/>
    <w:rsid w:val="008B04E2"/>
    <w:rsid w:val="008B0839"/>
    <w:rsid w:val="008B0A33"/>
    <w:rsid w:val="008B106E"/>
    <w:rsid w:val="008B19A8"/>
    <w:rsid w:val="008B1C25"/>
    <w:rsid w:val="008B1CC3"/>
    <w:rsid w:val="008B1E1E"/>
    <w:rsid w:val="008B2035"/>
    <w:rsid w:val="008B2A37"/>
    <w:rsid w:val="008B2CF3"/>
    <w:rsid w:val="008B3214"/>
    <w:rsid w:val="008B35B3"/>
    <w:rsid w:val="008B3AF9"/>
    <w:rsid w:val="008B43F1"/>
    <w:rsid w:val="008B44B6"/>
    <w:rsid w:val="008B497D"/>
    <w:rsid w:val="008B49E8"/>
    <w:rsid w:val="008B4A0B"/>
    <w:rsid w:val="008B4A71"/>
    <w:rsid w:val="008B4ECA"/>
    <w:rsid w:val="008B58A3"/>
    <w:rsid w:val="008B5BF8"/>
    <w:rsid w:val="008B63E6"/>
    <w:rsid w:val="008B6653"/>
    <w:rsid w:val="008B6F8C"/>
    <w:rsid w:val="008B7951"/>
    <w:rsid w:val="008C039C"/>
    <w:rsid w:val="008C064C"/>
    <w:rsid w:val="008C0A21"/>
    <w:rsid w:val="008C122D"/>
    <w:rsid w:val="008C142E"/>
    <w:rsid w:val="008C2436"/>
    <w:rsid w:val="008C25D2"/>
    <w:rsid w:val="008C29C5"/>
    <w:rsid w:val="008C29D5"/>
    <w:rsid w:val="008C3BB1"/>
    <w:rsid w:val="008C3FF0"/>
    <w:rsid w:val="008C45B0"/>
    <w:rsid w:val="008C47FD"/>
    <w:rsid w:val="008C5A11"/>
    <w:rsid w:val="008C60E1"/>
    <w:rsid w:val="008C6321"/>
    <w:rsid w:val="008C66D8"/>
    <w:rsid w:val="008C6B76"/>
    <w:rsid w:val="008C6DCD"/>
    <w:rsid w:val="008C7786"/>
    <w:rsid w:val="008C7A2C"/>
    <w:rsid w:val="008C7B8F"/>
    <w:rsid w:val="008C7E01"/>
    <w:rsid w:val="008D0267"/>
    <w:rsid w:val="008D0457"/>
    <w:rsid w:val="008D0CE2"/>
    <w:rsid w:val="008D1133"/>
    <w:rsid w:val="008D16C8"/>
    <w:rsid w:val="008D1ADC"/>
    <w:rsid w:val="008D23D6"/>
    <w:rsid w:val="008D283F"/>
    <w:rsid w:val="008D2BD0"/>
    <w:rsid w:val="008D2D59"/>
    <w:rsid w:val="008D3209"/>
    <w:rsid w:val="008D34F9"/>
    <w:rsid w:val="008D3540"/>
    <w:rsid w:val="008D38AA"/>
    <w:rsid w:val="008D3C3E"/>
    <w:rsid w:val="008D418B"/>
    <w:rsid w:val="008D4C45"/>
    <w:rsid w:val="008D500F"/>
    <w:rsid w:val="008D545D"/>
    <w:rsid w:val="008D5D03"/>
    <w:rsid w:val="008D5E9B"/>
    <w:rsid w:val="008D7190"/>
    <w:rsid w:val="008D71E6"/>
    <w:rsid w:val="008D7433"/>
    <w:rsid w:val="008D756B"/>
    <w:rsid w:val="008D75B9"/>
    <w:rsid w:val="008D7AB4"/>
    <w:rsid w:val="008E0260"/>
    <w:rsid w:val="008E130E"/>
    <w:rsid w:val="008E195A"/>
    <w:rsid w:val="008E1B9D"/>
    <w:rsid w:val="008E1C63"/>
    <w:rsid w:val="008E24B3"/>
    <w:rsid w:val="008E256B"/>
    <w:rsid w:val="008E261D"/>
    <w:rsid w:val="008E2967"/>
    <w:rsid w:val="008E336C"/>
    <w:rsid w:val="008E36E1"/>
    <w:rsid w:val="008E3B88"/>
    <w:rsid w:val="008E4091"/>
    <w:rsid w:val="008E419B"/>
    <w:rsid w:val="008E4490"/>
    <w:rsid w:val="008E49CC"/>
    <w:rsid w:val="008E4AAE"/>
    <w:rsid w:val="008E4BA0"/>
    <w:rsid w:val="008E4FCC"/>
    <w:rsid w:val="008E5176"/>
    <w:rsid w:val="008E5182"/>
    <w:rsid w:val="008E5467"/>
    <w:rsid w:val="008E555A"/>
    <w:rsid w:val="008E65F7"/>
    <w:rsid w:val="008E676B"/>
    <w:rsid w:val="008E6785"/>
    <w:rsid w:val="008E69E0"/>
    <w:rsid w:val="008E6CCB"/>
    <w:rsid w:val="008E6E80"/>
    <w:rsid w:val="008E6F93"/>
    <w:rsid w:val="008E70C1"/>
    <w:rsid w:val="008E70D6"/>
    <w:rsid w:val="008E7186"/>
    <w:rsid w:val="008E71F6"/>
    <w:rsid w:val="008E7545"/>
    <w:rsid w:val="008F0458"/>
    <w:rsid w:val="008F06B2"/>
    <w:rsid w:val="008F0708"/>
    <w:rsid w:val="008F0A77"/>
    <w:rsid w:val="008F11FD"/>
    <w:rsid w:val="008F13AE"/>
    <w:rsid w:val="008F1430"/>
    <w:rsid w:val="008F1845"/>
    <w:rsid w:val="008F2034"/>
    <w:rsid w:val="008F2553"/>
    <w:rsid w:val="008F288E"/>
    <w:rsid w:val="008F2934"/>
    <w:rsid w:val="008F2A26"/>
    <w:rsid w:val="008F2A40"/>
    <w:rsid w:val="008F44FF"/>
    <w:rsid w:val="008F495B"/>
    <w:rsid w:val="008F4D03"/>
    <w:rsid w:val="008F4D5B"/>
    <w:rsid w:val="008F4E13"/>
    <w:rsid w:val="008F562F"/>
    <w:rsid w:val="008F5B91"/>
    <w:rsid w:val="008F5C10"/>
    <w:rsid w:val="008F6036"/>
    <w:rsid w:val="008F6F21"/>
    <w:rsid w:val="008F6FE8"/>
    <w:rsid w:val="008F70AF"/>
    <w:rsid w:val="008F70E5"/>
    <w:rsid w:val="00900760"/>
    <w:rsid w:val="00900796"/>
    <w:rsid w:val="009015E3"/>
    <w:rsid w:val="009016E7"/>
    <w:rsid w:val="0090183B"/>
    <w:rsid w:val="00902271"/>
    <w:rsid w:val="009027A2"/>
    <w:rsid w:val="00902C69"/>
    <w:rsid w:val="00902E41"/>
    <w:rsid w:val="00902E87"/>
    <w:rsid w:val="0090334D"/>
    <w:rsid w:val="00903B4F"/>
    <w:rsid w:val="00903FFD"/>
    <w:rsid w:val="0090413A"/>
    <w:rsid w:val="009041D6"/>
    <w:rsid w:val="00904486"/>
    <w:rsid w:val="00904A73"/>
    <w:rsid w:val="00904D44"/>
    <w:rsid w:val="00904ECC"/>
    <w:rsid w:val="00905230"/>
    <w:rsid w:val="009054B8"/>
    <w:rsid w:val="009055E0"/>
    <w:rsid w:val="009058C3"/>
    <w:rsid w:val="009058E2"/>
    <w:rsid w:val="00905D8C"/>
    <w:rsid w:val="00906002"/>
    <w:rsid w:val="009060A5"/>
    <w:rsid w:val="00906605"/>
    <w:rsid w:val="00906E80"/>
    <w:rsid w:val="00907039"/>
    <w:rsid w:val="00910236"/>
    <w:rsid w:val="00910265"/>
    <w:rsid w:val="009103AB"/>
    <w:rsid w:val="00910403"/>
    <w:rsid w:val="0091043F"/>
    <w:rsid w:val="00910F4B"/>
    <w:rsid w:val="00911443"/>
    <w:rsid w:val="00912501"/>
    <w:rsid w:val="00912EC8"/>
    <w:rsid w:val="00913100"/>
    <w:rsid w:val="00913150"/>
    <w:rsid w:val="00913AD9"/>
    <w:rsid w:val="00913DD4"/>
    <w:rsid w:val="009142D5"/>
    <w:rsid w:val="00914C21"/>
    <w:rsid w:val="00914D76"/>
    <w:rsid w:val="00914DC8"/>
    <w:rsid w:val="00914E84"/>
    <w:rsid w:val="00914EF4"/>
    <w:rsid w:val="00914F52"/>
    <w:rsid w:val="0091521B"/>
    <w:rsid w:val="00915389"/>
    <w:rsid w:val="009154DE"/>
    <w:rsid w:val="00915873"/>
    <w:rsid w:val="0091592E"/>
    <w:rsid w:val="00916414"/>
    <w:rsid w:val="009164A0"/>
    <w:rsid w:val="00916B54"/>
    <w:rsid w:val="00916BA2"/>
    <w:rsid w:val="00916DE8"/>
    <w:rsid w:val="00917091"/>
    <w:rsid w:val="00917647"/>
    <w:rsid w:val="00917F50"/>
    <w:rsid w:val="009203D3"/>
    <w:rsid w:val="00920A60"/>
    <w:rsid w:val="00920D91"/>
    <w:rsid w:val="00920E26"/>
    <w:rsid w:val="00921081"/>
    <w:rsid w:val="00921468"/>
    <w:rsid w:val="00921C44"/>
    <w:rsid w:val="00921E34"/>
    <w:rsid w:val="0092292A"/>
    <w:rsid w:val="00922A36"/>
    <w:rsid w:val="00922CD7"/>
    <w:rsid w:val="00922CFD"/>
    <w:rsid w:val="009232DE"/>
    <w:rsid w:val="00923905"/>
    <w:rsid w:val="00923A6A"/>
    <w:rsid w:val="00923D55"/>
    <w:rsid w:val="00924342"/>
    <w:rsid w:val="009244D1"/>
    <w:rsid w:val="00924598"/>
    <w:rsid w:val="0092469C"/>
    <w:rsid w:val="009246D5"/>
    <w:rsid w:val="00924B9B"/>
    <w:rsid w:val="00924C10"/>
    <w:rsid w:val="00924E41"/>
    <w:rsid w:val="00925047"/>
    <w:rsid w:val="009250A6"/>
    <w:rsid w:val="0092600B"/>
    <w:rsid w:val="00926C67"/>
    <w:rsid w:val="00926DCD"/>
    <w:rsid w:val="009272C3"/>
    <w:rsid w:val="009277BC"/>
    <w:rsid w:val="00927A15"/>
    <w:rsid w:val="00927E31"/>
    <w:rsid w:val="00930065"/>
    <w:rsid w:val="00930838"/>
    <w:rsid w:val="00930B2F"/>
    <w:rsid w:val="00931297"/>
    <w:rsid w:val="0093129D"/>
    <w:rsid w:val="00931876"/>
    <w:rsid w:val="00931998"/>
    <w:rsid w:val="009319B6"/>
    <w:rsid w:val="009320A5"/>
    <w:rsid w:val="009323E5"/>
    <w:rsid w:val="009324F4"/>
    <w:rsid w:val="009324FC"/>
    <w:rsid w:val="00932632"/>
    <w:rsid w:val="00933507"/>
    <w:rsid w:val="009344AD"/>
    <w:rsid w:val="00934CE0"/>
    <w:rsid w:val="00935D40"/>
    <w:rsid w:val="00936007"/>
    <w:rsid w:val="009366DD"/>
    <w:rsid w:val="00936893"/>
    <w:rsid w:val="00936AE3"/>
    <w:rsid w:val="00936AE4"/>
    <w:rsid w:val="00937699"/>
    <w:rsid w:val="0093775D"/>
    <w:rsid w:val="00937B9C"/>
    <w:rsid w:val="009405B8"/>
    <w:rsid w:val="00940B23"/>
    <w:rsid w:val="00940B4B"/>
    <w:rsid w:val="00940E20"/>
    <w:rsid w:val="009411F4"/>
    <w:rsid w:val="00941238"/>
    <w:rsid w:val="0094171A"/>
    <w:rsid w:val="009418CA"/>
    <w:rsid w:val="00941A2E"/>
    <w:rsid w:val="00941BC7"/>
    <w:rsid w:val="00941CB6"/>
    <w:rsid w:val="00942848"/>
    <w:rsid w:val="00942D8A"/>
    <w:rsid w:val="00943431"/>
    <w:rsid w:val="009434F8"/>
    <w:rsid w:val="00943618"/>
    <w:rsid w:val="00943736"/>
    <w:rsid w:val="00944DDA"/>
    <w:rsid w:val="00944E1C"/>
    <w:rsid w:val="00944F1C"/>
    <w:rsid w:val="009450C9"/>
    <w:rsid w:val="00945131"/>
    <w:rsid w:val="0094534E"/>
    <w:rsid w:val="0094545F"/>
    <w:rsid w:val="0094589D"/>
    <w:rsid w:val="009458A8"/>
    <w:rsid w:val="00946219"/>
    <w:rsid w:val="009466C4"/>
    <w:rsid w:val="00947241"/>
    <w:rsid w:val="00947477"/>
    <w:rsid w:val="009475CB"/>
    <w:rsid w:val="00947A3E"/>
    <w:rsid w:val="00947E3D"/>
    <w:rsid w:val="00950523"/>
    <w:rsid w:val="00950938"/>
    <w:rsid w:val="0095093E"/>
    <w:rsid w:val="00950A31"/>
    <w:rsid w:val="00950C62"/>
    <w:rsid w:val="009510C5"/>
    <w:rsid w:val="009512C8"/>
    <w:rsid w:val="0095143E"/>
    <w:rsid w:val="009518A3"/>
    <w:rsid w:val="009519D9"/>
    <w:rsid w:val="009523E7"/>
    <w:rsid w:val="00952A94"/>
    <w:rsid w:val="00952D34"/>
    <w:rsid w:val="0095372C"/>
    <w:rsid w:val="0095377F"/>
    <w:rsid w:val="00953982"/>
    <w:rsid w:val="00953C03"/>
    <w:rsid w:val="00953C75"/>
    <w:rsid w:val="00953D8F"/>
    <w:rsid w:val="00953FBE"/>
    <w:rsid w:val="009547F2"/>
    <w:rsid w:val="009549B9"/>
    <w:rsid w:val="009549E7"/>
    <w:rsid w:val="00954BBF"/>
    <w:rsid w:val="00954F70"/>
    <w:rsid w:val="00954FD9"/>
    <w:rsid w:val="009550D0"/>
    <w:rsid w:val="0095536C"/>
    <w:rsid w:val="009555AA"/>
    <w:rsid w:val="00955E3F"/>
    <w:rsid w:val="0095603C"/>
    <w:rsid w:val="009563CD"/>
    <w:rsid w:val="00956504"/>
    <w:rsid w:val="00956599"/>
    <w:rsid w:val="009566B4"/>
    <w:rsid w:val="009568DF"/>
    <w:rsid w:val="009569DF"/>
    <w:rsid w:val="009574DE"/>
    <w:rsid w:val="00957ACE"/>
    <w:rsid w:val="0096006F"/>
    <w:rsid w:val="009603B8"/>
    <w:rsid w:val="0096065A"/>
    <w:rsid w:val="00960AEA"/>
    <w:rsid w:val="00960D39"/>
    <w:rsid w:val="0096106B"/>
    <w:rsid w:val="00961332"/>
    <w:rsid w:val="009613F7"/>
    <w:rsid w:val="00961F40"/>
    <w:rsid w:val="0096200C"/>
    <w:rsid w:val="0096260A"/>
    <w:rsid w:val="009626A8"/>
    <w:rsid w:val="009628A3"/>
    <w:rsid w:val="009628F9"/>
    <w:rsid w:val="0096299B"/>
    <w:rsid w:val="00962EE7"/>
    <w:rsid w:val="00962F0C"/>
    <w:rsid w:val="009630CA"/>
    <w:rsid w:val="0096344E"/>
    <w:rsid w:val="00963BB6"/>
    <w:rsid w:val="00963F01"/>
    <w:rsid w:val="0096428C"/>
    <w:rsid w:val="00964956"/>
    <w:rsid w:val="00964E1E"/>
    <w:rsid w:val="00964F21"/>
    <w:rsid w:val="00965508"/>
    <w:rsid w:val="00965534"/>
    <w:rsid w:val="00965A09"/>
    <w:rsid w:val="00966113"/>
    <w:rsid w:val="00966455"/>
    <w:rsid w:val="009665A9"/>
    <w:rsid w:val="0096668E"/>
    <w:rsid w:val="009666E7"/>
    <w:rsid w:val="00966B1C"/>
    <w:rsid w:val="00966C29"/>
    <w:rsid w:val="00966F33"/>
    <w:rsid w:val="009676BF"/>
    <w:rsid w:val="00967EB2"/>
    <w:rsid w:val="00967F15"/>
    <w:rsid w:val="00967FC9"/>
    <w:rsid w:val="00970293"/>
    <w:rsid w:val="0097087D"/>
    <w:rsid w:val="00970C7B"/>
    <w:rsid w:val="00970D31"/>
    <w:rsid w:val="00970DF1"/>
    <w:rsid w:val="0097103A"/>
    <w:rsid w:val="00971218"/>
    <w:rsid w:val="00971501"/>
    <w:rsid w:val="00971FD3"/>
    <w:rsid w:val="00972064"/>
    <w:rsid w:val="00972693"/>
    <w:rsid w:val="0097285D"/>
    <w:rsid w:val="00972AC2"/>
    <w:rsid w:val="00973618"/>
    <w:rsid w:val="009739A6"/>
    <w:rsid w:val="00973BFC"/>
    <w:rsid w:val="00973DA0"/>
    <w:rsid w:val="0097449D"/>
    <w:rsid w:val="009745B1"/>
    <w:rsid w:val="009749E2"/>
    <w:rsid w:val="00974BB5"/>
    <w:rsid w:val="00974F65"/>
    <w:rsid w:val="0097542E"/>
    <w:rsid w:val="00975599"/>
    <w:rsid w:val="00975DB9"/>
    <w:rsid w:val="0097606B"/>
    <w:rsid w:val="00976087"/>
    <w:rsid w:val="009764BE"/>
    <w:rsid w:val="009768C6"/>
    <w:rsid w:val="00976A2B"/>
    <w:rsid w:val="00976D9C"/>
    <w:rsid w:val="00977117"/>
    <w:rsid w:val="009773F6"/>
    <w:rsid w:val="0097792C"/>
    <w:rsid w:val="00977CCC"/>
    <w:rsid w:val="009800C9"/>
    <w:rsid w:val="00980110"/>
    <w:rsid w:val="009803E7"/>
    <w:rsid w:val="0098066A"/>
    <w:rsid w:val="00981258"/>
    <w:rsid w:val="009816D8"/>
    <w:rsid w:val="009821FF"/>
    <w:rsid w:val="00982945"/>
    <w:rsid w:val="00982A3A"/>
    <w:rsid w:val="00982BAE"/>
    <w:rsid w:val="00982D74"/>
    <w:rsid w:val="00982EF5"/>
    <w:rsid w:val="009833CE"/>
    <w:rsid w:val="009833FD"/>
    <w:rsid w:val="009836C3"/>
    <w:rsid w:val="00983E18"/>
    <w:rsid w:val="009840D3"/>
    <w:rsid w:val="00984902"/>
    <w:rsid w:val="009854C9"/>
    <w:rsid w:val="009856DB"/>
    <w:rsid w:val="00985985"/>
    <w:rsid w:val="00985D19"/>
    <w:rsid w:val="00986264"/>
    <w:rsid w:val="009862A4"/>
    <w:rsid w:val="0098677F"/>
    <w:rsid w:val="00986A7C"/>
    <w:rsid w:val="00987858"/>
    <w:rsid w:val="00987D03"/>
    <w:rsid w:val="00987D9C"/>
    <w:rsid w:val="00990C8D"/>
    <w:rsid w:val="00990DFC"/>
    <w:rsid w:val="00991102"/>
    <w:rsid w:val="009911D2"/>
    <w:rsid w:val="00991EE0"/>
    <w:rsid w:val="00992510"/>
    <w:rsid w:val="0099287D"/>
    <w:rsid w:val="00992E18"/>
    <w:rsid w:val="00993098"/>
    <w:rsid w:val="0099341F"/>
    <w:rsid w:val="00993B3E"/>
    <w:rsid w:val="00993CB8"/>
    <w:rsid w:val="009941F0"/>
    <w:rsid w:val="00994371"/>
    <w:rsid w:val="0099448C"/>
    <w:rsid w:val="00994AD6"/>
    <w:rsid w:val="00995242"/>
    <w:rsid w:val="0099598C"/>
    <w:rsid w:val="00995DF3"/>
    <w:rsid w:val="009960BD"/>
    <w:rsid w:val="009963C0"/>
    <w:rsid w:val="00996664"/>
    <w:rsid w:val="00996688"/>
    <w:rsid w:val="00996A2F"/>
    <w:rsid w:val="00996AD1"/>
    <w:rsid w:val="009976B6"/>
    <w:rsid w:val="009A0C8B"/>
    <w:rsid w:val="009A0DF1"/>
    <w:rsid w:val="009A1368"/>
    <w:rsid w:val="009A21E3"/>
    <w:rsid w:val="009A2888"/>
    <w:rsid w:val="009A2ECC"/>
    <w:rsid w:val="009A3678"/>
    <w:rsid w:val="009A395D"/>
    <w:rsid w:val="009A3B1A"/>
    <w:rsid w:val="009A3E80"/>
    <w:rsid w:val="009A471A"/>
    <w:rsid w:val="009A4933"/>
    <w:rsid w:val="009A4C2C"/>
    <w:rsid w:val="009A4C45"/>
    <w:rsid w:val="009A54A4"/>
    <w:rsid w:val="009A5AA0"/>
    <w:rsid w:val="009A5D0E"/>
    <w:rsid w:val="009A6ED7"/>
    <w:rsid w:val="009A72AD"/>
    <w:rsid w:val="009A78C6"/>
    <w:rsid w:val="009A7A56"/>
    <w:rsid w:val="009A7AF3"/>
    <w:rsid w:val="009A7B3D"/>
    <w:rsid w:val="009A7D31"/>
    <w:rsid w:val="009A7EB5"/>
    <w:rsid w:val="009B00AF"/>
    <w:rsid w:val="009B0A60"/>
    <w:rsid w:val="009B0F37"/>
    <w:rsid w:val="009B11C0"/>
    <w:rsid w:val="009B1767"/>
    <w:rsid w:val="009B1A31"/>
    <w:rsid w:val="009B1B8E"/>
    <w:rsid w:val="009B275D"/>
    <w:rsid w:val="009B36FD"/>
    <w:rsid w:val="009B38EC"/>
    <w:rsid w:val="009B3A6A"/>
    <w:rsid w:val="009B3E7E"/>
    <w:rsid w:val="009B408B"/>
    <w:rsid w:val="009B4C32"/>
    <w:rsid w:val="009B4D89"/>
    <w:rsid w:val="009B4E1B"/>
    <w:rsid w:val="009B4E4E"/>
    <w:rsid w:val="009B51A2"/>
    <w:rsid w:val="009B52AE"/>
    <w:rsid w:val="009B5648"/>
    <w:rsid w:val="009B582D"/>
    <w:rsid w:val="009B585D"/>
    <w:rsid w:val="009B5F97"/>
    <w:rsid w:val="009B5FF3"/>
    <w:rsid w:val="009B6419"/>
    <w:rsid w:val="009B65CE"/>
    <w:rsid w:val="009B6802"/>
    <w:rsid w:val="009B68F0"/>
    <w:rsid w:val="009B6EE4"/>
    <w:rsid w:val="009B6F85"/>
    <w:rsid w:val="009B7364"/>
    <w:rsid w:val="009B7726"/>
    <w:rsid w:val="009B785A"/>
    <w:rsid w:val="009B7C87"/>
    <w:rsid w:val="009B7E50"/>
    <w:rsid w:val="009C03E6"/>
    <w:rsid w:val="009C09CC"/>
    <w:rsid w:val="009C0E57"/>
    <w:rsid w:val="009C13EB"/>
    <w:rsid w:val="009C19A6"/>
    <w:rsid w:val="009C1CF5"/>
    <w:rsid w:val="009C2289"/>
    <w:rsid w:val="009C2447"/>
    <w:rsid w:val="009C2AA9"/>
    <w:rsid w:val="009C2AB8"/>
    <w:rsid w:val="009C34F5"/>
    <w:rsid w:val="009C35FD"/>
    <w:rsid w:val="009C363D"/>
    <w:rsid w:val="009C3659"/>
    <w:rsid w:val="009C3788"/>
    <w:rsid w:val="009C37C5"/>
    <w:rsid w:val="009C384B"/>
    <w:rsid w:val="009C3E2C"/>
    <w:rsid w:val="009C411B"/>
    <w:rsid w:val="009C47FA"/>
    <w:rsid w:val="009C4A7B"/>
    <w:rsid w:val="009C4DBC"/>
    <w:rsid w:val="009C50E7"/>
    <w:rsid w:val="009C5381"/>
    <w:rsid w:val="009C593E"/>
    <w:rsid w:val="009C59CB"/>
    <w:rsid w:val="009C5B88"/>
    <w:rsid w:val="009C5EC1"/>
    <w:rsid w:val="009C5FD3"/>
    <w:rsid w:val="009C600E"/>
    <w:rsid w:val="009C64A1"/>
    <w:rsid w:val="009C65DD"/>
    <w:rsid w:val="009C65FD"/>
    <w:rsid w:val="009C680B"/>
    <w:rsid w:val="009C6A1D"/>
    <w:rsid w:val="009C6CD7"/>
    <w:rsid w:val="009C6D32"/>
    <w:rsid w:val="009C7124"/>
    <w:rsid w:val="009C7918"/>
    <w:rsid w:val="009D0190"/>
    <w:rsid w:val="009D0940"/>
    <w:rsid w:val="009D0A54"/>
    <w:rsid w:val="009D0D10"/>
    <w:rsid w:val="009D10E9"/>
    <w:rsid w:val="009D13D0"/>
    <w:rsid w:val="009D1B18"/>
    <w:rsid w:val="009D22CB"/>
    <w:rsid w:val="009D2815"/>
    <w:rsid w:val="009D290B"/>
    <w:rsid w:val="009D2E90"/>
    <w:rsid w:val="009D304A"/>
    <w:rsid w:val="009D3565"/>
    <w:rsid w:val="009D3BF2"/>
    <w:rsid w:val="009D44C5"/>
    <w:rsid w:val="009D4AE4"/>
    <w:rsid w:val="009D4E98"/>
    <w:rsid w:val="009D4F7B"/>
    <w:rsid w:val="009D5681"/>
    <w:rsid w:val="009D5969"/>
    <w:rsid w:val="009D59E5"/>
    <w:rsid w:val="009D5A32"/>
    <w:rsid w:val="009D5C41"/>
    <w:rsid w:val="009D5FD3"/>
    <w:rsid w:val="009D6698"/>
    <w:rsid w:val="009D68D2"/>
    <w:rsid w:val="009D68F7"/>
    <w:rsid w:val="009D6AD1"/>
    <w:rsid w:val="009D6DCA"/>
    <w:rsid w:val="009D6F0D"/>
    <w:rsid w:val="009D6F85"/>
    <w:rsid w:val="009D70CD"/>
    <w:rsid w:val="009D7141"/>
    <w:rsid w:val="009D7436"/>
    <w:rsid w:val="009D78AC"/>
    <w:rsid w:val="009D7998"/>
    <w:rsid w:val="009D7A45"/>
    <w:rsid w:val="009E008B"/>
    <w:rsid w:val="009E00EE"/>
    <w:rsid w:val="009E0338"/>
    <w:rsid w:val="009E040E"/>
    <w:rsid w:val="009E098A"/>
    <w:rsid w:val="009E09BD"/>
    <w:rsid w:val="009E1231"/>
    <w:rsid w:val="009E1251"/>
    <w:rsid w:val="009E1AE5"/>
    <w:rsid w:val="009E1CCC"/>
    <w:rsid w:val="009E1D44"/>
    <w:rsid w:val="009E2133"/>
    <w:rsid w:val="009E254B"/>
    <w:rsid w:val="009E27C5"/>
    <w:rsid w:val="009E29D0"/>
    <w:rsid w:val="009E2BC7"/>
    <w:rsid w:val="009E2E6C"/>
    <w:rsid w:val="009E338F"/>
    <w:rsid w:val="009E3651"/>
    <w:rsid w:val="009E39F6"/>
    <w:rsid w:val="009E3A4A"/>
    <w:rsid w:val="009E3D5D"/>
    <w:rsid w:val="009E404C"/>
    <w:rsid w:val="009E420D"/>
    <w:rsid w:val="009E42F5"/>
    <w:rsid w:val="009E4866"/>
    <w:rsid w:val="009E4B20"/>
    <w:rsid w:val="009E4B9E"/>
    <w:rsid w:val="009E5398"/>
    <w:rsid w:val="009E567B"/>
    <w:rsid w:val="009E56E7"/>
    <w:rsid w:val="009E57DA"/>
    <w:rsid w:val="009E5E40"/>
    <w:rsid w:val="009E5F85"/>
    <w:rsid w:val="009E6057"/>
    <w:rsid w:val="009E6103"/>
    <w:rsid w:val="009E6F91"/>
    <w:rsid w:val="009E7685"/>
    <w:rsid w:val="009E7CB4"/>
    <w:rsid w:val="009E7F38"/>
    <w:rsid w:val="009F0626"/>
    <w:rsid w:val="009F0E0F"/>
    <w:rsid w:val="009F1222"/>
    <w:rsid w:val="009F124B"/>
    <w:rsid w:val="009F1650"/>
    <w:rsid w:val="009F1BFC"/>
    <w:rsid w:val="009F1EB4"/>
    <w:rsid w:val="009F1F7C"/>
    <w:rsid w:val="009F2162"/>
    <w:rsid w:val="009F21B3"/>
    <w:rsid w:val="009F22F6"/>
    <w:rsid w:val="009F23A1"/>
    <w:rsid w:val="009F27C2"/>
    <w:rsid w:val="009F28EC"/>
    <w:rsid w:val="009F299A"/>
    <w:rsid w:val="009F29A3"/>
    <w:rsid w:val="009F2AA4"/>
    <w:rsid w:val="009F2C9F"/>
    <w:rsid w:val="009F3280"/>
    <w:rsid w:val="009F3427"/>
    <w:rsid w:val="009F3441"/>
    <w:rsid w:val="009F39C9"/>
    <w:rsid w:val="009F3E76"/>
    <w:rsid w:val="009F3EDF"/>
    <w:rsid w:val="009F3F9D"/>
    <w:rsid w:val="009F48D9"/>
    <w:rsid w:val="009F4B72"/>
    <w:rsid w:val="009F4E23"/>
    <w:rsid w:val="009F52DF"/>
    <w:rsid w:val="009F5626"/>
    <w:rsid w:val="009F57D8"/>
    <w:rsid w:val="009F597E"/>
    <w:rsid w:val="009F5AE0"/>
    <w:rsid w:val="009F5B07"/>
    <w:rsid w:val="009F5EF0"/>
    <w:rsid w:val="009F65CE"/>
    <w:rsid w:val="009F66EA"/>
    <w:rsid w:val="009F6C86"/>
    <w:rsid w:val="009F6EA8"/>
    <w:rsid w:val="009F6F63"/>
    <w:rsid w:val="009F7295"/>
    <w:rsid w:val="009F77CF"/>
    <w:rsid w:val="009F7F6A"/>
    <w:rsid w:val="00A00714"/>
    <w:rsid w:val="00A00A5F"/>
    <w:rsid w:val="00A00FEB"/>
    <w:rsid w:val="00A011BA"/>
    <w:rsid w:val="00A01329"/>
    <w:rsid w:val="00A014D1"/>
    <w:rsid w:val="00A01795"/>
    <w:rsid w:val="00A019C7"/>
    <w:rsid w:val="00A01F41"/>
    <w:rsid w:val="00A02C62"/>
    <w:rsid w:val="00A0301A"/>
    <w:rsid w:val="00A031E6"/>
    <w:rsid w:val="00A035AF"/>
    <w:rsid w:val="00A04A29"/>
    <w:rsid w:val="00A053C7"/>
    <w:rsid w:val="00A056D9"/>
    <w:rsid w:val="00A05BE2"/>
    <w:rsid w:val="00A05F99"/>
    <w:rsid w:val="00A060DA"/>
    <w:rsid w:val="00A062E0"/>
    <w:rsid w:val="00A0672E"/>
    <w:rsid w:val="00A068E2"/>
    <w:rsid w:val="00A06946"/>
    <w:rsid w:val="00A074F5"/>
    <w:rsid w:val="00A0778D"/>
    <w:rsid w:val="00A07B6C"/>
    <w:rsid w:val="00A104C7"/>
    <w:rsid w:val="00A104F3"/>
    <w:rsid w:val="00A106E2"/>
    <w:rsid w:val="00A10BE1"/>
    <w:rsid w:val="00A10D3B"/>
    <w:rsid w:val="00A110D3"/>
    <w:rsid w:val="00A11B5A"/>
    <w:rsid w:val="00A11C90"/>
    <w:rsid w:val="00A11D30"/>
    <w:rsid w:val="00A11D90"/>
    <w:rsid w:val="00A12551"/>
    <w:rsid w:val="00A1263F"/>
    <w:rsid w:val="00A12AB7"/>
    <w:rsid w:val="00A1305C"/>
    <w:rsid w:val="00A13131"/>
    <w:rsid w:val="00A13703"/>
    <w:rsid w:val="00A138A6"/>
    <w:rsid w:val="00A13F71"/>
    <w:rsid w:val="00A148C0"/>
    <w:rsid w:val="00A14AAB"/>
    <w:rsid w:val="00A15085"/>
    <w:rsid w:val="00A15FE3"/>
    <w:rsid w:val="00A16455"/>
    <w:rsid w:val="00A16B83"/>
    <w:rsid w:val="00A16BD1"/>
    <w:rsid w:val="00A16BEB"/>
    <w:rsid w:val="00A16DD1"/>
    <w:rsid w:val="00A16E2A"/>
    <w:rsid w:val="00A16E82"/>
    <w:rsid w:val="00A16EF4"/>
    <w:rsid w:val="00A17058"/>
    <w:rsid w:val="00A1753E"/>
    <w:rsid w:val="00A17BF8"/>
    <w:rsid w:val="00A17DCE"/>
    <w:rsid w:val="00A206F8"/>
    <w:rsid w:val="00A20A96"/>
    <w:rsid w:val="00A20E04"/>
    <w:rsid w:val="00A21561"/>
    <w:rsid w:val="00A217E6"/>
    <w:rsid w:val="00A21EA4"/>
    <w:rsid w:val="00A22201"/>
    <w:rsid w:val="00A23691"/>
    <w:rsid w:val="00A23A0A"/>
    <w:rsid w:val="00A23B24"/>
    <w:rsid w:val="00A23E52"/>
    <w:rsid w:val="00A24093"/>
    <w:rsid w:val="00A242BB"/>
    <w:rsid w:val="00A24F4A"/>
    <w:rsid w:val="00A260AD"/>
    <w:rsid w:val="00A264F7"/>
    <w:rsid w:val="00A26642"/>
    <w:rsid w:val="00A2676C"/>
    <w:rsid w:val="00A2698E"/>
    <w:rsid w:val="00A269F8"/>
    <w:rsid w:val="00A26C7A"/>
    <w:rsid w:val="00A26FD4"/>
    <w:rsid w:val="00A2754B"/>
    <w:rsid w:val="00A27C94"/>
    <w:rsid w:val="00A27F6D"/>
    <w:rsid w:val="00A30608"/>
    <w:rsid w:val="00A30BDC"/>
    <w:rsid w:val="00A30E3F"/>
    <w:rsid w:val="00A31920"/>
    <w:rsid w:val="00A31FF9"/>
    <w:rsid w:val="00A320EE"/>
    <w:rsid w:val="00A32293"/>
    <w:rsid w:val="00A3252F"/>
    <w:rsid w:val="00A32CD4"/>
    <w:rsid w:val="00A33037"/>
    <w:rsid w:val="00A33104"/>
    <w:rsid w:val="00A3337B"/>
    <w:rsid w:val="00A33661"/>
    <w:rsid w:val="00A3378E"/>
    <w:rsid w:val="00A3396C"/>
    <w:rsid w:val="00A34A03"/>
    <w:rsid w:val="00A34BB3"/>
    <w:rsid w:val="00A34DF4"/>
    <w:rsid w:val="00A353C0"/>
    <w:rsid w:val="00A353E5"/>
    <w:rsid w:val="00A354BC"/>
    <w:rsid w:val="00A359CC"/>
    <w:rsid w:val="00A35B92"/>
    <w:rsid w:val="00A35BC8"/>
    <w:rsid w:val="00A35CB7"/>
    <w:rsid w:val="00A36691"/>
    <w:rsid w:val="00A373D5"/>
    <w:rsid w:val="00A374BD"/>
    <w:rsid w:val="00A3779C"/>
    <w:rsid w:val="00A37E10"/>
    <w:rsid w:val="00A37E66"/>
    <w:rsid w:val="00A37EF3"/>
    <w:rsid w:val="00A4018B"/>
    <w:rsid w:val="00A401B0"/>
    <w:rsid w:val="00A40A92"/>
    <w:rsid w:val="00A40E23"/>
    <w:rsid w:val="00A40E37"/>
    <w:rsid w:val="00A40F8C"/>
    <w:rsid w:val="00A413A4"/>
    <w:rsid w:val="00A41452"/>
    <w:rsid w:val="00A41C94"/>
    <w:rsid w:val="00A4245A"/>
    <w:rsid w:val="00A4261A"/>
    <w:rsid w:val="00A42C32"/>
    <w:rsid w:val="00A432FB"/>
    <w:rsid w:val="00A43965"/>
    <w:rsid w:val="00A43EF3"/>
    <w:rsid w:val="00A446A8"/>
    <w:rsid w:val="00A44B5E"/>
    <w:rsid w:val="00A44C22"/>
    <w:rsid w:val="00A44DBA"/>
    <w:rsid w:val="00A44FAD"/>
    <w:rsid w:val="00A45055"/>
    <w:rsid w:val="00A45700"/>
    <w:rsid w:val="00A45981"/>
    <w:rsid w:val="00A45B77"/>
    <w:rsid w:val="00A45BF9"/>
    <w:rsid w:val="00A45FFD"/>
    <w:rsid w:val="00A463DD"/>
    <w:rsid w:val="00A4686C"/>
    <w:rsid w:val="00A4722A"/>
    <w:rsid w:val="00A4729B"/>
    <w:rsid w:val="00A4797B"/>
    <w:rsid w:val="00A47C93"/>
    <w:rsid w:val="00A47CE5"/>
    <w:rsid w:val="00A5068E"/>
    <w:rsid w:val="00A5113A"/>
    <w:rsid w:val="00A51473"/>
    <w:rsid w:val="00A516B4"/>
    <w:rsid w:val="00A51D8E"/>
    <w:rsid w:val="00A51F4C"/>
    <w:rsid w:val="00A52016"/>
    <w:rsid w:val="00A52118"/>
    <w:rsid w:val="00A521E8"/>
    <w:rsid w:val="00A527C2"/>
    <w:rsid w:val="00A52C81"/>
    <w:rsid w:val="00A52D2E"/>
    <w:rsid w:val="00A52F29"/>
    <w:rsid w:val="00A5344E"/>
    <w:rsid w:val="00A534E6"/>
    <w:rsid w:val="00A536FB"/>
    <w:rsid w:val="00A53810"/>
    <w:rsid w:val="00A53922"/>
    <w:rsid w:val="00A53941"/>
    <w:rsid w:val="00A53C16"/>
    <w:rsid w:val="00A53D44"/>
    <w:rsid w:val="00A548D4"/>
    <w:rsid w:val="00A54C77"/>
    <w:rsid w:val="00A54D4C"/>
    <w:rsid w:val="00A550BC"/>
    <w:rsid w:val="00A55308"/>
    <w:rsid w:val="00A557E3"/>
    <w:rsid w:val="00A561A2"/>
    <w:rsid w:val="00A56FEB"/>
    <w:rsid w:val="00A576F6"/>
    <w:rsid w:val="00A57817"/>
    <w:rsid w:val="00A57FBD"/>
    <w:rsid w:val="00A60025"/>
    <w:rsid w:val="00A603EB"/>
    <w:rsid w:val="00A607B5"/>
    <w:rsid w:val="00A607BD"/>
    <w:rsid w:val="00A60A3A"/>
    <w:rsid w:val="00A60AB6"/>
    <w:rsid w:val="00A60B9C"/>
    <w:rsid w:val="00A60C69"/>
    <w:rsid w:val="00A61C4B"/>
    <w:rsid w:val="00A61E8A"/>
    <w:rsid w:val="00A6229C"/>
    <w:rsid w:val="00A6258E"/>
    <w:rsid w:val="00A629D2"/>
    <w:rsid w:val="00A62A01"/>
    <w:rsid w:val="00A62AB8"/>
    <w:rsid w:val="00A62F94"/>
    <w:rsid w:val="00A6322D"/>
    <w:rsid w:val="00A63CD6"/>
    <w:rsid w:val="00A6447B"/>
    <w:rsid w:val="00A645C1"/>
    <w:rsid w:val="00A646DE"/>
    <w:rsid w:val="00A64EC4"/>
    <w:rsid w:val="00A651D1"/>
    <w:rsid w:val="00A6537E"/>
    <w:rsid w:val="00A653EE"/>
    <w:rsid w:val="00A654DA"/>
    <w:rsid w:val="00A65553"/>
    <w:rsid w:val="00A65647"/>
    <w:rsid w:val="00A6583D"/>
    <w:rsid w:val="00A65BD4"/>
    <w:rsid w:val="00A6631B"/>
    <w:rsid w:val="00A66826"/>
    <w:rsid w:val="00A66DD3"/>
    <w:rsid w:val="00A66F3B"/>
    <w:rsid w:val="00A67339"/>
    <w:rsid w:val="00A67CE1"/>
    <w:rsid w:val="00A67DD3"/>
    <w:rsid w:val="00A70200"/>
    <w:rsid w:val="00A70867"/>
    <w:rsid w:val="00A70BA9"/>
    <w:rsid w:val="00A728D1"/>
    <w:rsid w:val="00A72C0C"/>
    <w:rsid w:val="00A72D65"/>
    <w:rsid w:val="00A736B8"/>
    <w:rsid w:val="00A73A41"/>
    <w:rsid w:val="00A73CE0"/>
    <w:rsid w:val="00A73E7A"/>
    <w:rsid w:val="00A74308"/>
    <w:rsid w:val="00A7480B"/>
    <w:rsid w:val="00A748E5"/>
    <w:rsid w:val="00A74B25"/>
    <w:rsid w:val="00A756C6"/>
    <w:rsid w:val="00A759BD"/>
    <w:rsid w:val="00A76806"/>
    <w:rsid w:val="00A77A21"/>
    <w:rsid w:val="00A77D0F"/>
    <w:rsid w:val="00A77F3A"/>
    <w:rsid w:val="00A80071"/>
    <w:rsid w:val="00A80668"/>
    <w:rsid w:val="00A80B54"/>
    <w:rsid w:val="00A813CF"/>
    <w:rsid w:val="00A81EED"/>
    <w:rsid w:val="00A823F4"/>
    <w:rsid w:val="00A82D47"/>
    <w:rsid w:val="00A83754"/>
    <w:rsid w:val="00A83DAD"/>
    <w:rsid w:val="00A83F15"/>
    <w:rsid w:val="00A84626"/>
    <w:rsid w:val="00A84A4F"/>
    <w:rsid w:val="00A84B20"/>
    <w:rsid w:val="00A84F5D"/>
    <w:rsid w:val="00A8505F"/>
    <w:rsid w:val="00A850ED"/>
    <w:rsid w:val="00A8510C"/>
    <w:rsid w:val="00A85629"/>
    <w:rsid w:val="00A856CD"/>
    <w:rsid w:val="00A85B0F"/>
    <w:rsid w:val="00A85F9D"/>
    <w:rsid w:val="00A869F5"/>
    <w:rsid w:val="00A86F78"/>
    <w:rsid w:val="00A872D5"/>
    <w:rsid w:val="00A87859"/>
    <w:rsid w:val="00A87DE9"/>
    <w:rsid w:val="00A90516"/>
    <w:rsid w:val="00A90A9F"/>
    <w:rsid w:val="00A90C62"/>
    <w:rsid w:val="00A91466"/>
    <w:rsid w:val="00A9220D"/>
    <w:rsid w:val="00A92C52"/>
    <w:rsid w:val="00A92D1A"/>
    <w:rsid w:val="00A92EAE"/>
    <w:rsid w:val="00A93171"/>
    <w:rsid w:val="00A933C2"/>
    <w:rsid w:val="00A93EE1"/>
    <w:rsid w:val="00A96344"/>
    <w:rsid w:val="00A9667B"/>
    <w:rsid w:val="00A966F4"/>
    <w:rsid w:val="00A96D00"/>
    <w:rsid w:val="00A96E21"/>
    <w:rsid w:val="00A970B8"/>
    <w:rsid w:val="00A9771F"/>
    <w:rsid w:val="00A97C46"/>
    <w:rsid w:val="00A97DE5"/>
    <w:rsid w:val="00A97EC5"/>
    <w:rsid w:val="00AA0289"/>
    <w:rsid w:val="00AA04C3"/>
    <w:rsid w:val="00AA07AC"/>
    <w:rsid w:val="00AA0803"/>
    <w:rsid w:val="00AA0B7B"/>
    <w:rsid w:val="00AA0F74"/>
    <w:rsid w:val="00AA1073"/>
    <w:rsid w:val="00AA1911"/>
    <w:rsid w:val="00AA1A22"/>
    <w:rsid w:val="00AA1DED"/>
    <w:rsid w:val="00AA1E05"/>
    <w:rsid w:val="00AA24CC"/>
    <w:rsid w:val="00AA25F6"/>
    <w:rsid w:val="00AA3000"/>
    <w:rsid w:val="00AA3258"/>
    <w:rsid w:val="00AA3268"/>
    <w:rsid w:val="00AA3684"/>
    <w:rsid w:val="00AA3885"/>
    <w:rsid w:val="00AA3C30"/>
    <w:rsid w:val="00AA4D17"/>
    <w:rsid w:val="00AA4FDA"/>
    <w:rsid w:val="00AA50CE"/>
    <w:rsid w:val="00AA51D0"/>
    <w:rsid w:val="00AA5D8E"/>
    <w:rsid w:val="00AA63DA"/>
    <w:rsid w:val="00AA65E4"/>
    <w:rsid w:val="00AA6B06"/>
    <w:rsid w:val="00AA6B93"/>
    <w:rsid w:val="00AA6BF6"/>
    <w:rsid w:val="00AA6F47"/>
    <w:rsid w:val="00AA7608"/>
    <w:rsid w:val="00AA779E"/>
    <w:rsid w:val="00AB079F"/>
    <w:rsid w:val="00AB086C"/>
    <w:rsid w:val="00AB0ED6"/>
    <w:rsid w:val="00AB1288"/>
    <w:rsid w:val="00AB13A1"/>
    <w:rsid w:val="00AB16A2"/>
    <w:rsid w:val="00AB1D95"/>
    <w:rsid w:val="00AB21AB"/>
    <w:rsid w:val="00AB2224"/>
    <w:rsid w:val="00AB2643"/>
    <w:rsid w:val="00AB288C"/>
    <w:rsid w:val="00AB29CF"/>
    <w:rsid w:val="00AB2D71"/>
    <w:rsid w:val="00AB2D8F"/>
    <w:rsid w:val="00AB3869"/>
    <w:rsid w:val="00AB3F34"/>
    <w:rsid w:val="00AB413B"/>
    <w:rsid w:val="00AB417D"/>
    <w:rsid w:val="00AB42B4"/>
    <w:rsid w:val="00AB4593"/>
    <w:rsid w:val="00AB46AC"/>
    <w:rsid w:val="00AB4804"/>
    <w:rsid w:val="00AB5066"/>
    <w:rsid w:val="00AB5108"/>
    <w:rsid w:val="00AB51B4"/>
    <w:rsid w:val="00AB520B"/>
    <w:rsid w:val="00AB553A"/>
    <w:rsid w:val="00AB588A"/>
    <w:rsid w:val="00AB58AA"/>
    <w:rsid w:val="00AB58E9"/>
    <w:rsid w:val="00AB5E14"/>
    <w:rsid w:val="00AB603F"/>
    <w:rsid w:val="00AB6506"/>
    <w:rsid w:val="00AB69B8"/>
    <w:rsid w:val="00AB6C68"/>
    <w:rsid w:val="00AB6FCF"/>
    <w:rsid w:val="00AC01DD"/>
    <w:rsid w:val="00AC0DE8"/>
    <w:rsid w:val="00AC1070"/>
    <w:rsid w:val="00AC14B8"/>
    <w:rsid w:val="00AC15BD"/>
    <w:rsid w:val="00AC2816"/>
    <w:rsid w:val="00AC30EA"/>
    <w:rsid w:val="00AC311D"/>
    <w:rsid w:val="00AC3261"/>
    <w:rsid w:val="00AC37DC"/>
    <w:rsid w:val="00AC3C7C"/>
    <w:rsid w:val="00AC3F64"/>
    <w:rsid w:val="00AC403A"/>
    <w:rsid w:val="00AC45D9"/>
    <w:rsid w:val="00AC47A5"/>
    <w:rsid w:val="00AC49B2"/>
    <w:rsid w:val="00AC4ABD"/>
    <w:rsid w:val="00AC4D49"/>
    <w:rsid w:val="00AC506F"/>
    <w:rsid w:val="00AC555F"/>
    <w:rsid w:val="00AC5645"/>
    <w:rsid w:val="00AC575C"/>
    <w:rsid w:val="00AC58C5"/>
    <w:rsid w:val="00AC5B76"/>
    <w:rsid w:val="00AC5C8D"/>
    <w:rsid w:val="00AC5D56"/>
    <w:rsid w:val="00AC6239"/>
    <w:rsid w:val="00AC62D2"/>
    <w:rsid w:val="00AC6E61"/>
    <w:rsid w:val="00AC7310"/>
    <w:rsid w:val="00AC7655"/>
    <w:rsid w:val="00AC7AF7"/>
    <w:rsid w:val="00AD0B45"/>
    <w:rsid w:val="00AD0E3B"/>
    <w:rsid w:val="00AD11C6"/>
    <w:rsid w:val="00AD1376"/>
    <w:rsid w:val="00AD13B1"/>
    <w:rsid w:val="00AD16A0"/>
    <w:rsid w:val="00AD16B8"/>
    <w:rsid w:val="00AD1B99"/>
    <w:rsid w:val="00AD1D5F"/>
    <w:rsid w:val="00AD204D"/>
    <w:rsid w:val="00AD225B"/>
    <w:rsid w:val="00AD2754"/>
    <w:rsid w:val="00AD2B69"/>
    <w:rsid w:val="00AD37F9"/>
    <w:rsid w:val="00AD38E0"/>
    <w:rsid w:val="00AD3A00"/>
    <w:rsid w:val="00AD3BB5"/>
    <w:rsid w:val="00AD3D77"/>
    <w:rsid w:val="00AD4165"/>
    <w:rsid w:val="00AD449F"/>
    <w:rsid w:val="00AD4664"/>
    <w:rsid w:val="00AD47B0"/>
    <w:rsid w:val="00AD4851"/>
    <w:rsid w:val="00AD523B"/>
    <w:rsid w:val="00AD52AD"/>
    <w:rsid w:val="00AD574B"/>
    <w:rsid w:val="00AD5A3E"/>
    <w:rsid w:val="00AD5B8A"/>
    <w:rsid w:val="00AD63C6"/>
    <w:rsid w:val="00AD72D2"/>
    <w:rsid w:val="00AD766F"/>
    <w:rsid w:val="00AD7AD2"/>
    <w:rsid w:val="00AE035E"/>
    <w:rsid w:val="00AE0612"/>
    <w:rsid w:val="00AE06BE"/>
    <w:rsid w:val="00AE0793"/>
    <w:rsid w:val="00AE090A"/>
    <w:rsid w:val="00AE0A36"/>
    <w:rsid w:val="00AE0B3B"/>
    <w:rsid w:val="00AE0C95"/>
    <w:rsid w:val="00AE1468"/>
    <w:rsid w:val="00AE1B45"/>
    <w:rsid w:val="00AE2074"/>
    <w:rsid w:val="00AE2083"/>
    <w:rsid w:val="00AE2135"/>
    <w:rsid w:val="00AE2587"/>
    <w:rsid w:val="00AE2727"/>
    <w:rsid w:val="00AE27A5"/>
    <w:rsid w:val="00AE2BC1"/>
    <w:rsid w:val="00AE3381"/>
    <w:rsid w:val="00AE3534"/>
    <w:rsid w:val="00AE3DE0"/>
    <w:rsid w:val="00AE3E31"/>
    <w:rsid w:val="00AE41E7"/>
    <w:rsid w:val="00AE45A0"/>
    <w:rsid w:val="00AE4A87"/>
    <w:rsid w:val="00AE4E00"/>
    <w:rsid w:val="00AE4F25"/>
    <w:rsid w:val="00AE5258"/>
    <w:rsid w:val="00AE5268"/>
    <w:rsid w:val="00AE55EB"/>
    <w:rsid w:val="00AE588C"/>
    <w:rsid w:val="00AE5A40"/>
    <w:rsid w:val="00AE5AE7"/>
    <w:rsid w:val="00AE5FAF"/>
    <w:rsid w:val="00AE5FE2"/>
    <w:rsid w:val="00AE6BF4"/>
    <w:rsid w:val="00AE6CE6"/>
    <w:rsid w:val="00AE7185"/>
    <w:rsid w:val="00AE72A3"/>
    <w:rsid w:val="00AE737F"/>
    <w:rsid w:val="00AE7690"/>
    <w:rsid w:val="00AE794A"/>
    <w:rsid w:val="00AF0F43"/>
    <w:rsid w:val="00AF1214"/>
    <w:rsid w:val="00AF1EFE"/>
    <w:rsid w:val="00AF20D9"/>
    <w:rsid w:val="00AF2312"/>
    <w:rsid w:val="00AF23C3"/>
    <w:rsid w:val="00AF288C"/>
    <w:rsid w:val="00AF2C7B"/>
    <w:rsid w:val="00AF2D39"/>
    <w:rsid w:val="00AF2F68"/>
    <w:rsid w:val="00AF30B8"/>
    <w:rsid w:val="00AF3130"/>
    <w:rsid w:val="00AF34F3"/>
    <w:rsid w:val="00AF3923"/>
    <w:rsid w:val="00AF3C55"/>
    <w:rsid w:val="00AF3D92"/>
    <w:rsid w:val="00AF4340"/>
    <w:rsid w:val="00AF440A"/>
    <w:rsid w:val="00AF46B0"/>
    <w:rsid w:val="00AF49C8"/>
    <w:rsid w:val="00AF4BE5"/>
    <w:rsid w:val="00AF4ED9"/>
    <w:rsid w:val="00AF53A5"/>
    <w:rsid w:val="00AF5C84"/>
    <w:rsid w:val="00AF61EE"/>
    <w:rsid w:val="00AF61FB"/>
    <w:rsid w:val="00AF69A0"/>
    <w:rsid w:val="00AF733D"/>
    <w:rsid w:val="00AF7A97"/>
    <w:rsid w:val="00AF7B1C"/>
    <w:rsid w:val="00B0047A"/>
    <w:rsid w:val="00B006FB"/>
    <w:rsid w:val="00B013F1"/>
    <w:rsid w:val="00B01662"/>
    <w:rsid w:val="00B02317"/>
    <w:rsid w:val="00B02438"/>
    <w:rsid w:val="00B02447"/>
    <w:rsid w:val="00B0296E"/>
    <w:rsid w:val="00B02D20"/>
    <w:rsid w:val="00B02DF9"/>
    <w:rsid w:val="00B02F95"/>
    <w:rsid w:val="00B03130"/>
    <w:rsid w:val="00B0330C"/>
    <w:rsid w:val="00B03967"/>
    <w:rsid w:val="00B03A81"/>
    <w:rsid w:val="00B03DCD"/>
    <w:rsid w:val="00B04180"/>
    <w:rsid w:val="00B04ADE"/>
    <w:rsid w:val="00B04EA1"/>
    <w:rsid w:val="00B05092"/>
    <w:rsid w:val="00B05173"/>
    <w:rsid w:val="00B052C8"/>
    <w:rsid w:val="00B05348"/>
    <w:rsid w:val="00B05ADA"/>
    <w:rsid w:val="00B05ADC"/>
    <w:rsid w:val="00B05AE8"/>
    <w:rsid w:val="00B0610A"/>
    <w:rsid w:val="00B06412"/>
    <w:rsid w:val="00B065FB"/>
    <w:rsid w:val="00B06BE2"/>
    <w:rsid w:val="00B06CBD"/>
    <w:rsid w:val="00B06D40"/>
    <w:rsid w:val="00B06E28"/>
    <w:rsid w:val="00B071CC"/>
    <w:rsid w:val="00B074F8"/>
    <w:rsid w:val="00B07E20"/>
    <w:rsid w:val="00B07E60"/>
    <w:rsid w:val="00B101D3"/>
    <w:rsid w:val="00B102CA"/>
    <w:rsid w:val="00B106EA"/>
    <w:rsid w:val="00B1071B"/>
    <w:rsid w:val="00B10B94"/>
    <w:rsid w:val="00B10EBC"/>
    <w:rsid w:val="00B11C0D"/>
    <w:rsid w:val="00B11DC2"/>
    <w:rsid w:val="00B1230B"/>
    <w:rsid w:val="00B127CA"/>
    <w:rsid w:val="00B128D5"/>
    <w:rsid w:val="00B128FF"/>
    <w:rsid w:val="00B129A2"/>
    <w:rsid w:val="00B129F3"/>
    <w:rsid w:val="00B1328A"/>
    <w:rsid w:val="00B13A18"/>
    <w:rsid w:val="00B14459"/>
    <w:rsid w:val="00B144EB"/>
    <w:rsid w:val="00B14AE1"/>
    <w:rsid w:val="00B15435"/>
    <w:rsid w:val="00B15C15"/>
    <w:rsid w:val="00B15CA0"/>
    <w:rsid w:val="00B15D94"/>
    <w:rsid w:val="00B15DBF"/>
    <w:rsid w:val="00B16128"/>
    <w:rsid w:val="00B171AC"/>
    <w:rsid w:val="00B174FC"/>
    <w:rsid w:val="00B177BE"/>
    <w:rsid w:val="00B17F1A"/>
    <w:rsid w:val="00B2066A"/>
    <w:rsid w:val="00B20B6C"/>
    <w:rsid w:val="00B215C0"/>
    <w:rsid w:val="00B217FB"/>
    <w:rsid w:val="00B21D67"/>
    <w:rsid w:val="00B21FA6"/>
    <w:rsid w:val="00B22659"/>
    <w:rsid w:val="00B2279C"/>
    <w:rsid w:val="00B22C19"/>
    <w:rsid w:val="00B23012"/>
    <w:rsid w:val="00B231E1"/>
    <w:rsid w:val="00B23905"/>
    <w:rsid w:val="00B23C7B"/>
    <w:rsid w:val="00B241F8"/>
    <w:rsid w:val="00B24697"/>
    <w:rsid w:val="00B2498A"/>
    <w:rsid w:val="00B24C0F"/>
    <w:rsid w:val="00B24C96"/>
    <w:rsid w:val="00B2502C"/>
    <w:rsid w:val="00B250A9"/>
    <w:rsid w:val="00B25680"/>
    <w:rsid w:val="00B257BF"/>
    <w:rsid w:val="00B26455"/>
    <w:rsid w:val="00B26716"/>
    <w:rsid w:val="00B268B1"/>
    <w:rsid w:val="00B26A55"/>
    <w:rsid w:val="00B26E24"/>
    <w:rsid w:val="00B27E23"/>
    <w:rsid w:val="00B27E4D"/>
    <w:rsid w:val="00B30160"/>
    <w:rsid w:val="00B30225"/>
    <w:rsid w:val="00B304EB"/>
    <w:rsid w:val="00B305B4"/>
    <w:rsid w:val="00B30606"/>
    <w:rsid w:val="00B3126A"/>
    <w:rsid w:val="00B312A4"/>
    <w:rsid w:val="00B313B8"/>
    <w:rsid w:val="00B32071"/>
    <w:rsid w:val="00B32583"/>
    <w:rsid w:val="00B3280A"/>
    <w:rsid w:val="00B32B77"/>
    <w:rsid w:val="00B32CD3"/>
    <w:rsid w:val="00B33931"/>
    <w:rsid w:val="00B33B46"/>
    <w:rsid w:val="00B33CE8"/>
    <w:rsid w:val="00B33D59"/>
    <w:rsid w:val="00B342C2"/>
    <w:rsid w:val="00B348A2"/>
    <w:rsid w:val="00B34A12"/>
    <w:rsid w:val="00B34A25"/>
    <w:rsid w:val="00B35890"/>
    <w:rsid w:val="00B35C3E"/>
    <w:rsid w:val="00B3603E"/>
    <w:rsid w:val="00B36C49"/>
    <w:rsid w:val="00B37184"/>
    <w:rsid w:val="00B3760C"/>
    <w:rsid w:val="00B37EBD"/>
    <w:rsid w:val="00B400F5"/>
    <w:rsid w:val="00B403C7"/>
    <w:rsid w:val="00B4074E"/>
    <w:rsid w:val="00B40B57"/>
    <w:rsid w:val="00B4192E"/>
    <w:rsid w:val="00B421CD"/>
    <w:rsid w:val="00B42DC7"/>
    <w:rsid w:val="00B42E17"/>
    <w:rsid w:val="00B42E34"/>
    <w:rsid w:val="00B42EFD"/>
    <w:rsid w:val="00B4324C"/>
    <w:rsid w:val="00B4354A"/>
    <w:rsid w:val="00B446CF"/>
    <w:rsid w:val="00B44968"/>
    <w:rsid w:val="00B44AE4"/>
    <w:rsid w:val="00B44CB0"/>
    <w:rsid w:val="00B44EBC"/>
    <w:rsid w:val="00B450F7"/>
    <w:rsid w:val="00B45120"/>
    <w:rsid w:val="00B45188"/>
    <w:rsid w:val="00B451AD"/>
    <w:rsid w:val="00B456EA"/>
    <w:rsid w:val="00B458D2"/>
    <w:rsid w:val="00B46271"/>
    <w:rsid w:val="00B4631B"/>
    <w:rsid w:val="00B4640B"/>
    <w:rsid w:val="00B46494"/>
    <w:rsid w:val="00B46525"/>
    <w:rsid w:val="00B468D5"/>
    <w:rsid w:val="00B46A18"/>
    <w:rsid w:val="00B46D5D"/>
    <w:rsid w:val="00B474CF"/>
    <w:rsid w:val="00B47583"/>
    <w:rsid w:val="00B47676"/>
    <w:rsid w:val="00B47A32"/>
    <w:rsid w:val="00B47DD8"/>
    <w:rsid w:val="00B47E94"/>
    <w:rsid w:val="00B501DA"/>
    <w:rsid w:val="00B50436"/>
    <w:rsid w:val="00B5051D"/>
    <w:rsid w:val="00B5142F"/>
    <w:rsid w:val="00B51F2C"/>
    <w:rsid w:val="00B51FE4"/>
    <w:rsid w:val="00B52204"/>
    <w:rsid w:val="00B52652"/>
    <w:rsid w:val="00B52953"/>
    <w:rsid w:val="00B52B13"/>
    <w:rsid w:val="00B5316D"/>
    <w:rsid w:val="00B535F1"/>
    <w:rsid w:val="00B53B38"/>
    <w:rsid w:val="00B53B39"/>
    <w:rsid w:val="00B53D74"/>
    <w:rsid w:val="00B5449F"/>
    <w:rsid w:val="00B544F7"/>
    <w:rsid w:val="00B54D1F"/>
    <w:rsid w:val="00B553A7"/>
    <w:rsid w:val="00B557DC"/>
    <w:rsid w:val="00B55B4D"/>
    <w:rsid w:val="00B55CBF"/>
    <w:rsid w:val="00B56068"/>
    <w:rsid w:val="00B561DD"/>
    <w:rsid w:val="00B565B7"/>
    <w:rsid w:val="00B56658"/>
    <w:rsid w:val="00B5686E"/>
    <w:rsid w:val="00B56A41"/>
    <w:rsid w:val="00B56C9F"/>
    <w:rsid w:val="00B56D27"/>
    <w:rsid w:val="00B56D4A"/>
    <w:rsid w:val="00B56E8A"/>
    <w:rsid w:val="00B57437"/>
    <w:rsid w:val="00B57588"/>
    <w:rsid w:val="00B576A6"/>
    <w:rsid w:val="00B576F7"/>
    <w:rsid w:val="00B57AD3"/>
    <w:rsid w:val="00B57FEA"/>
    <w:rsid w:val="00B60489"/>
    <w:rsid w:val="00B60AD5"/>
    <w:rsid w:val="00B617FA"/>
    <w:rsid w:val="00B61D31"/>
    <w:rsid w:val="00B62045"/>
    <w:rsid w:val="00B621F6"/>
    <w:rsid w:val="00B622CC"/>
    <w:rsid w:val="00B62644"/>
    <w:rsid w:val="00B62668"/>
    <w:rsid w:val="00B635F0"/>
    <w:rsid w:val="00B636B6"/>
    <w:rsid w:val="00B63B92"/>
    <w:rsid w:val="00B63C04"/>
    <w:rsid w:val="00B6420E"/>
    <w:rsid w:val="00B6433A"/>
    <w:rsid w:val="00B64A8A"/>
    <w:rsid w:val="00B64AFF"/>
    <w:rsid w:val="00B65334"/>
    <w:rsid w:val="00B65473"/>
    <w:rsid w:val="00B6590F"/>
    <w:rsid w:val="00B65DF2"/>
    <w:rsid w:val="00B65E15"/>
    <w:rsid w:val="00B66041"/>
    <w:rsid w:val="00B662AE"/>
    <w:rsid w:val="00B66346"/>
    <w:rsid w:val="00B66401"/>
    <w:rsid w:val="00B664DF"/>
    <w:rsid w:val="00B668B9"/>
    <w:rsid w:val="00B66BA1"/>
    <w:rsid w:val="00B66C26"/>
    <w:rsid w:val="00B675CE"/>
    <w:rsid w:val="00B677A3"/>
    <w:rsid w:val="00B7005C"/>
    <w:rsid w:val="00B70F81"/>
    <w:rsid w:val="00B70FFF"/>
    <w:rsid w:val="00B71420"/>
    <w:rsid w:val="00B71E53"/>
    <w:rsid w:val="00B71F19"/>
    <w:rsid w:val="00B72193"/>
    <w:rsid w:val="00B73029"/>
    <w:rsid w:val="00B733F4"/>
    <w:rsid w:val="00B73A9B"/>
    <w:rsid w:val="00B73B95"/>
    <w:rsid w:val="00B73DF4"/>
    <w:rsid w:val="00B73ECC"/>
    <w:rsid w:val="00B74668"/>
    <w:rsid w:val="00B748B5"/>
    <w:rsid w:val="00B74DC3"/>
    <w:rsid w:val="00B75082"/>
    <w:rsid w:val="00B75127"/>
    <w:rsid w:val="00B755B2"/>
    <w:rsid w:val="00B759E3"/>
    <w:rsid w:val="00B762B1"/>
    <w:rsid w:val="00B76B44"/>
    <w:rsid w:val="00B76B5E"/>
    <w:rsid w:val="00B76D76"/>
    <w:rsid w:val="00B76E2B"/>
    <w:rsid w:val="00B76E8C"/>
    <w:rsid w:val="00B76FFB"/>
    <w:rsid w:val="00B77144"/>
    <w:rsid w:val="00B771B9"/>
    <w:rsid w:val="00B77E05"/>
    <w:rsid w:val="00B77E56"/>
    <w:rsid w:val="00B77EC9"/>
    <w:rsid w:val="00B8007A"/>
    <w:rsid w:val="00B80D9B"/>
    <w:rsid w:val="00B812D8"/>
    <w:rsid w:val="00B8139B"/>
    <w:rsid w:val="00B8149E"/>
    <w:rsid w:val="00B82A49"/>
    <w:rsid w:val="00B82C54"/>
    <w:rsid w:val="00B82DC2"/>
    <w:rsid w:val="00B8345B"/>
    <w:rsid w:val="00B84257"/>
    <w:rsid w:val="00B847D8"/>
    <w:rsid w:val="00B84DB8"/>
    <w:rsid w:val="00B84E1C"/>
    <w:rsid w:val="00B84F50"/>
    <w:rsid w:val="00B85DF8"/>
    <w:rsid w:val="00B86009"/>
    <w:rsid w:val="00B86101"/>
    <w:rsid w:val="00B86235"/>
    <w:rsid w:val="00B8643D"/>
    <w:rsid w:val="00B86B3F"/>
    <w:rsid w:val="00B86B41"/>
    <w:rsid w:val="00B86E87"/>
    <w:rsid w:val="00B870BD"/>
    <w:rsid w:val="00B871C2"/>
    <w:rsid w:val="00B87A76"/>
    <w:rsid w:val="00B87FB7"/>
    <w:rsid w:val="00B9077F"/>
    <w:rsid w:val="00B91017"/>
    <w:rsid w:val="00B922AA"/>
    <w:rsid w:val="00B924C3"/>
    <w:rsid w:val="00B9257D"/>
    <w:rsid w:val="00B925BC"/>
    <w:rsid w:val="00B92896"/>
    <w:rsid w:val="00B931B9"/>
    <w:rsid w:val="00B9353B"/>
    <w:rsid w:val="00B9379F"/>
    <w:rsid w:val="00B93A3D"/>
    <w:rsid w:val="00B93B56"/>
    <w:rsid w:val="00B94213"/>
    <w:rsid w:val="00B94B97"/>
    <w:rsid w:val="00B95A2E"/>
    <w:rsid w:val="00B95D03"/>
    <w:rsid w:val="00B9625B"/>
    <w:rsid w:val="00B96B9C"/>
    <w:rsid w:val="00B96FA7"/>
    <w:rsid w:val="00B97215"/>
    <w:rsid w:val="00B9744C"/>
    <w:rsid w:val="00B9764C"/>
    <w:rsid w:val="00B97798"/>
    <w:rsid w:val="00B977F8"/>
    <w:rsid w:val="00B97AF0"/>
    <w:rsid w:val="00BA066C"/>
    <w:rsid w:val="00BA0880"/>
    <w:rsid w:val="00BA08B3"/>
    <w:rsid w:val="00BA09F1"/>
    <w:rsid w:val="00BA0A79"/>
    <w:rsid w:val="00BA1749"/>
    <w:rsid w:val="00BA1D99"/>
    <w:rsid w:val="00BA21C4"/>
    <w:rsid w:val="00BA272B"/>
    <w:rsid w:val="00BA2AAD"/>
    <w:rsid w:val="00BA2ADE"/>
    <w:rsid w:val="00BA2CE6"/>
    <w:rsid w:val="00BA2E51"/>
    <w:rsid w:val="00BA2F51"/>
    <w:rsid w:val="00BA3006"/>
    <w:rsid w:val="00BA3B2A"/>
    <w:rsid w:val="00BA3BB2"/>
    <w:rsid w:val="00BA3E63"/>
    <w:rsid w:val="00BA40DD"/>
    <w:rsid w:val="00BA4620"/>
    <w:rsid w:val="00BA48B7"/>
    <w:rsid w:val="00BA5FF1"/>
    <w:rsid w:val="00BA6111"/>
    <w:rsid w:val="00BA6AC7"/>
    <w:rsid w:val="00BA780A"/>
    <w:rsid w:val="00BA7AE6"/>
    <w:rsid w:val="00BA7C63"/>
    <w:rsid w:val="00BB028D"/>
    <w:rsid w:val="00BB0498"/>
    <w:rsid w:val="00BB1755"/>
    <w:rsid w:val="00BB17E3"/>
    <w:rsid w:val="00BB1AD7"/>
    <w:rsid w:val="00BB1F22"/>
    <w:rsid w:val="00BB22C7"/>
    <w:rsid w:val="00BB2339"/>
    <w:rsid w:val="00BB23A3"/>
    <w:rsid w:val="00BB2542"/>
    <w:rsid w:val="00BB2763"/>
    <w:rsid w:val="00BB2C4C"/>
    <w:rsid w:val="00BB2D3E"/>
    <w:rsid w:val="00BB2E69"/>
    <w:rsid w:val="00BB2E90"/>
    <w:rsid w:val="00BB33F7"/>
    <w:rsid w:val="00BB37F3"/>
    <w:rsid w:val="00BB3A54"/>
    <w:rsid w:val="00BB40D3"/>
    <w:rsid w:val="00BB49E3"/>
    <w:rsid w:val="00BB4E63"/>
    <w:rsid w:val="00BB4EDC"/>
    <w:rsid w:val="00BB4EF4"/>
    <w:rsid w:val="00BB4F67"/>
    <w:rsid w:val="00BB5376"/>
    <w:rsid w:val="00BB5B46"/>
    <w:rsid w:val="00BB63AD"/>
    <w:rsid w:val="00BB6452"/>
    <w:rsid w:val="00BB6AB7"/>
    <w:rsid w:val="00BB6B55"/>
    <w:rsid w:val="00BB6F68"/>
    <w:rsid w:val="00BB7253"/>
    <w:rsid w:val="00BB79B7"/>
    <w:rsid w:val="00BC025E"/>
    <w:rsid w:val="00BC0349"/>
    <w:rsid w:val="00BC09A9"/>
    <w:rsid w:val="00BC11DC"/>
    <w:rsid w:val="00BC1346"/>
    <w:rsid w:val="00BC1C20"/>
    <w:rsid w:val="00BC236C"/>
    <w:rsid w:val="00BC27EC"/>
    <w:rsid w:val="00BC3096"/>
    <w:rsid w:val="00BC317F"/>
    <w:rsid w:val="00BC325E"/>
    <w:rsid w:val="00BC330B"/>
    <w:rsid w:val="00BC3503"/>
    <w:rsid w:val="00BC3545"/>
    <w:rsid w:val="00BC356C"/>
    <w:rsid w:val="00BC3816"/>
    <w:rsid w:val="00BC3822"/>
    <w:rsid w:val="00BC393E"/>
    <w:rsid w:val="00BC3DD1"/>
    <w:rsid w:val="00BC3F78"/>
    <w:rsid w:val="00BC62BE"/>
    <w:rsid w:val="00BC6867"/>
    <w:rsid w:val="00BC68AF"/>
    <w:rsid w:val="00BC6ED8"/>
    <w:rsid w:val="00BC770E"/>
    <w:rsid w:val="00BC78F2"/>
    <w:rsid w:val="00BD0023"/>
    <w:rsid w:val="00BD00A6"/>
    <w:rsid w:val="00BD06C3"/>
    <w:rsid w:val="00BD08EF"/>
    <w:rsid w:val="00BD1117"/>
    <w:rsid w:val="00BD132B"/>
    <w:rsid w:val="00BD13F2"/>
    <w:rsid w:val="00BD1CED"/>
    <w:rsid w:val="00BD1EB2"/>
    <w:rsid w:val="00BD212D"/>
    <w:rsid w:val="00BD229C"/>
    <w:rsid w:val="00BD2439"/>
    <w:rsid w:val="00BD2DD0"/>
    <w:rsid w:val="00BD32F5"/>
    <w:rsid w:val="00BD3720"/>
    <w:rsid w:val="00BD3CCA"/>
    <w:rsid w:val="00BD459A"/>
    <w:rsid w:val="00BD4618"/>
    <w:rsid w:val="00BD4A32"/>
    <w:rsid w:val="00BD4BA5"/>
    <w:rsid w:val="00BD4BFF"/>
    <w:rsid w:val="00BD4CC6"/>
    <w:rsid w:val="00BD52EB"/>
    <w:rsid w:val="00BD5419"/>
    <w:rsid w:val="00BD5509"/>
    <w:rsid w:val="00BD57A9"/>
    <w:rsid w:val="00BD57CF"/>
    <w:rsid w:val="00BD5AF3"/>
    <w:rsid w:val="00BD5D67"/>
    <w:rsid w:val="00BD5F54"/>
    <w:rsid w:val="00BD5FE2"/>
    <w:rsid w:val="00BD60B4"/>
    <w:rsid w:val="00BD60E7"/>
    <w:rsid w:val="00BD684D"/>
    <w:rsid w:val="00BD697B"/>
    <w:rsid w:val="00BD6AE4"/>
    <w:rsid w:val="00BE0041"/>
    <w:rsid w:val="00BE0325"/>
    <w:rsid w:val="00BE0411"/>
    <w:rsid w:val="00BE063B"/>
    <w:rsid w:val="00BE0660"/>
    <w:rsid w:val="00BE07D5"/>
    <w:rsid w:val="00BE0A3C"/>
    <w:rsid w:val="00BE12BC"/>
    <w:rsid w:val="00BE29D5"/>
    <w:rsid w:val="00BE2A05"/>
    <w:rsid w:val="00BE325C"/>
    <w:rsid w:val="00BE35F2"/>
    <w:rsid w:val="00BE3B35"/>
    <w:rsid w:val="00BE3C48"/>
    <w:rsid w:val="00BE405B"/>
    <w:rsid w:val="00BE4E50"/>
    <w:rsid w:val="00BE5867"/>
    <w:rsid w:val="00BE5BD8"/>
    <w:rsid w:val="00BE6090"/>
    <w:rsid w:val="00BE63FB"/>
    <w:rsid w:val="00BE69D7"/>
    <w:rsid w:val="00BE73F7"/>
    <w:rsid w:val="00BE7455"/>
    <w:rsid w:val="00BE74B7"/>
    <w:rsid w:val="00BF0621"/>
    <w:rsid w:val="00BF0C26"/>
    <w:rsid w:val="00BF0CC6"/>
    <w:rsid w:val="00BF0F61"/>
    <w:rsid w:val="00BF152D"/>
    <w:rsid w:val="00BF15C0"/>
    <w:rsid w:val="00BF171F"/>
    <w:rsid w:val="00BF1BCD"/>
    <w:rsid w:val="00BF1C97"/>
    <w:rsid w:val="00BF28C8"/>
    <w:rsid w:val="00BF2B32"/>
    <w:rsid w:val="00BF3A79"/>
    <w:rsid w:val="00BF3C19"/>
    <w:rsid w:val="00BF3D84"/>
    <w:rsid w:val="00BF3DDB"/>
    <w:rsid w:val="00BF47C5"/>
    <w:rsid w:val="00BF4F80"/>
    <w:rsid w:val="00BF4FA4"/>
    <w:rsid w:val="00BF51CC"/>
    <w:rsid w:val="00BF5291"/>
    <w:rsid w:val="00BF547A"/>
    <w:rsid w:val="00BF54E0"/>
    <w:rsid w:val="00BF5B21"/>
    <w:rsid w:val="00BF5F29"/>
    <w:rsid w:val="00BF6322"/>
    <w:rsid w:val="00BF6EA8"/>
    <w:rsid w:val="00BF71FE"/>
    <w:rsid w:val="00BF761B"/>
    <w:rsid w:val="00BF773A"/>
    <w:rsid w:val="00BF77CA"/>
    <w:rsid w:val="00BF7900"/>
    <w:rsid w:val="00BF7A04"/>
    <w:rsid w:val="00BF7C21"/>
    <w:rsid w:val="00C0025E"/>
    <w:rsid w:val="00C00388"/>
    <w:rsid w:val="00C003CA"/>
    <w:rsid w:val="00C00A97"/>
    <w:rsid w:val="00C01040"/>
    <w:rsid w:val="00C012F1"/>
    <w:rsid w:val="00C018A6"/>
    <w:rsid w:val="00C01F2C"/>
    <w:rsid w:val="00C02A68"/>
    <w:rsid w:val="00C02E60"/>
    <w:rsid w:val="00C02ED4"/>
    <w:rsid w:val="00C02EF5"/>
    <w:rsid w:val="00C0305F"/>
    <w:rsid w:val="00C036F6"/>
    <w:rsid w:val="00C0395C"/>
    <w:rsid w:val="00C03A24"/>
    <w:rsid w:val="00C03BFB"/>
    <w:rsid w:val="00C03D37"/>
    <w:rsid w:val="00C04000"/>
    <w:rsid w:val="00C0478A"/>
    <w:rsid w:val="00C04DE9"/>
    <w:rsid w:val="00C04E90"/>
    <w:rsid w:val="00C05462"/>
    <w:rsid w:val="00C05686"/>
    <w:rsid w:val="00C0582A"/>
    <w:rsid w:val="00C05863"/>
    <w:rsid w:val="00C0589B"/>
    <w:rsid w:val="00C05A65"/>
    <w:rsid w:val="00C05CBA"/>
    <w:rsid w:val="00C05CDF"/>
    <w:rsid w:val="00C05E6B"/>
    <w:rsid w:val="00C06C16"/>
    <w:rsid w:val="00C06D28"/>
    <w:rsid w:val="00C0782A"/>
    <w:rsid w:val="00C07E8D"/>
    <w:rsid w:val="00C10545"/>
    <w:rsid w:val="00C10AF2"/>
    <w:rsid w:val="00C10BD1"/>
    <w:rsid w:val="00C10EA5"/>
    <w:rsid w:val="00C113C3"/>
    <w:rsid w:val="00C11FB5"/>
    <w:rsid w:val="00C12321"/>
    <w:rsid w:val="00C124A9"/>
    <w:rsid w:val="00C1278C"/>
    <w:rsid w:val="00C128A4"/>
    <w:rsid w:val="00C12AD3"/>
    <w:rsid w:val="00C12E43"/>
    <w:rsid w:val="00C12EB2"/>
    <w:rsid w:val="00C13409"/>
    <w:rsid w:val="00C13714"/>
    <w:rsid w:val="00C13E7E"/>
    <w:rsid w:val="00C144DA"/>
    <w:rsid w:val="00C14537"/>
    <w:rsid w:val="00C1515A"/>
    <w:rsid w:val="00C152C3"/>
    <w:rsid w:val="00C15535"/>
    <w:rsid w:val="00C161D3"/>
    <w:rsid w:val="00C16621"/>
    <w:rsid w:val="00C16805"/>
    <w:rsid w:val="00C16E9C"/>
    <w:rsid w:val="00C173D0"/>
    <w:rsid w:val="00C178F2"/>
    <w:rsid w:val="00C17AA9"/>
    <w:rsid w:val="00C17AC1"/>
    <w:rsid w:val="00C20331"/>
    <w:rsid w:val="00C20427"/>
    <w:rsid w:val="00C2054C"/>
    <w:rsid w:val="00C205CA"/>
    <w:rsid w:val="00C20633"/>
    <w:rsid w:val="00C20B3C"/>
    <w:rsid w:val="00C20B4D"/>
    <w:rsid w:val="00C20C7D"/>
    <w:rsid w:val="00C20DDE"/>
    <w:rsid w:val="00C21081"/>
    <w:rsid w:val="00C213FD"/>
    <w:rsid w:val="00C2188A"/>
    <w:rsid w:val="00C2251C"/>
    <w:rsid w:val="00C22679"/>
    <w:rsid w:val="00C228F4"/>
    <w:rsid w:val="00C229B8"/>
    <w:rsid w:val="00C22B1C"/>
    <w:rsid w:val="00C230E3"/>
    <w:rsid w:val="00C2344E"/>
    <w:rsid w:val="00C23C04"/>
    <w:rsid w:val="00C23C77"/>
    <w:rsid w:val="00C23FCA"/>
    <w:rsid w:val="00C24629"/>
    <w:rsid w:val="00C24895"/>
    <w:rsid w:val="00C2494A"/>
    <w:rsid w:val="00C24E3C"/>
    <w:rsid w:val="00C25028"/>
    <w:rsid w:val="00C2503B"/>
    <w:rsid w:val="00C25055"/>
    <w:rsid w:val="00C256B2"/>
    <w:rsid w:val="00C257F7"/>
    <w:rsid w:val="00C25932"/>
    <w:rsid w:val="00C25F49"/>
    <w:rsid w:val="00C260AF"/>
    <w:rsid w:val="00C26466"/>
    <w:rsid w:val="00C26A7A"/>
    <w:rsid w:val="00C26C2E"/>
    <w:rsid w:val="00C273CC"/>
    <w:rsid w:val="00C274D9"/>
    <w:rsid w:val="00C278DF"/>
    <w:rsid w:val="00C279AC"/>
    <w:rsid w:val="00C27CBD"/>
    <w:rsid w:val="00C30170"/>
    <w:rsid w:val="00C30499"/>
    <w:rsid w:val="00C3050E"/>
    <w:rsid w:val="00C3073D"/>
    <w:rsid w:val="00C30914"/>
    <w:rsid w:val="00C30941"/>
    <w:rsid w:val="00C30CAB"/>
    <w:rsid w:val="00C315FA"/>
    <w:rsid w:val="00C31AEF"/>
    <w:rsid w:val="00C31B9A"/>
    <w:rsid w:val="00C31C20"/>
    <w:rsid w:val="00C32123"/>
    <w:rsid w:val="00C3239A"/>
    <w:rsid w:val="00C327E6"/>
    <w:rsid w:val="00C32CAB"/>
    <w:rsid w:val="00C32FD0"/>
    <w:rsid w:val="00C33705"/>
    <w:rsid w:val="00C339E8"/>
    <w:rsid w:val="00C342F9"/>
    <w:rsid w:val="00C34690"/>
    <w:rsid w:val="00C34BA4"/>
    <w:rsid w:val="00C350B9"/>
    <w:rsid w:val="00C36010"/>
    <w:rsid w:val="00C361BF"/>
    <w:rsid w:val="00C36383"/>
    <w:rsid w:val="00C36416"/>
    <w:rsid w:val="00C36671"/>
    <w:rsid w:val="00C366F8"/>
    <w:rsid w:val="00C36E9E"/>
    <w:rsid w:val="00C3713F"/>
    <w:rsid w:val="00C37BC0"/>
    <w:rsid w:val="00C402B6"/>
    <w:rsid w:val="00C4066D"/>
    <w:rsid w:val="00C40705"/>
    <w:rsid w:val="00C40E13"/>
    <w:rsid w:val="00C40E24"/>
    <w:rsid w:val="00C40EDA"/>
    <w:rsid w:val="00C410C9"/>
    <w:rsid w:val="00C41679"/>
    <w:rsid w:val="00C41685"/>
    <w:rsid w:val="00C418D5"/>
    <w:rsid w:val="00C41AF2"/>
    <w:rsid w:val="00C41C34"/>
    <w:rsid w:val="00C41D94"/>
    <w:rsid w:val="00C4219F"/>
    <w:rsid w:val="00C421D5"/>
    <w:rsid w:val="00C42606"/>
    <w:rsid w:val="00C42658"/>
    <w:rsid w:val="00C42B43"/>
    <w:rsid w:val="00C42CC4"/>
    <w:rsid w:val="00C42DCA"/>
    <w:rsid w:val="00C43129"/>
    <w:rsid w:val="00C43C94"/>
    <w:rsid w:val="00C4441C"/>
    <w:rsid w:val="00C4452B"/>
    <w:rsid w:val="00C44B5F"/>
    <w:rsid w:val="00C44CD9"/>
    <w:rsid w:val="00C44DD0"/>
    <w:rsid w:val="00C453F9"/>
    <w:rsid w:val="00C45567"/>
    <w:rsid w:val="00C455BA"/>
    <w:rsid w:val="00C45946"/>
    <w:rsid w:val="00C45E07"/>
    <w:rsid w:val="00C45F64"/>
    <w:rsid w:val="00C463C0"/>
    <w:rsid w:val="00C464E2"/>
    <w:rsid w:val="00C4659F"/>
    <w:rsid w:val="00C46A46"/>
    <w:rsid w:val="00C46C94"/>
    <w:rsid w:val="00C478CE"/>
    <w:rsid w:val="00C47C37"/>
    <w:rsid w:val="00C500C7"/>
    <w:rsid w:val="00C5068D"/>
    <w:rsid w:val="00C51252"/>
    <w:rsid w:val="00C514B2"/>
    <w:rsid w:val="00C51680"/>
    <w:rsid w:val="00C521B8"/>
    <w:rsid w:val="00C5233C"/>
    <w:rsid w:val="00C528B9"/>
    <w:rsid w:val="00C528FE"/>
    <w:rsid w:val="00C52B42"/>
    <w:rsid w:val="00C52C86"/>
    <w:rsid w:val="00C52DD5"/>
    <w:rsid w:val="00C5395C"/>
    <w:rsid w:val="00C54302"/>
    <w:rsid w:val="00C54478"/>
    <w:rsid w:val="00C54529"/>
    <w:rsid w:val="00C546FD"/>
    <w:rsid w:val="00C549FE"/>
    <w:rsid w:val="00C55172"/>
    <w:rsid w:val="00C5562A"/>
    <w:rsid w:val="00C55896"/>
    <w:rsid w:val="00C55CC0"/>
    <w:rsid w:val="00C56535"/>
    <w:rsid w:val="00C56648"/>
    <w:rsid w:val="00C56AB0"/>
    <w:rsid w:val="00C56B72"/>
    <w:rsid w:val="00C57503"/>
    <w:rsid w:val="00C60093"/>
    <w:rsid w:val="00C60100"/>
    <w:rsid w:val="00C6081D"/>
    <w:rsid w:val="00C608A4"/>
    <w:rsid w:val="00C60B54"/>
    <w:rsid w:val="00C60EF7"/>
    <w:rsid w:val="00C6135E"/>
    <w:rsid w:val="00C619C8"/>
    <w:rsid w:val="00C61BA3"/>
    <w:rsid w:val="00C620E9"/>
    <w:rsid w:val="00C624CD"/>
    <w:rsid w:val="00C6260E"/>
    <w:rsid w:val="00C62CD5"/>
    <w:rsid w:val="00C63461"/>
    <w:rsid w:val="00C63521"/>
    <w:rsid w:val="00C63E30"/>
    <w:rsid w:val="00C64096"/>
    <w:rsid w:val="00C64959"/>
    <w:rsid w:val="00C64D01"/>
    <w:rsid w:val="00C64D3B"/>
    <w:rsid w:val="00C6504E"/>
    <w:rsid w:val="00C65257"/>
    <w:rsid w:val="00C65518"/>
    <w:rsid w:val="00C65DA6"/>
    <w:rsid w:val="00C65F5C"/>
    <w:rsid w:val="00C66203"/>
    <w:rsid w:val="00C66476"/>
    <w:rsid w:val="00C66AB6"/>
    <w:rsid w:val="00C66E5D"/>
    <w:rsid w:val="00C66F9D"/>
    <w:rsid w:val="00C673E3"/>
    <w:rsid w:val="00C67E98"/>
    <w:rsid w:val="00C701F0"/>
    <w:rsid w:val="00C7020F"/>
    <w:rsid w:val="00C7044E"/>
    <w:rsid w:val="00C7047B"/>
    <w:rsid w:val="00C70651"/>
    <w:rsid w:val="00C70D71"/>
    <w:rsid w:val="00C70E6A"/>
    <w:rsid w:val="00C70F7D"/>
    <w:rsid w:val="00C71075"/>
    <w:rsid w:val="00C7117D"/>
    <w:rsid w:val="00C711D9"/>
    <w:rsid w:val="00C716DA"/>
    <w:rsid w:val="00C71A1E"/>
    <w:rsid w:val="00C71B7A"/>
    <w:rsid w:val="00C71CE0"/>
    <w:rsid w:val="00C72652"/>
    <w:rsid w:val="00C727DA"/>
    <w:rsid w:val="00C72B54"/>
    <w:rsid w:val="00C72C37"/>
    <w:rsid w:val="00C72FE1"/>
    <w:rsid w:val="00C73131"/>
    <w:rsid w:val="00C7329B"/>
    <w:rsid w:val="00C7345B"/>
    <w:rsid w:val="00C73C52"/>
    <w:rsid w:val="00C73E19"/>
    <w:rsid w:val="00C74090"/>
    <w:rsid w:val="00C74581"/>
    <w:rsid w:val="00C7460C"/>
    <w:rsid w:val="00C747F2"/>
    <w:rsid w:val="00C7498F"/>
    <w:rsid w:val="00C75D16"/>
    <w:rsid w:val="00C76293"/>
    <w:rsid w:val="00C7635A"/>
    <w:rsid w:val="00C76477"/>
    <w:rsid w:val="00C76544"/>
    <w:rsid w:val="00C76640"/>
    <w:rsid w:val="00C7703F"/>
    <w:rsid w:val="00C77849"/>
    <w:rsid w:val="00C77BBA"/>
    <w:rsid w:val="00C80833"/>
    <w:rsid w:val="00C80950"/>
    <w:rsid w:val="00C80C21"/>
    <w:rsid w:val="00C80F8A"/>
    <w:rsid w:val="00C81039"/>
    <w:rsid w:val="00C8137E"/>
    <w:rsid w:val="00C8179E"/>
    <w:rsid w:val="00C81F7B"/>
    <w:rsid w:val="00C82064"/>
    <w:rsid w:val="00C820A1"/>
    <w:rsid w:val="00C8232B"/>
    <w:rsid w:val="00C82DA6"/>
    <w:rsid w:val="00C83935"/>
    <w:rsid w:val="00C83C12"/>
    <w:rsid w:val="00C842A0"/>
    <w:rsid w:val="00C84BE1"/>
    <w:rsid w:val="00C8564E"/>
    <w:rsid w:val="00C8565E"/>
    <w:rsid w:val="00C862D2"/>
    <w:rsid w:val="00C86358"/>
    <w:rsid w:val="00C86771"/>
    <w:rsid w:val="00C86F80"/>
    <w:rsid w:val="00C8736D"/>
    <w:rsid w:val="00C873E7"/>
    <w:rsid w:val="00C8771C"/>
    <w:rsid w:val="00C87C89"/>
    <w:rsid w:val="00C87D38"/>
    <w:rsid w:val="00C87DF4"/>
    <w:rsid w:val="00C90113"/>
    <w:rsid w:val="00C9025C"/>
    <w:rsid w:val="00C903BB"/>
    <w:rsid w:val="00C90960"/>
    <w:rsid w:val="00C90B64"/>
    <w:rsid w:val="00C90F48"/>
    <w:rsid w:val="00C90FB4"/>
    <w:rsid w:val="00C9197B"/>
    <w:rsid w:val="00C92780"/>
    <w:rsid w:val="00C92A64"/>
    <w:rsid w:val="00C92C1E"/>
    <w:rsid w:val="00C92F61"/>
    <w:rsid w:val="00C930EF"/>
    <w:rsid w:val="00C93EA7"/>
    <w:rsid w:val="00C942D8"/>
    <w:rsid w:val="00C94D32"/>
    <w:rsid w:val="00C94D83"/>
    <w:rsid w:val="00C94E53"/>
    <w:rsid w:val="00C94FC6"/>
    <w:rsid w:val="00C95E6B"/>
    <w:rsid w:val="00C9682A"/>
    <w:rsid w:val="00C96E41"/>
    <w:rsid w:val="00C96F0F"/>
    <w:rsid w:val="00C9732A"/>
    <w:rsid w:val="00C97BAF"/>
    <w:rsid w:val="00C97BC5"/>
    <w:rsid w:val="00CA0039"/>
    <w:rsid w:val="00CA0237"/>
    <w:rsid w:val="00CA0644"/>
    <w:rsid w:val="00CA06C5"/>
    <w:rsid w:val="00CA0E23"/>
    <w:rsid w:val="00CA0F65"/>
    <w:rsid w:val="00CA1557"/>
    <w:rsid w:val="00CA16EF"/>
    <w:rsid w:val="00CA1BE0"/>
    <w:rsid w:val="00CA1D1C"/>
    <w:rsid w:val="00CA2154"/>
    <w:rsid w:val="00CA222F"/>
    <w:rsid w:val="00CA23EA"/>
    <w:rsid w:val="00CA2927"/>
    <w:rsid w:val="00CA2A16"/>
    <w:rsid w:val="00CA2FFD"/>
    <w:rsid w:val="00CA32BB"/>
    <w:rsid w:val="00CA3511"/>
    <w:rsid w:val="00CA3CC7"/>
    <w:rsid w:val="00CA3D9B"/>
    <w:rsid w:val="00CA3F57"/>
    <w:rsid w:val="00CA3F6F"/>
    <w:rsid w:val="00CA4143"/>
    <w:rsid w:val="00CA44EA"/>
    <w:rsid w:val="00CA45C8"/>
    <w:rsid w:val="00CA4D2B"/>
    <w:rsid w:val="00CA4ECA"/>
    <w:rsid w:val="00CA504E"/>
    <w:rsid w:val="00CA55A3"/>
    <w:rsid w:val="00CA587B"/>
    <w:rsid w:val="00CA592C"/>
    <w:rsid w:val="00CA5B98"/>
    <w:rsid w:val="00CA610F"/>
    <w:rsid w:val="00CA6159"/>
    <w:rsid w:val="00CA619A"/>
    <w:rsid w:val="00CA6257"/>
    <w:rsid w:val="00CA67BB"/>
    <w:rsid w:val="00CA72E3"/>
    <w:rsid w:val="00CA74A5"/>
    <w:rsid w:val="00CA7AED"/>
    <w:rsid w:val="00CA7BC3"/>
    <w:rsid w:val="00CA7C2D"/>
    <w:rsid w:val="00CA7E85"/>
    <w:rsid w:val="00CB029E"/>
    <w:rsid w:val="00CB02F8"/>
    <w:rsid w:val="00CB0608"/>
    <w:rsid w:val="00CB093F"/>
    <w:rsid w:val="00CB0AB6"/>
    <w:rsid w:val="00CB0B28"/>
    <w:rsid w:val="00CB0BE1"/>
    <w:rsid w:val="00CB0DA5"/>
    <w:rsid w:val="00CB1415"/>
    <w:rsid w:val="00CB18CB"/>
    <w:rsid w:val="00CB1934"/>
    <w:rsid w:val="00CB19D2"/>
    <w:rsid w:val="00CB1EFC"/>
    <w:rsid w:val="00CB2144"/>
    <w:rsid w:val="00CB2533"/>
    <w:rsid w:val="00CB29F6"/>
    <w:rsid w:val="00CB2CAF"/>
    <w:rsid w:val="00CB2CD4"/>
    <w:rsid w:val="00CB3A92"/>
    <w:rsid w:val="00CB3B97"/>
    <w:rsid w:val="00CB4350"/>
    <w:rsid w:val="00CB4881"/>
    <w:rsid w:val="00CB496A"/>
    <w:rsid w:val="00CB4B7C"/>
    <w:rsid w:val="00CB5286"/>
    <w:rsid w:val="00CB5554"/>
    <w:rsid w:val="00CB632D"/>
    <w:rsid w:val="00CB6419"/>
    <w:rsid w:val="00CB67B5"/>
    <w:rsid w:val="00CB6C1F"/>
    <w:rsid w:val="00CB6CEC"/>
    <w:rsid w:val="00CB701E"/>
    <w:rsid w:val="00CB72A2"/>
    <w:rsid w:val="00CB7347"/>
    <w:rsid w:val="00CB73CE"/>
    <w:rsid w:val="00CB75FC"/>
    <w:rsid w:val="00CB7717"/>
    <w:rsid w:val="00CB792D"/>
    <w:rsid w:val="00CC00C6"/>
    <w:rsid w:val="00CC02AD"/>
    <w:rsid w:val="00CC0BD3"/>
    <w:rsid w:val="00CC0D87"/>
    <w:rsid w:val="00CC1176"/>
    <w:rsid w:val="00CC158A"/>
    <w:rsid w:val="00CC1593"/>
    <w:rsid w:val="00CC1C76"/>
    <w:rsid w:val="00CC1F65"/>
    <w:rsid w:val="00CC1F76"/>
    <w:rsid w:val="00CC204D"/>
    <w:rsid w:val="00CC21DA"/>
    <w:rsid w:val="00CC24DD"/>
    <w:rsid w:val="00CC24E1"/>
    <w:rsid w:val="00CC2777"/>
    <w:rsid w:val="00CC29EB"/>
    <w:rsid w:val="00CC30CD"/>
    <w:rsid w:val="00CC336A"/>
    <w:rsid w:val="00CC349B"/>
    <w:rsid w:val="00CC37AB"/>
    <w:rsid w:val="00CC3BDF"/>
    <w:rsid w:val="00CC3FF2"/>
    <w:rsid w:val="00CC4317"/>
    <w:rsid w:val="00CC43D2"/>
    <w:rsid w:val="00CC4733"/>
    <w:rsid w:val="00CC5405"/>
    <w:rsid w:val="00CC58B5"/>
    <w:rsid w:val="00CC5CA4"/>
    <w:rsid w:val="00CC6E81"/>
    <w:rsid w:val="00CC75F5"/>
    <w:rsid w:val="00CC76CD"/>
    <w:rsid w:val="00CC7823"/>
    <w:rsid w:val="00CC7B2E"/>
    <w:rsid w:val="00CD0A29"/>
    <w:rsid w:val="00CD14E3"/>
    <w:rsid w:val="00CD1734"/>
    <w:rsid w:val="00CD1B50"/>
    <w:rsid w:val="00CD1BA2"/>
    <w:rsid w:val="00CD21B4"/>
    <w:rsid w:val="00CD24D3"/>
    <w:rsid w:val="00CD2519"/>
    <w:rsid w:val="00CD2D8C"/>
    <w:rsid w:val="00CD2E5F"/>
    <w:rsid w:val="00CD3425"/>
    <w:rsid w:val="00CD4016"/>
    <w:rsid w:val="00CD4395"/>
    <w:rsid w:val="00CD463A"/>
    <w:rsid w:val="00CD4875"/>
    <w:rsid w:val="00CD4A9D"/>
    <w:rsid w:val="00CD4E02"/>
    <w:rsid w:val="00CD561E"/>
    <w:rsid w:val="00CD5700"/>
    <w:rsid w:val="00CD5784"/>
    <w:rsid w:val="00CD582F"/>
    <w:rsid w:val="00CD5B52"/>
    <w:rsid w:val="00CD5CCB"/>
    <w:rsid w:val="00CD5CD9"/>
    <w:rsid w:val="00CD5FB8"/>
    <w:rsid w:val="00CD6508"/>
    <w:rsid w:val="00CD6666"/>
    <w:rsid w:val="00CD6689"/>
    <w:rsid w:val="00CD679E"/>
    <w:rsid w:val="00CD6CEC"/>
    <w:rsid w:val="00CE00A7"/>
    <w:rsid w:val="00CE0215"/>
    <w:rsid w:val="00CE0847"/>
    <w:rsid w:val="00CE08EB"/>
    <w:rsid w:val="00CE0AA9"/>
    <w:rsid w:val="00CE0B85"/>
    <w:rsid w:val="00CE0E46"/>
    <w:rsid w:val="00CE11C5"/>
    <w:rsid w:val="00CE15FE"/>
    <w:rsid w:val="00CE1678"/>
    <w:rsid w:val="00CE16C0"/>
    <w:rsid w:val="00CE17F7"/>
    <w:rsid w:val="00CE1D37"/>
    <w:rsid w:val="00CE1EA8"/>
    <w:rsid w:val="00CE21C0"/>
    <w:rsid w:val="00CE2579"/>
    <w:rsid w:val="00CE25BC"/>
    <w:rsid w:val="00CE273B"/>
    <w:rsid w:val="00CE2871"/>
    <w:rsid w:val="00CE28C2"/>
    <w:rsid w:val="00CE29D6"/>
    <w:rsid w:val="00CE2CB4"/>
    <w:rsid w:val="00CE3771"/>
    <w:rsid w:val="00CE3B6B"/>
    <w:rsid w:val="00CE3D18"/>
    <w:rsid w:val="00CE42E6"/>
    <w:rsid w:val="00CE44AA"/>
    <w:rsid w:val="00CE4520"/>
    <w:rsid w:val="00CE45F1"/>
    <w:rsid w:val="00CE4796"/>
    <w:rsid w:val="00CE4888"/>
    <w:rsid w:val="00CE49C8"/>
    <w:rsid w:val="00CE4CA4"/>
    <w:rsid w:val="00CE4E8C"/>
    <w:rsid w:val="00CE51AF"/>
    <w:rsid w:val="00CE5382"/>
    <w:rsid w:val="00CE5664"/>
    <w:rsid w:val="00CE6586"/>
    <w:rsid w:val="00CE699D"/>
    <w:rsid w:val="00CE69A2"/>
    <w:rsid w:val="00CE6DFD"/>
    <w:rsid w:val="00CE6F4E"/>
    <w:rsid w:val="00CE7875"/>
    <w:rsid w:val="00CE7972"/>
    <w:rsid w:val="00CE7C02"/>
    <w:rsid w:val="00CE7E7A"/>
    <w:rsid w:val="00CF02B2"/>
    <w:rsid w:val="00CF05CB"/>
    <w:rsid w:val="00CF0653"/>
    <w:rsid w:val="00CF0EC3"/>
    <w:rsid w:val="00CF180A"/>
    <w:rsid w:val="00CF195A"/>
    <w:rsid w:val="00CF1985"/>
    <w:rsid w:val="00CF1A51"/>
    <w:rsid w:val="00CF1DA2"/>
    <w:rsid w:val="00CF2043"/>
    <w:rsid w:val="00CF212B"/>
    <w:rsid w:val="00CF21CE"/>
    <w:rsid w:val="00CF28D4"/>
    <w:rsid w:val="00CF2A3A"/>
    <w:rsid w:val="00CF36A1"/>
    <w:rsid w:val="00CF3A72"/>
    <w:rsid w:val="00CF3D4C"/>
    <w:rsid w:val="00CF4041"/>
    <w:rsid w:val="00CF4165"/>
    <w:rsid w:val="00CF4397"/>
    <w:rsid w:val="00CF497D"/>
    <w:rsid w:val="00CF4B90"/>
    <w:rsid w:val="00CF4F42"/>
    <w:rsid w:val="00CF522D"/>
    <w:rsid w:val="00CF552D"/>
    <w:rsid w:val="00CF5B97"/>
    <w:rsid w:val="00CF5C69"/>
    <w:rsid w:val="00CF5D89"/>
    <w:rsid w:val="00CF5F0F"/>
    <w:rsid w:val="00CF5FDA"/>
    <w:rsid w:val="00CF640C"/>
    <w:rsid w:val="00CF6423"/>
    <w:rsid w:val="00CF69F4"/>
    <w:rsid w:val="00CF6B46"/>
    <w:rsid w:val="00CF6D50"/>
    <w:rsid w:val="00CF6DA9"/>
    <w:rsid w:val="00CF6F45"/>
    <w:rsid w:val="00CF700B"/>
    <w:rsid w:val="00CF7812"/>
    <w:rsid w:val="00CF7ACB"/>
    <w:rsid w:val="00CF7E16"/>
    <w:rsid w:val="00D00802"/>
    <w:rsid w:val="00D008B6"/>
    <w:rsid w:val="00D008C7"/>
    <w:rsid w:val="00D00EA4"/>
    <w:rsid w:val="00D01000"/>
    <w:rsid w:val="00D014D3"/>
    <w:rsid w:val="00D019A5"/>
    <w:rsid w:val="00D01D0D"/>
    <w:rsid w:val="00D01DD9"/>
    <w:rsid w:val="00D0203C"/>
    <w:rsid w:val="00D021CE"/>
    <w:rsid w:val="00D02B47"/>
    <w:rsid w:val="00D02E34"/>
    <w:rsid w:val="00D03149"/>
    <w:rsid w:val="00D03454"/>
    <w:rsid w:val="00D039F8"/>
    <w:rsid w:val="00D03F5A"/>
    <w:rsid w:val="00D04D2A"/>
    <w:rsid w:val="00D05AC4"/>
    <w:rsid w:val="00D05DCE"/>
    <w:rsid w:val="00D06513"/>
    <w:rsid w:val="00D066BA"/>
    <w:rsid w:val="00D069A0"/>
    <w:rsid w:val="00D06DFE"/>
    <w:rsid w:val="00D07235"/>
    <w:rsid w:val="00D074CB"/>
    <w:rsid w:val="00D07A27"/>
    <w:rsid w:val="00D07D7B"/>
    <w:rsid w:val="00D07EC6"/>
    <w:rsid w:val="00D10DBD"/>
    <w:rsid w:val="00D10E4F"/>
    <w:rsid w:val="00D10F6E"/>
    <w:rsid w:val="00D118C7"/>
    <w:rsid w:val="00D11B60"/>
    <w:rsid w:val="00D126EB"/>
    <w:rsid w:val="00D131D3"/>
    <w:rsid w:val="00D133F9"/>
    <w:rsid w:val="00D13695"/>
    <w:rsid w:val="00D136A1"/>
    <w:rsid w:val="00D139FE"/>
    <w:rsid w:val="00D14283"/>
    <w:rsid w:val="00D14A62"/>
    <w:rsid w:val="00D14C87"/>
    <w:rsid w:val="00D15194"/>
    <w:rsid w:val="00D151FB"/>
    <w:rsid w:val="00D155B4"/>
    <w:rsid w:val="00D159B4"/>
    <w:rsid w:val="00D15A40"/>
    <w:rsid w:val="00D15C39"/>
    <w:rsid w:val="00D15E44"/>
    <w:rsid w:val="00D163AD"/>
    <w:rsid w:val="00D1691C"/>
    <w:rsid w:val="00D16B84"/>
    <w:rsid w:val="00D16D09"/>
    <w:rsid w:val="00D1738D"/>
    <w:rsid w:val="00D17499"/>
    <w:rsid w:val="00D17532"/>
    <w:rsid w:val="00D177F7"/>
    <w:rsid w:val="00D17BF6"/>
    <w:rsid w:val="00D203CE"/>
    <w:rsid w:val="00D20423"/>
    <w:rsid w:val="00D20936"/>
    <w:rsid w:val="00D210FB"/>
    <w:rsid w:val="00D21D41"/>
    <w:rsid w:val="00D21FCE"/>
    <w:rsid w:val="00D220C2"/>
    <w:rsid w:val="00D22289"/>
    <w:rsid w:val="00D222F8"/>
    <w:rsid w:val="00D22A6A"/>
    <w:rsid w:val="00D22BBD"/>
    <w:rsid w:val="00D22F3A"/>
    <w:rsid w:val="00D238E7"/>
    <w:rsid w:val="00D23C2A"/>
    <w:rsid w:val="00D23FE1"/>
    <w:rsid w:val="00D2457C"/>
    <w:rsid w:val="00D24B67"/>
    <w:rsid w:val="00D24CA8"/>
    <w:rsid w:val="00D24DFC"/>
    <w:rsid w:val="00D2582A"/>
    <w:rsid w:val="00D25DB5"/>
    <w:rsid w:val="00D268F5"/>
    <w:rsid w:val="00D26AD8"/>
    <w:rsid w:val="00D27C1F"/>
    <w:rsid w:val="00D3042B"/>
    <w:rsid w:val="00D305D6"/>
    <w:rsid w:val="00D30A22"/>
    <w:rsid w:val="00D30A90"/>
    <w:rsid w:val="00D31712"/>
    <w:rsid w:val="00D3178B"/>
    <w:rsid w:val="00D31820"/>
    <w:rsid w:val="00D318D9"/>
    <w:rsid w:val="00D31B90"/>
    <w:rsid w:val="00D31F8B"/>
    <w:rsid w:val="00D320B5"/>
    <w:rsid w:val="00D327A0"/>
    <w:rsid w:val="00D329A3"/>
    <w:rsid w:val="00D32A05"/>
    <w:rsid w:val="00D32C42"/>
    <w:rsid w:val="00D32C71"/>
    <w:rsid w:val="00D32F9C"/>
    <w:rsid w:val="00D33094"/>
    <w:rsid w:val="00D334BE"/>
    <w:rsid w:val="00D3389B"/>
    <w:rsid w:val="00D33DFD"/>
    <w:rsid w:val="00D33FBE"/>
    <w:rsid w:val="00D34596"/>
    <w:rsid w:val="00D346A4"/>
    <w:rsid w:val="00D3485E"/>
    <w:rsid w:val="00D348C1"/>
    <w:rsid w:val="00D34995"/>
    <w:rsid w:val="00D34A98"/>
    <w:rsid w:val="00D3511C"/>
    <w:rsid w:val="00D353F6"/>
    <w:rsid w:val="00D35478"/>
    <w:rsid w:val="00D35B6E"/>
    <w:rsid w:val="00D36127"/>
    <w:rsid w:val="00D36449"/>
    <w:rsid w:val="00D366FC"/>
    <w:rsid w:val="00D36C1C"/>
    <w:rsid w:val="00D36F7A"/>
    <w:rsid w:val="00D37413"/>
    <w:rsid w:val="00D374E8"/>
    <w:rsid w:val="00D37664"/>
    <w:rsid w:val="00D37697"/>
    <w:rsid w:val="00D379B9"/>
    <w:rsid w:val="00D37A28"/>
    <w:rsid w:val="00D37E72"/>
    <w:rsid w:val="00D401BF"/>
    <w:rsid w:val="00D404A6"/>
    <w:rsid w:val="00D40549"/>
    <w:rsid w:val="00D405FF"/>
    <w:rsid w:val="00D40709"/>
    <w:rsid w:val="00D40754"/>
    <w:rsid w:val="00D415DE"/>
    <w:rsid w:val="00D41980"/>
    <w:rsid w:val="00D419A2"/>
    <w:rsid w:val="00D41AFB"/>
    <w:rsid w:val="00D41CA8"/>
    <w:rsid w:val="00D42126"/>
    <w:rsid w:val="00D42282"/>
    <w:rsid w:val="00D428A1"/>
    <w:rsid w:val="00D428AA"/>
    <w:rsid w:val="00D42C58"/>
    <w:rsid w:val="00D43448"/>
    <w:rsid w:val="00D437F3"/>
    <w:rsid w:val="00D44460"/>
    <w:rsid w:val="00D445FB"/>
    <w:rsid w:val="00D44D22"/>
    <w:rsid w:val="00D45066"/>
    <w:rsid w:val="00D45259"/>
    <w:rsid w:val="00D45535"/>
    <w:rsid w:val="00D45595"/>
    <w:rsid w:val="00D4564A"/>
    <w:rsid w:val="00D45915"/>
    <w:rsid w:val="00D45B35"/>
    <w:rsid w:val="00D45D5F"/>
    <w:rsid w:val="00D461EC"/>
    <w:rsid w:val="00D464A4"/>
    <w:rsid w:val="00D464C1"/>
    <w:rsid w:val="00D468DD"/>
    <w:rsid w:val="00D46C11"/>
    <w:rsid w:val="00D46CE2"/>
    <w:rsid w:val="00D46FA7"/>
    <w:rsid w:val="00D473D7"/>
    <w:rsid w:val="00D47DC2"/>
    <w:rsid w:val="00D500C5"/>
    <w:rsid w:val="00D503F8"/>
    <w:rsid w:val="00D50876"/>
    <w:rsid w:val="00D509A4"/>
    <w:rsid w:val="00D50C7D"/>
    <w:rsid w:val="00D50D9D"/>
    <w:rsid w:val="00D50EB6"/>
    <w:rsid w:val="00D50FB2"/>
    <w:rsid w:val="00D50FCC"/>
    <w:rsid w:val="00D51A2B"/>
    <w:rsid w:val="00D51CAC"/>
    <w:rsid w:val="00D51D1D"/>
    <w:rsid w:val="00D51D8D"/>
    <w:rsid w:val="00D52149"/>
    <w:rsid w:val="00D52A34"/>
    <w:rsid w:val="00D52A6D"/>
    <w:rsid w:val="00D530AA"/>
    <w:rsid w:val="00D531A0"/>
    <w:rsid w:val="00D531B6"/>
    <w:rsid w:val="00D531E5"/>
    <w:rsid w:val="00D53396"/>
    <w:rsid w:val="00D5392F"/>
    <w:rsid w:val="00D5430F"/>
    <w:rsid w:val="00D551E0"/>
    <w:rsid w:val="00D55588"/>
    <w:rsid w:val="00D55A57"/>
    <w:rsid w:val="00D55D94"/>
    <w:rsid w:val="00D55F11"/>
    <w:rsid w:val="00D55FD4"/>
    <w:rsid w:val="00D563F5"/>
    <w:rsid w:val="00D56434"/>
    <w:rsid w:val="00D56CAC"/>
    <w:rsid w:val="00D56E39"/>
    <w:rsid w:val="00D570A3"/>
    <w:rsid w:val="00D570E6"/>
    <w:rsid w:val="00D5711F"/>
    <w:rsid w:val="00D57195"/>
    <w:rsid w:val="00D576A1"/>
    <w:rsid w:val="00D577EE"/>
    <w:rsid w:val="00D57C7A"/>
    <w:rsid w:val="00D604AB"/>
    <w:rsid w:val="00D607D9"/>
    <w:rsid w:val="00D60875"/>
    <w:rsid w:val="00D6100D"/>
    <w:rsid w:val="00D61543"/>
    <w:rsid w:val="00D61DC3"/>
    <w:rsid w:val="00D620A8"/>
    <w:rsid w:val="00D622BD"/>
    <w:rsid w:val="00D6266F"/>
    <w:rsid w:val="00D626E4"/>
    <w:rsid w:val="00D6279C"/>
    <w:rsid w:val="00D62AFC"/>
    <w:rsid w:val="00D62B29"/>
    <w:rsid w:val="00D62B51"/>
    <w:rsid w:val="00D62E23"/>
    <w:rsid w:val="00D62F3E"/>
    <w:rsid w:val="00D63104"/>
    <w:rsid w:val="00D6350F"/>
    <w:rsid w:val="00D63ACF"/>
    <w:rsid w:val="00D63AE7"/>
    <w:rsid w:val="00D63D37"/>
    <w:rsid w:val="00D64110"/>
    <w:rsid w:val="00D643C8"/>
    <w:rsid w:val="00D64572"/>
    <w:rsid w:val="00D65442"/>
    <w:rsid w:val="00D6544E"/>
    <w:rsid w:val="00D65510"/>
    <w:rsid w:val="00D65565"/>
    <w:rsid w:val="00D65F8C"/>
    <w:rsid w:val="00D65F9C"/>
    <w:rsid w:val="00D66120"/>
    <w:rsid w:val="00D663C9"/>
    <w:rsid w:val="00D6688C"/>
    <w:rsid w:val="00D66C0F"/>
    <w:rsid w:val="00D66CF4"/>
    <w:rsid w:val="00D66FD0"/>
    <w:rsid w:val="00D67685"/>
    <w:rsid w:val="00D676A1"/>
    <w:rsid w:val="00D677B4"/>
    <w:rsid w:val="00D67950"/>
    <w:rsid w:val="00D67A05"/>
    <w:rsid w:val="00D67B08"/>
    <w:rsid w:val="00D67DDA"/>
    <w:rsid w:val="00D703ED"/>
    <w:rsid w:val="00D708EF"/>
    <w:rsid w:val="00D70AAF"/>
    <w:rsid w:val="00D7107A"/>
    <w:rsid w:val="00D7130E"/>
    <w:rsid w:val="00D7170B"/>
    <w:rsid w:val="00D71792"/>
    <w:rsid w:val="00D71C7E"/>
    <w:rsid w:val="00D71D8E"/>
    <w:rsid w:val="00D72C71"/>
    <w:rsid w:val="00D72CA4"/>
    <w:rsid w:val="00D734DE"/>
    <w:rsid w:val="00D73B9F"/>
    <w:rsid w:val="00D73F66"/>
    <w:rsid w:val="00D74009"/>
    <w:rsid w:val="00D74EF7"/>
    <w:rsid w:val="00D75510"/>
    <w:rsid w:val="00D7581E"/>
    <w:rsid w:val="00D759F7"/>
    <w:rsid w:val="00D75B1E"/>
    <w:rsid w:val="00D7658B"/>
    <w:rsid w:val="00D7674F"/>
    <w:rsid w:val="00D769C9"/>
    <w:rsid w:val="00D76D31"/>
    <w:rsid w:val="00D7759F"/>
    <w:rsid w:val="00D779C8"/>
    <w:rsid w:val="00D77F00"/>
    <w:rsid w:val="00D80791"/>
    <w:rsid w:val="00D80BCC"/>
    <w:rsid w:val="00D80F51"/>
    <w:rsid w:val="00D81290"/>
    <w:rsid w:val="00D81352"/>
    <w:rsid w:val="00D81429"/>
    <w:rsid w:val="00D8191B"/>
    <w:rsid w:val="00D81F9A"/>
    <w:rsid w:val="00D82050"/>
    <w:rsid w:val="00D82330"/>
    <w:rsid w:val="00D826ED"/>
    <w:rsid w:val="00D82949"/>
    <w:rsid w:val="00D82AC4"/>
    <w:rsid w:val="00D82CD2"/>
    <w:rsid w:val="00D84090"/>
    <w:rsid w:val="00D8477B"/>
    <w:rsid w:val="00D84C69"/>
    <w:rsid w:val="00D84E4A"/>
    <w:rsid w:val="00D8518F"/>
    <w:rsid w:val="00D860C3"/>
    <w:rsid w:val="00D860CC"/>
    <w:rsid w:val="00D86125"/>
    <w:rsid w:val="00D8656F"/>
    <w:rsid w:val="00D8688D"/>
    <w:rsid w:val="00D86B47"/>
    <w:rsid w:val="00D86B5E"/>
    <w:rsid w:val="00D86B6D"/>
    <w:rsid w:val="00D87197"/>
    <w:rsid w:val="00D876EA"/>
    <w:rsid w:val="00D876FD"/>
    <w:rsid w:val="00D87741"/>
    <w:rsid w:val="00D903E4"/>
    <w:rsid w:val="00D905FC"/>
    <w:rsid w:val="00D9078A"/>
    <w:rsid w:val="00D90ACB"/>
    <w:rsid w:val="00D90B8D"/>
    <w:rsid w:val="00D90BC7"/>
    <w:rsid w:val="00D91342"/>
    <w:rsid w:val="00D9174A"/>
    <w:rsid w:val="00D91A5B"/>
    <w:rsid w:val="00D91C4C"/>
    <w:rsid w:val="00D92061"/>
    <w:rsid w:val="00D92198"/>
    <w:rsid w:val="00D92367"/>
    <w:rsid w:val="00D92B6B"/>
    <w:rsid w:val="00D92B6F"/>
    <w:rsid w:val="00D930D3"/>
    <w:rsid w:val="00D93242"/>
    <w:rsid w:val="00D9351A"/>
    <w:rsid w:val="00D93985"/>
    <w:rsid w:val="00D94D35"/>
    <w:rsid w:val="00D94F36"/>
    <w:rsid w:val="00D94FA4"/>
    <w:rsid w:val="00D9506B"/>
    <w:rsid w:val="00D9562C"/>
    <w:rsid w:val="00D95A07"/>
    <w:rsid w:val="00D95A31"/>
    <w:rsid w:val="00D95FD5"/>
    <w:rsid w:val="00D9605C"/>
    <w:rsid w:val="00D96F2F"/>
    <w:rsid w:val="00D974D9"/>
    <w:rsid w:val="00D97A12"/>
    <w:rsid w:val="00DA0249"/>
    <w:rsid w:val="00DA072A"/>
    <w:rsid w:val="00DA0866"/>
    <w:rsid w:val="00DA0CA4"/>
    <w:rsid w:val="00DA0FA4"/>
    <w:rsid w:val="00DA11C2"/>
    <w:rsid w:val="00DA1311"/>
    <w:rsid w:val="00DA136D"/>
    <w:rsid w:val="00DA14D4"/>
    <w:rsid w:val="00DA174B"/>
    <w:rsid w:val="00DA2DC5"/>
    <w:rsid w:val="00DA2E0B"/>
    <w:rsid w:val="00DA309B"/>
    <w:rsid w:val="00DA313A"/>
    <w:rsid w:val="00DA3EF6"/>
    <w:rsid w:val="00DA463F"/>
    <w:rsid w:val="00DA48D5"/>
    <w:rsid w:val="00DA5059"/>
    <w:rsid w:val="00DA54B1"/>
    <w:rsid w:val="00DA552E"/>
    <w:rsid w:val="00DA560B"/>
    <w:rsid w:val="00DA5AD7"/>
    <w:rsid w:val="00DA6102"/>
    <w:rsid w:val="00DA6200"/>
    <w:rsid w:val="00DA624F"/>
    <w:rsid w:val="00DA6A5D"/>
    <w:rsid w:val="00DA6BB4"/>
    <w:rsid w:val="00DA6E1C"/>
    <w:rsid w:val="00DA71AE"/>
    <w:rsid w:val="00DA76DE"/>
    <w:rsid w:val="00DA7932"/>
    <w:rsid w:val="00DA7BD1"/>
    <w:rsid w:val="00DA7EE4"/>
    <w:rsid w:val="00DB0055"/>
    <w:rsid w:val="00DB02C0"/>
    <w:rsid w:val="00DB05AE"/>
    <w:rsid w:val="00DB05F4"/>
    <w:rsid w:val="00DB06E8"/>
    <w:rsid w:val="00DB0C71"/>
    <w:rsid w:val="00DB1072"/>
    <w:rsid w:val="00DB1249"/>
    <w:rsid w:val="00DB1528"/>
    <w:rsid w:val="00DB19E9"/>
    <w:rsid w:val="00DB1D67"/>
    <w:rsid w:val="00DB20CB"/>
    <w:rsid w:val="00DB249D"/>
    <w:rsid w:val="00DB271D"/>
    <w:rsid w:val="00DB2A4E"/>
    <w:rsid w:val="00DB2C56"/>
    <w:rsid w:val="00DB2F77"/>
    <w:rsid w:val="00DB316F"/>
    <w:rsid w:val="00DB3410"/>
    <w:rsid w:val="00DB354D"/>
    <w:rsid w:val="00DB3EE6"/>
    <w:rsid w:val="00DB448B"/>
    <w:rsid w:val="00DB492E"/>
    <w:rsid w:val="00DB4EC6"/>
    <w:rsid w:val="00DB51CF"/>
    <w:rsid w:val="00DB51FD"/>
    <w:rsid w:val="00DB5E60"/>
    <w:rsid w:val="00DB61A5"/>
    <w:rsid w:val="00DB65A3"/>
    <w:rsid w:val="00DB66B0"/>
    <w:rsid w:val="00DB6FAA"/>
    <w:rsid w:val="00DB703A"/>
    <w:rsid w:val="00DC017B"/>
    <w:rsid w:val="00DC0686"/>
    <w:rsid w:val="00DC091C"/>
    <w:rsid w:val="00DC0E7C"/>
    <w:rsid w:val="00DC118F"/>
    <w:rsid w:val="00DC127E"/>
    <w:rsid w:val="00DC1463"/>
    <w:rsid w:val="00DC1514"/>
    <w:rsid w:val="00DC174E"/>
    <w:rsid w:val="00DC1945"/>
    <w:rsid w:val="00DC1A60"/>
    <w:rsid w:val="00DC1BC3"/>
    <w:rsid w:val="00DC22A5"/>
    <w:rsid w:val="00DC231D"/>
    <w:rsid w:val="00DC2423"/>
    <w:rsid w:val="00DC24A1"/>
    <w:rsid w:val="00DC25B2"/>
    <w:rsid w:val="00DC25FA"/>
    <w:rsid w:val="00DC2B77"/>
    <w:rsid w:val="00DC2D08"/>
    <w:rsid w:val="00DC30CD"/>
    <w:rsid w:val="00DC33F5"/>
    <w:rsid w:val="00DC3547"/>
    <w:rsid w:val="00DC3595"/>
    <w:rsid w:val="00DC3D13"/>
    <w:rsid w:val="00DC46F9"/>
    <w:rsid w:val="00DC4996"/>
    <w:rsid w:val="00DC517F"/>
    <w:rsid w:val="00DC540B"/>
    <w:rsid w:val="00DC5448"/>
    <w:rsid w:val="00DC550A"/>
    <w:rsid w:val="00DC5C6C"/>
    <w:rsid w:val="00DC5F47"/>
    <w:rsid w:val="00DC63BF"/>
    <w:rsid w:val="00DC6411"/>
    <w:rsid w:val="00DC6597"/>
    <w:rsid w:val="00DC6859"/>
    <w:rsid w:val="00DC6AB6"/>
    <w:rsid w:val="00DC6B28"/>
    <w:rsid w:val="00DC6B53"/>
    <w:rsid w:val="00DC6D28"/>
    <w:rsid w:val="00DC6DAB"/>
    <w:rsid w:val="00DC7320"/>
    <w:rsid w:val="00DC73BE"/>
    <w:rsid w:val="00DC73DE"/>
    <w:rsid w:val="00DC73F4"/>
    <w:rsid w:val="00DC790F"/>
    <w:rsid w:val="00DC794A"/>
    <w:rsid w:val="00DC7C78"/>
    <w:rsid w:val="00DC7F52"/>
    <w:rsid w:val="00DC7FE1"/>
    <w:rsid w:val="00DD0187"/>
    <w:rsid w:val="00DD0271"/>
    <w:rsid w:val="00DD05CF"/>
    <w:rsid w:val="00DD0611"/>
    <w:rsid w:val="00DD096F"/>
    <w:rsid w:val="00DD09D1"/>
    <w:rsid w:val="00DD0C5A"/>
    <w:rsid w:val="00DD107C"/>
    <w:rsid w:val="00DD1321"/>
    <w:rsid w:val="00DD1767"/>
    <w:rsid w:val="00DD1885"/>
    <w:rsid w:val="00DD18AF"/>
    <w:rsid w:val="00DD1D44"/>
    <w:rsid w:val="00DD22B0"/>
    <w:rsid w:val="00DD2B07"/>
    <w:rsid w:val="00DD2B96"/>
    <w:rsid w:val="00DD2F31"/>
    <w:rsid w:val="00DD313C"/>
    <w:rsid w:val="00DD330E"/>
    <w:rsid w:val="00DD34FD"/>
    <w:rsid w:val="00DD3AAB"/>
    <w:rsid w:val="00DD3C5B"/>
    <w:rsid w:val="00DD41B5"/>
    <w:rsid w:val="00DD42C5"/>
    <w:rsid w:val="00DD48AC"/>
    <w:rsid w:val="00DD4BDF"/>
    <w:rsid w:val="00DD4E08"/>
    <w:rsid w:val="00DD5D68"/>
    <w:rsid w:val="00DD6142"/>
    <w:rsid w:val="00DD6334"/>
    <w:rsid w:val="00DD752E"/>
    <w:rsid w:val="00DD757F"/>
    <w:rsid w:val="00DD7F4F"/>
    <w:rsid w:val="00DD7FDF"/>
    <w:rsid w:val="00DE02CC"/>
    <w:rsid w:val="00DE0352"/>
    <w:rsid w:val="00DE069D"/>
    <w:rsid w:val="00DE0735"/>
    <w:rsid w:val="00DE07AE"/>
    <w:rsid w:val="00DE07BC"/>
    <w:rsid w:val="00DE08F2"/>
    <w:rsid w:val="00DE0AC9"/>
    <w:rsid w:val="00DE0ACE"/>
    <w:rsid w:val="00DE0CC6"/>
    <w:rsid w:val="00DE1A1C"/>
    <w:rsid w:val="00DE1B76"/>
    <w:rsid w:val="00DE1EAF"/>
    <w:rsid w:val="00DE22C0"/>
    <w:rsid w:val="00DE2636"/>
    <w:rsid w:val="00DE276F"/>
    <w:rsid w:val="00DE278A"/>
    <w:rsid w:val="00DE2AF6"/>
    <w:rsid w:val="00DE308C"/>
    <w:rsid w:val="00DE3386"/>
    <w:rsid w:val="00DE342C"/>
    <w:rsid w:val="00DE3784"/>
    <w:rsid w:val="00DE38B7"/>
    <w:rsid w:val="00DE3DBF"/>
    <w:rsid w:val="00DE3E4F"/>
    <w:rsid w:val="00DE3F7B"/>
    <w:rsid w:val="00DE4463"/>
    <w:rsid w:val="00DE468D"/>
    <w:rsid w:val="00DE490A"/>
    <w:rsid w:val="00DE4A0C"/>
    <w:rsid w:val="00DE4D55"/>
    <w:rsid w:val="00DE518B"/>
    <w:rsid w:val="00DE51C8"/>
    <w:rsid w:val="00DE5555"/>
    <w:rsid w:val="00DE5625"/>
    <w:rsid w:val="00DE70B4"/>
    <w:rsid w:val="00DE76E9"/>
    <w:rsid w:val="00DE7833"/>
    <w:rsid w:val="00DE7BC2"/>
    <w:rsid w:val="00DE7E1E"/>
    <w:rsid w:val="00DF02AC"/>
    <w:rsid w:val="00DF09DF"/>
    <w:rsid w:val="00DF0DD0"/>
    <w:rsid w:val="00DF0EE5"/>
    <w:rsid w:val="00DF0F39"/>
    <w:rsid w:val="00DF1022"/>
    <w:rsid w:val="00DF1CC0"/>
    <w:rsid w:val="00DF23B2"/>
    <w:rsid w:val="00DF2E14"/>
    <w:rsid w:val="00DF3C45"/>
    <w:rsid w:val="00DF43B5"/>
    <w:rsid w:val="00DF45AA"/>
    <w:rsid w:val="00DF536C"/>
    <w:rsid w:val="00DF55CF"/>
    <w:rsid w:val="00DF5827"/>
    <w:rsid w:val="00DF5887"/>
    <w:rsid w:val="00DF5DF1"/>
    <w:rsid w:val="00DF68C1"/>
    <w:rsid w:val="00DF6FE8"/>
    <w:rsid w:val="00DF7079"/>
    <w:rsid w:val="00DF7B5C"/>
    <w:rsid w:val="00DF7D45"/>
    <w:rsid w:val="00DF7DC2"/>
    <w:rsid w:val="00E001CA"/>
    <w:rsid w:val="00E00430"/>
    <w:rsid w:val="00E004C8"/>
    <w:rsid w:val="00E00978"/>
    <w:rsid w:val="00E0097A"/>
    <w:rsid w:val="00E00980"/>
    <w:rsid w:val="00E00B3C"/>
    <w:rsid w:val="00E00E2C"/>
    <w:rsid w:val="00E00E2F"/>
    <w:rsid w:val="00E00FD6"/>
    <w:rsid w:val="00E01468"/>
    <w:rsid w:val="00E01982"/>
    <w:rsid w:val="00E01C7B"/>
    <w:rsid w:val="00E02023"/>
    <w:rsid w:val="00E02B98"/>
    <w:rsid w:val="00E02E41"/>
    <w:rsid w:val="00E02F58"/>
    <w:rsid w:val="00E031EF"/>
    <w:rsid w:val="00E03255"/>
    <w:rsid w:val="00E03282"/>
    <w:rsid w:val="00E0346C"/>
    <w:rsid w:val="00E03573"/>
    <w:rsid w:val="00E03D23"/>
    <w:rsid w:val="00E040A7"/>
    <w:rsid w:val="00E04205"/>
    <w:rsid w:val="00E048CD"/>
    <w:rsid w:val="00E049DC"/>
    <w:rsid w:val="00E05082"/>
    <w:rsid w:val="00E05DDD"/>
    <w:rsid w:val="00E05F6A"/>
    <w:rsid w:val="00E0613D"/>
    <w:rsid w:val="00E063A3"/>
    <w:rsid w:val="00E066BC"/>
    <w:rsid w:val="00E06B81"/>
    <w:rsid w:val="00E06C49"/>
    <w:rsid w:val="00E06D05"/>
    <w:rsid w:val="00E0712B"/>
    <w:rsid w:val="00E07252"/>
    <w:rsid w:val="00E072EB"/>
    <w:rsid w:val="00E07449"/>
    <w:rsid w:val="00E07D4B"/>
    <w:rsid w:val="00E07D9D"/>
    <w:rsid w:val="00E1025E"/>
    <w:rsid w:val="00E10D76"/>
    <w:rsid w:val="00E10FB4"/>
    <w:rsid w:val="00E11537"/>
    <w:rsid w:val="00E11C7E"/>
    <w:rsid w:val="00E11E40"/>
    <w:rsid w:val="00E12087"/>
    <w:rsid w:val="00E1233A"/>
    <w:rsid w:val="00E1255B"/>
    <w:rsid w:val="00E126D5"/>
    <w:rsid w:val="00E12953"/>
    <w:rsid w:val="00E12E5A"/>
    <w:rsid w:val="00E135DA"/>
    <w:rsid w:val="00E13AA1"/>
    <w:rsid w:val="00E1441F"/>
    <w:rsid w:val="00E14792"/>
    <w:rsid w:val="00E14AA1"/>
    <w:rsid w:val="00E14C0E"/>
    <w:rsid w:val="00E15AC4"/>
    <w:rsid w:val="00E15AF4"/>
    <w:rsid w:val="00E167DE"/>
    <w:rsid w:val="00E1700B"/>
    <w:rsid w:val="00E17713"/>
    <w:rsid w:val="00E17751"/>
    <w:rsid w:val="00E17ABA"/>
    <w:rsid w:val="00E17DD0"/>
    <w:rsid w:val="00E20677"/>
    <w:rsid w:val="00E20789"/>
    <w:rsid w:val="00E20B07"/>
    <w:rsid w:val="00E20C1D"/>
    <w:rsid w:val="00E20DDB"/>
    <w:rsid w:val="00E20E51"/>
    <w:rsid w:val="00E20EF3"/>
    <w:rsid w:val="00E2126C"/>
    <w:rsid w:val="00E2193A"/>
    <w:rsid w:val="00E21AD2"/>
    <w:rsid w:val="00E21B0F"/>
    <w:rsid w:val="00E21BB1"/>
    <w:rsid w:val="00E21C8C"/>
    <w:rsid w:val="00E21D13"/>
    <w:rsid w:val="00E22025"/>
    <w:rsid w:val="00E227BC"/>
    <w:rsid w:val="00E22F6D"/>
    <w:rsid w:val="00E22F9B"/>
    <w:rsid w:val="00E236C8"/>
    <w:rsid w:val="00E23AAD"/>
    <w:rsid w:val="00E23F2A"/>
    <w:rsid w:val="00E2422E"/>
    <w:rsid w:val="00E24DF7"/>
    <w:rsid w:val="00E2502C"/>
    <w:rsid w:val="00E2540F"/>
    <w:rsid w:val="00E2571D"/>
    <w:rsid w:val="00E258A4"/>
    <w:rsid w:val="00E25F82"/>
    <w:rsid w:val="00E26B09"/>
    <w:rsid w:val="00E26C5C"/>
    <w:rsid w:val="00E26EAE"/>
    <w:rsid w:val="00E271EE"/>
    <w:rsid w:val="00E2725A"/>
    <w:rsid w:val="00E27452"/>
    <w:rsid w:val="00E27525"/>
    <w:rsid w:val="00E27B41"/>
    <w:rsid w:val="00E3032F"/>
    <w:rsid w:val="00E303AB"/>
    <w:rsid w:val="00E30D7B"/>
    <w:rsid w:val="00E3102E"/>
    <w:rsid w:val="00E3112A"/>
    <w:rsid w:val="00E318FC"/>
    <w:rsid w:val="00E32005"/>
    <w:rsid w:val="00E320BD"/>
    <w:rsid w:val="00E32627"/>
    <w:rsid w:val="00E328F9"/>
    <w:rsid w:val="00E32A65"/>
    <w:rsid w:val="00E33309"/>
    <w:rsid w:val="00E339AD"/>
    <w:rsid w:val="00E33C36"/>
    <w:rsid w:val="00E33F4E"/>
    <w:rsid w:val="00E3427E"/>
    <w:rsid w:val="00E34757"/>
    <w:rsid w:val="00E34846"/>
    <w:rsid w:val="00E34D1F"/>
    <w:rsid w:val="00E34D62"/>
    <w:rsid w:val="00E352B0"/>
    <w:rsid w:val="00E35803"/>
    <w:rsid w:val="00E35929"/>
    <w:rsid w:val="00E35961"/>
    <w:rsid w:val="00E35A96"/>
    <w:rsid w:val="00E35C62"/>
    <w:rsid w:val="00E35D47"/>
    <w:rsid w:val="00E35E28"/>
    <w:rsid w:val="00E361A5"/>
    <w:rsid w:val="00E36783"/>
    <w:rsid w:val="00E367FA"/>
    <w:rsid w:val="00E374F7"/>
    <w:rsid w:val="00E3780E"/>
    <w:rsid w:val="00E37E7E"/>
    <w:rsid w:val="00E400F6"/>
    <w:rsid w:val="00E40270"/>
    <w:rsid w:val="00E40736"/>
    <w:rsid w:val="00E408E0"/>
    <w:rsid w:val="00E40D7E"/>
    <w:rsid w:val="00E41092"/>
    <w:rsid w:val="00E415A3"/>
    <w:rsid w:val="00E41B57"/>
    <w:rsid w:val="00E41CBC"/>
    <w:rsid w:val="00E42178"/>
    <w:rsid w:val="00E4269E"/>
    <w:rsid w:val="00E42763"/>
    <w:rsid w:val="00E429CB"/>
    <w:rsid w:val="00E4318E"/>
    <w:rsid w:val="00E431E8"/>
    <w:rsid w:val="00E434D6"/>
    <w:rsid w:val="00E43BD4"/>
    <w:rsid w:val="00E43ED6"/>
    <w:rsid w:val="00E4412E"/>
    <w:rsid w:val="00E445D1"/>
    <w:rsid w:val="00E4464F"/>
    <w:rsid w:val="00E44796"/>
    <w:rsid w:val="00E44A3B"/>
    <w:rsid w:val="00E44C97"/>
    <w:rsid w:val="00E44F6D"/>
    <w:rsid w:val="00E45468"/>
    <w:rsid w:val="00E45609"/>
    <w:rsid w:val="00E45EFD"/>
    <w:rsid w:val="00E4600E"/>
    <w:rsid w:val="00E46391"/>
    <w:rsid w:val="00E46482"/>
    <w:rsid w:val="00E46B63"/>
    <w:rsid w:val="00E46F5C"/>
    <w:rsid w:val="00E473C2"/>
    <w:rsid w:val="00E47E45"/>
    <w:rsid w:val="00E5036C"/>
    <w:rsid w:val="00E50B98"/>
    <w:rsid w:val="00E50C79"/>
    <w:rsid w:val="00E511C2"/>
    <w:rsid w:val="00E5144E"/>
    <w:rsid w:val="00E51524"/>
    <w:rsid w:val="00E51546"/>
    <w:rsid w:val="00E5208E"/>
    <w:rsid w:val="00E521C3"/>
    <w:rsid w:val="00E521DC"/>
    <w:rsid w:val="00E52483"/>
    <w:rsid w:val="00E52842"/>
    <w:rsid w:val="00E52F29"/>
    <w:rsid w:val="00E530C1"/>
    <w:rsid w:val="00E53986"/>
    <w:rsid w:val="00E53B10"/>
    <w:rsid w:val="00E53EC0"/>
    <w:rsid w:val="00E540C1"/>
    <w:rsid w:val="00E5488F"/>
    <w:rsid w:val="00E54A67"/>
    <w:rsid w:val="00E54B5C"/>
    <w:rsid w:val="00E55174"/>
    <w:rsid w:val="00E55DE5"/>
    <w:rsid w:val="00E5649C"/>
    <w:rsid w:val="00E56797"/>
    <w:rsid w:val="00E570B7"/>
    <w:rsid w:val="00E572F6"/>
    <w:rsid w:val="00E575BF"/>
    <w:rsid w:val="00E5789B"/>
    <w:rsid w:val="00E600FB"/>
    <w:rsid w:val="00E602D5"/>
    <w:rsid w:val="00E6084C"/>
    <w:rsid w:val="00E60AB2"/>
    <w:rsid w:val="00E60DB9"/>
    <w:rsid w:val="00E60FF2"/>
    <w:rsid w:val="00E61055"/>
    <w:rsid w:val="00E61199"/>
    <w:rsid w:val="00E611A9"/>
    <w:rsid w:val="00E61A83"/>
    <w:rsid w:val="00E61A95"/>
    <w:rsid w:val="00E61CD2"/>
    <w:rsid w:val="00E62BF1"/>
    <w:rsid w:val="00E62E64"/>
    <w:rsid w:val="00E630D3"/>
    <w:rsid w:val="00E634A0"/>
    <w:rsid w:val="00E63985"/>
    <w:rsid w:val="00E642DB"/>
    <w:rsid w:val="00E647BF"/>
    <w:rsid w:val="00E64891"/>
    <w:rsid w:val="00E64CD7"/>
    <w:rsid w:val="00E64E91"/>
    <w:rsid w:val="00E64F80"/>
    <w:rsid w:val="00E65138"/>
    <w:rsid w:val="00E65489"/>
    <w:rsid w:val="00E6580F"/>
    <w:rsid w:val="00E658DB"/>
    <w:rsid w:val="00E65A33"/>
    <w:rsid w:val="00E65B9C"/>
    <w:rsid w:val="00E65FF0"/>
    <w:rsid w:val="00E65FF6"/>
    <w:rsid w:val="00E660DF"/>
    <w:rsid w:val="00E6615E"/>
    <w:rsid w:val="00E66349"/>
    <w:rsid w:val="00E66941"/>
    <w:rsid w:val="00E66A48"/>
    <w:rsid w:val="00E66D3F"/>
    <w:rsid w:val="00E66DB4"/>
    <w:rsid w:val="00E675EF"/>
    <w:rsid w:val="00E67D20"/>
    <w:rsid w:val="00E70135"/>
    <w:rsid w:val="00E70232"/>
    <w:rsid w:val="00E7059F"/>
    <w:rsid w:val="00E70C9A"/>
    <w:rsid w:val="00E70FCE"/>
    <w:rsid w:val="00E71103"/>
    <w:rsid w:val="00E71A2E"/>
    <w:rsid w:val="00E71A97"/>
    <w:rsid w:val="00E7231C"/>
    <w:rsid w:val="00E72D48"/>
    <w:rsid w:val="00E733BF"/>
    <w:rsid w:val="00E73683"/>
    <w:rsid w:val="00E73877"/>
    <w:rsid w:val="00E73AAE"/>
    <w:rsid w:val="00E73EFF"/>
    <w:rsid w:val="00E740D9"/>
    <w:rsid w:val="00E743C4"/>
    <w:rsid w:val="00E7496F"/>
    <w:rsid w:val="00E74A9E"/>
    <w:rsid w:val="00E74E8B"/>
    <w:rsid w:val="00E75092"/>
    <w:rsid w:val="00E75589"/>
    <w:rsid w:val="00E755BB"/>
    <w:rsid w:val="00E75AC2"/>
    <w:rsid w:val="00E75BC5"/>
    <w:rsid w:val="00E75E26"/>
    <w:rsid w:val="00E7665C"/>
    <w:rsid w:val="00E76BBF"/>
    <w:rsid w:val="00E76FA7"/>
    <w:rsid w:val="00E7719D"/>
    <w:rsid w:val="00E771DD"/>
    <w:rsid w:val="00E773AD"/>
    <w:rsid w:val="00E776D8"/>
    <w:rsid w:val="00E7780F"/>
    <w:rsid w:val="00E77D9F"/>
    <w:rsid w:val="00E80228"/>
    <w:rsid w:val="00E8033E"/>
    <w:rsid w:val="00E80C99"/>
    <w:rsid w:val="00E811A8"/>
    <w:rsid w:val="00E81240"/>
    <w:rsid w:val="00E81407"/>
    <w:rsid w:val="00E818F5"/>
    <w:rsid w:val="00E81BA0"/>
    <w:rsid w:val="00E81EA4"/>
    <w:rsid w:val="00E8243B"/>
    <w:rsid w:val="00E82548"/>
    <w:rsid w:val="00E82AD3"/>
    <w:rsid w:val="00E82B7B"/>
    <w:rsid w:val="00E82FB0"/>
    <w:rsid w:val="00E83310"/>
    <w:rsid w:val="00E83342"/>
    <w:rsid w:val="00E835A0"/>
    <w:rsid w:val="00E837C0"/>
    <w:rsid w:val="00E839EF"/>
    <w:rsid w:val="00E83E98"/>
    <w:rsid w:val="00E841CB"/>
    <w:rsid w:val="00E847E1"/>
    <w:rsid w:val="00E850AA"/>
    <w:rsid w:val="00E852A6"/>
    <w:rsid w:val="00E85464"/>
    <w:rsid w:val="00E85669"/>
    <w:rsid w:val="00E85808"/>
    <w:rsid w:val="00E85972"/>
    <w:rsid w:val="00E85E72"/>
    <w:rsid w:val="00E86A13"/>
    <w:rsid w:val="00E86A38"/>
    <w:rsid w:val="00E86AB6"/>
    <w:rsid w:val="00E86CF7"/>
    <w:rsid w:val="00E8730C"/>
    <w:rsid w:val="00E8762E"/>
    <w:rsid w:val="00E87B92"/>
    <w:rsid w:val="00E900CD"/>
    <w:rsid w:val="00E902B7"/>
    <w:rsid w:val="00E903B5"/>
    <w:rsid w:val="00E90746"/>
    <w:rsid w:val="00E90ADF"/>
    <w:rsid w:val="00E91A05"/>
    <w:rsid w:val="00E92218"/>
    <w:rsid w:val="00E926BF"/>
    <w:rsid w:val="00E927AE"/>
    <w:rsid w:val="00E92F01"/>
    <w:rsid w:val="00E9370C"/>
    <w:rsid w:val="00E938D3"/>
    <w:rsid w:val="00E9413A"/>
    <w:rsid w:val="00E94EAD"/>
    <w:rsid w:val="00E95972"/>
    <w:rsid w:val="00E95A45"/>
    <w:rsid w:val="00E95AD1"/>
    <w:rsid w:val="00E95B9D"/>
    <w:rsid w:val="00E95BDF"/>
    <w:rsid w:val="00E96221"/>
    <w:rsid w:val="00E96934"/>
    <w:rsid w:val="00E96C73"/>
    <w:rsid w:val="00E96DA4"/>
    <w:rsid w:val="00E96E1F"/>
    <w:rsid w:val="00E97367"/>
    <w:rsid w:val="00EA0A62"/>
    <w:rsid w:val="00EA1058"/>
    <w:rsid w:val="00EA125F"/>
    <w:rsid w:val="00EA15CE"/>
    <w:rsid w:val="00EA1715"/>
    <w:rsid w:val="00EA1B25"/>
    <w:rsid w:val="00EA1FBA"/>
    <w:rsid w:val="00EA209F"/>
    <w:rsid w:val="00EA20EA"/>
    <w:rsid w:val="00EA2519"/>
    <w:rsid w:val="00EA260B"/>
    <w:rsid w:val="00EA302E"/>
    <w:rsid w:val="00EA3310"/>
    <w:rsid w:val="00EA3443"/>
    <w:rsid w:val="00EA365B"/>
    <w:rsid w:val="00EA3661"/>
    <w:rsid w:val="00EA3768"/>
    <w:rsid w:val="00EA3EB4"/>
    <w:rsid w:val="00EA40DF"/>
    <w:rsid w:val="00EA4742"/>
    <w:rsid w:val="00EA4ACD"/>
    <w:rsid w:val="00EA4B4E"/>
    <w:rsid w:val="00EA518A"/>
    <w:rsid w:val="00EA5236"/>
    <w:rsid w:val="00EA544C"/>
    <w:rsid w:val="00EA60C4"/>
    <w:rsid w:val="00EA6B32"/>
    <w:rsid w:val="00EA6B94"/>
    <w:rsid w:val="00EA7274"/>
    <w:rsid w:val="00EA73AB"/>
    <w:rsid w:val="00EA73B2"/>
    <w:rsid w:val="00EA77DF"/>
    <w:rsid w:val="00EA7858"/>
    <w:rsid w:val="00EA7945"/>
    <w:rsid w:val="00EA7BEB"/>
    <w:rsid w:val="00EB0241"/>
    <w:rsid w:val="00EB0246"/>
    <w:rsid w:val="00EB05BA"/>
    <w:rsid w:val="00EB0AAB"/>
    <w:rsid w:val="00EB0AFF"/>
    <w:rsid w:val="00EB0BC6"/>
    <w:rsid w:val="00EB0E5C"/>
    <w:rsid w:val="00EB0EF6"/>
    <w:rsid w:val="00EB0FB4"/>
    <w:rsid w:val="00EB18BE"/>
    <w:rsid w:val="00EB18E7"/>
    <w:rsid w:val="00EB1A78"/>
    <w:rsid w:val="00EB1CA5"/>
    <w:rsid w:val="00EB23ED"/>
    <w:rsid w:val="00EB26FB"/>
    <w:rsid w:val="00EB287E"/>
    <w:rsid w:val="00EB2D5A"/>
    <w:rsid w:val="00EB2F58"/>
    <w:rsid w:val="00EB3101"/>
    <w:rsid w:val="00EB3123"/>
    <w:rsid w:val="00EB31AF"/>
    <w:rsid w:val="00EB32BF"/>
    <w:rsid w:val="00EB3336"/>
    <w:rsid w:val="00EB3A2A"/>
    <w:rsid w:val="00EB3B9E"/>
    <w:rsid w:val="00EB400F"/>
    <w:rsid w:val="00EB4014"/>
    <w:rsid w:val="00EB427D"/>
    <w:rsid w:val="00EB49DD"/>
    <w:rsid w:val="00EB4F69"/>
    <w:rsid w:val="00EB5B30"/>
    <w:rsid w:val="00EB643C"/>
    <w:rsid w:val="00EB654E"/>
    <w:rsid w:val="00EB6CA8"/>
    <w:rsid w:val="00EB72AD"/>
    <w:rsid w:val="00EB7656"/>
    <w:rsid w:val="00EB7AEF"/>
    <w:rsid w:val="00EB7DAE"/>
    <w:rsid w:val="00EC010B"/>
    <w:rsid w:val="00EC0A1A"/>
    <w:rsid w:val="00EC0AD5"/>
    <w:rsid w:val="00EC1005"/>
    <w:rsid w:val="00EC12A7"/>
    <w:rsid w:val="00EC14CD"/>
    <w:rsid w:val="00EC1A6A"/>
    <w:rsid w:val="00EC1DBC"/>
    <w:rsid w:val="00EC1EC2"/>
    <w:rsid w:val="00EC28D7"/>
    <w:rsid w:val="00EC2B3C"/>
    <w:rsid w:val="00EC2B7E"/>
    <w:rsid w:val="00EC325F"/>
    <w:rsid w:val="00EC3373"/>
    <w:rsid w:val="00EC352D"/>
    <w:rsid w:val="00EC3762"/>
    <w:rsid w:val="00EC3A63"/>
    <w:rsid w:val="00EC3C03"/>
    <w:rsid w:val="00EC3D89"/>
    <w:rsid w:val="00EC3FAD"/>
    <w:rsid w:val="00EC42A6"/>
    <w:rsid w:val="00EC4E90"/>
    <w:rsid w:val="00EC5362"/>
    <w:rsid w:val="00EC53F6"/>
    <w:rsid w:val="00EC5987"/>
    <w:rsid w:val="00EC5E6F"/>
    <w:rsid w:val="00EC629F"/>
    <w:rsid w:val="00EC636F"/>
    <w:rsid w:val="00EC6A44"/>
    <w:rsid w:val="00EC6AB5"/>
    <w:rsid w:val="00EC6BA6"/>
    <w:rsid w:val="00EC7309"/>
    <w:rsid w:val="00EC7722"/>
    <w:rsid w:val="00EC7A04"/>
    <w:rsid w:val="00EC7C55"/>
    <w:rsid w:val="00EC7D8B"/>
    <w:rsid w:val="00ED0168"/>
    <w:rsid w:val="00ED037E"/>
    <w:rsid w:val="00ED03BF"/>
    <w:rsid w:val="00ED03CE"/>
    <w:rsid w:val="00ED0801"/>
    <w:rsid w:val="00ED08BC"/>
    <w:rsid w:val="00ED0A64"/>
    <w:rsid w:val="00ED0B49"/>
    <w:rsid w:val="00ED0BE2"/>
    <w:rsid w:val="00ED0E57"/>
    <w:rsid w:val="00ED1388"/>
    <w:rsid w:val="00ED14F6"/>
    <w:rsid w:val="00ED1846"/>
    <w:rsid w:val="00ED22B8"/>
    <w:rsid w:val="00ED2B4C"/>
    <w:rsid w:val="00ED2E75"/>
    <w:rsid w:val="00ED2F4E"/>
    <w:rsid w:val="00ED344C"/>
    <w:rsid w:val="00ED36FB"/>
    <w:rsid w:val="00ED3805"/>
    <w:rsid w:val="00ED385F"/>
    <w:rsid w:val="00ED3B1F"/>
    <w:rsid w:val="00ED3B74"/>
    <w:rsid w:val="00ED3D77"/>
    <w:rsid w:val="00ED3DD6"/>
    <w:rsid w:val="00ED40B6"/>
    <w:rsid w:val="00ED4232"/>
    <w:rsid w:val="00ED453F"/>
    <w:rsid w:val="00ED4990"/>
    <w:rsid w:val="00ED4AF5"/>
    <w:rsid w:val="00ED4B29"/>
    <w:rsid w:val="00ED4E3A"/>
    <w:rsid w:val="00ED4EDA"/>
    <w:rsid w:val="00ED5568"/>
    <w:rsid w:val="00ED56B4"/>
    <w:rsid w:val="00ED56C7"/>
    <w:rsid w:val="00ED5785"/>
    <w:rsid w:val="00ED5876"/>
    <w:rsid w:val="00ED5BC1"/>
    <w:rsid w:val="00ED5F53"/>
    <w:rsid w:val="00ED67A6"/>
    <w:rsid w:val="00ED6B9F"/>
    <w:rsid w:val="00ED72A6"/>
    <w:rsid w:val="00ED78AF"/>
    <w:rsid w:val="00ED7A09"/>
    <w:rsid w:val="00ED7B5F"/>
    <w:rsid w:val="00ED7B70"/>
    <w:rsid w:val="00EE018E"/>
    <w:rsid w:val="00EE1466"/>
    <w:rsid w:val="00EE1CCE"/>
    <w:rsid w:val="00EE1D66"/>
    <w:rsid w:val="00EE1F74"/>
    <w:rsid w:val="00EE22C5"/>
    <w:rsid w:val="00EE2664"/>
    <w:rsid w:val="00EE2DDC"/>
    <w:rsid w:val="00EE2E3E"/>
    <w:rsid w:val="00EE3107"/>
    <w:rsid w:val="00EE3B14"/>
    <w:rsid w:val="00EE3FA1"/>
    <w:rsid w:val="00EE4117"/>
    <w:rsid w:val="00EE4174"/>
    <w:rsid w:val="00EE41B8"/>
    <w:rsid w:val="00EE4291"/>
    <w:rsid w:val="00EE46BB"/>
    <w:rsid w:val="00EE46CD"/>
    <w:rsid w:val="00EE5179"/>
    <w:rsid w:val="00EE525B"/>
    <w:rsid w:val="00EE539B"/>
    <w:rsid w:val="00EE6EE2"/>
    <w:rsid w:val="00EE71A9"/>
    <w:rsid w:val="00EE7727"/>
    <w:rsid w:val="00EE7D25"/>
    <w:rsid w:val="00EE7F26"/>
    <w:rsid w:val="00EF005D"/>
    <w:rsid w:val="00EF0423"/>
    <w:rsid w:val="00EF0683"/>
    <w:rsid w:val="00EF097B"/>
    <w:rsid w:val="00EF0B9A"/>
    <w:rsid w:val="00EF0E24"/>
    <w:rsid w:val="00EF108C"/>
    <w:rsid w:val="00EF112A"/>
    <w:rsid w:val="00EF1180"/>
    <w:rsid w:val="00EF137B"/>
    <w:rsid w:val="00EF1904"/>
    <w:rsid w:val="00EF19C9"/>
    <w:rsid w:val="00EF1B31"/>
    <w:rsid w:val="00EF25EF"/>
    <w:rsid w:val="00EF2BD7"/>
    <w:rsid w:val="00EF2EFC"/>
    <w:rsid w:val="00EF3058"/>
    <w:rsid w:val="00EF3255"/>
    <w:rsid w:val="00EF3379"/>
    <w:rsid w:val="00EF34E2"/>
    <w:rsid w:val="00EF3792"/>
    <w:rsid w:val="00EF3EF3"/>
    <w:rsid w:val="00EF3EFC"/>
    <w:rsid w:val="00EF45C5"/>
    <w:rsid w:val="00EF4694"/>
    <w:rsid w:val="00EF4C37"/>
    <w:rsid w:val="00EF5C0B"/>
    <w:rsid w:val="00EF6618"/>
    <w:rsid w:val="00EF6E07"/>
    <w:rsid w:val="00EF758B"/>
    <w:rsid w:val="00EF785D"/>
    <w:rsid w:val="00EF78BE"/>
    <w:rsid w:val="00EF7C71"/>
    <w:rsid w:val="00EF7E52"/>
    <w:rsid w:val="00F001B7"/>
    <w:rsid w:val="00F006BB"/>
    <w:rsid w:val="00F0088F"/>
    <w:rsid w:val="00F015F0"/>
    <w:rsid w:val="00F01BDB"/>
    <w:rsid w:val="00F01D01"/>
    <w:rsid w:val="00F01F64"/>
    <w:rsid w:val="00F022B3"/>
    <w:rsid w:val="00F026FD"/>
    <w:rsid w:val="00F0293C"/>
    <w:rsid w:val="00F02AA5"/>
    <w:rsid w:val="00F035BD"/>
    <w:rsid w:val="00F035E8"/>
    <w:rsid w:val="00F0363E"/>
    <w:rsid w:val="00F0364F"/>
    <w:rsid w:val="00F03D70"/>
    <w:rsid w:val="00F043E2"/>
    <w:rsid w:val="00F04617"/>
    <w:rsid w:val="00F04A08"/>
    <w:rsid w:val="00F04D68"/>
    <w:rsid w:val="00F04E61"/>
    <w:rsid w:val="00F05990"/>
    <w:rsid w:val="00F05B25"/>
    <w:rsid w:val="00F05E0D"/>
    <w:rsid w:val="00F060A8"/>
    <w:rsid w:val="00F0626D"/>
    <w:rsid w:val="00F07602"/>
    <w:rsid w:val="00F07C34"/>
    <w:rsid w:val="00F10633"/>
    <w:rsid w:val="00F1063F"/>
    <w:rsid w:val="00F10937"/>
    <w:rsid w:val="00F10B28"/>
    <w:rsid w:val="00F10BAE"/>
    <w:rsid w:val="00F10C40"/>
    <w:rsid w:val="00F1153D"/>
    <w:rsid w:val="00F11FEF"/>
    <w:rsid w:val="00F127D9"/>
    <w:rsid w:val="00F12E5A"/>
    <w:rsid w:val="00F1318C"/>
    <w:rsid w:val="00F13281"/>
    <w:rsid w:val="00F13A61"/>
    <w:rsid w:val="00F13E3A"/>
    <w:rsid w:val="00F141D0"/>
    <w:rsid w:val="00F14443"/>
    <w:rsid w:val="00F14741"/>
    <w:rsid w:val="00F14970"/>
    <w:rsid w:val="00F14CF4"/>
    <w:rsid w:val="00F14F77"/>
    <w:rsid w:val="00F159EF"/>
    <w:rsid w:val="00F15E7D"/>
    <w:rsid w:val="00F16529"/>
    <w:rsid w:val="00F1674E"/>
    <w:rsid w:val="00F16A7A"/>
    <w:rsid w:val="00F174B1"/>
    <w:rsid w:val="00F1756D"/>
    <w:rsid w:val="00F17B46"/>
    <w:rsid w:val="00F17E6D"/>
    <w:rsid w:val="00F2007C"/>
    <w:rsid w:val="00F20516"/>
    <w:rsid w:val="00F206D5"/>
    <w:rsid w:val="00F20C0D"/>
    <w:rsid w:val="00F22BF3"/>
    <w:rsid w:val="00F22C24"/>
    <w:rsid w:val="00F22E23"/>
    <w:rsid w:val="00F23B11"/>
    <w:rsid w:val="00F2407A"/>
    <w:rsid w:val="00F24F55"/>
    <w:rsid w:val="00F252AF"/>
    <w:rsid w:val="00F259D0"/>
    <w:rsid w:val="00F25DB1"/>
    <w:rsid w:val="00F25F2C"/>
    <w:rsid w:val="00F260AA"/>
    <w:rsid w:val="00F267EF"/>
    <w:rsid w:val="00F26945"/>
    <w:rsid w:val="00F26BC9"/>
    <w:rsid w:val="00F2722C"/>
    <w:rsid w:val="00F2725E"/>
    <w:rsid w:val="00F272B2"/>
    <w:rsid w:val="00F27BA5"/>
    <w:rsid w:val="00F301FC"/>
    <w:rsid w:val="00F30484"/>
    <w:rsid w:val="00F3058B"/>
    <w:rsid w:val="00F30628"/>
    <w:rsid w:val="00F3076C"/>
    <w:rsid w:val="00F30858"/>
    <w:rsid w:val="00F30A55"/>
    <w:rsid w:val="00F30B85"/>
    <w:rsid w:val="00F310A4"/>
    <w:rsid w:val="00F31367"/>
    <w:rsid w:val="00F31820"/>
    <w:rsid w:val="00F31FE2"/>
    <w:rsid w:val="00F324C2"/>
    <w:rsid w:val="00F32DA9"/>
    <w:rsid w:val="00F32EDF"/>
    <w:rsid w:val="00F335BA"/>
    <w:rsid w:val="00F33BC0"/>
    <w:rsid w:val="00F33CDB"/>
    <w:rsid w:val="00F34390"/>
    <w:rsid w:val="00F344DE"/>
    <w:rsid w:val="00F3468B"/>
    <w:rsid w:val="00F348A3"/>
    <w:rsid w:val="00F34A55"/>
    <w:rsid w:val="00F34AA4"/>
    <w:rsid w:val="00F3512C"/>
    <w:rsid w:val="00F352AF"/>
    <w:rsid w:val="00F3555B"/>
    <w:rsid w:val="00F3591F"/>
    <w:rsid w:val="00F35B04"/>
    <w:rsid w:val="00F35E97"/>
    <w:rsid w:val="00F36464"/>
    <w:rsid w:val="00F36571"/>
    <w:rsid w:val="00F36B11"/>
    <w:rsid w:val="00F370A4"/>
    <w:rsid w:val="00F37E8D"/>
    <w:rsid w:val="00F40259"/>
    <w:rsid w:val="00F402A9"/>
    <w:rsid w:val="00F40EAF"/>
    <w:rsid w:val="00F410E9"/>
    <w:rsid w:val="00F41107"/>
    <w:rsid w:val="00F41368"/>
    <w:rsid w:val="00F41547"/>
    <w:rsid w:val="00F41ACF"/>
    <w:rsid w:val="00F41D10"/>
    <w:rsid w:val="00F41DB9"/>
    <w:rsid w:val="00F41FCF"/>
    <w:rsid w:val="00F423CE"/>
    <w:rsid w:val="00F42AC0"/>
    <w:rsid w:val="00F42E77"/>
    <w:rsid w:val="00F42FB2"/>
    <w:rsid w:val="00F430FC"/>
    <w:rsid w:val="00F43389"/>
    <w:rsid w:val="00F43490"/>
    <w:rsid w:val="00F43B76"/>
    <w:rsid w:val="00F440C5"/>
    <w:rsid w:val="00F44A27"/>
    <w:rsid w:val="00F44AC7"/>
    <w:rsid w:val="00F44B12"/>
    <w:rsid w:val="00F452B1"/>
    <w:rsid w:val="00F455C7"/>
    <w:rsid w:val="00F4572C"/>
    <w:rsid w:val="00F459AC"/>
    <w:rsid w:val="00F4631E"/>
    <w:rsid w:val="00F46434"/>
    <w:rsid w:val="00F4684E"/>
    <w:rsid w:val="00F46E69"/>
    <w:rsid w:val="00F46E93"/>
    <w:rsid w:val="00F47776"/>
    <w:rsid w:val="00F47AD1"/>
    <w:rsid w:val="00F47EDF"/>
    <w:rsid w:val="00F5008C"/>
    <w:rsid w:val="00F50181"/>
    <w:rsid w:val="00F5043A"/>
    <w:rsid w:val="00F50744"/>
    <w:rsid w:val="00F50B98"/>
    <w:rsid w:val="00F50D38"/>
    <w:rsid w:val="00F50F6E"/>
    <w:rsid w:val="00F50FBA"/>
    <w:rsid w:val="00F519DC"/>
    <w:rsid w:val="00F51C02"/>
    <w:rsid w:val="00F52200"/>
    <w:rsid w:val="00F52643"/>
    <w:rsid w:val="00F5357C"/>
    <w:rsid w:val="00F53860"/>
    <w:rsid w:val="00F539CC"/>
    <w:rsid w:val="00F541A4"/>
    <w:rsid w:val="00F54201"/>
    <w:rsid w:val="00F5437E"/>
    <w:rsid w:val="00F553F4"/>
    <w:rsid w:val="00F55AF5"/>
    <w:rsid w:val="00F562DB"/>
    <w:rsid w:val="00F5637F"/>
    <w:rsid w:val="00F56E5A"/>
    <w:rsid w:val="00F57524"/>
    <w:rsid w:val="00F57902"/>
    <w:rsid w:val="00F57BC6"/>
    <w:rsid w:val="00F57BED"/>
    <w:rsid w:val="00F57E83"/>
    <w:rsid w:val="00F57EAB"/>
    <w:rsid w:val="00F57F54"/>
    <w:rsid w:val="00F6053C"/>
    <w:rsid w:val="00F609D4"/>
    <w:rsid w:val="00F60DDB"/>
    <w:rsid w:val="00F6103E"/>
    <w:rsid w:val="00F61128"/>
    <w:rsid w:val="00F6113B"/>
    <w:rsid w:val="00F61CA0"/>
    <w:rsid w:val="00F61D44"/>
    <w:rsid w:val="00F61E3D"/>
    <w:rsid w:val="00F61F67"/>
    <w:rsid w:val="00F626E3"/>
    <w:rsid w:val="00F6356D"/>
    <w:rsid w:val="00F63DCA"/>
    <w:rsid w:val="00F63EEB"/>
    <w:rsid w:val="00F63F10"/>
    <w:rsid w:val="00F641F4"/>
    <w:rsid w:val="00F64462"/>
    <w:rsid w:val="00F6471B"/>
    <w:rsid w:val="00F64AA0"/>
    <w:rsid w:val="00F64BCA"/>
    <w:rsid w:val="00F64C7F"/>
    <w:rsid w:val="00F64CF6"/>
    <w:rsid w:val="00F64E9F"/>
    <w:rsid w:val="00F65138"/>
    <w:rsid w:val="00F65459"/>
    <w:rsid w:val="00F65524"/>
    <w:rsid w:val="00F658FD"/>
    <w:rsid w:val="00F65B71"/>
    <w:rsid w:val="00F65D70"/>
    <w:rsid w:val="00F66080"/>
    <w:rsid w:val="00F662AC"/>
    <w:rsid w:val="00F663B0"/>
    <w:rsid w:val="00F6672F"/>
    <w:rsid w:val="00F67040"/>
    <w:rsid w:val="00F67230"/>
    <w:rsid w:val="00F67366"/>
    <w:rsid w:val="00F67A68"/>
    <w:rsid w:val="00F67C44"/>
    <w:rsid w:val="00F67EB4"/>
    <w:rsid w:val="00F701E0"/>
    <w:rsid w:val="00F70246"/>
    <w:rsid w:val="00F702C5"/>
    <w:rsid w:val="00F70553"/>
    <w:rsid w:val="00F70933"/>
    <w:rsid w:val="00F70A4A"/>
    <w:rsid w:val="00F71104"/>
    <w:rsid w:val="00F71308"/>
    <w:rsid w:val="00F7143F"/>
    <w:rsid w:val="00F7283F"/>
    <w:rsid w:val="00F72D96"/>
    <w:rsid w:val="00F7371E"/>
    <w:rsid w:val="00F739DB"/>
    <w:rsid w:val="00F73E3E"/>
    <w:rsid w:val="00F743E3"/>
    <w:rsid w:val="00F7485E"/>
    <w:rsid w:val="00F748F3"/>
    <w:rsid w:val="00F74BC4"/>
    <w:rsid w:val="00F74C1E"/>
    <w:rsid w:val="00F74CB2"/>
    <w:rsid w:val="00F74D77"/>
    <w:rsid w:val="00F74E79"/>
    <w:rsid w:val="00F750BD"/>
    <w:rsid w:val="00F75398"/>
    <w:rsid w:val="00F75AA7"/>
    <w:rsid w:val="00F75ED2"/>
    <w:rsid w:val="00F75F38"/>
    <w:rsid w:val="00F76715"/>
    <w:rsid w:val="00F7677C"/>
    <w:rsid w:val="00F767E5"/>
    <w:rsid w:val="00F7695A"/>
    <w:rsid w:val="00F76ECB"/>
    <w:rsid w:val="00F7712C"/>
    <w:rsid w:val="00F774C7"/>
    <w:rsid w:val="00F776C4"/>
    <w:rsid w:val="00F77721"/>
    <w:rsid w:val="00F801F8"/>
    <w:rsid w:val="00F802C1"/>
    <w:rsid w:val="00F80301"/>
    <w:rsid w:val="00F80423"/>
    <w:rsid w:val="00F8042E"/>
    <w:rsid w:val="00F8074C"/>
    <w:rsid w:val="00F813CD"/>
    <w:rsid w:val="00F8173C"/>
    <w:rsid w:val="00F81E1C"/>
    <w:rsid w:val="00F821EB"/>
    <w:rsid w:val="00F82352"/>
    <w:rsid w:val="00F825BD"/>
    <w:rsid w:val="00F82A7D"/>
    <w:rsid w:val="00F82FD9"/>
    <w:rsid w:val="00F831AF"/>
    <w:rsid w:val="00F833B7"/>
    <w:rsid w:val="00F833FD"/>
    <w:rsid w:val="00F8347D"/>
    <w:rsid w:val="00F8353E"/>
    <w:rsid w:val="00F835F2"/>
    <w:rsid w:val="00F840B6"/>
    <w:rsid w:val="00F846B2"/>
    <w:rsid w:val="00F84B9F"/>
    <w:rsid w:val="00F84C74"/>
    <w:rsid w:val="00F84FE9"/>
    <w:rsid w:val="00F85212"/>
    <w:rsid w:val="00F859E2"/>
    <w:rsid w:val="00F85A7C"/>
    <w:rsid w:val="00F8620E"/>
    <w:rsid w:val="00F86265"/>
    <w:rsid w:val="00F86273"/>
    <w:rsid w:val="00F8640D"/>
    <w:rsid w:val="00F86535"/>
    <w:rsid w:val="00F86ACB"/>
    <w:rsid w:val="00F873AE"/>
    <w:rsid w:val="00F87E57"/>
    <w:rsid w:val="00F901B4"/>
    <w:rsid w:val="00F9065A"/>
    <w:rsid w:val="00F909F5"/>
    <w:rsid w:val="00F90CD2"/>
    <w:rsid w:val="00F91501"/>
    <w:rsid w:val="00F919A1"/>
    <w:rsid w:val="00F91AC0"/>
    <w:rsid w:val="00F91FF1"/>
    <w:rsid w:val="00F9272B"/>
    <w:rsid w:val="00F927C9"/>
    <w:rsid w:val="00F929BD"/>
    <w:rsid w:val="00F93300"/>
    <w:rsid w:val="00F93601"/>
    <w:rsid w:val="00F93737"/>
    <w:rsid w:val="00F937EB"/>
    <w:rsid w:val="00F93B3E"/>
    <w:rsid w:val="00F93C07"/>
    <w:rsid w:val="00F93F52"/>
    <w:rsid w:val="00F93FFC"/>
    <w:rsid w:val="00F940B2"/>
    <w:rsid w:val="00F942D2"/>
    <w:rsid w:val="00F94412"/>
    <w:rsid w:val="00F94464"/>
    <w:rsid w:val="00F94488"/>
    <w:rsid w:val="00F9451E"/>
    <w:rsid w:val="00F9463C"/>
    <w:rsid w:val="00F94839"/>
    <w:rsid w:val="00F952AC"/>
    <w:rsid w:val="00F953E5"/>
    <w:rsid w:val="00F95B16"/>
    <w:rsid w:val="00F95EC8"/>
    <w:rsid w:val="00F96458"/>
    <w:rsid w:val="00F9645D"/>
    <w:rsid w:val="00F964FD"/>
    <w:rsid w:val="00F967E8"/>
    <w:rsid w:val="00F969A4"/>
    <w:rsid w:val="00F96B4A"/>
    <w:rsid w:val="00F9703F"/>
    <w:rsid w:val="00F97430"/>
    <w:rsid w:val="00F97632"/>
    <w:rsid w:val="00F97FDC"/>
    <w:rsid w:val="00FA0BC9"/>
    <w:rsid w:val="00FA0C18"/>
    <w:rsid w:val="00FA0C40"/>
    <w:rsid w:val="00FA163F"/>
    <w:rsid w:val="00FA1BD3"/>
    <w:rsid w:val="00FA1EA1"/>
    <w:rsid w:val="00FA2327"/>
    <w:rsid w:val="00FA26C8"/>
    <w:rsid w:val="00FA306D"/>
    <w:rsid w:val="00FA339F"/>
    <w:rsid w:val="00FA3510"/>
    <w:rsid w:val="00FA38A9"/>
    <w:rsid w:val="00FA3C0D"/>
    <w:rsid w:val="00FA3CA1"/>
    <w:rsid w:val="00FA3CE7"/>
    <w:rsid w:val="00FA3D36"/>
    <w:rsid w:val="00FA4162"/>
    <w:rsid w:val="00FA429F"/>
    <w:rsid w:val="00FA5099"/>
    <w:rsid w:val="00FA5239"/>
    <w:rsid w:val="00FA56E2"/>
    <w:rsid w:val="00FA57BA"/>
    <w:rsid w:val="00FA57DA"/>
    <w:rsid w:val="00FA691D"/>
    <w:rsid w:val="00FA70C6"/>
    <w:rsid w:val="00FA72CD"/>
    <w:rsid w:val="00FA77A9"/>
    <w:rsid w:val="00FA79D9"/>
    <w:rsid w:val="00FA7ACA"/>
    <w:rsid w:val="00FA7F76"/>
    <w:rsid w:val="00FB0539"/>
    <w:rsid w:val="00FB064A"/>
    <w:rsid w:val="00FB0B38"/>
    <w:rsid w:val="00FB0C75"/>
    <w:rsid w:val="00FB0E0E"/>
    <w:rsid w:val="00FB1070"/>
    <w:rsid w:val="00FB19E0"/>
    <w:rsid w:val="00FB1A90"/>
    <w:rsid w:val="00FB1C3E"/>
    <w:rsid w:val="00FB1CDD"/>
    <w:rsid w:val="00FB2095"/>
    <w:rsid w:val="00FB258A"/>
    <w:rsid w:val="00FB2847"/>
    <w:rsid w:val="00FB2C08"/>
    <w:rsid w:val="00FB2C14"/>
    <w:rsid w:val="00FB2F07"/>
    <w:rsid w:val="00FB3418"/>
    <w:rsid w:val="00FB359C"/>
    <w:rsid w:val="00FB36F2"/>
    <w:rsid w:val="00FB3F53"/>
    <w:rsid w:val="00FB4304"/>
    <w:rsid w:val="00FB4EDD"/>
    <w:rsid w:val="00FB5106"/>
    <w:rsid w:val="00FB52EA"/>
    <w:rsid w:val="00FB5337"/>
    <w:rsid w:val="00FB54E6"/>
    <w:rsid w:val="00FB5A07"/>
    <w:rsid w:val="00FB6109"/>
    <w:rsid w:val="00FB61D3"/>
    <w:rsid w:val="00FB667E"/>
    <w:rsid w:val="00FB674A"/>
    <w:rsid w:val="00FB6F35"/>
    <w:rsid w:val="00FB7657"/>
    <w:rsid w:val="00FB7978"/>
    <w:rsid w:val="00FB7A26"/>
    <w:rsid w:val="00FB7E39"/>
    <w:rsid w:val="00FC038A"/>
    <w:rsid w:val="00FC045F"/>
    <w:rsid w:val="00FC059F"/>
    <w:rsid w:val="00FC07BC"/>
    <w:rsid w:val="00FC0A61"/>
    <w:rsid w:val="00FC0A80"/>
    <w:rsid w:val="00FC0C38"/>
    <w:rsid w:val="00FC0C62"/>
    <w:rsid w:val="00FC0E11"/>
    <w:rsid w:val="00FC1E93"/>
    <w:rsid w:val="00FC1F46"/>
    <w:rsid w:val="00FC2046"/>
    <w:rsid w:val="00FC21B5"/>
    <w:rsid w:val="00FC2753"/>
    <w:rsid w:val="00FC278D"/>
    <w:rsid w:val="00FC29BF"/>
    <w:rsid w:val="00FC2AD2"/>
    <w:rsid w:val="00FC30FB"/>
    <w:rsid w:val="00FC3931"/>
    <w:rsid w:val="00FC39EE"/>
    <w:rsid w:val="00FC3EA6"/>
    <w:rsid w:val="00FC4483"/>
    <w:rsid w:val="00FC4F00"/>
    <w:rsid w:val="00FC50E0"/>
    <w:rsid w:val="00FC50E2"/>
    <w:rsid w:val="00FC54B9"/>
    <w:rsid w:val="00FC58CA"/>
    <w:rsid w:val="00FC5927"/>
    <w:rsid w:val="00FC6339"/>
    <w:rsid w:val="00FC636E"/>
    <w:rsid w:val="00FC661C"/>
    <w:rsid w:val="00FC66DC"/>
    <w:rsid w:val="00FC6DCD"/>
    <w:rsid w:val="00FD0141"/>
    <w:rsid w:val="00FD057A"/>
    <w:rsid w:val="00FD058D"/>
    <w:rsid w:val="00FD09C5"/>
    <w:rsid w:val="00FD10FA"/>
    <w:rsid w:val="00FD1923"/>
    <w:rsid w:val="00FD2480"/>
    <w:rsid w:val="00FD2A47"/>
    <w:rsid w:val="00FD2FBC"/>
    <w:rsid w:val="00FD3272"/>
    <w:rsid w:val="00FD36EA"/>
    <w:rsid w:val="00FD4018"/>
    <w:rsid w:val="00FD446B"/>
    <w:rsid w:val="00FD46F5"/>
    <w:rsid w:val="00FD519D"/>
    <w:rsid w:val="00FD51C4"/>
    <w:rsid w:val="00FD5B87"/>
    <w:rsid w:val="00FD5D9F"/>
    <w:rsid w:val="00FD5DEC"/>
    <w:rsid w:val="00FD6027"/>
    <w:rsid w:val="00FD69FB"/>
    <w:rsid w:val="00FD6EF6"/>
    <w:rsid w:val="00FD732D"/>
    <w:rsid w:val="00FD7502"/>
    <w:rsid w:val="00FD7B1A"/>
    <w:rsid w:val="00FD7B49"/>
    <w:rsid w:val="00FD7B85"/>
    <w:rsid w:val="00FE0635"/>
    <w:rsid w:val="00FE0C36"/>
    <w:rsid w:val="00FE0EA2"/>
    <w:rsid w:val="00FE1079"/>
    <w:rsid w:val="00FE10F1"/>
    <w:rsid w:val="00FE1146"/>
    <w:rsid w:val="00FE1633"/>
    <w:rsid w:val="00FE18BB"/>
    <w:rsid w:val="00FE19B4"/>
    <w:rsid w:val="00FE1BD6"/>
    <w:rsid w:val="00FE1EC7"/>
    <w:rsid w:val="00FE1EDD"/>
    <w:rsid w:val="00FE21B6"/>
    <w:rsid w:val="00FE279A"/>
    <w:rsid w:val="00FE296D"/>
    <w:rsid w:val="00FE2CC0"/>
    <w:rsid w:val="00FE31BB"/>
    <w:rsid w:val="00FE31C8"/>
    <w:rsid w:val="00FE3725"/>
    <w:rsid w:val="00FE4B3F"/>
    <w:rsid w:val="00FE4F83"/>
    <w:rsid w:val="00FE50BB"/>
    <w:rsid w:val="00FE5311"/>
    <w:rsid w:val="00FE5542"/>
    <w:rsid w:val="00FE573C"/>
    <w:rsid w:val="00FE593A"/>
    <w:rsid w:val="00FE5A1C"/>
    <w:rsid w:val="00FE5D6D"/>
    <w:rsid w:val="00FE63DC"/>
    <w:rsid w:val="00FE69BC"/>
    <w:rsid w:val="00FE73E4"/>
    <w:rsid w:val="00FE7482"/>
    <w:rsid w:val="00FF026F"/>
    <w:rsid w:val="00FF0421"/>
    <w:rsid w:val="00FF05DA"/>
    <w:rsid w:val="00FF0693"/>
    <w:rsid w:val="00FF0CF7"/>
    <w:rsid w:val="00FF10A0"/>
    <w:rsid w:val="00FF12EB"/>
    <w:rsid w:val="00FF148F"/>
    <w:rsid w:val="00FF177E"/>
    <w:rsid w:val="00FF1A5F"/>
    <w:rsid w:val="00FF1DB1"/>
    <w:rsid w:val="00FF2128"/>
    <w:rsid w:val="00FF22FF"/>
    <w:rsid w:val="00FF2438"/>
    <w:rsid w:val="00FF2518"/>
    <w:rsid w:val="00FF2726"/>
    <w:rsid w:val="00FF272F"/>
    <w:rsid w:val="00FF288D"/>
    <w:rsid w:val="00FF2AB2"/>
    <w:rsid w:val="00FF373E"/>
    <w:rsid w:val="00FF3DE3"/>
    <w:rsid w:val="00FF4288"/>
    <w:rsid w:val="00FF48CE"/>
    <w:rsid w:val="00FF4931"/>
    <w:rsid w:val="00FF4C12"/>
    <w:rsid w:val="00FF4D27"/>
    <w:rsid w:val="00FF5421"/>
    <w:rsid w:val="00FF56E7"/>
    <w:rsid w:val="00FF5794"/>
    <w:rsid w:val="00FF5805"/>
    <w:rsid w:val="00FF5932"/>
    <w:rsid w:val="00FF5BB2"/>
    <w:rsid w:val="00FF656D"/>
    <w:rsid w:val="00FF6889"/>
    <w:rsid w:val="00FF701D"/>
    <w:rsid w:val="00FF7197"/>
    <w:rsid w:val="00FF729D"/>
    <w:rsid w:val="00FF7334"/>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164D"/>
  <w15:docId w15:val="{94BFFCA2-EF94-47F3-B4E3-0292C3B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4B5957"/>
    <w:rPr>
      <w:b/>
      <w:vanish/>
      <w:color w:val="FF0000"/>
      <w:sz w:val="28"/>
      <w:szCs w:val="28"/>
    </w:rPr>
  </w:style>
  <w:style w:type="paragraph" w:customStyle="1" w:styleId="MTDisplayEquation">
    <w:name w:val="MTDisplayEquation"/>
    <w:basedOn w:val="Normal"/>
    <w:next w:val="Normal"/>
    <w:link w:val="MTDisplayEquationChar"/>
    <w:rsid w:val="004B5957"/>
    <w:pPr>
      <w:tabs>
        <w:tab w:val="center" w:pos="4680"/>
        <w:tab w:val="right" w:pos="9360"/>
      </w:tabs>
    </w:pPr>
  </w:style>
  <w:style w:type="character" w:customStyle="1" w:styleId="MTDisplayEquationChar">
    <w:name w:val="MTDisplayEquation Char"/>
    <w:basedOn w:val="DefaultParagraphFont"/>
    <w:link w:val="MTDisplayEquation"/>
    <w:rsid w:val="004B5957"/>
  </w:style>
  <w:style w:type="paragraph" w:styleId="BalloonText">
    <w:name w:val="Balloon Text"/>
    <w:basedOn w:val="Normal"/>
    <w:link w:val="BalloonTextChar"/>
    <w:uiPriority w:val="99"/>
    <w:semiHidden/>
    <w:unhideWhenUsed/>
    <w:rsid w:val="00CB2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CD4"/>
    <w:rPr>
      <w:rFonts w:ascii="Tahoma" w:hAnsi="Tahoma" w:cs="Tahoma"/>
      <w:sz w:val="16"/>
      <w:szCs w:val="16"/>
    </w:rPr>
  </w:style>
  <w:style w:type="paragraph" w:styleId="ListParagraph">
    <w:name w:val="List Paragraph"/>
    <w:basedOn w:val="Normal"/>
    <w:uiPriority w:val="34"/>
    <w:qFormat/>
    <w:rsid w:val="00C05E6B"/>
    <w:pPr>
      <w:ind w:left="720"/>
      <w:contextualSpacing/>
    </w:pPr>
  </w:style>
  <w:style w:type="character" w:styleId="PlaceholderText">
    <w:name w:val="Placeholder Text"/>
    <w:basedOn w:val="DefaultParagraphFont"/>
    <w:uiPriority w:val="99"/>
    <w:semiHidden/>
    <w:rsid w:val="002462E6"/>
    <w:rPr>
      <w:color w:val="808080"/>
    </w:rPr>
  </w:style>
  <w:style w:type="paragraph" w:customStyle="1" w:styleId="BCAuthorAddress">
    <w:name w:val="BC_Author_Address"/>
    <w:basedOn w:val="Normal"/>
    <w:next w:val="Normal"/>
    <w:rsid w:val="00A62AB8"/>
    <w:pPr>
      <w:spacing w:after="240" w:line="480" w:lineRule="auto"/>
      <w:jc w:val="center"/>
    </w:pPr>
    <w:rPr>
      <w:rFonts w:ascii="Times" w:eastAsiaTheme="minorEastAsia" w:hAnsi="Times" w:cs="Times New Roman"/>
      <w:szCs w:val="20"/>
    </w:rPr>
  </w:style>
  <w:style w:type="character" w:styleId="Hyperlink">
    <w:name w:val="Hyperlink"/>
    <w:basedOn w:val="DefaultParagraphFont"/>
    <w:uiPriority w:val="99"/>
    <w:unhideWhenUsed/>
    <w:rsid w:val="00E73AAE"/>
    <w:rPr>
      <w:color w:val="0000FF" w:themeColor="hyperlink"/>
      <w:u w:val="single"/>
    </w:rPr>
  </w:style>
  <w:style w:type="table" w:styleId="TableGrid">
    <w:name w:val="Table Grid"/>
    <w:basedOn w:val="TableNormal"/>
    <w:uiPriority w:val="59"/>
    <w:rsid w:val="00F80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46D"/>
  </w:style>
  <w:style w:type="paragraph" w:styleId="Footer">
    <w:name w:val="footer"/>
    <w:basedOn w:val="Normal"/>
    <w:link w:val="FooterChar"/>
    <w:uiPriority w:val="99"/>
    <w:unhideWhenUsed/>
    <w:rsid w:val="00581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46D"/>
  </w:style>
  <w:style w:type="paragraph" w:styleId="NormalWeb">
    <w:name w:val="Normal (Web)"/>
    <w:basedOn w:val="Normal"/>
    <w:uiPriority w:val="99"/>
    <w:semiHidden/>
    <w:unhideWhenUsed/>
    <w:rsid w:val="008642BD"/>
    <w:pPr>
      <w:spacing w:before="100" w:beforeAutospacing="1" w:after="100" w:afterAutospacing="1" w:line="240" w:lineRule="auto"/>
      <w:jc w:val="left"/>
    </w:pPr>
    <w:rPr>
      <w:rFonts w:eastAsia="Times New Roman" w:cs="Times New Roman"/>
      <w:szCs w:val="24"/>
      <w:lang w:val="en-GB" w:eastAsia="ja-JP"/>
    </w:rPr>
  </w:style>
  <w:style w:type="character" w:styleId="CommentReference">
    <w:name w:val="annotation reference"/>
    <w:basedOn w:val="DefaultParagraphFont"/>
    <w:uiPriority w:val="99"/>
    <w:semiHidden/>
    <w:unhideWhenUsed/>
    <w:rsid w:val="003A6C89"/>
    <w:rPr>
      <w:sz w:val="16"/>
      <w:szCs w:val="16"/>
    </w:rPr>
  </w:style>
  <w:style w:type="paragraph" w:styleId="CommentText">
    <w:name w:val="annotation text"/>
    <w:basedOn w:val="Normal"/>
    <w:link w:val="CommentTextChar"/>
    <w:uiPriority w:val="99"/>
    <w:semiHidden/>
    <w:unhideWhenUsed/>
    <w:rsid w:val="003A6C89"/>
    <w:pPr>
      <w:spacing w:line="240" w:lineRule="auto"/>
    </w:pPr>
    <w:rPr>
      <w:sz w:val="20"/>
      <w:szCs w:val="20"/>
    </w:rPr>
  </w:style>
  <w:style w:type="character" w:customStyle="1" w:styleId="CommentTextChar">
    <w:name w:val="Comment Text Char"/>
    <w:basedOn w:val="DefaultParagraphFont"/>
    <w:link w:val="CommentText"/>
    <w:uiPriority w:val="99"/>
    <w:semiHidden/>
    <w:rsid w:val="003A6C89"/>
    <w:rPr>
      <w:sz w:val="20"/>
      <w:szCs w:val="20"/>
    </w:rPr>
  </w:style>
  <w:style w:type="paragraph" w:styleId="CommentSubject">
    <w:name w:val="annotation subject"/>
    <w:basedOn w:val="CommentText"/>
    <w:next w:val="CommentText"/>
    <w:link w:val="CommentSubjectChar"/>
    <w:uiPriority w:val="99"/>
    <w:semiHidden/>
    <w:unhideWhenUsed/>
    <w:rsid w:val="003A6C89"/>
    <w:rPr>
      <w:b/>
      <w:bCs/>
    </w:rPr>
  </w:style>
  <w:style w:type="character" w:customStyle="1" w:styleId="CommentSubjectChar">
    <w:name w:val="Comment Subject Char"/>
    <w:basedOn w:val="CommentTextChar"/>
    <w:link w:val="CommentSubject"/>
    <w:uiPriority w:val="99"/>
    <w:semiHidden/>
    <w:rsid w:val="003A6C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8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hi.shimizu@york.ac.uk"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7216E-1B8D-4815-8CB9-195638A1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65224</Words>
  <Characters>371781</Characters>
  <Application>Microsoft Office Word</Application>
  <DocSecurity>0</DocSecurity>
  <Lines>3098</Lines>
  <Paragraphs>872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Seishi Shimizu</cp:lastModifiedBy>
  <cp:revision>2</cp:revision>
  <cp:lastPrinted>2017-05-06T13:41:00Z</cp:lastPrinted>
  <dcterms:created xsi:type="dcterms:W3CDTF">2017-05-07T15:58:00Z</dcterms:created>
  <dcterms:modified xsi:type="dcterms:W3CDTF">2017-05-07T15:58:00Z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Mendeley Document_1">
    <vt:lpwstr>True</vt:lpwstr>
  </property>
  <property fmtid="{D5CDD505-2E9C-101B-9397-08002B2CF9AE}" pid="6" name="Mendeley Unique User Id_1">
    <vt:lpwstr>8d6d7467-07b8-30c7-908e-175b6e68505e</vt:lpwstr>
  </property>
  <property fmtid="{D5CDD505-2E9C-101B-9397-08002B2CF9AE}" pid="7" name="Mendeley Citation Style_1">
    <vt:lpwstr>http://www.zotero.org/styles/angewandte-chemie</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http://www.zotero.org/styles/angewandte-chemie</vt:lpwstr>
  </property>
  <property fmtid="{D5CDD505-2E9C-101B-9397-08002B2CF9AE}" pid="13" name="Mendeley Recent Style Name 2_1">
    <vt:lpwstr>Angewandte Chemie International Edition</vt:lpwstr>
  </property>
  <property fmtid="{D5CDD505-2E9C-101B-9397-08002B2CF9AE}" pid="14" name="Mendeley Recent Style Id 3_1">
    <vt:lpwstr>http://www.zotero.org/styles/biochemistry</vt:lpwstr>
  </property>
  <property fmtid="{D5CDD505-2E9C-101B-9397-08002B2CF9AE}" pid="15" name="Mendeley Recent Style Name 3_1">
    <vt:lpwstr>Biochemistry</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16th edition (author-date)</vt:lpwstr>
  </property>
  <property fmtid="{D5CDD505-2E9C-101B-9397-08002B2CF9AE}" pid="18" name="Mendeley Recent Style Id 5_1">
    <vt:lpwstr>http://www.zotero.org/styles/food-and-function</vt:lpwstr>
  </property>
  <property fmtid="{D5CDD505-2E9C-101B-9397-08002B2CF9AE}" pid="19" name="Mendeley Recent Style Name 5_1">
    <vt:lpwstr>Food &amp; Function</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http://www.zotero.org/styles/physica-a-statistical-mechanics-and-its-applications</vt:lpwstr>
  </property>
  <property fmtid="{D5CDD505-2E9C-101B-9397-08002B2CF9AE}" pid="23" name="Mendeley Recent Style Name 7_1">
    <vt:lpwstr>Physica A: Statistical Mechanics and its Applications</vt:lpwstr>
  </property>
  <property fmtid="{D5CDD505-2E9C-101B-9397-08002B2CF9AE}" pid="24" name="Mendeley Recent Style Id 8_1">
    <vt:lpwstr>http://www.zotero.org/styles/physical-review-a</vt:lpwstr>
  </property>
  <property fmtid="{D5CDD505-2E9C-101B-9397-08002B2CF9AE}" pid="25" name="Mendeley Recent Style Name 8_1">
    <vt:lpwstr>Physical Review A</vt:lpwstr>
  </property>
  <property fmtid="{D5CDD505-2E9C-101B-9397-08002B2CF9AE}" pid="26" name="Mendeley Recent Style Id 9_1">
    <vt:lpwstr>http://www.zotero.org/styles/soft-matter</vt:lpwstr>
  </property>
  <property fmtid="{D5CDD505-2E9C-101B-9397-08002B2CF9AE}" pid="27" name="Mendeley Recent Style Name 9_1">
    <vt:lpwstr>Soft Matter</vt:lpwstr>
  </property>
</Properties>
</file>