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4AC1B" w14:textId="7A01FDFC" w:rsidR="00487784" w:rsidRPr="00F748D0" w:rsidRDefault="00487784" w:rsidP="00EF4428">
      <w:pPr>
        <w:ind w:left="0" w:firstLine="0"/>
      </w:pPr>
      <w:bookmarkStart w:id="0" w:name="_GoBack"/>
      <w:bookmarkEnd w:id="0"/>
      <w:r w:rsidRPr="00F748D0">
        <w:rPr>
          <w:b/>
        </w:rPr>
        <w:t>Title:</w:t>
      </w:r>
      <w:r w:rsidRPr="00F748D0">
        <w:t xml:space="preserve"> </w:t>
      </w:r>
      <w:bookmarkStart w:id="1" w:name="_Hlk462072132"/>
      <w:r w:rsidR="00A87312" w:rsidRPr="00F748D0">
        <w:t>Three m</w:t>
      </w:r>
      <w:r w:rsidR="00A4666C" w:rsidRPr="00F748D0">
        <w:t xml:space="preserve">ethods for integration of environmental risk in the benefit-risk assessment of veterinary medicinal products </w:t>
      </w:r>
      <w:bookmarkEnd w:id="1"/>
    </w:p>
    <w:p w14:paraId="7945FB80" w14:textId="7973126C" w:rsidR="00487784" w:rsidRPr="00F748D0" w:rsidRDefault="00487784" w:rsidP="00EF4428">
      <w:pPr>
        <w:ind w:left="0" w:firstLine="0"/>
      </w:pPr>
      <w:r w:rsidRPr="00F748D0">
        <w:rPr>
          <w:b/>
        </w:rPr>
        <w:t>Running head:</w:t>
      </w:r>
      <w:r w:rsidRPr="00F748D0">
        <w:t xml:space="preserve"> </w:t>
      </w:r>
      <w:r w:rsidR="00A26725" w:rsidRPr="00F748D0">
        <w:t>Benefit</w:t>
      </w:r>
      <w:r w:rsidR="00984D5C" w:rsidRPr="00F748D0">
        <w:t>-</w:t>
      </w:r>
      <w:r w:rsidR="00A26725" w:rsidRPr="00F748D0">
        <w:t>Risk of Veterinary Drugs</w:t>
      </w:r>
    </w:p>
    <w:p w14:paraId="0CCE66B2" w14:textId="70CE03EE" w:rsidR="00DD5B76" w:rsidRPr="00F748D0" w:rsidRDefault="00DD5B76" w:rsidP="00DD5B76">
      <w:pPr>
        <w:pStyle w:val="NoSpacing"/>
        <w:rPr>
          <w:rFonts w:cs="Times New Roman"/>
        </w:rPr>
      </w:pPr>
      <w:r w:rsidRPr="00F748D0">
        <w:rPr>
          <w:rFonts w:cs="Times New Roman"/>
        </w:rPr>
        <w:t>Jennifer L Chapman*†</w:t>
      </w:r>
      <w:r w:rsidR="00C54948" w:rsidRPr="00F748D0">
        <w:rPr>
          <w:rFonts w:cs="Times New Roman"/>
        </w:rPr>
        <w:t xml:space="preserve"> (</w:t>
      </w:r>
      <w:hyperlink r:id="rId9" w:history="1">
        <w:r w:rsidR="00C54948" w:rsidRPr="00F748D0">
          <w:rPr>
            <w:rStyle w:val="Hyperlink"/>
            <w:rFonts w:cs="Times New Roman"/>
            <w:color w:val="auto"/>
          </w:rPr>
          <w:t>jlc571@york.ac.uk</w:t>
        </w:r>
      </w:hyperlink>
      <w:r w:rsidR="00C54948" w:rsidRPr="00F748D0">
        <w:rPr>
          <w:rStyle w:val="Hyperlink"/>
          <w:rFonts w:cs="Times New Roman"/>
          <w:color w:val="auto"/>
        </w:rPr>
        <w:t>)</w:t>
      </w:r>
      <w:r w:rsidRPr="00F748D0">
        <w:rPr>
          <w:rFonts w:cs="Times New Roman"/>
        </w:rPr>
        <w:t>, Lucas Porsch</w:t>
      </w:r>
      <w:r w:rsidRPr="00F748D0">
        <w:rPr>
          <w:rFonts w:cs="Times New Roman"/>
          <w:vertAlign w:val="superscript"/>
        </w:rPr>
        <w:t>‡</w:t>
      </w:r>
      <w:r w:rsidR="00C54948" w:rsidRPr="00F748D0">
        <w:rPr>
          <w:rFonts w:cs="Times New Roman"/>
          <w:vertAlign w:val="superscript"/>
        </w:rPr>
        <w:t xml:space="preserve"> </w:t>
      </w:r>
      <w:r w:rsidR="00C54948" w:rsidRPr="00F748D0">
        <w:rPr>
          <w:rFonts w:cs="Times New Roman"/>
        </w:rPr>
        <w:t>(</w:t>
      </w:r>
      <w:hyperlink r:id="rId10" w:history="1">
        <w:r w:rsidR="00C54948" w:rsidRPr="00F748D0">
          <w:rPr>
            <w:rStyle w:val="Hyperlink"/>
            <w:rFonts w:cs="Times New Roman"/>
            <w:color w:val="auto"/>
          </w:rPr>
          <w:t>lucas.porsch@ecologic.eu</w:t>
        </w:r>
      </w:hyperlink>
      <w:r w:rsidR="00C54948" w:rsidRPr="00F748D0">
        <w:rPr>
          <w:rStyle w:val="Hyperlink"/>
          <w:rFonts w:cs="Times New Roman"/>
          <w:color w:val="auto"/>
        </w:rPr>
        <w:t>)</w:t>
      </w:r>
      <w:r w:rsidRPr="00F748D0">
        <w:rPr>
          <w:rFonts w:cs="Times New Roman"/>
        </w:rPr>
        <w:t>, Rodrigo Vidaurre</w:t>
      </w:r>
      <w:r w:rsidRPr="00F748D0">
        <w:rPr>
          <w:rFonts w:cs="Times New Roman"/>
          <w:vertAlign w:val="superscript"/>
        </w:rPr>
        <w:t>‡</w:t>
      </w:r>
      <w:r w:rsidR="00C54948" w:rsidRPr="00F748D0">
        <w:rPr>
          <w:rFonts w:cs="Times New Roman"/>
          <w:vertAlign w:val="superscript"/>
        </w:rPr>
        <w:t xml:space="preserve"> </w:t>
      </w:r>
      <w:r w:rsidR="00C54948" w:rsidRPr="00F748D0">
        <w:rPr>
          <w:rFonts w:cs="Times New Roman"/>
        </w:rPr>
        <w:t>(</w:t>
      </w:r>
      <w:hyperlink r:id="rId11" w:history="1">
        <w:r w:rsidR="00C54948" w:rsidRPr="00F748D0">
          <w:rPr>
            <w:rStyle w:val="Hyperlink"/>
            <w:rFonts w:cs="Times New Roman"/>
            <w:color w:val="auto"/>
          </w:rPr>
          <w:t>rodrigo.vidaurre@ecologic.eu</w:t>
        </w:r>
      </w:hyperlink>
      <w:r w:rsidR="00C54948" w:rsidRPr="00F748D0">
        <w:rPr>
          <w:rStyle w:val="Hyperlink"/>
          <w:rFonts w:cs="Times New Roman"/>
          <w:color w:val="auto"/>
        </w:rPr>
        <w:t>)</w:t>
      </w:r>
      <w:r w:rsidRPr="00F748D0">
        <w:rPr>
          <w:rFonts w:cs="Times New Roman"/>
        </w:rPr>
        <w:t>, Thomas Ba</w:t>
      </w:r>
      <w:r w:rsidR="00867097" w:rsidRPr="00F748D0">
        <w:rPr>
          <w:rFonts w:cs="Times New Roman"/>
        </w:rPr>
        <w:t>c</w:t>
      </w:r>
      <w:r w:rsidRPr="00F748D0">
        <w:rPr>
          <w:rFonts w:cs="Times New Roman"/>
        </w:rPr>
        <w:t>khaus</w:t>
      </w:r>
      <w:r w:rsidRPr="00F748D0">
        <w:rPr>
          <w:rFonts w:cs="Times New Roman"/>
          <w:vertAlign w:val="superscript"/>
        </w:rPr>
        <w:t>§</w:t>
      </w:r>
      <w:r w:rsidR="00C54948" w:rsidRPr="00F748D0">
        <w:rPr>
          <w:rFonts w:cs="Times New Roman"/>
          <w:vertAlign w:val="superscript"/>
        </w:rPr>
        <w:t xml:space="preserve"> </w:t>
      </w:r>
      <w:r w:rsidR="00C54948" w:rsidRPr="00F748D0">
        <w:rPr>
          <w:rFonts w:cs="Times New Roman"/>
        </w:rPr>
        <w:t>(</w:t>
      </w:r>
      <w:hyperlink r:id="rId12" w:history="1">
        <w:r w:rsidR="00C54948" w:rsidRPr="00F748D0">
          <w:rPr>
            <w:rStyle w:val="Hyperlink"/>
            <w:rFonts w:cs="Times New Roman"/>
            <w:color w:val="auto"/>
          </w:rPr>
          <w:t>thomas.backhaus@bioenv.gu.se</w:t>
        </w:r>
      </w:hyperlink>
      <w:r w:rsidR="00AC4D60" w:rsidRPr="00F748D0">
        <w:rPr>
          <w:rStyle w:val="Hyperlink"/>
          <w:rFonts w:cs="Times New Roman"/>
          <w:color w:val="auto"/>
        </w:rPr>
        <w:t xml:space="preserve">), </w:t>
      </w:r>
      <w:r w:rsidRPr="00F748D0">
        <w:rPr>
          <w:rFonts w:cs="Times New Roman"/>
        </w:rPr>
        <w:t>Chris Sinclair</w:t>
      </w:r>
      <w:r w:rsidR="00AB717F" w:rsidRPr="00F748D0">
        <w:rPr>
          <w:rFonts w:cs="Times New Roman"/>
          <w:vertAlign w:val="superscript"/>
        </w:rPr>
        <w:t>||</w:t>
      </w:r>
      <w:r w:rsidR="00C54948" w:rsidRPr="00F748D0">
        <w:rPr>
          <w:rFonts w:cs="Times New Roman"/>
          <w:vertAlign w:val="superscript"/>
        </w:rPr>
        <w:t xml:space="preserve"> </w:t>
      </w:r>
      <w:r w:rsidR="00C54948" w:rsidRPr="00F748D0">
        <w:rPr>
          <w:rFonts w:cs="Times New Roman"/>
        </w:rPr>
        <w:t>(</w:t>
      </w:r>
      <w:hyperlink r:id="rId13" w:history="1">
        <w:r w:rsidR="00C54948" w:rsidRPr="00F748D0">
          <w:rPr>
            <w:rStyle w:val="Hyperlink"/>
            <w:rFonts w:cs="Times New Roman"/>
            <w:color w:val="auto"/>
          </w:rPr>
          <w:t>chris.sinclair@fera.co.uk</w:t>
        </w:r>
      </w:hyperlink>
      <w:r w:rsidR="00C54948" w:rsidRPr="00F748D0">
        <w:rPr>
          <w:rStyle w:val="Hyperlink"/>
          <w:rFonts w:cs="Times New Roman"/>
          <w:color w:val="auto"/>
        </w:rPr>
        <w:t>)</w:t>
      </w:r>
      <w:r w:rsidRPr="00F748D0">
        <w:rPr>
          <w:rFonts w:cs="Times New Roman"/>
        </w:rPr>
        <w:t>, Glyn Jones</w:t>
      </w:r>
      <w:r w:rsidR="00AB717F" w:rsidRPr="00F748D0">
        <w:rPr>
          <w:rFonts w:cs="Times New Roman"/>
          <w:vertAlign w:val="superscript"/>
        </w:rPr>
        <w:t>||</w:t>
      </w:r>
      <w:r w:rsidR="00C54948" w:rsidRPr="00F748D0">
        <w:rPr>
          <w:rFonts w:cs="Times New Roman"/>
          <w:vertAlign w:val="superscript"/>
        </w:rPr>
        <w:t xml:space="preserve"> </w:t>
      </w:r>
      <w:r w:rsidR="00C54948" w:rsidRPr="00F748D0">
        <w:rPr>
          <w:rFonts w:cs="Times New Roman"/>
        </w:rPr>
        <w:t>(</w:t>
      </w:r>
      <w:hyperlink r:id="rId14" w:history="1">
        <w:r w:rsidR="00C54948" w:rsidRPr="00F748D0">
          <w:rPr>
            <w:rStyle w:val="Hyperlink"/>
            <w:rFonts w:cs="Times New Roman"/>
            <w:color w:val="auto"/>
          </w:rPr>
          <w:t>glyn.d.jones@fera.co.uk</w:t>
        </w:r>
      </w:hyperlink>
      <w:r w:rsidR="00C54948" w:rsidRPr="00F748D0">
        <w:rPr>
          <w:rStyle w:val="Hyperlink"/>
          <w:rFonts w:cs="Times New Roman"/>
          <w:color w:val="auto"/>
        </w:rPr>
        <w:t>)</w:t>
      </w:r>
      <w:r w:rsidR="00061A82" w:rsidRPr="00F748D0">
        <w:rPr>
          <w:rStyle w:val="Hyperlink"/>
          <w:rFonts w:cs="Times New Roman"/>
          <w:color w:val="auto"/>
        </w:rPr>
        <w:t xml:space="preserve">, </w:t>
      </w:r>
      <w:r w:rsidR="00061A82" w:rsidRPr="00F748D0">
        <w:rPr>
          <w:rFonts w:cs="Times New Roman"/>
        </w:rPr>
        <w:t>Alistair Boxall</w:t>
      </w:r>
      <w:r w:rsidR="00061A82" w:rsidRPr="00F748D0">
        <w:rPr>
          <w:rFonts w:cs="Times New Roman"/>
          <w:vertAlign w:val="superscript"/>
        </w:rPr>
        <w:t xml:space="preserve">† </w:t>
      </w:r>
      <w:hyperlink r:id="rId15" w:history="1">
        <w:r w:rsidR="00061A82" w:rsidRPr="00F748D0">
          <w:rPr>
            <w:rStyle w:val="Hyperlink"/>
            <w:rFonts w:cs="Times New Roman"/>
            <w:color w:val="auto"/>
          </w:rPr>
          <w:t>(alistair.boxall@york.ac.uk</w:t>
        </w:r>
      </w:hyperlink>
      <w:r w:rsidR="00061A82" w:rsidRPr="00F748D0">
        <w:rPr>
          <w:rFonts w:cs="Times New Roman"/>
        </w:rPr>
        <w:t>)</w:t>
      </w:r>
    </w:p>
    <w:p w14:paraId="6546849E" w14:textId="77777777" w:rsidR="00DD5B76" w:rsidRPr="00F748D0" w:rsidRDefault="00DD5B76" w:rsidP="00DD5B76">
      <w:pPr>
        <w:pStyle w:val="NoSpacing"/>
      </w:pPr>
    </w:p>
    <w:p w14:paraId="5D5A85F3" w14:textId="77777777" w:rsidR="00DD5B76" w:rsidRPr="00F748D0" w:rsidRDefault="00DD5B76" w:rsidP="00DD5B76">
      <w:pPr>
        <w:pStyle w:val="NoSpacing"/>
      </w:pPr>
    </w:p>
    <w:p w14:paraId="76E05187" w14:textId="77777777" w:rsidR="00B2425F" w:rsidRPr="00F748D0" w:rsidRDefault="00DD5B76" w:rsidP="00DD5B76">
      <w:pPr>
        <w:pStyle w:val="NoSpacing"/>
        <w:rPr>
          <w:rFonts w:cs="Times New Roman"/>
        </w:rPr>
      </w:pPr>
      <w:r w:rsidRPr="00F748D0">
        <w:rPr>
          <w:rFonts w:cs="Times New Roman"/>
        </w:rPr>
        <w:t xml:space="preserve">Affiliations: </w:t>
      </w:r>
    </w:p>
    <w:p w14:paraId="2BA3DF64" w14:textId="39EA5781" w:rsidR="00B2425F" w:rsidRPr="00F748D0" w:rsidRDefault="00B2425F" w:rsidP="00DD5B76">
      <w:pPr>
        <w:pStyle w:val="NoSpacing"/>
        <w:rPr>
          <w:rFonts w:cs="Times New Roman"/>
        </w:rPr>
      </w:pPr>
      <w:r w:rsidRPr="00F748D0">
        <w:rPr>
          <w:rFonts w:cs="Times New Roman"/>
        </w:rPr>
        <w:t>†University of York</w:t>
      </w:r>
      <w:r w:rsidR="00DA3E87" w:rsidRPr="00F748D0">
        <w:rPr>
          <w:rFonts w:cs="Times New Roman"/>
        </w:rPr>
        <w:t xml:space="preserve"> Environment Department</w:t>
      </w:r>
    </w:p>
    <w:p w14:paraId="4385B560" w14:textId="428FC65D" w:rsidR="00B2425F" w:rsidRPr="00F748D0" w:rsidRDefault="00B2425F" w:rsidP="00B2425F">
      <w:pPr>
        <w:pStyle w:val="NoSpacing"/>
        <w:rPr>
          <w:rFonts w:cs="Times New Roman"/>
        </w:rPr>
      </w:pPr>
      <w:r w:rsidRPr="00F748D0">
        <w:rPr>
          <w:rFonts w:cs="Times New Roman"/>
        </w:rPr>
        <w:t>Heslington, York</w:t>
      </w:r>
      <w:r w:rsidR="00A87312" w:rsidRPr="00F748D0">
        <w:rPr>
          <w:rFonts w:cs="Times New Roman"/>
        </w:rPr>
        <w:t>, UK</w:t>
      </w:r>
      <w:r w:rsidRPr="00F748D0">
        <w:rPr>
          <w:rFonts w:cs="Times New Roman"/>
        </w:rPr>
        <w:t xml:space="preserve"> YO10 5DD</w:t>
      </w:r>
      <w:r w:rsidR="00DD5B76" w:rsidRPr="00F748D0">
        <w:rPr>
          <w:rFonts w:cs="Times New Roman"/>
        </w:rPr>
        <w:t xml:space="preserve"> </w:t>
      </w:r>
    </w:p>
    <w:p w14:paraId="2630DBE0" w14:textId="77777777" w:rsidR="00B2425F" w:rsidRPr="00F748D0" w:rsidRDefault="00B2425F" w:rsidP="00DD5B76">
      <w:pPr>
        <w:pStyle w:val="NoSpacing"/>
        <w:rPr>
          <w:rFonts w:cs="Times New Roman"/>
          <w:vertAlign w:val="superscript"/>
        </w:rPr>
      </w:pPr>
    </w:p>
    <w:p w14:paraId="1DE5401A" w14:textId="77777777" w:rsidR="00DA3E87" w:rsidRPr="00F748D0" w:rsidRDefault="00DD5B76" w:rsidP="00DD5B76">
      <w:pPr>
        <w:pStyle w:val="NoSpacing"/>
        <w:rPr>
          <w:rFonts w:cs="Times New Roman"/>
        </w:rPr>
      </w:pPr>
      <w:r w:rsidRPr="00F748D0">
        <w:rPr>
          <w:rFonts w:cs="Times New Roman"/>
          <w:vertAlign w:val="superscript"/>
        </w:rPr>
        <w:t>§‡</w:t>
      </w:r>
      <w:r w:rsidRPr="00F748D0">
        <w:rPr>
          <w:rFonts w:cs="Times New Roman"/>
        </w:rPr>
        <w:t>Ecologic Institut</w:t>
      </w:r>
    </w:p>
    <w:p w14:paraId="3B6FE216" w14:textId="6079A23B" w:rsidR="00B2425F" w:rsidRPr="00F748D0" w:rsidRDefault="00DA3E87" w:rsidP="00DD5B76">
      <w:pPr>
        <w:pStyle w:val="NoSpacing"/>
        <w:rPr>
          <w:rFonts w:cs="Times New Roman"/>
        </w:rPr>
      </w:pPr>
      <w:r w:rsidRPr="00F748D0">
        <w:rPr>
          <w:rFonts w:cs="Times New Roman"/>
        </w:rPr>
        <w:t>Pfalzburger Str. 43-44, 10717 Berlin, Germany</w:t>
      </w:r>
      <w:r w:rsidR="00DD5B76" w:rsidRPr="00F748D0">
        <w:rPr>
          <w:rFonts w:cs="Times New Roman"/>
        </w:rPr>
        <w:t xml:space="preserve"> </w:t>
      </w:r>
    </w:p>
    <w:p w14:paraId="39F26C44" w14:textId="77777777" w:rsidR="00B2425F" w:rsidRPr="00F748D0" w:rsidRDefault="00B2425F" w:rsidP="00DD5B76">
      <w:pPr>
        <w:pStyle w:val="NoSpacing"/>
        <w:rPr>
          <w:rFonts w:cs="Times New Roman"/>
        </w:rPr>
      </w:pPr>
    </w:p>
    <w:p w14:paraId="0081588A" w14:textId="3979AF5F" w:rsidR="005B05CB" w:rsidRPr="00F748D0" w:rsidRDefault="00DD5B76" w:rsidP="00DD5B76">
      <w:pPr>
        <w:pStyle w:val="NoSpacing"/>
        <w:rPr>
          <w:rFonts w:cs="Times New Roman"/>
        </w:rPr>
      </w:pPr>
      <w:r w:rsidRPr="00F748D0">
        <w:rPr>
          <w:rFonts w:cs="Times New Roman"/>
          <w:vertAlign w:val="superscript"/>
        </w:rPr>
        <w:t>§</w:t>
      </w:r>
      <w:r w:rsidR="00D42D13" w:rsidRPr="00F748D0">
        <w:rPr>
          <w:rFonts w:cs="Times New Roman"/>
        </w:rPr>
        <w:t>Dep</w:t>
      </w:r>
      <w:r w:rsidR="00A87312" w:rsidRPr="00F748D0">
        <w:rPr>
          <w:rFonts w:cs="Times New Roman"/>
        </w:rPr>
        <w:t>artment</w:t>
      </w:r>
      <w:r w:rsidR="00D42D13" w:rsidRPr="00F748D0">
        <w:rPr>
          <w:rFonts w:cs="Times New Roman"/>
        </w:rPr>
        <w:t xml:space="preserve"> of Biological and Environmental Science, University of Gothenburg, </w:t>
      </w:r>
    </w:p>
    <w:p w14:paraId="24303563" w14:textId="5B240915" w:rsidR="00B2425F" w:rsidRPr="00F748D0" w:rsidRDefault="00860399" w:rsidP="00DD5B76">
      <w:pPr>
        <w:pStyle w:val="NoSpacing"/>
        <w:rPr>
          <w:rFonts w:cs="Times New Roman"/>
        </w:rPr>
      </w:pPr>
      <w:r w:rsidRPr="00F748D0">
        <w:rPr>
          <w:rFonts w:cs="Times New Roman"/>
        </w:rPr>
        <w:t xml:space="preserve">Medicinaregatan 18, </w:t>
      </w:r>
      <w:r w:rsidR="005B05CB" w:rsidRPr="00F748D0">
        <w:rPr>
          <w:rFonts w:cs="Times New Roman"/>
        </w:rPr>
        <w:t>405 30 Gothenburg, Sweden</w:t>
      </w:r>
    </w:p>
    <w:p w14:paraId="62A7C870" w14:textId="77777777" w:rsidR="005B05CB" w:rsidRPr="00F748D0" w:rsidRDefault="005B05CB" w:rsidP="00DD5B76">
      <w:pPr>
        <w:pStyle w:val="NoSpacing"/>
        <w:rPr>
          <w:rFonts w:cs="Times New Roman"/>
        </w:rPr>
      </w:pPr>
    </w:p>
    <w:p w14:paraId="74D1B256" w14:textId="7B7B1028" w:rsidR="00DD5B76" w:rsidRPr="00F748D0" w:rsidRDefault="00AB717F" w:rsidP="00DD5B76">
      <w:pPr>
        <w:pStyle w:val="NoSpacing"/>
        <w:rPr>
          <w:rFonts w:cs="Times New Roman"/>
          <w:color w:val="1A1A1A"/>
        </w:rPr>
      </w:pPr>
      <w:proofErr w:type="gramStart"/>
      <w:r w:rsidRPr="00F748D0">
        <w:rPr>
          <w:rFonts w:cs="Times New Roman"/>
          <w:vertAlign w:val="superscript"/>
        </w:rPr>
        <w:t>||</w:t>
      </w:r>
      <w:r w:rsidR="00DD5B76" w:rsidRPr="00F748D0">
        <w:rPr>
          <w:rFonts w:cs="Times New Roman"/>
        </w:rPr>
        <w:t>FERA</w:t>
      </w:r>
      <w:r w:rsidR="00DD5B76" w:rsidRPr="00F748D0">
        <w:rPr>
          <w:rFonts w:cs="Times New Roman"/>
          <w:color w:val="1A1A1A"/>
        </w:rPr>
        <w:t xml:space="preserve"> </w:t>
      </w:r>
      <w:r w:rsidR="005B05CB" w:rsidRPr="00F748D0">
        <w:rPr>
          <w:rFonts w:cs="Times New Roman"/>
          <w:color w:val="1A1A1A"/>
        </w:rPr>
        <w:t>Science Ltd.</w:t>
      </w:r>
      <w:proofErr w:type="gramEnd"/>
    </w:p>
    <w:p w14:paraId="7EA3839E" w14:textId="0E25798D" w:rsidR="005B05CB" w:rsidRPr="00F748D0" w:rsidRDefault="005B05CB" w:rsidP="00DD5B76">
      <w:pPr>
        <w:pStyle w:val="NoSpacing"/>
        <w:rPr>
          <w:rFonts w:cs="Times New Roman"/>
        </w:rPr>
      </w:pPr>
      <w:r w:rsidRPr="00F748D0">
        <w:rPr>
          <w:rFonts w:cs="Times New Roman"/>
          <w:color w:val="1A1A1A"/>
        </w:rPr>
        <w:t>National Agri-food Innovation Campus, Sand Hutton, York</w:t>
      </w:r>
      <w:r w:rsidR="00A87312" w:rsidRPr="00F748D0">
        <w:rPr>
          <w:rFonts w:cs="Times New Roman"/>
          <w:color w:val="1A1A1A"/>
        </w:rPr>
        <w:t>, UK</w:t>
      </w:r>
      <w:r w:rsidRPr="00F748D0">
        <w:rPr>
          <w:rFonts w:cs="Times New Roman"/>
          <w:color w:val="1A1A1A"/>
        </w:rPr>
        <w:t xml:space="preserve"> YO41 1LZ</w:t>
      </w:r>
    </w:p>
    <w:p w14:paraId="6B2E8689" w14:textId="77777777" w:rsidR="00733EB9" w:rsidRPr="00F748D0" w:rsidRDefault="00733EB9" w:rsidP="00733EB9">
      <w:pPr>
        <w:pStyle w:val="NoSpacing"/>
      </w:pPr>
    </w:p>
    <w:p w14:paraId="0B685D20" w14:textId="04F92A99" w:rsidR="009F5C1B" w:rsidRPr="00F748D0" w:rsidRDefault="00E84DB1" w:rsidP="00EF4428">
      <w:pPr>
        <w:ind w:left="0" w:firstLine="0"/>
      </w:pPr>
      <w:r w:rsidRPr="00F748D0">
        <w:t>*</w:t>
      </w:r>
      <w:r w:rsidR="00105786" w:rsidRPr="00F748D0">
        <w:t>To whom correspondence may be addressed</w:t>
      </w:r>
    </w:p>
    <w:p w14:paraId="6895F754" w14:textId="77777777" w:rsidR="003F39C1" w:rsidRPr="00F748D0" w:rsidRDefault="003F39C1" w:rsidP="001D3C2D">
      <w:pPr>
        <w:pStyle w:val="Heading1"/>
        <w:ind w:left="0" w:firstLine="0"/>
      </w:pPr>
    </w:p>
    <w:p w14:paraId="2B920A53" w14:textId="77777777" w:rsidR="008A470E" w:rsidRPr="00F748D0" w:rsidRDefault="008A470E"/>
    <w:p w14:paraId="0D5F06E7" w14:textId="77777777" w:rsidR="00367AD8" w:rsidRPr="00F748D0" w:rsidRDefault="00367AD8" w:rsidP="008A470E">
      <w:pPr>
        <w:rPr>
          <w:b/>
        </w:rPr>
      </w:pPr>
    </w:p>
    <w:p w14:paraId="11987CD9" w14:textId="77777777" w:rsidR="00367AD8" w:rsidRPr="00F748D0" w:rsidRDefault="00367AD8" w:rsidP="008A470E">
      <w:pPr>
        <w:rPr>
          <w:b/>
        </w:rPr>
      </w:pPr>
    </w:p>
    <w:p w14:paraId="670B2F60" w14:textId="77777777" w:rsidR="00733EB9" w:rsidRPr="00F748D0" w:rsidRDefault="00733EB9" w:rsidP="00367AD8">
      <w:pPr>
        <w:ind w:firstLine="0"/>
        <w:rPr>
          <w:b/>
        </w:rPr>
      </w:pPr>
      <w:r w:rsidRPr="00F748D0">
        <w:rPr>
          <w:b/>
        </w:rPr>
        <w:lastRenderedPageBreak/>
        <w:t>Abstract</w:t>
      </w:r>
    </w:p>
    <w:p w14:paraId="0B1A5D84" w14:textId="7C4D9B74" w:rsidR="0065645C" w:rsidRPr="00F748D0" w:rsidRDefault="005C27DD" w:rsidP="009A2EB9">
      <w:r w:rsidRPr="00F748D0">
        <w:t xml:space="preserve">Veterinary medicinal products (VMPs) require, as part of the European Union (EU) authorization process, consideration of both risks and benefits. </w:t>
      </w:r>
      <w:r w:rsidR="00E47644" w:rsidRPr="00F748D0">
        <w:t>U</w:t>
      </w:r>
      <w:r w:rsidR="00D6367D" w:rsidRPr="00F748D0">
        <w:t>se</w:t>
      </w:r>
      <w:r w:rsidR="00E47644" w:rsidRPr="00F748D0">
        <w:t>s</w:t>
      </w:r>
      <w:r w:rsidR="00D6367D" w:rsidRPr="00F748D0">
        <w:t xml:space="preserve"> of VMPs </w:t>
      </w:r>
      <w:r w:rsidR="000B6F1B" w:rsidRPr="00F748D0">
        <w:t>ha</w:t>
      </w:r>
      <w:r w:rsidR="00BA6776" w:rsidRPr="00F748D0">
        <w:t>ve</w:t>
      </w:r>
      <w:r w:rsidR="000B6F1B" w:rsidRPr="00F748D0">
        <w:t xml:space="preserve"> </w:t>
      </w:r>
      <w:r w:rsidR="00D6367D" w:rsidRPr="00F748D0">
        <w:t>multiple risks</w:t>
      </w:r>
      <w:r w:rsidR="00095485" w:rsidRPr="00F748D0">
        <w:t xml:space="preserve"> (e.g.</w:t>
      </w:r>
      <w:r w:rsidR="00E47644" w:rsidRPr="00F748D0">
        <w:t>,</w:t>
      </w:r>
      <w:r w:rsidR="00095485" w:rsidRPr="00F748D0">
        <w:t xml:space="preserve"> </w:t>
      </w:r>
      <w:r w:rsidR="00D6367D" w:rsidRPr="00F748D0">
        <w:t>risks to the animal being treated, to the person administering the</w:t>
      </w:r>
      <w:r w:rsidR="00095485" w:rsidRPr="00F748D0">
        <w:t xml:space="preserve"> VMP) </w:t>
      </w:r>
      <w:r w:rsidR="00C87BE8" w:rsidRPr="00F748D0">
        <w:t>including risks to the environment</w:t>
      </w:r>
      <w:r w:rsidR="00D6367D" w:rsidRPr="00F748D0">
        <w:t xml:space="preserve">. </w:t>
      </w:r>
      <w:r w:rsidRPr="00F748D0">
        <w:t xml:space="preserve">Environmental risks are not directly comparable to therapeutic benefits; there is no standardized approach to </w:t>
      </w:r>
      <w:r w:rsidR="001B4A3E" w:rsidRPr="00F748D0">
        <w:t>compare</w:t>
      </w:r>
      <w:r w:rsidRPr="00F748D0">
        <w:t xml:space="preserve"> both environmental risks and </w:t>
      </w:r>
      <w:r w:rsidR="00E92C64" w:rsidRPr="00F748D0">
        <w:t xml:space="preserve">therapeutic </w:t>
      </w:r>
      <w:r w:rsidRPr="00F748D0">
        <w:t>benefits. We have developed</w:t>
      </w:r>
      <w:r w:rsidR="00A87312" w:rsidRPr="00F748D0">
        <w:t xml:space="preserve"> three</w:t>
      </w:r>
      <w:r w:rsidRPr="00F748D0">
        <w:t xml:space="preserve"> method</w:t>
      </w:r>
      <w:r w:rsidR="00E25BD4" w:rsidRPr="00F748D0">
        <w:t>s</w:t>
      </w:r>
      <w:r w:rsidRPr="00F748D0">
        <w:t xml:space="preserve"> for communicating and comparing </w:t>
      </w:r>
      <w:r w:rsidR="000B6F1B" w:rsidRPr="00F748D0">
        <w:t xml:space="preserve">therapeutic </w:t>
      </w:r>
      <w:r w:rsidRPr="00F748D0">
        <w:t xml:space="preserve">benefits and </w:t>
      </w:r>
      <w:r w:rsidR="00F3544B" w:rsidRPr="00F748D0">
        <w:t xml:space="preserve">environmental </w:t>
      </w:r>
      <w:r w:rsidRPr="00F748D0">
        <w:t>risks</w:t>
      </w:r>
      <w:r w:rsidR="00F3544B" w:rsidRPr="00F748D0">
        <w:t xml:space="preserve"> for</w:t>
      </w:r>
      <w:r w:rsidRPr="00F748D0">
        <w:t xml:space="preserve"> </w:t>
      </w:r>
      <w:r w:rsidR="00F3544B" w:rsidRPr="00F748D0">
        <w:t>the</w:t>
      </w:r>
      <w:r w:rsidRPr="00F748D0">
        <w:t xml:space="preserve"> benefit-risk assessment that supports the EU authorization process.</w:t>
      </w:r>
      <w:r w:rsidR="000B3D33" w:rsidRPr="00F748D0">
        <w:t xml:space="preserve"> Two </w:t>
      </w:r>
      <w:r w:rsidR="006D5474" w:rsidRPr="00F748D0">
        <w:t xml:space="preserve">of these </w:t>
      </w:r>
      <w:r w:rsidR="00875D53" w:rsidRPr="00F748D0">
        <w:t xml:space="preserve">methods </w:t>
      </w:r>
      <w:r w:rsidR="000B3D33" w:rsidRPr="00F748D0">
        <w:t xml:space="preserve">support independent product evaluation </w:t>
      </w:r>
      <w:r w:rsidRPr="00F748D0">
        <w:t>(i.e.</w:t>
      </w:r>
      <w:r w:rsidR="00A655F4" w:rsidRPr="00F748D0">
        <w:t>,</w:t>
      </w:r>
      <w:r w:rsidRPr="00F748D0">
        <w:t xml:space="preserve"> </w:t>
      </w:r>
      <w:r w:rsidR="000B3D33" w:rsidRPr="00F748D0">
        <w:t xml:space="preserve">a summative </w:t>
      </w:r>
      <w:r w:rsidR="00D009F8" w:rsidRPr="00F748D0">
        <w:t>c</w:t>
      </w:r>
      <w:r w:rsidRPr="00F748D0">
        <w:t>lassification and a visual scoring matrix classification)</w:t>
      </w:r>
      <w:r w:rsidR="00A655F4" w:rsidRPr="00F748D0">
        <w:t>;</w:t>
      </w:r>
      <w:r w:rsidR="000B3D33" w:rsidRPr="00F748D0">
        <w:t xml:space="preserve"> </w:t>
      </w:r>
      <w:r w:rsidR="006D5474" w:rsidRPr="00F748D0">
        <w:t xml:space="preserve">the other </w:t>
      </w:r>
      <w:r w:rsidR="000B3D33" w:rsidRPr="00F748D0">
        <w:t>supports a comparative evaluation between alternative products (i.e.</w:t>
      </w:r>
      <w:r w:rsidR="00A655F4" w:rsidRPr="00F748D0">
        <w:t>,</w:t>
      </w:r>
      <w:r w:rsidR="000B3D33" w:rsidRPr="00F748D0">
        <w:t xml:space="preserve"> a comparative classification). </w:t>
      </w:r>
      <w:r w:rsidR="00F45CDB" w:rsidRPr="00F748D0">
        <w:t>The methods and t</w:t>
      </w:r>
      <w:r w:rsidR="006576DC" w:rsidRPr="00F748D0">
        <w:t xml:space="preserve">he challenges </w:t>
      </w:r>
      <w:r w:rsidR="00E47644" w:rsidRPr="00F748D0">
        <w:t>to</w:t>
      </w:r>
      <w:r w:rsidR="006576DC" w:rsidRPr="00F748D0">
        <w:t xml:space="preserve"> implementing a </w:t>
      </w:r>
      <w:r w:rsidR="002E432A" w:rsidRPr="00F748D0">
        <w:t>benefit</w:t>
      </w:r>
      <w:r w:rsidR="006576DC" w:rsidRPr="00F748D0">
        <w:t xml:space="preserve">-risk assessment including environmental risk are </w:t>
      </w:r>
      <w:r w:rsidR="00F45CDB" w:rsidRPr="00F748D0">
        <w:t xml:space="preserve">presented </w:t>
      </w:r>
      <w:r w:rsidR="00E47644" w:rsidRPr="00F748D0">
        <w:t>herein;</w:t>
      </w:r>
      <w:r w:rsidR="006576DC" w:rsidRPr="00F748D0">
        <w:t xml:space="preserve"> how these concepts would work </w:t>
      </w:r>
      <w:r w:rsidR="007E477E" w:rsidRPr="00F748D0">
        <w:t xml:space="preserve">in current policy is discussed. Adaptability to scientific </w:t>
      </w:r>
      <w:r w:rsidR="00413FE0" w:rsidRPr="00F748D0">
        <w:t xml:space="preserve">and policy </w:t>
      </w:r>
      <w:r w:rsidR="007E477E" w:rsidRPr="00F748D0">
        <w:t xml:space="preserve">development is considered. </w:t>
      </w:r>
      <w:r w:rsidR="00E47644" w:rsidRPr="00F748D0">
        <w:t>This work is an initial step in the development of a</w:t>
      </w:r>
      <w:r w:rsidR="006576DC" w:rsidRPr="00F748D0">
        <w:t xml:space="preserve"> standardized methodology for integrated decision-making for VMPs. </w:t>
      </w:r>
    </w:p>
    <w:p w14:paraId="3F18AFF9" w14:textId="2B5106FD" w:rsidR="00C45E0A" w:rsidRPr="00F748D0" w:rsidRDefault="00C45E0A">
      <w:r w:rsidRPr="00F748D0">
        <w:rPr>
          <w:rStyle w:val="Heading1Char"/>
        </w:rPr>
        <w:t>Keywords (5):</w:t>
      </w:r>
      <w:r w:rsidRPr="00F748D0">
        <w:t xml:space="preserve"> veterinary medicinal products, benefit</w:t>
      </w:r>
      <w:r w:rsidR="00984D5C" w:rsidRPr="00F748D0">
        <w:t>-</w:t>
      </w:r>
      <w:r w:rsidRPr="00F748D0">
        <w:t>risk assessment, environmental risk, product auth</w:t>
      </w:r>
      <w:r w:rsidR="00F41BBD" w:rsidRPr="00F748D0">
        <w:t>orization, decision support</w:t>
      </w:r>
    </w:p>
    <w:p w14:paraId="16DDCF17" w14:textId="04CBD6F7" w:rsidR="00D01B8F" w:rsidRPr="00F748D0" w:rsidRDefault="00D01B8F" w:rsidP="00DA768F">
      <w:pPr>
        <w:ind w:left="0" w:firstLine="0"/>
        <w:sectPr w:rsidR="00D01B8F" w:rsidRPr="00F748D0" w:rsidSect="00E10DDD">
          <w:footerReference w:type="even" r:id="rId16"/>
          <w:footerReference w:type="default" r:id="rId17"/>
          <w:pgSz w:w="12240" w:h="15840"/>
          <w:pgMar w:top="1440" w:right="1800" w:bottom="1440" w:left="1800" w:header="708" w:footer="708" w:gutter="0"/>
          <w:lnNumType w:countBy="1" w:restart="continuous"/>
          <w:cols w:space="708"/>
          <w:docGrid w:linePitch="360"/>
        </w:sectPr>
      </w:pPr>
    </w:p>
    <w:p w14:paraId="3D200834" w14:textId="0D1F103B" w:rsidR="00CF298D" w:rsidRPr="00F748D0" w:rsidRDefault="00950D05" w:rsidP="00CB23A7">
      <w:pPr>
        <w:pStyle w:val="Heading1"/>
        <w:ind w:left="0" w:firstLine="568"/>
      </w:pPr>
      <w:r w:rsidRPr="00F748D0">
        <w:lastRenderedPageBreak/>
        <w:t>1.</w:t>
      </w:r>
      <w:r w:rsidRPr="00F748D0">
        <w:tab/>
      </w:r>
      <w:r w:rsidR="00CF298D" w:rsidRPr="00F748D0">
        <w:t>Introduction</w:t>
      </w:r>
    </w:p>
    <w:p w14:paraId="5A380CBC" w14:textId="6D3769E8" w:rsidR="00A87312" w:rsidRPr="00F748D0" w:rsidRDefault="00FD4F6C" w:rsidP="00BC1A3E">
      <w:r w:rsidRPr="00F748D0">
        <w:t>Large amounts of v</w:t>
      </w:r>
      <w:r w:rsidR="00965F44" w:rsidRPr="00F748D0">
        <w:t>eterinary medicinal product</w:t>
      </w:r>
      <w:r w:rsidR="0048543B" w:rsidRPr="00F748D0">
        <w:t>s</w:t>
      </w:r>
      <w:r w:rsidR="00A62D05" w:rsidRPr="00F748D0">
        <w:t xml:space="preserve"> (VMPs)</w:t>
      </w:r>
      <w:r w:rsidRPr="00F748D0">
        <w:t xml:space="preserve"> are</w:t>
      </w:r>
      <w:r w:rsidR="00A62D05" w:rsidRPr="00F748D0">
        <w:t xml:space="preserve"> </w:t>
      </w:r>
      <w:r w:rsidR="00B04B01" w:rsidRPr="00F748D0">
        <w:t>appli</w:t>
      </w:r>
      <w:r w:rsidR="0048543B" w:rsidRPr="00F748D0">
        <w:t>ed</w:t>
      </w:r>
      <w:r w:rsidR="009B25E5" w:rsidRPr="00F748D0">
        <w:t xml:space="preserve"> in agriculture</w:t>
      </w:r>
      <w:r w:rsidRPr="00F748D0">
        <w:t xml:space="preserve"> to prevent and treat diseases. In 2004 VMP usage in 25 European countries was estimated to be 6051 tonnes of active compounds in meat producing animals (Kools et al. 2008). </w:t>
      </w:r>
      <w:r w:rsidR="0019070D" w:rsidRPr="00F748D0">
        <w:t xml:space="preserve">European policies regulate VMPs to ensure product availability for disease management and maintenance of animal and human </w:t>
      </w:r>
      <w:r w:rsidR="008F46FE" w:rsidRPr="00F748D0">
        <w:t xml:space="preserve">health and </w:t>
      </w:r>
      <w:r w:rsidR="0019070D" w:rsidRPr="00F748D0">
        <w:t xml:space="preserve">welfare, while minimizing risks. </w:t>
      </w:r>
      <w:r w:rsidR="008F46FE" w:rsidRPr="00F748D0">
        <w:t>While t</w:t>
      </w:r>
      <w:r w:rsidRPr="00F748D0">
        <w:t>hese substance</w:t>
      </w:r>
      <w:r w:rsidR="00531BF2" w:rsidRPr="00F748D0">
        <w:t>s</w:t>
      </w:r>
      <w:r w:rsidR="00055E9C" w:rsidRPr="00F748D0">
        <w:t xml:space="preserve"> </w:t>
      </w:r>
      <w:r w:rsidR="00683045" w:rsidRPr="00F748D0">
        <w:t>ha</w:t>
      </w:r>
      <w:r w:rsidR="0048543B" w:rsidRPr="00F748D0">
        <w:t>ve</w:t>
      </w:r>
      <w:r w:rsidR="00683045" w:rsidRPr="00F748D0">
        <w:t xml:space="preserve"> benefits to</w:t>
      </w:r>
      <w:r w:rsidR="009B25E5" w:rsidRPr="00F748D0">
        <w:t xml:space="preserve"> animal </w:t>
      </w:r>
      <w:r w:rsidR="0094352A" w:rsidRPr="00F748D0">
        <w:t>and</w:t>
      </w:r>
      <w:r w:rsidR="00F41C99" w:rsidRPr="00F748D0">
        <w:t xml:space="preserve"> human</w:t>
      </w:r>
      <w:r w:rsidR="008F46FE" w:rsidRPr="00F748D0">
        <w:t>s</w:t>
      </w:r>
      <w:r w:rsidR="009B25E5" w:rsidRPr="00F748D0">
        <w:t xml:space="preserve"> </w:t>
      </w:r>
      <w:r w:rsidR="00A80E89" w:rsidRPr="00F748D0">
        <w:t>(e.g.,</w:t>
      </w:r>
      <w:r w:rsidR="008F46FE" w:rsidRPr="00F748D0">
        <w:t xml:space="preserve"> through the prevention of</w:t>
      </w:r>
      <w:r w:rsidR="00A80E89" w:rsidRPr="00F748D0">
        <w:t xml:space="preserve"> zoonotic diseases) </w:t>
      </w:r>
      <w:r w:rsidR="009B25E5" w:rsidRPr="00F748D0">
        <w:t xml:space="preserve">and </w:t>
      </w:r>
      <w:r w:rsidR="008F46FE" w:rsidRPr="00F748D0">
        <w:t>to the economy, they also</w:t>
      </w:r>
      <w:r w:rsidR="00D22BD5" w:rsidRPr="00F748D0">
        <w:t xml:space="preserve"> create </w:t>
      </w:r>
      <w:r w:rsidR="001D308E" w:rsidRPr="00F748D0">
        <w:t xml:space="preserve">a </w:t>
      </w:r>
      <w:r w:rsidR="00D22BD5" w:rsidRPr="00F748D0">
        <w:t xml:space="preserve">potential </w:t>
      </w:r>
      <w:r w:rsidR="0077465C" w:rsidRPr="00F748D0">
        <w:t xml:space="preserve">for </w:t>
      </w:r>
      <w:r w:rsidR="00D22BD5" w:rsidRPr="00F748D0">
        <w:t>environmental exposure</w:t>
      </w:r>
      <w:r w:rsidR="0077465C" w:rsidRPr="00F748D0">
        <w:t xml:space="preserve"> and </w:t>
      </w:r>
      <w:r w:rsidR="00391656" w:rsidRPr="00F748D0">
        <w:t xml:space="preserve">consequent </w:t>
      </w:r>
      <w:r w:rsidR="00683045" w:rsidRPr="00F748D0">
        <w:t>risk</w:t>
      </w:r>
      <w:r w:rsidR="009B25E5" w:rsidRPr="00F748D0">
        <w:t xml:space="preserve">. </w:t>
      </w:r>
    </w:p>
    <w:p w14:paraId="203B7540" w14:textId="4FB94061" w:rsidR="00BC1A3E" w:rsidRPr="00F748D0" w:rsidRDefault="00400281" w:rsidP="00BC1A3E">
      <w:r w:rsidRPr="00F748D0">
        <w:t>Post</w:t>
      </w:r>
      <w:r w:rsidR="00B17293" w:rsidRPr="00F748D0">
        <w:t>-</w:t>
      </w:r>
      <w:r w:rsidRPr="00F748D0">
        <w:t>application VMPs can reach the environment through a variety of pathways. Depending on the livestock system (i.e.</w:t>
      </w:r>
      <w:r w:rsidR="00A655F4" w:rsidRPr="00F748D0">
        <w:t>,</w:t>
      </w:r>
      <w:r w:rsidRPr="00F748D0">
        <w:t xml:space="preserve"> aquaculture, intensively-reared</w:t>
      </w:r>
      <w:r w:rsidR="00A655F4" w:rsidRPr="00F748D0">
        <w:t>,</w:t>
      </w:r>
      <w:r w:rsidRPr="00F748D0">
        <w:t xml:space="preserve"> or pasture)</w:t>
      </w:r>
      <w:r w:rsidR="00B17293" w:rsidRPr="00F748D0">
        <w:t>,</w:t>
      </w:r>
      <w:r w:rsidRPr="00F748D0">
        <w:t xml:space="preserve"> different routes </w:t>
      </w:r>
      <w:r w:rsidR="00FD4F6C" w:rsidRPr="00F748D0">
        <w:t xml:space="preserve">of entry </w:t>
      </w:r>
      <w:r w:rsidRPr="00F748D0">
        <w:t>(e.g.</w:t>
      </w:r>
      <w:r w:rsidR="00A655F4" w:rsidRPr="00F748D0">
        <w:t>,</w:t>
      </w:r>
      <w:r w:rsidRPr="00F748D0">
        <w:t xml:space="preserve"> </w:t>
      </w:r>
      <w:r w:rsidR="00391656" w:rsidRPr="00F748D0">
        <w:t>through manure or wash off) can</w:t>
      </w:r>
      <w:r w:rsidRPr="00F748D0">
        <w:t xml:space="preserve"> result in environmental</w:t>
      </w:r>
      <w:r w:rsidR="00EC22ED" w:rsidRPr="00F748D0">
        <w:t xml:space="preserve"> </w:t>
      </w:r>
      <w:r w:rsidR="00391656" w:rsidRPr="00F748D0">
        <w:t xml:space="preserve">exposure </w:t>
      </w:r>
      <w:r w:rsidR="00EC22ED" w:rsidRPr="00F748D0">
        <w:t>(</w:t>
      </w:r>
      <w:r w:rsidR="000978DE" w:rsidRPr="00F748D0">
        <w:t xml:space="preserve">VICH </w:t>
      </w:r>
      <w:r w:rsidR="00EC22ED" w:rsidRPr="00F748D0">
        <w:t>2004).</w:t>
      </w:r>
      <w:r w:rsidR="00337F15" w:rsidRPr="00F748D0">
        <w:t xml:space="preserve"> Exposure pathways are both direct (e.g.</w:t>
      </w:r>
      <w:r w:rsidR="00A655F4" w:rsidRPr="00F748D0">
        <w:t>,</w:t>
      </w:r>
      <w:r w:rsidR="00337F15" w:rsidRPr="00F748D0">
        <w:t xml:space="preserve"> topical application wash off) and indirect (e.g.</w:t>
      </w:r>
      <w:r w:rsidR="00A655F4" w:rsidRPr="00F748D0">
        <w:t>,</w:t>
      </w:r>
      <w:r w:rsidR="00337F15" w:rsidRPr="00F748D0">
        <w:t xml:space="preserve"> excretion and subsequent spreading</w:t>
      </w:r>
      <w:r w:rsidR="00B17293" w:rsidRPr="00F748D0">
        <w:t xml:space="preserve"> of dung and urine</w:t>
      </w:r>
      <w:r w:rsidR="00337F15" w:rsidRPr="00F748D0">
        <w:t>) (Boxall et al. 2003</w:t>
      </w:r>
      <w:r w:rsidR="009F276C" w:rsidRPr="00F748D0">
        <w:t>)</w:t>
      </w:r>
      <w:r w:rsidR="000B5705" w:rsidRPr="00F748D0">
        <w:t xml:space="preserve">. </w:t>
      </w:r>
      <w:r w:rsidR="000978DE" w:rsidRPr="00F748D0">
        <w:t>Environmental m</w:t>
      </w:r>
      <w:r w:rsidR="00391656" w:rsidRPr="00F748D0">
        <w:t>onitoring has</w:t>
      </w:r>
      <w:r w:rsidR="00BC1A3E" w:rsidRPr="00F748D0">
        <w:t xml:space="preserve"> </w:t>
      </w:r>
      <w:r w:rsidR="00391656" w:rsidRPr="00F748D0">
        <w:t xml:space="preserve">detected </w:t>
      </w:r>
      <w:r w:rsidR="002931DE" w:rsidRPr="00F748D0">
        <w:t xml:space="preserve">a range of active ingredients used in </w:t>
      </w:r>
      <w:r w:rsidR="00391656" w:rsidRPr="00F748D0">
        <w:t>VMPs across the globe</w:t>
      </w:r>
      <w:r w:rsidR="002039CF" w:rsidRPr="00F748D0">
        <w:t xml:space="preserve"> (</w:t>
      </w:r>
      <w:r w:rsidR="00AF53DA" w:rsidRPr="00F748D0">
        <w:t xml:space="preserve">Boxall et al. 2004; </w:t>
      </w:r>
      <w:r w:rsidR="004B65BE" w:rsidRPr="00F748D0">
        <w:t>S</w:t>
      </w:r>
      <w:r w:rsidR="002039CF" w:rsidRPr="00F748D0">
        <w:t>armah et al. 2006</w:t>
      </w:r>
      <w:r w:rsidR="00C705A7" w:rsidRPr="00F748D0">
        <w:t xml:space="preserve">; </w:t>
      </w:r>
      <w:r w:rsidR="00385452" w:rsidRPr="00F748D0">
        <w:t>Obimakinde et al. 2017</w:t>
      </w:r>
      <w:r w:rsidR="000252D7" w:rsidRPr="00F748D0">
        <w:t>)</w:t>
      </w:r>
      <w:r w:rsidR="002039CF" w:rsidRPr="00F748D0">
        <w:t xml:space="preserve">. </w:t>
      </w:r>
    </w:p>
    <w:p w14:paraId="01645DE7" w14:textId="0673DF7B" w:rsidR="009D6038" w:rsidRPr="00F748D0" w:rsidRDefault="00FD4F6C" w:rsidP="00BC1A3E">
      <w:r w:rsidRPr="00F748D0">
        <w:t xml:space="preserve">The anticipated exposure of the natural environment to </w:t>
      </w:r>
      <w:r w:rsidR="009D6038" w:rsidRPr="00F748D0">
        <w:t>VMP</w:t>
      </w:r>
      <w:r w:rsidRPr="00F748D0">
        <w:t>s has led to a number of</w:t>
      </w:r>
      <w:r w:rsidR="00206765" w:rsidRPr="00F748D0">
        <w:t xml:space="preserve"> investigation</w:t>
      </w:r>
      <w:r w:rsidRPr="00F748D0">
        <w:t>s</w:t>
      </w:r>
      <w:r w:rsidR="00206765" w:rsidRPr="00F748D0">
        <w:t xml:space="preserve"> to understand the environmental risks</w:t>
      </w:r>
      <w:r w:rsidR="005031DA" w:rsidRPr="00F748D0">
        <w:t xml:space="preserve"> </w:t>
      </w:r>
      <w:r w:rsidRPr="00F748D0">
        <w:t>of these substances</w:t>
      </w:r>
      <w:r w:rsidR="009D6038" w:rsidRPr="00F748D0">
        <w:t xml:space="preserve">. Toxic effects have been </w:t>
      </w:r>
      <w:r w:rsidR="001D308E" w:rsidRPr="00F748D0">
        <w:t xml:space="preserve">shown for a range of VMPs in both </w:t>
      </w:r>
      <w:r w:rsidR="009D6038" w:rsidRPr="00F748D0">
        <w:t>aquatic and terrestrial organisms (Boxall et al. 2004; Lumaret et al. 2012; Pan and Chu 2016; Obimakinde et al. 2017)</w:t>
      </w:r>
      <w:r w:rsidR="00A87312" w:rsidRPr="00F748D0">
        <w:t xml:space="preserve"> and biomagnification of VMPs is </w:t>
      </w:r>
      <w:r w:rsidRPr="00F748D0">
        <w:t xml:space="preserve">also </w:t>
      </w:r>
      <w:r w:rsidR="00A87312" w:rsidRPr="00F748D0">
        <w:t>a possibility (Obimakinde et al. 2017)</w:t>
      </w:r>
      <w:r w:rsidR="009D6038" w:rsidRPr="00F748D0">
        <w:t xml:space="preserve">. </w:t>
      </w:r>
      <w:r w:rsidR="00B17293" w:rsidRPr="00F748D0">
        <w:t>Further, t</w:t>
      </w:r>
      <w:r w:rsidR="009D6038" w:rsidRPr="00F748D0">
        <w:t xml:space="preserve">here is increasing </w:t>
      </w:r>
      <w:r w:rsidR="005322AA" w:rsidRPr="00F748D0">
        <w:t xml:space="preserve">concern and </w:t>
      </w:r>
      <w:r w:rsidR="009D6038" w:rsidRPr="00F748D0">
        <w:t xml:space="preserve">evidence </w:t>
      </w:r>
      <w:r w:rsidR="005322AA" w:rsidRPr="00F748D0">
        <w:t>for the</w:t>
      </w:r>
      <w:r w:rsidR="00722293" w:rsidRPr="00F748D0">
        <w:t xml:space="preserve"> selection an</w:t>
      </w:r>
      <w:r w:rsidR="00413FE0" w:rsidRPr="00F748D0">
        <w:t>d</w:t>
      </w:r>
      <w:r w:rsidR="00722293" w:rsidRPr="00F748D0">
        <w:t xml:space="preserve"> dissemination of</w:t>
      </w:r>
      <w:r w:rsidR="00583894" w:rsidRPr="00F748D0">
        <w:t xml:space="preserve"> </w:t>
      </w:r>
      <w:r w:rsidR="009D6038" w:rsidRPr="00F748D0">
        <w:t xml:space="preserve">antimicrobial resistance </w:t>
      </w:r>
      <w:r w:rsidR="00722293" w:rsidRPr="00F748D0">
        <w:t xml:space="preserve">in the natural environment </w:t>
      </w:r>
      <w:r w:rsidR="009D6038" w:rsidRPr="00F748D0">
        <w:t>from</w:t>
      </w:r>
      <w:r w:rsidRPr="00F748D0">
        <w:t xml:space="preserve"> the use of antimicrobial compounds as</w:t>
      </w:r>
      <w:r w:rsidR="009D6038" w:rsidRPr="00F748D0">
        <w:t xml:space="preserve"> VMP</w:t>
      </w:r>
      <w:r w:rsidRPr="00F748D0">
        <w:t>s</w:t>
      </w:r>
      <w:r w:rsidR="00413FE0" w:rsidRPr="00F748D0">
        <w:t xml:space="preserve"> (</w:t>
      </w:r>
      <w:r w:rsidR="000A4490" w:rsidRPr="00F748D0">
        <w:t xml:space="preserve">Kemper 2008; </w:t>
      </w:r>
      <w:r w:rsidR="00413FE0" w:rsidRPr="00F748D0">
        <w:t xml:space="preserve">Marshall and Levy 2011). </w:t>
      </w:r>
      <w:r w:rsidR="00A52390" w:rsidRPr="00F748D0">
        <w:t>If environmental risks are not avoided impacts can occur and damages can be costly.</w:t>
      </w:r>
    </w:p>
    <w:p w14:paraId="3C2B7128" w14:textId="2FFFF417" w:rsidR="00A655F4" w:rsidRPr="00F748D0" w:rsidRDefault="001259F5" w:rsidP="009A55A1">
      <w:r w:rsidRPr="00F748D0">
        <w:t>While there are a large number of studies reporting the potential adverse impacts of VMPs on the environment, we have identified on t</w:t>
      </w:r>
      <w:r w:rsidR="00813635" w:rsidRPr="00F748D0">
        <w:t xml:space="preserve">wo </w:t>
      </w:r>
      <w:r w:rsidRPr="00F748D0">
        <w:t>case studies where an attempt has been made to link predicted or observed</w:t>
      </w:r>
      <w:r w:rsidR="00813635" w:rsidRPr="00F748D0">
        <w:t xml:space="preserve"> VMP impacts in the natural environment</w:t>
      </w:r>
      <w:r w:rsidR="00113F36" w:rsidRPr="00F748D0">
        <w:t xml:space="preserve"> </w:t>
      </w:r>
      <w:r w:rsidRPr="00F748D0">
        <w:t>to</w:t>
      </w:r>
      <w:r w:rsidR="00BB02AA" w:rsidRPr="00F748D0">
        <w:t xml:space="preserve"> </w:t>
      </w:r>
      <w:r w:rsidR="00813635" w:rsidRPr="00F748D0">
        <w:t xml:space="preserve">economic costs. </w:t>
      </w:r>
      <w:r w:rsidRPr="00F748D0">
        <w:t>In the first case, d</w:t>
      </w:r>
      <w:r w:rsidR="00AF50AC" w:rsidRPr="00F748D0">
        <w:t>iclofenac</w:t>
      </w:r>
      <w:r w:rsidR="00FD4F6C" w:rsidRPr="00F748D0">
        <w:t xml:space="preserve">, </w:t>
      </w:r>
      <w:r w:rsidR="00896B25" w:rsidRPr="00F748D0">
        <w:t>a non-steroidal anti</w:t>
      </w:r>
      <w:r w:rsidR="00A655F4" w:rsidRPr="00F748D0">
        <w:t>-</w:t>
      </w:r>
      <w:r w:rsidR="00896B25" w:rsidRPr="00F748D0">
        <w:t>inflamm</w:t>
      </w:r>
      <w:r w:rsidR="00AF50AC" w:rsidRPr="00F748D0">
        <w:t>atory drug</w:t>
      </w:r>
      <w:r w:rsidR="00FD4F6C" w:rsidRPr="00F748D0">
        <w:t xml:space="preserve">, </w:t>
      </w:r>
      <w:r w:rsidR="00A655F4" w:rsidRPr="00F748D0">
        <w:t>applied to</w:t>
      </w:r>
      <w:r w:rsidR="00AF50AC" w:rsidRPr="00F748D0">
        <w:t xml:space="preserve"> cattle in</w:t>
      </w:r>
      <w:r w:rsidR="00EA21B4" w:rsidRPr="00F748D0">
        <w:t xml:space="preserve"> </w:t>
      </w:r>
      <w:r w:rsidR="00896B25" w:rsidRPr="00F748D0">
        <w:t>India caused a 99% decrease in Indian Vulture populations</w:t>
      </w:r>
      <w:r w:rsidR="006B6716" w:rsidRPr="00F748D0">
        <w:t xml:space="preserve"> (Green et al. 2004</w:t>
      </w:r>
      <w:r w:rsidR="00A655F4" w:rsidRPr="00F748D0">
        <w:t>,</w:t>
      </w:r>
      <w:r w:rsidR="006B6716" w:rsidRPr="00F748D0">
        <w:t xml:space="preserve"> 2007).</w:t>
      </w:r>
      <w:r w:rsidR="00896B25" w:rsidRPr="00F748D0">
        <w:t xml:space="preserve"> </w:t>
      </w:r>
      <w:r w:rsidR="00EA21B4" w:rsidRPr="00F748D0">
        <w:t>Th</w:t>
      </w:r>
      <w:r w:rsidR="00FD4F6C" w:rsidRPr="00F748D0">
        <w:t>is</w:t>
      </w:r>
      <w:r w:rsidR="00EA21B4" w:rsidRPr="00F748D0">
        <w:t xml:space="preserve"> decline of the vulture population</w:t>
      </w:r>
      <w:r w:rsidR="00FD4F6C" w:rsidRPr="00F748D0">
        <w:t>s</w:t>
      </w:r>
      <w:r w:rsidR="00EA21B4" w:rsidRPr="00F748D0">
        <w:t xml:space="preserve"> increased the food available </w:t>
      </w:r>
      <w:r w:rsidR="00A825DB" w:rsidRPr="00F748D0">
        <w:t>to dog populations; t</w:t>
      </w:r>
      <w:r w:rsidR="00EA21B4" w:rsidRPr="00F748D0">
        <w:t>her</w:t>
      </w:r>
      <w:r w:rsidR="00A825DB" w:rsidRPr="00F748D0">
        <w:t>efore, dog populations grew</w:t>
      </w:r>
      <w:r w:rsidR="00A87312" w:rsidRPr="00F748D0">
        <w:t xml:space="preserve"> as did rabid dog bites</w:t>
      </w:r>
      <w:r w:rsidR="00A825DB" w:rsidRPr="00F748D0">
        <w:t xml:space="preserve">. </w:t>
      </w:r>
      <w:r w:rsidR="00A87312" w:rsidRPr="00F748D0">
        <w:t xml:space="preserve">Estimated </w:t>
      </w:r>
      <w:r w:rsidR="00EA21B4" w:rsidRPr="00F748D0">
        <w:t xml:space="preserve">medical expenses from rabid dog bites </w:t>
      </w:r>
      <w:r w:rsidR="00CE2102" w:rsidRPr="00F748D0">
        <w:t xml:space="preserve">of </w:t>
      </w:r>
      <w:r w:rsidR="00A655F4" w:rsidRPr="00F748D0">
        <w:t>US</w:t>
      </w:r>
      <w:r w:rsidR="00CE2102" w:rsidRPr="00F748D0">
        <w:t>$34 billion w</w:t>
      </w:r>
      <w:r w:rsidR="00595317" w:rsidRPr="00F748D0">
        <w:t>ere</w:t>
      </w:r>
      <w:r w:rsidR="00FD4F6C" w:rsidRPr="00F748D0">
        <w:t xml:space="preserve"> thought to have been</w:t>
      </w:r>
      <w:r w:rsidR="00595317" w:rsidRPr="00F748D0">
        <w:t xml:space="preserve"> incurred </w:t>
      </w:r>
      <w:r w:rsidR="00CE2102" w:rsidRPr="00F748D0">
        <w:t xml:space="preserve">over </w:t>
      </w:r>
      <w:r w:rsidR="00595317" w:rsidRPr="00F748D0">
        <w:t xml:space="preserve">the 14 years of </w:t>
      </w:r>
      <w:r w:rsidR="00FD4F6C" w:rsidRPr="00F748D0">
        <w:t xml:space="preserve">the </w:t>
      </w:r>
      <w:r w:rsidR="00595317" w:rsidRPr="00F748D0">
        <w:t>vulture population decline (Markandya et al. 2008</w:t>
      </w:r>
      <w:r w:rsidR="009A55A1" w:rsidRPr="00F748D0">
        <w:t>).</w:t>
      </w:r>
      <w:r w:rsidR="00AC5313" w:rsidRPr="00F748D0">
        <w:t xml:space="preserve"> </w:t>
      </w:r>
      <w:r w:rsidR="00827923" w:rsidRPr="00F748D0">
        <w:t>T</w:t>
      </w:r>
      <w:r w:rsidRPr="00F748D0">
        <w:t xml:space="preserve">he second </w:t>
      </w:r>
      <w:r w:rsidR="00A655F4" w:rsidRPr="00F748D0">
        <w:t>example</w:t>
      </w:r>
      <w:r w:rsidR="00A825DB" w:rsidRPr="00F748D0">
        <w:t xml:space="preserve"> </w:t>
      </w:r>
      <w:r w:rsidRPr="00F748D0">
        <w:t>is</w:t>
      </w:r>
      <w:r w:rsidR="00595317" w:rsidRPr="00F748D0">
        <w:t xml:space="preserve"> </w:t>
      </w:r>
      <w:r w:rsidR="00A825DB" w:rsidRPr="00F748D0">
        <w:t xml:space="preserve">ivermectin, </w:t>
      </w:r>
      <w:r w:rsidR="008B6A38" w:rsidRPr="00F748D0">
        <w:t xml:space="preserve">a </w:t>
      </w:r>
      <w:r w:rsidR="009734FC" w:rsidRPr="00F748D0">
        <w:t>parasiticide</w:t>
      </w:r>
      <w:r w:rsidR="00A655F4" w:rsidRPr="00F748D0">
        <w:t xml:space="preserve">, whose use </w:t>
      </w:r>
      <w:r w:rsidRPr="00F748D0">
        <w:t xml:space="preserve">is thought to </w:t>
      </w:r>
      <w:r w:rsidR="00A655F4" w:rsidRPr="00F748D0">
        <w:t>pose</w:t>
      </w:r>
      <w:r w:rsidRPr="00F748D0">
        <w:t xml:space="preserve"> </w:t>
      </w:r>
      <w:proofErr w:type="gramStart"/>
      <w:r w:rsidRPr="00F748D0">
        <w:t>an unacceptable</w:t>
      </w:r>
      <w:r w:rsidR="00A655F4" w:rsidRPr="00F748D0">
        <w:t xml:space="preserve"> risks</w:t>
      </w:r>
      <w:proofErr w:type="gramEnd"/>
      <w:r w:rsidR="00A655F4" w:rsidRPr="00F748D0">
        <w:t xml:space="preserve"> to</w:t>
      </w:r>
      <w:r w:rsidR="00763C7F" w:rsidRPr="00F748D0">
        <w:t xml:space="preserve"> </w:t>
      </w:r>
      <w:r w:rsidR="00A655F4" w:rsidRPr="00F748D0">
        <w:t>aquatic and terrestrial biota</w:t>
      </w:r>
      <w:r w:rsidR="00763C7F" w:rsidRPr="00F748D0">
        <w:t xml:space="preserve"> (Liebig et al. 2010). </w:t>
      </w:r>
      <w:r w:rsidR="008B6A38" w:rsidRPr="00F748D0">
        <w:t>Of specific</w:t>
      </w:r>
      <w:r w:rsidR="00A87312" w:rsidRPr="00F748D0">
        <w:t xml:space="preserve"> terrestrial</w:t>
      </w:r>
      <w:r w:rsidR="008B6A38" w:rsidRPr="00F748D0">
        <w:t xml:space="preserve"> concern </w:t>
      </w:r>
      <w:r w:rsidR="00FD4F6C" w:rsidRPr="00F748D0">
        <w:t xml:space="preserve">for this compound </w:t>
      </w:r>
      <w:r w:rsidR="008B6A38" w:rsidRPr="00F748D0">
        <w:t xml:space="preserve">is the dung </w:t>
      </w:r>
      <w:r w:rsidR="009734FC" w:rsidRPr="00F748D0">
        <w:t>beetle</w:t>
      </w:r>
      <w:r w:rsidR="001D6295" w:rsidRPr="00F748D0">
        <w:t xml:space="preserve">. </w:t>
      </w:r>
      <w:r w:rsidR="00A655F4" w:rsidRPr="00F748D0">
        <w:t>I</w:t>
      </w:r>
      <w:r w:rsidR="001D6295" w:rsidRPr="00F748D0">
        <w:t xml:space="preserve">vermectin is excreted in dung at </w:t>
      </w:r>
      <w:r w:rsidR="00A655F4" w:rsidRPr="00F748D0">
        <w:t>concentration</w:t>
      </w:r>
      <w:r w:rsidR="001D6295" w:rsidRPr="00F748D0">
        <w:t xml:space="preserve">s that are toxic to dung beetles (Floate et al. 2005). </w:t>
      </w:r>
      <w:r w:rsidR="00B15B44" w:rsidRPr="00F748D0">
        <w:t>Depletion of dung beetle</w:t>
      </w:r>
      <w:r w:rsidR="00A655F4" w:rsidRPr="00F748D0">
        <w:t xml:space="preserve"> populations</w:t>
      </w:r>
      <w:r w:rsidR="00B15B44" w:rsidRPr="00F748D0">
        <w:t xml:space="preserve"> has </w:t>
      </w:r>
      <w:r w:rsidR="000C5F90" w:rsidRPr="00F748D0">
        <w:t xml:space="preserve">potential for </w:t>
      </w:r>
      <w:r w:rsidR="00B15B44" w:rsidRPr="00F748D0">
        <w:t>knock</w:t>
      </w:r>
      <w:r w:rsidR="00A655F4" w:rsidRPr="00F748D0">
        <w:t>-</w:t>
      </w:r>
      <w:r w:rsidR="00B15B44" w:rsidRPr="00F748D0">
        <w:t xml:space="preserve">on effects </w:t>
      </w:r>
      <w:r w:rsidR="00A655F4" w:rsidRPr="00F748D0">
        <w:t>to</w:t>
      </w:r>
      <w:r w:rsidR="00B15B44" w:rsidRPr="00F748D0">
        <w:t xml:space="preserve"> </w:t>
      </w:r>
      <w:r w:rsidR="00AD060D" w:rsidRPr="00F748D0">
        <w:t>predator</w:t>
      </w:r>
      <w:r w:rsidR="00B15B44" w:rsidRPr="00F748D0">
        <w:t xml:space="preserve"> species and </w:t>
      </w:r>
      <w:r w:rsidR="00A87312" w:rsidRPr="00F748D0">
        <w:t>a</w:t>
      </w:r>
      <w:r w:rsidR="00B15B44" w:rsidRPr="00F748D0">
        <w:t>ffect</w:t>
      </w:r>
      <w:r w:rsidR="009734FC" w:rsidRPr="00F748D0">
        <w:t>s</w:t>
      </w:r>
      <w:r w:rsidR="00B15B44" w:rsidRPr="00F748D0">
        <w:t xml:space="preserve"> dung degradation (Floate et al. 2005). </w:t>
      </w:r>
      <w:r w:rsidR="00A655F4" w:rsidRPr="00F748D0">
        <w:t>F</w:t>
      </w:r>
      <w:r w:rsidR="00395949" w:rsidRPr="00F748D0">
        <w:t>ood availability is increased when dung degrade</w:t>
      </w:r>
      <w:r w:rsidR="00A655F4" w:rsidRPr="00F748D0">
        <w:t>s</w:t>
      </w:r>
      <w:r w:rsidR="00395949" w:rsidRPr="00F748D0">
        <w:t xml:space="preserve"> and grass is no longer fouled. </w:t>
      </w:r>
      <w:r w:rsidR="00A655F4" w:rsidRPr="00F748D0">
        <w:t>D</w:t>
      </w:r>
      <w:r w:rsidR="00AD16ED" w:rsidRPr="00F748D0">
        <w:t xml:space="preserve">ung degradation supports </w:t>
      </w:r>
      <w:r w:rsidR="00395949" w:rsidRPr="00F748D0">
        <w:t xml:space="preserve">nitrogen </w:t>
      </w:r>
      <w:r w:rsidR="009734FC" w:rsidRPr="00F748D0">
        <w:t>volatilization</w:t>
      </w:r>
      <w:r w:rsidR="00395949" w:rsidRPr="00F748D0">
        <w:t xml:space="preserve"> </w:t>
      </w:r>
      <w:r w:rsidR="00AD16ED" w:rsidRPr="00F748D0">
        <w:t>and the</w:t>
      </w:r>
      <w:r w:rsidR="00395949" w:rsidRPr="00F748D0">
        <w:t xml:space="preserve"> </w:t>
      </w:r>
      <w:r w:rsidR="000C5F90" w:rsidRPr="00F748D0">
        <w:t>availability</w:t>
      </w:r>
      <w:r w:rsidR="00395949" w:rsidRPr="00F748D0">
        <w:t xml:space="preserve"> of nitrogen for plants. </w:t>
      </w:r>
      <w:r w:rsidR="00693E5B" w:rsidRPr="00F748D0">
        <w:t xml:space="preserve">The ecosystem services provided by dung beetles from dung degradation was estimated by Losey and Vaughan (2006) at US$38 million per year in the United States. </w:t>
      </w:r>
      <w:r w:rsidR="00EF2705" w:rsidRPr="00F748D0">
        <w:t>Toxic effects to dung beetles have potential to result in the loss of valuable ecosystem services</w:t>
      </w:r>
      <w:r w:rsidR="009C6578" w:rsidRPr="00F748D0">
        <w:t>.</w:t>
      </w:r>
    </w:p>
    <w:p w14:paraId="1A52B4C2" w14:textId="78B78ECD" w:rsidR="004C736A" w:rsidRPr="00F748D0" w:rsidRDefault="00011E75" w:rsidP="002B7949">
      <w:r w:rsidRPr="00F748D0">
        <w:t>Avoidance of</w:t>
      </w:r>
      <w:r w:rsidR="00185228" w:rsidRPr="00F748D0">
        <w:t xml:space="preserve"> costly environmental damage</w:t>
      </w:r>
      <w:r w:rsidR="00651AA4" w:rsidRPr="00F748D0">
        <w:t xml:space="preserve"> from VMPs </w:t>
      </w:r>
      <w:r w:rsidR="00654D38" w:rsidRPr="00F748D0">
        <w:t xml:space="preserve">is supported </w:t>
      </w:r>
      <w:r w:rsidR="002B7949" w:rsidRPr="00F748D0">
        <w:t xml:space="preserve">through </w:t>
      </w:r>
      <w:r w:rsidR="00651AA4" w:rsidRPr="00F748D0">
        <w:t xml:space="preserve">the </w:t>
      </w:r>
      <w:r w:rsidR="002B7949" w:rsidRPr="00F748D0">
        <w:t>market</w:t>
      </w:r>
      <w:r w:rsidR="00654D38" w:rsidRPr="00F748D0">
        <w:t xml:space="preserve"> </w:t>
      </w:r>
      <w:r w:rsidR="00651AA4" w:rsidRPr="00F748D0">
        <w:t>authorisation process for new products</w:t>
      </w:r>
      <w:r w:rsidR="0054394E" w:rsidRPr="00F748D0">
        <w:t xml:space="preserve">. </w:t>
      </w:r>
      <w:r w:rsidR="002B7949" w:rsidRPr="00F748D0">
        <w:t xml:space="preserve">Authorization authorities within Europe are responsible for the evaluation of VMPs seeking </w:t>
      </w:r>
      <w:r w:rsidR="00651AA4" w:rsidRPr="00F748D0">
        <w:t xml:space="preserve">access to the </w:t>
      </w:r>
      <w:r w:rsidR="002B7949" w:rsidRPr="00F748D0">
        <w:t xml:space="preserve">market. The decision </w:t>
      </w:r>
      <w:r w:rsidR="00651AA4" w:rsidRPr="00F748D0">
        <w:t xml:space="preserve">as </w:t>
      </w:r>
      <w:r w:rsidR="002B7949" w:rsidRPr="00F748D0">
        <w:t>to</w:t>
      </w:r>
      <w:r w:rsidR="00651AA4" w:rsidRPr="00F748D0">
        <w:t xml:space="preserve"> whether to</w:t>
      </w:r>
      <w:r w:rsidR="002B7949" w:rsidRPr="00F748D0">
        <w:t xml:space="preserve"> authorize a VMP </w:t>
      </w:r>
      <w:r w:rsidR="00651AA4" w:rsidRPr="00F748D0">
        <w:t xml:space="preserve">or not </w:t>
      </w:r>
      <w:r w:rsidR="002B7949" w:rsidRPr="00F748D0">
        <w:t>will require that</w:t>
      </w:r>
      <w:r w:rsidR="00651AA4" w:rsidRPr="00F748D0">
        <w:t xml:space="preserve"> the benefits of the VMP are weighed up against the risks in a Benefit Risk Assessment</w:t>
      </w:r>
      <w:r w:rsidR="002B7949" w:rsidRPr="00F748D0">
        <w:t>.</w:t>
      </w:r>
      <w:r w:rsidR="00CF7C7F" w:rsidRPr="00F748D0">
        <w:t xml:space="preserve"> Considering that risk cannot </w:t>
      </w:r>
      <w:r w:rsidR="00C0153C" w:rsidRPr="00F748D0">
        <w:t>be</w:t>
      </w:r>
      <w:r w:rsidR="00CF7C7F" w:rsidRPr="00F748D0">
        <w:t xml:space="preserve"> fully eliminated the benefit-risk </w:t>
      </w:r>
      <w:r w:rsidR="00B87926" w:rsidRPr="00F748D0">
        <w:t xml:space="preserve">assessment </w:t>
      </w:r>
      <w:r w:rsidR="00D3423E" w:rsidRPr="00F748D0">
        <w:t xml:space="preserve">is a balance between benefit and risk trade-offs. </w:t>
      </w:r>
      <w:r w:rsidR="00B554F4" w:rsidRPr="00F748D0">
        <w:t xml:space="preserve">Environmental risks can therefore be considered acceptable given a VMPs benefit. </w:t>
      </w:r>
      <w:r w:rsidR="00651AA4" w:rsidRPr="00F748D0">
        <w:t>However, t</w:t>
      </w:r>
      <w:r w:rsidR="001842B5" w:rsidRPr="00F748D0">
        <w:t xml:space="preserve">he current guidelines on VMP benefit-risk are not clear on how this trade-off should be evaluated (CVMP 2009). </w:t>
      </w:r>
    </w:p>
    <w:p w14:paraId="00EE8183" w14:textId="1D8FB185" w:rsidR="00CC138A" w:rsidRPr="00F748D0" w:rsidRDefault="001C6BDF" w:rsidP="00CC138A">
      <w:r w:rsidRPr="00F748D0">
        <w:t>Integrating</w:t>
      </w:r>
      <w:r w:rsidR="004C5C9C" w:rsidRPr="00F748D0">
        <w:t xml:space="preserve"> environmental risk and benefits data f</w:t>
      </w:r>
      <w:r w:rsidRPr="00F748D0">
        <w:t>or VMPs in decision-making will support VMP use when the benefits are greater than the risks</w:t>
      </w:r>
      <w:r w:rsidR="004C5C9C" w:rsidRPr="00F748D0">
        <w:t xml:space="preserve">. </w:t>
      </w:r>
      <w:r w:rsidR="00B17293" w:rsidRPr="00F748D0">
        <w:t>At present, environmental risks are not comparable to therapeutic benefits. There is no standardized approach</w:t>
      </w:r>
      <w:r w:rsidR="00A87312" w:rsidRPr="00F748D0">
        <w:t xml:space="preserve"> or method</w:t>
      </w:r>
      <w:r w:rsidR="00B17293" w:rsidRPr="00F748D0">
        <w:t xml:space="preserve"> to compare both environmental risks and therapeutic benefits. Here, after providing background information on the current regulatory process, we describe three </w:t>
      </w:r>
      <w:r w:rsidR="00A87312" w:rsidRPr="00F748D0">
        <w:t>methods</w:t>
      </w:r>
      <w:r w:rsidR="00B17293" w:rsidRPr="00F748D0">
        <w:t xml:space="preserve"> that could be applied to incorporate environmental risk into the benefit-risk assessment of VMPs, specifically methods that can be applied using data mainly generated for market authorization assessments. We also broadly discuss implementing benefit-risk methodologies in the current legislative framework a</w:t>
      </w:r>
      <w:r w:rsidR="00CC138A" w:rsidRPr="00F748D0">
        <w:t>nd possible future directions.</w:t>
      </w:r>
    </w:p>
    <w:p w14:paraId="0EAAE2CD" w14:textId="0C59963C" w:rsidR="00B17293" w:rsidRPr="00F748D0" w:rsidRDefault="00CC138A" w:rsidP="00CC138A">
      <w:pPr>
        <w:rPr>
          <w:b/>
        </w:rPr>
      </w:pPr>
      <w:r w:rsidRPr="00F748D0">
        <w:rPr>
          <w:b/>
        </w:rPr>
        <w:t>2.</w:t>
      </w:r>
      <w:r w:rsidRPr="00F748D0">
        <w:rPr>
          <w:b/>
        </w:rPr>
        <w:tab/>
      </w:r>
      <w:r w:rsidR="00B17293" w:rsidRPr="00F748D0">
        <w:rPr>
          <w:b/>
        </w:rPr>
        <w:t>Background</w:t>
      </w:r>
    </w:p>
    <w:p w14:paraId="6D641F52" w14:textId="48E61FA4" w:rsidR="000B123D" w:rsidRPr="00F748D0" w:rsidRDefault="000B123D" w:rsidP="00EA21B4">
      <w:r w:rsidRPr="00F748D0">
        <w:t xml:space="preserve">In the EU there are </w:t>
      </w:r>
      <w:r w:rsidR="00344B70" w:rsidRPr="00F748D0">
        <w:t>four</w:t>
      </w:r>
      <w:r w:rsidRPr="00F748D0">
        <w:t xml:space="preserve"> VMP authorization pathways (i.e. centralized, decentralized, national, and mutually recognized) (European Parliament 2004a). For centrally authorized products the</w:t>
      </w:r>
      <w:r w:rsidR="00344B70" w:rsidRPr="00F748D0">
        <w:t xml:space="preserve"> European Medicines Agency’s (EMA) Committee for Veterinary Medicinal Products (</w:t>
      </w:r>
      <w:r w:rsidRPr="00F748D0">
        <w:t>CVMP</w:t>
      </w:r>
      <w:r w:rsidR="00344B70" w:rsidRPr="00F748D0">
        <w:t>)</w:t>
      </w:r>
      <w:r w:rsidRPr="00F748D0">
        <w:t xml:space="preserve"> will review applications and advise to authorize or reject authorization (Commission Regulation (EC) No 726/2004 (European Parliament 2004b)). Centrally authorized products have access to the current 28 member states and 3 European Economic Area countries. All 31 countries have their own competent authorities (EMA 2017). Decisions for decentralized, national, and mutually recognized processes will involve the competent authorities of the member state for which applicants are seeking market access (European Parliament 2004a). </w:t>
      </w:r>
    </w:p>
    <w:p w14:paraId="3F1510EF" w14:textId="2B722ECF" w:rsidR="00A4080E" w:rsidRPr="00F748D0" w:rsidRDefault="000B123D" w:rsidP="00EA21B4">
      <w:r w:rsidRPr="00F748D0">
        <w:t>All VMP</w:t>
      </w:r>
      <w:r w:rsidR="00792D22" w:rsidRPr="00F748D0">
        <w:t xml:space="preserve"> market authorization process</w:t>
      </w:r>
      <w:r w:rsidRPr="00F748D0">
        <w:t>es</w:t>
      </w:r>
      <w:r w:rsidR="00792D22" w:rsidRPr="00F748D0">
        <w:t xml:space="preserve"> require </w:t>
      </w:r>
      <w:r w:rsidR="00A87312" w:rsidRPr="00F748D0">
        <w:t xml:space="preserve">that </w:t>
      </w:r>
      <w:r w:rsidR="00792D22" w:rsidRPr="00F748D0">
        <w:t xml:space="preserve">environmental risk be included in the benefit-risk assessment (Directive 2001/82/EC, as amended by </w:t>
      </w:r>
      <w:r w:rsidR="00792D22" w:rsidRPr="00B31D6D">
        <w:t xml:space="preserve">Directive 2004/28/EC (European Parliament 2004a)). </w:t>
      </w:r>
      <w:r w:rsidR="00B31D6D" w:rsidRPr="00B31D6D">
        <w:t>Consideration of the environmental risks of VMPs in the authorization</w:t>
      </w:r>
      <w:r w:rsidR="008940B6">
        <w:t xml:space="preserve"> process was established in 1990 (Directive 90/676/EEC (European Parliament 1990</w:t>
      </w:r>
      <w:r w:rsidR="00B31D6D" w:rsidRPr="00B31D6D">
        <w:t>))</w:t>
      </w:r>
      <w:r w:rsidR="00380144" w:rsidRPr="00B31D6D">
        <w:t>.</w:t>
      </w:r>
      <w:r w:rsidR="00380144" w:rsidRPr="00F748D0">
        <w:t xml:space="preserve"> </w:t>
      </w:r>
      <w:r w:rsidR="00A655F4" w:rsidRPr="00F748D0">
        <w:t>Environmental risk assessment</w:t>
      </w:r>
      <w:r w:rsidR="00B63410" w:rsidRPr="00F748D0">
        <w:t>s</w:t>
      </w:r>
      <w:r w:rsidR="00932333" w:rsidRPr="00F748D0">
        <w:t xml:space="preserve"> </w:t>
      </w:r>
      <w:r w:rsidR="00A655F4" w:rsidRPr="00F748D0">
        <w:t>(</w:t>
      </w:r>
      <w:r w:rsidR="00792D22" w:rsidRPr="00F748D0">
        <w:t>ERA</w:t>
      </w:r>
      <w:r w:rsidR="005B48B4" w:rsidRPr="00F748D0">
        <w:t>s</w:t>
      </w:r>
      <w:r w:rsidR="00A655F4" w:rsidRPr="00F748D0">
        <w:t>)</w:t>
      </w:r>
      <w:r w:rsidR="00792D22" w:rsidRPr="00F748D0">
        <w:t xml:space="preserve"> generate data </w:t>
      </w:r>
      <w:r w:rsidR="00344B70" w:rsidRPr="00F748D0">
        <w:t xml:space="preserve">on environmental exposure, effects and risks </w:t>
      </w:r>
      <w:r w:rsidR="00792D22" w:rsidRPr="00F748D0">
        <w:t>following guidance documents (VICH 2000, 2004</w:t>
      </w:r>
      <w:r w:rsidR="00A655F4" w:rsidRPr="00F748D0">
        <w:t>;</w:t>
      </w:r>
      <w:r w:rsidR="00792D22" w:rsidRPr="00F748D0">
        <w:t xml:space="preserve"> EMA 2008). </w:t>
      </w:r>
      <w:r w:rsidR="00A36498" w:rsidRPr="00F748D0">
        <w:t>In the benefit-risk</w:t>
      </w:r>
      <w:r w:rsidR="00B17293" w:rsidRPr="00F748D0">
        <w:t xml:space="preserve"> assessment,</w:t>
      </w:r>
      <w:r w:rsidR="0007190D" w:rsidRPr="00F748D0">
        <w:t xml:space="preserve"> </w:t>
      </w:r>
      <w:r w:rsidR="00A36498" w:rsidRPr="00F748D0">
        <w:t xml:space="preserve">ERA data </w:t>
      </w:r>
      <w:r w:rsidR="00601D04" w:rsidRPr="00F748D0">
        <w:t xml:space="preserve">and other risk data </w:t>
      </w:r>
      <w:r w:rsidR="00A36498" w:rsidRPr="00F748D0">
        <w:t xml:space="preserve">must be compared to efficacy data </w:t>
      </w:r>
      <w:r w:rsidR="000E3EAB" w:rsidRPr="00F748D0">
        <w:t xml:space="preserve">and </w:t>
      </w:r>
      <w:r w:rsidR="000D6B3E" w:rsidRPr="00F748D0">
        <w:t>the ethical co</w:t>
      </w:r>
      <w:r w:rsidR="00A36498" w:rsidRPr="00F748D0">
        <w:t>nsiderations of animal welfare</w:t>
      </w:r>
      <w:r w:rsidR="000D6B3E" w:rsidRPr="00F748D0">
        <w:t xml:space="preserve">. </w:t>
      </w:r>
      <w:r w:rsidR="00C43BD9" w:rsidRPr="00F748D0">
        <w:t xml:space="preserve">The benefit-risk assessment must be favourable for VMP authorization. </w:t>
      </w:r>
      <w:r w:rsidR="00344B70" w:rsidRPr="00F748D0">
        <w:t xml:space="preserve">A </w:t>
      </w:r>
      <w:r w:rsidR="00B17293" w:rsidRPr="00F748D0">
        <w:t xml:space="preserve">VMP market application can have three outcomes: (i) authorization; (ii) authorization with risk mitigation; or, (iii) refusal of authorization </w:t>
      </w:r>
      <w:r w:rsidR="00C43BD9" w:rsidRPr="00F748D0">
        <w:t>(European Parliament 2004a</w:t>
      </w:r>
      <w:r w:rsidR="00FC0753" w:rsidRPr="00F748D0">
        <w:t>)</w:t>
      </w:r>
      <w:r w:rsidR="00C43BD9" w:rsidRPr="00F748D0">
        <w:t xml:space="preserve">. </w:t>
      </w:r>
      <w:r w:rsidR="00B17293" w:rsidRPr="00F748D0">
        <w:t>I</w:t>
      </w:r>
      <w:r w:rsidR="00A464DB" w:rsidRPr="00F748D0">
        <w:t xml:space="preserve">t is critical that </w:t>
      </w:r>
      <w:r w:rsidR="00C43BD9" w:rsidRPr="00F748D0">
        <w:t>the benefit-risk</w:t>
      </w:r>
      <w:r w:rsidR="00D966FC" w:rsidRPr="00F748D0">
        <w:t xml:space="preserve"> assessments</w:t>
      </w:r>
      <w:r w:rsidR="00C43BD9" w:rsidRPr="00F748D0">
        <w:t xml:space="preserve"> support decisions </w:t>
      </w:r>
      <w:r w:rsidR="00910EC3" w:rsidRPr="00F748D0">
        <w:t xml:space="preserve">so that </w:t>
      </w:r>
      <w:r w:rsidR="00A464DB" w:rsidRPr="00F748D0">
        <w:t>VMP products are available</w:t>
      </w:r>
      <w:r w:rsidR="00B17293" w:rsidRPr="00F748D0">
        <w:t xml:space="preserve"> to</w:t>
      </w:r>
      <w:r w:rsidR="00A464DB" w:rsidRPr="00F748D0">
        <w:t xml:space="preserve"> adequately treat animals </w:t>
      </w:r>
      <w:r w:rsidR="00B17293" w:rsidRPr="00F748D0">
        <w:t>while also not adversely affecting</w:t>
      </w:r>
      <w:r w:rsidR="009F6C6B" w:rsidRPr="00F748D0">
        <w:t xml:space="preserve"> environmental </w:t>
      </w:r>
      <w:r w:rsidR="00F8315F" w:rsidRPr="00F748D0">
        <w:t>quality</w:t>
      </w:r>
      <w:r w:rsidR="00A464DB" w:rsidRPr="00F748D0">
        <w:t xml:space="preserve">. </w:t>
      </w:r>
    </w:p>
    <w:p w14:paraId="3021CAA7" w14:textId="4C5D6175" w:rsidR="00A9750E" w:rsidRPr="00F748D0" w:rsidRDefault="00990431" w:rsidP="00FA4EE3">
      <w:r w:rsidRPr="00F748D0">
        <w:t xml:space="preserve">Conducting a benefit-risk assessment of VMPs involves a high level of </w:t>
      </w:r>
      <w:r w:rsidR="000E3EAB" w:rsidRPr="00F748D0">
        <w:t>complexity.</w:t>
      </w:r>
      <w:r w:rsidR="00B17293" w:rsidRPr="00F748D0">
        <w:t xml:space="preserve"> B</w:t>
      </w:r>
      <w:r w:rsidR="000E3EAB" w:rsidRPr="00F748D0">
        <w:t>enefits and risks (i.e., for the target animal, user, environment, and consumer of animal</w:t>
      </w:r>
      <w:r w:rsidR="00B17293" w:rsidRPr="00F748D0">
        <w:t>-</w:t>
      </w:r>
      <w:r w:rsidR="000E3EAB" w:rsidRPr="00F748D0">
        <w:t>derived foodstuff) need to be considered</w:t>
      </w:r>
      <w:r w:rsidRPr="00F748D0">
        <w:t xml:space="preserve"> </w:t>
      </w:r>
      <w:r w:rsidR="00602861" w:rsidRPr="00F748D0">
        <w:t>(Figure 1)</w:t>
      </w:r>
      <w:r w:rsidRPr="00F748D0">
        <w:t xml:space="preserve">. </w:t>
      </w:r>
      <w:r w:rsidR="00053FA8" w:rsidRPr="00F748D0">
        <w:t>Additionally, r</w:t>
      </w:r>
      <w:r w:rsidR="008A6D25" w:rsidRPr="00F748D0">
        <w:t xml:space="preserve">isks specific to the VMP </w:t>
      </w:r>
      <w:r w:rsidR="00344B70" w:rsidRPr="00F748D0">
        <w:t xml:space="preserve">class </w:t>
      </w:r>
      <w:r w:rsidR="008A6D25" w:rsidRPr="00F748D0">
        <w:t xml:space="preserve">may also need to be included (e.g., the risk of resistance development). </w:t>
      </w:r>
      <w:r w:rsidR="00602861" w:rsidRPr="00F748D0">
        <w:t xml:space="preserve">The </w:t>
      </w:r>
      <w:r w:rsidR="00F90354" w:rsidRPr="00F748D0">
        <w:t xml:space="preserve">initial </w:t>
      </w:r>
      <w:r w:rsidR="00D7030C" w:rsidRPr="00F748D0">
        <w:t xml:space="preserve">independent </w:t>
      </w:r>
      <w:r w:rsidR="00602861" w:rsidRPr="00F748D0">
        <w:t>evaluation</w:t>
      </w:r>
      <w:r w:rsidR="00D7030C" w:rsidRPr="00F748D0">
        <w:t xml:space="preserve"> of benefits to the main risks decreases the complexity. For example the user safety </w:t>
      </w:r>
      <w:r w:rsidR="009D4C6F" w:rsidRPr="00F748D0">
        <w:t>assessment could result in a risk and consequent risk mitigation measure</w:t>
      </w:r>
      <w:r w:rsidR="00D7030C" w:rsidRPr="00F748D0">
        <w:t xml:space="preserve"> (Woodward </w:t>
      </w:r>
      <w:r w:rsidR="004252C6" w:rsidRPr="00F748D0">
        <w:t xml:space="preserve">2008) </w:t>
      </w:r>
      <w:r w:rsidR="009D4C6F" w:rsidRPr="00F748D0">
        <w:t>similar to the ERA</w:t>
      </w:r>
      <w:r w:rsidR="004252C6" w:rsidRPr="00F748D0">
        <w:t xml:space="preserve"> (VICH 2000, 2004, EMA 2008). The independent evaluation of each category will support amalgamation of data </w:t>
      </w:r>
      <w:r w:rsidR="00F90354" w:rsidRPr="00F748D0">
        <w:t xml:space="preserve">into an </w:t>
      </w:r>
      <w:r w:rsidR="004252C6" w:rsidRPr="00F748D0">
        <w:t xml:space="preserve">overall benefit-risk evaluation. </w:t>
      </w:r>
      <w:r w:rsidR="00582A6E" w:rsidRPr="00F748D0">
        <w:t>The</w:t>
      </w:r>
      <w:r w:rsidR="005C105B" w:rsidRPr="00F748D0">
        <w:t>refore</w:t>
      </w:r>
      <w:r w:rsidR="009F1C34" w:rsidRPr="00F748D0">
        <w:t>,</w:t>
      </w:r>
      <w:r w:rsidR="005C105B" w:rsidRPr="00F748D0">
        <w:t xml:space="preserve"> </w:t>
      </w:r>
      <w:r w:rsidR="00344B70" w:rsidRPr="00F748D0">
        <w:t xml:space="preserve">here </w:t>
      </w:r>
      <w:r w:rsidR="005C105B" w:rsidRPr="00F748D0">
        <w:t>we focus on environmental risk and</w:t>
      </w:r>
      <w:r w:rsidR="00582A6E" w:rsidRPr="00F748D0">
        <w:t xml:space="preserve"> development of methods</w:t>
      </w:r>
      <w:r w:rsidR="002C5CE9" w:rsidRPr="00F748D0">
        <w:t>,</w:t>
      </w:r>
      <w:r w:rsidR="00582A6E" w:rsidRPr="00F748D0">
        <w:t xml:space="preserve"> </w:t>
      </w:r>
      <w:r w:rsidR="002C5CE9" w:rsidRPr="00F748D0">
        <w:t xml:space="preserve">which integrate </w:t>
      </w:r>
      <w:r w:rsidR="00582A6E" w:rsidRPr="00F748D0">
        <w:t xml:space="preserve">ERA data in a benefit-risk methodology </w:t>
      </w:r>
      <w:r w:rsidR="005C105B" w:rsidRPr="00F748D0">
        <w:t xml:space="preserve">to </w:t>
      </w:r>
      <w:r w:rsidR="00582A6E" w:rsidRPr="00F748D0">
        <w:t xml:space="preserve">support authorization decision-making. </w:t>
      </w:r>
    </w:p>
    <w:p w14:paraId="3B30AF1D" w14:textId="418C6F0A" w:rsidR="00B17293" w:rsidRPr="00F748D0" w:rsidRDefault="00F11727" w:rsidP="00365B32">
      <w:r w:rsidRPr="00F748D0">
        <w:t xml:space="preserve">Integrating environmental risk in the benefit-risk </w:t>
      </w:r>
      <w:r w:rsidR="000D32C4" w:rsidRPr="00F748D0">
        <w:t xml:space="preserve">assessment </w:t>
      </w:r>
      <w:r w:rsidRPr="00F748D0">
        <w:t xml:space="preserve">does not follow standardized and transparent methodology. </w:t>
      </w:r>
      <w:r w:rsidR="00536661" w:rsidRPr="00F748D0">
        <w:t xml:space="preserve">For example, </w:t>
      </w:r>
      <w:r w:rsidR="00F525C9" w:rsidRPr="00F748D0">
        <w:t>g</w:t>
      </w:r>
      <w:r w:rsidRPr="00F748D0">
        <w:t>uidance</w:t>
      </w:r>
      <w:r w:rsidR="000D32C4" w:rsidRPr="00F748D0">
        <w:t xml:space="preserve"> </w:t>
      </w:r>
      <w:r w:rsidRPr="00F748D0">
        <w:t>from the CVMP</w:t>
      </w:r>
      <w:r w:rsidR="00B17293" w:rsidRPr="00F748D0">
        <w:t xml:space="preserve"> </w:t>
      </w:r>
      <w:r w:rsidRPr="00F748D0">
        <w:t xml:space="preserve">does not present a structured approach to comparing environmental risks and VMP benefits (EMA 2009). Expert opinion is highlighted as a key tool. While expert opinion is valuable, it can be inconsistent between experts and less transparent than a standardized methodology. </w:t>
      </w:r>
    </w:p>
    <w:p w14:paraId="78C58A75" w14:textId="2BDD5022" w:rsidR="00B17293" w:rsidRPr="00F748D0" w:rsidRDefault="00B17293" w:rsidP="00B17293">
      <w:r w:rsidRPr="00F748D0">
        <w:t>In the case</w:t>
      </w:r>
      <w:r w:rsidR="00A87312" w:rsidRPr="00F748D0">
        <w:t xml:space="preserve"> that</w:t>
      </w:r>
      <w:r w:rsidRPr="00F748D0">
        <w:t xml:space="preserve"> an ERA results in an acceptable risk and adequate benefits, the benefit-risk will be favourable (EMA 2009). The ERA can result in an acceptable risk when results are below defined thresholds. Comparison of ERA data and thresholds is applied in two steps (i.e., Phase I: exposure assessment; and, Phase II: risk assessment). Phase I is conducted by applying a decision tree to evaluate specific aspects of exposure (VICH 2000). For example, VMPs for non-food producing animals are considered to have lower use and be specific for individual treatment, have less environmental concern, and can conclude at Phase I. The exposure calculations measure predicted exposure concentration for soil (PECsoil) or an environmental introduction concentration for water (EIC</w:t>
      </w:r>
      <w:r w:rsidRPr="00F748D0">
        <w:softHyphen/>
        <w:t xml:space="preserve">aquatic). Products which do not exceed Phase I criteria (e.g. </w:t>
      </w:r>
      <w:proofErr w:type="gramStart"/>
      <w:r w:rsidRPr="00F748D0">
        <w:t>PEC(</w:t>
      </w:r>
      <w:proofErr w:type="gramEnd"/>
      <w:r w:rsidRPr="00F748D0">
        <w:t xml:space="preserve">soil) ≥ 100 µg/kg; EIC(aquatic) ≥ 1 µg/L) are concluded to have acceptable environmental risk (VICH 2000). Assuming sufficient benefits and acceptable risks from other criteria </w:t>
      </w:r>
      <w:r w:rsidR="00A87312" w:rsidRPr="00F748D0">
        <w:t xml:space="preserve">in Tier I </w:t>
      </w:r>
      <w:r w:rsidRPr="00F748D0">
        <w:t>(e.g., consumer safety)</w:t>
      </w:r>
      <w:r w:rsidR="00A87312" w:rsidRPr="00F748D0">
        <w:t>,</w:t>
      </w:r>
      <w:r w:rsidR="00FC0753" w:rsidRPr="00F748D0">
        <w:t xml:space="preserve"> </w:t>
      </w:r>
      <w:r w:rsidRPr="00F748D0">
        <w:t xml:space="preserve">the product will </w:t>
      </w:r>
      <w:r w:rsidR="008F2F6D" w:rsidRPr="00F748D0">
        <w:t xml:space="preserve">then </w:t>
      </w:r>
      <w:r w:rsidRPr="00F748D0">
        <w:t>be authorized</w:t>
      </w:r>
      <w:r w:rsidR="00FC0753" w:rsidRPr="00F748D0">
        <w:t xml:space="preserve">; otherwise, </w:t>
      </w:r>
      <w:r w:rsidRPr="00F748D0">
        <w:t>more rigorous data collection and testin</w:t>
      </w:r>
      <w:r w:rsidR="00FC0753" w:rsidRPr="00F748D0">
        <w:t>g in Tier II will be required</w:t>
      </w:r>
      <w:r w:rsidRPr="00F748D0">
        <w:t xml:space="preserve"> (Figure 2). </w:t>
      </w:r>
    </w:p>
    <w:p w14:paraId="4D5DAD67" w14:textId="4E6101AE" w:rsidR="00B17293" w:rsidRPr="00F748D0" w:rsidRDefault="006A02D4" w:rsidP="00B17293">
      <w:r w:rsidRPr="00F748D0">
        <w:t>Phase II generates hazard, exposure and risk data in a tiered approach. Tier A is more basic and conservative while Tier B is more intensive and realistic. At either Tier A or Tier B the results may be below required</w:t>
      </w:r>
      <w:r w:rsidR="008F2F6D" w:rsidRPr="00F748D0">
        <w:t xml:space="preserve"> risk and hazard</w:t>
      </w:r>
      <w:r w:rsidRPr="00F748D0">
        <w:t xml:space="preserve"> thresholds</w:t>
      </w:r>
      <w:r w:rsidR="008F2F6D" w:rsidRPr="00F748D0">
        <w:t>, defined in the VICH guidelines,</w:t>
      </w:r>
      <w:r w:rsidRPr="00F748D0">
        <w:t xml:space="preserve"> and the same pathway as Phase I can lead to authorization (Figure 2).</w:t>
      </w:r>
      <w:r w:rsidR="00B17293" w:rsidRPr="00F748D0">
        <w:t xml:space="preserve"> </w:t>
      </w:r>
      <w:r w:rsidR="00F03522" w:rsidRPr="00F748D0">
        <w:t xml:space="preserve">If the risk is unacceptable after Phase II Tier B, the benefit-risk evaluation will critically support authorization (Figure 2). </w:t>
      </w:r>
      <w:r w:rsidR="00B17293" w:rsidRPr="00F748D0">
        <w:t xml:space="preserve">The specific data used to support the decision include hazard data, which classify a VMP as a PBT compound (persistent, bioaccumulative, and toxic) or a vPvB (very persistent, very bioaccumulative) based on criteria in EMA (2012a). </w:t>
      </w:r>
      <w:r w:rsidR="00355A59" w:rsidRPr="00F748D0">
        <w:t>Additionally, exposure data for groundwater (PECgw) is initially generated in simple conservative models. Refinement with FOCUS models, which support pestici</w:t>
      </w:r>
      <w:r w:rsidR="00FA112D" w:rsidRPr="00F748D0">
        <w:t>de regulations, is recommended (</w:t>
      </w:r>
      <w:r w:rsidR="00C3472D" w:rsidRPr="00F748D0">
        <w:t>Mon</w:t>
      </w:r>
      <w:r w:rsidR="00A71840" w:rsidRPr="00F748D0">
        <w:t>t</w:t>
      </w:r>
      <w:r w:rsidR="00C3472D" w:rsidRPr="00F748D0">
        <w:t xml:space="preserve">forts 2006; </w:t>
      </w:r>
      <w:r w:rsidR="00FA112D" w:rsidRPr="00F748D0">
        <w:t xml:space="preserve">EMA 2008). </w:t>
      </w:r>
      <w:r w:rsidR="00355A59" w:rsidRPr="00F748D0">
        <w:t>Finally, t</w:t>
      </w:r>
      <w:r w:rsidR="00B17293" w:rsidRPr="00F748D0">
        <w:t>he risk quotient (RQ) compares exposure and effects data. The effect is measured by environmental compartment (i.e. aquatic, terrestrial, sediment, and dung)</w:t>
      </w:r>
      <w:r w:rsidR="00A87312" w:rsidRPr="00F748D0">
        <w:t>,</w:t>
      </w:r>
      <w:r w:rsidR="00B17293" w:rsidRPr="00F748D0">
        <w:t xml:space="preserve"> by testing indicator species (e.g., </w:t>
      </w:r>
      <w:r w:rsidR="00B17293" w:rsidRPr="00F748D0">
        <w:rPr>
          <w:i/>
        </w:rPr>
        <w:t>Daphnia</w:t>
      </w:r>
      <w:r w:rsidR="00B17293" w:rsidRPr="00F748D0">
        <w:t xml:space="preserve"> and earthworms) to measure which exposure concentrations cause adverse effects (e.g., mortality, changes in growth or reproduction). From these data a predicted no effects concentration (PNEC) is calculated. The risk quotient is calculated by dividing the PEC by the PNEC (i.e. RQ=PEC/PNEC). An acceptable risk is below 1 (RQ&lt;1). In the case of an unacceptable risk, mitigation measures are an option to refine risk (VICH 2000, 20004; EMA 2009). However, available risk mitigation measures for VMPs are not guaranteed to be implemented (Mon</w:t>
      </w:r>
      <w:r w:rsidR="00A71840" w:rsidRPr="00F748D0">
        <w:t>t</w:t>
      </w:r>
      <w:r w:rsidR="00B17293" w:rsidRPr="00F748D0">
        <w:t>forts et al. 2004; EMA 2012b; Liebig et al. 2014)</w:t>
      </w:r>
      <w:r w:rsidR="00A87312" w:rsidRPr="00F748D0">
        <w:t>.</w:t>
      </w:r>
      <w:r w:rsidR="00B17293" w:rsidRPr="00F748D0">
        <w:t xml:space="preserve"> </w:t>
      </w:r>
    </w:p>
    <w:p w14:paraId="547CDB9C" w14:textId="1E4C5FBC" w:rsidR="00365B32" w:rsidRPr="00F748D0" w:rsidRDefault="00B17293">
      <w:r w:rsidRPr="00F748D0">
        <w:t>Establishing favourable/unfavourable benefit-risk require integration of benefits and ERA data. The consideration of benefits focuses on the direct therapeutic benefit for authorization (EMA 2009). In most cases the product is compared to the lowest efficacy level of available products to establish sufficient efficacy (EMA 2009). The exception is the case of ectoparasiticides</w:t>
      </w:r>
      <w:r w:rsidR="00FC0753" w:rsidRPr="00F748D0">
        <w:t>,</w:t>
      </w:r>
      <w:r w:rsidRPr="00F748D0">
        <w:t xml:space="preserve"> which require 80-100% efficacy levels (EMA 1994). Integration </w:t>
      </w:r>
      <w:proofErr w:type="gramStart"/>
      <w:r w:rsidRPr="00F748D0">
        <w:t>in a benefit-risk methods</w:t>
      </w:r>
      <w:proofErr w:type="gramEnd"/>
      <w:r w:rsidRPr="00F748D0">
        <w:t xml:space="preserve"> must focus on making benefit and risk data comparable. </w:t>
      </w:r>
    </w:p>
    <w:p w14:paraId="4057E178" w14:textId="3CBCDB77" w:rsidR="00B17293" w:rsidRPr="00F748D0" w:rsidRDefault="00B17293" w:rsidP="004815B3">
      <w:pPr>
        <w:pStyle w:val="Heading1"/>
      </w:pPr>
      <w:r w:rsidRPr="00F748D0">
        <w:t>3</w:t>
      </w:r>
      <w:r w:rsidR="00167C45" w:rsidRPr="00F748D0">
        <w:t xml:space="preserve">. </w:t>
      </w:r>
      <w:r w:rsidRPr="00F748D0">
        <w:tab/>
      </w:r>
      <w:r w:rsidR="00A87312" w:rsidRPr="00F748D0">
        <w:t>Benefit-risk method</w:t>
      </w:r>
      <w:r w:rsidRPr="00F748D0">
        <w:t xml:space="preserve"> development</w:t>
      </w:r>
    </w:p>
    <w:p w14:paraId="06719848" w14:textId="0CBDE893" w:rsidR="00B17293" w:rsidRPr="00F748D0" w:rsidRDefault="00B17293" w:rsidP="00B17293">
      <w:r w:rsidRPr="00F748D0">
        <w:t xml:space="preserve">A major challenge to incorporating environmental risk into the benefit-risk assessment is the differences in </w:t>
      </w:r>
      <w:r w:rsidR="008F17E7" w:rsidRPr="00F748D0">
        <w:t>scale</w:t>
      </w:r>
      <w:r w:rsidR="008F2F6D" w:rsidRPr="00F748D0">
        <w:t>s</w:t>
      </w:r>
      <w:r w:rsidR="008F17E7" w:rsidRPr="00F748D0">
        <w:t xml:space="preserve"> </w:t>
      </w:r>
      <w:r w:rsidRPr="00F748D0">
        <w:t>for benefits and risks (i.e., the treated animal vs. the environment</w:t>
      </w:r>
      <w:r w:rsidR="00A87312" w:rsidRPr="00F748D0">
        <w:t>). Structured methods are</w:t>
      </w:r>
      <w:r w:rsidR="00325A38" w:rsidRPr="00F748D0">
        <w:t xml:space="preserve"> therefore</w:t>
      </w:r>
      <w:r w:rsidRPr="00F748D0">
        <w:t xml:space="preserve"> needed to better communicate benefits and risks, support decision-makers, and overcome differences in measurements and recipients of the benefits and risks.</w:t>
      </w:r>
      <w:r w:rsidR="00FC0753" w:rsidRPr="00F748D0">
        <w:t xml:space="preserve"> </w:t>
      </w:r>
      <w:r w:rsidR="003461A3" w:rsidRPr="00F748D0">
        <w:t xml:space="preserve">For example, a VMP may have a high level of efficacy for a disease in sheep but also have a high RQ for </w:t>
      </w:r>
      <w:r w:rsidR="003461A3" w:rsidRPr="00F748D0">
        <w:rPr>
          <w:i/>
        </w:rPr>
        <w:t>daphnia</w:t>
      </w:r>
      <w:r w:rsidR="00843C38" w:rsidRPr="00F748D0">
        <w:rPr>
          <w:i/>
        </w:rPr>
        <w:t xml:space="preserve"> </w:t>
      </w:r>
      <w:r w:rsidR="00843C38" w:rsidRPr="00F748D0">
        <w:t>but</w:t>
      </w:r>
      <w:r w:rsidR="00BF138E" w:rsidRPr="00F748D0">
        <w:t xml:space="preserve"> challenge is </w:t>
      </w:r>
      <w:r w:rsidR="00843C38" w:rsidRPr="00F748D0">
        <w:t>how to compare the two endpoints</w:t>
      </w:r>
      <w:r w:rsidR="003461A3" w:rsidRPr="00F748D0">
        <w:t xml:space="preserve">. Consideration of the benefit and risk profile of this example product in a standardized method would support the challenging comparison. </w:t>
      </w:r>
      <w:r w:rsidR="00FC0753" w:rsidRPr="00F748D0">
        <w:t xml:space="preserve">Further, because risk mitigation is not assured as noted above, benefit-risk methods should be implemented prior to assignment of risk mitigation measures. </w:t>
      </w:r>
    </w:p>
    <w:p w14:paraId="0D8848A7" w14:textId="660B1C8A" w:rsidR="00B17293" w:rsidRPr="00F748D0" w:rsidRDefault="009D4E95" w:rsidP="00365B32">
      <w:r w:rsidRPr="00F748D0">
        <w:t>Here we present t</w:t>
      </w:r>
      <w:r w:rsidR="00A87312" w:rsidRPr="00F748D0">
        <w:t>hree benefit-risk methods</w:t>
      </w:r>
      <w:r w:rsidR="00B17293" w:rsidRPr="00F748D0">
        <w:t xml:space="preserve"> </w:t>
      </w:r>
      <w:r w:rsidRPr="00F748D0">
        <w:t xml:space="preserve">that </w:t>
      </w:r>
      <w:r w:rsidR="00B17293" w:rsidRPr="00F748D0">
        <w:t>have been developed to fit within and enhance the current decision-making process</w:t>
      </w:r>
      <w:r w:rsidR="00783F9B" w:rsidRPr="00F748D0">
        <w:t>.</w:t>
      </w:r>
      <w:r w:rsidR="00F8652F" w:rsidRPr="00F748D0">
        <w:t xml:space="preserve"> </w:t>
      </w:r>
      <w:r w:rsidR="00B17293" w:rsidRPr="00F748D0">
        <w:t xml:space="preserve">This was done by first considering the VMP </w:t>
      </w:r>
      <w:r w:rsidR="00651AA4" w:rsidRPr="00F748D0">
        <w:t xml:space="preserve">environmental </w:t>
      </w:r>
      <w:r w:rsidR="00B17293" w:rsidRPr="00F748D0">
        <w:t>evaluation procedure an</w:t>
      </w:r>
      <w:r w:rsidR="00A87312" w:rsidRPr="00F748D0">
        <w:t>d data requirements</w:t>
      </w:r>
      <w:r w:rsidRPr="00F748D0">
        <w:t xml:space="preserve"> and assessing how these could be used to inform a comparison of benefits against risks</w:t>
      </w:r>
      <w:r w:rsidR="00A87312" w:rsidRPr="00F748D0">
        <w:t>. T</w:t>
      </w:r>
      <w:r w:rsidR="00B17293" w:rsidRPr="00F748D0">
        <w:t>he challenge of incomparable endpoints was</w:t>
      </w:r>
      <w:r w:rsidR="00A87312" w:rsidRPr="00F748D0">
        <w:t xml:space="preserve"> then</w:t>
      </w:r>
      <w:r w:rsidR="00B17293" w:rsidRPr="00F748D0">
        <w:t xml:space="preserve"> addr</w:t>
      </w:r>
      <w:r w:rsidR="00FC0753" w:rsidRPr="00F748D0">
        <w:t>essed through development of a</w:t>
      </w:r>
      <w:r w:rsidR="00B17293" w:rsidRPr="00F748D0">
        <w:t xml:space="preserve"> basic categorization mechanism. Finally, the data</w:t>
      </w:r>
      <w:r w:rsidR="00A87312" w:rsidRPr="00F748D0">
        <w:t xml:space="preserve"> requirements were combined in three</w:t>
      </w:r>
      <w:r w:rsidR="00B17293" w:rsidRPr="00F748D0">
        <w:t xml:space="preserve"> categorization methods. We describe these steps sequentially. </w:t>
      </w:r>
    </w:p>
    <w:p w14:paraId="429F546F" w14:textId="2F9D464E" w:rsidR="00FC0753" w:rsidRPr="00F748D0" w:rsidRDefault="0010231F">
      <w:r w:rsidRPr="00F748D0">
        <w:t>Division of benefits and risk</w:t>
      </w:r>
      <w:r w:rsidR="00FC0753" w:rsidRPr="00F748D0">
        <w:t>s</w:t>
      </w:r>
      <w:r w:rsidRPr="00F748D0">
        <w:t xml:space="preserve"> into categories was developed to support direct comparisons. </w:t>
      </w:r>
      <w:r w:rsidR="003440F3" w:rsidRPr="00F748D0">
        <w:t>Categories</w:t>
      </w:r>
      <w:r w:rsidR="009D4E95" w:rsidRPr="00F748D0">
        <w:t>, which are,</w:t>
      </w:r>
      <w:r w:rsidR="003440F3" w:rsidRPr="00F748D0">
        <w:t xml:space="preserve"> organized into levels of increasing risk and </w:t>
      </w:r>
      <w:proofErr w:type="gramStart"/>
      <w:r w:rsidR="003440F3" w:rsidRPr="00F748D0">
        <w:t>benefit</w:t>
      </w:r>
      <w:proofErr w:type="gramEnd"/>
      <w:r w:rsidR="003440F3" w:rsidRPr="00F748D0">
        <w:t xml:space="preserve"> </w:t>
      </w:r>
      <w:r w:rsidR="003752F4" w:rsidRPr="00F748D0">
        <w:t>can be directly compared; the higher level indicate</w:t>
      </w:r>
      <w:r w:rsidR="00FC0753" w:rsidRPr="00F748D0">
        <w:t>s</w:t>
      </w:r>
      <w:r w:rsidR="003752F4" w:rsidRPr="00F748D0">
        <w:t xml:space="preserve"> a higher benefit or risk.</w:t>
      </w:r>
      <w:r w:rsidR="003440F3" w:rsidRPr="00F748D0">
        <w:t xml:space="preserve"> </w:t>
      </w:r>
      <w:r w:rsidR="00F03522" w:rsidRPr="00F748D0">
        <w:t>For example, in a 5 level benefit-risk categorization, a level 3 risk will have two combinations of benefits&gt;risks, and benefits&lt;risks as well as one combination where benefits=risks (Figure 3).</w:t>
      </w:r>
    </w:p>
    <w:p w14:paraId="4471B28D" w14:textId="0CDD6C19" w:rsidR="002A3E99" w:rsidRPr="00F748D0" w:rsidRDefault="00F0392D" w:rsidP="00F03522">
      <w:r w:rsidRPr="00F748D0">
        <w:t xml:space="preserve">VMP products are currently assessed individually based on their benefits and risks, and not compared to other products available on the European market other than for determining efficacy (EMA 2009). </w:t>
      </w:r>
      <w:r w:rsidR="007E1AA3" w:rsidRPr="00F748D0">
        <w:t>We develop</w:t>
      </w:r>
      <w:r w:rsidR="00FC0753" w:rsidRPr="00F748D0">
        <w:t>ed</w:t>
      </w:r>
      <w:r w:rsidR="007E1AA3" w:rsidRPr="00F748D0">
        <w:t xml:space="preserve"> three methods for benefit-risk assessment </w:t>
      </w:r>
      <w:r w:rsidR="00E27748" w:rsidRPr="00F748D0">
        <w:t>by applying categorization</w:t>
      </w:r>
      <w:r w:rsidR="007E1AA3" w:rsidRPr="00F748D0">
        <w:t>. Two of these</w:t>
      </w:r>
      <w:r w:rsidR="00A87312" w:rsidRPr="00F748D0">
        <w:t xml:space="preserve"> method</w:t>
      </w:r>
      <w:r w:rsidR="00FC0753" w:rsidRPr="00F748D0">
        <w:t>s</w:t>
      </w:r>
      <w:r w:rsidR="007E1AA3" w:rsidRPr="00F748D0">
        <w:t xml:space="preserve"> support </w:t>
      </w:r>
      <w:r w:rsidR="00F03AAC" w:rsidRPr="00F748D0">
        <w:t>the</w:t>
      </w:r>
      <w:r w:rsidR="007E1AA3" w:rsidRPr="00F748D0">
        <w:t xml:space="preserve"> evaluation </w:t>
      </w:r>
      <w:r w:rsidR="00F03AAC" w:rsidRPr="00F748D0">
        <w:t xml:space="preserve">of a product independently without </w:t>
      </w:r>
      <w:r w:rsidR="003B74B1" w:rsidRPr="00F748D0">
        <w:t>comparing to</w:t>
      </w:r>
      <w:r w:rsidR="00F03AAC" w:rsidRPr="00F748D0">
        <w:t xml:space="preserve"> other products </w:t>
      </w:r>
      <w:r w:rsidR="003B74B1" w:rsidRPr="00F748D0">
        <w:t>available</w:t>
      </w:r>
      <w:r w:rsidR="00F03AAC" w:rsidRPr="00F748D0">
        <w:t xml:space="preserve"> for the same indication </w:t>
      </w:r>
      <w:r w:rsidR="007E1AA3" w:rsidRPr="00F748D0">
        <w:t>(i.e.</w:t>
      </w:r>
      <w:r w:rsidR="00FC0753" w:rsidRPr="00F748D0">
        <w:t>,</w:t>
      </w:r>
      <w:r w:rsidR="007E1AA3" w:rsidRPr="00F748D0">
        <w:t xml:space="preserve"> summative classification and </w:t>
      </w:r>
      <w:r w:rsidR="00FC0753" w:rsidRPr="00F748D0">
        <w:t xml:space="preserve">a </w:t>
      </w:r>
      <w:r w:rsidR="007E1AA3" w:rsidRPr="00F748D0">
        <w:t>visual scoring matrix)</w:t>
      </w:r>
      <w:r w:rsidR="00FC0753" w:rsidRPr="00F748D0">
        <w:t>;</w:t>
      </w:r>
      <w:r w:rsidR="007E1AA3" w:rsidRPr="00F748D0">
        <w:t xml:space="preserve"> the other supports comparative evaluation</w:t>
      </w:r>
      <w:r w:rsidR="00F03AAC" w:rsidRPr="00F748D0">
        <w:t xml:space="preserve"> of a number of different products with the same indication</w:t>
      </w:r>
      <w:r w:rsidR="007E1AA3" w:rsidRPr="00F748D0">
        <w:t xml:space="preserve"> (i.e.</w:t>
      </w:r>
      <w:r w:rsidR="00FC0753" w:rsidRPr="00F748D0">
        <w:t>,</w:t>
      </w:r>
      <w:r w:rsidR="007E1AA3" w:rsidRPr="00F748D0">
        <w:t xml:space="preserve"> comparative classification) (Figure 2).</w:t>
      </w:r>
      <w:r w:rsidR="00D77AFD" w:rsidRPr="00F748D0">
        <w:t xml:space="preserve"> </w:t>
      </w:r>
    </w:p>
    <w:p w14:paraId="30CF253E" w14:textId="0ED7732A" w:rsidR="00E703A9" w:rsidRPr="00F748D0" w:rsidRDefault="0073587A" w:rsidP="00B01499">
      <w:r w:rsidRPr="00F748D0">
        <w:t xml:space="preserve">We apply example criteria </w:t>
      </w:r>
      <w:r w:rsidR="00B52A97" w:rsidRPr="00F748D0">
        <w:t xml:space="preserve">to the benefits and risks to demonstrate the </w:t>
      </w:r>
      <w:r w:rsidR="002A3E99" w:rsidRPr="00F748D0">
        <w:t>categorization methods</w:t>
      </w:r>
      <w:r w:rsidR="00B52A97" w:rsidRPr="00F748D0">
        <w:t xml:space="preserve">. </w:t>
      </w:r>
      <w:r w:rsidR="00CE4FC7" w:rsidRPr="00F748D0">
        <w:t xml:space="preserve">Four criteria for benefits and five environmental risk criteria were selected </w:t>
      </w:r>
      <w:r w:rsidR="000D094C" w:rsidRPr="00F748D0">
        <w:t>through discussions of the author group t</w:t>
      </w:r>
      <w:r w:rsidR="00CE4FC7" w:rsidRPr="00F748D0">
        <w:t xml:space="preserve">o represent important </w:t>
      </w:r>
      <w:r w:rsidR="000D094C" w:rsidRPr="00F748D0">
        <w:t xml:space="preserve">benefit and risk </w:t>
      </w:r>
      <w:r w:rsidR="00CE4FC7" w:rsidRPr="00F748D0">
        <w:t xml:space="preserve">aspects. </w:t>
      </w:r>
      <w:r w:rsidR="00A94044" w:rsidRPr="00F748D0">
        <w:t>The benefit criteria selected for demonstration foc</w:t>
      </w:r>
      <w:r w:rsidR="000D191C" w:rsidRPr="00F748D0">
        <w:t xml:space="preserve">us on application of VMPs for prevention and treatment of disease. </w:t>
      </w:r>
      <w:r w:rsidR="001810BA" w:rsidRPr="00F748D0">
        <w:t>T</w:t>
      </w:r>
      <w:r w:rsidR="000D191C" w:rsidRPr="00F748D0">
        <w:t xml:space="preserve">he definition of VMPs </w:t>
      </w:r>
      <w:r w:rsidR="001810BA" w:rsidRPr="00F748D0">
        <w:t xml:space="preserve">in Directive 2001/82/EC also </w:t>
      </w:r>
      <w:r w:rsidR="000D191C" w:rsidRPr="00F748D0">
        <w:t>include</w:t>
      </w:r>
      <w:r w:rsidR="001810BA" w:rsidRPr="00F748D0">
        <w:t>s</w:t>
      </w:r>
      <w:r w:rsidR="000D191C" w:rsidRPr="00F748D0">
        <w:t xml:space="preserve"> products for </w:t>
      </w:r>
      <w:r w:rsidR="003A4622" w:rsidRPr="00F748D0">
        <w:t>restoring, correcting or modifying physiological functions</w:t>
      </w:r>
      <w:r w:rsidR="008D2C98" w:rsidRPr="00F748D0">
        <w:t xml:space="preserve"> </w:t>
      </w:r>
      <w:r w:rsidR="003A4622" w:rsidRPr="00F748D0">
        <w:t xml:space="preserve">or to </w:t>
      </w:r>
      <w:r w:rsidR="000D191C" w:rsidRPr="00F748D0">
        <w:t>support</w:t>
      </w:r>
      <w:r w:rsidR="003A4622" w:rsidRPr="00F748D0">
        <w:t xml:space="preserve"> medical diagnosis (European Parliament 2004a).</w:t>
      </w:r>
      <w:r w:rsidR="00A94044" w:rsidRPr="00F748D0">
        <w:t xml:space="preserve"> </w:t>
      </w:r>
      <w:r w:rsidR="005F1B10" w:rsidRPr="00F748D0">
        <w:t xml:space="preserve">Criteria </w:t>
      </w:r>
      <w:r w:rsidR="003A70F5" w:rsidRPr="00F748D0">
        <w:t>for the benefits</w:t>
      </w:r>
      <w:r w:rsidR="005F1B10" w:rsidRPr="00F748D0">
        <w:t xml:space="preserve"> </w:t>
      </w:r>
      <w:r w:rsidR="00BB6F8A" w:rsidRPr="00F748D0">
        <w:t>c</w:t>
      </w:r>
      <w:r w:rsidR="005F1B10" w:rsidRPr="00F748D0">
        <w:t xml:space="preserve">an be adapted to </w:t>
      </w:r>
      <w:r w:rsidR="00BB6F8A" w:rsidRPr="00F748D0">
        <w:t xml:space="preserve">consider products those benefits are not specific to disease (e.g., oestrus synchronization to </w:t>
      </w:r>
      <w:r w:rsidR="007D06FD" w:rsidRPr="00F748D0">
        <w:t>increase</w:t>
      </w:r>
      <w:r w:rsidR="00BB6F8A" w:rsidRPr="00F748D0">
        <w:t xml:space="preserve"> </w:t>
      </w:r>
      <w:r w:rsidR="007D06FD" w:rsidRPr="00F748D0">
        <w:t>reproduction</w:t>
      </w:r>
      <w:r w:rsidR="00BB6F8A" w:rsidRPr="00F748D0">
        <w:t xml:space="preserve">). </w:t>
      </w:r>
      <w:r w:rsidR="00CE4FC7" w:rsidRPr="00F748D0">
        <w:t xml:space="preserve">The four </w:t>
      </w:r>
      <w:r w:rsidR="003A70F5" w:rsidRPr="00F748D0">
        <w:t xml:space="preserve">example </w:t>
      </w:r>
      <w:r w:rsidR="00CE4FC7" w:rsidRPr="00F748D0">
        <w:t>benefits criteria are: (i) efficacy</w:t>
      </w:r>
      <w:r w:rsidR="00B74592" w:rsidRPr="00F748D0">
        <w:t>; (ii) resistance; (iii) severity;</w:t>
      </w:r>
      <w:r w:rsidR="00CE4FC7" w:rsidRPr="00F748D0">
        <w:t xml:space="preserve"> and, </w:t>
      </w:r>
      <w:proofErr w:type="gramStart"/>
      <w:r w:rsidR="00CE4FC7" w:rsidRPr="00F748D0">
        <w:t>(iv) disease</w:t>
      </w:r>
      <w:proofErr w:type="gramEnd"/>
      <w:r w:rsidR="00CE4FC7" w:rsidRPr="00F748D0">
        <w:t xml:space="preserve"> distribution. </w:t>
      </w:r>
      <w:r w:rsidR="00211FC0" w:rsidRPr="00F748D0">
        <w:t>To empathize our focus on the concepts we do not suggest thresholds</w:t>
      </w:r>
      <w:r w:rsidR="00922D53" w:rsidRPr="00F748D0">
        <w:t xml:space="preserve"> but briefly discuss quantification options.</w:t>
      </w:r>
      <w:r w:rsidR="00211FC0" w:rsidRPr="00F748D0">
        <w:t xml:space="preserve"> </w:t>
      </w:r>
    </w:p>
    <w:p w14:paraId="152D92A9" w14:textId="4E3B8735" w:rsidR="002C40B9" w:rsidRPr="00F748D0" w:rsidRDefault="00A4217C" w:rsidP="00B01499">
      <w:r w:rsidRPr="00F748D0">
        <w:t xml:space="preserve">The first </w:t>
      </w:r>
      <w:r w:rsidR="00E703A9" w:rsidRPr="00F748D0">
        <w:t xml:space="preserve">benefit </w:t>
      </w:r>
      <w:r w:rsidRPr="00F748D0">
        <w:t xml:space="preserve">criterion </w:t>
      </w:r>
      <w:r w:rsidR="00E05DBB" w:rsidRPr="00F748D0">
        <w:t xml:space="preserve">is </w:t>
      </w:r>
      <w:r w:rsidR="00D34CEB" w:rsidRPr="00F748D0">
        <w:t>efficacy</w:t>
      </w:r>
      <w:r w:rsidR="00E05DBB" w:rsidRPr="00F748D0">
        <w:t>, which</w:t>
      </w:r>
      <w:r w:rsidR="00D34CEB" w:rsidRPr="00F748D0">
        <w:t xml:space="preserve"> </w:t>
      </w:r>
      <w:r w:rsidR="00A97CCA" w:rsidRPr="00F748D0">
        <w:t>consider</w:t>
      </w:r>
      <w:r w:rsidRPr="00F748D0">
        <w:t>s</w:t>
      </w:r>
      <w:r w:rsidR="00D34CEB" w:rsidRPr="00F748D0">
        <w:t xml:space="preserve"> how effective the VMP is in its specific treatment. The measurement of efficacy will be </w:t>
      </w:r>
      <w:r w:rsidR="00A97CCA" w:rsidRPr="00F748D0">
        <w:t>dependent on the type of drug</w:t>
      </w:r>
      <w:r w:rsidR="00E703A9" w:rsidRPr="00F748D0">
        <w:t xml:space="preserve"> and </w:t>
      </w:r>
      <w:r w:rsidR="00747E2E" w:rsidRPr="00F748D0">
        <w:t>would measure the success rate of the treatment</w:t>
      </w:r>
      <w:r w:rsidR="00A97CCA" w:rsidRPr="00F748D0">
        <w:t xml:space="preserve">. </w:t>
      </w:r>
      <w:r w:rsidR="008E47EC" w:rsidRPr="00F748D0">
        <w:t>S</w:t>
      </w:r>
      <w:r w:rsidR="00A97CCA" w:rsidRPr="00F748D0">
        <w:t>econd</w:t>
      </w:r>
      <w:r w:rsidR="008E47EC" w:rsidRPr="00F748D0">
        <w:t>,</w:t>
      </w:r>
      <w:r w:rsidR="00A97CCA" w:rsidRPr="00F748D0">
        <w:t xml:space="preserve"> </w:t>
      </w:r>
      <w:r w:rsidR="008E47EC" w:rsidRPr="00F748D0">
        <w:t>a resistance criterion could measure</w:t>
      </w:r>
      <w:r w:rsidR="00A97CCA" w:rsidRPr="00F748D0">
        <w:t xml:space="preserve"> the VMPs contribution to prevention of resistance</w:t>
      </w:r>
      <w:r w:rsidR="00D34CEB" w:rsidRPr="00F748D0">
        <w:t>, specifically for antimicrobials and antiparasiticides</w:t>
      </w:r>
      <w:r w:rsidR="00747E2E" w:rsidRPr="00F748D0">
        <w:t xml:space="preserve">. Quantification of the contribution of the VMP to the fight against resistance could measure specific tests against resistant strains or consider if the mode of action is different than available products and therefore likely to be effective against strains resistant to other </w:t>
      </w:r>
      <w:r w:rsidR="00E05DBB" w:rsidRPr="00F748D0">
        <w:t>VMPs</w:t>
      </w:r>
      <w:r w:rsidR="00747E2E" w:rsidRPr="00F748D0">
        <w:t>.</w:t>
      </w:r>
      <w:r w:rsidR="00D34CEB" w:rsidRPr="00F748D0">
        <w:t xml:space="preserve"> Third</w:t>
      </w:r>
      <w:r w:rsidR="008E47EC" w:rsidRPr="00F748D0">
        <w:t xml:space="preserve">, </w:t>
      </w:r>
      <w:r w:rsidR="00102FB6" w:rsidRPr="00F748D0">
        <w:t xml:space="preserve">a high disease severity, </w:t>
      </w:r>
      <w:r w:rsidR="00D34CEB" w:rsidRPr="00F748D0">
        <w:t>considers the consequences of non-treatment. For this criterion, the highest benefit would be treatments for life-threatening diseases</w:t>
      </w:r>
      <w:r w:rsidR="00747E2E" w:rsidRPr="00F748D0">
        <w:t>, ranking could be applied to quantify this criteria</w:t>
      </w:r>
      <w:r w:rsidR="00D34CEB" w:rsidRPr="00F748D0">
        <w:t xml:space="preserve">. </w:t>
      </w:r>
      <w:r w:rsidR="00102FB6" w:rsidRPr="00F748D0">
        <w:t>Finally, widely distributed</w:t>
      </w:r>
      <w:r w:rsidR="00D34CEB" w:rsidRPr="00F748D0">
        <w:t xml:space="preserve"> considers how many animals</w:t>
      </w:r>
      <w:r w:rsidR="00827456" w:rsidRPr="00F748D0">
        <w:t xml:space="preserve"> will</w:t>
      </w:r>
      <w:r w:rsidR="00D34CEB" w:rsidRPr="00F748D0">
        <w:t xml:space="preserve"> benefit from the VMP.</w:t>
      </w:r>
      <w:r w:rsidR="00F21CF5" w:rsidRPr="00F748D0">
        <w:t xml:space="preserve"> </w:t>
      </w:r>
      <w:r w:rsidR="00747E2E" w:rsidRPr="00F748D0">
        <w:t xml:space="preserve"> </w:t>
      </w:r>
      <w:r w:rsidR="00D34CEB" w:rsidRPr="00F748D0">
        <w:t xml:space="preserve"> </w:t>
      </w:r>
    </w:p>
    <w:p w14:paraId="0D58C484" w14:textId="7C83D604" w:rsidR="001D49FF" w:rsidRPr="00F748D0" w:rsidRDefault="002C40B9" w:rsidP="002C40B9">
      <w:r w:rsidRPr="00F748D0">
        <w:t xml:space="preserve">Environmental </w:t>
      </w:r>
      <w:r w:rsidR="00B01499" w:rsidRPr="00F748D0">
        <w:t xml:space="preserve">risk </w:t>
      </w:r>
      <w:r w:rsidRPr="00F748D0">
        <w:t xml:space="preserve">categorization applied five </w:t>
      </w:r>
      <w:r w:rsidR="00B01499" w:rsidRPr="00F748D0">
        <w:t>criteria: (i) PBT/vPvB</w:t>
      </w:r>
      <w:r w:rsidR="00B74592" w:rsidRPr="00F748D0">
        <w:t>;</w:t>
      </w:r>
      <w:r w:rsidR="00B01499" w:rsidRPr="00F748D0">
        <w:t xml:space="preserve"> (ii) PECgw</w:t>
      </w:r>
      <w:r w:rsidR="00B74592" w:rsidRPr="00F748D0">
        <w:t>;</w:t>
      </w:r>
      <w:r w:rsidR="00B01499" w:rsidRPr="00F748D0">
        <w:t xml:space="preserve"> (iii) RQ</w:t>
      </w:r>
      <w:r w:rsidR="00B74592" w:rsidRPr="00F748D0">
        <w:t>;</w:t>
      </w:r>
      <w:r w:rsidR="00B01499" w:rsidRPr="00F748D0">
        <w:t xml:space="preserve"> </w:t>
      </w:r>
      <w:proofErr w:type="gramStart"/>
      <w:r w:rsidR="00B01499" w:rsidRPr="00F748D0">
        <w:t>(iv)</w:t>
      </w:r>
      <w:r w:rsidR="00B74592" w:rsidRPr="00F748D0">
        <w:t xml:space="preserve"> spatial</w:t>
      </w:r>
      <w:proofErr w:type="gramEnd"/>
      <w:r w:rsidR="00B74592" w:rsidRPr="00F748D0">
        <w:t xml:space="preserve"> risk;</w:t>
      </w:r>
      <w:r w:rsidR="00B01499" w:rsidRPr="00F748D0">
        <w:t xml:space="preserve"> and, (v) temporal risk. </w:t>
      </w:r>
      <w:r w:rsidR="00D34CEB" w:rsidRPr="00F748D0">
        <w:t>The first three (PBT/vPvB, PECgw, and RQ) result from the environmental risk assessment</w:t>
      </w:r>
      <w:r w:rsidR="008706F9" w:rsidRPr="00F748D0">
        <w:t xml:space="preserve"> and</w:t>
      </w:r>
      <w:r w:rsidR="00412D1E" w:rsidRPr="00F748D0">
        <w:t xml:space="preserve"> will be included in a market authorization application</w:t>
      </w:r>
      <w:r w:rsidR="00D34CEB" w:rsidRPr="00F748D0">
        <w:t xml:space="preserve">. These criteria have established thresholds </w:t>
      </w:r>
      <w:r w:rsidR="000F618E" w:rsidRPr="00F748D0">
        <w:t xml:space="preserve">(i.e. PBT/vPvB in EMA (2012a); RQ&lt;1; PECgw&lt;0.1µg/L). </w:t>
      </w:r>
      <w:r w:rsidR="00D34CEB" w:rsidRPr="00F748D0">
        <w:t xml:space="preserve">We also introduce a spatial and temporal category, which would capture </w:t>
      </w:r>
      <w:r w:rsidR="00651AA4" w:rsidRPr="00F748D0">
        <w:t>how widespread the severity of the risks are in time and space</w:t>
      </w:r>
      <w:r w:rsidR="00D34CEB" w:rsidRPr="00F748D0">
        <w:t xml:space="preserve"> and be evaluated for exceedances separately from the ERA risk criteria.</w:t>
      </w:r>
      <w:r w:rsidR="00795074" w:rsidRPr="00F748D0">
        <w:t xml:space="preserve"> </w:t>
      </w:r>
      <w:r w:rsidR="00A9742B" w:rsidRPr="00F748D0">
        <w:t xml:space="preserve">Setting the spatial and temporal criteria is further discussed in section 5. </w:t>
      </w:r>
    </w:p>
    <w:p w14:paraId="10F617C2" w14:textId="2A38A10D" w:rsidR="00FC0753" w:rsidRPr="00F748D0" w:rsidRDefault="002F2387" w:rsidP="00682D8D">
      <w:r w:rsidRPr="00F748D0">
        <w:t>The example benefit and risk criteria are applied selectively in the different categorization methodologies.</w:t>
      </w:r>
      <w:r w:rsidR="000A03C0" w:rsidRPr="00F748D0">
        <w:t xml:space="preserve"> Selection of criteria was adapted based on the intended application of the methodology.</w:t>
      </w:r>
      <w:r w:rsidRPr="00F748D0">
        <w:t xml:space="preserve"> </w:t>
      </w:r>
      <w:r w:rsidR="004B7554" w:rsidRPr="00F748D0">
        <w:t>The three approaches are: a</w:t>
      </w:r>
      <w:r w:rsidR="00E61FAA" w:rsidRPr="00F748D0">
        <w:t xml:space="preserve"> summative categorization, the visual scoring matrix and the comparative categorization (sections 3.1, 3.2, and 3.3, respectively). </w:t>
      </w:r>
      <w:r w:rsidR="004B7554" w:rsidRPr="00F748D0">
        <w:t xml:space="preserve">The selection of which approach to use will depend on the scenario being assessed and preferences of practitioners involved in the benefit-risk process. </w:t>
      </w:r>
      <w:r w:rsidR="001D49FF" w:rsidRPr="00F748D0">
        <w:t xml:space="preserve">Our aim in presenting these methods is to demonstrate different approaches to categorization of benefits and risks, not to provide absolute comparisons. </w:t>
      </w:r>
      <w:r w:rsidR="00FA4C0E" w:rsidRPr="00F748D0">
        <w:t>The</w:t>
      </w:r>
      <w:r w:rsidR="00131BC6" w:rsidRPr="00F748D0">
        <w:t xml:space="preserve"> selection of criteria and thresholds</w:t>
      </w:r>
      <w:r w:rsidR="00EA236F" w:rsidRPr="00F748D0">
        <w:t xml:space="preserve"> will </w:t>
      </w:r>
      <w:r w:rsidR="00807D58" w:rsidRPr="00F748D0">
        <w:t>be important for implementation</w:t>
      </w:r>
      <w:r w:rsidR="004B7554" w:rsidRPr="00F748D0">
        <w:t xml:space="preserve"> and this is </w:t>
      </w:r>
      <w:r w:rsidR="00EA236F" w:rsidRPr="00F748D0">
        <w:t>d</w:t>
      </w:r>
      <w:r w:rsidR="004B7554" w:rsidRPr="00F748D0">
        <w:t>i</w:t>
      </w:r>
      <w:r w:rsidR="00EA236F" w:rsidRPr="00F748D0">
        <w:t xml:space="preserve">scussed </w:t>
      </w:r>
      <w:r w:rsidR="004B7554" w:rsidRPr="00F748D0">
        <w:t>later</w:t>
      </w:r>
      <w:r w:rsidR="00EA236F" w:rsidRPr="00F748D0">
        <w:t xml:space="preserve">. </w:t>
      </w:r>
    </w:p>
    <w:p w14:paraId="15440251" w14:textId="629A4F41" w:rsidR="000B3A43" w:rsidRPr="001A75F9" w:rsidRDefault="00FC0753" w:rsidP="007935F5">
      <w:pPr>
        <w:pStyle w:val="NoSpacing"/>
        <w:ind w:firstLine="284"/>
        <w:rPr>
          <w:b/>
        </w:rPr>
      </w:pPr>
      <w:r w:rsidRPr="001A75F9">
        <w:rPr>
          <w:b/>
        </w:rPr>
        <w:t>3.</w:t>
      </w:r>
      <w:r w:rsidR="001F289E" w:rsidRPr="001A75F9">
        <w:rPr>
          <w:b/>
        </w:rPr>
        <w:t>1</w:t>
      </w:r>
      <w:r w:rsidR="00F425FF" w:rsidRPr="001A75F9">
        <w:tab/>
      </w:r>
      <w:r w:rsidR="000B3A43" w:rsidRPr="001A75F9">
        <w:rPr>
          <w:b/>
          <w:i/>
        </w:rPr>
        <w:t xml:space="preserve">Summative </w:t>
      </w:r>
      <w:r w:rsidR="00B71483" w:rsidRPr="001A75F9">
        <w:rPr>
          <w:b/>
          <w:i/>
        </w:rPr>
        <w:t>categorization method</w:t>
      </w:r>
    </w:p>
    <w:p w14:paraId="59000FF5" w14:textId="35D8EFFE" w:rsidR="005D7314" w:rsidRPr="001A75F9" w:rsidRDefault="00F425FF" w:rsidP="008B469A">
      <w:pPr>
        <w:sectPr w:rsidR="005D7314" w:rsidRPr="001A75F9" w:rsidSect="00E10DDD">
          <w:footerReference w:type="even" r:id="rId18"/>
          <w:footerReference w:type="default" r:id="rId19"/>
          <w:pgSz w:w="12240" w:h="15840"/>
          <w:pgMar w:top="1440" w:right="1800" w:bottom="1440" w:left="1800" w:header="708" w:footer="708" w:gutter="0"/>
          <w:lnNumType w:countBy="1" w:restart="continuous"/>
          <w:cols w:space="708"/>
          <w:docGrid w:linePitch="360"/>
        </w:sectPr>
      </w:pPr>
      <w:r w:rsidRPr="001A75F9">
        <w:t>S</w:t>
      </w:r>
      <w:r w:rsidR="00C55A31" w:rsidRPr="001A75F9">
        <w:t xml:space="preserve">ummative categorization </w:t>
      </w:r>
      <w:r w:rsidR="00F0392D" w:rsidRPr="001A75F9">
        <w:t xml:space="preserve">supports the application of a decision rule (e.g., the benefit level must be equal </w:t>
      </w:r>
      <w:r w:rsidR="00A87312" w:rsidRPr="001A75F9">
        <w:t xml:space="preserve">to </w:t>
      </w:r>
      <w:r w:rsidR="00F0392D" w:rsidRPr="001A75F9">
        <w:t xml:space="preserve">or greater than the risk level for authorization). It </w:t>
      </w:r>
      <w:r w:rsidR="00467FDA" w:rsidRPr="001A75F9">
        <w:t xml:space="preserve">defines levels of benefits and risks through combinations of threshold exceedances. </w:t>
      </w:r>
      <w:r w:rsidR="004016FE" w:rsidRPr="001A75F9">
        <w:t>The method is demonstrated in Table 1 with 5 levels of benefits (left) and risks (right). The highest level</w:t>
      </w:r>
      <w:r w:rsidR="00F0392D" w:rsidRPr="001A75F9">
        <w:t xml:space="preserve"> (5) is</w:t>
      </w:r>
      <w:r w:rsidR="004016FE" w:rsidRPr="001A75F9">
        <w:t xml:space="preserve"> set by exceedance of all criteria.</w:t>
      </w:r>
      <w:r w:rsidRPr="001A75F9">
        <w:t xml:space="preserve"> T</w:t>
      </w:r>
      <w:r w:rsidR="00F0392D" w:rsidRPr="001A75F9">
        <w:t>he lowest level (1) is</w:t>
      </w:r>
      <w:r w:rsidRPr="001A75F9">
        <w:t xml:space="preserve"> set by all criteria being met.</w:t>
      </w:r>
      <w:r w:rsidR="00512E25" w:rsidRPr="001A75F9">
        <w:t xml:space="preserve"> Different combinations of exceedance and non-exceedance define intermediate levels.</w:t>
      </w:r>
      <w:r w:rsidR="00F95D8B" w:rsidRPr="001A75F9">
        <w:t xml:space="preserve"> </w:t>
      </w:r>
      <w:r w:rsidR="003E7CCB" w:rsidRPr="001A75F9">
        <w:t>Th</w:t>
      </w:r>
      <w:r w:rsidR="001D44C1" w:rsidRPr="001A75F9">
        <w:t>is</w:t>
      </w:r>
      <w:r w:rsidR="003E7CCB" w:rsidRPr="001A75F9">
        <w:t xml:space="preserve"> first approach </w:t>
      </w:r>
      <w:r w:rsidR="001938DB" w:rsidRPr="001A75F9">
        <w:t xml:space="preserve">is very simple and </w:t>
      </w:r>
      <w:r w:rsidR="003D6217" w:rsidRPr="001A75F9">
        <w:t>involves a direct comparison of risk and benefit levels for different endpoints</w:t>
      </w:r>
      <w:r w:rsidR="001938DB" w:rsidRPr="001A75F9">
        <w:t xml:space="preserve">. </w:t>
      </w:r>
      <w:r w:rsidR="001D44C1" w:rsidRPr="001A75F9">
        <w:t xml:space="preserve"> </w:t>
      </w:r>
      <w:r w:rsidR="001938DB" w:rsidRPr="001A75F9">
        <w:t xml:space="preserve">The </w:t>
      </w:r>
      <w:r w:rsidR="003E7CCB" w:rsidRPr="001A75F9">
        <w:t>second approach</w:t>
      </w:r>
      <w:r w:rsidR="001D44C1" w:rsidRPr="001A75F9">
        <w:t xml:space="preserve"> </w:t>
      </w:r>
      <w:r w:rsidR="003E7CCB" w:rsidRPr="001A75F9">
        <w:t xml:space="preserve">is more complex </w:t>
      </w:r>
      <w:r w:rsidR="003D6217" w:rsidRPr="001A75F9">
        <w:t>and</w:t>
      </w:r>
      <w:r w:rsidR="003E7CCB" w:rsidRPr="001A75F9">
        <w:t xml:space="preserve"> provides more information on where the risks and benefits lie and is designed to promote discussion and debate around the authorisation of a VMP.</w:t>
      </w:r>
    </w:p>
    <w:p w14:paraId="72AFD772" w14:textId="77777777" w:rsidR="00E838C9" w:rsidRPr="001A75F9" w:rsidRDefault="00E838C9" w:rsidP="00E838C9">
      <w:pPr>
        <w:pStyle w:val="NoSpacing"/>
      </w:pPr>
      <w:r w:rsidRPr="001A75F9">
        <w:rPr>
          <w:b/>
        </w:rPr>
        <w:t>Table 1.</w:t>
      </w:r>
      <w:r w:rsidRPr="001A75F9">
        <w:t xml:space="preserve"> A summative</w:t>
      </w:r>
      <w:r w:rsidRPr="001A75F9">
        <w:rPr>
          <w:b/>
        </w:rPr>
        <w:t xml:space="preserve"> </w:t>
      </w:r>
      <w:r w:rsidRPr="001A75F9">
        <w:t xml:space="preserve">classification system for treatment benefits (left) and environmental risks (right) of a VMP; thresholds for potential criteria can vary (see text for further details).  Green colors differing in intensity indicate desirable benefits. Red colors differing in intensity indicate degree of exceedances. </w:t>
      </w:r>
      <w:proofErr w:type="gramStart"/>
      <w:r w:rsidRPr="001A75F9">
        <w:rPr>
          <w:rFonts w:cs="Times New Roman"/>
          <w:vertAlign w:val="superscript"/>
        </w:rPr>
        <w:t>a</w:t>
      </w:r>
      <w:r w:rsidRPr="001A75F9">
        <w:rPr>
          <w:rFonts w:cs="Times New Roman"/>
        </w:rPr>
        <w:t>Persistent</w:t>
      </w:r>
      <w:proofErr w:type="gramEnd"/>
      <w:r w:rsidRPr="001A75F9">
        <w:rPr>
          <w:rFonts w:cs="Times New Roman"/>
        </w:rPr>
        <w:t xml:space="preserve">, bioaccumulative, toxic (PBT)/very persistent, very bioaccumulative (vPvB) criteria defined in EMA (2012a); </w:t>
      </w:r>
      <w:r w:rsidRPr="001A75F9">
        <w:rPr>
          <w:rFonts w:cs="Times New Roman"/>
          <w:vertAlign w:val="superscript"/>
        </w:rPr>
        <w:t>b</w:t>
      </w:r>
      <w:r w:rsidRPr="001A75F9">
        <w:rPr>
          <w:rFonts w:cs="Times New Roman"/>
        </w:rPr>
        <w:t xml:space="preserve">Predicted exposure concentration for groundwater; </w:t>
      </w:r>
      <w:r w:rsidRPr="001A75F9">
        <w:rPr>
          <w:rFonts w:cs="Times New Roman"/>
          <w:vertAlign w:val="superscript"/>
        </w:rPr>
        <w:t>c</w:t>
      </w:r>
      <w:r w:rsidRPr="001A75F9">
        <w:rPr>
          <w:rFonts w:cs="Times New Roman"/>
        </w:rPr>
        <w:t>Risk quotient (predicted exposure concentration / predicted no effects concentration).</w:t>
      </w:r>
    </w:p>
    <w:tbl>
      <w:tblPr>
        <w:tblW w:w="12915" w:type="dxa"/>
        <w:tblInd w:w="93" w:type="dxa"/>
        <w:tblLayout w:type="fixed"/>
        <w:tblLook w:val="04A0" w:firstRow="1" w:lastRow="0" w:firstColumn="1" w:lastColumn="0" w:noHBand="0" w:noVBand="1"/>
      </w:tblPr>
      <w:tblGrid>
        <w:gridCol w:w="1090"/>
        <w:gridCol w:w="1203"/>
        <w:gridCol w:w="1691"/>
        <w:gridCol w:w="1134"/>
        <w:gridCol w:w="1276"/>
        <w:gridCol w:w="1134"/>
        <w:gridCol w:w="1134"/>
        <w:gridCol w:w="1134"/>
        <w:gridCol w:w="851"/>
        <w:gridCol w:w="992"/>
        <w:gridCol w:w="1276"/>
      </w:tblGrid>
      <w:tr w:rsidR="00E838C9" w:rsidRPr="001A75F9" w14:paraId="3A1CF44E" w14:textId="77777777" w:rsidTr="00613976">
        <w:trPr>
          <w:trHeight w:val="320"/>
        </w:trPr>
        <w:tc>
          <w:tcPr>
            <w:tcW w:w="6394" w:type="dxa"/>
            <w:gridSpan w:val="5"/>
            <w:tcBorders>
              <w:top w:val="single" w:sz="4" w:space="0" w:color="auto"/>
              <w:left w:val="single" w:sz="4" w:space="0" w:color="auto"/>
              <w:bottom w:val="single" w:sz="4" w:space="0" w:color="auto"/>
              <w:right w:val="double" w:sz="6" w:space="0" w:color="000000"/>
            </w:tcBorders>
            <w:shd w:val="clear" w:color="auto" w:fill="auto"/>
            <w:noWrap/>
            <w:vAlign w:val="bottom"/>
            <w:hideMark/>
          </w:tcPr>
          <w:p w14:paraId="5EE937CF" w14:textId="77777777" w:rsidR="00E838C9" w:rsidRPr="001A75F9" w:rsidRDefault="00E838C9" w:rsidP="00613976">
            <w:pPr>
              <w:pStyle w:val="NoSpacing"/>
              <w:ind w:hanging="93"/>
            </w:pPr>
            <w:r w:rsidRPr="001A75F9">
              <w:t>BENEFIT</w:t>
            </w:r>
          </w:p>
        </w:tc>
        <w:tc>
          <w:tcPr>
            <w:tcW w:w="652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0EE2BB" w14:textId="77777777" w:rsidR="00E838C9" w:rsidRPr="001A75F9" w:rsidRDefault="00E838C9" w:rsidP="00613976">
            <w:pPr>
              <w:pStyle w:val="NoSpacing"/>
              <w:ind w:hanging="93"/>
            </w:pPr>
            <w:r w:rsidRPr="001A75F9">
              <w:t>RISK</w:t>
            </w:r>
          </w:p>
        </w:tc>
      </w:tr>
      <w:tr w:rsidR="00E838C9" w:rsidRPr="001A75F9" w14:paraId="57078523" w14:textId="77777777" w:rsidTr="00613976">
        <w:trPr>
          <w:trHeight w:val="320"/>
        </w:trPr>
        <w:tc>
          <w:tcPr>
            <w:tcW w:w="1090" w:type="dxa"/>
            <w:tcBorders>
              <w:top w:val="nil"/>
              <w:left w:val="single" w:sz="4" w:space="0" w:color="auto"/>
              <w:bottom w:val="nil"/>
              <w:right w:val="single" w:sz="4" w:space="0" w:color="auto"/>
            </w:tcBorders>
            <w:shd w:val="clear" w:color="auto" w:fill="auto"/>
            <w:hideMark/>
          </w:tcPr>
          <w:p w14:paraId="03D51C0C" w14:textId="77777777" w:rsidR="00E838C9" w:rsidRPr="001A75F9" w:rsidRDefault="00E838C9" w:rsidP="00613976">
            <w:pPr>
              <w:pStyle w:val="NoSpacing"/>
              <w:ind w:hanging="93"/>
            </w:pPr>
          </w:p>
        </w:tc>
        <w:tc>
          <w:tcPr>
            <w:tcW w:w="5304" w:type="dxa"/>
            <w:gridSpan w:val="4"/>
            <w:tcBorders>
              <w:top w:val="nil"/>
              <w:left w:val="single" w:sz="4" w:space="0" w:color="auto"/>
              <w:bottom w:val="single" w:sz="4" w:space="0" w:color="auto"/>
              <w:right w:val="nil"/>
            </w:tcBorders>
            <w:shd w:val="clear" w:color="auto" w:fill="auto"/>
            <w:vAlign w:val="center"/>
            <w:hideMark/>
          </w:tcPr>
          <w:p w14:paraId="21A1A552" w14:textId="77777777" w:rsidR="00E838C9" w:rsidRPr="001A75F9" w:rsidRDefault="00E838C9" w:rsidP="00613976">
            <w:pPr>
              <w:pStyle w:val="NoSpacing"/>
              <w:ind w:hanging="93"/>
            </w:pPr>
            <w:r w:rsidRPr="001A75F9">
              <w:t>Potential criteria</w:t>
            </w:r>
          </w:p>
        </w:tc>
        <w:tc>
          <w:tcPr>
            <w:tcW w:w="1134" w:type="dxa"/>
            <w:tcBorders>
              <w:top w:val="nil"/>
              <w:left w:val="double" w:sz="6" w:space="0" w:color="auto"/>
              <w:bottom w:val="single" w:sz="4" w:space="0" w:color="auto"/>
              <w:right w:val="single" w:sz="4" w:space="0" w:color="auto"/>
            </w:tcBorders>
            <w:shd w:val="clear" w:color="auto" w:fill="auto"/>
            <w:hideMark/>
          </w:tcPr>
          <w:p w14:paraId="514FEDAA" w14:textId="77777777" w:rsidR="00E838C9" w:rsidRPr="001A75F9" w:rsidRDefault="00E838C9" w:rsidP="00613976">
            <w:pPr>
              <w:pStyle w:val="NoSpacing"/>
              <w:ind w:hanging="93"/>
            </w:pPr>
            <w:r w:rsidRPr="001A75F9">
              <w:t> </w:t>
            </w:r>
          </w:p>
        </w:tc>
        <w:tc>
          <w:tcPr>
            <w:tcW w:w="5387" w:type="dxa"/>
            <w:gridSpan w:val="5"/>
            <w:tcBorders>
              <w:top w:val="nil"/>
              <w:left w:val="nil"/>
              <w:bottom w:val="single" w:sz="4" w:space="0" w:color="auto"/>
              <w:right w:val="single" w:sz="4" w:space="0" w:color="auto"/>
            </w:tcBorders>
            <w:shd w:val="clear" w:color="auto" w:fill="auto"/>
            <w:vAlign w:val="center"/>
            <w:hideMark/>
          </w:tcPr>
          <w:p w14:paraId="025D796A" w14:textId="77777777" w:rsidR="00E838C9" w:rsidRPr="001A75F9" w:rsidRDefault="00E838C9" w:rsidP="00613976">
            <w:pPr>
              <w:pStyle w:val="NoSpacing"/>
              <w:ind w:hanging="93"/>
            </w:pPr>
            <w:r w:rsidRPr="001A75F9">
              <w:t>Potential criteria</w:t>
            </w:r>
          </w:p>
        </w:tc>
      </w:tr>
      <w:tr w:rsidR="00E838C9" w:rsidRPr="001A75F9" w14:paraId="189F2D7E" w14:textId="77777777" w:rsidTr="00613976">
        <w:trPr>
          <w:trHeight w:val="880"/>
        </w:trPr>
        <w:tc>
          <w:tcPr>
            <w:tcW w:w="1090" w:type="dxa"/>
            <w:tcBorders>
              <w:top w:val="single" w:sz="4" w:space="0" w:color="auto"/>
              <w:left w:val="single" w:sz="4" w:space="0" w:color="auto"/>
              <w:bottom w:val="nil"/>
              <w:right w:val="single" w:sz="4" w:space="0" w:color="auto"/>
            </w:tcBorders>
            <w:shd w:val="clear" w:color="auto" w:fill="auto"/>
            <w:vAlign w:val="center"/>
            <w:hideMark/>
          </w:tcPr>
          <w:p w14:paraId="568B814F" w14:textId="77777777" w:rsidR="00E838C9" w:rsidRPr="001A75F9" w:rsidRDefault="00E838C9" w:rsidP="00613976">
            <w:pPr>
              <w:pStyle w:val="NoSpacing"/>
              <w:ind w:left="49" w:hanging="93"/>
            </w:pPr>
            <w:r w:rsidRPr="001A75F9">
              <w:t>Levels</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40EC8C44" w14:textId="77777777" w:rsidR="00E838C9" w:rsidRPr="001A75F9" w:rsidRDefault="00E838C9" w:rsidP="00585756">
            <w:pPr>
              <w:pStyle w:val="NoSpacing"/>
              <w:ind w:left="49" w:hanging="93"/>
              <w:jc w:val="center"/>
              <w:rPr>
                <w:rFonts w:cs="Times New Roman"/>
                <w:lang w:val="en-GB"/>
              </w:rPr>
            </w:pPr>
            <w:r w:rsidRPr="001A75F9">
              <w:t>High efficacy</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DB01" w14:textId="77777777" w:rsidR="00E838C9" w:rsidRPr="001A75F9" w:rsidRDefault="00E838C9" w:rsidP="00585756">
            <w:pPr>
              <w:pStyle w:val="NoSpacing"/>
              <w:ind w:left="49" w:hanging="93"/>
              <w:jc w:val="center"/>
              <w:rPr>
                <w:rFonts w:cs="Times New Roman"/>
                <w:lang w:val="en-GB"/>
              </w:rPr>
            </w:pPr>
            <w:r w:rsidRPr="001A75F9">
              <w:t>Contributing to fight against resistance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8815" w14:textId="77777777" w:rsidR="00E838C9" w:rsidRPr="001A75F9" w:rsidRDefault="00E838C9" w:rsidP="00585756">
            <w:pPr>
              <w:pStyle w:val="NoSpacing"/>
              <w:ind w:left="49" w:hanging="93"/>
              <w:jc w:val="center"/>
              <w:rPr>
                <w:rFonts w:cs="Times New Roman"/>
                <w:lang w:val="en-GB"/>
              </w:rPr>
            </w:pPr>
            <w:r w:rsidRPr="001A75F9">
              <w:t>High disease severity</w:t>
            </w:r>
          </w:p>
        </w:tc>
        <w:tc>
          <w:tcPr>
            <w:tcW w:w="127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0C7BD9" w14:textId="77777777" w:rsidR="00E838C9" w:rsidRPr="001A75F9" w:rsidRDefault="00E838C9" w:rsidP="00585756">
            <w:pPr>
              <w:pStyle w:val="NoSpacing"/>
              <w:ind w:left="49" w:right="-108" w:hanging="93"/>
              <w:jc w:val="center"/>
              <w:rPr>
                <w:rFonts w:cs="Times New Roman"/>
                <w:lang w:val="en-GB"/>
              </w:rPr>
            </w:pPr>
            <w:r w:rsidRPr="001A75F9">
              <w:t>Widely distributed</w:t>
            </w:r>
          </w:p>
        </w:tc>
        <w:tc>
          <w:tcPr>
            <w:tcW w:w="1134" w:type="dxa"/>
            <w:tcBorders>
              <w:top w:val="nil"/>
              <w:left w:val="double" w:sz="4" w:space="0" w:color="auto"/>
              <w:bottom w:val="single" w:sz="4" w:space="0" w:color="auto"/>
              <w:right w:val="single" w:sz="4" w:space="0" w:color="auto"/>
            </w:tcBorders>
            <w:shd w:val="clear" w:color="auto" w:fill="auto"/>
            <w:vAlign w:val="center"/>
            <w:hideMark/>
          </w:tcPr>
          <w:p w14:paraId="43F8152A" w14:textId="77777777" w:rsidR="00E838C9" w:rsidRPr="001A75F9" w:rsidRDefault="00E838C9" w:rsidP="00585756">
            <w:pPr>
              <w:pStyle w:val="NoSpacing"/>
              <w:ind w:left="49" w:hanging="93"/>
              <w:jc w:val="center"/>
              <w:rPr>
                <w:rFonts w:cs="Times New Roman"/>
                <w:lang w:val="en-GB"/>
              </w:rPr>
            </w:pPr>
            <w:r w:rsidRPr="001A75F9">
              <w:t>Levels</w:t>
            </w:r>
          </w:p>
        </w:tc>
        <w:tc>
          <w:tcPr>
            <w:tcW w:w="1134" w:type="dxa"/>
            <w:tcBorders>
              <w:top w:val="nil"/>
              <w:left w:val="nil"/>
              <w:bottom w:val="single" w:sz="4" w:space="0" w:color="auto"/>
              <w:right w:val="single" w:sz="4" w:space="0" w:color="auto"/>
            </w:tcBorders>
            <w:shd w:val="clear" w:color="auto" w:fill="auto"/>
            <w:vAlign w:val="center"/>
            <w:hideMark/>
          </w:tcPr>
          <w:p w14:paraId="1F50C43A" w14:textId="77777777" w:rsidR="00E838C9" w:rsidRPr="001A75F9" w:rsidRDefault="00E838C9" w:rsidP="00585756">
            <w:pPr>
              <w:pStyle w:val="NoSpacing"/>
              <w:ind w:left="49" w:hanging="93"/>
              <w:jc w:val="center"/>
              <w:rPr>
                <w:rFonts w:cs="Times New Roman"/>
                <w:lang w:val="en-GB"/>
              </w:rPr>
            </w:pPr>
            <w:r w:rsidRPr="001A75F9">
              <w:t>PBT /vPvB</w:t>
            </w:r>
            <w:r w:rsidRPr="001A75F9">
              <w:rPr>
                <w:vertAlign w:val="superscript"/>
              </w:rPr>
              <w:t>a</w:t>
            </w:r>
          </w:p>
        </w:tc>
        <w:tc>
          <w:tcPr>
            <w:tcW w:w="1134" w:type="dxa"/>
            <w:tcBorders>
              <w:top w:val="nil"/>
              <w:left w:val="nil"/>
              <w:bottom w:val="single" w:sz="4" w:space="0" w:color="auto"/>
              <w:right w:val="single" w:sz="4" w:space="0" w:color="auto"/>
            </w:tcBorders>
            <w:shd w:val="clear" w:color="auto" w:fill="auto"/>
            <w:vAlign w:val="center"/>
            <w:hideMark/>
          </w:tcPr>
          <w:p w14:paraId="7884A1FC" w14:textId="77777777" w:rsidR="00E838C9" w:rsidRPr="001A75F9" w:rsidRDefault="00E838C9" w:rsidP="00585756">
            <w:pPr>
              <w:pStyle w:val="NoSpacing"/>
              <w:ind w:left="49" w:hanging="93"/>
              <w:jc w:val="center"/>
              <w:rPr>
                <w:rFonts w:cs="Times New Roman"/>
                <w:lang w:val="en-GB"/>
              </w:rPr>
            </w:pPr>
            <w:r w:rsidRPr="001A75F9">
              <w:t>PECgw</w:t>
            </w:r>
            <w:r w:rsidRPr="001A75F9">
              <w:rPr>
                <w:vertAlign w:val="superscript"/>
              </w:rPr>
              <w:t>b</w:t>
            </w:r>
          </w:p>
        </w:tc>
        <w:tc>
          <w:tcPr>
            <w:tcW w:w="851" w:type="dxa"/>
            <w:tcBorders>
              <w:top w:val="nil"/>
              <w:left w:val="nil"/>
              <w:bottom w:val="single" w:sz="4" w:space="0" w:color="auto"/>
              <w:right w:val="single" w:sz="4" w:space="0" w:color="auto"/>
            </w:tcBorders>
            <w:shd w:val="clear" w:color="auto" w:fill="auto"/>
            <w:vAlign w:val="center"/>
            <w:hideMark/>
          </w:tcPr>
          <w:p w14:paraId="1347343D" w14:textId="77777777" w:rsidR="00E838C9" w:rsidRPr="001A75F9" w:rsidRDefault="00E838C9" w:rsidP="00585756">
            <w:pPr>
              <w:pStyle w:val="NoSpacing"/>
              <w:ind w:left="49" w:hanging="93"/>
              <w:jc w:val="center"/>
              <w:rPr>
                <w:rFonts w:cs="Times New Roman"/>
                <w:lang w:val="en-GB"/>
              </w:rPr>
            </w:pPr>
            <w:r w:rsidRPr="001A75F9">
              <w:t>RQ</w:t>
            </w:r>
            <w:r w:rsidRPr="001A75F9">
              <w:rPr>
                <w:vertAlign w:val="superscript"/>
              </w:rPr>
              <w:t>c</w:t>
            </w:r>
          </w:p>
        </w:tc>
        <w:tc>
          <w:tcPr>
            <w:tcW w:w="992" w:type="dxa"/>
            <w:tcBorders>
              <w:top w:val="nil"/>
              <w:left w:val="nil"/>
              <w:bottom w:val="single" w:sz="4" w:space="0" w:color="auto"/>
              <w:right w:val="single" w:sz="4" w:space="0" w:color="auto"/>
            </w:tcBorders>
            <w:shd w:val="clear" w:color="auto" w:fill="auto"/>
            <w:vAlign w:val="center"/>
            <w:hideMark/>
          </w:tcPr>
          <w:p w14:paraId="2DABCD05" w14:textId="77777777" w:rsidR="00E838C9" w:rsidRPr="001A75F9" w:rsidRDefault="00E838C9" w:rsidP="00585756">
            <w:pPr>
              <w:pStyle w:val="NoSpacing"/>
              <w:ind w:left="33"/>
              <w:jc w:val="center"/>
              <w:rPr>
                <w:rFonts w:cs="Times New Roman"/>
                <w:lang w:val="en-GB"/>
              </w:rPr>
            </w:pPr>
            <w:r w:rsidRPr="001A75F9">
              <w:t>Spatial risk</w:t>
            </w:r>
          </w:p>
        </w:tc>
        <w:tc>
          <w:tcPr>
            <w:tcW w:w="1276" w:type="dxa"/>
            <w:tcBorders>
              <w:top w:val="nil"/>
              <w:left w:val="nil"/>
              <w:bottom w:val="single" w:sz="4" w:space="0" w:color="auto"/>
              <w:right w:val="single" w:sz="4" w:space="0" w:color="auto"/>
            </w:tcBorders>
            <w:shd w:val="clear" w:color="auto" w:fill="auto"/>
            <w:vAlign w:val="center"/>
            <w:hideMark/>
          </w:tcPr>
          <w:p w14:paraId="32E50FE2" w14:textId="77777777" w:rsidR="00E838C9" w:rsidRPr="001A75F9" w:rsidRDefault="00E838C9" w:rsidP="00585756">
            <w:pPr>
              <w:pStyle w:val="NoSpacing"/>
              <w:ind w:left="0"/>
              <w:jc w:val="center"/>
              <w:rPr>
                <w:rFonts w:cs="Times New Roman"/>
                <w:lang w:val="en-GB"/>
              </w:rPr>
            </w:pPr>
            <w:r w:rsidRPr="001A75F9">
              <w:t>Temporal risk</w:t>
            </w:r>
          </w:p>
        </w:tc>
      </w:tr>
      <w:tr w:rsidR="00E838C9" w:rsidRPr="001A75F9" w14:paraId="0AA294F1" w14:textId="77777777" w:rsidTr="00613976">
        <w:trPr>
          <w:trHeight w:val="320"/>
        </w:trPr>
        <w:tc>
          <w:tcPr>
            <w:tcW w:w="1090" w:type="dxa"/>
            <w:tcBorders>
              <w:top w:val="single" w:sz="4" w:space="0" w:color="auto"/>
              <w:left w:val="single" w:sz="4" w:space="0" w:color="auto"/>
              <w:bottom w:val="nil"/>
              <w:right w:val="single" w:sz="4" w:space="0" w:color="auto"/>
            </w:tcBorders>
            <w:shd w:val="clear" w:color="000000" w:fill="9BBB59"/>
            <w:vAlign w:val="center"/>
            <w:hideMark/>
          </w:tcPr>
          <w:p w14:paraId="2DA0ECD4" w14:textId="77777777" w:rsidR="00E838C9" w:rsidRPr="001A75F9" w:rsidRDefault="00E838C9" w:rsidP="00613976">
            <w:pPr>
              <w:pStyle w:val="NoSpacing"/>
              <w:ind w:left="49" w:hanging="93"/>
            </w:pPr>
            <w:r w:rsidRPr="001A75F9">
              <w:t xml:space="preserve">Level 5 </w:t>
            </w:r>
          </w:p>
        </w:tc>
        <w:tc>
          <w:tcPr>
            <w:tcW w:w="5304" w:type="dxa"/>
            <w:gridSpan w:val="4"/>
            <w:tcBorders>
              <w:top w:val="single" w:sz="4" w:space="0" w:color="auto"/>
              <w:left w:val="nil"/>
              <w:bottom w:val="nil"/>
              <w:right w:val="double" w:sz="6" w:space="0" w:color="000000"/>
            </w:tcBorders>
            <w:shd w:val="clear" w:color="000000" w:fill="9BBB59"/>
            <w:vAlign w:val="center"/>
            <w:hideMark/>
          </w:tcPr>
          <w:p w14:paraId="11AA4162" w14:textId="77777777" w:rsidR="00E838C9" w:rsidRPr="001A75F9" w:rsidRDefault="00E838C9" w:rsidP="00613976">
            <w:pPr>
              <w:pStyle w:val="NoSpacing"/>
              <w:ind w:left="49" w:hanging="93"/>
              <w:jc w:val="center"/>
            </w:pPr>
            <w:r w:rsidRPr="001A75F9">
              <w:t>Exceeds all criteria</w:t>
            </w:r>
          </w:p>
        </w:tc>
        <w:tc>
          <w:tcPr>
            <w:tcW w:w="1134" w:type="dxa"/>
            <w:tcBorders>
              <w:top w:val="nil"/>
              <w:left w:val="nil"/>
              <w:bottom w:val="single" w:sz="4" w:space="0" w:color="auto"/>
              <w:right w:val="single" w:sz="4" w:space="0" w:color="auto"/>
            </w:tcBorders>
            <w:shd w:val="clear" w:color="000000" w:fill="C0504D"/>
            <w:vAlign w:val="center"/>
            <w:hideMark/>
          </w:tcPr>
          <w:p w14:paraId="4B9B0133" w14:textId="77777777" w:rsidR="00E838C9" w:rsidRPr="001A75F9" w:rsidRDefault="00E838C9" w:rsidP="00613976">
            <w:pPr>
              <w:pStyle w:val="NoSpacing"/>
              <w:ind w:left="49" w:hanging="93"/>
            </w:pPr>
            <w:r w:rsidRPr="001A75F9">
              <w:t xml:space="preserve">Level 5 </w:t>
            </w:r>
          </w:p>
        </w:tc>
        <w:tc>
          <w:tcPr>
            <w:tcW w:w="5387" w:type="dxa"/>
            <w:gridSpan w:val="5"/>
            <w:tcBorders>
              <w:top w:val="single" w:sz="4" w:space="0" w:color="auto"/>
              <w:left w:val="nil"/>
              <w:bottom w:val="single" w:sz="4" w:space="0" w:color="auto"/>
              <w:right w:val="single" w:sz="4" w:space="0" w:color="auto"/>
            </w:tcBorders>
            <w:shd w:val="clear" w:color="000000" w:fill="C0504D"/>
            <w:vAlign w:val="center"/>
            <w:hideMark/>
          </w:tcPr>
          <w:p w14:paraId="1489EF00" w14:textId="77777777" w:rsidR="00E838C9" w:rsidRPr="001A75F9" w:rsidRDefault="00E838C9" w:rsidP="00613976">
            <w:pPr>
              <w:pStyle w:val="NoSpacing"/>
              <w:ind w:left="49" w:hanging="93"/>
              <w:jc w:val="center"/>
            </w:pPr>
            <w:r w:rsidRPr="001A75F9">
              <w:t>Exceeds all criteria</w:t>
            </w:r>
          </w:p>
        </w:tc>
      </w:tr>
      <w:tr w:rsidR="00E838C9" w:rsidRPr="001A75F9" w14:paraId="22FC27F9" w14:textId="77777777" w:rsidTr="00613976">
        <w:trPr>
          <w:trHeight w:val="300"/>
        </w:trPr>
        <w:tc>
          <w:tcPr>
            <w:tcW w:w="109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A388F09" w14:textId="77777777" w:rsidR="00E838C9" w:rsidRPr="001A75F9" w:rsidRDefault="00E838C9" w:rsidP="00613976">
            <w:pPr>
              <w:pStyle w:val="NoSpacing"/>
              <w:ind w:left="49" w:hanging="93"/>
            </w:pPr>
            <w:r w:rsidRPr="001A75F9">
              <w:t>Level 4</w:t>
            </w:r>
          </w:p>
        </w:tc>
        <w:tc>
          <w:tcPr>
            <w:tcW w:w="5304" w:type="dxa"/>
            <w:gridSpan w:val="4"/>
            <w:tcBorders>
              <w:top w:val="single" w:sz="4" w:space="0" w:color="auto"/>
              <w:left w:val="nil"/>
              <w:bottom w:val="single" w:sz="4" w:space="0" w:color="auto"/>
              <w:right w:val="double" w:sz="6" w:space="0" w:color="000000"/>
            </w:tcBorders>
            <w:shd w:val="clear" w:color="000000" w:fill="C4D79B"/>
            <w:vAlign w:val="center"/>
            <w:hideMark/>
          </w:tcPr>
          <w:p w14:paraId="06D40991" w14:textId="77777777" w:rsidR="00E838C9" w:rsidRPr="001A75F9" w:rsidRDefault="00E838C9" w:rsidP="00613976">
            <w:pPr>
              <w:pStyle w:val="NoSpacing"/>
              <w:ind w:left="49" w:hanging="93"/>
              <w:jc w:val="center"/>
            </w:pPr>
            <w:r w:rsidRPr="001A75F9">
              <w:t>Exceeds 3 criteria</w:t>
            </w:r>
          </w:p>
        </w:tc>
        <w:tc>
          <w:tcPr>
            <w:tcW w:w="1134" w:type="dxa"/>
            <w:tcBorders>
              <w:top w:val="nil"/>
              <w:left w:val="nil"/>
              <w:bottom w:val="single" w:sz="4" w:space="0" w:color="auto"/>
              <w:right w:val="single" w:sz="4" w:space="0" w:color="auto"/>
            </w:tcBorders>
            <w:shd w:val="clear" w:color="000000" w:fill="DA9694"/>
            <w:vAlign w:val="center"/>
            <w:hideMark/>
          </w:tcPr>
          <w:p w14:paraId="0F7FA31F" w14:textId="77777777" w:rsidR="00E838C9" w:rsidRPr="001A75F9" w:rsidRDefault="00E838C9" w:rsidP="00613976">
            <w:pPr>
              <w:pStyle w:val="NoSpacing"/>
              <w:ind w:left="49" w:hanging="93"/>
            </w:pPr>
            <w:r w:rsidRPr="001A75F9">
              <w:t>Level 4</w:t>
            </w:r>
          </w:p>
        </w:tc>
        <w:tc>
          <w:tcPr>
            <w:tcW w:w="3119" w:type="dxa"/>
            <w:gridSpan w:val="3"/>
            <w:tcBorders>
              <w:top w:val="single" w:sz="4" w:space="0" w:color="auto"/>
              <w:left w:val="nil"/>
              <w:bottom w:val="single" w:sz="4" w:space="0" w:color="auto"/>
              <w:right w:val="single" w:sz="4" w:space="0" w:color="auto"/>
            </w:tcBorders>
            <w:shd w:val="clear" w:color="000000" w:fill="DA9694"/>
            <w:vAlign w:val="center"/>
            <w:hideMark/>
          </w:tcPr>
          <w:p w14:paraId="2EA18C84" w14:textId="77777777" w:rsidR="00E838C9" w:rsidRPr="001A75F9" w:rsidRDefault="00E838C9" w:rsidP="00613976">
            <w:pPr>
              <w:pStyle w:val="NoSpacing"/>
              <w:ind w:left="49" w:hanging="93"/>
              <w:jc w:val="center"/>
            </w:pPr>
            <w:r w:rsidRPr="001A75F9">
              <w:t>Exceeds 1 or 2 criteria</w:t>
            </w:r>
          </w:p>
        </w:tc>
        <w:tc>
          <w:tcPr>
            <w:tcW w:w="2268" w:type="dxa"/>
            <w:gridSpan w:val="2"/>
            <w:tcBorders>
              <w:top w:val="single" w:sz="4" w:space="0" w:color="auto"/>
              <w:left w:val="nil"/>
              <w:bottom w:val="single" w:sz="4" w:space="0" w:color="auto"/>
              <w:right w:val="single" w:sz="4" w:space="0" w:color="auto"/>
            </w:tcBorders>
            <w:shd w:val="clear" w:color="000000" w:fill="DA9694"/>
            <w:vAlign w:val="center"/>
            <w:hideMark/>
          </w:tcPr>
          <w:p w14:paraId="06987CE6" w14:textId="77777777" w:rsidR="00E838C9" w:rsidRPr="001A75F9" w:rsidRDefault="00E838C9" w:rsidP="00613976">
            <w:pPr>
              <w:pStyle w:val="NoSpacing"/>
              <w:ind w:hanging="93"/>
              <w:jc w:val="center"/>
            </w:pPr>
            <w:r w:rsidRPr="001A75F9">
              <w:t>2 Exceeded</w:t>
            </w:r>
          </w:p>
        </w:tc>
      </w:tr>
      <w:tr w:rsidR="00E838C9" w:rsidRPr="001A75F9" w14:paraId="570808FB" w14:textId="77777777" w:rsidTr="00613976">
        <w:trPr>
          <w:trHeight w:val="300"/>
        </w:trPr>
        <w:tc>
          <w:tcPr>
            <w:tcW w:w="1090" w:type="dxa"/>
            <w:tcBorders>
              <w:top w:val="nil"/>
              <w:left w:val="single" w:sz="4" w:space="0" w:color="auto"/>
              <w:bottom w:val="single" w:sz="4" w:space="0" w:color="auto"/>
              <w:right w:val="single" w:sz="4" w:space="0" w:color="auto"/>
            </w:tcBorders>
            <w:shd w:val="clear" w:color="000000" w:fill="D8E4BC"/>
            <w:vAlign w:val="center"/>
            <w:hideMark/>
          </w:tcPr>
          <w:p w14:paraId="3E963993" w14:textId="77777777" w:rsidR="00E838C9" w:rsidRPr="001A75F9" w:rsidRDefault="00E838C9" w:rsidP="00613976">
            <w:pPr>
              <w:pStyle w:val="NoSpacing"/>
              <w:ind w:left="49" w:hanging="93"/>
            </w:pPr>
            <w:r w:rsidRPr="001A75F9">
              <w:t xml:space="preserve">Level 3 </w:t>
            </w:r>
          </w:p>
        </w:tc>
        <w:tc>
          <w:tcPr>
            <w:tcW w:w="5304" w:type="dxa"/>
            <w:gridSpan w:val="4"/>
            <w:tcBorders>
              <w:top w:val="single" w:sz="4" w:space="0" w:color="auto"/>
              <w:left w:val="nil"/>
              <w:bottom w:val="single" w:sz="4" w:space="0" w:color="auto"/>
              <w:right w:val="double" w:sz="6" w:space="0" w:color="000000"/>
            </w:tcBorders>
            <w:shd w:val="clear" w:color="000000" w:fill="D8E4BC"/>
            <w:vAlign w:val="center"/>
            <w:hideMark/>
          </w:tcPr>
          <w:p w14:paraId="242B8622" w14:textId="77777777" w:rsidR="00E838C9" w:rsidRPr="001A75F9" w:rsidRDefault="00E838C9" w:rsidP="00613976">
            <w:pPr>
              <w:pStyle w:val="NoSpacing"/>
              <w:ind w:left="49" w:hanging="93"/>
              <w:jc w:val="center"/>
            </w:pPr>
            <w:r w:rsidRPr="001A75F9">
              <w:t>Exceeds 2 criteria</w:t>
            </w:r>
          </w:p>
        </w:tc>
        <w:tc>
          <w:tcPr>
            <w:tcW w:w="1134" w:type="dxa"/>
            <w:tcBorders>
              <w:top w:val="nil"/>
              <w:left w:val="nil"/>
              <w:bottom w:val="single" w:sz="4" w:space="0" w:color="auto"/>
              <w:right w:val="single" w:sz="4" w:space="0" w:color="auto"/>
            </w:tcBorders>
            <w:shd w:val="clear" w:color="000000" w:fill="E6B8B7"/>
            <w:vAlign w:val="center"/>
            <w:hideMark/>
          </w:tcPr>
          <w:p w14:paraId="34C59600" w14:textId="77777777" w:rsidR="00E838C9" w:rsidRPr="001A75F9" w:rsidRDefault="00E838C9" w:rsidP="00613976">
            <w:pPr>
              <w:pStyle w:val="NoSpacing"/>
              <w:ind w:left="49" w:hanging="93"/>
            </w:pPr>
            <w:r w:rsidRPr="001A75F9">
              <w:t xml:space="preserve">Level 3 </w:t>
            </w:r>
          </w:p>
        </w:tc>
        <w:tc>
          <w:tcPr>
            <w:tcW w:w="3119" w:type="dxa"/>
            <w:gridSpan w:val="3"/>
            <w:tcBorders>
              <w:top w:val="single" w:sz="4" w:space="0" w:color="auto"/>
              <w:left w:val="nil"/>
              <w:bottom w:val="single" w:sz="4" w:space="0" w:color="auto"/>
              <w:right w:val="single" w:sz="4" w:space="0" w:color="auto"/>
            </w:tcBorders>
            <w:shd w:val="clear" w:color="000000" w:fill="E6B8B7"/>
            <w:vAlign w:val="center"/>
            <w:hideMark/>
          </w:tcPr>
          <w:p w14:paraId="1B185B10" w14:textId="77777777" w:rsidR="00E838C9" w:rsidRPr="001A75F9" w:rsidRDefault="00E838C9" w:rsidP="00613976">
            <w:pPr>
              <w:pStyle w:val="NoSpacing"/>
              <w:ind w:left="49" w:hanging="93"/>
              <w:jc w:val="center"/>
            </w:pPr>
            <w:r w:rsidRPr="001A75F9">
              <w:t>Exceeds 1 or 2 criteria</w:t>
            </w:r>
          </w:p>
        </w:tc>
        <w:tc>
          <w:tcPr>
            <w:tcW w:w="2268" w:type="dxa"/>
            <w:gridSpan w:val="2"/>
            <w:tcBorders>
              <w:top w:val="single" w:sz="4" w:space="0" w:color="auto"/>
              <w:left w:val="nil"/>
              <w:bottom w:val="single" w:sz="4" w:space="0" w:color="auto"/>
              <w:right w:val="single" w:sz="4" w:space="0" w:color="auto"/>
            </w:tcBorders>
            <w:shd w:val="clear" w:color="000000" w:fill="E6B8B7"/>
            <w:vAlign w:val="center"/>
            <w:hideMark/>
          </w:tcPr>
          <w:p w14:paraId="106A3F38" w14:textId="77777777" w:rsidR="00E838C9" w:rsidRPr="001A75F9" w:rsidRDefault="00E838C9" w:rsidP="00613976">
            <w:pPr>
              <w:pStyle w:val="NoSpacing"/>
              <w:ind w:hanging="93"/>
              <w:jc w:val="center"/>
            </w:pPr>
            <w:r w:rsidRPr="001A75F9">
              <w:t>1 Exceeded</w:t>
            </w:r>
          </w:p>
        </w:tc>
      </w:tr>
      <w:tr w:rsidR="00E838C9" w:rsidRPr="001A75F9" w14:paraId="2CD103F2" w14:textId="77777777" w:rsidTr="00613976">
        <w:trPr>
          <w:trHeight w:val="300"/>
        </w:trPr>
        <w:tc>
          <w:tcPr>
            <w:tcW w:w="1090" w:type="dxa"/>
            <w:tcBorders>
              <w:top w:val="nil"/>
              <w:left w:val="single" w:sz="4" w:space="0" w:color="auto"/>
              <w:bottom w:val="single" w:sz="4" w:space="0" w:color="auto"/>
              <w:right w:val="single" w:sz="4" w:space="0" w:color="auto"/>
            </w:tcBorders>
            <w:shd w:val="clear" w:color="000000" w:fill="EBF1DE"/>
            <w:vAlign w:val="center"/>
            <w:hideMark/>
          </w:tcPr>
          <w:p w14:paraId="6A4D6384" w14:textId="77777777" w:rsidR="00E838C9" w:rsidRPr="001A75F9" w:rsidRDefault="00E838C9" w:rsidP="00613976">
            <w:pPr>
              <w:pStyle w:val="NoSpacing"/>
              <w:ind w:left="49" w:hanging="93"/>
            </w:pPr>
            <w:r w:rsidRPr="001A75F9">
              <w:t xml:space="preserve">Level 2 </w:t>
            </w:r>
          </w:p>
        </w:tc>
        <w:tc>
          <w:tcPr>
            <w:tcW w:w="5304" w:type="dxa"/>
            <w:gridSpan w:val="4"/>
            <w:tcBorders>
              <w:top w:val="single" w:sz="4" w:space="0" w:color="auto"/>
              <w:left w:val="nil"/>
              <w:bottom w:val="single" w:sz="4" w:space="0" w:color="auto"/>
              <w:right w:val="double" w:sz="6" w:space="0" w:color="000000"/>
            </w:tcBorders>
            <w:shd w:val="clear" w:color="000000" w:fill="EBF1DE"/>
            <w:vAlign w:val="center"/>
            <w:hideMark/>
          </w:tcPr>
          <w:p w14:paraId="35EFB318" w14:textId="77777777" w:rsidR="00E838C9" w:rsidRPr="001A75F9" w:rsidRDefault="00E838C9" w:rsidP="00613976">
            <w:pPr>
              <w:pStyle w:val="NoSpacing"/>
              <w:ind w:left="49" w:hanging="93"/>
              <w:jc w:val="center"/>
            </w:pPr>
            <w:r w:rsidRPr="001A75F9">
              <w:t>Exceeds 1 criterion</w:t>
            </w:r>
          </w:p>
        </w:tc>
        <w:tc>
          <w:tcPr>
            <w:tcW w:w="1134" w:type="dxa"/>
            <w:tcBorders>
              <w:top w:val="nil"/>
              <w:left w:val="nil"/>
              <w:bottom w:val="single" w:sz="4" w:space="0" w:color="auto"/>
              <w:right w:val="single" w:sz="4" w:space="0" w:color="auto"/>
            </w:tcBorders>
            <w:shd w:val="clear" w:color="000000" w:fill="F2DCDB"/>
            <w:vAlign w:val="center"/>
            <w:hideMark/>
          </w:tcPr>
          <w:p w14:paraId="47B66806" w14:textId="77777777" w:rsidR="00E838C9" w:rsidRPr="001A75F9" w:rsidRDefault="00E838C9" w:rsidP="00613976">
            <w:pPr>
              <w:pStyle w:val="NoSpacing"/>
              <w:ind w:left="49" w:hanging="93"/>
            </w:pPr>
            <w:r w:rsidRPr="001A75F9">
              <w:t xml:space="preserve">Level 2 </w:t>
            </w:r>
          </w:p>
        </w:tc>
        <w:tc>
          <w:tcPr>
            <w:tcW w:w="3119" w:type="dxa"/>
            <w:gridSpan w:val="3"/>
            <w:tcBorders>
              <w:top w:val="single" w:sz="4" w:space="0" w:color="auto"/>
              <w:left w:val="nil"/>
              <w:bottom w:val="single" w:sz="4" w:space="0" w:color="auto"/>
              <w:right w:val="single" w:sz="4" w:space="0" w:color="auto"/>
            </w:tcBorders>
            <w:shd w:val="clear" w:color="000000" w:fill="F2DCDB"/>
            <w:vAlign w:val="center"/>
            <w:hideMark/>
          </w:tcPr>
          <w:p w14:paraId="3BC192E2" w14:textId="77777777" w:rsidR="00E838C9" w:rsidRPr="001A75F9" w:rsidRDefault="00E838C9" w:rsidP="00613976">
            <w:pPr>
              <w:pStyle w:val="NoSpacing"/>
              <w:ind w:left="49" w:hanging="93"/>
              <w:jc w:val="center"/>
            </w:pPr>
            <w:r w:rsidRPr="001A75F9">
              <w:t>Exceeds 1 criterion</w:t>
            </w:r>
          </w:p>
        </w:tc>
        <w:tc>
          <w:tcPr>
            <w:tcW w:w="2268" w:type="dxa"/>
            <w:gridSpan w:val="2"/>
            <w:tcBorders>
              <w:top w:val="single" w:sz="4" w:space="0" w:color="auto"/>
              <w:left w:val="nil"/>
              <w:bottom w:val="single" w:sz="4" w:space="0" w:color="auto"/>
              <w:right w:val="single" w:sz="4" w:space="0" w:color="auto"/>
            </w:tcBorders>
            <w:shd w:val="clear" w:color="000000" w:fill="F2DCDB"/>
            <w:vAlign w:val="center"/>
            <w:hideMark/>
          </w:tcPr>
          <w:p w14:paraId="0C2CC6BD" w14:textId="77777777" w:rsidR="00E838C9" w:rsidRPr="001A75F9" w:rsidRDefault="00E838C9" w:rsidP="00613976">
            <w:pPr>
              <w:pStyle w:val="NoSpacing"/>
              <w:ind w:hanging="93"/>
              <w:jc w:val="center"/>
            </w:pPr>
            <w:r w:rsidRPr="001A75F9">
              <w:t>None Exceeded</w:t>
            </w:r>
          </w:p>
        </w:tc>
      </w:tr>
      <w:tr w:rsidR="00E838C9" w:rsidRPr="001A75F9" w14:paraId="4D2AE9A9" w14:textId="77777777" w:rsidTr="00613976">
        <w:trPr>
          <w:trHeight w:val="300"/>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69913919" w14:textId="77777777" w:rsidR="00E838C9" w:rsidRPr="001A75F9" w:rsidRDefault="00E838C9" w:rsidP="00613976">
            <w:pPr>
              <w:pStyle w:val="NoSpacing"/>
              <w:ind w:left="49" w:hanging="93"/>
            </w:pPr>
            <w:r w:rsidRPr="001A75F9">
              <w:t xml:space="preserve">Level 1 </w:t>
            </w:r>
          </w:p>
        </w:tc>
        <w:tc>
          <w:tcPr>
            <w:tcW w:w="5304" w:type="dxa"/>
            <w:gridSpan w:val="4"/>
            <w:tcBorders>
              <w:top w:val="nil"/>
              <w:left w:val="nil"/>
              <w:bottom w:val="single" w:sz="4" w:space="0" w:color="auto"/>
              <w:right w:val="double" w:sz="6" w:space="0" w:color="000000"/>
            </w:tcBorders>
            <w:shd w:val="clear" w:color="auto" w:fill="auto"/>
            <w:vAlign w:val="center"/>
            <w:hideMark/>
          </w:tcPr>
          <w:p w14:paraId="03485A4A" w14:textId="77777777" w:rsidR="00E838C9" w:rsidRPr="001A75F9" w:rsidRDefault="00E838C9" w:rsidP="00613976">
            <w:pPr>
              <w:pStyle w:val="NoSpacing"/>
              <w:ind w:left="49" w:hanging="93"/>
              <w:jc w:val="center"/>
            </w:pPr>
            <w:r w:rsidRPr="001A75F9">
              <w:t>None Exceeded</w:t>
            </w:r>
          </w:p>
        </w:tc>
        <w:tc>
          <w:tcPr>
            <w:tcW w:w="1134" w:type="dxa"/>
            <w:tcBorders>
              <w:top w:val="nil"/>
              <w:left w:val="nil"/>
              <w:bottom w:val="single" w:sz="4" w:space="0" w:color="auto"/>
              <w:right w:val="single" w:sz="4" w:space="0" w:color="auto"/>
            </w:tcBorders>
            <w:shd w:val="clear" w:color="auto" w:fill="auto"/>
            <w:vAlign w:val="center"/>
            <w:hideMark/>
          </w:tcPr>
          <w:p w14:paraId="09BC7312" w14:textId="77777777" w:rsidR="00E838C9" w:rsidRPr="001A75F9" w:rsidRDefault="00E838C9" w:rsidP="00613976">
            <w:pPr>
              <w:pStyle w:val="NoSpacing"/>
              <w:ind w:left="49" w:hanging="93"/>
            </w:pPr>
            <w:r w:rsidRPr="001A75F9">
              <w:t xml:space="preserve">Level 1 </w:t>
            </w:r>
          </w:p>
        </w:tc>
        <w:tc>
          <w:tcPr>
            <w:tcW w:w="5387" w:type="dxa"/>
            <w:gridSpan w:val="5"/>
            <w:tcBorders>
              <w:top w:val="single" w:sz="4" w:space="0" w:color="auto"/>
              <w:left w:val="nil"/>
              <w:bottom w:val="single" w:sz="4" w:space="0" w:color="auto"/>
              <w:right w:val="single" w:sz="4" w:space="0" w:color="auto"/>
            </w:tcBorders>
            <w:shd w:val="clear" w:color="auto" w:fill="auto"/>
            <w:vAlign w:val="center"/>
            <w:hideMark/>
          </w:tcPr>
          <w:p w14:paraId="1D973723" w14:textId="77777777" w:rsidR="00E838C9" w:rsidRPr="001A75F9" w:rsidRDefault="00E838C9" w:rsidP="00613976">
            <w:pPr>
              <w:pStyle w:val="NoSpacing"/>
              <w:ind w:left="49" w:hanging="93"/>
              <w:jc w:val="center"/>
            </w:pPr>
            <w:r w:rsidRPr="001A75F9">
              <w:t>None Exceeded</w:t>
            </w:r>
          </w:p>
        </w:tc>
      </w:tr>
    </w:tbl>
    <w:p w14:paraId="00DD14FE" w14:textId="77777777" w:rsidR="005D7314" w:rsidRPr="001A75F9" w:rsidRDefault="005D7314" w:rsidP="00E838C9">
      <w:pPr>
        <w:ind w:left="0" w:firstLine="0"/>
        <w:rPr>
          <w:b/>
        </w:rPr>
        <w:sectPr w:rsidR="005D7314" w:rsidRPr="001A75F9" w:rsidSect="00E10DDD">
          <w:footerReference w:type="even" r:id="rId20"/>
          <w:footerReference w:type="default" r:id="rId21"/>
          <w:pgSz w:w="15840" w:h="12240" w:orient="landscape"/>
          <w:pgMar w:top="1800" w:right="1440" w:bottom="1800" w:left="1440" w:header="708" w:footer="708" w:gutter="0"/>
          <w:lnNumType w:countBy="1" w:restart="continuous"/>
          <w:cols w:space="708"/>
          <w:docGrid w:linePitch="360"/>
        </w:sectPr>
      </w:pPr>
    </w:p>
    <w:p w14:paraId="001E6D59" w14:textId="5E4E6748" w:rsidR="00F95D8B" w:rsidRPr="001A75F9" w:rsidRDefault="003726BF" w:rsidP="007935F5">
      <w:pPr>
        <w:rPr>
          <w:b/>
        </w:rPr>
      </w:pPr>
      <w:r w:rsidRPr="001A75F9">
        <w:rPr>
          <w:b/>
        </w:rPr>
        <w:t xml:space="preserve"> </w:t>
      </w:r>
      <w:r w:rsidR="00F0392D" w:rsidRPr="001A75F9">
        <w:rPr>
          <w:b/>
        </w:rPr>
        <w:t>3.2</w:t>
      </w:r>
      <w:r w:rsidR="00F0392D" w:rsidRPr="001A75F9">
        <w:rPr>
          <w:b/>
        </w:rPr>
        <w:tab/>
      </w:r>
      <w:r w:rsidR="00457CDB" w:rsidRPr="001A75F9">
        <w:rPr>
          <w:b/>
          <w:i/>
        </w:rPr>
        <w:t>V</w:t>
      </w:r>
      <w:r w:rsidR="00F95D8B" w:rsidRPr="001A75F9">
        <w:rPr>
          <w:b/>
          <w:i/>
        </w:rPr>
        <w:t>isual scoring matrix</w:t>
      </w:r>
    </w:p>
    <w:p w14:paraId="62BFFB8C" w14:textId="4F8EBD80" w:rsidR="007E261B" w:rsidRPr="001A75F9" w:rsidRDefault="00CA1DFE">
      <w:r w:rsidRPr="001A75F9">
        <w:t xml:space="preserve">The visual scoring matrix categorizes the </w:t>
      </w:r>
      <w:r w:rsidR="00083BA5" w:rsidRPr="001A75F9">
        <w:t>entire</w:t>
      </w:r>
      <w:r w:rsidRPr="001A75F9">
        <w:t xml:space="preserve"> </w:t>
      </w:r>
      <w:r w:rsidR="00CB18DB" w:rsidRPr="001A75F9">
        <w:t xml:space="preserve">benefit and risk </w:t>
      </w:r>
      <w:r w:rsidRPr="001A75F9">
        <w:t>data set</w:t>
      </w:r>
      <w:r w:rsidR="00CB18DB" w:rsidRPr="001A75F9">
        <w:t>s into levels of increasing severity</w:t>
      </w:r>
      <w:r w:rsidR="00247689" w:rsidRPr="001A75F9">
        <w:t xml:space="preserve"> (i.e. negligible (N) to very high (VH))</w:t>
      </w:r>
      <w:r w:rsidR="003C11AA" w:rsidRPr="001A75F9">
        <w:t xml:space="preserve"> (Table 2)</w:t>
      </w:r>
      <w:r w:rsidR="00CB18DB" w:rsidRPr="001A75F9">
        <w:t xml:space="preserve">. </w:t>
      </w:r>
      <w:r w:rsidR="0003365D" w:rsidRPr="001A75F9">
        <w:t xml:space="preserve">Table 2 demonstrates how benefit and risk </w:t>
      </w:r>
      <w:r w:rsidR="009019DC" w:rsidRPr="001A75F9">
        <w:t xml:space="preserve">criteria </w:t>
      </w:r>
      <w:r w:rsidR="0003365D" w:rsidRPr="001A75F9">
        <w:t xml:space="preserve">could be separated into </w:t>
      </w:r>
      <w:r w:rsidR="009019DC" w:rsidRPr="001A75F9">
        <w:t xml:space="preserve">different </w:t>
      </w:r>
      <w:r w:rsidR="0003365D" w:rsidRPr="001A75F9">
        <w:t>levels</w:t>
      </w:r>
      <w:r w:rsidR="009019DC" w:rsidRPr="001A75F9">
        <w:t>, by assigning specific intervals to each level</w:t>
      </w:r>
      <w:r w:rsidR="002D2E05" w:rsidRPr="001A75F9">
        <w:t xml:space="preserve">. </w:t>
      </w:r>
      <w:r w:rsidR="00F0392D" w:rsidRPr="001A75F9">
        <w:t>E</w:t>
      </w:r>
      <w:r w:rsidR="002D2E05" w:rsidRPr="001A75F9">
        <w:t>xample scores range from 0 to 4 increasing in a geometric series (i.e. score</w:t>
      </w:r>
      <w:r w:rsidR="002D2E05" w:rsidRPr="001A75F9">
        <w:rPr>
          <w:vertAlign w:val="subscript"/>
        </w:rPr>
        <w:t xml:space="preserve">n </w:t>
      </w:r>
      <w:r w:rsidR="002D2E05" w:rsidRPr="001A75F9">
        <w:t>= 0.5(2</w:t>
      </w:r>
      <w:r w:rsidR="002D2E05" w:rsidRPr="001A75F9">
        <w:rPr>
          <w:vertAlign w:val="superscript"/>
        </w:rPr>
        <w:t>(n-1)</w:t>
      </w:r>
      <w:r w:rsidR="002D2E05" w:rsidRPr="001A75F9">
        <w:t xml:space="preserve">), where n = 1, 2, 3, 4) from negligible risk (N) to very high risk (VH). </w:t>
      </w:r>
      <w:r w:rsidR="00D10ACC" w:rsidRPr="001A75F9">
        <w:t>Example benefit criteria</w:t>
      </w:r>
      <w:r w:rsidR="00EA0591" w:rsidRPr="001A75F9">
        <w:t xml:space="preserve"> </w:t>
      </w:r>
      <w:r w:rsidR="00211FC0" w:rsidRPr="001A75F9">
        <w:t xml:space="preserve">focus on disease treatments and </w:t>
      </w:r>
      <w:r w:rsidR="00EA0591" w:rsidRPr="001A75F9">
        <w:t xml:space="preserve">include </w:t>
      </w:r>
      <w:r w:rsidR="00D10ACC" w:rsidRPr="001A75F9">
        <w:t>details of the livestock and infection</w:t>
      </w:r>
      <w:r w:rsidR="00EA0591" w:rsidRPr="001A75F9">
        <w:t xml:space="preserve">. </w:t>
      </w:r>
      <w:r w:rsidR="00211FC0" w:rsidRPr="001A75F9">
        <w:t xml:space="preserve">The demonstration applies percentages to </w:t>
      </w:r>
      <w:r w:rsidR="003D6217" w:rsidRPr="001A75F9">
        <w:t>three</w:t>
      </w:r>
      <w:r w:rsidR="00211FC0" w:rsidRPr="001A75F9">
        <w:t xml:space="preserve"> risk criteria</w:t>
      </w:r>
      <w:r w:rsidR="00340079" w:rsidRPr="001A75F9">
        <w:t xml:space="preserve">. The percentage </w:t>
      </w:r>
      <w:r w:rsidR="006B01DC" w:rsidRPr="001A75F9">
        <w:t>of animals successfully treated with normal and resistant strains could be tested (Table 2, efficacy and efficacy against resistant strains, respectively).</w:t>
      </w:r>
      <w:r w:rsidR="00211FC0" w:rsidRPr="001A75F9">
        <w:t xml:space="preserve"> </w:t>
      </w:r>
      <w:r w:rsidR="00027D56" w:rsidRPr="001A75F9">
        <w:t xml:space="preserve">The severity </w:t>
      </w:r>
      <w:r w:rsidR="00CB28FB" w:rsidRPr="001A75F9">
        <w:t>could measure the number of cases, which result in a severe outcome (e.g., mortality). The demonstration intervals were assigned so that the higher end has</w:t>
      </w:r>
      <w:r w:rsidR="008C064B" w:rsidRPr="001A75F9">
        <w:t xml:space="preserve"> a larger interval (i.e., VH = 7</w:t>
      </w:r>
      <w:r w:rsidR="00CB28FB" w:rsidRPr="001A75F9">
        <w:t xml:space="preserve">0%-100%), the intermediate levels a moderate interval (i.e., H, M, L = 20% interval) and the lowest the smallest interval (N = 0 – 10%). </w:t>
      </w:r>
      <w:r w:rsidR="00833A2A" w:rsidRPr="001A75F9">
        <w:t xml:space="preserve">The </w:t>
      </w:r>
      <w:r w:rsidR="00392D39" w:rsidRPr="001A75F9">
        <w:t>categorization</w:t>
      </w:r>
      <w:r w:rsidR="00833A2A" w:rsidRPr="001A75F9">
        <w:t xml:space="preserve"> must capture and communicate benefits </w:t>
      </w:r>
      <w:r w:rsidR="008624CF" w:rsidRPr="001A75F9">
        <w:t>effectively</w:t>
      </w:r>
      <w:r w:rsidR="003D6217" w:rsidRPr="001A75F9">
        <w:t xml:space="preserve"> and for</w:t>
      </w:r>
      <w:r w:rsidR="008624CF" w:rsidRPr="001A75F9">
        <w:t xml:space="preserve"> adjusting and defining </w:t>
      </w:r>
      <w:r w:rsidR="000D7B70" w:rsidRPr="001A75F9">
        <w:t xml:space="preserve">criteria and </w:t>
      </w:r>
      <w:r w:rsidR="008624CF" w:rsidRPr="001A75F9">
        <w:t xml:space="preserve">intervals expert and veterinarian opinion will </w:t>
      </w:r>
      <w:r w:rsidR="000D7B70" w:rsidRPr="001A75F9">
        <w:t>be required</w:t>
      </w:r>
      <w:r w:rsidR="00340079" w:rsidRPr="001A75F9">
        <w:t xml:space="preserve">. </w:t>
      </w:r>
    </w:p>
    <w:p w14:paraId="25EFF03D" w14:textId="187E3C78" w:rsidR="009D127D" w:rsidRPr="001A75F9" w:rsidRDefault="00C767B7">
      <w:r w:rsidRPr="001A75F9">
        <w:t>Risk criteria</w:t>
      </w:r>
      <w:r w:rsidR="00F0392D" w:rsidRPr="001A75F9">
        <w:t xml:space="preserve"> are</w:t>
      </w:r>
      <w:r w:rsidRPr="001A75F9">
        <w:t xml:space="preserve"> from the ERA</w:t>
      </w:r>
      <w:r w:rsidR="009D70C9" w:rsidRPr="001A75F9">
        <w:t xml:space="preserve"> and have also been divided into intervals specifically for concept demonstration</w:t>
      </w:r>
      <w:r w:rsidRPr="001A75F9">
        <w:t xml:space="preserve">.  </w:t>
      </w:r>
      <w:r w:rsidR="00216A50" w:rsidRPr="001A75F9">
        <w:t xml:space="preserve">Values below the </w:t>
      </w:r>
      <w:r w:rsidR="00BC0E29" w:rsidRPr="001A75F9">
        <w:t xml:space="preserve">acceptable levels of RQ and </w:t>
      </w:r>
      <w:r w:rsidR="00216A50" w:rsidRPr="001A75F9">
        <w:t>PEC values are assigned to the n</w:t>
      </w:r>
      <w:r w:rsidR="00BC0E29" w:rsidRPr="001A75F9">
        <w:t>egl</w:t>
      </w:r>
      <w:r w:rsidR="00216A50" w:rsidRPr="001A75F9">
        <w:t>igible category. For RQ intermediate levels capture changes in the order of magnitude of the RQ. The very high level will capture all values greater than the assigned threshold (e.g., RQ&gt; 10</w:t>
      </w:r>
      <w:r w:rsidR="00216A50" w:rsidRPr="001A75F9">
        <w:rPr>
          <w:vertAlign w:val="superscript"/>
        </w:rPr>
        <w:t>3</w:t>
      </w:r>
      <w:r w:rsidR="00624D1B" w:rsidRPr="001A75F9">
        <w:t xml:space="preserve">, Table 2). </w:t>
      </w:r>
      <w:r w:rsidRPr="001A75F9">
        <w:t xml:space="preserve">The </w:t>
      </w:r>
      <w:r w:rsidR="00F0392D" w:rsidRPr="001A75F9">
        <w:t>RQ</w:t>
      </w:r>
      <w:r w:rsidRPr="001A75F9">
        <w:t xml:space="preserve"> </w:t>
      </w:r>
      <w:r w:rsidR="00DF1A08" w:rsidRPr="001A75F9">
        <w:t xml:space="preserve">is subdivided to </w:t>
      </w:r>
      <w:r w:rsidRPr="001A75F9">
        <w:t>clear</w:t>
      </w:r>
      <w:r w:rsidR="00DF1A08" w:rsidRPr="001A75F9">
        <w:t xml:space="preserve">ly </w:t>
      </w:r>
      <w:r w:rsidR="00BD06D6" w:rsidRPr="001A75F9">
        <w:t xml:space="preserve">indicate </w:t>
      </w:r>
      <w:r w:rsidR="00DF1A08" w:rsidRPr="001A75F9">
        <w:t>where risks will be received (i.e. environmental compartment and test organism</w:t>
      </w:r>
      <w:r w:rsidR="00DB0C69" w:rsidRPr="001A75F9">
        <w:t>)</w:t>
      </w:r>
      <w:r w:rsidR="00DF1A08" w:rsidRPr="001A75F9">
        <w:t>.</w:t>
      </w:r>
      <w:r w:rsidR="0041430B" w:rsidRPr="001A75F9">
        <w:t xml:space="preserve"> If the</w:t>
      </w:r>
      <w:r w:rsidR="002D6DBE" w:rsidRPr="001A75F9">
        <w:t xml:space="preserve"> PEC</w:t>
      </w:r>
      <w:r w:rsidR="0041430B" w:rsidRPr="001A75F9">
        <w:t xml:space="preserve"> is below thresholds specified by VICH then this will be </w:t>
      </w:r>
      <w:r w:rsidR="003170AA" w:rsidRPr="001A75F9">
        <w:t>assigned to the negligible category. Different intervals for values of the PECgw in µg/L are designate</w:t>
      </w:r>
      <w:r w:rsidR="0041430B" w:rsidRPr="001A75F9">
        <w:t>d</w:t>
      </w:r>
      <w:r w:rsidR="003170AA" w:rsidRPr="001A75F9">
        <w:t xml:space="preserve"> for intermediate categories. The highest cat</w:t>
      </w:r>
      <w:r w:rsidR="004A4FD3" w:rsidRPr="001A75F9">
        <w:t xml:space="preserve">egory captures exceedances of </w:t>
      </w:r>
      <w:r w:rsidR="008A3C32" w:rsidRPr="001A75F9">
        <w:t xml:space="preserve">its specified category. </w:t>
      </w:r>
      <w:r w:rsidR="009F549E" w:rsidRPr="001A75F9">
        <w:t xml:space="preserve">The PBT criteria </w:t>
      </w:r>
      <w:r w:rsidR="00050F33" w:rsidRPr="001A75F9">
        <w:t>are</w:t>
      </w:r>
      <w:r w:rsidR="009F549E" w:rsidRPr="001A75F9">
        <w:t xml:space="preserve"> separated into categories based on the number of </w:t>
      </w:r>
      <w:r w:rsidR="00FD3D68" w:rsidRPr="001A75F9">
        <w:t>criteria</w:t>
      </w:r>
      <w:r w:rsidR="009F549E" w:rsidRPr="001A75F9">
        <w:t xml:space="preserve"> exceeded (Table 2). In this case the negligible category is not defined as the acceptable level. The unacceptable levels are the high and very high levels</w:t>
      </w:r>
      <w:r w:rsidR="005549A7" w:rsidRPr="001A75F9">
        <w:t>.</w:t>
      </w:r>
      <w:r w:rsidR="007E261B" w:rsidRPr="001A75F9">
        <w:t xml:space="preserve"> </w:t>
      </w:r>
    </w:p>
    <w:p w14:paraId="334BC7EE" w14:textId="22F7BA68" w:rsidR="009D127D" w:rsidRPr="001A75F9" w:rsidRDefault="009D127D" w:rsidP="009D127D">
      <w:r w:rsidRPr="001A75F9">
        <w:t>Scores could be compared if the total matrix score was the same for benefits and risks. However, the primary advantage of the matrix is the visual component, which supports transparent communication</w:t>
      </w:r>
      <w:r w:rsidR="00A87312" w:rsidRPr="001A75F9">
        <w:t xml:space="preserve"> to decision makers </w:t>
      </w:r>
      <w:r w:rsidRPr="001A75F9">
        <w:t>and flexibility (i.e., a strict decision rule isn’t the basis of the approach)</w:t>
      </w:r>
      <w:r w:rsidR="00B270D5" w:rsidRPr="001A75F9">
        <w:t>.</w:t>
      </w:r>
      <w:r w:rsidRPr="001A75F9">
        <w:t xml:space="preserve"> The colour coding of the ERA data clearly and quickly communicate</w:t>
      </w:r>
      <w:r w:rsidR="007701C1" w:rsidRPr="001A75F9">
        <w:t>s</w:t>
      </w:r>
      <w:r w:rsidRPr="001A75F9">
        <w:t xml:space="preserve"> the distribution of benefits and risk across the criteria (Table 2)</w:t>
      </w:r>
      <w:r w:rsidR="00A87312" w:rsidRPr="001A75F9">
        <w:t>;</w:t>
      </w:r>
      <w:r w:rsidRPr="001A75F9">
        <w:t xml:space="preserve"> the calculation of the score is clear from the matrix</w:t>
      </w:r>
      <w:r w:rsidR="00A87312" w:rsidRPr="001A75F9">
        <w:t>, which</w:t>
      </w:r>
      <w:r w:rsidRPr="001A75F9">
        <w:t xml:space="preserve"> is essential to the scoring system. The scoring system can be used in decision-making but should not be the primary determinant. Coplan et al. (2011) proposed a visual approach to communicate the health benefits and risks of medicines to patients; transparent communication of the data resulted in greatly improved communication and decision-making (Levitan et al. 2011). </w:t>
      </w:r>
    </w:p>
    <w:p w14:paraId="554ABD2A" w14:textId="77777777" w:rsidR="00FE7B71" w:rsidRPr="001A75F9" w:rsidRDefault="00DF1A08">
      <w:pPr>
        <w:sectPr w:rsidR="00FE7B71" w:rsidRPr="001A75F9" w:rsidSect="00E10DDD">
          <w:pgSz w:w="12240" w:h="15840"/>
          <w:pgMar w:top="1440" w:right="1800" w:bottom="1440" w:left="1800" w:header="708" w:footer="708" w:gutter="0"/>
          <w:lnNumType w:countBy="1" w:restart="continuous"/>
          <w:cols w:space="708"/>
          <w:docGrid w:linePitch="360"/>
        </w:sectPr>
      </w:pPr>
      <w:r w:rsidRPr="001A75F9">
        <w:t>Overall, t</w:t>
      </w:r>
      <w:r w:rsidR="00D10ACC" w:rsidRPr="001A75F9">
        <w:t xml:space="preserve">he </w:t>
      </w:r>
      <w:r w:rsidR="00C767B7" w:rsidRPr="001A75F9">
        <w:t>increased details</w:t>
      </w:r>
      <w:r w:rsidR="00D10ACC" w:rsidRPr="001A75F9">
        <w:t xml:space="preserve"> communicate specifics of where </w:t>
      </w:r>
      <w:r w:rsidR="000819BB" w:rsidRPr="001A75F9">
        <w:t xml:space="preserve">the benefits and risk will be distributed. </w:t>
      </w:r>
      <w:r w:rsidR="00C767B7" w:rsidRPr="001A75F9">
        <w:t xml:space="preserve">The use of the matrix </w:t>
      </w:r>
      <w:r w:rsidR="00F0392D" w:rsidRPr="001A75F9">
        <w:t>can</w:t>
      </w:r>
      <w:r w:rsidR="00C767B7" w:rsidRPr="001A75F9">
        <w:t xml:space="preserve"> support discussion and application of </w:t>
      </w:r>
      <w:r w:rsidR="00B157D0" w:rsidRPr="001A75F9">
        <w:t>decision</w:t>
      </w:r>
      <w:r w:rsidR="00C767B7" w:rsidRPr="001A75F9">
        <w:t>-maker judgement over specific decision-rule</w:t>
      </w:r>
      <w:r w:rsidR="00F0392D" w:rsidRPr="001A75F9">
        <w:t>s</w:t>
      </w:r>
      <w:r w:rsidR="00C767B7" w:rsidRPr="001A75F9">
        <w:t xml:space="preserve">. </w:t>
      </w:r>
    </w:p>
    <w:p w14:paraId="5DAE6E5E" w14:textId="250F0C8C" w:rsidR="00FE7B71" w:rsidRPr="001A75F9" w:rsidRDefault="00FE7B71" w:rsidP="007B2071">
      <w:pPr>
        <w:pStyle w:val="NoSpacing"/>
        <w:rPr>
          <w:rFonts w:cs="Times New Roman"/>
        </w:rPr>
      </w:pPr>
      <w:r w:rsidRPr="001A75F9">
        <w:rPr>
          <w:b/>
        </w:rPr>
        <w:t>Table 2.</w:t>
      </w:r>
      <w:r w:rsidRPr="001A75F9">
        <w:t xml:space="preserve"> Possible benefit matrix (right) and risk matrix (left) for visual comparison and </w:t>
      </w:r>
      <w:proofErr w:type="gramStart"/>
      <w:r w:rsidRPr="001A75F9">
        <w:t>scoring  of</w:t>
      </w:r>
      <w:proofErr w:type="gramEnd"/>
      <w:r w:rsidRPr="001A75F9">
        <w:t xml:space="preserve"> VMPs (explained further in text). Thresholds are used as a demonstration of the concept rather than a recommendation. Colors indicate benefit intensity from high (i.e., green) to moderate (i.e., yellow) to low (i.e., red). </w:t>
      </w:r>
      <w:proofErr w:type="gramStart"/>
      <w:r w:rsidRPr="001A75F9">
        <w:rPr>
          <w:rFonts w:cs="Times New Roman"/>
          <w:vertAlign w:val="superscript"/>
        </w:rPr>
        <w:t>a</w:t>
      </w:r>
      <w:r w:rsidRPr="001A75F9">
        <w:rPr>
          <w:rFonts w:cs="Times New Roman"/>
        </w:rPr>
        <w:t>Very</w:t>
      </w:r>
      <w:proofErr w:type="gramEnd"/>
      <w:r w:rsidRPr="001A75F9">
        <w:rPr>
          <w:rFonts w:cs="Times New Roman"/>
        </w:rPr>
        <w:t xml:space="preserve"> high</w:t>
      </w:r>
      <w:r w:rsidRPr="001A75F9">
        <w:t xml:space="preserve">; </w:t>
      </w:r>
      <w:r w:rsidRPr="001A75F9">
        <w:rPr>
          <w:rFonts w:cs="Times New Roman"/>
          <w:vertAlign w:val="superscript"/>
        </w:rPr>
        <w:t>b</w:t>
      </w:r>
      <w:r w:rsidRPr="001A75F9">
        <w:rPr>
          <w:rFonts w:cs="Times New Roman"/>
        </w:rPr>
        <w:t>High</w:t>
      </w:r>
      <w:r w:rsidRPr="001A75F9">
        <w:t xml:space="preserve">; </w:t>
      </w:r>
      <w:r w:rsidRPr="001A75F9">
        <w:rPr>
          <w:rFonts w:cs="Times New Roman"/>
          <w:vertAlign w:val="superscript"/>
        </w:rPr>
        <w:t>c</w:t>
      </w:r>
      <w:r w:rsidRPr="001A75F9">
        <w:rPr>
          <w:rFonts w:cs="Times New Roman"/>
        </w:rPr>
        <w:t>Moderate</w:t>
      </w:r>
      <w:r w:rsidRPr="001A75F9">
        <w:t xml:space="preserve">; </w:t>
      </w:r>
      <w:r w:rsidRPr="001A75F9">
        <w:rPr>
          <w:rFonts w:cs="Times New Roman"/>
          <w:vertAlign w:val="superscript"/>
        </w:rPr>
        <w:t>d</w:t>
      </w:r>
      <w:r w:rsidRPr="001A75F9">
        <w:rPr>
          <w:rFonts w:cs="Times New Roman"/>
        </w:rPr>
        <w:t>Low</w:t>
      </w:r>
      <w:r w:rsidRPr="001A75F9">
        <w:t xml:space="preserve">; </w:t>
      </w:r>
      <w:r w:rsidRPr="001A75F9">
        <w:rPr>
          <w:rFonts w:cs="Times New Roman"/>
          <w:vertAlign w:val="superscript"/>
        </w:rPr>
        <w:t>e</w:t>
      </w:r>
      <w:r w:rsidRPr="001A75F9">
        <w:rPr>
          <w:rFonts w:cs="Times New Roman"/>
        </w:rPr>
        <w:t xml:space="preserve">Negligible. </w:t>
      </w:r>
    </w:p>
    <w:tbl>
      <w:tblPr>
        <w:tblpPr w:leftFromText="180" w:rightFromText="180" w:vertAnchor="page" w:horzAnchor="page" w:tblpX="1369" w:tblpY="2701"/>
        <w:tblW w:w="13716" w:type="dxa"/>
        <w:tblLayout w:type="fixed"/>
        <w:tblLook w:val="04A0" w:firstRow="1" w:lastRow="0" w:firstColumn="1" w:lastColumn="0" w:noHBand="0" w:noVBand="1"/>
      </w:tblPr>
      <w:tblGrid>
        <w:gridCol w:w="660"/>
        <w:gridCol w:w="1163"/>
        <w:gridCol w:w="1096"/>
        <w:gridCol w:w="733"/>
        <w:gridCol w:w="59"/>
        <w:gridCol w:w="736"/>
        <w:gridCol w:w="720"/>
        <w:gridCol w:w="44"/>
        <w:gridCol w:w="851"/>
        <w:gridCol w:w="709"/>
        <w:gridCol w:w="283"/>
        <w:gridCol w:w="1559"/>
        <w:gridCol w:w="1418"/>
        <w:gridCol w:w="709"/>
        <w:gridCol w:w="708"/>
        <w:gridCol w:w="851"/>
        <w:gridCol w:w="709"/>
        <w:gridCol w:w="708"/>
      </w:tblGrid>
      <w:tr w:rsidR="007B2071" w:rsidRPr="001A75F9" w14:paraId="31A45594" w14:textId="77777777" w:rsidTr="002C6458">
        <w:trPr>
          <w:trHeight w:val="277"/>
        </w:trPr>
        <w:tc>
          <w:tcPr>
            <w:tcW w:w="291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740C1A6A" w14:textId="77777777" w:rsidR="007B2071" w:rsidRPr="001A75F9" w:rsidRDefault="007B2071" w:rsidP="007B2071">
            <w:pPr>
              <w:pStyle w:val="NoSpacing"/>
              <w:ind w:left="0"/>
            </w:pPr>
            <w:r w:rsidRPr="001A75F9">
              <w:t> Level</w:t>
            </w:r>
          </w:p>
        </w:tc>
        <w:tc>
          <w:tcPr>
            <w:tcW w:w="792" w:type="dxa"/>
            <w:gridSpan w:val="2"/>
            <w:tcBorders>
              <w:top w:val="single" w:sz="4" w:space="0" w:color="auto"/>
              <w:left w:val="nil"/>
              <w:bottom w:val="single" w:sz="4" w:space="0" w:color="auto"/>
              <w:right w:val="single" w:sz="4" w:space="0" w:color="auto"/>
            </w:tcBorders>
            <w:shd w:val="clear" w:color="000000" w:fill="FFFFFF"/>
            <w:hideMark/>
          </w:tcPr>
          <w:p w14:paraId="0F5E596F" w14:textId="77777777" w:rsidR="007B2071" w:rsidRPr="001A75F9" w:rsidRDefault="007B2071" w:rsidP="007B2071">
            <w:pPr>
              <w:pStyle w:val="NoSpacing"/>
              <w:ind w:left="0"/>
              <w:rPr>
                <w:vertAlign w:val="superscript"/>
              </w:rPr>
            </w:pPr>
            <w:r w:rsidRPr="001A75F9">
              <w:t>VH</w:t>
            </w:r>
            <w:r w:rsidRPr="001A75F9">
              <w:rPr>
                <w:vertAlign w:val="superscript"/>
              </w:rPr>
              <w:t>a</w:t>
            </w:r>
          </w:p>
        </w:tc>
        <w:tc>
          <w:tcPr>
            <w:tcW w:w="736" w:type="dxa"/>
            <w:tcBorders>
              <w:top w:val="single" w:sz="4" w:space="0" w:color="auto"/>
              <w:left w:val="nil"/>
              <w:bottom w:val="single" w:sz="4" w:space="0" w:color="auto"/>
              <w:right w:val="single" w:sz="4" w:space="0" w:color="auto"/>
            </w:tcBorders>
            <w:shd w:val="clear" w:color="000000" w:fill="FFFFFF"/>
            <w:noWrap/>
            <w:hideMark/>
          </w:tcPr>
          <w:p w14:paraId="3199B3CB" w14:textId="77777777" w:rsidR="007B2071" w:rsidRPr="001A75F9" w:rsidRDefault="007B2071" w:rsidP="007B2071">
            <w:pPr>
              <w:pStyle w:val="NoSpacing"/>
              <w:ind w:left="0"/>
              <w:rPr>
                <w:vertAlign w:val="superscript"/>
              </w:rPr>
            </w:pPr>
            <w:r w:rsidRPr="001A75F9">
              <w:t>H</w:t>
            </w:r>
            <w:r w:rsidRPr="001A75F9">
              <w:rPr>
                <w:vertAlign w:val="superscript"/>
              </w:rPr>
              <w:t>b</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70933C9F" w14:textId="77777777" w:rsidR="007B2071" w:rsidRPr="001A75F9" w:rsidRDefault="007B2071" w:rsidP="007B2071">
            <w:pPr>
              <w:pStyle w:val="NoSpacing"/>
              <w:ind w:left="0"/>
              <w:rPr>
                <w:vertAlign w:val="superscript"/>
              </w:rPr>
            </w:pPr>
            <w:r w:rsidRPr="001A75F9">
              <w:t>M</w:t>
            </w:r>
            <w:r w:rsidRPr="001A75F9">
              <w:rPr>
                <w:vertAlign w:val="superscript"/>
              </w:rPr>
              <w:t>c</w:t>
            </w:r>
          </w:p>
        </w:tc>
        <w:tc>
          <w:tcPr>
            <w:tcW w:w="895" w:type="dxa"/>
            <w:gridSpan w:val="2"/>
            <w:tcBorders>
              <w:top w:val="single" w:sz="4" w:space="0" w:color="auto"/>
              <w:left w:val="nil"/>
              <w:bottom w:val="single" w:sz="4" w:space="0" w:color="auto"/>
              <w:right w:val="single" w:sz="4" w:space="0" w:color="auto"/>
            </w:tcBorders>
            <w:shd w:val="clear" w:color="000000" w:fill="FFFFFF"/>
            <w:noWrap/>
            <w:hideMark/>
          </w:tcPr>
          <w:p w14:paraId="5B89A3B6" w14:textId="77777777" w:rsidR="007B2071" w:rsidRPr="001A75F9" w:rsidRDefault="007B2071" w:rsidP="007B2071">
            <w:pPr>
              <w:pStyle w:val="NoSpacing"/>
              <w:ind w:left="0"/>
              <w:rPr>
                <w:vertAlign w:val="superscript"/>
              </w:rPr>
            </w:pPr>
            <w:r w:rsidRPr="001A75F9">
              <w:t>L</w:t>
            </w:r>
            <w:r w:rsidRPr="001A75F9">
              <w:rPr>
                <w:vertAlign w:val="superscript"/>
              </w:rPr>
              <w:t>d</w:t>
            </w:r>
          </w:p>
        </w:tc>
        <w:tc>
          <w:tcPr>
            <w:tcW w:w="709" w:type="dxa"/>
            <w:tcBorders>
              <w:top w:val="single" w:sz="4" w:space="0" w:color="auto"/>
              <w:left w:val="nil"/>
              <w:bottom w:val="single" w:sz="4" w:space="0" w:color="auto"/>
              <w:right w:val="nil"/>
            </w:tcBorders>
            <w:shd w:val="clear" w:color="000000" w:fill="FFFFFF"/>
            <w:noWrap/>
            <w:hideMark/>
          </w:tcPr>
          <w:p w14:paraId="4A5A5203" w14:textId="77777777" w:rsidR="007B2071" w:rsidRPr="001A75F9" w:rsidRDefault="007B2071" w:rsidP="007B2071">
            <w:pPr>
              <w:pStyle w:val="NoSpacing"/>
              <w:ind w:left="0"/>
              <w:rPr>
                <w:vertAlign w:val="superscript"/>
              </w:rPr>
            </w:pPr>
            <w:r w:rsidRPr="001A75F9">
              <w:t>N</w:t>
            </w:r>
            <w:r w:rsidRPr="001A75F9">
              <w:rPr>
                <w:vertAlign w:val="superscript"/>
              </w:rPr>
              <w:t>e</w:t>
            </w:r>
          </w:p>
        </w:tc>
        <w:tc>
          <w:tcPr>
            <w:tcW w:w="3260" w:type="dxa"/>
            <w:gridSpan w:val="3"/>
            <w:tcBorders>
              <w:top w:val="single" w:sz="4" w:space="0" w:color="auto"/>
              <w:left w:val="double" w:sz="6" w:space="0" w:color="auto"/>
              <w:bottom w:val="single" w:sz="4" w:space="0" w:color="auto"/>
              <w:right w:val="single" w:sz="4" w:space="0" w:color="auto"/>
            </w:tcBorders>
            <w:shd w:val="clear" w:color="000000" w:fill="FFFFFF"/>
            <w:noWrap/>
            <w:hideMark/>
          </w:tcPr>
          <w:p w14:paraId="06090F37" w14:textId="77777777" w:rsidR="007B2071" w:rsidRPr="001A75F9" w:rsidRDefault="007B2071" w:rsidP="007B2071">
            <w:pPr>
              <w:pStyle w:val="NoSpacing"/>
              <w:ind w:left="0"/>
            </w:pPr>
            <w:r w:rsidRPr="001A75F9">
              <w:t> Level</w:t>
            </w:r>
          </w:p>
        </w:tc>
        <w:tc>
          <w:tcPr>
            <w:tcW w:w="709" w:type="dxa"/>
            <w:tcBorders>
              <w:top w:val="single" w:sz="4" w:space="0" w:color="auto"/>
              <w:left w:val="nil"/>
              <w:bottom w:val="single" w:sz="4" w:space="0" w:color="auto"/>
              <w:right w:val="single" w:sz="4" w:space="0" w:color="auto"/>
            </w:tcBorders>
            <w:shd w:val="clear" w:color="000000" w:fill="FFFFFF"/>
            <w:hideMark/>
          </w:tcPr>
          <w:p w14:paraId="24996775" w14:textId="77777777" w:rsidR="007B2071" w:rsidRPr="001A75F9" w:rsidRDefault="007B2071" w:rsidP="007B2071">
            <w:pPr>
              <w:pStyle w:val="NoSpacing"/>
              <w:ind w:left="0"/>
            </w:pPr>
            <w:r w:rsidRPr="001A75F9">
              <w:t>VH</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2C22A901" w14:textId="77777777" w:rsidR="007B2071" w:rsidRPr="001A75F9" w:rsidRDefault="007B2071" w:rsidP="007B2071">
            <w:pPr>
              <w:pStyle w:val="NoSpacing"/>
              <w:ind w:left="0"/>
            </w:pPr>
            <w:r w:rsidRPr="001A75F9">
              <w:t>H</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48BA595D" w14:textId="77777777" w:rsidR="007B2071" w:rsidRPr="001A75F9" w:rsidRDefault="007B2071" w:rsidP="007B2071">
            <w:pPr>
              <w:pStyle w:val="NoSpacing"/>
              <w:ind w:left="0"/>
            </w:pPr>
            <w:r w:rsidRPr="001A75F9">
              <w:t>M</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300321FF" w14:textId="77777777" w:rsidR="007B2071" w:rsidRPr="001A75F9" w:rsidRDefault="007B2071" w:rsidP="007B2071">
            <w:pPr>
              <w:pStyle w:val="NoSpacing"/>
              <w:ind w:left="0"/>
            </w:pPr>
            <w:r w:rsidRPr="001A75F9">
              <w:t>L</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033C0BFB" w14:textId="77777777" w:rsidR="007B2071" w:rsidRPr="001A75F9" w:rsidRDefault="007B2071" w:rsidP="007B2071">
            <w:pPr>
              <w:pStyle w:val="NoSpacing"/>
              <w:ind w:left="0"/>
            </w:pPr>
            <w:r w:rsidRPr="001A75F9">
              <w:t>N</w:t>
            </w:r>
          </w:p>
        </w:tc>
      </w:tr>
      <w:tr w:rsidR="007B2071" w:rsidRPr="001A75F9" w14:paraId="0922AD84" w14:textId="77777777" w:rsidTr="002C6458">
        <w:trPr>
          <w:trHeight w:val="143"/>
        </w:trPr>
        <w:tc>
          <w:tcPr>
            <w:tcW w:w="291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3EDDB" w14:textId="77777777" w:rsidR="007B2071" w:rsidRPr="001A75F9" w:rsidRDefault="007B2071" w:rsidP="007B2071">
            <w:pPr>
              <w:pStyle w:val="NoSpacing"/>
              <w:ind w:left="0"/>
            </w:pPr>
            <w:r w:rsidRPr="001A75F9">
              <w:t>Score </w:t>
            </w:r>
          </w:p>
        </w:tc>
        <w:tc>
          <w:tcPr>
            <w:tcW w:w="792" w:type="dxa"/>
            <w:gridSpan w:val="2"/>
            <w:tcBorders>
              <w:top w:val="nil"/>
              <w:left w:val="nil"/>
              <w:bottom w:val="single" w:sz="4" w:space="0" w:color="auto"/>
              <w:right w:val="single" w:sz="4" w:space="0" w:color="auto"/>
            </w:tcBorders>
            <w:shd w:val="clear" w:color="000000" w:fill="FFFFFF"/>
            <w:noWrap/>
            <w:vAlign w:val="bottom"/>
            <w:hideMark/>
          </w:tcPr>
          <w:p w14:paraId="6278A1EE" w14:textId="77777777" w:rsidR="007B2071" w:rsidRPr="001A75F9" w:rsidRDefault="007B2071" w:rsidP="007B2071">
            <w:pPr>
              <w:pStyle w:val="NoSpacing"/>
              <w:ind w:left="0"/>
            </w:pPr>
            <w:r w:rsidRPr="001A75F9">
              <w:t>4</w:t>
            </w:r>
          </w:p>
        </w:tc>
        <w:tc>
          <w:tcPr>
            <w:tcW w:w="736" w:type="dxa"/>
            <w:tcBorders>
              <w:top w:val="nil"/>
              <w:left w:val="nil"/>
              <w:bottom w:val="single" w:sz="4" w:space="0" w:color="auto"/>
              <w:right w:val="single" w:sz="4" w:space="0" w:color="auto"/>
            </w:tcBorders>
            <w:shd w:val="clear" w:color="000000" w:fill="FFFFFF"/>
            <w:noWrap/>
            <w:vAlign w:val="bottom"/>
            <w:hideMark/>
          </w:tcPr>
          <w:p w14:paraId="48E90A37" w14:textId="77777777" w:rsidR="007B2071" w:rsidRPr="001A75F9" w:rsidRDefault="007B2071" w:rsidP="007B2071">
            <w:pPr>
              <w:pStyle w:val="NoSpacing"/>
              <w:ind w:left="0"/>
            </w:pPr>
            <w:r w:rsidRPr="001A75F9">
              <w:t>2</w:t>
            </w:r>
          </w:p>
        </w:tc>
        <w:tc>
          <w:tcPr>
            <w:tcW w:w="720" w:type="dxa"/>
            <w:tcBorders>
              <w:top w:val="nil"/>
              <w:left w:val="nil"/>
              <w:bottom w:val="single" w:sz="4" w:space="0" w:color="auto"/>
              <w:right w:val="single" w:sz="4" w:space="0" w:color="auto"/>
            </w:tcBorders>
            <w:shd w:val="clear" w:color="000000" w:fill="FFFFFF"/>
            <w:noWrap/>
            <w:vAlign w:val="bottom"/>
            <w:hideMark/>
          </w:tcPr>
          <w:p w14:paraId="2F39C942" w14:textId="77777777" w:rsidR="007B2071" w:rsidRPr="001A75F9" w:rsidRDefault="007B2071" w:rsidP="007B2071">
            <w:pPr>
              <w:pStyle w:val="NoSpacing"/>
              <w:ind w:left="0"/>
            </w:pPr>
            <w:r w:rsidRPr="001A75F9">
              <w:t>1</w:t>
            </w:r>
          </w:p>
        </w:tc>
        <w:tc>
          <w:tcPr>
            <w:tcW w:w="895" w:type="dxa"/>
            <w:gridSpan w:val="2"/>
            <w:tcBorders>
              <w:top w:val="nil"/>
              <w:left w:val="nil"/>
              <w:bottom w:val="single" w:sz="4" w:space="0" w:color="auto"/>
              <w:right w:val="single" w:sz="4" w:space="0" w:color="auto"/>
            </w:tcBorders>
            <w:shd w:val="clear" w:color="000000" w:fill="FFFFFF"/>
            <w:noWrap/>
            <w:vAlign w:val="bottom"/>
            <w:hideMark/>
          </w:tcPr>
          <w:p w14:paraId="56EAA452" w14:textId="77777777" w:rsidR="007B2071" w:rsidRPr="001A75F9" w:rsidRDefault="007B2071" w:rsidP="007B2071">
            <w:pPr>
              <w:pStyle w:val="NoSpacing"/>
              <w:ind w:left="0"/>
            </w:pPr>
            <w:r w:rsidRPr="001A75F9">
              <w:t>0.5</w:t>
            </w:r>
          </w:p>
        </w:tc>
        <w:tc>
          <w:tcPr>
            <w:tcW w:w="709" w:type="dxa"/>
            <w:tcBorders>
              <w:top w:val="nil"/>
              <w:left w:val="nil"/>
              <w:bottom w:val="single" w:sz="4" w:space="0" w:color="auto"/>
              <w:right w:val="nil"/>
            </w:tcBorders>
            <w:shd w:val="clear" w:color="000000" w:fill="FFFFFF"/>
            <w:noWrap/>
            <w:vAlign w:val="bottom"/>
            <w:hideMark/>
          </w:tcPr>
          <w:p w14:paraId="02AEB23D" w14:textId="77777777" w:rsidR="007B2071" w:rsidRPr="001A75F9" w:rsidRDefault="007B2071" w:rsidP="007B2071">
            <w:pPr>
              <w:pStyle w:val="NoSpacing"/>
              <w:ind w:left="0"/>
            </w:pPr>
            <w:r w:rsidRPr="001A75F9">
              <w:t>0</w:t>
            </w:r>
          </w:p>
        </w:tc>
        <w:tc>
          <w:tcPr>
            <w:tcW w:w="3260" w:type="dxa"/>
            <w:gridSpan w:val="3"/>
            <w:tcBorders>
              <w:top w:val="single" w:sz="4" w:space="0" w:color="auto"/>
              <w:left w:val="double" w:sz="6" w:space="0" w:color="auto"/>
              <w:bottom w:val="single" w:sz="4" w:space="0" w:color="auto"/>
              <w:right w:val="single" w:sz="4" w:space="0" w:color="auto"/>
            </w:tcBorders>
            <w:shd w:val="clear" w:color="000000" w:fill="FFFFFF"/>
            <w:noWrap/>
            <w:vAlign w:val="bottom"/>
            <w:hideMark/>
          </w:tcPr>
          <w:p w14:paraId="02F8767A" w14:textId="77777777" w:rsidR="007B2071" w:rsidRPr="001A75F9" w:rsidRDefault="007B2071" w:rsidP="007B2071">
            <w:pPr>
              <w:pStyle w:val="NoSpacing"/>
              <w:ind w:left="0"/>
            </w:pPr>
            <w:r w:rsidRPr="001A75F9">
              <w:t>Score </w:t>
            </w:r>
          </w:p>
        </w:tc>
        <w:tc>
          <w:tcPr>
            <w:tcW w:w="709" w:type="dxa"/>
            <w:tcBorders>
              <w:top w:val="nil"/>
              <w:left w:val="nil"/>
              <w:bottom w:val="single" w:sz="4" w:space="0" w:color="auto"/>
              <w:right w:val="single" w:sz="4" w:space="0" w:color="auto"/>
            </w:tcBorders>
            <w:shd w:val="clear" w:color="000000" w:fill="FFFFFF"/>
            <w:noWrap/>
            <w:vAlign w:val="bottom"/>
            <w:hideMark/>
          </w:tcPr>
          <w:p w14:paraId="10E5CF29" w14:textId="77777777" w:rsidR="007B2071" w:rsidRPr="001A75F9" w:rsidRDefault="007B2071" w:rsidP="007B2071">
            <w:pPr>
              <w:pStyle w:val="NoSpacing"/>
              <w:ind w:left="0"/>
            </w:pPr>
            <w:r w:rsidRPr="001A75F9">
              <w:t>4</w:t>
            </w:r>
          </w:p>
        </w:tc>
        <w:tc>
          <w:tcPr>
            <w:tcW w:w="708" w:type="dxa"/>
            <w:tcBorders>
              <w:top w:val="nil"/>
              <w:left w:val="nil"/>
              <w:bottom w:val="single" w:sz="4" w:space="0" w:color="auto"/>
              <w:right w:val="single" w:sz="4" w:space="0" w:color="auto"/>
            </w:tcBorders>
            <w:shd w:val="clear" w:color="000000" w:fill="FFFFFF"/>
            <w:noWrap/>
            <w:vAlign w:val="bottom"/>
            <w:hideMark/>
          </w:tcPr>
          <w:p w14:paraId="5B492224" w14:textId="77777777" w:rsidR="007B2071" w:rsidRPr="001A75F9" w:rsidRDefault="007B2071" w:rsidP="007B2071">
            <w:pPr>
              <w:pStyle w:val="NoSpacing"/>
              <w:ind w:left="0"/>
            </w:pPr>
            <w:r w:rsidRPr="001A75F9">
              <w:t>2</w:t>
            </w:r>
          </w:p>
        </w:tc>
        <w:tc>
          <w:tcPr>
            <w:tcW w:w="851" w:type="dxa"/>
            <w:tcBorders>
              <w:top w:val="nil"/>
              <w:left w:val="nil"/>
              <w:bottom w:val="single" w:sz="4" w:space="0" w:color="auto"/>
              <w:right w:val="single" w:sz="4" w:space="0" w:color="auto"/>
            </w:tcBorders>
            <w:shd w:val="clear" w:color="000000" w:fill="FFFFFF"/>
            <w:noWrap/>
            <w:vAlign w:val="bottom"/>
            <w:hideMark/>
          </w:tcPr>
          <w:p w14:paraId="1FAFB7E2" w14:textId="77777777" w:rsidR="007B2071" w:rsidRPr="001A75F9" w:rsidRDefault="007B2071" w:rsidP="007B2071">
            <w:pPr>
              <w:pStyle w:val="NoSpacing"/>
              <w:ind w:left="0"/>
            </w:pPr>
            <w:r w:rsidRPr="001A75F9">
              <w:t>1</w:t>
            </w:r>
          </w:p>
        </w:tc>
        <w:tc>
          <w:tcPr>
            <w:tcW w:w="709" w:type="dxa"/>
            <w:tcBorders>
              <w:top w:val="nil"/>
              <w:left w:val="nil"/>
              <w:bottom w:val="single" w:sz="4" w:space="0" w:color="auto"/>
              <w:right w:val="single" w:sz="4" w:space="0" w:color="auto"/>
            </w:tcBorders>
            <w:shd w:val="clear" w:color="000000" w:fill="FFFFFF"/>
            <w:noWrap/>
            <w:vAlign w:val="bottom"/>
            <w:hideMark/>
          </w:tcPr>
          <w:p w14:paraId="332E2395" w14:textId="77777777" w:rsidR="007B2071" w:rsidRPr="001A75F9" w:rsidRDefault="007B2071" w:rsidP="007B2071">
            <w:pPr>
              <w:pStyle w:val="NoSpacing"/>
              <w:ind w:left="0"/>
            </w:pPr>
            <w:r w:rsidRPr="001A75F9">
              <w:t>0.5</w:t>
            </w:r>
          </w:p>
        </w:tc>
        <w:tc>
          <w:tcPr>
            <w:tcW w:w="708" w:type="dxa"/>
            <w:tcBorders>
              <w:top w:val="nil"/>
              <w:left w:val="nil"/>
              <w:bottom w:val="single" w:sz="4" w:space="0" w:color="auto"/>
              <w:right w:val="single" w:sz="4" w:space="0" w:color="auto"/>
            </w:tcBorders>
            <w:shd w:val="clear" w:color="000000" w:fill="FFFFFF"/>
            <w:noWrap/>
            <w:vAlign w:val="bottom"/>
            <w:hideMark/>
          </w:tcPr>
          <w:p w14:paraId="0C17D3BD" w14:textId="77777777" w:rsidR="007B2071" w:rsidRPr="001A75F9" w:rsidRDefault="007B2071" w:rsidP="007B2071">
            <w:pPr>
              <w:pStyle w:val="NoSpacing"/>
              <w:ind w:left="0"/>
            </w:pPr>
            <w:r w:rsidRPr="001A75F9">
              <w:t>0</w:t>
            </w:r>
          </w:p>
        </w:tc>
      </w:tr>
      <w:tr w:rsidR="007B2071" w:rsidRPr="001A75F9" w14:paraId="4FC1D317" w14:textId="77777777" w:rsidTr="002C6458">
        <w:trPr>
          <w:trHeight w:val="5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6748BE" w14:textId="77777777" w:rsidR="007B2071" w:rsidRPr="001A75F9" w:rsidRDefault="007B2071" w:rsidP="007B2071">
            <w:pPr>
              <w:pStyle w:val="NoSpacing"/>
              <w:ind w:left="0"/>
            </w:pPr>
            <w:r w:rsidRPr="001A75F9">
              <w:t> </w:t>
            </w:r>
          </w:p>
        </w:tc>
        <w:tc>
          <w:tcPr>
            <w:tcW w:w="1163" w:type="dxa"/>
            <w:tcBorders>
              <w:top w:val="nil"/>
              <w:left w:val="nil"/>
              <w:bottom w:val="single" w:sz="4" w:space="0" w:color="auto"/>
              <w:right w:val="single" w:sz="4" w:space="0" w:color="auto"/>
            </w:tcBorders>
            <w:shd w:val="clear" w:color="auto" w:fill="auto"/>
            <w:hideMark/>
          </w:tcPr>
          <w:p w14:paraId="1F5E65CF" w14:textId="77777777" w:rsidR="007B2071" w:rsidRPr="001A75F9" w:rsidRDefault="007B2071" w:rsidP="007B2071">
            <w:pPr>
              <w:pStyle w:val="NoSpacing"/>
              <w:ind w:left="0"/>
            </w:pPr>
            <w:r w:rsidRPr="001A75F9">
              <w:t>Target Animal</w:t>
            </w:r>
          </w:p>
        </w:tc>
        <w:tc>
          <w:tcPr>
            <w:tcW w:w="1096" w:type="dxa"/>
            <w:tcBorders>
              <w:top w:val="nil"/>
              <w:left w:val="nil"/>
              <w:bottom w:val="single" w:sz="4" w:space="0" w:color="auto"/>
              <w:right w:val="single" w:sz="4" w:space="0" w:color="auto"/>
            </w:tcBorders>
            <w:shd w:val="clear" w:color="auto" w:fill="auto"/>
            <w:hideMark/>
          </w:tcPr>
          <w:p w14:paraId="0374864D" w14:textId="77777777" w:rsidR="007B2071" w:rsidRPr="001A75F9" w:rsidRDefault="007B2071" w:rsidP="007B2071">
            <w:pPr>
              <w:pStyle w:val="NoSpacing"/>
              <w:ind w:left="0"/>
            </w:pPr>
            <w:r w:rsidRPr="001A75F9">
              <w:t>Infection</w:t>
            </w:r>
          </w:p>
        </w:tc>
        <w:tc>
          <w:tcPr>
            <w:tcW w:w="3852" w:type="dxa"/>
            <w:gridSpan w:val="7"/>
            <w:tcBorders>
              <w:top w:val="single" w:sz="4" w:space="0" w:color="auto"/>
              <w:left w:val="nil"/>
              <w:bottom w:val="single" w:sz="4" w:space="0" w:color="auto"/>
              <w:right w:val="single" w:sz="4" w:space="0" w:color="auto"/>
            </w:tcBorders>
            <w:shd w:val="clear" w:color="000000" w:fill="808080"/>
            <w:hideMark/>
          </w:tcPr>
          <w:p w14:paraId="2850F21E" w14:textId="77777777" w:rsidR="007B2071" w:rsidRPr="001A75F9" w:rsidRDefault="007B2071" w:rsidP="007B2071">
            <w:pPr>
              <w:pStyle w:val="NoSpacing"/>
              <w:ind w:left="0"/>
            </w:pPr>
            <w:r w:rsidRPr="001A75F9">
              <w:t> </w:t>
            </w:r>
          </w:p>
        </w:tc>
        <w:tc>
          <w:tcPr>
            <w:tcW w:w="3260" w:type="dxa"/>
            <w:gridSpan w:val="3"/>
            <w:tcBorders>
              <w:top w:val="single" w:sz="4" w:space="0" w:color="auto"/>
              <w:left w:val="double" w:sz="6" w:space="0" w:color="auto"/>
              <w:bottom w:val="single" w:sz="4" w:space="0" w:color="auto"/>
              <w:right w:val="single" w:sz="4" w:space="0" w:color="auto"/>
            </w:tcBorders>
            <w:shd w:val="clear" w:color="000000" w:fill="FFFFFF"/>
            <w:noWrap/>
            <w:hideMark/>
          </w:tcPr>
          <w:p w14:paraId="446540F0" w14:textId="77777777" w:rsidR="007B2071" w:rsidRPr="001A75F9" w:rsidRDefault="007B2071" w:rsidP="007B2071">
            <w:pPr>
              <w:pStyle w:val="NoSpacing"/>
              <w:ind w:left="0"/>
            </w:pPr>
            <w:r w:rsidRPr="001A75F9">
              <w:t>PBT</w:t>
            </w:r>
          </w:p>
        </w:tc>
        <w:tc>
          <w:tcPr>
            <w:tcW w:w="709" w:type="dxa"/>
            <w:tcBorders>
              <w:top w:val="nil"/>
              <w:left w:val="nil"/>
              <w:bottom w:val="single" w:sz="4" w:space="0" w:color="auto"/>
              <w:right w:val="single" w:sz="4" w:space="0" w:color="auto"/>
            </w:tcBorders>
            <w:shd w:val="clear" w:color="000000" w:fill="FFC7CE"/>
            <w:vAlign w:val="bottom"/>
            <w:hideMark/>
          </w:tcPr>
          <w:p w14:paraId="7B79216F" w14:textId="77777777" w:rsidR="007B2071" w:rsidRPr="001A75F9" w:rsidRDefault="007B2071" w:rsidP="007B2071">
            <w:pPr>
              <w:pStyle w:val="NoSpacing"/>
              <w:ind w:left="0"/>
            </w:pPr>
            <w:r w:rsidRPr="001A75F9">
              <w:t>vP + vB</w:t>
            </w:r>
          </w:p>
        </w:tc>
        <w:tc>
          <w:tcPr>
            <w:tcW w:w="708" w:type="dxa"/>
            <w:tcBorders>
              <w:top w:val="nil"/>
              <w:left w:val="nil"/>
              <w:bottom w:val="single" w:sz="4" w:space="0" w:color="auto"/>
              <w:right w:val="single" w:sz="4" w:space="0" w:color="auto"/>
            </w:tcBorders>
            <w:shd w:val="clear" w:color="000000" w:fill="FFC7CE"/>
            <w:vAlign w:val="bottom"/>
            <w:hideMark/>
          </w:tcPr>
          <w:p w14:paraId="71048EE4" w14:textId="77777777" w:rsidR="007B2071" w:rsidRPr="001A75F9" w:rsidRDefault="007B2071" w:rsidP="007B2071">
            <w:pPr>
              <w:pStyle w:val="NoSpacing"/>
              <w:ind w:left="0"/>
            </w:pPr>
            <w:r w:rsidRPr="001A75F9">
              <w:t>P +B + T</w:t>
            </w:r>
          </w:p>
        </w:tc>
        <w:tc>
          <w:tcPr>
            <w:tcW w:w="851" w:type="dxa"/>
            <w:tcBorders>
              <w:top w:val="nil"/>
              <w:left w:val="nil"/>
              <w:bottom w:val="single" w:sz="4" w:space="0" w:color="auto"/>
              <w:right w:val="single" w:sz="4" w:space="0" w:color="auto"/>
            </w:tcBorders>
            <w:shd w:val="clear" w:color="000000" w:fill="FFEB9C"/>
            <w:vAlign w:val="bottom"/>
            <w:hideMark/>
          </w:tcPr>
          <w:p w14:paraId="56EAAC80" w14:textId="77777777" w:rsidR="007B2071" w:rsidRPr="001A75F9" w:rsidRDefault="007B2071" w:rsidP="007B2071">
            <w:pPr>
              <w:pStyle w:val="NoSpacing"/>
              <w:ind w:left="0"/>
            </w:pPr>
            <w:r w:rsidRPr="001A75F9">
              <w:t>2 of 3</w:t>
            </w:r>
          </w:p>
        </w:tc>
        <w:tc>
          <w:tcPr>
            <w:tcW w:w="709" w:type="dxa"/>
            <w:tcBorders>
              <w:top w:val="nil"/>
              <w:left w:val="nil"/>
              <w:bottom w:val="single" w:sz="4" w:space="0" w:color="auto"/>
              <w:right w:val="single" w:sz="4" w:space="0" w:color="auto"/>
            </w:tcBorders>
            <w:shd w:val="clear" w:color="000000" w:fill="C6EFCE"/>
            <w:vAlign w:val="bottom"/>
            <w:hideMark/>
          </w:tcPr>
          <w:p w14:paraId="03E88518" w14:textId="77777777" w:rsidR="007B2071" w:rsidRPr="001A75F9" w:rsidRDefault="007B2071" w:rsidP="007B2071">
            <w:pPr>
              <w:pStyle w:val="NoSpacing"/>
              <w:ind w:left="0"/>
            </w:pPr>
            <w:r w:rsidRPr="001A75F9">
              <w:t>1 of 3</w:t>
            </w:r>
          </w:p>
        </w:tc>
        <w:tc>
          <w:tcPr>
            <w:tcW w:w="708" w:type="dxa"/>
            <w:tcBorders>
              <w:top w:val="nil"/>
              <w:left w:val="nil"/>
              <w:bottom w:val="single" w:sz="4" w:space="0" w:color="auto"/>
              <w:right w:val="single" w:sz="4" w:space="0" w:color="auto"/>
            </w:tcBorders>
            <w:shd w:val="clear" w:color="000000" w:fill="C6EFCE"/>
            <w:vAlign w:val="bottom"/>
            <w:hideMark/>
          </w:tcPr>
          <w:p w14:paraId="0A468DFD" w14:textId="77777777" w:rsidR="007B2071" w:rsidRPr="001A75F9" w:rsidRDefault="007B2071" w:rsidP="007B2071">
            <w:pPr>
              <w:pStyle w:val="NoSpacing"/>
              <w:ind w:left="0"/>
            </w:pPr>
            <w:r w:rsidRPr="001A75F9">
              <w:t>Not PBT</w:t>
            </w:r>
          </w:p>
        </w:tc>
      </w:tr>
      <w:tr w:rsidR="007B2071" w:rsidRPr="001A75F9" w14:paraId="400B52B6" w14:textId="77777777" w:rsidTr="002C6458">
        <w:trPr>
          <w:trHeight w:val="560"/>
        </w:trPr>
        <w:tc>
          <w:tcPr>
            <w:tcW w:w="6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9CBEB53" w14:textId="77777777" w:rsidR="007B2071" w:rsidRPr="001A75F9" w:rsidRDefault="007B2071" w:rsidP="007B2071">
            <w:pPr>
              <w:pStyle w:val="NoSpacing"/>
              <w:ind w:left="0"/>
            </w:pPr>
            <w:r w:rsidRPr="001A75F9">
              <w:t>Efficacy</w:t>
            </w:r>
          </w:p>
        </w:tc>
        <w:tc>
          <w:tcPr>
            <w:tcW w:w="1163" w:type="dxa"/>
            <w:vMerge w:val="restart"/>
            <w:tcBorders>
              <w:top w:val="nil"/>
              <w:left w:val="single" w:sz="4" w:space="0" w:color="auto"/>
              <w:bottom w:val="single" w:sz="4" w:space="0" w:color="auto"/>
              <w:right w:val="single" w:sz="4" w:space="0" w:color="auto"/>
            </w:tcBorders>
            <w:shd w:val="clear" w:color="auto" w:fill="auto"/>
            <w:hideMark/>
          </w:tcPr>
          <w:p w14:paraId="7F0FC469" w14:textId="77777777" w:rsidR="007B2071" w:rsidRPr="001A75F9" w:rsidRDefault="007B2071" w:rsidP="007B2071">
            <w:pPr>
              <w:pStyle w:val="NoSpacing"/>
              <w:ind w:left="0"/>
            </w:pPr>
            <w:r w:rsidRPr="001A75F9">
              <w:t>Livestock species 1</w:t>
            </w:r>
          </w:p>
        </w:tc>
        <w:tc>
          <w:tcPr>
            <w:tcW w:w="1096" w:type="dxa"/>
            <w:tcBorders>
              <w:top w:val="nil"/>
              <w:left w:val="nil"/>
              <w:bottom w:val="single" w:sz="4" w:space="0" w:color="auto"/>
              <w:right w:val="single" w:sz="4" w:space="0" w:color="auto"/>
            </w:tcBorders>
            <w:shd w:val="clear" w:color="auto" w:fill="auto"/>
            <w:hideMark/>
          </w:tcPr>
          <w:p w14:paraId="1AEEFA9D" w14:textId="77777777" w:rsidR="007B2071" w:rsidRPr="001A75F9" w:rsidRDefault="007B2071" w:rsidP="007B2071">
            <w:pPr>
              <w:pStyle w:val="NoSpacing"/>
              <w:ind w:left="0"/>
            </w:pPr>
            <w:r w:rsidRPr="001A75F9">
              <w:t>Species 1</w:t>
            </w:r>
          </w:p>
        </w:tc>
        <w:tc>
          <w:tcPr>
            <w:tcW w:w="733"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112649" w14:textId="671B2C25" w:rsidR="007B2071" w:rsidRPr="001A75F9" w:rsidRDefault="00BC363F" w:rsidP="007B2071">
            <w:pPr>
              <w:pStyle w:val="NoSpacing"/>
              <w:ind w:left="0"/>
            </w:pPr>
            <w:r w:rsidRPr="001A75F9">
              <w:t>≥</w:t>
            </w:r>
            <w:r w:rsidR="0061712F" w:rsidRPr="001A75F9">
              <w:t>7</w:t>
            </w:r>
            <w:r w:rsidR="007B2071" w:rsidRPr="001A75F9">
              <w:t>0%</w:t>
            </w:r>
          </w:p>
        </w:tc>
        <w:tc>
          <w:tcPr>
            <w:tcW w:w="795" w:type="dxa"/>
            <w:gridSpan w:val="2"/>
            <w:vMerge w:val="restart"/>
            <w:tcBorders>
              <w:top w:val="nil"/>
              <w:left w:val="single" w:sz="4" w:space="0" w:color="auto"/>
              <w:bottom w:val="single" w:sz="4" w:space="0" w:color="auto"/>
              <w:right w:val="single" w:sz="4" w:space="0" w:color="auto"/>
            </w:tcBorders>
            <w:shd w:val="clear" w:color="000000" w:fill="C6EFCE"/>
            <w:vAlign w:val="center"/>
            <w:hideMark/>
          </w:tcPr>
          <w:p w14:paraId="75F6A2C5" w14:textId="1879658E" w:rsidR="007B2071" w:rsidRPr="001A75F9" w:rsidRDefault="007B2071" w:rsidP="00903CED">
            <w:pPr>
              <w:pStyle w:val="NoSpacing"/>
              <w:ind w:left="0"/>
            </w:pPr>
            <w:r w:rsidRPr="001A75F9">
              <w:t xml:space="preserve">50%- </w:t>
            </w:r>
            <w:r w:rsidR="00903CED" w:rsidRPr="001A75F9">
              <w:t>69</w:t>
            </w:r>
            <w:r w:rsidRPr="001A75F9">
              <w:t>%</w:t>
            </w:r>
          </w:p>
        </w:tc>
        <w:tc>
          <w:tcPr>
            <w:tcW w:w="764" w:type="dxa"/>
            <w:gridSpan w:val="2"/>
            <w:vMerge w:val="restart"/>
            <w:tcBorders>
              <w:top w:val="nil"/>
              <w:left w:val="single" w:sz="4" w:space="0" w:color="auto"/>
              <w:bottom w:val="single" w:sz="4" w:space="0" w:color="auto"/>
              <w:right w:val="single" w:sz="4" w:space="0" w:color="auto"/>
            </w:tcBorders>
            <w:shd w:val="clear" w:color="000000" w:fill="FFEB9C"/>
            <w:vAlign w:val="center"/>
            <w:hideMark/>
          </w:tcPr>
          <w:p w14:paraId="11CF611F" w14:textId="4ACD808E" w:rsidR="007B2071" w:rsidRPr="001A75F9" w:rsidRDefault="007B2071" w:rsidP="00A132E4">
            <w:pPr>
              <w:pStyle w:val="NoSpacing"/>
              <w:tabs>
                <w:tab w:val="left" w:pos="4395"/>
                <w:tab w:val="left" w:pos="5103"/>
              </w:tabs>
              <w:ind w:left="0"/>
            </w:pPr>
            <w:r w:rsidRPr="001A75F9">
              <w:t>30</w:t>
            </w:r>
            <w:r w:rsidR="00A132E4" w:rsidRPr="001A75F9">
              <w:t>%-</w:t>
            </w:r>
            <w:r w:rsidRPr="001A75F9">
              <w:br/>
            </w:r>
            <w:r w:rsidR="00DC11B9" w:rsidRPr="001A75F9">
              <w:t>49</w:t>
            </w:r>
            <w:r w:rsidRPr="001A75F9">
              <w:t>%</w:t>
            </w:r>
          </w:p>
        </w:tc>
        <w:tc>
          <w:tcPr>
            <w:tcW w:w="851" w:type="dxa"/>
            <w:vMerge w:val="restart"/>
            <w:tcBorders>
              <w:top w:val="nil"/>
              <w:left w:val="single" w:sz="4" w:space="0" w:color="auto"/>
              <w:bottom w:val="single" w:sz="4" w:space="0" w:color="auto"/>
              <w:right w:val="single" w:sz="4" w:space="0" w:color="auto"/>
            </w:tcBorders>
            <w:shd w:val="clear" w:color="000000" w:fill="FFEB9C"/>
            <w:vAlign w:val="center"/>
            <w:hideMark/>
          </w:tcPr>
          <w:p w14:paraId="5BCD97FC" w14:textId="6EE23D90" w:rsidR="007B2071" w:rsidRPr="001A75F9" w:rsidRDefault="007B2071" w:rsidP="00DC11B9">
            <w:pPr>
              <w:pStyle w:val="NoSpacing"/>
              <w:ind w:left="0"/>
            </w:pPr>
            <w:r w:rsidRPr="001A75F9">
              <w:t>10%-</w:t>
            </w:r>
            <w:r w:rsidR="00DC11B9" w:rsidRPr="001A75F9">
              <w:t>29</w:t>
            </w:r>
            <w:r w:rsidRPr="001A75F9">
              <w:t>%</w:t>
            </w:r>
          </w:p>
        </w:tc>
        <w:tc>
          <w:tcPr>
            <w:tcW w:w="709" w:type="dxa"/>
            <w:vMerge w:val="restart"/>
            <w:tcBorders>
              <w:top w:val="nil"/>
              <w:left w:val="single" w:sz="4" w:space="0" w:color="auto"/>
              <w:bottom w:val="single" w:sz="4" w:space="0" w:color="auto"/>
              <w:right w:val="nil"/>
            </w:tcBorders>
            <w:shd w:val="clear" w:color="000000" w:fill="FFC7CE"/>
            <w:vAlign w:val="center"/>
            <w:hideMark/>
          </w:tcPr>
          <w:p w14:paraId="794C8173" w14:textId="77777777" w:rsidR="007B2071" w:rsidRPr="001A75F9" w:rsidRDefault="007B2071" w:rsidP="007B2071">
            <w:pPr>
              <w:pStyle w:val="NoSpacing"/>
              <w:ind w:left="0"/>
            </w:pPr>
            <w:r w:rsidRPr="001A75F9">
              <w:t>&lt;10%</w:t>
            </w:r>
          </w:p>
        </w:tc>
        <w:tc>
          <w:tcPr>
            <w:tcW w:w="283" w:type="dxa"/>
            <w:vMerge w:val="restart"/>
            <w:tcBorders>
              <w:top w:val="nil"/>
              <w:left w:val="double" w:sz="6" w:space="0" w:color="auto"/>
              <w:bottom w:val="single" w:sz="4" w:space="0" w:color="auto"/>
              <w:right w:val="single" w:sz="4" w:space="0" w:color="auto"/>
            </w:tcBorders>
            <w:shd w:val="clear" w:color="000000" w:fill="FFFFFF"/>
            <w:noWrap/>
            <w:vAlign w:val="center"/>
            <w:hideMark/>
          </w:tcPr>
          <w:p w14:paraId="070F0FFE" w14:textId="77777777" w:rsidR="007B2071" w:rsidRPr="001A75F9" w:rsidRDefault="007B2071" w:rsidP="007B2071">
            <w:pPr>
              <w:pStyle w:val="NoSpacing"/>
              <w:ind w:left="0"/>
            </w:pPr>
            <w:r w:rsidRPr="001A75F9">
              <w:t>RQ</w:t>
            </w:r>
          </w:p>
        </w:tc>
        <w:tc>
          <w:tcPr>
            <w:tcW w:w="1559" w:type="dxa"/>
            <w:tcBorders>
              <w:top w:val="nil"/>
              <w:left w:val="nil"/>
              <w:bottom w:val="single" w:sz="4" w:space="0" w:color="auto"/>
              <w:right w:val="single" w:sz="4" w:space="0" w:color="auto"/>
            </w:tcBorders>
            <w:shd w:val="clear" w:color="000000" w:fill="FFFFFF"/>
            <w:noWrap/>
            <w:hideMark/>
          </w:tcPr>
          <w:p w14:paraId="67E53673" w14:textId="77777777" w:rsidR="007B2071" w:rsidRPr="001A75F9" w:rsidRDefault="007B2071" w:rsidP="007B2071">
            <w:pPr>
              <w:pStyle w:val="NoSpacing"/>
              <w:ind w:left="0"/>
            </w:pPr>
            <w:r w:rsidRPr="001A75F9">
              <w:t>Compartment</w:t>
            </w:r>
          </w:p>
        </w:tc>
        <w:tc>
          <w:tcPr>
            <w:tcW w:w="1418" w:type="dxa"/>
            <w:tcBorders>
              <w:top w:val="nil"/>
              <w:left w:val="nil"/>
              <w:bottom w:val="single" w:sz="4" w:space="0" w:color="auto"/>
              <w:right w:val="single" w:sz="4" w:space="0" w:color="auto"/>
            </w:tcBorders>
            <w:shd w:val="clear" w:color="000000" w:fill="FFFFFF"/>
            <w:noWrap/>
            <w:hideMark/>
          </w:tcPr>
          <w:p w14:paraId="5F66B5F0" w14:textId="77777777" w:rsidR="007B2071" w:rsidRPr="001A75F9" w:rsidRDefault="007B2071" w:rsidP="007B2071">
            <w:pPr>
              <w:pStyle w:val="NoSpacing"/>
              <w:ind w:left="0"/>
            </w:pPr>
            <w:r w:rsidRPr="001A75F9">
              <w:t>Organisms</w:t>
            </w:r>
          </w:p>
        </w:tc>
        <w:tc>
          <w:tcPr>
            <w:tcW w:w="709" w:type="dxa"/>
            <w:tcBorders>
              <w:top w:val="nil"/>
              <w:left w:val="nil"/>
              <w:bottom w:val="single" w:sz="4" w:space="0" w:color="auto"/>
              <w:right w:val="single" w:sz="4" w:space="0" w:color="auto"/>
            </w:tcBorders>
            <w:shd w:val="clear" w:color="000000" w:fill="808080"/>
            <w:vAlign w:val="bottom"/>
            <w:hideMark/>
          </w:tcPr>
          <w:p w14:paraId="025EA211" w14:textId="77777777" w:rsidR="007B2071" w:rsidRPr="001A75F9" w:rsidRDefault="007B2071" w:rsidP="007B2071">
            <w:pPr>
              <w:pStyle w:val="NoSpacing"/>
              <w:ind w:left="0"/>
            </w:pPr>
            <w:r w:rsidRPr="001A75F9">
              <w:t> </w:t>
            </w:r>
          </w:p>
        </w:tc>
        <w:tc>
          <w:tcPr>
            <w:tcW w:w="708" w:type="dxa"/>
            <w:tcBorders>
              <w:top w:val="nil"/>
              <w:left w:val="nil"/>
              <w:bottom w:val="single" w:sz="4" w:space="0" w:color="auto"/>
              <w:right w:val="single" w:sz="4" w:space="0" w:color="auto"/>
            </w:tcBorders>
            <w:shd w:val="clear" w:color="000000" w:fill="808080"/>
            <w:vAlign w:val="bottom"/>
            <w:hideMark/>
          </w:tcPr>
          <w:p w14:paraId="037C0C8B" w14:textId="77777777" w:rsidR="007B2071" w:rsidRPr="001A75F9" w:rsidRDefault="007B2071" w:rsidP="007B2071">
            <w:pPr>
              <w:pStyle w:val="NoSpacing"/>
              <w:ind w:left="0"/>
            </w:pPr>
            <w:r w:rsidRPr="001A75F9">
              <w:t> </w:t>
            </w:r>
          </w:p>
        </w:tc>
        <w:tc>
          <w:tcPr>
            <w:tcW w:w="851" w:type="dxa"/>
            <w:tcBorders>
              <w:top w:val="nil"/>
              <w:left w:val="nil"/>
              <w:bottom w:val="single" w:sz="4" w:space="0" w:color="auto"/>
              <w:right w:val="single" w:sz="4" w:space="0" w:color="auto"/>
            </w:tcBorders>
            <w:shd w:val="clear" w:color="000000" w:fill="808080"/>
            <w:vAlign w:val="bottom"/>
            <w:hideMark/>
          </w:tcPr>
          <w:p w14:paraId="48F9E3F9" w14:textId="77777777" w:rsidR="007B2071" w:rsidRPr="001A75F9" w:rsidRDefault="007B2071" w:rsidP="007B2071">
            <w:pPr>
              <w:pStyle w:val="NoSpacing"/>
              <w:ind w:left="0"/>
            </w:pPr>
            <w:r w:rsidRPr="001A75F9">
              <w:t> </w:t>
            </w:r>
          </w:p>
        </w:tc>
        <w:tc>
          <w:tcPr>
            <w:tcW w:w="709" w:type="dxa"/>
            <w:tcBorders>
              <w:top w:val="nil"/>
              <w:left w:val="nil"/>
              <w:bottom w:val="single" w:sz="4" w:space="0" w:color="auto"/>
              <w:right w:val="single" w:sz="4" w:space="0" w:color="auto"/>
            </w:tcBorders>
            <w:shd w:val="clear" w:color="000000" w:fill="808080"/>
            <w:vAlign w:val="bottom"/>
            <w:hideMark/>
          </w:tcPr>
          <w:p w14:paraId="35ABB020" w14:textId="77777777" w:rsidR="007B2071" w:rsidRPr="001A75F9" w:rsidRDefault="007B2071" w:rsidP="007B2071">
            <w:pPr>
              <w:pStyle w:val="NoSpacing"/>
              <w:ind w:left="0"/>
            </w:pPr>
            <w:r w:rsidRPr="001A75F9">
              <w:t> </w:t>
            </w:r>
          </w:p>
        </w:tc>
        <w:tc>
          <w:tcPr>
            <w:tcW w:w="708" w:type="dxa"/>
            <w:tcBorders>
              <w:top w:val="nil"/>
              <w:left w:val="nil"/>
              <w:bottom w:val="single" w:sz="4" w:space="0" w:color="auto"/>
              <w:right w:val="single" w:sz="4" w:space="0" w:color="auto"/>
            </w:tcBorders>
            <w:shd w:val="clear" w:color="000000" w:fill="808080"/>
            <w:vAlign w:val="bottom"/>
            <w:hideMark/>
          </w:tcPr>
          <w:p w14:paraId="16907CAA" w14:textId="77777777" w:rsidR="007B2071" w:rsidRPr="001A75F9" w:rsidRDefault="007B2071" w:rsidP="007B2071">
            <w:pPr>
              <w:pStyle w:val="NoSpacing"/>
              <w:ind w:left="0"/>
            </w:pPr>
            <w:r w:rsidRPr="001A75F9">
              <w:t> </w:t>
            </w:r>
          </w:p>
        </w:tc>
      </w:tr>
      <w:tr w:rsidR="007B2071" w:rsidRPr="001A75F9" w14:paraId="3C03E680" w14:textId="77777777" w:rsidTr="002C6458">
        <w:trPr>
          <w:trHeight w:val="460"/>
        </w:trPr>
        <w:tc>
          <w:tcPr>
            <w:tcW w:w="660" w:type="dxa"/>
            <w:vMerge/>
            <w:tcBorders>
              <w:top w:val="nil"/>
              <w:left w:val="single" w:sz="4" w:space="0" w:color="auto"/>
              <w:bottom w:val="single" w:sz="4" w:space="0" w:color="auto"/>
              <w:right w:val="single" w:sz="4" w:space="0" w:color="auto"/>
            </w:tcBorders>
            <w:vAlign w:val="center"/>
            <w:hideMark/>
          </w:tcPr>
          <w:p w14:paraId="0D70D880" w14:textId="77777777" w:rsidR="007B2071" w:rsidRPr="001A75F9" w:rsidRDefault="007B2071" w:rsidP="007B2071">
            <w:pPr>
              <w:pStyle w:val="NoSpacing"/>
              <w:ind w:left="0"/>
            </w:pPr>
          </w:p>
        </w:tc>
        <w:tc>
          <w:tcPr>
            <w:tcW w:w="1163" w:type="dxa"/>
            <w:vMerge/>
            <w:tcBorders>
              <w:top w:val="nil"/>
              <w:left w:val="single" w:sz="4" w:space="0" w:color="auto"/>
              <w:bottom w:val="single" w:sz="4" w:space="0" w:color="auto"/>
              <w:right w:val="single" w:sz="4" w:space="0" w:color="auto"/>
            </w:tcBorders>
            <w:vAlign w:val="center"/>
            <w:hideMark/>
          </w:tcPr>
          <w:p w14:paraId="3D2E6BCF" w14:textId="77777777" w:rsidR="007B2071" w:rsidRPr="001A75F9" w:rsidRDefault="007B2071" w:rsidP="007B2071">
            <w:pPr>
              <w:pStyle w:val="NoSpacing"/>
              <w:ind w:left="0"/>
            </w:pPr>
          </w:p>
        </w:tc>
        <w:tc>
          <w:tcPr>
            <w:tcW w:w="1096" w:type="dxa"/>
            <w:tcBorders>
              <w:top w:val="nil"/>
              <w:left w:val="nil"/>
              <w:bottom w:val="single" w:sz="4" w:space="0" w:color="auto"/>
              <w:right w:val="single" w:sz="4" w:space="0" w:color="auto"/>
            </w:tcBorders>
            <w:shd w:val="clear" w:color="auto" w:fill="auto"/>
            <w:hideMark/>
          </w:tcPr>
          <w:p w14:paraId="38EABEB7"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Species 2</w:t>
            </w:r>
          </w:p>
        </w:tc>
        <w:tc>
          <w:tcPr>
            <w:tcW w:w="733" w:type="dxa"/>
            <w:vMerge/>
            <w:tcBorders>
              <w:top w:val="nil"/>
              <w:left w:val="single" w:sz="4" w:space="0" w:color="auto"/>
              <w:bottom w:val="single" w:sz="4" w:space="0" w:color="auto"/>
              <w:right w:val="single" w:sz="4" w:space="0" w:color="auto"/>
            </w:tcBorders>
            <w:vAlign w:val="center"/>
            <w:hideMark/>
          </w:tcPr>
          <w:p w14:paraId="20A33625" w14:textId="77777777" w:rsidR="007B2071" w:rsidRPr="001A75F9" w:rsidRDefault="007B2071" w:rsidP="007B2071">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3060DDBE" w14:textId="77777777" w:rsidR="007B2071" w:rsidRPr="001A75F9" w:rsidRDefault="007B2071" w:rsidP="007B2071">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0F2793A0"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7C570D2E"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nil"/>
            </w:tcBorders>
            <w:vAlign w:val="center"/>
            <w:hideMark/>
          </w:tcPr>
          <w:p w14:paraId="32A1966C" w14:textId="77777777" w:rsidR="007B2071" w:rsidRPr="001A75F9" w:rsidRDefault="007B2071" w:rsidP="007B2071">
            <w:pPr>
              <w:pStyle w:val="NoSpacing"/>
              <w:ind w:left="0"/>
            </w:pPr>
          </w:p>
        </w:tc>
        <w:tc>
          <w:tcPr>
            <w:tcW w:w="283" w:type="dxa"/>
            <w:vMerge/>
            <w:tcBorders>
              <w:top w:val="nil"/>
              <w:left w:val="double" w:sz="6" w:space="0" w:color="auto"/>
              <w:bottom w:val="single" w:sz="4" w:space="0" w:color="auto"/>
              <w:right w:val="single" w:sz="4" w:space="0" w:color="auto"/>
            </w:tcBorders>
            <w:vAlign w:val="center"/>
            <w:hideMark/>
          </w:tcPr>
          <w:p w14:paraId="7C1478AF" w14:textId="77777777" w:rsidR="007B2071" w:rsidRPr="001A75F9" w:rsidRDefault="007B2071" w:rsidP="007B2071">
            <w:pPr>
              <w:pStyle w:val="NoSpacing"/>
              <w:ind w:left="0"/>
            </w:pPr>
          </w:p>
        </w:tc>
        <w:tc>
          <w:tcPr>
            <w:tcW w:w="1559" w:type="dxa"/>
            <w:vMerge w:val="restart"/>
            <w:tcBorders>
              <w:top w:val="nil"/>
              <w:left w:val="single" w:sz="4" w:space="0" w:color="auto"/>
              <w:bottom w:val="single" w:sz="4" w:space="0" w:color="auto"/>
              <w:right w:val="single" w:sz="4" w:space="0" w:color="auto"/>
            </w:tcBorders>
            <w:shd w:val="clear" w:color="000000" w:fill="FFFFFF"/>
            <w:noWrap/>
            <w:hideMark/>
          </w:tcPr>
          <w:p w14:paraId="3866CE68"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 xml:space="preserve">Surface water </w:t>
            </w:r>
          </w:p>
        </w:tc>
        <w:tc>
          <w:tcPr>
            <w:tcW w:w="1418" w:type="dxa"/>
            <w:tcBorders>
              <w:top w:val="nil"/>
              <w:left w:val="nil"/>
              <w:bottom w:val="single" w:sz="4" w:space="0" w:color="auto"/>
              <w:right w:val="single" w:sz="4" w:space="0" w:color="auto"/>
            </w:tcBorders>
            <w:shd w:val="clear" w:color="000000" w:fill="FFFFFF"/>
            <w:noWrap/>
            <w:hideMark/>
          </w:tcPr>
          <w:p w14:paraId="5B0936EF"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 xml:space="preserve">Algae </w:t>
            </w:r>
          </w:p>
        </w:tc>
        <w:tc>
          <w:tcPr>
            <w:tcW w:w="709" w:type="dxa"/>
            <w:vMerge w:val="restart"/>
            <w:tcBorders>
              <w:top w:val="nil"/>
              <w:left w:val="single" w:sz="4" w:space="0" w:color="auto"/>
              <w:bottom w:val="single" w:sz="4" w:space="0" w:color="000000"/>
              <w:right w:val="single" w:sz="4" w:space="0" w:color="auto"/>
            </w:tcBorders>
            <w:shd w:val="clear" w:color="000000" w:fill="FFC7CE"/>
            <w:vAlign w:val="center"/>
            <w:hideMark/>
          </w:tcPr>
          <w:p w14:paraId="0B8D4FC9" w14:textId="7860A682" w:rsidR="007B2071" w:rsidRPr="001A75F9" w:rsidRDefault="007B2071" w:rsidP="007B2071">
            <w:pPr>
              <w:pStyle w:val="NoSpacing"/>
              <w:ind w:left="0"/>
            </w:pPr>
            <w:r w:rsidRPr="001A75F9">
              <w:t>RQ</w:t>
            </w:r>
            <w:r w:rsidR="0024444B" w:rsidRPr="001A75F9">
              <w:t>≥</w:t>
            </w:r>
            <w:r w:rsidRPr="001A75F9">
              <w:t xml:space="preserve"> 10</w:t>
            </w:r>
            <w:r w:rsidRPr="001A75F9">
              <w:rPr>
                <w:vertAlign w:val="superscript"/>
              </w:rPr>
              <w:t>3</w:t>
            </w:r>
          </w:p>
        </w:tc>
        <w:tc>
          <w:tcPr>
            <w:tcW w:w="708" w:type="dxa"/>
            <w:vMerge w:val="restart"/>
            <w:tcBorders>
              <w:top w:val="nil"/>
              <w:left w:val="single" w:sz="4" w:space="0" w:color="auto"/>
              <w:bottom w:val="single" w:sz="4" w:space="0" w:color="auto"/>
              <w:right w:val="single" w:sz="4" w:space="0" w:color="auto"/>
            </w:tcBorders>
            <w:shd w:val="clear" w:color="000000" w:fill="FFC7CE"/>
            <w:vAlign w:val="center"/>
            <w:hideMark/>
          </w:tcPr>
          <w:p w14:paraId="473A8725" w14:textId="2EE0CA54" w:rsidR="007B2071" w:rsidRPr="001A75F9" w:rsidRDefault="007B2071" w:rsidP="007B2071">
            <w:pPr>
              <w:pStyle w:val="NoSpacing"/>
              <w:ind w:left="0"/>
            </w:pPr>
            <w:r w:rsidRPr="001A75F9">
              <w:t>10</w:t>
            </w:r>
            <w:r w:rsidRPr="001A75F9">
              <w:rPr>
                <w:vertAlign w:val="superscript"/>
              </w:rPr>
              <w:t>2</w:t>
            </w:r>
            <w:r w:rsidR="0024444B" w:rsidRPr="001A75F9">
              <w:t>≤</w:t>
            </w:r>
            <w:r w:rsidRPr="001A75F9">
              <w:t xml:space="preserve"> RQ &lt;10</w:t>
            </w:r>
            <w:r w:rsidRPr="001A75F9">
              <w:rPr>
                <w:vertAlign w:val="superscript"/>
              </w:rPr>
              <w:t>3</w:t>
            </w:r>
          </w:p>
        </w:tc>
        <w:tc>
          <w:tcPr>
            <w:tcW w:w="851" w:type="dxa"/>
            <w:vMerge w:val="restart"/>
            <w:tcBorders>
              <w:top w:val="nil"/>
              <w:left w:val="single" w:sz="4" w:space="0" w:color="auto"/>
              <w:bottom w:val="single" w:sz="4" w:space="0" w:color="auto"/>
              <w:right w:val="single" w:sz="4" w:space="0" w:color="auto"/>
            </w:tcBorders>
            <w:shd w:val="clear" w:color="000000" w:fill="FFEB9C"/>
            <w:vAlign w:val="center"/>
            <w:hideMark/>
          </w:tcPr>
          <w:p w14:paraId="2B5F67F7" w14:textId="00BED129" w:rsidR="007B2071" w:rsidRPr="001A75F9" w:rsidRDefault="007B2071" w:rsidP="007B2071">
            <w:pPr>
              <w:pStyle w:val="NoSpacing"/>
              <w:ind w:left="0"/>
            </w:pPr>
            <w:r w:rsidRPr="001A75F9">
              <w:t>10</w:t>
            </w:r>
            <w:r w:rsidR="0024444B" w:rsidRPr="001A75F9">
              <w:t>≤</w:t>
            </w:r>
            <w:r w:rsidRPr="001A75F9">
              <w:t xml:space="preserve"> RQ &lt;10</w:t>
            </w:r>
            <w:r w:rsidRPr="001A75F9">
              <w:rPr>
                <w:vertAlign w:val="superscript"/>
              </w:rPr>
              <w:t>2</w:t>
            </w:r>
          </w:p>
        </w:tc>
        <w:tc>
          <w:tcPr>
            <w:tcW w:w="709" w:type="dxa"/>
            <w:vMerge w:val="restart"/>
            <w:tcBorders>
              <w:top w:val="nil"/>
              <w:left w:val="single" w:sz="4" w:space="0" w:color="auto"/>
              <w:bottom w:val="single" w:sz="4" w:space="0" w:color="auto"/>
              <w:right w:val="single" w:sz="4" w:space="0" w:color="auto"/>
            </w:tcBorders>
            <w:shd w:val="clear" w:color="000000" w:fill="C6EFCE"/>
            <w:vAlign w:val="center"/>
            <w:hideMark/>
          </w:tcPr>
          <w:p w14:paraId="06243A30" w14:textId="336AC0CD" w:rsidR="007B2071" w:rsidRPr="001A75F9" w:rsidRDefault="007B2071" w:rsidP="007B2071">
            <w:pPr>
              <w:pStyle w:val="NoSpacing"/>
              <w:ind w:left="0"/>
            </w:pPr>
            <w:r w:rsidRPr="001A75F9">
              <w:t>1</w:t>
            </w:r>
            <w:r w:rsidR="003170AA" w:rsidRPr="001A75F9">
              <w:t>≤</w:t>
            </w:r>
            <w:r w:rsidRPr="001A75F9">
              <w:t xml:space="preserve"> RQ &lt;10</w:t>
            </w:r>
          </w:p>
        </w:tc>
        <w:tc>
          <w:tcPr>
            <w:tcW w:w="708" w:type="dxa"/>
            <w:vMerge w:val="restart"/>
            <w:tcBorders>
              <w:top w:val="nil"/>
              <w:left w:val="single" w:sz="4" w:space="0" w:color="auto"/>
              <w:bottom w:val="single" w:sz="4" w:space="0" w:color="auto"/>
              <w:right w:val="single" w:sz="4" w:space="0" w:color="auto"/>
            </w:tcBorders>
            <w:shd w:val="clear" w:color="000000" w:fill="C6EFCE"/>
            <w:vAlign w:val="center"/>
            <w:hideMark/>
          </w:tcPr>
          <w:p w14:paraId="36D8F38B" w14:textId="77777777" w:rsidR="007B2071" w:rsidRPr="001A75F9" w:rsidRDefault="007B2071" w:rsidP="007B2071">
            <w:pPr>
              <w:pStyle w:val="NoSpacing"/>
              <w:ind w:left="0"/>
            </w:pPr>
            <w:r w:rsidRPr="001A75F9">
              <w:t>RQ &lt; 1</w:t>
            </w:r>
          </w:p>
        </w:tc>
      </w:tr>
      <w:tr w:rsidR="007B2071" w:rsidRPr="001A75F9" w14:paraId="36A23610" w14:textId="77777777" w:rsidTr="002C6458">
        <w:trPr>
          <w:trHeight w:val="560"/>
        </w:trPr>
        <w:tc>
          <w:tcPr>
            <w:tcW w:w="660" w:type="dxa"/>
            <w:vMerge/>
            <w:tcBorders>
              <w:top w:val="nil"/>
              <w:left w:val="single" w:sz="4" w:space="0" w:color="auto"/>
              <w:bottom w:val="single" w:sz="4" w:space="0" w:color="auto"/>
              <w:right w:val="single" w:sz="4" w:space="0" w:color="auto"/>
            </w:tcBorders>
            <w:vAlign w:val="center"/>
            <w:hideMark/>
          </w:tcPr>
          <w:p w14:paraId="7CAE8F84" w14:textId="77777777" w:rsidR="007B2071" w:rsidRPr="001A75F9" w:rsidRDefault="007B2071" w:rsidP="007B2071">
            <w:pPr>
              <w:pStyle w:val="NoSpacing"/>
              <w:ind w:left="0"/>
            </w:pPr>
          </w:p>
        </w:tc>
        <w:tc>
          <w:tcPr>
            <w:tcW w:w="1163" w:type="dxa"/>
            <w:tcBorders>
              <w:top w:val="nil"/>
              <w:left w:val="nil"/>
              <w:bottom w:val="single" w:sz="4" w:space="0" w:color="auto"/>
              <w:right w:val="single" w:sz="4" w:space="0" w:color="auto"/>
            </w:tcBorders>
            <w:shd w:val="clear" w:color="auto" w:fill="auto"/>
            <w:hideMark/>
          </w:tcPr>
          <w:p w14:paraId="4FC4C50C"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Livestock species 2</w:t>
            </w:r>
          </w:p>
        </w:tc>
        <w:tc>
          <w:tcPr>
            <w:tcW w:w="1096" w:type="dxa"/>
            <w:tcBorders>
              <w:top w:val="nil"/>
              <w:left w:val="nil"/>
              <w:bottom w:val="single" w:sz="4" w:space="0" w:color="auto"/>
              <w:right w:val="single" w:sz="4" w:space="0" w:color="auto"/>
            </w:tcBorders>
            <w:shd w:val="clear" w:color="auto" w:fill="auto"/>
            <w:hideMark/>
          </w:tcPr>
          <w:p w14:paraId="4AC82E35"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Species 3</w:t>
            </w:r>
          </w:p>
        </w:tc>
        <w:tc>
          <w:tcPr>
            <w:tcW w:w="733" w:type="dxa"/>
            <w:vMerge/>
            <w:tcBorders>
              <w:top w:val="nil"/>
              <w:left w:val="single" w:sz="4" w:space="0" w:color="auto"/>
              <w:bottom w:val="single" w:sz="4" w:space="0" w:color="auto"/>
              <w:right w:val="single" w:sz="4" w:space="0" w:color="auto"/>
            </w:tcBorders>
            <w:vAlign w:val="center"/>
            <w:hideMark/>
          </w:tcPr>
          <w:p w14:paraId="7CA180B7" w14:textId="77777777" w:rsidR="007B2071" w:rsidRPr="001A75F9" w:rsidRDefault="007B2071" w:rsidP="007B2071">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5AD3E809" w14:textId="77777777" w:rsidR="007B2071" w:rsidRPr="001A75F9" w:rsidRDefault="007B2071" w:rsidP="007B2071">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0E798F58"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687CCFEC"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nil"/>
            </w:tcBorders>
            <w:vAlign w:val="center"/>
            <w:hideMark/>
          </w:tcPr>
          <w:p w14:paraId="17419057" w14:textId="77777777" w:rsidR="007B2071" w:rsidRPr="001A75F9" w:rsidRDefault="007B2071" w:rsidP="007B2071">
            <w:pPr>
              <w:pStyle w:val="NoSpacing"/>
              <w:ind w:left="0"/>
            </w:pPr>
          </w:p>
        </w:tc>
        <w:tc>
          <w:tcPr>
            <w:tcW w:w="283" w:type="dxa"/>
            <w:vMerge/>
            <w:tcBorders>
              <w:top w:val="nil"/>
              <w:left w:val="double" w:sz="6" w:space="0" w:color="auto"/>
              <w:bottom w:val="single" w:sz="4" w:space="0" w:color="auto"/>
              <w:right w:val="single" w:sz="4" w:space="0" w:color="auto"/>
            </w:tcBorders>
            <w:vAlign w:val="center"/>
            <w:hideMark/>
          </w:tcPr>
          <w:p w14:paraId="494B19E5" w14:textId="77777777" w:rsidR="007B2071" w:rsidRPr="001A75F9" w:rsidRDefault="007B2071" w:rsidP="007B2071">
            <w:pPr>
              <w:pStyle w:val="NoSpacing"/>
              <w:ind w:left="0"/>
            </w:pPr>
          </w:p>
        </w:tc>
        <w:tc>
          <w:tcPr>
            <w:tcW w:w="1559" w:type="dxa"/>
            <w:vMerge/>
            <w:tcBorders>
              <w:top w:val="nil"/>
              <w:left w:val="single" w:sz="4" w:space="0" w:color="auto"/>
              <w:bottom w:val="single" w:sz="4" w:space="0" w:color="auto"/>
              <w:right w:val="single" w:sz="4" w:space="0" w:color="auto"/>
            </w:tcBorders>
            <w:vAlign w:val="center"/>
            <w:hideMark/>
          </w:tcPr>
          <w:p w14:paraId="612D3A2F" w14:textId="77777777" w:rsidR="007B2071" w:rsidRPr="001A75F9" w:rsidRDefault="007B2071" w:rsidP="007B2071">
            <w:pPr>
              <w:pStyle w:val="NoSpacing"/>
              <w:ind w:left="0"/>
            </w:pPr>
          </w:p>
        </w:tc>
        <w:tc>
          <w:tcPr>
            <w:tcW w:w="1418" w:type="dxa"/>
            <w:tcBorders>
              <w:top w:val="nil"/>
              <w:left w:val="nil"/>
              <w:bottom w:val="single" w:sz="4" w:space="0" w:color="auto"/>
              <w:right w:val="single" w:sz="4" w:space="0" w:color="auto"/>
            </w:tcBorders>
            <w:shd w:val="clear" w:color="000000" w:fill="FFFFFF"/>
            <w:noWrap/>
            <w:hideMark/>
          </w:tcPr>
          <w:p w14:paraId="1F1E0EAB" w14:textId="77777777" w:rsidR="007B2071" w:rsidRPr="001A75F9" w:rsidRDefault="007B2071" w:rsidP="007B2071">
            <w:pPr>
              <w:pStyle w:val="NoSpacing"/>
              <w:ind w:left="0"/>
              <w:rPr>
                <w:rFonts w:eastAsiaTheme="majorEastAsia"/>
                <w:i/>
                <w:iCs/>
                <w:color w:val="404040" w:themeColor="text1" w:themeTint="BF"/>
                <w:sz w:val="20"/>
                <w:szCs w:val="20"/>
              </w:rPr>
            </w:pPr>
            <w:r w:rsidRPr="001A75F9">
              <w:rPr>
                <w:i/>
              </w:rPr>
              <w:t xml:space="preserve">Daphnia </w:t>
            </w:r>
          </w:p>
        </w:tc>
        <w:tc>
          <w:tcPr>
            <w:tcW w:w="709" w:type="dxa"/>
            <w:vMerge/>
            <w:tcBorders>
              <w:top w:val="nil"/>
              <w:left w:val="single" w:sz="4" w:space="0" w:color="auto"/>
              <w:bottom w:val="single" w:sz="4" w:space="0" w:color="000000"/>
              <w:right w:val="single" w:sz="4" w:space="0" w:color="auto"/>
            </w:tcBorders>
            <w:vAlign w:val="center"/>
            <w:hideMark/>
          </w:tcPr>
          <w:p w14:paraId="5F2577AF"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3B6D4BF1"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6B072E72"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0D8DB9B6"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111A3CFB" w14:textId="77777777" w:rsidR="007B2071" w:rsidRPr="001A75F9" w:rsidRDefault="007B2071" w:rsidP="007B2071">
            <w:pPr>
              <w:pStyle w:val="NoSpacing"/>
              <w:ind w:left="0"/>
            </w:pPr>
          </w:p>
        </w:tc>
      </w:tr>
      <w:tr w:rsidR="007B2071" w:rsidRPr="001A75F9" w14:paraId="79DA3FD1" w14:textId="77777777" w:rsidTr="002C6458">
        <w:trPr>
          <w:trHeight w:val="620"/>
        </w:trPr>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00C53B" w14:textId="77777777" w:rsidR="007B2071" w:rsidRPr="001A75F9" w:rsidRDefault="007B2071" w:rsidP="007B2071">
            <w:pPr>
              <w:pStyle w:val="NoSpacing"/>
              <w:ind w:left="0"/>
            </w:pPr>
            <w:r w:rsidRPr="001A75F9">
              <w:t>Efficacy against resistant strains</w:t>
            </w:r>
          </w:p>
        </w:tc>
        <w:tc>
          <w:tcPr>
            <w:tcW w:w="1163" w:type="dxa"/>
            <w:vMerge w:val="restart"/>
            <w:tcBorders>
              <w:top w:val="nil"/>
              <w:left w:val="single" w:sz="4" w:space="0" w:color="auto"/>
              <w:bottom w:val="single" w:sz="4" w:space="0" w:color="auto"/>
              <w:right w:val="single" w:sz="4" w:space="0" w:color="auto"/>
            </w:tcBorders>
            <w:shd w:val="clear" w:color="auto" w:fill="auto"/>
            <w:hideMark/>
          </w:tcPr>
          <w:p w14:paraId="209B0B81" w14:textId="77777777" w:rsidR="007B2071" w:rsidRPr="001A75F9" w:rsidRDefault="007B2071" w:rsidP="007B2071">
            <w:pPr>
              <w:pStyle w:val="NoSpacing"/>
              <w:ind w:left="0"/>
            </w:pPr>
            <w:r w:rsidRPr="001A75F9">
              <w:t>Livestock species 1</w:t>
            </w:r>
          </w:p>
        </w:tc>
        <w:tc>
          <w:tcPr>
            <w:tcW w:w="1096" w:type="dxa"/>
            <w:tcBorders>
              <w:top w:val="nil"/>
              <w:left w:val="nil"/>
              <w:bottom w:val="single" w:sz="4" w:space="0" w:color="auto"/>
              <w:right w:val="single" w:sz="4" w:space="0" w:color="auto"/>
            </w:tcBorders>
            <w:shd w:val="clear" w:color="auto" w:fill="auto"/>
            <w:hideMark/>
          </w:tcPr>
          <w:p w14:paraId="771507A3" w14:textId="77777777" w:rsidR="007B2071" w:rsidRPr="001A75F9" w:rsidRDefault="007B2071" w:rsidP="007B2071">
            <w:pPr>
              <w:pStyle w:val="NoSpacing"/>
              <w:ind w:left="0"/>
            </w:pPr>
            <w:r w:rsidRPr="001A75F9">
              <w:t>Resistant species 1</w:t>
            </w:r>
          </w:p>
        </w:tc>
        <w:tc>
          <w:tcPr>
            <w:tcW w:w="733" w:type="dxa"/>
            <w:vMerge w:val="restart"/>
            <w:tcBorders>
              <w:top w:val="nil"/>
              <w:left w:val="single" w:sz="4" w:space="0" w:color="auto"/>
              <w:bottom w:val="single" w:sz="4" w:space="0" w:color="auto"/>
              <w:right w:val="single" w:sz="4" w:space="0" w:color="auto"/>
            </w:tcBorders>
            <w:shd w:val="clear" w:color="000000" w:fill="C6EFCE"/>
            <w:vAlign w:val="center"/>
            <w:hideMark/>
          </w:tcPr>
          <w:p w14:paraId="7CD2E5C2" w14:textId="5E7A77A2" w:rsidR="007B2071" w:rsidRPr="001A75F9" w:rsidRDefault="00BC363F" w:rsidP="007B2071">
            <w:pPr>
              <w:pStyle w:val="NoSpacing"/>
              <w:ind w:left="0"/>
            </w:pPr>
            <w:r w:rsidRPr="001A75F9">
              <w:t>≥</w:t>
            </w:r>
            <w:r w:rsidR="0061712F" w:rsidRPr="001A75F9">
              <w:t>7</w:t>
            </w:r>
            <w:r w:rsidR="007B2071" w:rsidRPr="001A75F9">
              <w:t>0%</w:t>
            </w:r>
          </w:p>
        </w:tc>
        <w:tc>
          <w:tcPr>
            <w:tcW w:w="795" w:type="dxa"/>
            <w:gridSpan w:val="2"/>
            <w:vMerge w:val="restart"/>
            <w:tcBorders>
              <w:top w:val="nil"/>
              <w:left w:val="single" w:sz="4" w:space="0" w:color="auto"/>
              <w:bottom w:val="single" w:sz="4" w:space="0" w:color="auto"/>
              <w:right w:val="single" w:sz="4" w:space="0" w:color="auto"/>
            </w:tcBorders>
            <w:shd w:val="clear" w:color="000000" w:fill="C6EFCE"/>
            <w:vAlign w:val="center"/>
            <w:hideMark/>
          </w:tcPr>
          <w:p w14:paraId="41C532E5" w14:textId="1B4C6E3D" w:rsidR="007B2071" w:rsidRPr="001A75F9" w:rsidRDefault="007B2071" w:rsidP="00903CED">
            <w:pPr>
              <w:pStyle w:val="NoSpacing"/>
              <w:ind w:left="0"/>
            </w:pPr>
            <w:r w:rsidRPr="001A75F9">
              <w:t xml:space="preserve">50%- </w:t>
            </w:r>
            <w:r w:rsidR="00903CED" w:rsidRPr="001A75F9">
              <w:t>69</w:t>
            </w:r>
            <w:r w:rsidRPr="001A75F9">
              <w:t>%</w:t>
            </w:r>
          </w:p>
        </w:tc>
        <w:tc>
          <w:tcPr>
            <w:tcW w:w="764" w:type="dxa"/>
            <w:gridSpan w:val="2"/>
            <w:vMerge w:val="restart"/>
            <w:tcBorders>
              <w:top w:val="nil"/>
              <w:left w:val="single" w:sz="4" w:space="0" w:color="auto"/>
              <w:bottom w:val="single" w:sz="4" w:space="0" w:color="auto"/>
              <w:right w:val="single" w:sz="4" w:space="0" w:color="auto"/>
            </w:tcBorders>
            <w:shd w:val="clear" w:color="000000" w:fill="FFEB9C"/>
            <w:vAlign w:val="center"/>
            <w:hideMark/>
          </w:tcPr>
          <w:p w14:paraId="453E58ED" w14:textId="3355C121" w:rsidR="007B2071" w:rsidRPr="001A75F9" w:rsidRDefault="007B2071" w:rsidP="00DC11B9">
            <w:pPr>
              <w:pStyle w:val="NoSpacing"/>
              <w:ind w:left="0"/>
            </w:pPr>
            <w:r w:rsidRPr="001A75F9">
              <w:t>30</w:t>
            </w:r>
            <w:r w:rsidR="00BC363F" w:rsidRPr="001A75F9">
              <w:t>%</w:t>
            </w:r>
            <w:r w:rsidRPr="001A75F9">
              <w:t>-</w:t>
            </w:r>
            <w:r w:rsidRPr="001A75F9">
              <w:br/>
            </w:r>
            <w:r w:rsidR="00DC11B9" w:rsidRPr="001A75F9">
              <w:t>49</w:t>
            </w:r>
            <w:r w:rsidRPr="001A75F9">
              <w:t>%</w:t>
            </w:r>
          </w:p>
        </w:tc>
        <w:tc>
          <w:tcPr>
            <w:tcW w:w="851" w:type="dxa"/>
            <w:vMerge w:val="restart"/>
            <w:tcBorders>
              <w:top w:val="nil"/>
              <w:left w:val="single" w:sz="4" w:space="0" w:color="auto"/>
              <w:bottom w:val="single" w:sz="4" w:space="0" w:color="auto"/>
              <w:right w:val="single" w:sz="4" w:space="0" w:color="auto"/>
            </w:tcBorders>
            <w:shd w:val="clear" w:color="000000" w:fill="FFEB9C"/>
            <w:vAlign w:val="center"/>
            <w:hideMark/>
          </w:tcPr>
          <w:p w14:paraId="03E65EDB" w14:textId="7BDEEEE5" w:rsidR="007B2071" w:rsidRPr="001A75F9" w:rsidRDefault="007B2071" w:rsidP="00DC11B9">
            <w:pPr>
              <w:pStyle w:val="NoSpacing"/>
              <w:ind w:left="0"/>
            </w:pPr>
            <w:r w:rsidRPr="001A75F9">
              <w:t>10%-</w:t>
            </w:r>
            <w:r w:rsidR="00DC11B9" w:rsidRPr="001A75F9">
              <w:t>29</w:t>
            </w:r>
            <w:r w:rsidRPr="001A75F9">
              <w:t>%</w:t>
            </w:r>
          </w:p>
        </w:tc>
        <w:tc>
          <w:tcPr>
            <w:tcW w:w="709" w:type="dxa"/>
            <w:vMerge w:val="restart"/>
            <w:tcBorders>
              <w:top w:val="nil"/>
              <w:left w:val="single" w:sz="4" w:space="0" w:color="auto"/>
              <w:bottom w:val="single" w:sz="4" w:space="0" w:color="auto"/>
              <w:right w:val="nil"/>
            </w:tcBorders>
            <w:shd w:val="clear" w:color="000000" w:fill="FFC7CE"/>
            <w:vAlign w:val="center"/>
            <w:hideMark/>
          </w:tcPr>
          <w:p w14:paraId="37D1BA78" w14:textId="77777777" w:rsidR="007B2071" w:rsidRPr="001A75F9" w:rsidRDefault="007B2071" w:rsidP="007B2071">
            <w:pPr>
              <w:pStyle w:val="NoSpacing"/>
              <w:ind w:left="0"/>
            </w:pPr>
            <w:r w:rsidRPr="001A75F9">
              <w:t>&lt;10%</w:t>
            </w:r>
          </w:p>
        </w:tc>
        <w:tc>
          <w:tcPr>
            <w:tcW w:w="283" w:type="dxa"/>
            <w:vMerge/>
            <w:tcBorders>
              <w:top w:val="nil"/>
              <w:left w:val="double" w:sz="6" w:space="0" w:color="auto"/>
              <w:bottom w:val="single" w:sz="4" w:space="0" w:color="auto"/>
              <w:right w:val="single" w:sz="4" w:space="0" w:color="auto"/>
            </w:tcBorders>
            <w:vAlign w:val="center"/>
            <w:hideMark/>
          </w:tcPr>
          <w:p w14:paraId="03EB6F4E" w14:textId="77777777" w:rsidR="007B2071" w:rsidRPr="001A75F9" w:rsidRDefault="007B2071" w:rsidP="007B2071">
            <w:pPr>
              <w:pStyle w:val="NoSpacing"/>
              <w:ind w:left="0"/>
            </w:pPr>
          </w:p>
        </w:tc>
        <w:tc>
          <w:tcPr>
            <w:tcW w:w="1559" w:type="dxa"/>
            <w:vMerge/>
            <w:tcBorders>
              <w:top w:val="nil"/>
              <w:left w:val="single" w:sz="4" w:space="0" w:color="auto"/>
              <w:bottom w:val="single" w:sz="4" w:space="0" w:color="auto"/>
              <w:right w:val="single" w:sz="4" w:space="0" w:color="auto"/>
            </w:tcBorders>
            <w:vAlign w:val="center"/>
            <w:hideMark/>
          </w:tcPr>
          <w:p w14:paraId="7A19B16A" w14:textId="77777777" w:rsidR="007B2071" w:rsidRPr="001A75F9" w:rsidRDefault="007B2071" w:rsidP="007B2071">
            <w:pPr>
              <w:pStyle w:val="NoSpacing"/>
              <w:ind w:left="0"/>
            </w:pPr>
          </w:p>
        </w:tc>
        <w:tc>
          <w:tcPr>
            <w:tcW w:w="1418" w:type="dxa"/>
            <w:tcBorders>
              <w:top w:val="nil"/>
              <w:left w:val="nil"/>
              <w:bottom w:val="single" w:sz="4" w:space="0" w:color="auto"/>
              <w:right w:val="single" w:sz="4" w:space="0" w:color="auto"/>
            </w:tcBorders>
            <w:shd w:val="clear" w:color="000000" w:fill="FFFFFF"/>
            <w:noWrap/>
            <w:hideMark/>
          </w:tcPr>
          <w:p w14:paraId="46B8248C"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Fish</w:t>
            </w:r>
          </w:p>
        </w:tc>
        <w:tc>
          <w:tcPr>
            <w:tcW w:w="709" w:type="dxa"/>
            <w:vMerge/>
            <w:tcBorders>
              <w:top w:val="nil"/>
              <w:left w:val="single" w:sz="4" w:space="0" w:color="auto"/>
              <w:bottom w:val="single" w:sz="4" w:space="0" w:color="000000"/>
              <w:right w:val="single" w:sz="4" w:space="0" w:color="auto"/>
            </w:tcBorders>
            <w:vAlign w:val="center"/>
            <w:hideMark/>
          </w:tcPr>
          <w:p w14:paraId="215EDE36"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4F7F7ECE"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69307FB9"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04A0C2B6"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265A862D" w14:textId="77777777" w:rsidR="007B2071" w:rsidRPr="001A75F9" w:rsidRDefault="007B2071" w:rsidP="007B2071">
            <w:pPr>
              <w:pStyle w:val="NoSpacing"/>
              <w:ind w:left="0"/>
            </w:pPr>
          </w:p>
        </w:tc>
      </w:tr>
      <w:tr w:rsidR="007B2071" w:rsidRPr="001A75F9" w14:paraId="4D8E36EC" w14:textId="77777777" w:rsidTr="002C6458">
        <w:trPr>
          <w:trHeight w:val="600"/>
        </w:trPr>
        <w:tc>
          <w:tcPr>
            <w:tcW w:w="660" w:type="dxa"/>
            <w:vMerge/>
            <w:tcBorders>
              <w:top w:val="nil"/>
              <w:left w:val="single" w:sz="4" w:space="0" w:color="auto"/>
              <w:bottom w:val="single" w:sz="4" w:space="0" w:color="auto"/>
              <w:right w:val="single" w:sz="4" w:space="0" w:color="auto"/>
            </w:tcBorders>
            <w:vAlign w:val="center"/>
            <w:hideMark/>
          </w:tcPr>
          <w:p w14:paraId="44CF1C1A" w14:textId="77777777" w:rsidR="007B2071" w:rsidRPr="001A75F9" w:rsidRDefault="007B2071" w:rsidP="007B2071">
            <w:pPr>
              <w:pStyle w:val="NoSpacing"/>
              <w:ind w:left="0"/>
            </w:pPr>
          </w:p>
        </w:tc>
        <w:tc>
          <w:tcPr>
            <w:tcW w:w="1163" w:type="dxa"/>
            <w:vMerge/>
            <w:tcBorders>
              <w:top w:val="nil"/>
              <w:left w:val="single" w:sz="4" w:space="0" w:color="auto"/>
              <w:bottom w:val="single" w:sz="4" w:space="0" w:color="auto"/>
              <w:right w:val="single" w:sz="4" w:space="0" w:color="auto"/>
            </w:tcBorders>
            <w:vAlign w:val="center"/>
            <w:hideMark/>
          </w:tcPr>
          <w:p w14:paraId="5875EFEE" w14:textId="77777777" w:rsidR="007B2071" w:rsidRPr="001A75F9" w:rsidRDefault="007B2071" w:rsidP="007B2071">
            <w:pPr>
              <w:pStyle w:val="NoSpacing"/>
              <w:ind w:left="0"/>
            </w:pPr>
          </w:p>
        </w:tc>
        <w:tc>
          <w:tcPr>
            <w:tcW w:w="1096" w:type="dxa"/>
            <w:tcBorders>
              <w:top w:val="nil"/>
              <w:left w:val="nil"/>
              <w:bottom w:val="single" w:sz="4" w:space="0" w:color="auto"/>
              <w:right w:val="single" w:sz="4" w:space="0" w:color="auto"/>
            </w:tcBorders>
            <w:shd w:val="clear" w:color="auto" w:fill="auto"/>
            <w:hideMark/>
          </w:tcPr>
          <w:p w14:paraId="3F82592C"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Resistant species 2</w:t>
            </w:r>
          </w:p>
        </w:tc>
        <w:tc>
          <w:tcPr>
            <w:tcW w:w="733" w:type="dxa"/>
            <w:vMerge/>
            <w:tcBorders>
              <w:top w:val="nil"/>
              <w:left w:val="single" w:sz="4" w:space="0" w:color="auto"/>
              <w:bottom w:val="single" w:sz="4" w:space="0" w:color="auto"/>
              <w:right w:val="single" w:sz="4" w:space="0" w:color="auto"/>
            </w:tcBorders>
            <w:vAlign w:val="center"/>
            <w:hideMark/>
          </w:tcPr>
          <w:p w14:paraId="06A3D36A" w14:textId="77777777" w:rsidR="007B2071" w:rsidRPr="001A75F9" w:rsidRDefault="007B2071" w:rsidP="007B2071">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55F24899" w14:textId="77777777" w:rsidR="007B2071" w:rsidRPr="001A75F9" w:rsidRDefault="007B2071" w:rsidP="007B2071">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4AD7ED2C"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58B297C9"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nil"/>
            </w:tcBorders>
            <w:vAlign w:val="center"/>
            <w:hideMark/>
          </w:tcPr>
          <w:p w14:paraId="5675DBF3" w14:textId="77777777" w:rsidR="007B2071" w:rsidRPr="001A75F9" w:rsidRDefault="007B2071" w:rsidP="007B2071">
            <w:pPr>
              <w:pStyle w:val="NoSpacing"/>
              <w:ind w:left="0"/>
            </w:pPr>
          </w:p>
        </w:tc>
        <w:tc>
          <w:tcPr>
            <w:tcW w:w="283" w:type="dxa"/>
            <w:vMerge/>
            <w:tcBorders>
              <w:top w:val="nil"/>
              <w:left w:val="double" w:sz="6" w:space="0" w:color="auto"/>
              <w:bottom w:val="single" w:sz="4" w:space="0" w:color="auto"/>
              <w:right w:val="single" w:sz="4" w:space="0" w:color="auto"/>
            </w:tcBorders>
            <w:vAlign w:val="center"/>
            <w:hideMark/>
          </w:tcPr>
          <w:p w14:paraId="0283E2A1" w14:textId="77777777" w:rsidR="007B2071" w:rsidRPr="001A75F9" w:rsidRDefault="007B2071" w:rsidP="007B2071">
            <w:pPr>
              <w:pStyle w:val="NoSpacing"/>
              <w:ind w:left="0"/>
            </w:pPr>
          </w:p>
        </w:tc>
        <w:tc>
          <w:tcPr>
            <w:tcW w:w="1559" w:type="dxa"/>
            <w:tcBorders>
              <w:top w:val="nil"/>
              <w:left w:val="nil"/>
              <w:bottom w:val="single" w:sz="4" w:space="0" w:color="auto"/>
              <w:right w:val="single" w:sz="4" w:space="0" w:color="auto"/>
            </w:tcBorders>
            <w:shd w:val="clear" w:color="000000" w:fill="FFFFFF"/>
            <w:noWrap/>
            <w:hideMark/>
          </w:tcPr>
          <w:p w14:paraId="1899FCCD"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Sediment</w:t>
            </w:r>
          </w:p>
        </w:tc>
        <w:tc>
          <w:tcPr>
            <w:tcW w:w="1418" w:type="dxa"/>
            <w:tcBorders>
              <w:top w:val="nil"/>
              <w:left w:val="nil"/>
              <w:bottom w:val="single" w:sz="4" w:space="0" w:color="auto"/>
              <w:right w:val="single" w:sz="4" w:space="0" w:color="auto"/>
            </w:tcBorders>
            <w:shd w:val="clear" w:color="000000" w:fill="FFFFFF"/>
            <w:hideMark/>
          </w:tcPr>
          <w:p w14:paraId="668414CC"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Sediment organisms</w:t>
            </w:r>
          </w:p>
        </w:tc>
        <w:tc>
          <w:tcPr>
            <w:tcW w:w="709" w:type="dxa"/>
            <w:vMerge/>
            <w:tcBorders>
              <w:top w:val="nil"/>
              <w:left w:val="single" w:sz="4" w:space="0" w:color="auto"/>
              <w:bottom w:val="single" w:sz="4" w:space="0" w:color="000000"/>
              <w:right w:val="single" w:sz="4" w:space="0" w:color="auto"/>
            </w:tcBorders>
            <w:vAlign w:val="center"/>
            <w:hideMark/>
          </w:tcPr>
          <w:p w14:paraId="741EBC29"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5A2559DE"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65F585EB"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171F7445"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2CBC441F" w14:textId="77777777" w:rsidR="007B2071" w:rsidRPr="001A75F9" w:rsidRDefault="007B2071" w:rsidP="007B2071">
            <w:pPr>
              <w:pStyle w:val="NoSpacing"/>
              <w:ind w:left="0"/>
            </w:pPr>
          </w:p>
        </w:tc>
      </w:tr>
      <w:tr w:rsidR="007B2071" w:rsidRPr="001A75F9" w14:paraId="4EA0AFA4" w14:textId="77777777" w:rsidTr="002C6458">
        <w:trPr>
          <w:trHeight w:val="700"/>
        </w:trPr>
        <w:tc>
          <w:tcPr>
            <w:tcW w:w="660" w:type="dxa"/>
            <w:vMerge/>
            <w:tcBorders>
              <w:top w:val="nil"/>
              <w:left w:val="single" w:sz="4" w:space="0" w:color="auto"/>
              <w:bottom w:val="single" w:sz="4" w:space="0" w:color="auto"/>
              <w:right w:val="single" w:sz="4" w:space="0" w:color="auto"/>
            </w:tcBorders>
            <w:vAlign w:val="center"/>
            <w:hideMark/>
          </w:tcPr>
          <w:p w14:paraId="63DDD785" w14:textId="77777777" w:rsidR="007B2071" w:rsidRPr="001A75F9" w:rsidRDefault="007B2071" w:rsidP="007B2071">
            <w:pPr>
              <w:pStyle w:val="NoSpacing"/>
              <w:ind w:left="0"/>
            </w:pPr>
          </w:p>
        </w:tc>
        <w:tc>
          <w:tcPr>
            <w:tcW w:w="1163" w:type="dxa"/>
            <w:tcBorders>
              <w:top w:val="nil"/>
              <w:left w:val="nil"/>
              <w:bottom w:val="single" w:sz="4" w:space="0" w:color="auto"/>
              <w:right w:val="single" w:sz="4" w:space="0" w:color="auto"/>
            </w:tcBorders>
            <w:shd w:val="clear" w:color="auto" w:fill="auto"/>
            <w:hideMark/>
          </w:tcPr>
          <w:p w14:paraId="50A1F6B6"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Livestock species 2</w:t>
            </w:r>
          </w:p>
        </w:tc>
        <w:tc>
          <w:tcPr>
            <w:tcW w:w="1096" w:type="dxa"/>
            <w:tcBorders>
              <w:top w:val="nil"/>
              <w:left w:val="nil"/>
              <w:bottom w:val="single" w:sz="4" w:space="0" w:color="auto"/>
              <w:right w:val="single" w:sz="4" w:space="0" w:color="auto"/>
            </w:tcBorders>
            <w:shd w:val="clear" w:color="auto" w:fill="auto"/>
            <w:hideMark/>
          </w:tcPr>
          <w:p w14:paraId="70828572"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Resistant species 3</w:t>
            </w:r>
          </w:p>
        </w:tc>
        <w:tc>
          <w:tcPr>
            <w:tcW w:w="733" w:type="dxa"/>
            <w:vMerge/>
            <w:tcBorders>
              <w:top w:val="nil"/>
              <w:left w:val="single" w:sz="4" w:space="0" w:color="auto"/>
              <w:bottom w:val="single" w:sz="4" w:space="0" w:color="auto"/>
              <w:right w:val="single" w:sz="4" w:space="0" w:color="auto"/>
            </w:tcBorders>
            <w:vAlign w:val="center"/>
            <w:hideMark/>
          </w:tcPr>
          <w:p w14:paraId="5A4664BE" w14:textId="77777777" w:rsidR="007B2071" w:rsidRPr="001A75F9" w:rsidRDefault="007B2071" w:rsidP="007B2071">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5993B074" w14:textId="77777777" w:rsidR="007B2071" w:rsidRPr="001A75F9" w:rsidRDefault="007B2071" w:rsidP="007B2071">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11E52D68"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200BAB67"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nil"/>
            </w:tcBorders>
            <w:vAlign w:val="center"/>
            <w:hideMark/>
          </w:tcPr>
          <w:p w14:paraId="7ABB3FDE" w14:textId="77777777" w:rsidR="007B2071" w:rsidRPr="001A75F9" w:rsidRDefault="007B2071" w:rsidP="007B2071">
            <w:pPr>
              <w:pStyle w:val="NoSpacing"/>
              <w:ind w:left="0"/>
            </w:pPr>
          </w:p>
        </w:tc>
        <w:tc>
          <w:tcPr>
            <w:tcW w:w="283" w:type="dxa"/>
            <w:vMerge/>
            <w:tcBorders>
              <w:top w:val="nil"/>
              <w:left w:val="double" w:sz="6" w:space="0" w:color="auto"/>
              <w:bottom w:val="single" w:sz="4" w:space="0" w:color="auto"/>
              <w:right w:val="single" w:sz="4" w:space="0" w:color="auto"/>
            </w:tcBorders>
            <w:vAlign w:val="center"/>
            <w:hideMark/>
          </w:tcPr>
          <w:p w14:paraId="7C8E235A" w14:textId="77777777" w:rsidR="007B2071" w:rsidRPr="001A75F9" w:rsidRDefault="007B2071" w:rsidP="007B2071">
            <w:pPr>
              <w:pStyle w:val="NoSpacing"/>
              <w:ind w:left="0"/>
            </w:pPr>
          </w:p>
        </w:tc>
        <w:tc>
          <w:tcPr>
            <w:tcW w:w="1559" w:type="dxa"/>
            <w:vMerge w:val="restart"/>
            <w:tcBorders>
              <w:top w:val="nil"/>
              <w:left w:val="single" w:sz="4" w:space="0" w:color="auto"/>
              <w:bottom w:val="single" w:sz="4" w:space="0" w:color="auto"/>
              <w:right w:val="single" w:sz="4" w:space="0" w:color="auto"/>
            </w:tcBorders>
            <w:shd w:val="clear" w:color="000000" w:fill="FFFFFF"/>
            <w:noWrap/>
            <w:hideMark/>
          </w:tcPr>
          <w:p w14:paraId="73EF2FB3"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Soil</w:t>
            </w:r>
          </w:p>
        </w:tc>
        <w:tc>
          <w:tcPr>
            <w:tcW w:w="1418" w:type="dxa"/>
            <w:tcBorders>
              <w:top w:val="nil"/>
              <w:left w:val="nil"/>
              <w:bottom w:val="single" w:sz="4" w:space="0" w:color="auto"/>
              <w:right w:val="single" w:sz="4" w:space="0" w:color="auto"/>
            </w:tcBorders>
            <w:shd w:val="clear" w:color="000000" w:fill="FFFFFF"/>
            <w:noWrap/>
            <w:hideMark/>
          </w:tcPr>
          <w:p w14:paraId="3A05D78B"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 xml:space="preserve">Plants </w:t>
            </w:r>
          </w:p>
        </w:tc>
        <w:tc>
          <w:tcPr>
            <w:tcW w:w="709" w:type="dxa"/>
            <w:vMerge/>
            <w:tcBorders>
              <w:top w:val="nil"/>
              <w:left w:val="single" w:sz="4" w:space="0" w:color="auto"/>
              <w:bottom w:val="single" w:sz="4" w:space="0" w:color="000000"/>
              <w:right w:val="single" w:sz="4" w:space="0" w:color="auto"/>
            </w:tcBorders>
            <w:vAlign w:val="center"/>
            <w:hideMark/>
          </w:tcPr>
          <w:p w14:paraId="0D2AD088"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3E8EAD80"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02A2D4E8"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3BCE6DBF"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79550B55" w14:textId="77777777" w:rsidR="007B2071" w:rsidRPr="001A75F9" w:rsidRDefault="007B2071" w:rsidP="007B2071">
            <w:pPr>
              <w:pStyle w:val="NoSpacing"/>
              <w:ind w:left="0"/>
            </w:pPr>
          </w:p>
        </w:tc>
      </w:tr>
      <w:tr w:rsidR="007B2071" w:rsidRPr="001A75F9" w14:paraId="1B94CA24" w14:textId="77777777" w:rsidTr="002C6458">
        <w:trPr>
          <w:trHeight w:val="460"/>
        </w:trPr>
        <w:tc>
          <w:tcPr>
            <w:tcW w:w="6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57F18D9" w14:textId="77777777" w:rsidR="007B2071" w:rsidRPr="001A75F9" w:rsidRDefault="007B2071" w:rsidP="007B2071">
            <w:pPr>
              <w:pStyle w:val="NoSpacing"/>
              <w:ind w:left="0"/>
            </w:pPr>
            <w:r w:rsidRPr="001A75F9">
              <w:t>Severity</w:t>
            </w:r>
          </w:p>
        </w:tc>
        <w:tc>
          <w:tcPr>
            <w:tcW w:w="1163" w:type="dxa"/>
            <w:vMerge w:val="restart"/>
            <w:tcBorders>
              <w:top w:val="nil"/>
              <w:left w:val="single" w:sz="4" w:space="0" w:color="auto"/>
              <w:bottom w:val="single" w:sz="4" w:space="0" w:color="auto"/>
              <w:right w:val="single" w:sz="4" w:space="0" w:color="auto"/>
            </w:tcBorders>
            <w:shd w:val="clear" w:color="auto" w:fill="auto"/>
            <w:hideMark/>
          </w:tcPr>
          <w:p w14:paraId="77E8F061" w14:textId="77777777" w:rsidR="007B2071" w:rsidRPr="001A75F9" w:rsidRDefault="007B2071" w:rsidP="007B2071">
            <w:pPr>
              <w:pStyle w:val="NoSpacing"/>
              <w:ind w:left="0"/>
            </w:pPr>
            <w:r w:rsidRPr="001A75F9">
              <w:t>Livestock species 1</w:t>
            </w:r>
          </w:p>
        </w:tc>
        <w:tc>
          <w:tcPr>
            <w:tcW w:w="1096" w:type="dxa"/>
            <w:tcBorders>
              <w:top w:val="nil"/>
              <w:left w:val="nil"/>
              <w:bottom w:val="single" w:sz="4" w:space="0" w:color="auto"/>
              <w:right w:val="single" w:sz="4" w:space="0" w:color="auto"/>
            </w:tcBorders>
            <w:shd w:val="clear" w:color="auto" w:fill="auto"/>
            <w:hideMark/>
          </w:tcPr>
          <w:p w14:paraId="3E5AB83E" w14:textId="77777777" w:rsidR="007B2071" w:rsidRPr="001A75F9" w:rsidRDefault="007B2071" w:rsidP="007B2071">
            <w:pPr>
              <w:pStyle w:val="NoSpacing"/>
              <w:ind w:left="0"/>
            </w:pPr>
            <w:r w:rsidRPr="001A75F9">
              <w:t>Species 1</w:t>
            </w:r>
          </w:p>
        </w:tc>
        <w:tc>
          <w:tcPr>
            <w:tcW w:w="733" w:type="dxa"/>
            <w:vMerge w:val="restart"/>
            <w:tcBorders>
              <w:top w:val="nil"/>
              <w:left w:val="single" w:sz="4" w:space="0" w:color="auto"/>
              <w:bottom w:val="single" w:sz="4" w:space="0" w:color="auto"/>
              <w:right w:val="single" w:sz="4" w:space="0" w:color="auto"/>
            </w:tcBorders>
            <w:shd w:val="clear" w:color="000000" w:fill="C6EFCE"/>
            <w:vAlign w:val="center"/>
            <w:hideMark/>
          </w:tcPr>
          <w:p w14:paraId="395AF7DE" w14:textId="6831608B" w:rsidR="007B2071" w:rsidRPr="001A75F9" w:rsidRDefault="00BC363F" w:rsidP="007B2071">
            <w:pPr>
              <w:pStyle w:val="NoSpacing"/>
              <w:ind w:left="0"/>
            </w:pPr>
            <w:r w:rsidRPr="001A75F9">
              <w:t>≥</w:t>
            </w:r>
            <w:r w:rsidR="0061712F" w:rsidRPr="001A75F9">
              <w:t>7</w:t>
            </w:r>
            <w:r w:rsidR="007B2071" w:rsidRPr="001A75F9">
              <w:t>0%</w:t>
            </w:r>
          </w:p>
        </w:tc>
        <w:tc>
          <w:tcPr>
            <w:tcW w:w="795" w:type="dxa"/>
            <w:gridSpan w:val="2"/>
            <w:vMerge w:val="restart"/>
            <w:tcBorders>
              <w:top w:val="nil"/>
              <w:left w:val="single" w:sz="4" w:space="0" w:color="auto"/>
              <w:bottom w:val="single" w:sz="4" w:space="0" w:color="auto"/>
              <w:right w:val="single" w:sz="4" w:space="0" w:color="auto"/>
            </w:tcBorders>
            <w:shd w:val="clear" w:color="000000" w:fill="C6EFCE"/>
            <w:vAlign w:val="center"/>
            <w:hideMark/>
          </w:tcPr>
          <w:p w14:paraId="71E3D537" w14:textId="4951A809" w:rsidR="007B2071" w:rsidRPr="001A75F9" w:rsidRDefault="007B2071" w:rsidP="00903CED">
            <w:pPr>
              <w:pStyle w:val="NoSpacing"/>
              <w:ind w:left="0"/>
            </w:pPr>
            <w:r w:rsidRPr="001A75F9">
              <w:t xml:space="preserve">50%- </w:t>
            </w:r>
            <w:r w:rsidR="00903CED" w:rsidRPr="001A75F9">
              <w:t>69</w:t>
            </w:r>
            <w:r w:rsidRPr="001A75F9">
              <w:t>%</w:t>
            </w:r>
          </w:p>
        </w:tc>
        <w:tc>
          <w:tcPr>
            <w:tcW w:w="764" w:type="dxa"/>
            <w:gridSpan w:val="2"/>
            <w:vMerge w:val="restart"/>
            <w:tcBorders>
              <w:top w:val="nil"/>
              <w:left w:val="single" w:sz="4" w:space="0" w:color="auto"/>
              <w:bottom w:val="single" w:sz="4" w:space="0" w:color="auto"/>
              <w:right w:val="single" w:sz="4" w:space="0" w:color="auto"/>
            </w:tcBorders>
            <w:shd w:val="clear" w:color="000000" w:fill="FFEB9C"/>
            <w:vAlign w:val="center"/>
            <w:hideMark/>
          </w:tcPr>
          <w:p w14:paraId="4C778974" w14:textId="48C9AE27" w:rsidR="007B2071" w:rsidRPr="001A75F9" w:rsidRDefault="007B2071" w:rsidP="00DC11B9">
            <w:pPr>
              <w:pStyle w:val="NoSpacing"/>
              <w:ind w:left="0"/>
            </w:pPr>
            <w:r w:rsidRPr="001A75F9">
              <w:t>30%-</w:t>
            </w:r>
            <w:r w:rsidRPr="001A75F9">
              <w:br/>
            </w:r>
            <w:r w:rsidR="00DC11B9" w:rsidRPr="001A75F9">
              <w:t>49</w:t>
            </w:r>
            <w:r w:rsidRPr="001A75F9">
              <w:t>%</w:t>
            </w:r>
          </w:p>
        </w:tc>
        <w:tc>
          <w:tcPr>
            <w:tcW w:w="851" w:type="dxa"/>
            <w:vMerge w:val="restart"/>
            <w:tcBorders>
              <w:top w:val="nil"/>
              <w:left w:val="single" w:sz="4" w:space="0" w:color="auto"/>
              <w:bottom w:val="single" w:sz="4" w:space="0" w:color="auto"/>
              <w:right w:val="single" w:sz="4" w:space="0" w:color="auto"/>
            </w:tcBorders>
            <w:shd w:val="clear" w:color="000000" w:fill="FFEB9C"/>
            <w:vAlign w:val="center"/>
            <w:hideMark/>
          </w:tcPr>
          <w:p w14:paraId="20E10554" w14:textId="4019A8D4" w:rsidR="007B2071" w:rsidRPr="001A75F9" w:rsidRDefault="007B2071" w:rsidP="007B2071">
            <w:pPr>
              <w:pStyle w:val="NoSpacing"/>
              <w:ind w:left="0"/>
            </w:pPr>
            <w:r w:rsidRPr="001A75F9">
              <w:t>10%-</w:t>
            </w:r>
            <w:r w:rsidR="00DC11B9" w:rsidRPr="001A75F9">
              <w:t>29</w:t>
            </w:r>
            <w:r w:rsidRPr="001A75F9">
              <w:t>%</w:t>
            </w:r>
          </w:p>
        </w:tc>
        <w:tc>
          <w:tcPr>
            <w:tcW w:w="709" w:type="dxa"/>
            <w:vMerge w:val="restart"/>
            <w:tcBorders>
              <w:top w:val="nil"/>
              <w:left w:val="single" w:sz="4" w:space="0" w:color="auto"/>
              <w:bottom w:val="single" w:sz="4" w:space="0" w:color="auto"/>
              <w:right w:val="nil"/>
            </w:tcBorders>
            <w:shd w:val="clear" w:color="000000" w:fill="FFC7CE"/>
            <w:vAlign w:val="center"/>
            <w:hideMark/>
          </w:tcPr>
          <w:p w14:paraId="7396275A" w14:textId="77777777" w:rsidR="007B2071" w:rsidRPr="001A75F9" w:rsidRDefault="007B2071" w:rsidP="007B2071">
            <w:pPr>
              <w:pStyle w:val="NoSpacing"/>
              <w:ind w:left="0"/>
            </w:pPr>
            <w:r w:rsidRPr="001A75F9">
              <w:t>&lt;10%</w:t>
            </w:r>
          </w:p>
        </w:tc>
        <w:tc>
          <w:tcPr>
            <w:tcW w:w="283" w:type="dxa"/>
            <w:vMerge/>
            <w:tcBorders>
              <w:top w:val="nil"/>
              <w:left w:val="double" w:sz="6" w:space="0" w:color="auto"/>
              <w:bottom w:val="single" w:sz="4" w:space="0" w:color="auto"/>
              <w:right w:val="single" w:sz="4" w:space="0" w:color="auto"/>
            </w:tcBorders>
            <w:vAlign w:val="center"/>
            <w:hideMark/>
          </w:tcPr>
          <w:p w14:paraId="62709E9B" w14:textId="77777777" w:rsidR="007B2071" w:rsidRPr="001A75F9" w:rsidRDefault="007B2071" w:rsidP="007B2071">
            <w:pPr>
              <w:pStyle w:val="NoSpacing"/>
              <w:ind w:left="0"/>
            </w:pPr>
          </w:p>
        </w:tc>
        <w:tc>
          <w:tcPr>
            <w:tcW w:w="1559" w:type="dxa"/>
            <w:vMerge/>
            <w:tcBorders>
              <w:top w:val="nil"/>
              <w:left w:val="single" w:sz="4" w:space="0" w:color="auto"/>
              <w:bottom w:val="single" w:sz="4" w:space="0" w:color="auto"/>
              <w:right w:val="single" w:sz="4" w:space="0" w:color="auto"/>
            </w:tcBorders>
            <w:vAlign w:val="center"/>
            <w:hideMark/>
          </w:tcPr>
          <w:p w14:paraId="15818457" w14:textId="77777777" w:rsidR="007B2071" w:rsidRPr="001A75F9" w:rsidRDefault="007B2071" w:rsidP="007B2071">
            <w:pPr>
              <w:pStyle w:val="NoSpacing"/>
              <w:ind w:left="0"/>
            </w:pPr>
          </w:p>
        </w:tc>
        <w:tc>
          <w:tcPr>
            <w:tcW w:w="1418" w:type="dxa"/>
            <w:tcBorders>
              <w:top w:val="nil"/>
              <w:left w:val="nil"/>
              <w:bottom w:val="single" w:sz="4" w:space="0" w:color="auto"/>
              <w:right w:val="single" w:sz="4" w:space="0" w:color="auto"/>
            </w:tcBorders>
            <w:shd w:val="clear" w:color="000000" w:fill="FFFFFF"/>
            <w:noWrap/>
            <w:hideMark/>
          </w:tcPr>
          <w:p w14:paraId="24BEC3E4"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 xml:space="preserve">Earthworms </w:t>
            </w:r>
          </w:p>
        </w:tc>
        <w:tc>
          <w:tcPr>
            <w:tcW w:w="709" w:type="dxa"/>
            <w:vMerge/>
            <w:tcBorders>
              <w:top w:val="nil"/>
              <w:left w:val="single" w:sz="4" w:space="0" w:color="auto"/>
              <w:bottom w:val="single" w:sz="4" w:space="0" w:color="000000"/>
              <w:right w:val="single" w:sz="4" w:space="0" w:color="auto"/>
            </w:tcBorders>
            <w:vAlign w:val="center"/>
            <w:hideMark/>
          </w:tcPr>
          <w:p w14:paraId="456DC3D7"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1EFEE9EC"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3460BBE8"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7E157D75"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197AEAF7" w14:textId="77777777" w:rsidR="007B2071" w:rsidRPr="001A75F9" w:rsidRDefault="007B2071" w:rsidP="007B2071">
            <w:pPr>
              <w:pStyle w:val="NoSpacing"/>
              <w:ind w:left="0"/>
            </w:pPr>
          </w:p>
        </w:tc>
      </w:tr>
      <w:tr w:rsidR="007B2071" w:rsidRPr="001A75F9" w14:paraId="2CE84193" w14:textId="77777777" w:rsidTr="002C6458">
        <w:trPr>
          <w:trHeight w:val="900"/>
        </w:trPr>
        <w:tc>
          <w:tcPr>
            <w:tcW w:w="660" w:type="dxa"/>
            <w:vMerge/>
            <w:tcBorders>
              <w:top w:val="nil"/>
              <w:left w:val="single" w:sz="4" w:space="0" w:color="auto"/>
              <w:bottom w:val="single" w:sz="4" w:space="0" w:color="auto"/>
              <w:right w:val="single" w:sz="4" w:space="0" w:color="auto"/>
            </w:tcBorders>
            <w:vAlign w:val="center"/>
            <w:hideMark/>
          </w:tcPr>
          <w:p w14:paraId="361B9AB3" w14:textId="77777777" w:rsidR="007B2071" w:rsidRPr="001A75F9" w:rsidRDefault="007B2071" w:rsidP="007B2071">
            <w:pPr>
              <w:pStyle w:val="NoSpacing"/>
              <w:ind w:left="0"/>
            </w:pPr>
          </w:p>
        </w:tc>
        <w:tc>
          <w:tcPr>
            <w:tcW w:w="1163" w:type="dxa"/>
            <w:vMerge/>
            <w:tcBorders>
              <w:top w:val="nil"/>
              <w:left w:val="single" w:sz="4" w:space="0" w:color="auto"/>
              <w:bottom w:val="single" w:sz="4" w:space="0" w:color="auto"/>
              <w:right w:val="single" w:sz="4" w:space="0" w:color="auto"/>
            </w:tcBorders>
            <w:vAlign w:val="center"/>
            <w:hideMark/>
          </w:tcPr>
          <w:p w14:paraId="5C0A93C7" w14:textId="77777777" w:rsidR="007B2071" w:rsidRPr="001A75F9" w:rsidRDefault="007B2071" w:rsidP="007B2071">
            <w:pPr>
              <w:pStyle w:val="NoSpacing"/>
              <w:ind w:left="0"/>
            </w:pPr>
          </w:p>
        </w:tc>
        <w:tc>
          <w:tcPr>
            <w:tcW w:w="1096" w:type="dxa"/>
            <w:tcBorders>
              <w:top w:val="nil"/>
              <w:left w:val="nil"/>
              <w:bottom w:val="single" w:sz="4" w:space="0" w:color="auto"/>
              <w:right w:val="single" w:sz="4" w:space="0" w:color="auto"/>
            </w:tcBorders>
            <w:shd w:val="clear" w:color="auto" w:fill="auto"/>
            <w:hideMark/>
          </w:tcPr>
          <w:p w14:paraId="1CD40F77"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Species 2</w:t>
            </w:r>
          </w:p>
        </w:tc>
        <w:tc>
          <w:tcPr>
            <w:tcW w:w="733" w:type="dxa"/>
            <w:vMerge/>
            <w:tcBorders>
              <w:top w:val="nil"/>
              <w:left w:val="single" w:sz="4" w:space="0" w:color="auto"/>
              <w:bottom w:val="single" w:sz="4" w:space="0" w:color="auto"/>
              <w:right w:val="single" w:sz="4" w:space="0" w:color="auto"/>
            </w:tcBorders>
            <w:vAlign w:val="center"/>
            <w:hideMark/>
          </w:tcPr>
          <w:p w14:paraId="0E61F75D" w14:textId="77777777" w:rsidR="007B2071" w:rsidRPr="001A75F9" w:rsidRDefault="007B2071" w:rsidP="007B2071">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5F5B67ED" w14:textId="77777777" w:rsidR="007B2071" w:rsidRPr="001A75F9" w:rsidRDefault="007B2071" w:rsidP="007B2071">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50AED154"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5DA16260"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nil"/>
            </w:tcBorders>
            <w:vAlign w:val="center"/>
            <w:hideMark/>
          </w:tcPr>
          <w:p w14:paraId="1347D512" w14:textId="77777777" w:rsidR="007B2071" w:rsidRPr="001A75F9" w:rsidRDefault="007B2071" w:rsidP="007B2071">
            <w:pPr>
              <w:pStyle w:val="NoSpacing"/>
              <w:ind w:left="0"/>
            </w:pPr>
          </w:p>
        </w:tc>
        <w:tc>
          <w:tcPr>
            <w:tcW w:w="283" w:type="dxa"/>
            <w:vMerge/>
            <w:tcBorders>
              <w:top w:val="nil"/>
              <w:left w:val="double" w:sz="6" w:space="0" w:color="auto"/>
              <w:bottom w:val="single" w:sz="4" w:space="0" w:color="auto"/>
              <w:right w:val="single" w:sz="4" w:space="0" w:color="auto"/>
            </w:tcBorders>
            <w:vAlign w:val="center"/>
            <w:hideMark/>
          </w:tcPr>
          <w:p w14:paraId="45C5BEFF" w14:textId="77777777" w:rsidR="007B2071" w:rsidRPr="001A75F9" w:rsidRDefault="007B2071" w:rsidP="007B2071">
            <w:pPr>
              <w:pStyle w:val="NoSpacing"/>
              <w:ind w:left="0"/>
            </w:pPr>
          </w:p>
        </w:tc>
        <w:tc>
          <w:tcPr>
            <w:tcW w:w="1559" w:type="dxa"/>
            <w:tcBorders>
              <w:top w:val="nil"/>
              <w:left w:val="nil"/>
              <w:bottom w:val="single" w:sz="4" w:space="0" w:color="auto"/>
              <w:right w:val="single" w:sz="4" w:space="0" w:color="auto"/>
            </w:tcBorders>
            <w:shd w:val="clear" w:color="000000" w:fill="FFFFFF"/>
            <w:noWrap/>
            <w:hideMark/>
          </w:tcPr>
          <w:p w14:paraId="4E3D23F6"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Dung</w:t>
            </w:r>
          </w:p>
        </w:tc>
        <w:tc>
          <w:tcPr>
            <w:tcW w:w="1418" w:type="dxa"/>
            <w:tcBorders>
              <w:top w:val="nil"/>
              <w:left w:val="nil"/>
              <w:bottom w:val="single" w:sz="4" w:space="0" w:color="auto"/>
              <w:right w:val="single" w:sz="4" w:space="0" w:color="auto"/>
            </w:tcBorders>
            <w:shd w:val="clear" w:color="000000" w:fill="FFFFFF"/>
            <w:hideMark/>
          </w:tcPr>
          <w:p w14:paraId="1A9980B7" w14:textId="77777777" w:rsidR="007B2071" w:rsidRPr="001A75F9" w:rsidRDefault="007B2071" w:rsidP="007B2071">
            <w:pPr>
              <w:pStyle w:val="NoSpacing"/>
              <w:ind w:left="0"/>
              <w:rPr>
                <w:rFonts w:eastAsiaTheme="majorEastAsia"/>
                <w:i/>
                <w:iCs/>
                <w:color w:val="404040" w:themeColor="text1" w:themeTint="BF"/>
                <w:sz w:val="20"/>
                <w:szCs w:val="20"/>
              </w:rPr>
            </w:pPr>
            <w:r w:rsidRPr="001A75F9">
              <w:t>Dung beetles and flies</w:t>
            </w:r>
          </w:p>
        </w:tc>
        <w:tc>
          <w:tcPr>
            <w:tcW w:w="709" w:type="dxa"/>
            <w:vMerge/>
            <w:tcBorders>
              <w:top w:val="nil"/>
              <w:left w:val="single" w:sz="4" w:space="0" w:color="auto"/>
              <w:bottom w:val="single" w:sz="4" w:space="0" w:color="000000"/>
              <w:right w:val="single" w:sz="4" w:space="0" w:color="auto"/>
            </w:tcBorders>
            <w:vAlign w:val="center"/>
            <w:hideMark/>
          </w:tcPr>
          <w:p w14:paraId="0DEBB8FC"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2724607C" w14:textId="77777777" w:rsidR="007B2071" w:rsidRPr="001A75F9" w:rsidRDefault="007B2071" w:rsidP="007B2071">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39962CB8" w14:textId="77777777" w:rsidR="007B2071" w:rsidRPr="001A75F9" w:rsidRDefault="007B2071" w:rsidP="007B2071">
            <w:pPr>
              <w:pStyle w:val="NoSpacing"/>
              <w:ind w:left="0"/>
            </w:pPr>
          </w:p>
        </w:tc>
        <w:tc>
          <w:tcPr>
            <w:tcW w:w="709" w:type="dxa"/>
            <w:vMerge/>
            <w:tcBorders>
              <w:top w:val="nil"/>
              <w:left w:val="single" w:sz="4" w:space="0" w:color="auto"/>
              <w:bottom w:val="single" w:sz="4" w:space="0" w:color="auto"/>
              <w:right w:val="single" w:sz="4" w:space="0" w:color="auto"/>
            </w:tcBorders>
            <w:vAlign w:val="center"/>
            <w:hideMark/>
          </w:tcPr>
          <w:p w14:paraId="513E671C" w14:textId="77777777" w:rsidR="007B2071" w:rsidRPr="001A75F9" w:rsidRDefault="007B2071" w:rsidP="007B2071">
            <w:pPr>
              <w:pStyle w:val="NoSpacing"/>
              <w:ind w:left="0"/>
            </w:pPr>
          </w:p>
        </w:tc>
        <w:tc>
          <w:tcPr>
            <w:tcW w:w="708" w:type="dxa"/>
            <w:vMerge/>
            <w:tcBorders>
              <w:top w:val="nil"/>
              <w:left w:val="single" w:sz="4" w:space="0" w:color="auto"/>
              <w:bottom w:val="single" w:sz="4" w:space="0" w:color="auto"/>
              <w:right w:val="single" w:sz="4" w:space="0" w:color="auto"/>
            </w:tcBorders>
            <w:vAlign w:val="center"/>
            <w:hideMark/>
          </w:tcPr>
          <w:p w14:paraId="620675F6" w14:textId="77777777" w:rsidR="007B2071" w:rsidRPr="001A75F9" w:rsidRDefault="007B2071" w:rsidP="007B2071">
            <w:pPr>
              <w:pStyle w:val="NoSpacing"/>
              <w:ind w:left="0"/>
            </w:pPr>
          </w:p>
        </w:tc>
      </w:tr>
      <w:tr w:rsidR="007B2071" w:rsidRPr="001A75F9" w14:paraId="280BB7CE" w14:textId="77777777" w:rsidTr="002C6458">
        <w:trPr>
          <w:trHeight w:val="860"/>
        </w:trPr>
        <w:tc>
          <w:tcPr>
            <w:tcW w:w="660" w:type="dxa"/>
            <w:vMerge/>
            <w:tcBorders>
              <w:top w:val="nil"/>
              <w:left w:val="single" w:sz="4" w:space="0" w:color="auto"/>
              <w:bottom w:val="single" w:sz="4" w:space="0" w:color="auto"/>
              <w:right w:val="single" w:sz="4" w:space="0" w:color="auto"/>
            </w:tcBorders>
            <w:vAlign w:val="center"/>
            <w:hideMark/>
          </w:tcPr>
          <w:p w14:paraId="65286AC2" w14:textId="77777777" w:rsidR="007B2071" w:rsidRPr="001A75F9" w:rsidRDefault="007B2071" w:rsidP="007B2071">
            <w:pPr>
              <w:pStyle w:val="NoSpacing"/>
              <w:ind w:left="0"/>
            </w:pPr>
          </w:p>
        </w:tc>
        <w:tc>
          <w:tcPr>
            <w:tcW w:w="1163" w:type="dxa"/>
            <w:tcBorders>
              <w:top w:val="nil"/>
              <w:left w:val="nil"/>
              <w:bottom w:val="single" w:sz="4" w:space="0" w:color="auto"/>
              <w:right w:val="single" w:sz="4" w:space="0" w:color="auto"/>
            </w:tcBorders>
            <w:shd w:val="clear" w:color="auto" w:fill="auto"/>
            <w:hideMark/>
          </w:tcPr>
          <w:p w14:paraId="5A9483D2" w14:textId="77777777" w:rsidR="007B2071" w:rsidRPr="001A75F9" w:rsidRDefault="007B2071" w:rsidP="001811E7">
            <w:pPr>
              <w:pStyle w:val="NoSpacing"/>
              <w:ind w:left="0"/>
              <w:rPr>
                <w:rFonts w:eastAsiaTheme="majorEastAsia"/>
                <w:i/>
                <w:iCs/>
                <w:color w:val="404040" w:themeColor="text1" w:themeTint="BF"/>
              </w:rPr>
            </w:pPr>
            <w:r w:rsidRPr="001A75F9">
              <w:t>Livestock species 2</w:t>
            </w:r>
          </w:p>
        </w:tc>
        <w:tc>
          <w:tcPr>
            <w:tcW w:w="1096" w:type="dxa"/>
            <w:tcBorders>
              <w:top w:val="nil"/>
              <w:left w:val="nil"/>
              <w:bottom w:val="single" w:sz="4" w:space="0" w:color="auto"/>
              <w:right w:val="single" w:sz="4" w:space="0" w:color="auto"/>
            </w:tcBorders>
            <w:shd w:val="clear" w:color="auto" w:fill="auto"/>
            <w:hideMark/>
          </w:tcPr>
          <w:p w14:paraId="0E91E5FC" w14:textId="77777777" w:rsidR="007B2071" w:rsidRPr="001A75F9" w:rsidRDefault="007B2071" w:rsidP="001811E7">
            <w:pPr>
              <w:pStyle w:val="NoSpacing"/>
              <w:ind w:left="0"/>
              <w:rPr>
                <w:rFonts w:eastAsiaTheme="majorEastAsia"/>
                <w:i/>
                <w:iCs/>
                <w:color w:val="404040" w:themeColor="text1" w:themeTint="BF"/>
                <w:sz w:val="20"/>
                <w:szCs w:val="20"/>
              </w:rPr>
            </w:pPr>
            <w:r w:rsidRPr="001A75F9">
              <w:t>Species 3</w:t>
            </w:r>
          </w:p>
        </w:tc>
        <w:tc>
          <w:tcPr>
            <w:tcW w:w="733" w:type="dxa"/>
            <w:vMerge/>
            <w:tcBorders>
              <w:top w:val="nil"/>
              <w:left w:val="single" w:sz="4" w:space="0" w:color="auto"/>
              <w:bottom w:val="single" w:sz="4" w:space="0" w:color="auto"/>
              <w:right w:val="single" w:sz="4" w:space="0" w:color="auto"/>
            </w:tcBorders>
            <w:vAlign w:val="center"/>
            <w:hideMark/>
          </w:tcPr>
          <w:p w14:paraId="0E30AE18" w14:textId="77777777" w:rsidR="007B2071" w:rsidRPr="001A75F9" w:rsidRDefault="007B2071" w:rsidP="00BC363F">
            <w:pPr>
              <w:pStyle w:val="NoSpacing"/>
              <w:ind w:left="0"/>
            </w:pPr>
          </w:p>
        </w:tc>
        <w:tc>
          <w:tcPr>
            <w:tcW w:w="795" w:type="dxa"/>
            <w:gridSpan w:val="2"/>
            <w:vMerge/>
            <w:tcBorders>
              <w:top w:val="nil"/>
              <w:left w:val="single" w:sz="4" w:space="0" w:color="auto"/>
              <w:bottom w:val="single" w:sz="4" w:space="0" w:color="auto"/>
              <w:right w:val="single" w:sz="4" w:space="0" w:color="auto"/>
            </w:tcBorders>
            <w:vAlign w:val="center"/>
            <w:hideMark/>
          </w:tcPr>
          <w:p w14:paraId="7C93955F" w14:textId="77777777" w:rsidR="007B2071" w:rsidRPr="001A75F9" w:rsidRDefault="007B2071" w:rsidP="00BC363F">
            <w:pPr>
              <w:pStyle w:val="NoSpacing"/>
              <w:ind w:left="0"/>
            </w:pPr>
          </w:p>
        </w:tc>
        <w:tc>
          <w:tcPr>
            <w:tcW w:w="764" w:type="dxa"/>
            <w:gridSpan w:val="2"/>
            <w:vMerge/>
            <w:tcBorders>
              <w:top w:val="nil"/>
              <w:left w:val="single" w:sz="4" w:space="0" w:color="auto"/>
              <w:bottom w:val="single" w:sz="4" w:space="0" w:color="auto"/>
              <w:right w:val="single" w:sz="4" w:space="0" w:color="auto"/>
            </w:tcBorders>
            <w:vAlign w:val="center"/>
            <w:hideMark/>
          </w:tcPr>
          <w:p w14:paraId="44D668BB" w14:textId="77777777" w:rsidR="007B2071" w:rsidRPr="001A75F9" w:rsidRDefault="007B2071" w:rsidP="00BC363F">
            <w:pPr>
              <w:pStyle w:val="NoSpacing"/>
              <w:ind w:left="0"/>
            </w:pPr>
          </w:p>
        </w:tc>
        <w:tc>
          <w:tcPr>
            <w:tcW w:w="851" w:type="dxa"/>
            <w:vMerge/>
            <w:tcBorders>
              <w:top w:val="nil"/>
              <w:left w:val="single" w:sz="4" w:space="0" w:color="auto"/>
              <w:bottom w:val="single" w:sz="4" w:space="0" w:color="auto"/>
              <w:right w:val="single" w:sz="4" w:space="0" w:color="auto"/>
            </w:tcBorders>
            <w:vAlign w:val="center"/>
            <w:hideMark/>
          </w:tcPr>
          <w:p w14:paraId="707C944A" w14:textId="77777777" w:rsidR="007B2071" w:rsidRPr="001A75F9" w:rsidRDefault="007B2071" w:rsidP="00BC363F">
            <w:pPr>
              <w:pStyle w:val="NoSpacing"/>
              <w:ind w:left="0"/>
            </w:pPr>
          </w:p>
        </w:tc>
        <w:tc>
          <w:tcPr>
            <w:tcW w:w="709" w:type="dxa"/>
            <w:vMerge/>
            <w:tcBorders>
              <w:top w:val="nil"/>
              <w:left w:val="single" w:sz="4" w:space="0" w:color="auto"/>
              <w:bottom w:val="single" w:sz="4" w:space="0" w:color="auto"/>
              <w:right w:val="nil"/>
            </w:tcBorders>
            <w:vAlign w:val="center"/>
            <w:hideMark/>
          </w:tcPr>
          <w:p w14:paraId="7651CA39" w14:textId="77777777" w:rsidR="007B2071" w:rsidRPr="001A75F9" w:rsidRDefault="007B2071" w:rsidP="00BC363F">
            <w:pPr>
              <w:pStyle w:val="NoSpacing"/>
              <w:ind w:left="0"/>
            </w:pPr>
          </w:p>
        </w:tc>
        <w:tc>
          <w:tcPr>
            <w:tcW w:w="3260" w:type="dxa"/>
            <w:gridSpan w:val="3"/>
            <w:tcBorders>
              <w:top w:val="single" w:sz="4" w:space="0" w:color="auto"/>
              <w:left w:val="double" w:sz="6" w:space="0" w:color="auto"/>
              <w:bottom w:val="single" w:sz="4" w:space="0" w:color="auto"/>
              <w:right w:val="single" w:sz="4" w:space="0" w:color="auto"/>
            </w:tcBorders>
            <w:shd w:val="clear" w:color="000000" w:fill="FFFFFF"/>
            <w:noWrap/>
            <w:hideMark/>
          </w:tcPr>
          <w:p w14:paraId="3AC7E9EA" w14:textId="77777777" w:rsidR="007B2071" w:rsidRPr="001A75F9" w:rsidRDefault="007B2071" w:rsidP="001811E7">
            <w:pPr>
              <w:pStyle w:val="NoSpacing"/>
              <w:ind w:left="0"/>
              <w:rPr>
                <w:rFonts w:eastAsiaTheme="majorEastAsia"/>
                <w:i/>
                <w:iCs/>
                <w:color w:val="404040" w:themeColor="text1" w:themeTint="BF"/>
                <w:sz w:val="20"/>
                <w:szCs w:val="20"/>
              </w:rPr>
            </w:pPr>
            <w:r w:rsidRPr="001A75F9">
              <w:t>PECgw</w:t>
            </w:r>
          </w:p>
        </w:tc>
        <w:tc>
          <w:tcPr>
            <w:tcW w:w="709" w:type="dxa"/>
            <w:tcBorders>
              <w:top w:val="nil"/>
              <w:left w:val="nil"/>
              <w:bottom w:val="single" w:sz="4" w:space="0" w:color="auto"/>
              <w:right w:val="single" w:sz="4" w:space="0" w:color="auto"/>
            </w:tcBorders>
            <w:shd w:val="clear" w:color="000000" w:fill="FFC7CE"/>
            <w:vAlign w:val="bottom"/>
            <w:hideMark/>
          </w:tcPr>
          <w:p w14:paraId="22657D91" w14:textId="336EAC7A" w:rsidR="007B2071" w:rsidRPr="001A75F9" w:rsidRDefault="007B2071" w:rsidP="00395544">
            <w:pPr>
              <w:pStyle w:val="NoSpacing"/>
              <w:ind w:left="0"/>
            </w:pPr>
            <w:r w:rsidRPr="001A75F9">
              <w:t>PEC</w:t>
            </w:r>
            <w:r w:rsidR="003170AA" w:rsidRPr="001A75F9">
              <w:t>≥</w:t>
            </w:r>
            <w:r w:rsidRPr="001A75F9">
              <w:t>5</w:t>
            </w:r>
          </w:p>
        </w:tc>
        <w:tc>
          <w:tcPr>
            <w:tcW w:w="708" w:type="dxa"/>
            <w:tcBorders>
              <w:top w:val="nil"/>
              <w:left w:val="nil"/>
              <w:bottom w:val="single" w:sz="4" w:space="0" w:color="auto"/>
              <w:right w:val="single" w:sz="4" w:space="0" w:color="auto"/>
            </w:tcBorders>
            <w:shd w:val="clear" w:color="000000" w:fill="FFC7CE"/>
            <w:vAlign w:val="bottom"/>
            <w:hideMark/>
          </w:tcPr>
          <w:p w14:paraId="2A8EE910" w14:textId="7BEB439F" w:rsidR="007B2071" w:rsidRPr="001A75F9" w:rsidRDefault="007B2071" w:rsidP="00395544">
            <w:pPr>
              <w:pStyle w:val="NoSpacing"/>
              <w:ind w:left="0"/>
            </w:pPr>
            <w:r w:rsidRPr="001A75F9">
              <w:t>1</w:t>
            </w:r>
            <w:r w:rsidR="0024444B" w:rsidRPr="001A75F9">
              <w:t>≤</w:t>
            </w:r>
            <w:r w:rsidRPr="001A75F9">
              <w:t xml:space="preserve"> PEC &lt;5</w:t>
            </w:r>
          </w:p>
        </w:tc>
        <w:tc>
          <w:tcPr>
            <w:tcW w:w="851" w:type="dxa"/>
            <w:tcBorders>
              <w:top w:val="nil"/>
              <w:left w:val="nil"/>
              <w:bottom w:val="single" w:sz="4" w:space="0" w:color="auto"/>
              <w:right w:val="single" w:sz="4" w:space="0" w:color="auto"/>
            </w:tcBorders>
            <w:shd w:val="clear" w:color="000000" w:fill="FFEB9C"/>
            <w:vAlign w:val="bottom"/>
            <w:hideMark/>
          </w:tcPr>
          <w:p w14:paraId="478FC5EE" w14:textId="7727BB9A" w:rsidR="007B2071" w:rsidRPr="001A75F9" w:rsidRDefault="007B2071" w:rsidP="001811E7">
            <w:pPr>
              <w:pStyle w:val="NoSpacing"/>
              <w:ind w:left="0"/>
            </w:pPr>
            <w:r w:rsidRPr="001A75F9">
              <w:t>0.5</w:t>
            </w:r>
            <w:r w:rsidR="0024444B" w:rsidRPr="001A75F9">
              <w:t>≤</w:t>
            </w:r>
            <w:r w:rsidR="009A61F9" w:rsidRPr="001A75F9">
              <w:t xml:space="preserve"> </w:t>
            </w:r>
            <w:r w:rsidRPr="001A75F9">
              <w:t>PEC</w:t>
            </w:r>
            <w:r w:rsidR="009A61F9" w:rsidRPr="001A75F9">
              <w:t xml:space="preserve"> </w:t>
            </w:r>
            <w:r w:rsidRPr="001A75F9">
              <w:t>&lt;1</w:t>
            </w:r>
          </w:p>
        </w:tc>
        <w:tc>
          <w:tcPr>
            <w:tcW w:w="709" w:type="dxa"/>
            <w:tcBorders>
              <w:top w:val="nil"/>
              <w:left w:val="nil"/>
              <w:bottom w:val="single" w:sz="4" w:space="0" w:color="auto"/>
              <w:right w:val="single" w:sz="4" w:space="0" w:color="auto"/>
            </w:tcBorders>
            <w:shd w:val="clear" w:color="000000" w:fill="C6EFCE"/>
            <w:vAlign w:val="bottom"/>
            <w:hideMark/>
          </w:tcPr>
          <w:p w14:paraId="71A9215C" w14:textId="38E56BE2" w:rsidR="007B2071" w:rsidRPr="001A75F9" w:rsidRDefault="007B2071" w:rsidP="00395544">
            <w:pPr>
              <w:pStyle w:val="NoSpacing"/>
              <w:ind w:left="0"/>
            </w:pPr>
            <w:r w:rsidRPr="001A75F9">
              <w:t>0.1</w:t>
            </w:r>
            <w:r w:rsidR="003170AA" w:rsidRPr="001A75F9">
              <w:t>≤</w:t>
            </w:r>
            <w:r w:rsidRPr="001A75F9">
              <w:t xml:space="preserve"> PEC&lt;</w:t>
            </w:r>
            <w:r w:rsidR="00F65FED" w:rsidRPr="001A75F9">
              <w:t>0.5</w:t>
            </w:r>
          </w:p>
        </w:tc>
        <w:tc>
          <w:tcPr>
            <w:tcW w:w="708" w:type="dxa"/>
            <w:tcBorders>
              <w:top w:val="nil"/>
              <w:left w:val="nil"/>
              <w:bottom w:val="single" w:sz="4" w:space="0" w:color="auto"/>
              <w:right w:val="single" w:sz="4" w:space="0" w:color="auto"/>
            </w:tcBorders>
            <w:shd w:val="clear" w:color="000000" w:fill="C6EFCE"/>
            <w:vAlign w:val="bottom"/>
            <w:hideMark/>
          </w:tcPr>
          <w:p w14:paraId="0071C7D4" w14:textId="77777777" w:rsidR="007B2071" w:rsidRPr="001A75F9" w:rsidRDefault="007B2071" w:rsidP="00395544">
            <w:pPr>
              <w:pStyle w:val="NoSpacing"/>
              <w:spacing w:before="100" w:beforeAutospacing="1" w:after="100" w:afterAutospacing="1"/>
              <w:ind w:left="0"/>
            </w:pPr>
            <w:r w:rsidRPr="001A75F9">
              <w:t>PEC&lt; 0.1</w:t>
            </w:r>
          </w:p>
        </w:tc>
      </w:tr>
    </w:tbl>
    <w:p w14:paraId="07085245" w14:textId="77777777" w:rsidR="007B2071" w:rsidRPr="001A75F9" w:rsidRDefault="007B2071" w:rsidP="007935F5">
      <w:pPr>
        <w:ind w:firstLine="436"/>
        <w:rPr>
          <w:b/>
        </w:rPr>
        <w:sectPr w:rsidR="007B2071" w:rsidRPr="001A75F9" w:rsidSect="00E10DDD">
          <w:pgSz w:w="15840" w:h="12240" w:orient="landscape"/>
          <w:pgMar w:top="1800" w:right="1440" w:bottom="1800" w:left="1440" w:header="708" w:footer="708" w:gutter="0"/>
          <w:lnNumType w:countBy="1" w:restart="continuous"/>
          <w:cols w:space="708"/>
          <w:docGrid w:linePitch="360"/>
        </w:sectPr>
      </w:pPr>
    </w:p>
    <w:p w14:paraId="283CA4E4" w14:textId="2A89322A" w:rsidR="005C6055" w:rsidRPr="001A75F9" w:rsidRDefault="00F0392D" w:rsidP="007935F5">
      <w:pPr>
        <w:ind w:firstLine="436"/>
      </w:pPr>
      <w:r w:rsidRPr="001A75F9">
        <w:rPr>
          <w:b/>
        </w:rPr>
        <w:t>3.3</w:t>
      </w:r>
      <w:r w:rsidRPr="001A75F9">
        <w:rPr>
          <w:b/>
        </w:rPr>
        <w:tab/>
      </w:r>
      <w:r w:rsidR="006A4CE7" w:rsidRPr="001A75F9">
        <w:rPr>
          <w:b/>
          <w:i/>
        </w:rPr>
        <w:t>C</w:t>
      </w:r>
      <w:r w:rsidR="005C6055" w:rsidRPr="001A75F9">
        <w:rPr>
          <w:b/>
          <w:i/>
        </w:rPr>
        <w:t xml:space="preserve">omparative </w:t>
      </w:r>
      <w:r w:rsidRPr="001A75F9">
        <w:rPr>
          <w:b/>
          <w:i/>
        </w:rPr>
        <w:t>classification</w:t>
      </w:r>
      <w:r w:rsidR="005C6055" w:rsidRPr="001A75F9">
        <w:rPr>
          <w:b/>
          <w:i/>
        </w:rPr>
        <w:t xml:space="preserve">  </w:t>
      </w:r>
    </w:p>
    <w:p w14:paraId="529EF61C" w14:textId="0444EC66" w:rsidR="00F0392D" w:rsidRPr="001A75F9" w:rsidRDefault="00C14289" w:rsidP="00367AD8">
      <w:r w:rsidRPr="001A75F9">
        <w:t xml:space="preserve">A comparative approach is not currently </w:t>
      </w:r>
      <w:r w:rsidR="00F0392D" w:rsidRPr="001A75F9">
        <w:t xml:space="preserve">explicitly </w:t>
      </w:r>
      <w:r w:rsidRPr="001A75F9">
        <w:t xml:space="preserve">consistent with the VMP authorization process. However, </w:t>
      </w:r>
      <w:r w:rsidR="00F0392D" w:rsidRPr="001A75F9">
        <w:t>such an</w:t>
      </w:r>
      <w:r w:rsidRPr="001A75F9">
        <w:t xml:space="preserve"> approach would support substitution of VMPs </w:t>
      </w:r>
      <w:r w:rsidR="00553597" w:rsidRPr="001A75F9">
        <w:t>with higher environmental risk for those with lower risk,</w:t>
      </w:r>
      <w:r w:rsidRPr="001A75F9">
        <w:t xml:space="preserve"> given that benefit is reasonably maintained. </w:t>
      </w:r>
      <w:r w:rsidR="00B97D9E" w:rsidRPr="001A75F9">
        <w:t>Substitution</w:t>
      </w:r>
      <w:r w:rsidR="0009111C" w:rsidRPr="001A75F9">
        <w:t xml:space="preserve"> principles are </w:t>
      </w:r>
      <w:r w:rsidR="00F0392D" w:rsidRPr="001A75F9">
        <w:t>currently</w:t>
      </w:r>
      <w:r w:rsidR="0009111C" w:rsidRPr="001A75F9">
        <w:t xml:space="preserve"> applied </w:t>
      </w:r>
      <w:r w:rsidR="001530C8" w:rsidRPr="001A75F9">
        <w:t xml:space="preserve">to chemical regulation </w:t>
      </w:r>
      <w:r w:rsidR="009D31C0" w:rsidRPr="001A75F9">
        <w:t>(Swedish Chemicals Agency 2007)</w:t>
      </w:r>
      <w:r w:rsidR="002058C8" w:rsidRPr="001A75F9">
        <w:t>.</w:t>
      </w:r>
      <w:r w:rsidR="003C577E" w:rsidRPr="001A75F9">
        <w:t xml:space="preserve"> </w:t>
      </w:r>
    </w:p>
    <w:p w14:paraId="1B6E91C6" w14:textId="44BA3647" w:rsidR="00F0392D" w:rsidRPr="001A75F9" w:rsidRDefault="00F0392D" w:rsidP="007935F5">
      <w:r w:rsidRPr="001A75F9">
        <w:t>C</w:t>
      </w:r>
      <w:r w:rsidR="00DA5DB9" w:rsidRPr="001A75F9">
        <w:t xml:space="preserve">omparative categorization </w:t>
      </w:r>
      <w:r w:rsidR="004F5B0C" w:rsidRPr="001A75F9">
        <w:t>focus</w:t>
      </w:r>
      <w:r w:rsidRPr="001A75F9">
        <w:t>es</w:t>
      </w:r>
      <w:r w:rsidR="004F5B0C" w:rsidRPr="001A75F9">
        <w:t xml:space="preserve"> on the differences between </w:t>
      </w:r>
      <w:r w:rsidR="007045D0" w:rsidRPr="001A75F9">
        <w:t>a product applying for authorization and previously authorized</w:t>
      </w:r>
      <w:r w:rsidR="004F5B0C" w:rsidRPr="001A75F9">
        <w:t xml:space="preserve"> VMPs with the same clinical use. </w:t>
      </w:r>
      <w:r w:rsidR="000D455A" w:rsidRPr="001A75F9">
        <w:t xml:space="preserve">Table 3 demonstrates a </w:t>
      </w:r>
      <w:r w:rsidR="00CD5C97" w:rsidRPr="001A75F9">
        <w:t>5 level c</w:t>
      </w:r>
      <w:r w:rsidR="00991139" w:rsidRPr="001A75F9">
        <w:t xml:space="preserve">ategorization </w:t>
      </w:r>
      <w:r w:rsidR="000D455A" w:rsidRPr="001A75F9">
        <w:t>method</w:t>
      </w:r>
      <w:r w:rsidR="00FB7754" w:rsidRPr="001A75F9">
        <w:t xml:space="preserve"> designed to</w:t>
      </w:r>
      <w:r w:rsidR="000D455A" w:rsidRPr="001A75F9">
        <w:t xml:space="preserve"> </w:t>
      </w:r>
      <w:r w:rsidR="001403C7" w:rsidRPr="001A75F9">
        <w:t>evaluate</w:t>
      </w:r>
      <w:r w:rsidR="00CD5C97" w:rsidRPr="001A75F9">
        <w:t xml:space="preserve"> c</w:t>
      </w:r>
      <w:r w:rsidR="005C6055" w:rsidRPr="001A75F9">
        <w:t xml:space="preserve">hanges between the product and the </w:t>
      </w:r>
      <w:r w:rsidR="00CD5C97" w:rsidRPr="001A75F9">
        <w:t>alternative</w:t>
      </w:r>
      <w:r w:rsidR="005C6055" w:rsidRPr="001A75F9">
        <w:t xml:space="preserve">. </w:t>
      </w:r>
      <w:r w:rsidR="00FB7754" w:rsidRPr="001A75F9">
        <w:t>In this case c</w:t>
      </w:r>
      <w:r w:rsidR="00CD5C97" w:rsidRPr="001A75F9">
        <w:t xml:space="preserve">riteria </w:t>
      </w:r>
      <w:r w:rsidR="005C6055" w:rsidRPr="001A75F9">
        <w:t xml:space="preserve">that relate to </w:t>
      </w:r>
      <w:r w:rsidR="00F147FE" w:rsidRPr="001A75F9">
        <w:t>the specific treatment</w:t>
      </w:r>
      <w:r w:rsidR="005C6055" w:rsidRPr="001A75F9">
        <w:t xml:space="preserve"> will be consistent</w:t>
      </w:r>
      <w:r w:rsidR="00FB7754" w:rsidRPr="001A75F9">
        <w:t xml:space="preserve"> between the alternatives and, therefore, </w:t>
      </w:r>
      <w:r w:rsidRPr="001A75F9">
        <w:t xml:space="preserve">would </w:t>
      </w:r>
      <w:r w:rsidR="0044262A" w:rsidRPr="001A75F9">
        <w:t>not</w:t>
      </w:r>
      <w:r w:rsidRPr="001A75F9">
        <w:t xml:space="preserve"> be</w:t>
      </w:r>
      <w:r w:rsidR="0044262A" w:rsidRPr="001A75F9">
        <w:t xml:space="preserve"> </w:t>
      </w:r>
      <w:r w:rsidR="00FB7754" w:rsidRPr="001A75F9">
        <w:t>assessed</w:t>
      </w:r>
      <w:r w:rsidR="00F147FE" w:rsidRPr="001A75F9">
        <w:t xml:space="preserve"> in this method</w:t>
      </w:r>
      <w:r w:rsidR="005C6055" w:rsidRPr="001A75F9">
        <w:t xml:space="preserve">. </w:t>
      </w:r>
    </w:p>
    <w:p w14:paraId="74923902" w14:textId="72D97FAF" w:rsidR="003E2003" w:rsidRPr="001A75F9" w:rsidRDefault="00F0392D" w:rsidP="001F289E">
      <w:pPr>
        <w:sectPr w:rsidR="003E2003" w:rsidRPr="001A75F9" w:rsidSect="00E10DDD">
          <w:pgSz w:w="12240" w:h="15840"/>
          <w:pgMar w:top="1440" w:right="1800" w:bottom="1440" w:left="1800" w:header="708" w:footer="708" w:gutter="0"/>
          <w:lnNumType w:countBy="1" w:restart="continuous"/>
          <w:cols w:space="708"/>
          <w:docGrid w:linePitch="360"/>
        </w:sectPr>
      </w:pPr>
      <w:r w:rsidRPr="001A75F9">
        <w:t xml:space="preserve">An example of </w:t>
      </w:r>
      <w:r w:rsidR="0041430B" w:rsidRPr="001A75F9">
        <w:t>five</w:t>
      </w:r>
      <w:r w:rsidRPr="001A75F9">
        <w:t xml:space="preserve"> levels is provided</w:t>
      </w:r>
      <w:r w:rsidR="005C6055" w:rsidRPr="001A75F9">
        <w:t xml:space="preserve"> to determine whether benefits and risks are increasing or decreasing</w:t>
      </w:r>
      <w:r w:rsidRPr="001A75F9">
        <w:t>;</w:t>
      </w:r>
      <w:r w:rsidR="00E7306D" w:rsidRPr="001A75F9">
        <w:t xml:space="preserve"> level 3 is a neutral level</w:t>
      </w:r>
      <w:r w:rsidRPr="001A75F9">
        <w:t xml:space="preserve"> with highest risks and benefits at level 5 and lowest at level 1 </w:t>
      </w:r>
      <w:r w:rsidR="00E7306D" w:rsidRPr="001A75F9">
        <w:t xml:space="preserve">(Table 3). The comparison of combinations is consistent with Figure 3. </w:t>
      </w:r>
      <w:r w:rsidRPr="001A75F9">
        <w:t>Application of this method requires determination of</w:t>
      </w:r>
      <w:r w:rsidR="005C6055" w:rsidRPr="001A75F9">
        <w:t xml:space="preserve"> thresholds that constitute a significant change</w:t>
      </w:r>
      <w:r w:rsidR="00E7306D" w:rsidRPr="001A75F9">
        <w:t>.</w:t>
      </w:r>
      <w:r w:rsidR="003B5E9B" w:rsidRPr="001A75F9">
        <w:t xml:space="preserve"> </w:t>
      </w:r>
      <w:r w:rsidR="00620630" w:rsidRPr="001A75F9">
        <w:t>The output w</w:t>
      </w:r>
      <w:r w:rsidRPr="001A75F9">
        <w:t>ould</w:t>
      </w:r>
      <w:r w:rsidR="00620630" w:rsidRPr="001A75F9">
        <w:t xml:space="preserve"> be a separate benefit and risk level for the authorization of a new product compared to a</w:t>
      </w:r>
      <w:r w:rsidRPr="001A75F9">
        <w:t>n authorized</w:t>
      </w:r>
      <w:r w:rsidR="00620630" w:rsidRPr="001A75F9">
        <w:t xml:space="preserve"> VMP. A decision-rule could be applied to the </w:t>
      </w:r>
      <w:r w:rsidR="006C2667" w:rsidRPr="001A75F9">
        <w:t xml:space="preserve">levels assigned </w:t>
      </w:r>
      <w:r w:rsidRPr="001A75F9">
        <w:t>relative to</w:t>
      </w:r>
      <w:r w:rsidR="006C2667" w:rsidRPr="001A75F9">
        <w:t xml:space="preserve"> the </w:t>
      </w:r>
      <w:r w:rsidR="00903630" w:rsidRPr="001A75F9">
        <w:t>trade-offs</w:t>
      </w:r>
      <w:r w:rsidR="00DC7D14" w:rsidRPr="001A75F9">
        <w:t xml:space="preserve"> between products. </w:t>
      </w:r>
    </w:p>
    <w:p w14:paraId="42D077CB" w14:textId="77777777" w:rsidR="003E2003" w:rsidRPr="001A75F9" w:rsidRDefault="003E2003" w:rsidP="003E2003">
      <w:pPr>
        <w:pStyle w:val="NoSpacing"/>
      </w:pPr>
      <w:r w:rsidRPr="001A75F9">
        <w:rPr>
          <w:b/>
        </w:rPr>
        <w:t>Table 3.</w:t>
      </w:r>
      <w:r w:rsidRPr="001A75F9">
        <w:t xml:space="preserve"> Comparative benefit classification (left) considering changes in 2 criteria and comparative risk classification (right) considering changes in 3 criteria to evaluate alternative products for the same treatment (colors differing in intensity indicate undesirable changes (i.e., red) and desirable changes (i.e., green). Thresholds for potential criteria can vary (see text for further details). </w:t>
      </w:r>
      <w:proofErr w:type="gramStart"/>
      <w:r w:rsidRPr="001A75F9">
        <w:rPr>
          <w:rFonts w:cs="Times New Roman"/>
          <w:vertAlign w:val="superscript"/>
        </w:rPr>
        <w:t>a</w:t>
      </w:r>
      <w:r w:rsidRPr="001A75F9">
        <w:rPr>
          <w:rFonts w:cs="Times New Roman"/>
        </w:rPr>
        <w:t>Persistent</w:t>
      </w:r>
      <w:proofErr w:type="gramEnd"/>
      <w:r w:rsidRPr="001A75F9">
        <w:rPr>
          <w:rFonts w:cs="Times New Roman"/>
        </w:rPr>
        <w:t xml:space="preserve">, bioaccumulative, toxic (PBT)/very persistent, very bioaccumulative (vPvB) criteria defined in EMA (2012a); </w:t>
      </w:r>
      <w:r w:rsidRPr="001A75F9">
        <w:rPr>
          <w:rFonts w:cs="Times New Roman"/>
          <w:vertAlign w:val="superscript"/>
        </w:rPr>
        <w:t>b</w:t>
      </w:r>
      <w:r w:rsidRPr="001A75F9">
        <w:rPr>
          <w:rFonts w:cs="Times New Roman"/>
        </w:rPr>
        <w:t xml:space="preserve">Predicted exposure concentration for groundwater; </w:t>
      </w:r>
      <w:r w:rsidRPr="001A75F9">
        <w:rPr>
          <w:rFonts w:cs="Times New Roman"/>
          <w:vertAlign w:val="superscript"/>
        </w:rPr>
        <w:t>c</w:t>
      </w:r>
      <w:r w:rsidRPr="001A75F9">
        <w:rPr>
          <w:rFonts w:cs="Times New Roman"/>
        </w:rPr>
        <w:t>Risk quotient (predicted exposure concentration / predicted no effects concentration).</w:t>
      </w:r>
    </w:p>
    <w:tbl>
      <w:tblPr>
        <w:tblW w:w="12348" w:type="dxa"/>
        <w:tblInd w:w="93" w:type="dxa"/>
        <w:tblLayout w:type="fixed"/>
        <w:tblLook w:val="04A0" w:firstRow="1" w:lastRow="0" w:firstColumn="1" w:lastColumn="0" w:noHBand="0" w:noVBand="1"/>
      </w:tblPr>
      <w:tblGrid>
        <w:gridCol w:w="1149"/>
        <w:gridCol w:w="1560"/>
        <w:gridCol w:w="992"/>
        <w:gridCol w:w="1701"/>
        <w:gridCol w:w="1134"/>
        <w:gridCol w:w="1559"/>
        <w:gridCol w:w="1621"/>
        <w:gridCol w:w="1308"/>
        <w:gridCol w:w="1324"/>
      </w:tblGrid>
      <w:tr w:rsidR="003E2003" w:rsidRPr="001A75F9" w14:paraId="3E1B2839" w14:textId="77777777" w:rsidTr="007E0997">
        <w:trPr>
          <w:trHeight w:val="300"/>
        </w:trPr>
        <w:tc>
          <w:tcPr>
            <w:tcW w:w="5402" w:type="dxa"/>
            <w:gridSpan w:val="4"/>
            <w:tcBorders>
              <w:top w:val="single" w:sz="4" w:space="0" w:color="auto"/>
              <w:left w:val="single" w:sz="4" w:space="0" w:color="auto"/>
              <w:bottom w:val="single" w:sz="4" w:space="0" w:color="auto"/>
              <w:right w:val="double" w:sz="6" w:space="0" w:color="000000"/>
            </w:tcBorders>
            <w:shd w:val="clear" w:color="auto" w:fill="auto"/>
            <w:noWrap/>
            <w:vAlign w:val="bottom"/>
            <w:hideMark/>
          </w:tcPr>
          <w:p w14:paraId="52907CC3" w14:textId="77777777" w:rsidR="003E2003" w:rsidRPr="001A75F9" w:rsidRDefault="003E2003" w:rsidP="007E0997">
            <w:pPr>
              <w:pStyle w:val="NoSpacing"/>
            </w:pPr>
            <w:r w:rsidRPr="001A75F9">
              <w:t>BENEFIT</w:t>
            </w:r>
          </w:p>
        </w:tc>
        <w:tc>
          <w:tcPr>
            <w:tcW w:w="69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0F32C3" w14:textId="77777777" w:rsidR="003E2003" w:rsidRPr="001A75F9" w:rsidRDefault="003E2003" w:rsidP="007E0997">
            <w:pPr>
              <w:pStyle w:val="NoSpacing"/>
            </w:pPr>
            <w:r w:rsidRPr="001A75F9">
              <w:t>RISK</w:t>
            </w:r>
          </w:p>
        </w:tc>
      </w:tr>
      <w:tr w:rsidR="003E2003" w:rsidRPr="001A75F9" w14:paraId="5FBE2553" w14:textId="77777777" w:rsidTr="007E0997">
        <w:trPr>
          <w:trHeight w:val="320"/>
        </w:trPr>
        <w:tc>
          <w:tcPr>
            <w:tcW w:w="1149" w:type="dxa"/>
            <w:tcBorders>
              <w:top w:val="nil"/>
              <w:left w:val="single" w:sz="4" w:space="0" w:color="auto"/>
              <w:bottom w:val="single" w:sz="8" w:space="0" w:color="auto"/>
              <w:right w:val="nil"/>
            </w:tcBorders>
            <w:shd w:val="clear" w:color="auto" w:fill="auto"/>
            <w:hideMark/>
          </w:tcPr>
          <w:p w14:paraId="32E2F431" w14:textId="77777777" w:rsidR="003E2003" w:rsidRPr="001A75F9" w:rsidRDefault="003E2003" w:rsidP="007E0997">
            <w:pPr>
              <w:pStyle w:val="NoSpacing"/>
            </w:pPr>
            <w:r w:rsidRPr="001A75F9">
              <w:t> </w:t>
            </w:r>
          </w:p>
        </w:tc>
        <w:tc>
          <w:tcPr>
            <w:tcW w:w="1560" w:type="dxa"/>
            <w:tcBorders>
              <w:top w:val="nil"/>
              <w:left w:val="nil"/>
              <w:bottom w:val="single" w:sz="8" w:space="0" w:color="auto"/>
              <w:right w:val="nil"/>
            </w:tcBorders>
            <w:shd w:val="clear" w:color="auto" w:fill="auto"/>
            <w:hideMark/>
          </w:tcPr>
          <w:p w14:paraId="47BEBB57" w14:textId="77777777" w:rsidR="003E2003" w:rsidRPr="001A75F9" w:rsidRDefault="003E2003" w:rsidP="003E2003">
            <w:pPr>
              <w:pStyle w:val="NoSpacing"/>
              <w:ind w:left="34"/>
            </w:pPr>
            <w:r w:rsidRPr="001A75F9">
              <w:t> </w:t>
            </w:r>
          </w:p>
        </w:tc>
        <w:tc>
          <w:tcPr>
            <w:tcW w:w="2693" w:type="dxa"/>
            <w:gridSpan w:val="2"/>
            <w:tcBorders>
              <w:top w:val="single" w:sz="4" w:space="0" w:color="auto"/>
              <w:left w:val="single" w:sz="4" w:space="0" w:color="auto"/>
              <w:bottom w:val="single" w:sz="8" w:space="0" w:color="auto"/>
              <w:right w:val="nil"/>
            </w:tcBorders>
            <w:shd w:val="clear" w:color="auto" w:fill="auto"/>
            <w:vAlign w:val="center"/>
            <w:hideMark/>
          </w:tcPr>
          <w:p w14:paraId="7B25D3A4" w14:textId="77777777" w:rsidR="003E2003" w:rsidRPr="001A75F9" w:rsidRDefault="003E2003" w:rsidP="003E2003">
            <w:pPr>
              <w:pStyle w:val="NoSpacing"/>
              <w:ind w:left="34"/>
            </w:pPr>
            <w:r w:rsidRPr="001A75F9">
              <w:t>Example criteria</w:t>
            </w:r>
          </w:p>
        </w:tc>
        <w:tc>
          <w:tcPr>
            <w:tcW w:w="1134" w:type="dxa"/>
            <w:tcBorders>
              <w:top w:val="nil"/>
              <w:left w:val="double" w:sz="6" w:space="0" w:color="auto"/>
              <w:bottom w:val="single" w:sz="4" w:space="0" w:color="auto"/>
              <w:right w:val="nil"/>
            </w:tcBorders>
            <w:shd w:val="clear" w:color="auto" w:fill="auto"/>
            <w:hideMark/>
          </w:tcPr>
          <w:p w14:paraId="75352F04" w14:textId="77777777" w:rsidR="003E2003" w:rsidRPr="001A75F9" w:rsidRDefault="003E2003" w:rsidP="003E2003">
            <w:pPr>
              <w:pStyle w:val="NoSpacing"/>
              <w:ind w:left="34"/>
            </w:pPr>
            <w:r w:rsidRPr="001A75F9">
              <w:t> </w:t>
            </w:r>
          </w:p>
        </w:tc>
        <w:tc>
          <w:tcPr>
            <w:tcW w:w="1559" w:type="dxa"/>
            <w:tcBorders>
              <w:top w:val="nil"/>
              <w:left w:val="nil"/>
              <w:bottom w:val="single" w:sz="4" w:space="0" w:color="auto"/>
              <w:right w:val="single" w:sz="4" w:space="0" w:color="auto"/>
            </w:tcBorders>
            <w:shd w:val="clear" w:color="auto" w:fill="auto"/>
            <w:hideMark/>
          </w:tcPr>
          <w:p w14:paraId="145990C9" w14:textId="77777777" w:rsidR="003E2003" w:rsidRPr="001A75F9" w:rsidRDefault="003E2003" w:rsidP="003E2003">
            <w:pPr>
              <w:pStyle w:val="NoSpacing"/>
              <w:ind w:left="34"/>
            </w:pPr>
            <w:r w:rsidRPr="001A75F9">
              <w:t> </w:t>
            </w:r>
          </w:p>
        </w:tc>
        <w:tc>
          <w:tcPr>
            <w:tcW w:w="4253" w:type="dxa"/>
            <w:gridSpan w:val="3"/>
            <w:tcBorders>
              <w:top w:val="single" w:sz="4" w:space="0" w:color="auto"/>
              <w:left w:val="nil"/>
              <w:bottom w:val="single" w:sz="4" w:space="0" w:color="auto"/>
              <w:right w:val="single" w:sz="4" w:space="0" w:color="000000"/>
            </w:tcBorders>
            <w:shd w:val="clear" w:color="auto" w:fill="auto"/>
            <w:vAlign w:val="center"/>
            <w:hideMark/>
          </w:tcPr>
          <w:p w14:paraId="4B142AE3" w14:textId="77777777" w:rsidR="003E2003" w:rsidRPr="001A75F9" w:rsidRDefault="003E2003" w:rsidP="003E2003">
            <w:pPr>
              <w:pStyle w:val="NoSpacing"/>
              <w:ind w:left="34"/>
            </w:pPr>
            <w:r w:rsidRPr="001A75F9">
              <w:t>Example criteria</w:t>
            </w:r>
          </w:p>
        </w:tc>
      </w:tr>
      <w:tr w:rsidR="003E2003" w:rsidRPr="001A75F9" w14:paraId="4D08E03D" w14:textId="77777777" w:rsidTr="007E0997">
        <w:trPr>
          <w:trHeight w:val="600"/>
        </w:trPr>
        <w:tc>
          <w:tcPr>
            <w:tcW w:w="1149" w:type="dxa"/>
            <w:tcBorders>
              <w:top w:val="nil"/>
              <w:left w:val="single" w:sz="4" w:space="0" w:color="auto"/>
              <w:bottom w:val="nil"/>
              <w:right w:val="nil"/>
            </w:tcBorders>
            <w:shd w:val="clear" w:color="auto" w:fill="auto"/>
            <w:vAlign w:val="center"/>
            <w:hideMark/>
          </w:tcPr>
          <w:p w14:paraId="1CAAB958" w14:textId="77777777" w:rsidR="003E2003" w:rsidRPr="001A75F9" w:rsidRDefault="003E2003" w:rsidP="003E2003">
            <w:pPr>
              <w:pStyle w:val="NoSpacing"/>
              <w:ind w:left="0"/>
            </w:pPr>
            <w:r w:rsidRPr="001A75F9">
              <w:t>Category</w:t>
            </w:r>
          </w:p>
        </w:tc>
        <w:tc>
          <w:tcPr>
            <w:tcW w:w="1560" w:type="dxa"/>
            <w:tcBorders>
              <w:top w:val="nil"/>
              <w:left w:val="nil"/>
              <w:bottom w:val="nil"/>
              <w:right w:val="nil"/>
            </w:tcBorders>
            <w:shd w:val="clear" w:color="auto" w:fill="auto"/>
            <w:vAlign w:val="center"/>
            <w:hideMark/>
          </w:tcPr>
          <w:p w14:paraId="5C9536CA" w14:textId="77777777" w:rsidR="003E2003" w:rsidRPr="001A75F9" w:rsidRDefault="003E2003" w:rsidP="003E2003">
            <w:pPr>
              <w:pStyle w:val="NoSpacing"/>
              <w:ind w:left="34"/>
            </w:pPr>
            <w:r w:rsidRPr="001A75F9">
              <w:t>Change in benefit level</w:t>
            </w:r>
          </w:p>
        </w:tc>
        <w:tc>
          <w:tcPr>
            <w:tcW w:w="992" w:type="dxa"/>
            <w:tcBorders>
              <w:top w:val="nil"/>
              <w:left w:val="single" w:sz="4" w:space="0" w:color="auto"/>
              <w:bottom w:val="nil"/>
              <w:right w:val="nil"/>
            </w:tcBorders>
            <w:shd w:val="clear" w:color="auto" w:fill="auto"/>
            <w:vAlign w:val="center"/>
            <w:hideMark/>
          </w:tcPr>
          <w:p w14:paraId="6363CAB5" w14:textId="77777777" w:rsidR="003E2003" w:rsidRPr="001A75F9" w:rsidRDefault="003E2003" w:rsidP="003E2003">
            <w:pPr>
              <w:pStyle w:val="NoSpacing"/>
              <w:ind w:left="34" w:right="-108"/>
            </w:pPr>
            <w:r w:rsidRPr="001A75F9">
              <w:t>High efficacy</w:t>
            </w:r>
          </w:p>
        </w:tc>
        <w:tc>
          <w:tcPr>
            <w:tcW w:w="1701" w:type="dxa"/>
            <w:tcBorders>
              <w:top w:val="nil"/>
              <w:left w:val="nil"/>
              <w:bottom w:val="nil"/>
              <w:right w:val="nil"/>
            </w:tcBorders>
            <w:shd w:val="clear" w:color="auto" w:fill="auto"/>
            <w:vAlign w:val="center"/>
            <w:hideMark/>
          </w:tcPr>
          <w:p w14:paraId="06646E1B" w14:textId="77777777" w:rsidR="003E2003" w:rsidRPr="001A75F9" w:rsidRDefault="003E2003" w:rsidP="003E2003">
            <w:pPr>
              <w:pStyle w:val="NoSpacing"/>
              <w:ind w:left="34"/>
            </w:pPr>
            <w:r w:rsidRPr="001A75F9">
              <w:t>Contributing to fight against resistance</w:t>
            </w:r>
          </w:p>
        </w:tc>
        <w:tc>
          <w:tcPr>
            <w:tcW w:w="1134" w:type="dxa"/>
            <w:tcBorders>
              <w:top w:val="nil"/>
              <w:left w:val="double" w:sz="6" w:space="0" w:color="auto"/>
              <w:bottom w:val="nil"/>
              <w:right w:val="nil"/>
            </w:tcBorders>
            <w:shd w:val="clear" w:color="auto" w:fill="auto"/>
            <w:vAlign w:val="center"/>
            <w:hideMark/>
          </w:tcPr>
          <w:p w14:paraId="55E0A7F2" w14:textId="77777777" w:rsidR="003E2003" w:rsidRPr="001A75F9" w:rsidRDefault="003E2003" w:rsidP="003E2003">
            <w:pPr>
              <w:pStyle w:val="NoSpacing"/>
              <w:ind w:left="34"/>
            </w:pPr>
            <w:r w:rsidRPr="001A75F9">
              <w:t>Category</w:t>
            </w:r>
          </w:p>
        </w:tc>
        <w:tc>
          <w:tcPr>
            <w:tcW w:w="1559" w:type="dxa"/>
            <w:tcBorders>
              <w:top w:val="nil"/>
              <w:left w:val="nil"/>
              <w:bottom w:val="nil"/>
              <w:right w:val="nil"/>
            </w:tcBorders>
            <w:shd w:val="clear" w:color="auto" w:fill="auto"/>
            <w:vAlign w:val="center"/>
            <w:hideMark/>
          </w:tcPr>
          <w:p w14:paraId="2697DA37" w14:textId="77777777" w:rsidR="003E2003" w:rsidRPr="001A75F9" w:rsidRDefault="003E2003" w:rsidP="003E2003">
            <w:pPr>
              <w:pStyle w:val="NoSpacing"/>
              <w:ind w:left="34"/>
            </w:pPr>
            <w:r w:rsidRPr="001A75F9">
              <w:t>Change in risk level</w:t>
            </w:r>
          </w:p>
        </w:tc>
        <w:tc>
          <w:tcPr>
            <w:tcW w:w="1621" w:type="dxa"/>
            <w:tcBorders>
              <w:top w:val="nil"/>
              <w:left w:val="single" w:sz="4" w:space="0" w:color="auto"/>
              <w:bottom w:val="nil"/>
              <w:right w:val="nil"/>
            </w:tcBorders>
            <w:shd w:val="clear" w:color="auto" w:fill="auto"/>
            <w:vAlign w:val="center"/>
            <w:hideMark/>
          </w:tcPr>
          <w:p w14:paraId="2A9B27A7" w14:textId="77777777" w:rsidR="003E2003" w:rsidRPr="001A75F9" w:rsidRDefault="003E2003" w:rsidP="003E2003">
            <w:pPr>
              <w:pStyle w:val="NoSpacing"/>
              <w:ind w:left="34"/>
              <w:rPr>
                <w:vertAlign w:val="superscript"/>
              </w:rPr>
            </w:pPr>
            <w:r w:rsidRPr="001A75F9">
              <w:t>PBT/vPvB</w:t>
            </w:r>
            <w:r w:rsidRPr="001A75F9">
              <w:rPr>
                <w:vertAlign w:val="superscript"/>
              </w:rPr>
              <w:t>a</w:t>
            </w:r>
          </w:p>
        </w:tc>
        <w:tc>
          <w:tcPr>
            <w:tcW w:w="1308" w:type="dxa"/>
            <w:tcBorders>
              <w:top w:val="nil"/>
              <w:left w:val="nil"/>
              <w:bottom w:val="nil"/>
              <w:right w:val="nil"/>
            </w:tcBorders>
            <w:shd w:val="clear" w:color="auto" w:fill="auto"/>
            <w:vAlign w:val="center"/>
            <w:hideMark/>
          </w:tcPr>
          <w:p w14:paraId="1D4D09F0" w14:textId="77777777" w:rsidR="003E2003" w:rsidRPr="001A75F9" w:rsidRDefault="003E2003" w:rsidP="003E2003">
            <w:pPr>
              <w:pStyle w:val="NoSpacing"/>
              <w:ind w:left="34"/>
              <w:rPr>
                <w:vertAlign w:val="superscript"/>
              </w:rPr>
            </w:pPr>
            <w:r w:rsidRPr="001A75F9">
              <w:t>PECgw</w:t>
            </w:r>
            <w:r w:rsidRPr="001A75F9">
              <w:rPr>
                <w:vertAlign w:val="superscript"/>
              </w:rPr>
              <w:t>b</w:t>
            </w:r>
          </w:p>
        </w:tc>
        <w:tc>
          <w:tcPr>
            <w:tcW w:w="1324" w:type="dxa"/>
            <w:tcBorders>
              <w:top w:val="nil"/>
              <w:left w:val="nil"/>
              <w:bottom w:val="nil"/>
              <w:right w:val="single" w:sz="4" w:space="0" w:color="auto"/>
            </w:tcBorders>
            <w:shd w:val="clear" w:color="auto" w:fill="auto"/>
            <w:vAlign w:val="center"/>
            <w:hideMark/>
          </w:tcPr>
          <w:p w14:paraId="2F82EE9E" w14:textId="77777777" w:rsidR="003E2003" w:rsidRPr="001A75F9" w:rsidRDefault="003E2003" w:rsidP="003E2003">
            <w:pPr>
              <w:pStyle w:val="NoSpacing"/>
              <w:ind w:left="34"/>
              <w:rPr>
                <w:vertAlign w:val="superscript"/>
              </w:rPr>
            </w:pPr>
            <w:r w:rsidRPr="001A75F9">
              <w:t>RQ</w:t>
            </w:r>
            <w:r w:rsidRPr="001A75F9">
              <w:rPr>
                <w:vertAlign w:val="superscript"/>
              </w:rPr>
              <w:t>c</w:t>
            </w:r>
          </w:p>
        </w:tc>
      </w:tr>
      <w:tr w:rsidR="003E2003" w:rsidRPr="001A75F9" w14:paraId="5CA05D51" w14:textId="77777777" w:rsidTr="007E0997">
        <w:trPr>
          <w:trHeight w:val="600"/>
        </w:trPr>
        <w:tc>
          <w:tcPr>
            <w:tcW w:w="1149" w:type="dxa"/>
            <w:tcBorders>
              <w:top w:val="single" w:sz="4" w:space="0" w:color="auto"/>
              <w:left w:val="single" w:sz="4" w:space="0" w:color="auto"/>
              <w:bottom w:val="single" w:sz="4" w:space="0" w:color="auto"/>
              <w:right w:val="nil"/>
            </w:tcBorders>
            <w:shd w:val="clear" w:color="000000" w:fill="9BBB59"/>
            <w:vAlign w:val="center"/>
            <w:hideMark/>
          </w:tcPr>
          <w:p w14:paraId="688F70E1" w14:textId="77777777" w:rsidR="003E2003" w:rsidRPr="001A75F9" w:rsidRDefault="003E2003" w:rsidP="003E2003">
            <w:pPr>
              <w:pStyle w:val="NoSpacing"/>
              <w:ind w:left="0"/>
            </w:pPr>
            <w:r w:rsidRPr="001A75F9">
              <w:t>Category 5</w:t>
            </w:r>
          </w:p>
        </w:tc>
        <w:tc>
          <w:tcPr>
            <w:tcW w:w="1560" w:type="dxa"/>
            <w:tcBorders>
              <w:top w:val="single" w:sz="4" w:space="0" w:color="auto"/>
              <w:left w:val="nil"/>
              <w:bottom w:val="single" w:sz="4" w:space="0" w:color="auto"/>
              <w:right w:val="nil"/>
            </w:tcBorders>
            <w:shd w:val="clear" w:color="000000" w:fill="9BBB59"/>
            <w:vAlign w:val="center"/>
            <w:hideMark/>
          </w:tcPr>
          <w:p w14:paraId="61EA5714" w14:textId="77777777" w:rsidR="003E2003" w:rsidRPr="001A75F9" w:rsidRDefault="003E2003" w:rsidP="003E2003">
            <w:pPr>
              <w:pStyle w:val="NoSpacing"/>
              <w:ind w:left="34"/>
            </w:pPr>
            <w:r w:rsidRPr="001A75F9">
              <w:t>Highly increased</w:t>
            </w:r>
          </w:p>
        </w:tc>
        <w:tc>
          <w:tcPr>
            <w:tcW w:w="2693" w:type="dxa"/>
            <w:gridSpan w:val="2"/>
            <w:tcBorders>
              <w:top w:val="single" w:sz="4" w:space="0" w:color="auto"/>
              <w:left w:val="single" w:sz="4" w:space="0" w:color="auto"/>
              <w:bottom w:val="single" w:sz="4" w:space="0" w:color="auto"/>
              <w:right w:val="nil"/>
            </w:tcBorders>
            <w:shd w:val="clear" w:color="000000" w:fill="9BBB59"/>
            <w:vAlign w:val="center"/>
            <w:hideMark/>
          </w:tcPr>
          <w:p w14:paraId="761B9751" w14:textId="77777777" w:rsidR="003E2003" w:rsidRPr="001A75F9" w:rsidRDefault="003E2003" w:rsidP="003E2003">
            <w:pPr>
              <w:pStyle w:val="NoSpacing"/>
              <w:ind w:left="34"/>
              <w:jc w:val="center"/>
            </w:pPr>
            <w:r w:rsidRPr="001A75F9">
              <w:t>Both higher</w:t>
            </w:r>
          </w:p>
        </w:tc>
        <w:tc>
          <w:tcPr>
            <w:tcW w:w="1134" w:type="dxa"/>
            <w:tcBorders>
              <w:top w:val="single" w:sz="4" w:space="0" w:color="auto"/>
              <w:left w:val="double" w:sz="6" w:space="0" w:color="auto"/>
              <w:bottom w:val="single" w:sz="4" w:space="0" w:color="auto"/>
              <w:right w:val="nil"/>
            </w:tcBorders>
            <w:shd w:val="clear" w:color="000000" w:fill="C0504D"/>
            <w:vAlign w:val="center"/>
            <w:hideMark/>
          </w:tcPr>
          <w:p w14:paraId="1B8904B3" w14:textId="77777777" w:rsidR="003E2003" w:rsidRPr="001A75F9" w:rsidRDefault="003E2003" w:rsidP="003E2003">
            <w:pPr>
              <w:pStyle w:val="NoSpacing"/>
              <w:ind w:left="34"/>
            </w:pPr>
            <w:r w:rsidRPr="001A75F9">
              <w:t>Category 5</w:t>
            </w:r>
          </w:p>
        </w:tc>
        <w:tc>
          <w:tcPr>
            <w:tcW w:w="1559" w:type="dxa"/>
            <w:tcBorders>
              <w:top w:val="single" w:sz="4" w:space="0" w:color="auto"/>
              <w:left w:val="nil"/>
              <w:bottom w:val="single" w:sz="4" w:space="0" w:color="auto"/>
              <w:right w:val="nil"/>
            </w:tcBorders>
            <w:shd w:val="clear" w:color="000000" w:fill="C0504D"/>
            <w:vAlign w:val="center"/>
            <w:hideMark/>
          </w:tcPr>
          <w:p w14:paraId="72860DAF" w14:textId="77777777" w:rsidR="003E2003" w:rsidRPr="001A75F9" w:rsidRDefault="003E2003" w:rsidP="003E2003">
            <w:pPr>
              <w:pStyle w:val="NoSpacing"/>
              <w:ind w:left="34"/>
            </w:pPr>
            <w:r w:rsidRPr="001A75F9">
              <w:t>Highly increased</w:t>
            </w:r>
          </w:p>
        </w:tc>
        <w:tc>
          <w:tcPr>
            <w:tcW w:w="4253" w:type="dxa"/>
            <w:gridSpan w:val="3"/>
            <w:tcBorders>
              <w:top w:val="single" w:sz="4" w:space="0" w:color="auto"/>
              <w:left w:val="single" w:sz="4" w:space="0" w:color="auto"/>
              <w:bottom w:val="single" w:sz="4" w:space="0" w:color="auto"/>
              <w:right w:val="single" w:sz="4" w:space="0" w:color="000000"/>
            </w:tcBorders>
            <w:shd w:val="clear" w:color="000000" w:fill="C0504D"/>
            <w:vAlign w:val="center"/>
            <w:hideMark/>
          </w:tcPr>
          <w:p w14:paraId="1BC7D76E" w14:textId="77777777" w:rsidR="003E2003" w:rsidRPr="001A75F9" w:rsidRDefault="003E2003" w:rsidP="003E2003">
            <w:pPr>
              <w:pStyle w:val="NoSpacing"/>
              <w:ind w:left="34"/>
            </w:pPr>
            <w:r w:rsidRPr="001A75F9">
              <w:t xml:space="preserve">≥2 criteria increased &amp; none decreased </w:t>
            </w:r>
          </w:p>
        </w:tc>
      </w:tr>
      <w:tr w:rsidR="003E2003" w:rsidRPr="001A75F9" w14:paraId="757D1136" w14:textId="77777777" w:rsidTr="007E0997">
        <w:trPr>
          <w:trHeight w:val="600"/>
        </w:trPr>
        <w:tc>
          <w:tcPr>
            <w:tcW w:w="1149" w:type="dxa"/>
            <w:tcBorders>
              <w:top w:val="nil"/>
              <w:left w:val="single" w:sz="4" w:space="0" w:color="auto"/>
              <w:bottom w:val="single" w:sz="4" w:space="0" w:color="auto"/>
              <w:right w:val="nil"/>
            </w:tcBorders>
            <w:shd w:val="clear" w:color="000000" w:fill="C4D79B"/>
            <w:vAlign w:val="center"/>
            <w:hideMark/>
          </w:tcPr>
          <w:p w14:paraId="0F28DBC6" w14:textId="77777777" w:rsidR="003E2003" w:rsidRPr="001A75F9" w:rsidRDefault="003E2003" w:rsidP="003E2003">
            <w:pPr>
              <w:pStyle w:val="NoSpacing"/>
              <w:ind w:left="0"/>
            </w:pPr>
            <w:r w:rsidRPr="001A75F9">
              <w:t>Category 4</w:t>
            </w:r>
          </w:p>
        </w:tc>
        <w:tc>
          <w:tcPr>
            <w:tcW w:w="1560" w:type="dxa"/>
            <w:tcBorders>
              <w:top w:val="nil"/>
              <w:left w:val="nil"/>
              <w:bottom w:val="single" w:sz="4" w:space="0" w:color="auto"/>
              <w:right w:val="nil"/>
            </w:tcBorders>
            <w:shd w:val="clear" w:color="000000" w:fill="C4D79B"/>
            <w:vAlign w:val="center"/>
            <w:hideMark/>
          </w:tcPr>
          <w:p w14:paraId="2D83EB43" w14:textId="77777777" w:rsidR="003E2003" w:rsidRPr="001A75F9" w:rsidRDefault="003E2003" w:rsidP="003E2003">
            <w:pPr>
              <w:pStyle w:val="NoSpacing"/>
              <w:ind w:left="34"/>
            </w:pPr>
            <w:r w:rsidRPr="001A75F9">
              <w:t>Increased</w:t>
            </w:r>
          </w:p>
        </w:tc>
        <w:tc>
          <w:tcPr>
            <w:tcW w:w="2693" w:type="dxa"/>
            <w:gridSpan w:val="2"/>
            <w:tcBorders>
              <w:top w:val="single" w:sz="4" w:space="0" w:color="auto"/>
              <w:left w:val="single" w:sz="4" w:space="0" w:color="auto"/>
              <w:bottom w:val="single" w:sz="4" w:space="0" w:color="auto"/>
              <w:right w:val="nil"/>
            </w:tcBorders>
            <w:shd w:val="clear" w:color="000000" w:fill="C4D79B"/>
            <w:vAlign w:val="center"/>
            <w:hideMark/>
          </w:tcPr>
          <w:p w14:paraId="38E522E3" w14:textId="77777777" w:rsidR="003E2003" w:rsidRPr="001A75F9" w:rsidRDefault="003E2003" w:rsidP="003E2003">
            <w:pPr>
              <w:pStyle w:val="NoSpacing"/>
              <w:ind w:left="34"/>
              <w:jc w:val="center"/>
            </w:pPr>
            <w:r w:rsidRPr="001A75F9">
              <w:t>1 higher</w:t>
            </w:r>
          </w:p>
        </w:tc>
        <w:tc>
          <w:tcPr>
            <w:tcW w:w="1134" w:type="dxa"/>
            <w:tcBorders>
              <w:top w:val="nil"/>
              <w:left w:val="double" w:sz="6" w:space="0" w:color="auto"/>
              <w:bottom w:val="single" w:sz="4" w:space="0" w:color="auto"/>
              <w:right w:val="nil"/>
            </w:tcBorders>
            <w:shd w:val="clear" w:color="000000" w:fill="DA9694"/>
            <w:vAlign w:val="center"/>
            <w:hideMark/>
          </w:tcPr>
          <w:p w14:paraId="4978251F" w14:textId="77777777" w:rsidR="003E2003" w:rsidRPr="001A75F9" w:rsidRDefault="003E2003" w:rsidP="003E2003">
            <w:pPr>
              <w:pStyle w:val="NoSpacing"/>
              <w:ind w:left="34"/>
            </w:pPr>
            <w:r w:rsidRPr="001A75F9">
              <w:t>Category 4</w:t>
            </w:r>
          </w:p>
        </w:tc>
        <w:tc>
          <w:tcPr>
            <w:tcW w:w="1559" w:type="dxa"/>
            <w:tcBorders>
              <w:top w:val="nil"/>
              <w:left w:val="nil"/>
              <w:bottom w:val="single" w:sz="4" w:space="0" w:color="auto"/>
              <w:right w:val="nil"/>
            </w:tcBorders>
            <w:shd w:val="clear" w:color="000000" w:fill="DA9694"/>
            <w:vAlign w:val="center"/>
            <w:hideMark/>
          </w:tcPr>
          <w:p w14:paraId="2134FB1E" w14:textId="77777777" w:rsidR="003E2003" w:rsidRPr="001A75F9" w:rsidRDefault="003E2003" w:rsidP="003E2003">
            <w:pPr>
              <w:pStyle w:val="NoSpacing"/>
              <w:ind w:left="34"/>
            </w:pPr>
            <w:r w:rsidRPr="001A75F9">
              <w:t>Increased</w:t>
            </w:r>
          </w:p>
        </w:tc>
        <w:tc>
          <w:tcPr>
            <w:tcW w:w="4253" w:type="dxa"/>
            <w:gridSpan w:val="3"/>
            <w:tcBorders>
              <w:top w:val="single" w:sz="4" w:space="0" w:color="auto"/>
              <w:left w:val="single" w:sz="4" w:space="0" w:color="auto"/>
              <w:bottom w:val="single" w:sz="4" w:space="0" w:color="auto"/>
              <w:right w:val="single" w:sz="4" w:space="0" w:color="000000"/>
            </w:tcBorders>
            <w:shd w:val="clear" w:color="000000" w:fill="DA9694"/>
            <w:vAlign w:val="center"/>
            <w:hideMark/>
          </w:tcPr>
          <w:p w14:paraId="0892741C" w14:textId="77777777" w:rsidR="003E2003" w:rsidRPr="001A75F9" w:rsidRDefault="003E2003" w:rsidP="003E2003">
            <w:pPr>
              <w:pStyle w:val="NoSpacing"/>
              <w:ind w:left="34"/>
            </w:pPr>
            <w:r w:rsidRPr="001A75F9">
              <w:t xml:space="preserve">2 criteria increased &amp; 1 decreased or </w:t>
            </w:r>
            <w:r w:rsidRPr="001A75F9">
              <w:br/>
              <w:t>1 criterion increased &amp; 2 without change</w:t>
            </w:r>
          </w:p>
        </w:tc>
      </w:tr>
      <w:tr w:rsidR="003E2003" w:rsidRPr="001A75F9" w14:paraId="61C1AE29" w14:textId="77777777" w:rsidTr="007E0997">
        <w:trPr>
          <w:trHeight w:val="600"/>
        </w:trPr>
        <w:tc>
          <w:tcPr>
            <w:tcW w:w="1149" w:type="dxa"/>
            <w:tcBorders>
              <w:top w:val="nil"/>
              <w:left w:val="single" w:sz="4" w:space="0" w:color="auto"/>
              <w:bottom w:val="single" w:sz="4" w:space="0" w:color="auto"/>
              <w:right w:val="nil"/>
            </w:tcBorders>
            <w:shd w:val="clear" w:color="auto" w:fill="auto"/>
            <w:vAlign w:val="center"/>
            <w:hideMark/>
          </w:tcPr>
          <w:p w14:paraId="5A0A49EA" w14:textId="77777777" w:rsidR="003E2003" w:rsidRPr="001A75F9" w:rsidRDefault="003E2003" w:rsidP="003E2003">
            <w:pPr>
              <w:pStyle w:val="NoSpacing"/>
              <w:ind w:left="0"/>
            </w:pPr>
            <w:r w:rsidRPr="001A75F9">
              <w:t>Category 3</w:t>
            </w:r>
          </w:p>
        </w:tc>
        <w:tc>
          <w:tcPr>
            <w:tcW w:w="1560" w:type="dxa"/>
            <w:tcBorders>
              <w:top w:val="nil"/>
              <w:left w:val="nil"/>
              <w:bottom w:val="single" w:sz="4" w:space="0" w:color="auto"/>
              <w:right w:val="nil"/>
            </w:tcBorders>
            <w:shd w:val="clear" w:color="auto" w:fill="auto"/>
            <w:vAlign w:val="center"/>
            <w:hideMark/>
          </w:tcPr>
          <w:p w14:paraId="57C2753E" w14:textId="77777777" w:rsidR="003E2003" w:rsidRPr="001A75F9" w:rsidRDefault="003E2003" w:rsidP="003E2003">
            <w:pPr>
              <w:pStyle w:val="NoSpacing"/>
              <w:ind w:left="34"/>
            </w:pPr>
            <w:r w:rsidRPr="001A75F9">
              <w:t>No Change</w:t>
            </w:r>
          </w:p>
        </w:tc>
        <w:tc>
          <w:tcPr>
            <w:tcW w:w="2693" w:type="dxa"/>
            <w:gridSpan w:val="2"/>
            <w:tcBorders>
              <w:top w:val="single" w:sz="4" w:space="0" w:color="auto"/>
              <w:left w:val="single" w:sz="4" w:space="0" w:color="auto"/>
              <w:bottom w:val="single" w:sz="4" w:space="0" w:color="auto"/>
              <w:right w:val="nil"/>
            </w:tcBorders>
            <w:shd w:val="clear" w:color="auto" w:fill="auto"/>
            <w:vAlign w:val="center"/>
            <w:hideMark/>
          </w:tcPr>
          <w:p w14:paraId="5A18A031" w14:textId="77777777" w:rsidR="003E2003" w:rsidRPr="001A75F9" w:rsidRDefault="003E2003" w:rsidP="003E2003">
            <w:pPr>
              <w:pStyle w:val="NoSpacing"/>
              <w:ind w:left="34"/>
              <w:jc w:val="center"/>
            </w:pPr>
            <w:r w:rsidRPr="001A75F9">
              <w:t>No difference</w:t>
            </w:r>
          </w:p>
        </w:tc>
        <w:tc>
          <w:tcPr>
            <w:tcW w:w="1134" w:type="dxa"/>
            <w:tcBorders>
              <w:top w:val="nil"/>
              <w:left w:val="double" w:sz="6" w:space="0" w:color="auto"/>
              <w:bottom w:val="single" w:sz="4" w:space="0" w:color="auto"/>
              <w:right w:val="nil"/>
            </w:tcBorders>
            <w:shd w:val="clear" w:color="000000" w:fill="FFFFFF"/>
            <w:vAlign w:val="center"/>
            <w:hideMark/>
          </w:tcPr>
          <w:p w14:paraId="7DC65B61" w14:textId="77777777" w:rsidR="003E2003" w:rsidRPr="001A75F9" w:rsidRDefault="003E2003" w:rsidP="003E2003">
            <w:pPr>
              <w:pStyle w:val="NoSpacing"/>
              <w:ind w:left="34"/>
            </w:pPr>
            <w:r w:rsidRPr="001A75F9">
              <w:t>Category 3</w:t>
            </w:r>
          </w:p>
        </w:tc>
        <w:tc>
          <w:tcPr>
            <w:tcW w:w="1559" w:type="dxa"/>
            <w:tcBorders>
              <w:top w:val="nil"/>
              <w:left w:val="nil"/>
              <w:bottom w:val="single" w:sz="4" w:space="0" w:color="auto"/>
              <w:right w:val="nil"/>
            </w:tcBorders>
            <w:shd w:val="clear" w:color="000000" w:fill="FFFFFF"/>
            <w:vAlign w:val="center"/>
            <w:hideMark/>
          </w:tcPr>
          <w:p w14:paraId="3DAC8170" w14:textId="77777777" w:rsidR="003E2003" w:rsidRPr="001A75F9" w:rsidRDefault="003E2003" w:rsidP="003E2003">
            <w:pPr>
              <w:pStyle w:val="NoSpacing"/>
              <w:ind w:left="34"/>
            </w:pPr>
            <w:r w:rsidRPr="001A75F9">
              <w:t>No Change</w:t>
            </w:r>
          </w:p>
        </w:tc>
        <w:tc>
          <w:tcPr>
            <w:tcW w:w="425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EE806E" w14:textId="77777777" w:rsidR="003E2003" w:rsidRPr="001A75F9" w:rsidRDefault="003E2003" w:rsidP="003E2003">
            <w:pPr>
              <w:pStyle w:val="NoSpacing"/>
              <w:ind w:left="34"/>
            </w:pPr>
            <w:r w:rsidRPr="001A75F9">
              <w:t xml:space="preserve">No substantial in any criteria or </w:t>
            </w:r>
            <w:r w:rsidRPr="001A75F9">
              <w:br/>
              <w:t xml:space="preserve">1 criterion increased &amp; 1 decreased  </w:t>
            </w:r>
          </w:p>
        </w:tc>
      </w:tr>
      <w:tr w:rsidR="003E2003" w:rsidRPr="001A75F9" w14:paraId="4FECA5E6" w14:textId="77777777" w:rsidTr="007E0997">
        <w:trPr>
          <w:trHeight w:val="600"/>
        </w:trPr>
        <w:tc>
          <w:tcPr>
            <w:tcW w:w="1149" w:type="dxa"/>
            <w:tcBorders>
              <w:top w:val="nil"/>
              <w:left w:val="single" w:sz="4" w:space="0" w:color="auto"/>
              <w:bottom w:val="single" w:sz="4" w:space="0" w:color="auto"/>
              <w:right w:val="nil"/>
            </w:tcBorders>
            <w:shd w:val="clear" w:color="000000" w:fill="DA9694"/>
            <w:vAlign w:val="center"/>
            <w:hideMark/>
          </w:tcPr>
          <w:p w14:paraId="5E434F8E" w14:textId="77777777" w:rsidR="003E2003" w:rsidRPr="001A75F9" w:rsidRDefault="003E2003" w:rsidP="003E2003">
            <w:pPr>
              <w:pStyle w:val="NoSpacing"/>
              <w:ind w:left="0"/>
            </w:pPr>
            <w:r w:rsidRPr="001A75F9">
              <w:t>Category 2</w:t>
            </w:r>
          </w:p>
        </w:tc>
        <w:tc>
          <w:tcPr>
            <w:tcW w:w="1560" w:type="dxa"/>
            <w:tcBorders>
              <w:top w:val="nil"/>
              <w:left w:val="nil"/>
              <w:bottom w:val="single" w:sz="4" w:space="0" w:color="auto"/>
              <w:right w:val="nil"/>
            </w:tcBorders>
            <w:shd w:val="clear" w:color="000000" w:fill="DA9694"/>
            <w:vAlign w:val="center"/>
            <w:hideMark/>
          </w:tcPr>
          <w:p w14:paraId="574FF3AB" w14:textId="77777777" w:rsidR="003E2003" w:rsidRPr="001A75F9" w:rsidRDefault="003E2003" w:rsidP="003E2003">
            <w:pPr>
              <w:pStyle w:val="NoSpacing"/>
              <w:ind w:left="34"/>
            </w:pPr>
            <w:r w:rsidRPr="001A75F9">
              <w:t>Reduced</w:t>
            </w:r>
          </w:p>
        </w:tc>
        <w:tc>
          <w:tcPr>
            <w:tcW w:w="2693" w:type="dxa"/>
            <w:gridSpan w:val="2"/>
            <w:tcBorders>
              <w:top w:val="single" w:sz="4" w:space="0" w:color="auto"/>
              <w:left w:val="single" w:sz="4" w:space="0" w:color="auto"/>
              <w:bottom w:val="single" w:sz="4" w:space="0" w:color="auto"/>
              <w:right w:val="nil"/>
            </w:tcBorders>
            <w:shd w:val="clear" w:color="000000" w:fill="DA9694"/>
            <w:vAlign w:val="center"/>
            <w:hideMark/>
          </w:tcPr>
          <w:p w14:paraId="3143D558" w14:textId="77777777" w:rsidR="003E2003" w:rsidRPr="001A75F9" w:rsidRDefault="003E2003" w:rsidP="003E2003">
            <w:pPr>
              <w:pStyle w:val="NoSpacing"/>
              <w:ind w:left="34"/>
              <w:jc w:val="center"/>
            </w:pPr>
            <w:r w:rsidRPr="001A75F9">
              <w:t>1 lower</w:t>
            </w:r>
          </w:p>
        </w:tc>
        <w:tc>
          <w:tcPr>
            <w:tcW w:w="1134" w:type="dxa"/>
            <w:tcBorders>
              <w:top w:val="nil"/>
              <w:left w:val="double" w:sz="6" w:space="0" w:color="auto"/>
              <w:bottom w:val="single" w:sz="4" w:space="0" w:color="auto"/>
              <w:right w:val="nil"/>
            </w:tcBorders>
            <w:shd w:val="clear" w:color="000000" w:fill="C4D79B"/>
            <w:vAlign w:val="center"/>
            <w:hideMark/>
          </w:tcPr>
          <w:p w14:paraId="125C4BDE" w14:textId="77777777" w:rsidR="003E2003" w:rsidRPr="001A75F9" w:rsidRDefault="003E2003" w:rsidP="003E2003">
            <w:pPr>
              <w:pStyle w:val="NoSpacing"/>
              <w:ind w:left="34"/>
            </w:pPr>
            <w:r w:rsidRPr="001A75F9">
              <w:t>Category 2</w:t>
            </w:r>
          </w:p>
        </w:tc>
        <w:tc>
          <w:tcPr>
            <w:tcW w:w="1559" w:type="dxa"/>
            <w:tcBorders>
              <w:top w:val="nil"/>
              <w:left w:val="nil"/>
              <w:bottom w:val="single" w:sz="4" w:space="0" w:color="auto"/>
              <w:right w:val="nil"/>
            </w:tcBorders>
            <w:shd w:val="clear" w:color="000000" w:fill="C4D79B"/>
            <w:vAlign w:val="center"/>
            <w:hideMark/>
          </w:tcPr>
          <w:p w14:paraId="79D72E48" w14:textId="77777777" w:rsidR="003E2003" w:rsidRPr="001A75F9" w:rsidRDefault="003E2003" w:rsidP="003E2003">
            <w:pPr>
              <w:pStyle w:val="NoSpacing"/>
              <w:ind w:left="34"/>
            </w:pPr>
            <w:r w:rsidRPr="001A75F9">
              <w:t>Reduced</w:t>
            </w:r>
          </w:p>
        </w:tc>
        <w:tc>
          <w:tcPr>
            <w:tcW w:w="4253" w:type="dxa"/>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14:paraId="4F17678F" w14:textId="77777777" w:rsidR="003E2003" w:rsidRPr="001A75F9" w:rsidRDefault="003E2003" w:rsidP="003E2003">
            <w:pPr>
              <w:pStyle w:val="NoSpacing"/>
              <w:ind w:left="34"/>
            </w:pPr>
            <w:r w:rsidRPr="001A75F9">
              <w:t xml:space="preserve">2 criteria decreased &amp; 1 increased or </w:t>
            </w:r>
            <w:r w:rsidRPr="001A75F9">
              <w:br/>
              <w:t xml:space="preserve">1 criterion decreased &amp; 2 without change </w:t>
            </w:r>
          </w:p>
        </w:tc>
      </w:tr>
      <w:tr w:rsidR="003E2003" w:rsidRPr="001A75F9" w14:paraId="32456918" w14:textId="77777777" w:rsidTr="007E0997">
        <w:trPr>
          <w:trHeight w:val="600"/>
        </w:trPr>
        <w:tc>
          <w:tcPr>
            <w:tcW w:w="1149" w:type="dxa"/>
            <w:tcBorders>
              <w:top w:val="nil"/>
              <w:left w:val="single" w:sz="4" w:space="0" w:color="auto"/>
              <w:bottom w:val="single" w:sz="4" w:space="0" w:color="auto"/>
              <w:right w:val="nil"/>
            </w:tcBorders>
            <w:shd w:val="clear" w:color="000000" w:fill="C0504D"/>
            <w:vAlign w:val="center"/>
            <w:hideMark/>
          </w:tcPr>
          <w:p w14:paraId="44A5574C" w14:textId="77777777" w:rsidR="003E2003" w:rsidRPr="001A75F9" w:rsidRDefault="003E2003" w:rsidP="003E2003">
            <w:pPr>
              <w:pStyle w:val="NoSpacing"/>
              <w:ind w:left="0"/>
            </w:pPr>
            <w:r w:rsidRPr="001A75F9">
              <w:t xml:space="preserve">Category 1 </w:t>
            </w:r>
          </w:p>
        </w:tc>
        <w:tc>
          <w:tcPr>
            <w:tcW w:w="1560" w:type="dxa"/>
            <w:tcBorders>
              <w:top w:val="nil"/>
              <w:left w:val="nil"/>
              <w:bottom w:val="single" w:sz="4" w:space="0" w:color="auto"/>
              <w:right w:val="nil"/>
            </w:tcBorders>
            <w:shd w:val="clear" w:color="000000" w:fill="C0504D"/>
            <w:vAlign w:val="center"/>
            <w:hideMark/>
          </w:tcPr>
          <w:p w14:paraId="1612EA49" w14:textId="77777777" w:rsidR="003E2003" w:rsidRPr="001A75F9" w:rsidRDefault="003E2003" w:rsidP="003E2003">
            <w:pPr>
              <w:pStyle w:val="NoSpacing"/>
              <w:ind w:left="34"/>
            </w:pPr>
            <w:r w:rsidRPr="001A75F9">
              <w:t>Highly reduced</w:t>
            </w:r>
          </w:p>
        </w:tc>
        <w:tc>
          <w:tcPr>
            <w:tcW w:w="2693" w:type="dxa"/>
            <w:gridSpan w:val="2"/>
            <w:tcBorders>
              <w:top w:val="single" w:sz="4" w:space="0" w:color="auto"/>
              <w:left w:val="single" w:sz="4" w:space="0" w:color="auto"/>
              <w:bottom w:val="single" w:sz="4" w:space="0" w:color="auto"/>
              <w:right w:val="nil"/>
            </w:tcBorders>
            <w:shd w:val="clear" w:color="000000" w:fill="C0504D"/>
            <w:vAlign w:val="center"/>
            <w:hideMark/>
          </w:tcPr>
          <w:p w14:paraId="6EB2A6AB" w14:textId="77777777" w:rsidR="003E2003" w:rsidRPr="001A75F9" w:rsidRDefault="003E2003" w:rsidP="003E2003">
            <w:pPr>
              <w:pStyle w:val="NoSpacing"/>
              <w:ind w:left="34"/>
              <w:jc w:val="center"/>
            </w:pPr>
            <w:r w:rsidRPr="001A75F9">
              <w:t>Both lower</w:t>
            </w:r>
          </w:p>
        </w:tc>
        <w:tc>
          <w:tcPr>
            <w:tcW w:w="1134" w:type="dxa"/>
            <w:tcBorders>
              <w:top w:val="nil"/>
              <w:left w:val="double" w:sz="6" w:space="0" w:color="auto"/>
              <w:bottom w:val="single" w:sz="4" w:space="0" w:color="auto"/>
              <w:right w:val="nil"/>
            </w:tcBorders>
            <w:shd w:val="clear" w:color="000000" w:fill="9BBB59"/>
            <w:vAlign w:val="center"/>
            <w:hideMark/>
          </w:tcPr>
          <w:p w14:paraId="56B0D825" w14:textId="77777777" w:rsidR="003E2003" w:rsidRPr="001A75F9" w:rsidRDefault="003E2003" w:rsidP="003E2003">
            <w:pPr>
              <w:pStyle w:val="NoSpacing"/>
              <w:ind w:left="34"/>
            </w:pPr>
            <w:r w:rsidRPr="001A75F9">
              <w:t xml:space="preserve">Category 1 </w:t>
            </w:r>
          </w:p>
        </w:tc>
        <w:tc>
          <w:tcPr>
            <w:tcW w:w="1559" w:type="dxa"/>
            <w:tcBorders>
              <w:top w:val="nil"/>
              <w:left w:val="nil"/>
              <w:bottom w:val="single" w:sz="4" w:space="0" w:color="auto"/>
              <w:right w:val="nil"/>
            </w:tcBorders>
            <w:shd w:val="clear" w:color="000000" w:fill="9BBB59"/>
            <w:vAlign w:val="center"/>
            <w:hideMark/>
          </w:tcPr>
          <w:p w14:paraId="5960DE2E" w14:textId="77777777" w:rsidR="003E2003" w:rsidRPr="001A75F9" w:rsidRDefault="003E2003" w:rsidP="003E2003">
            <w:pPr>
              <w:pStyle w:val="NoSpacing"/>
              <w:ind w:left="34"/>
            </w:pPr>
            <w:r w:rsidRPr="001A75F9">
              <w:t>Highly reduced</w:t>
            </w:r>
          </w:p>
        </w:tc>
        <w:tc>
          <w:tcPr>
            <w:tcW w:w="4253"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14:paraId="74386346" w14:textId="77777777" w:rsidR="003E2003" w:rsidRPr="001A75F9" w:rsidRDefault="003E2003" w:rsidP="003E2003">
            <w:pPr>
              <w:pStyle w:val="NoSpacing"/>
              <w:ind w:left="34"/>
            </w:pPr>
            <w:r w:rsidRPr="001A75F9">
              <w:t>≥2 criteria decreased &amp; none increased</w:t>
            </w:r>
          </w:p>
        </w:tc>
      </w:tr>
    </w:tbl>
    <w:p w14:paraId="44D13EFB" w14:textId="77777777" w:rsidR="003E2003" w:rsidRPr="001A75F9" w:rsidRDefault="003E2003" w:rsidP="003E2003">
      <w:pPr>
        <w:ind w:left="0" w:firstLine="0"/>
        <w:rPr>
          <w:b/>
        </w:rPr>
        <w:sectPr w:rsidR="003E2003" w:rsidRPr="001A75F9" w:rsidSect="00E10DDD">
          <w:pgSz w:w="15840" w:h="12240" w:orient="landscape"/>
          <w:pgMar w:top="1800" w:right="1440" w:bottom="1800" w:left="1440" w:header="708" w:footer="708" w:gutter="0"/>
          <w:lnNumType w:countBy="1" w:restart="continuous"/>
          <w:cols w:space="708"/>
          <w:docGrid w:linePitch="360"/>
        </w:sectPr>
      </w:pPr>
    </w:p>
    <w:p w14:paraId="153C1555" w14:textId="2035A395" w:rsidR="003E4973" w:rsidRPr="001A75F9" w:rsidRDefault="00F0392D" w:rsidP="007935F5">
      <w:r w:rsidRPr="001A75F9">
        <w:rPr>
          <w:b/>
        </w:rPr>
        <w:t>4.</w:t>
      </w:r>
      <w:r w:rsidRPr="001A75F9">
        <w:tab/>
      </w:r>
      <w:r w:rsidR="003E4973" w:rsidRPr="001A75F9">
        <w:rPr>
          <w:b/>
        </w:rPr>
        <w:t>Selection of criteria</w:t>
      </w:r>
    </w:p>
    <w:p w14:paraId="686F8FF3" w14:textId="47420636" w:rsidR="00F0392D" w:rsidRPr="001A75F9" w:rsidRDefault="002E3819" w:rsidP="00750352">
      <w:r w:rsidRPr="001A75F9">
        <w:t xml:space="preserve">The </w:t>
      </w:r>
      <w:r w:rsidR="00F0392D" w:rsidRPr="001A75F9">
        <w:t xml:space="preserve">three </w:t>
      </w:r>
      <w:r w:rsidR="0018543C" w:rsidRPr="001A75F9">
        <w:t>benefit-risk methodologies</w:t>
      </w:r>
      <w:r w:rsidRPr="001A75F9">
        <w:t xml:space="preserve"> presented all </w:t>
      </w:r>
      <w:r w:rsidR="00F0392D" w:rsidRPr="001A75F9">
        <w:t>require</w:t>
      </w:r>
      <w:r w:rsidRPr="001A75F9">
        <w:t xml:space="preserve"> </w:t>
      </w:r>
      <w:r w:rsidR="002A1F46" w:rsidRPr="001A75F9">
        <w:t>efficacy data a</w:t>
      </w:r>
      <w:r w:rsidR="00F0392D" w:rsidRPr="001A75F9">
        <w:t>nd</w:t>
      </w:r>
      <w:r w:rsidR="002A1F46" w:rsidRPr="001A75F9">
        <w:t xml:space="preserve"> criteria for benefits</w:t>
      </w:r>
      <w:r w:rsidRPr="001A75F9">
        <w:t>.</w:t>
      </w:r>
      <w:r w:rsidR="00ED7A0A" w:rsidRPr="001A75F9">
        <w:t xml:space="preserve"> </w:t>
      </w:r>
      <w:r w:rsidR="002A1F46" w:rsidRPr="001A75F9">
        <w:t xml:space="preserve">The list of benefits from VMP use is extensive </w:t>
      </w:r>
      <w:r w:rsidR="00F0392D" w:rsidRPr="001A75F9">
        <w:t>(</w:t>
      </w:r>
      <w:r w:rsidR="002A1F46" w:rsidRPr="001A75F9">
        <w:t>EMA 2009)</w:t>
      </w:r>
      <w:r w:rsidR="00F0392D" w:rsidRPr="001A75F9">
        <w:t>;</w:t>
      </w:r>
      <w:r w:rsidR="002A1F46" w:rsidRPr="001A75F9">
        <w:t xml:space="preserve"> only a subset is presented in Figure 1.</w:t>
      </w:r>
    </w:p>
    <w:p w14:paraId="1A7BAA2C" w14:textId="4115BE80" w:rsidR="003E4973" w:rsidRPr="001A75F9" w:rsidRDefault="003A1E13" w:rsidP="00750352">
      <w:r w:rsidRPr="001A75F9">
        <w:t>Ensuring that the benefit-risk assessment adequately</w:t>
      </w:r>
      <w:r w:rsidR="005D5CCB" w:rsidRPr="001A75F9">
        <w:t xml:space="preserve"> represents</w:t>
      </w:r>
      <w:r w:rsidRPr="001A75F9">
        <w:t xml:space="preserve"> the benefits can be done through the selection of benefit criteria. </w:t>
      </w:r>
      <w:r w:rsidR="002843D1" w:rsidRPr="001A75F9">
        <w:t>For example, a</w:t>
      </w:r>
      <w:r w:rsidR="009C6D2F" w:rsidRPr="001A75F9">
        <w:t xml:space="preserve">n increase in available products is beneficial </w:t>
      </w:r>
      <w:r w:rsidR="00380278" w:rsidRPr="001A75F9">
        <w:t>to contribute to the fight against</w:t>
      </w:r>
      <w:r w:rsidR="009C6D2F" w:rsidRPr="001A75F9">
        <w:t xml:space="preserve"> resistance</w:t>
      </w:r>
      <w:r w:rsidR="002843D1" w:rsidRPr="001A75F9">
        <w:t xml:space="preserve"> (Table</w:t>
      </w:r>
      <w:r w:rsidR="007E3BAF" w:rsidRPr="001A75F9">
        <w:t>s</w:t>
      </w:r>
      <w:r w:rsidR="002843D1" w:rsidRPr="001A75F9">
        <w:t xml:space="preserve"> 1-3)</w:t>
      </w:r>
      <w:r w:rsidR="009C6D2F" w:rsidRPr="001A75F9">
        <w:t xml:space="preserve">. </w:t>
      </w:r>
      <w:r w:rsidR="00380278" w:rsidRPr="001A75F9">
        <w:t>Additionally, a</w:t>
      </w:r>
      <w:r w:rsidR="00BD7506" w:rsidRPr="001A75F9">
        <w:t>nimal welfare could be considered in the benefits by measuring the severity of disease</w:t>
      </w:r>
      <w:r w:rsidR="00F0392D" w:rsidRPr="001A75F9">
        <w:t>s that are prevented</w:t>
      </w:r>
      <w:r w:rsidR="009B558F" w:rsidRPr="001A75F9">
        <w:t xml:space="preserve"> </w:t>
      </w:r>
      <w:r w:rsidR="007E3BAF" w:rsidRPr="001A75F9">
        <w:t>(Tables 1, 2)</w:t>
      </w:r>
      <w:r w:rsidR="00B2313B" w:rsidRPr="001A75F9">
        <w:t xml:space="preserve">. </w:t>
      </w:r>
      <w:r w:rsidR="009B558F" w:rsidRPr="001A75F9">
        <w:t xml:space="preserve">Finally, the number of animals </w:t>
      </w:r>
      <w:r w:rsidR="005923B1" w:rsidRPr="001A75F9">
        <w:t>a</w:t>
      </w:r>
      <w:r w:rsidR="009B558F" w:rsidRPr="001A75F9">
        <w:t xml:space="preserve">ffected could be measured </w:t>
      </w:r>
      <w:r w:rsidR="00F0392D" w:rsidRPr="001A75F9">
        <w:t>and used for weighting purposes</w:t>
      </w:r>
      <w:r w:rsidR="009B558F" w:rsidRPr="001A75F9">
        <w:t xml:space="preserve">. </w:t>
      </w:r>
      <w:r w:rsidR="00F75D8F" w:rsidRPr="001A75F9">
        <w:t>The focus of this paper is to present methodologies for the comparisons of VMP benefits and environmental risk. The use of example criteria support</w:t>
      </w:r>
      <w:r w:rsidR="0041430B" w:rsidRPr="001A75F9">
        <w:t>s</w:t>
      </w:r>
      <w:r w:rsidR="00F75D8F" w:rsidRPr="001A75F9">
        <w:t xml:space="preserve"> the presentation of developed methodologies. Discussion with regulators and veterinarians could identify benefits criteria.</w:t>
      </w:r>
      <w:r w:rsidR="00B2313B" w:rsidRPr="001A75F9">
        <w:t xml:space="preserve"> </w:t>
      </w:r>
    </w:p>
    <w:p w14:paraId="73DB939A" w14:textId="08EB3748" w:rsidR="00701BDD" w:rsidRPr="001A75F9" w:rsidRDefault="00366610" w:rsidP="00D9054B">
      <w:r w:rsidRPr="001A75F9">
        <w:t>All th</w:t>
      </w:r>
      <w:r w:rsidR="00F0392D" w:rsidRPr="001A75F9">
        <w:t>ree</w:t>
      </w:r>
      <w:r w:rsidRPr="001A75F9">
        <w:t xml:space="preserve"> methods</w:t>
      </w:r>
      <w:r w:rsidR="00F0392D" w:rsidRPr="001A75F9">
        <w:t xml:space="preserve"> </w:t>
      </w:r>
      <w:r w:rsidR="00502A72" w:rsidRPr="001A75F9">
        <w:t xml:space="preserve">utilize </w:t>
      </w:r>
      <w:r w:rsidRPr="001A75F9">
        <w:t xml:space="preserve">currently required data </w:t>
      </w:r>
      <w:r w:rsidR="0068034D" w:rsidRPr="001A75F9">
        <w:t xml:space="preserve">for environmental risk </w:t>
      </w:r>
      <w:r w:rsidRPr="001A75F9">
        <w:t>(i.e., PBT/vPvB, PECgw, RQ)</w:t>
      </w:r>
      <w:r w:rsidR="009E6E00" w:rsidRPr="001A75F9">
        <w:t xml:space="preserve">. </w:t>
      </w:r>
      <w:r w:rsidR="00F0392D" w:rsidRPr="001A75F9">
        <w:t>A</w:t>
      </w:r>
      <w:r w:rsidR="009E6E00" w:rsidRPr="001A75F9">
        <w:t xml:space="preserve">dditional criteria for spatial and temporal risk are included in the summative approach (Table 1). </w:t>
      </w:r>
      <w:r w:rsidR="00DA4EBA" w:rsidRPr="001A75F9">
        <w:t xml:space="preserve">To some extent, </w:t>
      </w:r>
      <w:r w:rsidR="007A57F9" w:rsidRPr="001A75F9">
        <w:t>spatial risk</w:t>
      </w:r>
      <w:r w:rsidR="00DA4EBA" w:rsidRPr="001A75F9">
        <w:t xml:space="preserve"> is already</w:t>
      </w:r>
      <w:r w:rsidR="005F6111" w:rsidRPr="001A75F9">
        <w:t xml:space="preserve"> considered</w:t>
      </w:r>
      <w:r w:rsidR="00DA4EBA" w:rsidRPr="001A75F9">
        <w:t xml:space="preserve">. </w:t>
      </w:r>
      <w:r w:rsidR="005F6111" w:rsidRPr="001A75F9">
        <w:t>In</w:t>
      </w:r>
      <w:r w:rsidR="00DA4EBA" w:rsidRPr="001A75F9">
        <w:t xml:space="preserve"> the authorization process</w:t>
      </w:r>
      <w:r w:rsidR="00F0392D" w:rsidRPr="001A75F9">
        <w:t>,</w:t>
      </w:r>
      <w:r w:rsidR="00DA4EBA" w:rsidRPr="001A75F9">
        <w:t xml:space="preserve"> minor use products are considered those for which the disease occurs infrequently or in a specific geographical area (EMA 2016). A limited market authorization considers a product that will be used infrequently (EMA 2016). </w:t>
      </w:r>
      <w:r w:rsidR="00F0392D" w:rsidRPr="001A75F9">
        <w:t>However, additional adjustment of environmental risk criteria may also be desirable</w:t>
      </w:r>
      <w:r w:rsidR="00A87312" w:rsidRPr="001A75F9">
        <w:t>, as discussed below</w:t>
      </w:r>
      <w:r w:rsidR="00F0392D" w:rsidRPr="001A75F9">
        <w:t>.</w:t>
      </w:r>
    </w:p>
    <w:p w14:paraId="449ACA4D" w14:textId="6750BC00" w:rsidR="000A1D12" w:rsidRPr="001A75F9" w:rsidRDefault="00F0392D" w:rsidP="007935F5">
      <w:r w:rsidRPr="001A75F9">
        <w:rPr>
          <w:b/>
        </w:rPr>
        <w:t>5.</w:t>
      </w:r>
      <w:r w:rsidRPr="001A75F9">
        <w:rPr>
          <w:b/>
        </w:rPr>
        <w:tab/>
      </w:r>
      <w:r w:rsidR="000A1D12" w:rsidRPr="001A75F9">
        <w:rPr>
          <w:b/>
        </w:rPr>
        <w:t>Setting benefit and risk levels</w:t>
      </w:r>
    </w:p>
    <w:p w14:paraId="6C08925F" w14:textId="30F698D0" w:rsidR="000A1D12" w:rsidRPr="001A75F9" w:rsidRDefault="000A1D12" w:rsidP="000A1D12">
      <w:r w:rsidRPr="001A75F9">
        <w:t xml:space="preserve">Balancing the benefits and the risks with any of the </w:t>
      </w:r>
      <w:r w:rsidR="00A87312" w:rsidRPr="001A75F9">
        <w:t>three methods</w:t>
      </w:r>
      <w:r w:rsidRPr="001A75F9">
        <w:t xml:space="preserve"> will require carefully selected thresholds for categories. The current concepts use only illustrative thresholds</w:t>
      </w:r>
      <w:r w:rsidR="00F0392D" w:rsidRPr="001A75F9">
        <w:t>;</w:t>
      </w:r>
      <w:r w:rsidRPr="001A75F9">
        <w:t xml:space="preserve"> setting thresholds extends to the judgement side of the risk assessment. </w:t>
      </w:r>
      <w:r w:rsidR="00BF4837" w:rsidRPr="001A75F9">
        <w:t xml:space="preserve">To empathize this we have not specified thresholds where possible (e.g. benefits criteria in the summative categorization). </w:t>
      </w:r>
      <w:r w:rsidRPr="001A75F9">
        <w:t>Setting appropriate risk levels is vital; implementing any of the proposed methods will require a shift from a single level for risk to multiple levels. This can be accomplished through combinations of exceedance (e.g., summative classification method; Table 1). Alternatively, increasing thresholds could be applied (e.g.</w:t>
      </w:r>
      <w:r w:rsidR="00F0392D" w:rsidRPr="001A75F9">
        <w:t>,</w:t>
      </w:r>
      <w:r w:rsidRPr="001A75F9">
        <w:t xml:space="preserve"> visual scoring matrix; Table 2). In the case of the comparative method, thresholds for a significant change must be selected carefully</w:t>
      </w:r>
      <w:r w:rsidR="00A87312" w:rsidRPr="001A75F9">
        <w:t xml:space="preserve"> to</w:t>
      </w:r>
      <w:r w:rsidRPr="001A75F9">
        <w:t xml:space="preserve"> emphasize meaningful changes. </w:t>
      </w:r>
    </w:p>
    <w:p w14:paraId="7AC076CF" w14:textId="58F960E0" w:rsidR="000A1D12" w:rsidRPr="001A75F9" w:rsidRDefault="000A1D12" w:rsidP="003E4973">
      <w:r w:rsidRPr="001A75F9">
        <w:t xml:space="preserve">For all </w:t>
      </w:r>
      <w:r w:rsidR="00F0392D" w:rsidRPr="001A75F9">
        <w:t xml:space="preserve">three </w:t>
      </w:r>
      <w:r w:rsidRPr="001A75F9">
        <w:t>methods, certain cases will need careful consideration. The case where benefit and risk levels are equal will require judgement by decision-makers. Another important case will be risks in the highest level (i.e., level 5: Tables 1 and 3; or VH: Table 2). The highest risk level could be specified as a cut-off point that could not be set aside by any level of benefit. However, if benefits are also at the highest level</w:t>
      </w:r>
      <w:r w:rsidR="00F0392D" w:rsidRPr="001A75F9">
        <w:t>,</w:t>
      </w:r>
      <w:r w:rsidRPr="001A75F9">
        <w:t xml:space="preserve"> more flexibility may be </w:t>
      </w:r>
      <w:r w:rsidR="00A87312" w:rsidRPr="001A75F9">
        <w:t>necessary</w:t>
      </w:r>
      <w:r w:rsidRPr="001A75F9">
        <w:t xml:space="preserve">. Flexibility can be applied or restricted by the decision-maker. </w:t>
      </w:r>
      <w:r w:rsidR="00F0392D" w:rsidRPr="001A75F9">
        <w:t>T</w:t>
      </w:r>
      <w:r w:rsidRPr="001A75F9">
        <w:t xml:space="preserve">he use of multiple </w:t>
      </w:r>
      <w:r w:rsidR="00DB0BFF" w:rsidRPr="001A75F9">
        <w:t xml:space="preserve">benefit-risk </w:t>
      </w:r>
      <w:r w:rsidRPr="001A75F9">
        <w:t xml:space="preserve">levels </w:t>
      </w:r>
      <w:r w:rsidR="00DB0BFF" w:rsidRPr="001A75F9">
        <w:t>over the current single thresholds</w:t>
      </w:r>
      <w:r w:rsidRPr="001A75F9">
        <w:t xml:space="preserve"> better capture</w:t>
      </w:r>
      <w:r w:rsidR="00F0392D" w:rsidRPr="001A75F9">
        <w:t xml:space="preserve"> the reality of</w:t>
      </w:r>
      <w:r w:rsidRPr="001A75F9">
        <w:t xml:space="preserve"> complexity and support an increased understanding</w:t>
      </w:r>
      <w:r w:rsidR="00F0392D" w:rsidRPr="001A75F9">
        <w:t xml:space="preserve"> and evaluation</w:t>
      </w:r>
      <w:r w:rsidRPr="001A75F9">
        <w:t xml:space="preserve"> of </w:t>
      </w:r>
      <w:r w:rsidR="00A87312" w:rsidRPr="001A75F9">
        <w:t xml:space="preserve">both </w:t>
      </w:r>
      <w:r w:rsidRPr="001A75F9">
        <w:t xml:space="preserve">benefits and risk. </w:t>
      </w:r>
    </w:p>
    <w:p w14:paraId="4CE047A7" w14:textId="5F439721" w:rsidR="00A8070E" w:rsidRPr="001A75F9" w:rsidRDefault="00F0392D" w:rsidP="003E4973">
      <w:r w:rsidRPr="001A75F9">
        <w:t>I</w:t>
      </w:r>
      <w:r w:rsidR="00C05A99" w:rsidRPr="001A75F9">
        <w:t xml:space="preserve">ncreased understanding of environmental risk </w:t>
      </w:r>
      <w:r w:rsidRPr="001A75F9">
        <w:t>to</w:t>
      </w:r>
      <w:r w:rsidR="00C05A99" w:rsidRPr="001A75F9">
        <w:t xml:space="preserve"> support benefit and risk assessment</w:t>
      </w:r>
      <w:r w:rsidRPr="001A75F9">
        <w:t xml:space="preserve"> requires</w:t>
      </w:r>
      <w:r w:rsidR="00C05A99" w:rsidRPr="001A75F9">
        <w:t xml:space="preserve"> </w:t>
      </w:r>
      <w:r w:rsidRPr="001A75F9">
        <w:t>a</w:t>
      </w:r>
      <w:r w:rsidR="00C05A99" w:rsidRPr="001A75F9">
        <w:t>dditional environmental risk criteria</w:t>
      </w:r>
      <w:r w:rsidRPr="001A75F9">
        <w:t>, for example consideration of both</w:t>
      </w:r>
      <w:r w:rsidR="00C05A99" w:rsidRPr="001A75F9">
        <w:t xml:space="preserve"> spatial and temporal risk.</w:t>
      </w:r>
      <w:r w:rsidR="008809F4" w:rsidRPr="001A75F9">
        <w:t xml:space="preserve"> </w:t>
      </w:r>
      <w:r w:rsidR="00AF73E7" w:rsidRPr="001A75F9">
        <w:t>Investigation of spatial environmental risk could be conducted with data currently generated in the ERA</w:t>
      </w:r>
      <w:r w:rsidRPr="001A75F9">
        <w:t>, for instance</w:t>
      </w:r>
      <w:r w:rsidR="00AF73E7" w:rsidRPr="001A75F9">
        <w:t xml:space="preserve"> consider</w:t>
      </w:r>
      <w:r w:rsidRPr="001A75F9">
        <w:t>ing</w:t>
      </w:r>
      <w:r w:rsidR="00AF73E7" w:rsidRPr="001A75F9">
        <w:t xml:space="preserve"> whether the VMP will be used in an area where it poses an unacceptable risk. PEC values are generated with FOCUS models</w:t>
      </w:r>
      <w:r w:rsidR="008941B4" w:rsidRPr="001A75F9">
        <w:t xml:space="preserve"> </w:t>
      </w:r>
      <w:r w:rsidR="00AF73E7" w:rsidRPr="001A75F9">
        <w:t xml:space="preserve">for different areas in the EU </w:t>
      </w:r>
      <w:r w:rsidR="00953863" w:rsidRPr="001A75F9">
        <w:t>in the Phase II</w:t>
      </w:r>
      <w:r w:rsidRPr="001A75F9">
        <w:t xml:space="preserve"> ERA</w:t>
      </w:r>
      <w:r w:rsidR="00AF73E7" w:rsidRPr="001A75F9">
        <w:t>. FOCUS models are adapted from pesticide exposure modelling to generate 10 surface water PECs and 9 groundwater PECs for different areas in the EU (FOCUS 2000, 2011). The combination of the surface water PEC and effects data would create 10 RQs. In the case where some scenarios have more than 1 type of water body, the highest RQ would be conservatively considered. How many FOCUS scenarios exceed the trigger would be a spatial measure of the risk; a threshold could be applied. For example, a threshold could be defined as more than 5 scenarios with a RQ≥1. The application of FOCUS has the benefit that data can be generated for specific scenarios</w:t>
      </w:r>
      <w:r w:rsidRPr="001A75F9">
        <w:t>;</w:t>
      </w:r>
      <w:r w:rsidR="00AF73E7" w:rsidRPr="001A75F9">
        <w:t xml:space="preserve"> however</w:t>
      </w:r>
      <w:r w:rsidRPr="001A75F9">
        <w:t>,</w:t>
      </w:r>
      <w:r w:rsidR="00AF73E7" w:rsidRPr="001A75F9">
        <w:t xml:space="preserve"> these scenarios do not include those suggested by Schneider et al. (2007) and likely others, relevant for VMPs. Further, the FOCUS results do not consider terrestrial spatial aspects. </w:t>
      </w:r>
    </w:p>
    <w:p w14:paraId="1E6E292C" w14:textId="3DD67444" w:rsidR="00F0392D" w:rsidRPr="001A75F9" w:rsidRDefault="00A8070E" w:rsidP="003E4973">
      <w:r w:rsidRPr="001A75F9">
        <w:t>Consideration</w:t>
      </w:r>
      <w:r w:rsidR="00AF73E7" w:rsidRPr="001A75F9">
        <w:t xml:space="preserve"> of the temporal aspect of risk should consider the timing and duration of exposure. Treatments that are continuously applied </w:t>
      </w:r>
      <w:r w:rsidR="00F0392D" w:rsidRPr="001A75F9">
        <w:t>are more likely to</w:t>
      </w:r>
      <w:r w:rsidR="00AF73E7" w:rsidRPr="001A75F9">
        <w:t xml:space="preserve"> accumulate in the environment. Similarly, for treatments that overlap with a sensitive life stage, the risk will be higher. Therefore, we suggest that products used during the entire year and used during seasons with sensitive life stage</w:t>
      </w:r>
      <w:r w:rsidR="00F0392D" w:rsidRPr="001A75F9">
        <w:t>s</w:t>
      </w:r>
      <w:r w:rsidR="00AF73E7" w:rsidRPr="001A75F9">
        <w:t xml:space="preserve"> </w:t>
      </w:r>
      <w:r w:rsidR="00F0392D" w:rsidRPr="001A75F9">
        <w:t>require special consideration</w:t>
      </w:r>
      <w:r w:rsidR="00AF73E7" w:rsidRPr="001A75F9">
        <w:t>.</w:t>
      </w:r>
      <w:r w:rsidR="008809F4" w:rsidRPr="001A75F9">
        <w:t xml:space="preserve"> Both the temporal and spatial criteria are an opportunity to consider the larger-scale pattern of the fate and exposure data and would require further investigation.</w:t>
      </w:r>
    </w:p>
    <w:p w14:paraId="067EA3F1" w14:textId="44FD06D0" w:rsidR="00644EC3" w:rsidRPr="001A75F9" w:rsidRDefault="00FA5AF8" w:rsidP="003E4973">
      <w:r w:rsidRPr="001A75F9">
        <w:t xml:space="preserve"> </w:t>
      </w:r>
      <w:r w:rsidR="00B31D09" w:rsidRPr="001A75F9">
        <w:t>We currently illustrate environmental risks by focusing on data specifically supported in the VMP guidelines (VICH 2004). However, the ERA can</w:t>
      </w:r>
      <w:r w:rsidR="005C5779" w:rsidRPr="001A75F9">
        <w:t xml:space="preserve"> proceed </w:t>
      </w:r>
      <w:r w:rsidR="004F70FF" w:rsidRPr="001A75F9">
        <w:t xml:space="preserve">beyond the Phase II Tier B </w:t>
      </w:r>
      <w:r w:rsidR="005C5779" w:rsidRPr="001A75F9">
        <w:t>under</w:t>
      </w:r>
      <w:r w:rsidR="00E07DF7" w:rsidRPr="001A75F9">
        <w:t xml:space="preserve"> regulator advic</w:t>
      </w:r>
      <w:r w:rsidR="005C5779" w:rsidRPr="001A75F9">
        <w:t xml:space="preserve">e </w:t>
      </w:r>
      <w:r w:rsidR="004F70FF" w:rsidRPr="001A75F9">
        <w:t xml:space="preserve">(VICH 2004). </w:t>
      </w:r>
      <w:r w:rsidR="00575E06" w:rsidRPr="001A75F9">
        <w:t>Additionally, p</w:t>
      </w:r>
      <w:r w:rsidRPr="001A75F9">
        <w:t>revious</w:t>
      </w:r>
      <w:r w:rsidR="002C5913" w:rsidRPr="001A75F9">
        <w:t xml:space="preserve"> criticism </w:t>
      </w:r>
      <w:r w:rsidRPr="001A75F9">
        <w:t xml:space="preserve">has been made </w:t>
      </w:r>
      <w:r w:rsidR="002C5913" w:rsidRPr="001A75F9">
        <w:t>of the</w:t>
      </w:r>
      <w:r w:rsidR="00EF374F" w:rsidRPr="001A75F9">
        <w:t xml:space="preserve"> usefulness</w:t>
      </w:r>
      <w:r w:rsidR="002C5913" w:rsidRPr="001A75F9">
        <w:t xml:space="preserve"> of standard ERA data</w:t>
      </w:r>
      <w:r w:rsidR="00EF374F" w:rsidRPr="001A75F9">
        <w:t xml:space="preserve"> in decision support (Syberg and Hansen 2016).</w:t>
      </w:r>
      <w:r w:rsidR="00174624" w:rsidRPr="001A75F9">
        <w:t xml:space="preserve"> </w:t>
      </w:r>
      <w:r w:rsidR="00837D27" w:rsidRPr="001A75F9">
        <w:t xml:space="preserve">A specific </w:t>
      </w:r>
      <w:r w:rsidR="00575E06" w:rsidRPr="001A75F9">
        <w:t xml:space="preserve">gap in the ERA testing is a </w:t>
      </w:r>
      <w:r w:rsidR="00837D27" w:rsidRPr="001A75F9">
        <w:t xml:space="preserve">lack of population level </w:t>
      </w:r>
      <w:r w:rsidR="00575E06" w:rsidRPr="001A75F9">
        <w:t>investigation</w:t>
      </w:r>
      <w:r w:rsidR="00837D27" w:rsidRPr="001A75F9">
        <w:t xml:space="preserve">. </w:t>
      </w:r>
      <w:r w:rsidR="00651AA4" w:rsidRPr="001A75F9">
        <w:t>For example, a</w:t>
      </w:r>
      <w:r w:rsidR="00837D27" w:rsidRPr="001A75F9">
        <w:t xml:space="preserve"> study by Viaene et al. (2015) demonstrated the importance of interactions within and between </w:t>
      </w:r>
      <w:r w:rsidR="009D585D" w:rsidRPr="001A75F9">
        <w:t xml:space="preserve">populations </w:t>
      </w:r>
      <w:r w:rsidR="00575E06" w:rsidRPr="001A75F9">
        <w:t xml:space="preserve">in chemical exposure testing. </w:t>
      </w:r>
    </w:p>
    <w:p w14:paraId="01563BEA" w14:textId="2D67BC14" w:rsidR="00073986" w:rsidRPr="001A75F9" w:rsidRDefault="00073986" w:rsidP="00073986">
      <w:r w:rsidRPr="001A75F9">
        <w:t xml:space="preserve">Further opportunity for setting criteria may involve the linking of environmental science and economics. There is continued interest in ecosystem services and valuing nature (e.g. Losey and Vaughan 2006). Policy has also adapted; for example, within Europe the REACH (Registration, Evaluation, Authorization and Restriction of Chemicals) Regulation has integrated environmental evaluation into the required Socio-Economic Assessment (SEA) (Regulation 1907/2006 (European Parliament 2006)). Adaptation of the ERA to consider the economic implications of risk would increase overall understanding of the relevance of potential risk. </w:t>
      </w:r>
    </w:p>
    <w:p w14:paraId="063C670C" w14:textId="032E490A" w:rsidR="00AF07C7" w:rsidRPr="001A75F9" w:rsidRDefault="00F0392D" w:rsidP="007935F5">
      <w:r w:rsidRPr="001A75F9">
        <w:rPr>
          <w:b/>
        </w:rPr>
        <w:t>6.</w:t>
      </w:r>
      <w:r w:rsidRPr="001A75F9">
        <w:rPr>
          <w:b/>
        </w:rPr>
        <w:tab/>
      </w:r>
      <w:r w:rsidR="00AF07C7" w:rsidRPr="001A75F9">
        <w:rPr>
          <w:b/>
        </w:rPr>
        <w:t xml:space="preserve">Benefit-risk methods implementation </w:t>
      </w:r>
    </w:p>
    <w:p w14:paraId="5649FD7E" w14:textId="4A918D28" w:rsidR="00AF07C7" w:rsidRPr="001A75F9" w:rsidRDefault="00AF07C7" w:rsidP="00AF07C7">
      <w:r w:rsidRPr="001A75F9">
        <w:t xml:space="preserve">The implementation of any of the </w:t>
      </w:r>
      <w:r w:rsidR="00F0392D" w:rsidRPr="001A75F9">
        <w:t>three methods</w:t>
      </w:r>
      <w:r w:rsidRPr="001A75F9">
        <w:t xml:space="preserve"> will have potential advantages and disadvantages. It is therefore important to understand points of difference and agreement between the proposed methods and current policy and practice. Here we broadly discuss the main features of each proposed method and then expand to the wider context of both policy and scientific development.</w:t>
      </w:r>
    </w:p>
    <w:p w14:paraId="120D0F6C" w14:textId="73F1A67A" w:rsidR="00F160E9" w:rsidRPr="001A75F9" w:rsidRDefault="00F44989" w:rsidP="00DA1351">
      <w:r w:rsidRPr="001A75F9">
        <w:t xml:space="preserve">For potential implementation there are </w:t>
      </w:r>
      <w:r w:rsidR="00607D14" w:rsidRPr="001A75F9">
        <w:t>three</w:t>
      </w:r>
      <w:r w:rsidRPr="001A75F9">
        <w:t xml:space="preserve"> important differences between </w:t>
      </w:r>
      <w:r w:rsidR="0041430B" w:rsidRPr="001A75F9">
        <w:t xml:space="preserve">the </w:t>
      </w:r>
      <w:r w:rsidRPr="001A75F9">
        <w:t>methodologies</w:t>
      </w:r>
      <w:r w:rsidR="00951571" w:rsidRPr="001A75F9">
        <w:t xml:space="preserve"> (Table 4)</w:t>
      </w:r>
      <w:r w:rsidRPr="001A75F9">
        <w:t>. The first is a</w:t>
      </w:r>
      <w:r w:rsidR="00852228" w:rsidRPr="001A75F9">
        <w:t>n</w:t>
      </w:r>
      <w:r w:rsidRPr="001A75F9">
        <w:t xml:space="preserve"> independent versus comparative approach. </w:t>
      </w:r>
      <w:r w:rsidR="00B92BF7" w:rsidRPr="001A75F9">
        <w:t xml:space="preserve">It is advantageous for implementation </w:t>
      </w:r>
      <w:r w:rsidR="00C877D1" w:rsidRPr="001A75F9">
        <w:t>that</w:t>
      </w:r>
      <w:r w:rsidR="00425C61" w:rsidRPr="001A75F9">
        <w:t xml:space="preserve"> the benefit-risk</w:t>
      </w:r>
      <w:r w:rsidR="00B92BF7" w:rsidRPr="001A75F9">
        <w:t xml:space="preserve"> approach be supported by the current legislative framework. </w:t>
      </w:r>
      <w:r w:rsidR="00C877D1" w:rsidRPr="001A75F9">
        <w:t>Both</w:t>
      </w:r>
      <w:r w:rsidR="00B92BF7" w:rsidRPr="001A75F9">
        <w:t xml:space="preserve"> the</w:t>
      </w:r>
      <w:r w:rsidR="00256270" w:rsidRPr="001A75F9">
        <w:t xml:space="preserve"> independent </w:t>
      </w:r>
      <w:r w:rsidR="00073537" w:rsidRPr="001A75F9">
        <w:t>methods</w:t>
      </w:r>
      <w:r w:rsidR="00B92BF7" w:rsidRPr="001A75F9">
        <w:t xml:space="preserve"> </w:t>
      </w:r>
      <w:r w:rsidR="00C23832" w:rsidRPr="001A75F9">
        <w:t xml:space="preserve">(i.e., the summative categorization and visual scoring matrix) </w:t>
      </w:r>
      <w:r w:rsidR="007B2E23" w:rsidRPr="001A75F9">
        <w:t>fit within</w:t>
      </w:r>
      <w:r w:rsidR="00B92BF7" w:rsidRPr="001A75F9">
        <w:t xml:space="preserve"> current legislation. </w:t>
      </w:r>
      <w:r w:rsidR="00C877D1" w:rsidRPr="001A75F9">
        <w:t>I</w:t>
      </w:r>
      <w:r w:rsidR="00B92BF7" w:rsidRPr="001A75F9">
        <w:t>f comparative assessments (e.g.</w:t>
      </w:r>
      <w:r w:rsidR="00B05DC4" w:rsidRPr="001A75F9">
        <w:t>,</w:t>
      </w:r>
      <w:r w:rsidR="00B92BF7" w:rsidRPr="001A75F9">
        <w:t xml:space="preserve"> a substitution principle</w:t>
      </w:r>
      <w:r w:rsidR="00B05DC4" w:rsidRPr="001A75F9">
        <w:t>,</w:t>
      </w:r>
      <w:r w:rsidR="00B92BF7" w:rsidRPr="001A75F9">
        <w:t xml:space="preserve"> which encourages development of alternatives for hazardous substances) are implemented in the future</w:t>
      </w:r>
      <w:r w:rsidR="00B05DC4" w:rsidRPr="001A75F9">
        <w:t>,</w:t>
      </w:r>
      <w:r w:rsidR="00155C69" w:rsidRPr="001A75F9">
        <w:t xml:space="preserve"> </w:t>
      </w:r>
      <w:r w:rsidR="00C877D1" w:rsidRPr="001A75F9">
        <w:t xml:space="preserve">the comparative </w:t>
      </w:r>
      <w:r w:rsidR="00A87312" w:rsidRPr="001A75F9">
        <w:t>method</w:t>
      </w:r>
      <w:r w:rsidR="00C877D1" w:rsidRPr="001A75F9">
        <w:t xml:space="preserve"> </w:t>
      </w:r>
      <w:r w:rsidR="005615E5" w:rsidRPr="001A75F9">
        <w:t>would be supported</w:t>
      </w:r>
      <w:r w:rsidR="00B92BF7" w:rsidRPr="001A75F9">
        <w:t xml:space="preserve">. </w:t>
      </w:r>
      <w:r w:rsidR="00852228" w:rsidRPr="001A75F9">
        <w:t>The second</w:t>
      </w:r>
      <w:r w:rsidR="00607D14" w:rsidRPr="001A75F9">
        <w:t xml:space="preserve"> </w:t>
      </w:r>
      <w:r w:rsidR="00F64E57" w:rsidRPr="001A75F9">
        <w:t>critical</w:t>
      </w:r>
      <w:r w:rsidR="00607D14" w:rsidRPr="001A75F9">
        <w:t xml:space="preserve"> difference </w:t>
      </w:r>
      <w:r w:rsidR="00F64E57" w:rsidRPr="001A75F9">
        <w:t xml:space="preserve">is whether a formulaic or more </w:t>
      </w:r>
      <w:r w:rsidR="00A53C5A" w:rsidRPr="001A75F9">
        <w:t>judgement-based</w:t>
      </w:r>
      <w:r w:rsidR="00F64E57" w:rsidRPr="001A75F9">
        <w:t xml:space="preserve"> approach is applied. </w:t>
      </w:r>
      <w:r w:rsidR="00A53C5A" w:rsidRPr="001A75F9">
        <w:t>Both the summative and comparative methods are more supportive of a formulaic approach and use of a decision-rule.</w:t>
      </w:r>
      <w:r w:rsidR="00EA5864" w:rsidRPr="001A75F9">
        <w:t xml:space="preserve"> Finally, the methods vary in how levels are assigned. The levels are assigned in the summative and comparative methods by comparing criteria to a single threshold or specific level of change, respectively. Alternatively, the visual scoring matrix assigns levels to the criteria. The desirability of any of these main distinctions will depend on the preferences of decision-makers. </w:t>
      </w:r>
    </w:p>
    <w:p w14:paraId="7C0D66AB" w14:textId="037CA020" w:rsidR="0007269B" w:rsidRPr="001A75F9" w:rsidRDefault="0007269B" w:rsidP="00F77C9F">
      <w:pPr>
        <w:pStyle w:val="NoSpacing"/>
        <w:ind w:left="0"/>
      </w:pPr>
      <w:r w:rsidRPr="001A75F9">
        <w:rPr>
          <w:b/>
        </w:rPr>
        <w:t>Table 4.</w:t>
      </w:r>
      <w:r w:rsidRPr="001A75F9">
        <w:t xml:space="preserve"> </w:t>
      </w:r>
      <w:proofErr w:type="gramStart"/>
      <w:r w:rsidR="00A21A6E" w:rsidRPr="001A75F9">
        <w:t xml:space="preserve">A comparison of the </w:t>
      </w:r>
      <w:r w:rsidR="0041430B" w:rsidRPr="001A75F9">
        <w:t>three</w:t>
      </w:r>
      <w:r w:rsidR="00A21A6E" w:rsidRPr="001A75F9">
        <w:t xml:space="preserve"> main differences between the three developed methodologies.</w:t>
      </w:r>
      <w:proofErr w:type="gramEnd"/>
      <w:r w:rsidR="00A21A6E" w:rsidRPr="001A75F9">
        <w:t xml:space="preserve"> </w:t>
      </w:r>
    </w:p>
    <w:tbl>
      <w:tblPr>
        <w:tblW w:w="8637" w:type="dxa"/>
        <w:tblInd w:w="108" w:type="dxa"/>
        <w:tblLook w:val="04A0" w:firstRow="1" w:lastRow="0" w:firstColumn="1" w:lastColumn="0" w:noHBand="0" w:noVBand="1"/>
      </w:tblPr>
      <w:tblGrid>
        <w:gridCol w:w="2879"/>
        <w:gridCol w:w="2879"/>
        <w:gridCol w:w="2879"/>
      </w:tblGrid>
      <w:tr w:rsidR="003F701F" w:rsidRPr="001A75F9" w14:paraId="0B12043C" w14:textId="77777777" w:rsidTr="00F77C9F">
        <w:trPr>
          <w:trHeight w:val="687"/>
        </w:trPr>
        <w:tc>
          <w:tcPr>
            <w:tcW w:w="2879" w:type="dxa"/>
            <w:tcBorders>
              <w:top w:val="single" w:sz="4" w:space="0" w:color="auto"/>
              <w:bottom w:val="single" w:sz="4" w:space="0" w:color="auto"/>
            </w:tcBorders>
            <w:shd w:val="clear" w:color="auto" w:fill="auto"/>
            <w:hideMark/>
          </w:tcPr>
          <w:p w14:paraId="54D88FA6" w14:textId="77777777" w:rsidR="00857F49" w:rsidRPr="001A75F9" w:rsidRDefault="00857F49" w:rsidP="00857F49">
            <w:pPr>
              <w:spacing w:before="0" w:beforeAutospacing="0" w:after="0" w:afterAutospacing="0" w:line="240" w:lineRule="auto"/>
              <w:ind w:left="0" w:firstLine="0"/>
              <w:rPr>
                <w:rFonts w:eastAsia="Times New Roman"/>
                <w:b/>
                <w:color w:val="000000"/>
                <w:lang w:val="en-CA"/>
              </w:rPr>
            </w:pPr>
            <w:r w:rsidRPr="001A75F9">
              <w:rPr>
                <w:rFonts w:eastAsia="Times New Roman"/>
                <w:b/>
                <w:color w:val="000000"/>
                <w:lang w:val="en-CA"/>
              </w:rPr>
              <w:t>Summative Categorization</w:t>
            </w:r>
          </w:p>
        </w:tc>
        <w:tc>
          <w:tcPr>
            <w:tcW w:w="2879" w:type="dxa"/>
            <w:tcBorders>
              <w:top w:val="single" w:sz="4" w:space="0" w:color="auto"/>
              <w:bottom w:val="single" w:sz="4" w:space="0" w:color="auto"/>
            </w:tcBorders>
            <w:shd w:val="clear" w:color="auto" w:fill="auto"/>
            <w:hideMark/>
          </w:tcPr>
          <w:p w14:paraId="130BBEC1" w14:textId="77777777" w:rsidR="00857F49" w:rsidRPr="001A75F9" w:rsidRDefault="00857F49" w:rsidP="00857F49">
            <w:pPr>
              <w:spacing w:before="0" w:beforeAutospacing="0" w:after="0" w:afterAutospacing="0" w:line="240" w:lineRule="auto"/>
              <w:ind w:left="0" w:firstLine="0"/>
              <w:rPr>
                <w:rFonts w:eastAsia="Times New Roman"/>
                <w:b/>
                <w:color w:val="000000"/>
                <w:lang w:val="en-CA"/>
              </w:rPr>
            </w:pPr>
            <w:r w:rsidRPr="001A75F9">
              <w:rPr>
                <w:rFonts w:eastAsia="Times New Roman"/>
                <w:b/>
                <w:color w:val="000000"/>
                <w:lang w:val="en-CA"/>
              </w:rPr>
              <w:t>Visual Scoring Matrix</w:t>
            </w:r>
          </w:p>
        </w:tc>
        <w:tc>
          <w:tcPr>
            <w:tcW w:w="2879" w:type="dxa"/>
            <w:tcBorders>
              <w:top w:val="single" w:sz="4" w:space="0" w:color="auto"/>
              <w:bottom w:val="single" w:sz="4" w:space="0" w:color="auto"/>
            </w:tcBorders>
            <w:shd w:val="clear" w:color="auto" w:fill="auto"/>
            <w:hideMark/>
          </w:tcPr>
          <w:p w14:paraId="44A1B7B9" w14:textId="77777777" w:rsidR="00857F49" w:rsidRPr="001A75F9" w:rsidRDefault="00857F49" w:rsidP="009D7BE3">
            <w:pPr>
              <w:spacing w:before="0" w:beforeAutospacing="0" w:after="0" w:afterAutospacing="0" w:line="240" w:lineRule="auto"/>
              <w:ind w:left="0" w:right="-118" w:firstLine="0"/>
              <w:rPr>
                <w:rFonts w:eastAsia="Times New Roman"/>
                <w:b/>
                <w:color w:val="000000"/>
                <w:lang w:val="en-CA"/>
              </w:rPr>
            </w:pPr>
            <w:r w:rsidRPr="001A75F9">
              <w:rPr>
                <w:rFonts w:eastAsia="Times New Roman"/>
                <w:b/>
                <w:color w:val="000000"/>
                <w:lang w:val="en-CA"/>
              </w:rPr>
              <w:t>Comparative Categorization</w:t>
            </w:r>
          </w:p>
        </w:tc>
      </w:tr>
      <w:tr w:rsidR="003F701F" w:rsidRPr="001A75F9" w14:paraId="70EA6527" w14:textId="77777777" w:rsidTr="00F77C9F">
        <w:trPr>
          <w:trHeight w:val="515"/>
        </w:trPr>
        <w:tc>
          <w:tcPr>
            <w:tcW w:w="2879" w:type="dxa"/>
            <w:tcBorders>
              <w:top w:val="single" w:sz="4" w:space="0" w:color="auto"/>
              <w:bottom w:val="single" w:sz="4" w:space="0" w:color="auto"/>
            </w:tcBorders>
            <w:shd w:val="clear" w:color="auto" w:fill="auto"/>
            <w:hideMark/>
          </w:tcPr>
          <w:p w14:paraId="4D3924F9"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Independent evaluation</w:t>
            </w:r>
          </w:p>
        </w:tc>
        <w:tc>
          <w:tcPr>
            <w:tcW w:w="2879" w:type="dxa"/>
            <w:tcBorders>
              <w:top w:val="single" w:sz="4" w:space="0" w:color="auto"/>
              <w:bottom w:val="single" w:sz="4" w:space="0" w:color="auto"/>
            </w:tcBorders>
            <w:shd w:val="clear" w:color="auto" w:fill="auto"/>
            <w:hideMark/>
          </w:tcPr>
          <w:p w14:paraId="244C409F"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Independent evaluation</w:t>
            </w:r>
          </w:p>
        </w:tc>
        <w:tc>
          <w:tcPr>
            <w:tcW w:w="2879" w:type="dxa"/>
            <w:tcBorders>
              <w:top w:val="single" w:sz="4" w:space="0" w:color="auto"/>
              <w:bottom w:val="single" w:sz="4" w:space="0" w:color="auto"/>
            </w:tcBorders>
            <w:shd w:val="clear" w:color="auto" w:fill="auto"/>
            <w:hideMark/>
          </w:tcPr>
          <w:p w14:paraId="1C57D746"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Comparative evaluation</w:t>
            </w:r>
          </w:p>
        </w:tc>
      </w:tr>
      <w:tr w:rsidR="003F701F" w:rsidRPr="001A75F9" w14:paraId="6D2B6C37" w14:textId="77777777" w:rsidTr="00F77C9F">
        <w:trPr>
          <w:trHeight w:val="344"/>
        </w:trPr>
        <w:tc>
          <w:tcPr>
            <w:tcW w:w="2879" w:type="dxa"/>
            <w:tcBorders>
              <w:top w:val="single" w:sz="4" w:space="0" w:color="auto"/>
              <w:bottom w:val="single" w:sz="4" w:space="0" w:color="auto"/>
            </w:tcBorders>
            <w:shd w:val="clear" w:color="auto" w:fill="auto"/>
            <w:hideMark/>
          </w:tcPr>
          <w:p w14:paraId="6B37895E"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Formulaic</w:t>
            </w:r>
          </w:p>
        </w:tc>
        <w:tc>
          <w:tcPr>
            <w:tcW w:w="2879" w:type="dxa"/>
            <w:tcBorders>
              <w:top w:val="single" w:sz="4" w:space="0" w:color="auto"/>
              <w:bottom w:val="single" w:sz="4" w:space="0" w:color="auto"/>
            </w:tcBorders>
            <w:shd w:val="clear" w:color="auto" w:fill="auto"/>
            <w:hideMark/>
          </w:tcPr>
          <w:p w14:paraId="4C9DD342"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Judgement-based</w:t>
            </w:r>
          </w:p>
        </w:tc>
        <w:tc>
          <w:tcPr>
            <w:tcW w:w="2879" w:type="dxa"/>
            <w:tcBorders>
              <w:top w:val="single" w:sz="4" w:space="0" w:color="auto"/>
              <w:bottom w:val="single" w:sz="4" w:space="0" w:color="auto"/>
            </w:tcBorders>
            <w:shd w:val="clear" w:color="auto" w:fill="auto"/>
            <w:hideMark/>
          </w:tcPr>
          <w:p w14:paraId="5DBE6B68"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Formulaic</w:t>
            </w:r>
          </w:p>
        </w:tc>
      </w:tr>
      <w:tr w:rsidR="003F701F" w:rsidRPr="001A75F9" w14:paraId="61243026" w14:textId="77777777" w:rsidTr="00F77C9F">
        <w:trPr>
          <w:trHeight w:val="592"/>
        </w:trPr>
        <w:tc>
          <w:tcPr>
            <w:tcW w:w="2879" w:type="dxa"/>
            <w:tcBorders>
              <w:top w:val="single" w:sz="4" w:space="0" w:color="auto"/>
              <w:bottom w:val="single" w:sz="4" w:space="0" w:color="auto"/>
            </w:tcBorders>
            <w:shd w:val="clear" w:color="auto" w:fill="auto"/>
            <w:hideMark/>
          </w:tcPr>
          <w:p w14:paraId="35E3685A"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Combinations of single criteria create levels</w:t>
            </w:r>
          </w:p>
        </w:tc>
        <w:tc>
          <w:tcPr>
            <w:tcW w:w="2879" w:type="dxa"/>
            <w:tcBorders>
              <w:top w:val="single" w:sz="4" w:space="0" w:color="auto"/>
              <w:bottom w:val="single" w:sz="4" w:space="0" w:color="auto"/>
            </w:tcBorders>
            <w:shd w:val="clear" w:color="auto" w:fill="auto"/>
            <w:hideMark/>
          </w:tcPr>
          <w:p w14:paraId="70270D99" w14:textId="64446971" w:rsidR="00857F49" w:rsidRPr="001A75F9" w:rsidRDefault="0007269B"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Multiple</w:t>
            </w:r>
            <w:r w:rsidR="00857F49" w:rsidRPr="001A75F9">
              <w:rPr>
                <w:rFonts w:eastAsia="Times New Roman"/>
                <w:color w:val="000000"/>
                <w:lang w:val="en-CA"/>
              </w:rPr>
              <w:t xml:space="preserve"> thresholds create levels within criteria</w:t>
            </w:r>
          </w:p>
        </w:tc>
        <w:tc>
          <w:tcPr>
            <w:tcW w:w="2879" w:type="dxa"/>
            <w:tcBorders>
              <w:top w:val="single" w:sz="4" w:space="0" w:color="auto"/>
              <w:bottom w:val="single" w:sz="4" w:space="0" w:color="auto"/>
            </w:tcBorders>
            <w:shd w:val="clear" w:color="auto" w:fill="auto"/>
            <w:hideMark/>
          </w:tcPr>
          <w:p w14:paraId="25419CAC" w14:textId="77777777" w:rsidR="00857F49" w:rsidRPr="001A75F9" w:rsidRDefault="00857F49" w:rsidP="00857F49">
            <w:pPr>
              <w:spacing w:before="0" w:beforeAutospacing="0" w:after="0" w:afterAutospacing="0" w:line="240" w:lineRule="auto"/>
              <w:ind w:left="0" w:firstLine="0"/>
              <w:rPr>
                <w:rFonts w:eastAsia="Times New Roman"/>
                <w:color w:val="000000"/>
                <w:lang w:val="en-CA"/>
              </w:rPr>
            </w:pPr>
            <w:r w:rsidRPr="001A75F9">
              <w:rPr>
                <w:rFonts w:eastAsia="Times New Roman"/>
                <w:color w:val="000000"/>
                <w:lang w:val="en-CA"/>
              </w:rPr>
              <w:t>Magnitude of change in criteria creates levels</w:t>
            </w:r>
          </w:p>
        </w:tc>
      </w:tr>
    </w:tbl>
    <w:p w14:paraId="3907EC51" w14:textId="0926F9AA" w:rsidR="00B05DC4" w:rsidRPr="001A75F9" w:rsidRDefault="00B26B78" w:rsidP="00506B1C">
      <w:r w:rsidRPr="001A75F9">
        <w:t xml:space="preserve">VMP ERA requirements define single thresholds for all </w:t>
      </w:r>
      <w:r w:rsidR="00073537" w:rsidRPr="001A75F9">
        <w:t xml:space="preserve">current </w:t>
      </w:r>
      <w:r w:rsidRPr="001A75F9">
        <w:t xml:space="preserve">criteria </w:t>
      </w:r>
      <w:r w:rsidR="00AF39E5" w:rsidRPr="001A75F9">
        <w:t>(</w:t>
      </w:r>
      <w:r w:rsidR="00073537" w:rsidRPr="001A75F9">
        <w:t>i.e.</w:t>
      </w:r>
      <w:r w:rsidR="00F0392D" w:rsidRPr="001A75F9">
        <w:t>,</w:t>
      </w:r>
      <w:r w:rsidR="00073537" w:rsidRPr="001A75F9">
        <w:t xml:space="preserve"> PBT/vPvB in EMA (2012</w:t>
      </w:r>
      <w:r w:rsidR="00BE246D" w:rsidRPr="001A75F9">
        <w:t>a</w:t>
      </w:r>
      <w:r w:rsidR="00073537" w:rsidRPr="001A75F9">
        <w:t>); RQ&lt;1; PECgw&lt;0.1µg/L</w:t>
      </w:r>
      <w:r w:rsidR="00A87312" w:rsidRPr="001A75F9">
        <w:t xml:space="preserve"> in </w:t>
      </w:r>
      <w:r w:rsidR="00B72406" w:rsidRPr="001A75F9">
        <w:t>EM</w:t>
      </w:r>
      <w:r w:rsidR="00AF39E5" w:rsidRPr="001A75F9">
        <w:t xml:space="preserve">A </w:t>
      </w:r>
      <w:r w:rsidR="00A87312" w:rsidRPr="001A75F9">
        <w:t>(</w:t>
      </w:r>
      <w:r w:rsidR="00AF39E5" w:rsidRPr="001A75F9">
        <w:t>2009)</w:t>
      </w:r>
      <w:r w:rsidR="00A87312" w:rsidRPr="001A75F9">
        <w:t>)</w:t>
      </w:r>
      <w:r w:rsidR="00AF39E5" w:rsidRPr="001A75F9">
        <w:t>.</w:t>
      </w:r>
      <w:r w:rsidR="00240A68" w:rsidRPr="001A75F9">
        <w:t xml:space="preserve"> </w:t>
      </w:r>
      <w:r w:rsidRPr="001A75F9">
        <w:t>Values below these thresholds are required for all criteria in a favoura</w:t>
      </w:r>
      <w:r w:rsidR="00B72406" w:rsidRPr="001A75F9">
        <w:t>ble benefit-risk assessment (EM</w:t>
      </w:r>
      <w:r w:rsidRPr="001A75F9">
        <w:t xml:space="preserve">A 2009). </w:t>
      </w:r>
      <w:r w:rsidR="00240A68" w:rsidRPr="001A75F9">
        <w:t>T</w:t>
      </w:r>
      <w:r w:rsidR="006472FD" w:rsidRPr="001A75F9">
        <w:t xml:space="preserve">he </w:t>
      </w:r>
      <w:r w:rsidR="00F36B0E" w:rsidRPr="001A75F9">
        <w:t xml:space="preserve">summative </w:t>
      </w:r>
      <w:r w:rsidR="006472FD" w:rsidRPr="001A75F9">
        <w:t xml:space="preserve">categorization </w:t>
      </w:r>
      <w:r w:rsidR="00A87312" w:rsidRPr="001A75F9">
        <w:t>method</w:t>
      </w:r>
      <w:r w:rsidR="006472FD" w:rsidRPr="001A75F9">
        <w:t xml:space="preserve"> would only </w:t>
      </w:r>
      <w:r w:rsidR="007301CF" w:rsidRPr="001A75F9">
        <w:t>fulfil</w:t>
      </w:r>
      <w:r w:rsidR="006472FD" w:rsidRPr="001A75F9">
        <w:t xml:space="preserve"> </w:t>
      </w:r>
      <w:r w:rsidRPr="001A75F9">
        <w:t>all thresholds</w:t>
      </w:r>
      <w:r w:rsidR="0029495E" w:rsidRPr="001A75F9">
        <w:t xml:space="preserve"> for risks ranked in level 1</w:t>
      </w:r>
      <w:r w:rsidR="00F0392D" w:rsidRPr="001A75F9">
        <w:t xml:space="preserve"> (i.e., the lowest risks)</w:t>
      </w:r>
      <w:r w:rsidR="0029495E" w:rsidRPr="001A75F9">
        <w:t>. In t</w:t>
      </w:r>
      <w:r w:rsidR="006472FD" w:rsidRPr="001A75F9">
        <w:t xml:space="preserve">he comparative </w:t>
      </w:r>
      <w:r w:rsidR="00A87312" w:rsidRPr="001A75F9">
        <w:t>method,</w:t>
      </w:r>
      <w:r w:rsidR="006472FD" w:rsidRPr="001A75F9">
        <w:t xml:space="preserve"> </w:t>
      </w:r>
      <w:r w:rsidR="0029495E" w:rsidRPr="001A75F9">
        <w:t xml:space="preserve">exceedance of current thresholds would depend on the risk level of the </w:t>
      </w:r>
      <w:r w:rsidR="00927F22" w:rsidRPr="001A75F9">
        <w:t>alternative</w:t>
      </w:r>
      <w:r w:rsidR="006472FD" w:rsidRPr="001A75F9">
        <w:t xml:space="preserve">. Finally, </w:t>
      </w:r>
      <w:r w:rsidR="00B05DC4" w:rsidRPr="001A75F9">
        <w:t xml:space="preserve">for </w:t>
      </w:r>
      <w:r w:rsidR="006472FD" w:rsidRPr="001A75F9">
        <w:t>the visual scoring matrix</w:t>
      </w:r>
      <w:r w:rsidR="00B05DC4" w:rsidRPr="001A75F9">
        <w:t>,</w:t>
      </w:r>
      <w:r w:rsidR="006472FD" w:rsidRPr="001A75F9">
        <w:t xml:space="preserve"> </w:t>
      </w:r>
      <w:r w:rsidR="00CC7523" w:rsidRPr="001A75F9">
        <w:t>RQ and PECgw</w:t>
      </w:r>
      <w:r w:rsidR="006472FD" w:rsidRPr="001A75F9">
        <w:t xml:space="preserve"> criteria </w:t>
      </w:r>
      <w:r w:rsidR="007B422A" w:rsidRPr="001A75F9">
        <w:t>in the negligible risk category</w:t>
      </w:r>
      <w:r w:rsidR="00CC7523" w:rsidRPr="001A75F9">
        <w:t xml:space="preserve"> and PBT in the </w:t>
      </w:r>
      <w:r w:rsidR="007B422A" w:rsidRPr="001A75F9">
        <w:t>moderate</w:t>
      </w:r>
      <w:r w:rsidR="0012374A" w:rsidRPr="001A75F9">
        <w:t>,</w:t>
      </w:r>
      <w:r w:rsidR="007B422A" w:rsidRPr="001A75F9">
        <w:t xml:space="preserve"> low</w:t>
      </w:r>
      <w:r w:rsidR="00F0392D" w:rsidRPr="001A75F9">
        <w:t xml:space="preserve"> </w:t>
      </w:r>
      <w:r w:rsidR="0012374A" w:rsidRPr="001A75F9">
        <w:t xml:space="preserve">or negligible </w:t>
      </w:r>
      <w:r w:rsidR="00F0392D" w:rsidRPr="001A75F9">
        <w:t>categories</w:t>
      </w:r>
      <w:r w:rsidR="007B422A" w:rsidRPr="001A75F9">
        <w:t xml:space="preserve"> </w:t>
      </w:r>
      <w:r w:rsidR="006472FD" w:rsidRPr="001A75F9">
        <w:t xml:space="preserve">would meet the current thresholds. Therefore, each </w:t>
      </w:r>
      <w:r w:rsidR="00A87312" w:rsidRPr="001A75F9">
        <w:t>method</w:t>
      </w:r>
      <w:r w:rsidR="006472FD" w:rsidRPr="001A75F9">
        <w:t xml:space="preserve"> would potentially allow authorizations made with environmental risks higher than curren</w:t>
      </w:r>
      <w:r w:rsidR="008951A5" w:rsidRPr="001A75F9">
        <w:t>tly considered acceptable</w:t>
      </w:r>
      <w:r w:rsidR="00B05DC4" w:rsidRPr="001A75F9">
        <w:t xml:space="preserve">, </w:t>
      </w:r>
      <w:r w:rsidR="00617CCD" w:rsidRPr="001A75F9">
        <w:t>if benefits are higher than risks</w:t>
      </w:r>
      <w:r w:rsidR="0041331F" w:rsidRPr="001A75F9">
        <w:t xml:space="preserve">. </w:t>
      </w:r>
      <w:r w:rsidR="004058AD" w:rsidRPr="001A75F9">
        <w:t xml:space="preserve"> </w:t>
      </w:r>
    </w:p>
    <w:p w14:paraId="4EDBE0FA" w14:textId="6F116AFE" w:rsidR="00E74393" w:rsidRPr="001A75F9" w:rsidRDefault="00F0392D">
      <w:r w:rsidRPr="001A75F9">
        <w:t>E</w:t>
      </w:r>
      <w:r w:rsidR="008951A5" w:rsidRPr="001A75F9">
        <w:t xml:space="preserve">nvironmental risks higher than thresholds can be </w:t>
      </w:r>
      <w:r w:rsidR="004058AD" w:rsidRPr="001A75F9">
        <w:t xml:space="preserve">lowered </w:t>
      </w:r>
      <w:r w:rsidR="008951A5" w:rsidRPr="001A75F9">
        <w:t>to acc</w:t>
      </w:r>
      <w:r w:rsidR="0041583A" w:rsidRPr="001A75F9">
        <w:t>eptable levels by applying risk</w:t>
      </w:r>
      <w:r w:rsidR="008951A5" w:rsidRPr="001A75F9">
        <w:t xml:space="preserve"> </w:t>
      </w:r>
      <w:r w:rsidR="0041583A" w:rsidRPr="001A75F9">
        <w:t xml:space="preserve">mitigation </w:t>
      </w:r>
      <w:r w:rsidR="008951A5" w:rsidRPr="001A75F9">
        <w:t>measures</w:t>
      </w:r>
      <w:r w:rsidR="00B72406" w:rsidRPr="001A75F9">
        <w:t xml:space="preserve"> (EM</w:t>
      </w:r>
      <w:r w:rsidR="000B5D71" w:rsidRPr="001A75F9">
        <w:t xml:space="preserve">A 2009). However, </w:t>
      </w:r>
      <w:r w:rsidRPr="001A75F9">
        <w:t xml:space="preserve">as previously noted, </w:t>
      </w:r>
      <w:r w:rsidR="000B5D71" w:rsidRPr="001A75F9">
        <w:t xml:space="preserve">available </w:t>
      </w:r>
      <w:r w:rsidR="002106BF" w:rsidRPr="001A75F9">
        <w:t>ris</w:t>
      </w:r>
      <w:r w:rsidR="00172A1A" w:rsidRPr="001A75F9">
        <w:t xml:space="preserve">k mitigation measures </w:t>
      </w:r>
      <w:r w:rsidR="00FE4B0F" w:rsidRPr="001A75F9">
        <w:t xml:space="preserve">are not reliably implemented </w:t>
      </w:r>
      <w:r w:rsidR="002106BF" w:rsidRPr="001A75F9">
        <w:t xml:space="preserve">for VMPs. </w:t>
      </w:r>
      <w:r w:rsidR="00637B98" w:rsidRPr="001A75F9">
        <w:t>Therefore, application of risk mitigation measures may</w:t>
      </w:r>
      <w:r w:rsidR="00C65B35" w:rsidRPr="001A75F9">
        <w:t xml:space="preserve"> lead to underestimation of</w:t>
      </w:r>
      <w:r w:rsidR="00E46B3E" w:rsidRPr="001A75F9">
        <w:t xml:space="preserve"> environmental risk</w:t>
      </w:r>
      <w:r w:rsidR="00C65B35" w:rsidRPr="001A75F9">
        <w:t xml:space="preserve"> and a lack of transparency</w:t>
      </w:r>
      <w:r w:rsidR="00AF39E5" w:rsidRPr="001A75F9">
        <w:t>.</w:t>
      </w:r>
      <w:r w:rsidR="008611BB" w:rsidRPr="001A75F9">
        <w:t xml:space="preserve"> </w:t>
      </w:r>
      <w:r w:rsidR="00892E6F" w:rsidRPr="001A75F9">
        <w:t xml:space="preserve">Conducting </w:t>
      </w:r>
      <w:r w:rsidR="00AF39E5" w:rsidRPr="001A75F9">
        <w:t>the benefit-risk prior to assignment of mitigation measures</w:t>
      </w:r>
      <w:r w:rsidR="008611BB" w:rsidRPr="001A75F9">
        <w:t xml:space="preserve"> would create more transparency </w:t>
      </w:r>
      <w:r w:rsidRPr="001A75F9">
        <w:t>regarding</w:t>
      </w:r>
      <w:r w:rsidR="008611BB" w:rsidRPr="001A75F9">
        <w:t xml:space="preserve"> the environmental risk accepted for a product</w:t>
      </w:r>
      <w:r w:rsidR="00AF39E5" w:rsidRPr="001A75F9">
        <w:t>.</w:t>
      </w:r>
      <w:r w:rsidR="008611BB" w:rsidRPr="001A75F9">
        <w:t xml:space="preserve"> </w:t>
      </w:r>
      <w:r w:rsidRPr="001A75F9">
        <w:t>I</w:t>
      </w:r>
      <w:r w:rsidR="003810C7" w:rsidRPr="001A75F9">
        <w:t>ncreased transparency could also be used to justify risk mitigation measures when they are implemented</w:t>
      </w:r>
      <w:r w:rsidR="00A87312" w:rsidRPr="001A75F9">
        <w:t>,</w:t>
      </w:r>
      <w:r w:rsidR="003810C7" w:rsidRPr="001A75F9">
        <w:t xml:space="preserve"> and potentially strengthen risk communication and</w:t>
      </w:r>
      <w:r w:rsidR="00195140" w:rsidRPr="001A75F9">
        <w:t xml:space="preserve"> risk mitigation measure</w:t>
      </w:r>
      <w:r w:rsidR="003810C7" w:rsidRPr="001A75F9">
        <w:t xml:space="preserve"> uptake. </w:t>
      </w:r>
      <w:r w:rsidR="008611BB" w:rsidRPr="001A75F9">
        <w:t xml:space="preserve">All of the </w:t>
      </w:r>
      <w:r w:rsidRPr="001A75F9">
        <w:t xml:space="preserve">three </w:t>
      </w:r>
      <w:r w:rsidR="008611BB" w:rsidRPr="001A75F9">
        <w:t xml:space="preserve">proposed </w:t>
      </w:r>
      <w:r w:rsidRPr="001A75F9">
        <w:t>methods</w:t>
      </w:r>
      <w:r w:rsidR="008611BB" w:rsidRPr="001A75F9">
        <w:t xml:space="preserve"> would increase this transparency and </w:t>
      </w:r>
      <w:r w:rsidR="006D597B" w:rsidRPr="001A75F9">
        <w:t xml:space="preserve">help to </w:t>
      </w:r>
      <w:r w:rsidR="008611BB" w:rsidRPr="001A75F9">
        <w:t xml:space="preserve">avoid authorizations with </w:t>
      </w:r>
      <w:r w:rsidR="00DC0672" w:rsidRPr="001A75F9">
        <w:t xml:space="preserve">higher risks </w:t>
      </w:r>
      <w:r w:rsidR="008611BB" w:rsidRPr="001A75F9">
        <w:t xml:space="preserve">than benefits. </w:t>
      </w:r>
      <w:r w:rsidR="00E74393" w:rsidRPr="001A75F9">
        <w:t>Increased transparency would have the advantage of supporting consistent decision-making</w:t>
      </w:r>
      <w:r w:rsidR="006D300B" w:rsidRPr="001A75F9">
        <w:t xml:space="preserve"> across </w:t>
      </w:r>
      <w:r w:rsidR="00A34C20" w:rsidRPr="001A75F9">
        <w:t xml:space="preserve">a </w:t>
      </w:r>
      <w:r w:rsidR="006D300B" w:rsidRPr="001A75F9">
        <w:t xml:space="preserve">diverse group of </w:t>
      </w:r>
      <w:r w:rsidR="00A34C20" w:rsidRPr="001A75F9">
        <w:t xml:space="preserve">European </w:t>
      </w:r>
      <w:r w:rsidR="006D300B" w:rsidRPr="001A75F9">
        <w:t xml:space="preserve">decision-makers. </w:t>
      </w:r>
    </w:p>
    <w:p w14:paraId="5419D706" w14:textId="2CEF6556" w:rsidR="00B06238" w:rsidRPr="001A75F9" w:rsidRDefault="00A359FA" w:rsidP="00AB4710">
      <w:r w:rsidRPr="001A75F9">
        <w:t>The greatest advantage from implementing</w:t>
      </w:r>
      <w:r w:rsidR="00123828" w:rsidRPr="001A75F9">
        <w:t xml:space="preserve"> any of</w:t>
      </w:r>
      <w:r w:rsidRPr="001A75F9">
        <w:t xml:space="preserve"> the </w:t>
      </w:r>
      <w:r w:rsidR="00123828" w:rsidRPr="001A75F9">
        <w:t>three</w:t>
      </w:r>
      <w:r w:rsidRPr="001A75F9">
        <w:t xml:space="preserve"> methods will be for cases where </w:t>
      </w:r>
      <w:r w:rsidR="00EC6C7A" w:rsidRPr="001A75F9">
        <w:t xml:space="preserve">an </w:t>
      </w:r>
      <w:r w:rsidRPr="001A75F9">
        <w:t>environmental risk is indicated</w:t>
      </w:r>
      <w:r w:rsidR="00EC6C7A" w:rsidRPr="001A75F9">
        <w:t xml:space="preserve"> in a Phase II assessment</w:t>
      </w:r>
      <w:r w:rsidR="000047D7" w:rsidRPr="001A75F9">
        <w:t xml:space="preserve"> (Figure 2)</w:t>
      </w:r>
      <w:r w:rsidRPr="001A75F9">
        <w:t>. Previous experience with authorizations suggests 10% of VMPs products</w:t>
      </w:r>
      <w:r w:rsidR="00EB5B65" w:rsidRPr="001A75F9">
        <w:t xml:space="preserve"> may fall into this category </w:t>
      </w:r>
      <w:r w:rsidR="00B468CA" w:rsidRPr="001A75F9">
        <w:t>(Kü</w:t>
      </w:r>
      <w:r w:rsidRPr="001A75F9">
        <w:t xml:space="preserve">ster </w:t>
      </w:r>
      <w:r w:rsidR="00416049" w:rsidRPr="001A75F9">
        <w:t>and Adler</w:t>
      </w:r>
      <w:r w:rsidRPr="001A75F9">
        <w:t xml:space="preserve"> 2014).</w:t>
      </w:r>
      <w:r w:rsidR="00EB5B65" w:rsidRPr="001A75F9">
        <w:t xml:space="preserve"> The remaining cases where environmental risk is below the acceptable level still require a </w:t>
      </w:r>
      <w:r w:rsidR="006B16A3" w:rsidRPr="001A75F9">
        <w:t>benefit</w:t>
      </w:r>
      <w:r w:rsidR="00EB5B65" w:rsidRPr="001A75F9">
        <w:t>-risk assessment</w:t>
      </w:r>
      <w:r w:rsidR="00751A10" w:rsidRPr="001A75F9">
        <w:t xml:space="preserve"> </w:t>
      </w:r>
      <w:r w:rsidR="008205F6" w:rsidRPr="001A75F9">
        <w:t>(EM</w:t>
      </w:r>
      <w:r w:rsidR="00CF0BC9" w:rsidRPr="001A75F9">
        <w:t xml:space="preserve">A 2009). </w:t>
      </w:r>
      <w:r w:rsidR="000A26D6" w:rsidRPr="001A75F9">
        <w:t>In all assessments</w:t>
      </w:r>
      <w:r w:rsidR="00EB5B65" w:rsidRPr="001A75F9">
        <w:t xml:space="preserve"> the methods would support standardized communication of the acceptable environmental risk level and sufficient benefits level.</w:t>
      </w:r>
      <w:r w:rsidR="006B16A3" w:rsidRPr="001A75F9">
        <w:t xml:space="preserve"> The benefit-risk </w:t>
      </w:r>
      <w:r w:rsidR="005461D4" w:rsidRPr="001A75F9">
        <w:t>e</w:t>
      </w:r>
      <w:r w:rsidR="006B16A3" w:rsidRPr="001A75F9">
        <w:t>valuation</w:t>
      </w:r>
      <w:r w:rsidR="005461D4" w:rsidRPr="001A75F9">
        <w:t>s are</w:t>
      </w:r>
      <w:r w:rsidR="006B16A3" w:rsidRPr="001A75F9">
        <w:t xml:space="preserve"> </w:t>
      </w:r>
      <w:r w:rsidR="00725979" w:rsidRPr="001A75F9">
        <w:t xml:space="preserve">also </w:t>
      </w:r>
      <w:r w:rsidR="006B16A3" w:rsidRPr="001A75F9">
        <w:t>required</w:t>
      </w:r>
      <w:r w:rsidR="00725979" w:rsidRPr="001A75F9">
        <w:t xml:space="preserve"> post-authorization, (e.g.,</w:t>
      </w:r>
      <w:r w:rsidR="006B16A3" w:rsidRPr="001A75F9">
        <w:t xml:space="preserve"> renewal after 5 years on the market</w:t>
      </w:r>
      <w:r w:rsidR="00725979" w:rsidRPr="001A75F9">
        <w:t xml:space="preserve">) </w:t>
      </w:r>
      <w:r w:rsidR="008205F6" w:rsidRPr="001A75F9">
        <w:t>(EM</w:t>
      </w:r>
      <w:r w:rsidR="00CF0BC9" w:rsidRPr="001A75F9">
        <w:t xml:space="preserve">A 2009). </w:t>
      </w:r>
      <w:r w:rsidR="003B7DA2" w:rsidRPr="001A75F9">
        <w:t xml:space="preserve">The proposed methods are clear structures into which </w:t>
      </w:r>
      <w:r w:rsidR="000047D7" w:rsidRPr="001A75F9">
        <w:t>updated</w:t>
      </w:r>
      <w:r w:rsidR="00BA1AFB" w:rsidRPr="001A75F9">
        <w:t xml:space="preserve"> </w:t>
      </w:r>
      <w:r w:rsidR="003B7DA2" w:rsidRPr="001A75F9">
        <w:t xml:space="preserve">data can be entered for </w:t>
      </w:r>
      <w:r w:rsidR="00725979" w:rsidRPr="001A75F9">
        <w:t>post-authorization benefit-risk assessments</w:t>
      </w:r>
      <w:r w:rsidR="003B7DA2" w:rsidRPr="001A75F9">
        <w:t xml:space="preserve">. </w:t>
      </w:r>
      <w:r w:rsidR="0023081E" w:rsidRPr="001A75F9">
        <w:t>However, environmental monitoring</w:t>
      </w:r>
      <w:r w:rsidR="00BA1AFB" w:rsidRPr="001A75F9">
        <w:t xml:space="preserve"> data</w:t>
      </w:r>
      <w:r w:rsidR="0023081E" w:rsidRPr="001A75F9">
        <w:t xml:space="preserve"> for </w:t>
      </w:r>
      <w:r w:rsidR="00AF0717" w:rsidRPr="001A75F9">
        <w:t>pharmaceuticals</w:t>
      </w:r>
      <w:r w:rsidR="0023081E" w:rsidRPr="001A75F9">
        <w:t xml:space="preserve"> </w:t>
      </w:r>
      <w:r w:rsidR="00BA1AFB" w:rsidRPr="001A75F9">
        <w:t>are</w:t>
      </w:r>
      <w:r w:rsidR="0023081E" w:rsidRPr="001A75F9">
        <w:t xml:space="preserve"> limited </w:t>
      </w:r>
      <w:r w:rsidR="003B2948" w:rsidRPr="001A75F9">
        <w:t>(Kü</w:t>
      </w:r>
      <w:r w:rsidR="00185B85" w:rsidRPr="001A75F9">
        <w:t xml:space="preserve">ster and Adler 2014; </w:t>
      </w:r>
      <w:r w:rsidR="003B2948" w:rsidRPr="001A75F9">
        <w:t>Acuña et al. 2015</w:t>
      </w:r>
      <w:r w:rsidR="00185B85" w:rsidRPr="001A75F9">
        <w:t>).</w:t>
      </w:r>
      <w:r w:rsidR="003B7DA2" w:rsidRPr="001A75F9">
        <w:t xml:space="preserve"> </w:t>
      </w:r>
      <w:r w:rsidR="00104524" w:rsidRPr="001A75F9">
        <w:t xml:space="preserve">  </w:t>
      </w:r>
    </w:p>
    <w:p w14:paraId="0A218BAB" w14:textId="690FAB5F" w:rsidR="00AD438F" w:rsidRPr="001A75F9" w:rsidRDefault="00881EE0" w:rsidP="00AB4710">
      <w:r w:rsidRPr="001A75F9">
        <w:t xml:space="preserve">The problem of different recipients of benefits </w:t>
      </w:r>
      <w:r w:rsidR="00162C70" w:rsidRPr="001A75F9">
        <w:t>(i.e.</w:t>
      </w:r>
      <w:r w:rsidR="00BA1AFB" w:rsidRPr="001A75F9">
        <w:t>,</w:t>
      </w:r>
      <w:r w:rsidR="00162C70" w:rsidRPr="001A75F9">
        <w:t xml:space="preserve"> animal and farmer) </w:t>
      </w:r>
      <w:r w:rsidRPr="001A75F9">
        <w:t>and risks</w:t>
      </w:r>
      <w:r w:rsidR="00162C70" w:rsidRPr="001A75F9">
        <w:t xml:space="preserve"> (</w:t>
      </w:r>
      <w:r w:rsidR="00D6081E" w:rsidRPr="001A75F9">
        <w:t>e.g., to the animal, to the wider environment</w:t>
      </w:r>
      <w:r w:rsidR="00162C70" w:rsidRPr="001A75F9">
        <w:t>)</w:t>
      </w:r>
      <w:r w:rsidRPr="001A75F9">
        <w:t xml:space="preserve"> is challenging</w:t>
      </w:r>
      <w:r w:rsidR="00776B1D" w:rsidRPr="001A75F9">
        <w:t>.  B</w:t>
      </w:r>
      <w:r w:rsidRPr="001A75F9">
        <w:t xml:space="preserve">alancing is an important </w:t>
      </w:r>
      <w:r w:rsidR="005142B2" w:rsidRPr="001A75F9">
        <w:t>role of regulation</w:t>
      </w:r>
      <w:r w:rsidRPr="001A75F9">
        <w:t>. In the case of VMPs</w:t>
      </w:r>
      <w:r w:rsidR="00A87312" w:rsidRPr="001A75F9">
        <w:t>,</w:t>
      </w:r>
      <w:r w:rsidRPr="001A75F9">
        <w:t xml:space="preserve"> the benefits are not only profits for farmers but also animal </w:t>
      </w:r>
      <w:r w:rsidR="002A7B93" w:rsidRPr="001A75F9">
        <w:t xml:space="preserve">health and </w:t>
      </w:r>
      <w:r w:rsidRPr="001A75F9">
        <w:t>welfare</w:t>
      </w:r>
      <w:r w:rsidR="002A7B93" w:rsidRPr="001A75F9">
        <w:t xml:space="preserve"> as well as human health (e.g., </w:t>
      </w:r>
      <w:r w:rsidR="0041430B" w:rsidRPr="001A75F9">
        <w:t xml:space="preserve">prevention of </w:t>
      </w:r>
      <w:r w:rsidR="002A7B93" w:rsidRPr="001A75F9">
        <w:t>zoonotic disease</w:t>
      </w:r>
      <w:r w:rsidR="0041430B" w:rsidRPr="001A75F9">
        <w:t>s</w:t>
      </w:r>
      <w:r w:rsidR="002A7B93" w:rsidRPr="001A75F9">
        <w:t>)</w:t>
      </w:r>
      <w:r w:rsidRPr="001A75F9">
        <w:t xml:space="preserve">. </w:t>
      </w:r>
      <w:r w:rsidR="008B4FAA" w:rsidRPr="001A75F9">
        <w:t>Further, i</w:t>
      </w:r>
      <w:r w:rsidR="00975B29" w:rsidRPr="001A75F9">
        <w:t xml:space="preserve">t is a legal requirement </w:t>
      </w:r>
      <w:r w:rsidR="002F5E6A" w:rsidRPr="001A75F9">
        <w:t xml:space="preserve">that </w:t>
      </w:r>
      <w:r w:rsidR="00EC235D" w:rsidRPr="001A75F9">
        <w:t xml:space="preserve">reasonable actions be applied to </w:t>
      </w:r>
      <w:r w:rsidR="008500CF" w:rsidRPr="001A75F9">
        <w:t>alleviat</w:t>
      </w:r>
      <w:r w:rsidR="00BA1AFB" w:rsidRPr="001A75F9">
        <w:t>e</w:t>
      </w:r>
      <w:r w:rsidR="00975B29" w:rsidRPr="001A75F9">
        <w:t xml:space="preserve"> unnecessary pain and </w:t>
      </w:r>
      <w:r w:rsidR="008500CF" w:rsidRPr="001A75F9">
        <w:t xml:space="preserve">suffering </w:t>
      </w:r>
      <w:r w:rsidR="006C08AA" w:rsidRPr="001A75F9">
        <w:t xml:space="preserve">of livestock </w:t>
      </w:r>
      <w:r w:rsidR="00975B29" w:rsidRPr="001A75F9">
        <w:t>(</w:t>
      </w:r>
      <w:r w:rsidR="002D0931" w:rsidRPr="001A75F9">
        <w:t>Article 3 of Directive 98/58/EC</w:t>
      </w:r>
      <w:r w:rsidR="00EC235D" w:rsidRPr="001A75F9">
        <w:t xml:space="preserve"> </w:t>
      </w:r>
      <w:r w:rsidR="004F0C54" w:rsidRPr="001A75F9">
        <w:t>(European</w:t>
      </w:r>
      <w:r w:rsidR="00975B29" w:rsidRPr="001A75F9">
        <w:t xml:space="preserve"> Parliament 1998)).</w:t>
      </w:r>
      <w:r w:rsidRPr="001A75F9">
        <w:t xml:space="preserve"> </w:t>
      </w:r>
      <w:r w:rsidR="00537F3B" w:rsidRPr="001A75F9">
        <w:t>The other case where welfare is a significant benefit is the case of human me</w:t>
      </w:r>
      <w:r w:rsidR="00451B27" w:rsidRPr="001A75F9">
        <w:t>dicinal products. For huma</w:t>
      </w:r>
      <w:r w:rsidR="00537F3B" w:rsidRPr="001A75F9">
        <w:t>n</w:t>
      </w:r>
      <w:r w:rsidR="00451B27" w:rsidRPr="001A75F9">
        <w:t xml:space="preserve"> medicines an</w:t>
      </w:r>
      <w:r w:rsidR="00537F3B" w:rsidRPr="001A75F9">
        <w:t xml:space="preserve"> ERA is required</w:t>
      </w:r>
      <w:r w:rsidR="00517DF4" w:rsidRPr="001A75F9">
        <w:t xml:space="preserve"> but</w:t>
      </w:r>
      <w:r w:rsidR="00537F3B" w:rsidRPr="001A75F9">
        <w:t xml:space="preserve"> </w:t>
      </w:r>
      <w:r w:rsidR="00BA1AFB" w:rsidRPr="001A75F9">
        <w:t>environmental risks</w:t>
      </w:r>
      <w:r w:rsidR="00451B27" w:rsidRPr="001A75F9">
        <w:t xml:space="preserve"> do not constitute grounds </w:t>
      </w:r>
      <w:r w:rsidR="00BA1AFB" w:rsidRPr="001A75F9">
        <w:t>for</w:t>
      </w:r>
      <w:r w:rsidR="00451B27" w:rsidRPr="001A75F9">
        <w:t xml:space="preserve"> refusal of the authorization</w:t>
      </w:r>
      <w:r w:rsidR="00590CAC" w:rsidRPr="001A75F9">
        <w:t xml:space="preserve"> (Directive 2001/83/EC (European Parliament 2001)). </w:t>
      </w:r>
      <w:r w:rsidR="00875BA8" w:rsidRPr="001A75F9">
        <w:t xml:space="preserve">VMPs are </w:t>
      </w:r>
      <w:r w:rsidR="000047D7" w:rsidRPr="001A75F9">
        <w:t>a</w:t>
      </w:r>
      <w:r w:rsidR="00875BA8" w:rsidRPr="001A75F9">
        <w:t xml:space="preserve"> unique case </w:t>
      </w:r>
      <w:r w:rsidR="00BA1AFB" w:rsidRPr="001A75F9">
        <w:t>in which regulato</w:t>
      </w:r>
      <w:r w:rsidR="00DD5EC0" w:rsidRPr="001A75F9">
        <w:t xml:space="preserve">rs must explicitly consider both the ethics of </w:t>
      </w:r>
      <w:r w:rsidR="00875BA8" w:rsidRPr="001A75F9">
        <w:t xml:space="preserve">benefits and </w:t>
      </w:r>
      <w:r w:rsidR="00DD5EC0" w:rsidRPr="001A75F9">
        <w:t xml:space="preserve">the environmental </w:t>
      </w:r>
      <w:r w:rsidR="00875BA8" w:rsidRPr="001A75F9">
        <w:t>risks</w:t>
      </w:r>
      <w:r w:rsidRPr="001A75F9">
        <w:t xml:space="preserve">. </w:t>
      </w:r>
    </w:p>
    <w:p w14:paraId="120FEF12" w14:textId="61AB94DA" w:rsidR="00F23BC1" w:rsidRPr="001A75F9" w:rsidRDefault="00AD438F" w:rsidP="007935F5">
      <w:r w:rsidRPr="001A75F9">
        <w:rPr>
          <w:b/>
        </w:rPr>
        <w:t>7.</w:t>
      </w:r>
      <w:r w:rsidRPr="001A75F9">
        <w:rPr>
          <w:b/>
        </w:rPr>
        <w:tab/>
      </w:r>
      <w:r w:rsidR="00F23BC1" w:rsidRPr="001A75F9">
        <w:rPr>
          <w:rStyle w:val="Heading1Char"/>
        </w:rPr>
        <w:t>Adaptability</w:t>
      </w:r>
      <w:r w:rsidR="00790AFE" w:rsidRPr="001A75F9">
        <w:rPr>
          <w:rStyle w:val="Heading1Char"/>
        </w:rPr>
        <w:t xml:space="preserve"> of </w:t>
      </w:r>
      <w:r w:rsidRPr="001A75F9">
        <w:rPr>
          <w:rStyle w:val="Heading1Char"/>
        </w:rPr>
        <w:t>the three</w:t>
      </w:r>
      <w:r w:rsidR="00790AFE" w:rsidRPr="001A75F9">
        <w:rPr>
          <w:rStyle w:val="Heading1Char"/>
        </w:rPr>
        <w:t xml:space="preserve"> </w:t>
      </w:r>
      <w:r w:rsidRPr="001A75F9">
        <w:rPr>
          <w:rStyle w:val="Heading1Char"/>
        </w:rPr>
        <w:t>methods</w:t>
      </w:r>
      <w:r w:rsidR="00F23BC1" w:rsidRPr="001A75F9">
        <w:rPr>
          <w:b/>
        </w:rPr>
        <w:t xml:space="preserve"> </w:t>
      </w:r>
    </w:p>
    <w:p w14:paraId="0C55A48C" w14:textId="143A69CA" w:rsidR="00005AEC" w:rsidRPr="001A75F9" w:rsidRDefault="00B03EE5" w:rsidP="003F1798">
      <w:r w:rsidRPr="001A75F9">
        <w:t>Variability</w:t>
      </w:r>
      <w:r w:rsidR="0066281F" w:rsidRPr="001A75F9">
        <w:t xml:space="preserve"> between classes of VMPs </w:t>
      </w:r>
      <w:r w:rsidRPr="001A75F9">
        <w:t>can be incorporated into</w:t>
      </w:r>
      <w:r w:rsidR="0066281F" w:rsidRPr="001A75F9">
        <w:t xml:space="preserve"> benefit and risk levels.</w:t>
      </w:r>
      <w:r w:rsidR="00005AEC" w:rsidRPr="001A75F9">
        <w:t xml:space="preserve"> </w:t>
      </w:r>
      <w:r w:rsidRPr="001A75F9">
        <w:t>The benefits of drugs will differ de</w:t>
      </w:r>
      <w:r w:rsidR="007E0E08" w:rsidRPr="001A75F9">
        <w:t xml:space="preserve">pending on the </w:t>
      </w:r>
      <w:r w:rsidR="00D84151" w:rsidRPr="001A75F9">
        <w:t>treatment (e.g., disease treatment, zootechnical benefit)</w:t>
      </w:r>
      <w:r w:rsidR="007E0E08" w:rsidRPr="001A75F9">
        <w:t>. For example,</w:t>
      </w:r>
      <w:r w:rsidR="00321C96" w:rsidRPr="001A75F9">
        <w:t xml:space="preserve"> </w:t>
      </w:r>
      <w:r w:rsidR="002267C3" w:rsidRPr="001A75F9">
        <w:t xml:space="preserve">different </w:t>
      </w:r>
      <w:r w:rsidR="00835C55" w:rsidRPr="001A75F9">
        <w:t>classification</w:t>
      </w:r>
      <w:r w:rsidR="002267C3" w:rsidRPr="001A75F9">
        <w:t>s may include</w:t>
      </w:r>
      <w:r w:rsidR="00074110" w:rsidRPr="001A75F9">
        <w:t xml:space="preserve"> </w:t>
      </w:r>
      <w:r w:rsidR="002267C3" w:rsidRPr="001A75F9">
        <w:t>or exclude</w:t>
      </w:r>
      <w:r w:rsidR="00074110" w:rsidRPr="001A75F9">
        <w:t xml:space="preserve"> </w:t>
      </w:r>
      <w:r w:rsidRPr="001A75F9">
        <w:t>resistance criteria</w:t>
      </w:r>
      <w:r w:rsidR="003A5138" w:rsidRPr="001A75F9">
        <w:t xml:space="preserve"> (e.g.</w:t>
      </w:r>
      <w:r w:rsidR="00AD438F" w:rsidRPr="001A75F9">
        <w:t>,</w:t>
      </w:r>
      <w:r w:rsidR="003A5138" w:rsidRPr="001A75F9">
        <w:t xml:space="preserve"> antibiotics and nonsteroidal anti-inflammatory drugs</w:t>
      </w:r>
      <w:r w:rsidR="005B59F0" w:rsidRPr="001A75F9">
        <w:t xml:space="preserve">, respectively) </w:t>
      </w:r>
      <w:r w:rsidRPr="001A75F9">
        <w:t>(</w:t>
      </w:r>
      <w:r w:rsidR="00835C55" w:rsidRPr="001A75F9">
        <w:t>Table</w:t>
      </w:r>
      <w:r w:rsidRPr="001A75F9">
        <w:t xml:space="preserve"> </w:t>
      </w:r>
      <w:r w:rsidR="00C63510" w:rsidRPr="001A75F9">
        <w:t>1</w:t>
      </w:r>
      <w:r w:rsidR="007E0E08" w:rsidRPr="001A75F9">
        <w:t>)</w:t>
      </w:r>
      <w:r w:rsidRPr="001A75F9">
        <w:t xml:space="preserve">. </w:t>
      </w:r>
      <w:r w:rsidR="00AD438F" w:rsidRPr="001A75F9">
        <w:t>The methods</w:t>
      </w:r>
      <w:r w:rsidR="00C63510" w:rsidRPr="001A75F9">
        <w:t xml:space="preserve"> could also be adapted in the case that ERAs are </w:t>
      </w:r>
      <w:r w:rsidR="0007541A" w:rsidRPr="001A75F9">
        <w:t xml:space="preserve">adjusted for specific </w:t>
      </w:r>
      <w:r w:rsidR="00005AEC" w:rsidRPr="001A75F9">
        <w:t>pharmaceutical class</w:t>
      </w:r>
      <w:r w:rsidR="00835C55" w:rsidRPr="001A75F9">
        <w:t>es</w:t>
      </w:r>
      <w:r w:rsidR="00C63510" w:rsidRPr="001A75F9">
        <w:t xml:space="preserve"> </w:t>
      </w:r>
      <w:r w:rsidR="00535FC6" w:rsidRPr="001A75F9">
        <w:t xml:space="preserve">as has been previously recommended </w:t>
      </w:r>
      <w:r w:rsidR="00C63510" w:rsidRPr="001A75F9">
        <w:t>(Brandt et al. 2015)</w:t>
      </w:r>
      <w:r w:rsidR="006E0781" w:rsidRPr="001A75F9">
        <w:t>.</w:t>
      </w:r>
      <w:r w:rsidR="00005AEC" w:rsidRPr="001A75F9">
        <w:t xml:space="preserve"> </w:t>
      </w:r>
    </w:p>
    <w:p w14:paraId="101EF344" w14:textId="6C61C784" w:rsidR="00835C55" w:rsidRPr="001A75F9" w:rsidRDefault="00A912F7" w:rsidP="00AE2569">
      <w:r w:rsidRPr="001A75F9">
        <w:t xml:space="preserve">A decision rule could </w:t>
      </w:r>
      <w:r w:rsidR="00BF7665" w:rsidRPr="001A75F9">
        <w:t>be implemented with agreed benefit and risk</w:t>
      </w:r>
      <w:r w:rsidR="00AC2D36" w:rsidRPr="001A75F9">
        <w:t xml:space="preserve"> classification</w:t>
      </w:r>
      <w:r w:rsidRPr="001A75F9">
        <w:t xml:space="preserve">. </w:t>
      </w:r>
      <w:r w:rsidR="00AC2D36" w:rsidRPr="001A75F9">
        <w:t xml:space="preserve">Both the summative and comparative methods </w:t>
      </w:r>
      <w:r w:rsidR="00A87312" w:rsidRPr="001A75F9">
        <w:t>w</w:t>
      </w:r>
      <w:r w:rsidR="00AD438F" w:rsidRPr="001A75F9">
        <w:t>ould</w:t>
      </w:r>
      <w:r w:rsidR="00AC2D36" w:rsidRPr="001A75F9">
        <w:t xml:space="preserve"> support a more structured decision-rule approach. </w:t>
      </w:r>
      <w:r w:rsidR="00BF7665" w:rsidRPr="001A75F9">
        <w:t xml:space="preserve">The </w:t>
      </w:r>
      <w:r w:rsidR="008E7789" w:rsidRPr="001A75F9">
        <w:t>applied</w:t>
      </w:r>
      <w:r w:rsidR="000375B3" w:rsidRPr="001A75F9">
        <w:t xml:space="preserve"> </w:t>
      </w:r>
      <w:r w:rsidR="00BF7665" w:rsidRPr="001A75F9">
        <w:t xml:space="preserve">decision rule </w:t>
      </w:r>
      <w:r w:rsidR="00835C55" w:rsidRPr="001A75F9">
        <w:t>could</w:t>
      </w:r>
      <w:r w:rsidR="00AC2D36" w:rsidRPr="001A75F9">
        <w:t xml:space="preserve"> follow the example in Figure 3</w:t>
      </w:r>
      <w:r w:rsidR="00BF7665" w:rsidRPr="001A75F9">
        <w:t>, where a benefit equal</w:t>
      </w:r>
      <w:r w:rsidR="00835C55" w:rsidRPr="001A75F9">
        <w:t xml:space="preserve"> to the risk</w:t>
      </w:r>
      <w:r w:rsidR="00BF7665" w:rsidRPr="001A75F9">
        <w:t xml:space="preserve"> or </w:t>
      </w:r>
      <w:r w:rsidR="00AD438F" w:rsidRPr="001A75F9">
        <w:t>a</w:t>
      </w:r>
      <w:r w:rsidR="00BF7665" w:rsidRPr="001A75F9">
        <w:t xml:space="preserve"> level higher is required for authorization. </w:t>
      </w:r>
      <w:r w:rsidR="00AE2569" w:rsidRPr="001A75F9">
        <w:t>Alternatively, higher levels of risk may need two levels of benefits to satisfy decision-makers</w:t>
      </w:r>
      <w:r w:rsidR="00835C55" w:rsidRPr="001A75F9">
        <w:t xml:space="preserve"> and address uncertainty</w:t>
      </w:r>
      <w:r w:rsidR="00AE2569" w:rsidRPr="001A75F9">
        <w:t xml:space="preserve">. </w:t>
      </w:r>
      <w:r w:rsidR="00835C55" w:rsidRPr="001A75F9">
        <w:t>C</w:t>
      </w:r>
      <w:r w:rsidR="008B6E07" w:rsidRPr="001A75F9">
        <w:t xml:space="preserve">onsideration of </w:t>
      </w:r>
      <w:r w:rsidR="00EF3908" w:rsidRPr="001A75F9">
        <w:t>uncertainty</w:t>
      </w:r>
      <w:r w:rsidR="008B6E07" w:rsidRPr="001A75F9">
        <w:t xml:space="preserve"> is vital in interpreting e</w:t>
      </w:r>
      <w:r w:rsidR="00387947" w:rsidRPr="001A75F9">
        <w:t>cotoxicological data (</w:t>
      </w:r>
      <w:r w:rsidR="00DA1979" w:rsidRPr="001A75F9">
        <w:rPr>
          <w:color w:val="000000"/>
        </w:rPr>
        <w:t>Breitholtz</w:t>
      </w:r>
      <w:r w:rsidR="00DA1979" w:rsidRPr="001A75F9">
        <w:t xml:space="preserve"> et al. 2006</w:t>
      </w:r>
      <w:r w:rsidR="00387947" w:rsidRPr="001A75F9">
        <w:t>)</w:t>
      </w:r>
      <w:r w:rsidR="00AD438F" w:rsidRPr="001A75F9">
        <w:t>;</w:t>
      </w:r>
      <w:r w:rsidR="00835C55" w:rsidRPr="001A75F9">
        <w:t xml:space="preserve"> thus</w:t>
      </w:r>
      <w:r w:rsidR="00AD438F" w:rsidRPr="001A75F9">
        <w:t>,</w:t>
      </w:r>
      <w:r w:rsidR="008B6E07" w:rsidRPr="001A75F9">
        <w:t xml:space="preserve"> more conservative approaches may be favoured. </w:t>
      </w:r>
    </w:p>
    <w:p w14:paraId="1CD04E08" w14:textId="0E71014E" w:rsidR="0068642E" w:rsidRPr="001A75F9" w:rsidRDefault="00835C55" w:rsidP="005E0AFA">
      <w:r w:rsidRPr="001A75F9">
        <w:t>F</w:t>
      </w:r>
      <w:r w:rsidR="0025322F" w:rsidRPr="001A75F9">
        <w:t xml:space="preserve">lexibility in benefit-risk assessment is key to adapt </w:t>
      </w:r>
      <w:r w:rsidRPr="001A75F9">
        <w:t xml:space="preserve">the </w:t>
      </w:r>
      <w:r w:rsidR="00140A5D" w:rsidRPr="001A75F9">
        <w:t xml:space="preserve">ERA </w:t>
      </w:r>
      <w:r w:rsidRPr="001A75F9">
        <w:t>component</w:t>
      </w:r>
      <w:r w:rsidR="00483BAB" w:rsidRPr="001A75F9">
        <w:t>.</w:t>
      </w:r>
      <w:r w:rsidR="00140A5D" w:rsidRPr="001A75F9">
        <w:t xml:space="preserve"> </w:t>
      </w:r>
      <w:r w:rsidR="00483BAB" w:rsidRPr="001A75F9">
        <w:t xml:space="preserve">Scientific work develops and improves the scientific methods for ERA </w:t>
      </w:r>
      <w:r w:rsidR="00140A5D" w:rsidRPr="001A75F9">
        <w:t xml:space="preserve">(Werner and Hitzfeld 2012). </w:t>
      </w:r>
      <w:r w:rsidR="003765A3" w:rsidRPr="001A75F9">
        <w:t>Additionally</w:t>
      </w:r>
      <w:r w:rsidR="003A3BED" w:rsidRPr="001A75F9">
        <w:t>, e</w:t>
      </w:r>
      <w:r w:rsidR="00140A5D" w:rsidRPr="001A75F9">
        <w:t>xperience evaluating ERAs for VMPs has developed since becoming</w:t>
      </w:r>
      <w:r w:rsidRPr="001A75F9">
        <w:t xml:space="preserve"> a</w:t>
      </w:r>
      <w:r w:rsidR="00140A5D" w:rsidRPr="001A75F9">
        <w:t xml:space="preserve"> regulatory requirement (</w:t>
      </w:r>
      <w:r w:rsidR="00146160" w:rsidRPr="001A75F9">
        <w:t xml:space="preserve">Koschorreck et al. 2002; </w:t>
      </w:r>
      <w:r w:rsidR="00140A5D" w:rsidRPr="001A75F9">
        <w:t>K</w:t>
      </w:r>
      <w:r w:rsidRPr="001A75F9">
        <w:t>ü</w:t>
      </w:r>
      <w:r w:rsidR="00140A5D" w:rsidRPr="001A75F9">
        <w:t xml:space="preserve">ster and Alder 2014). </w:t>
      </w:r>
      <w:r w:rsidR="000064F2" w:rsidRPr="001A75F9">
        <w:t xml:space="preserve">Adaptability will be critical for a benefit-risk assessment to </w:t>
      </w:r>
      <w:r w:rsidR="009131B0" w:rsidRPr="001A75F9">
        <w:t>integrate emerging scientific knowledge and regulatory experience. For example</w:t>
      </w:r>
      <w:r w:rsidRPr="001A75F9">
        <w:t>,</w:t>
      </w:r>
      <w:r w:rsidR="009131B0" w:rsidRPr="001A75F9">
        <w:t xml:space="preserve"> p</w:t>
      </w:r>
      <w:r w:rsidR="005E0AFA" w:rsidRPr="001A75F9">
        <w:t xml:space="preserve">harmaceutical mixtures </w:t>
      </w:r>
      <w:r w:rsidR="00AD51A7" w:rsidRPr="001A75F9">
        <w:t xml:space="preserve">in the environment </w:t>
      </w:r>
      <w:r w:rsidR="005E0AFA" w:rsidRPr="001A75F9">
        <w:t xml:space="preserve">will likely be more toxic than single compounds (Backhaus 2016). </w:t>
      </w:r>
      <w:r w:rsidR="0032277E" w:rsidRPr="001A75F9">
        <w:t>Consideration of the environmental effects of multiple VMP compounds is limited to the case of combination products</w:t>
      </w:r>
      <w:r w:rsidR="00F15FA4" w:rsidRPr="001A75F9">
        <w:t>,</w:t>
      </w:r>
      <w:r w:rsidR="0032277E" w:rsidRPr="001A75F9">
        <w:t xml:space="preserve"> which have 2 or more active ingredients (EMA</w:t>
      </w:r>
      <w:r w:rsidR="00750327" w:rsidRPr="001A75F9">
        <w:t xml:space="preserve"> </w:t>
      </w:r>
      <w:r w:rsidR="0032277E" w:rsidRPr="001A75F9">
        <w:t>2006). The ERA of single compound products does not currently consider mixture toxicity</w:t>
      </w:r>
      <w:r w:rsidR="0007010D" w:rsidRPr="001A75F9">
        <w:t xml:space="preserve"> </w:t>
      </w:r>
      <w:r w:rsidR="00091819" w:rsidRPr="001A75F9">
        <w:t>(</w:t>
      </w:r>
      <w:r w:rsidR="00355F4C" w:rsidRPr="001A75F9">
        <w:t>VICH</w:t>
      </w:r>
      <w:r w:rsidR="007D50D7" w:rsidRPr="001A75F9">
        <w:t xml:space="preserve"> 2000, 2004</w:t>
      </w:r>
      <w:r w:rsidR="00AD438F" w:rsidRPr="001A75F9">
        <w:t>;</w:t>
      </w:r>
      <w:r w:rsidR="007D50D7" w:rsidRPr="001A75F9">
        <w:t xml:space="preserve"> </w:t>
      </w:r>
      <w:r w:rsidR="00355F4C" w:rsidRPr="001A75F9">
        <w:t xml:space="preserve">EMA </w:t>
      </w:r>
      <w:r w:rsidR="007D50D7" w:rsidRPr="001A75F9">
        <w:t xml:space="preserve">2008). </w:t>
      </w:r>
      <w:r w:rsidR="00D6081E" w:rsidRPr="001A75F9">
        <w:t xml:space="preserve"> </w:t>
      </w:r>
      <w:r w:rsidR="00163340" w:rsidRPr="001A75F9">
        <w:t xml:space="preserve">Further, pharmaceuticals are likely to occur within the environment with other compounds. </w:t>
      </w:r>
      <w:r w:rsidR="00A841D8" w:rsidRPr="001A75F9">
        <w:t>The individual evaluation and separation of chemicals (e.g.</w:t>
      </w:r>
      <w:r w:rsidRPr="001A75F9">
        <w:t>,</w:t>
      </w:r>
      <w:r w:rsidR="00A841D8" w:rsidRPr="001A75F9">
        <w:t xml:space="preserve"> VMPs and pesticides) has been questioned for </w:t>
      </w:r>
      <w:r w:rsidR="00B62FA8" w:rsidRPr="001A75F9">
        <w:t xml:space="preserve">human mixture risk assessment (Evans et al. 2015). </w:t>
      </w:r>
      <w:r w:rsidR="00A87312" w:rsidRPr="001A75F9">
        <w:t>E</w:t>
      </w:r>
      <w:r w:rsidR="009B7EB7" w:rsidRPr="001A75F9">
        <w:t xml:space="preserve">ffective consideration of </w:t>
      </w:r>
      <w:r w:rsidR="001872FC" w:rsidRPr="001A75F9">
        <w:t>mixtures</w:t>
      </w:r>
      <w:r w:rsidR="009B7EB7" w:rsidRPr="001A75F9">
        <w:t xml:space="preserve"> may require data </w:t>
      </w:r>
      <w:r w:rsidR="003B0F43" w:rsidRPr="001A75F9">
        <w:t>from different chemical regulation sectors</w:t>
      </w:r>
      <w:r w:rsidR="00137CB1" w:rsidRPr="001A75F9">
        <w:t xml:space="preserve"> (Backhaus 2016)</w:t>
      </w:r>
      <w:r w:rsidR="009B7EB7" w:rsidRPr="001A75F9">
        <w:t xml:space="preserve">. </w:t>
      </w:r>
      <w:r w:rsidR="00AD438F" w:rsidRPr="001A75F9">
        <w:t>A</w:t>
      </w:r>
      <w:r w:rsidR="009B7EB7" w:rsidRPr="001A75F9">
        <w:t xml:space="preserve">daptation of decision-support systems in all regulations </w:t>
      </w:r>
      <w:r w:rsidRPr="001A75F9">
        <w:t>is</w:t>
      </w:r>
      <w:r w:rsidR="009B7EB7" w:rsidRPr="001A75F9">
        <w:t xml:space="preserve"> a future challenge and opportunity for</w:t>
      </w:r>
      <w:r w:rsidR="00122344" w:rsidRPr="001A75F9">
        <w:t xml:space="preserve"> a</w:t>
      </w:r>
      <w:r w:rsidR="00AD438F" w:rsidRPr="001A75F9">
        <w:t>ny</w:t>
      </w:r>
      <w:r w:rsidR="009B7EB7" w:rsidRPr="001A75F9">
        <w:t xml:space="preserve"> benefit-risk assessment. </w:t>
      </w:r>
    </w:p>
    <w:p w14:paraId="7DC20F2C" w14:textId="5CDB3114" w:rsidR="0003363E" w:rsidRPr="001A75F9" w:rsidRDefault="004972C0" w:rsidP="004972C0">
      <w:pPr>
        <w:pStyle w:val="Heading1"/>
      </w:pPr>
      <w:r w:rsidRPr="001A75F9">
        <w:t xml:space="preserve">8. </w:t>
      </w:r>
      <w:r w:rsidRPr="001A75F9">
        <w:tab/>
        <w:t>Conclusion</w:t>
      </w:r>
    </w:p>
    <w:p w14:paraId="1680176D" w14:textId="21C8040C" w:rsidR="00835C55" w:rsidRPr="001A75F9" w:rsidRDefault="0003363E">
      <w:r w:rsidRPr="001A75F9">
        <w:t xml:space="preserve">The development and testing of benefit-risk </w:t>
      </w:r>
      <w:r w:rsidR="00AD438F" w:rsidRPr="001A75F9">
        <w:t>methods</w:t>
      </w:r>
      <w:r w:rsidRPr="001A75F9">
        <w:t xml:space="preserve"> for VMPs </w:t>
      </w:r>
      <w:r w:rsidR="00493959" w:rsidRPr="001A75F9">
        <w:t xml:space="preserve">with focus on </w:t>
      </w:r>
      <w:r w:rsidR="00332B30" w:rsidRPr="001A75F9">
        <w:t xml:space="preserve">assessing </w:t>
      </w:r>
      <w:r w:rsidR="00F51F7B" w:rsidRPr="001A75F9">
        <w:t xml:space="preserve">benefits and </w:t>
      </w:r>
      <w:r w:rsidR="00493959" w:rsidRPr="001A75F9">
        <w:t xml:space="preserve">environmental risks </w:t>
      </w:r>
      <w:r w:rsidRPr="001A75F9">
        <w:t xml:space="preserve">is novel work that requires further investigation. This </w:t>
      </w:r>
      <w:r w:rsidR="00F51F7B" w:rsidRPr="001A75F9">
        <w:t xml:space="preserve">paper </w:t>
      </w:r>
      <w:r w:rsidRPr="001A75F9">
        <w:t xml:space="preserve">proposes </w:t>
      </w:r>
      <w:r w:rsidR="00AD438F" w:rsidRPr="001A75F9">
        <w:t>three</w:t>
      </w:r>
      <w:r w:rsidRPr="001A75F9">
        <w:t xml:space="preserve"> </w:t>
      </w:r>
      <w:r w:rsidR="00AD438F" w:rsidRPr="001A75F9">
        <w:t>methods</w:t>
      </w:r>
      <w:r w:rsidRPr="001A75F9">
        <w:t xml:space="preserve"> to examine ERA data in a benefit-risk assessment. </w:t>
      </w:r>
      <w:r w:rsidR="002E242F" w:rsidRPr="001A75F9">
        <w:t>We have developed two of these methods</w:t>
      </w:r>
      <w:r w:rsidR="00DA3A1E" w:rsidRPr="001A75F9">
        <w:t xml:space="preserve"> to </w:t>
      </w:r>
      <w:r w:rsidR="00126811" w:rsidRPr="001A75F9">
        <w:t xml:space="preserve">support independent </w:t>
      </w:r>
      <w:r w:rsidR="00DA3A1E" w:rsidRPr="001A75F9">
        <w:t>benefit-risk comparison</w:t>
      </w:r>
      <w:r w:rsidR="00126811" w:rsidRPr="001A75F9">
        <w:t>. Classifications could either support a formulaic approach focused on a decision rule (i.e. the summative classification) or a flexible approach based on decision</w:t>
      </w:r>
      <w:r w:rsidR="00AD438F" w:rsidRPr="001A75F9">
        <w:t>-</w:t>
      </w:r>
      <w:r w:rsidR="00126811" w:rsidRPr="001A75F9">
        <w:t xml:space="preserve">maker judgement (i.e. the visual scoring matrix). Both approaches </w:t>
      </w:r>
      <w:r w:rsidR="00FB0343" w:rsidRPr="001A75F9">
        <w:t xml:space="preserve">would be supported by current legislation. </w:t>
      </w:r>
    </w:p>
    <w:p w14:paraId="3F17A04E" w14:textId="26C96DF2" w:rsidR="00835C55" w:rsidRPr="001A75F9" w:rsidRDefault="00FB0343">
      <w:r w:rsidRPr="001A75F9">
        <w:t>Future development of regulation to consider substitutes would be supported by the</w:t>
      </w:r>
      <w:r w:rsidR="002E242F" w:rsidRPr="001A75F9">
        <w:t xml:space="preserve"> final method, the</w:t>
      </w:r>
      <w:r w:rsidRPr="001A75F9">
        <w:t xml:space="preserve"> comparative classification. Data beyond current ERA requirements </w:t>
      </w:r>
      <w:r w:rsidR="00AD438F" w:rsidRPr="001A75F9">
        <w:t>are</w:t>
      </w:r>
      <w:r w:rsidRPr="001A75F9">
        <w:t xml:space="preserve"> suggested in the classification to support more realistic evaluations. All </w:t>
      </w:r>
      <w:r w:rsidR="00AD438F" w:rsidRPr="001A75F9">
        <w:t>three methods</w:t>
      </w:r>
      <w:r w:rsidRPr="001A75F9">
        <w:t xml:space="preserve"> have potential to support a large and diverse group of decision-makers.</w:t>
      </w:r>
      <w:r w:rsidR="00E76263" w:rsidRPr="001A75F9">
        <w:t xml:space="preserve"> </w:t>
      </w:r>
      <w:r w:rsidRPr="001A75F9">
        <w:t>The flexibility, adaptability</w:t>
      </w:r>
      <w:r w:rsidR="00835C55" w:rsidRPr="001A75F9">
        <w:t>,</w:t>
      </w:r>
      <w:r w:rsidRPr="001A75F9">
        <w:t xml:space="preserve"> and transparency of each approach are the main strengths of implementing any of the methods. </w:t>
      </w:r>
    </w:p>
    <w:p w14:paraId="1E763FB2" w14:textId="7DAA97FF" w:rsidR="00FD18E7" w:rsidRPr="001A75F9" w:rsidRDefault="000264FE">
      <w:r w:rsidRPr="001A75F9">
        <w:t xml:space="preserve">Adaptability will ensure </w:t>
      </w:r>
      <w:r w:rsidR="00835C55" w:rsidRPr="001A75F9">
        <w:t xml:space="preserve">that the </w:t>
      </w:r>
      <w:r w:rsidRPr="001A75F9">
        <w:t xml:space="preserve">methods can evolve with scientific knowledge and regulatory experience to address emerging challenges. </w:t>
      </w:r>
      <w:r w:rsidR="0003363E" w:rsidRPr="001A75F9">
        <w:t xml:space="preserve">Further work with regulators </w:t>
      </w:r>
      <w:r w:rsidR="00523828" w:rsidRPr="001A75F9">
        <w:t xml:space="preserve">and veterinarians </w:t>
      </w:r>
      <w:r w:rsidR="0003363E" w:rsidRPr="001A75F9">
        <w:t xml:space="preserve">could define </w:t>
      </w:r>
      <w:r w:rsidR="00523828" w:rsidRPr="001A75F9">
        <w:t xml:space="preserve">benefit and </w:t>
      </w:r>
      <w:r w:rsidR="0003363E" w:rsidRPr="001A75F9">
        <w:t>risk categories and decision rule</w:t>
      </w:r>
      <w:r w:rsidR="00AD438F" w:rsidRPr="001A75F9">
        <w:t>s</w:t>
      </w:r>
      <w:r w:rsidR="0003363E" w:rsidRPr="001A75F9">
        <w:t xml:space="preserve"> </w:t>
      </w:r>
      <w:r w:rsidR="007E1E44" w:rsidRPr="001A75F9">
        <w:t>for</w:t>
      </w:r>
      <w:r w:rsidR="0003363E" w:rsidRPr="001A75F9">
        <w:t xml:space="preserve"> comparisons</w:t>
      </w:r>
      <w:r w:rsidR="00EE2408" w:rsidRPr="001A75F9">
        <w:t xml:space="preserve">. Regulator input would also </w:t>
      </w:r>
      <w:r w:rsidR="0003363E" w:rsidRPr="001A75F9">
        <w:t xml:space="preserve">identify the most </w:t>
      </w:r>
      <w:r w:rsidR="00EE2408" w:rsidRPr="001A75F9">
        <w:t xml:space="preserve">suitable method for </w:t>
      </w:r>
      <w:r w:rsidR="0003363E" w:rsidRPr="001A75F9">
        <w:t xml:space="preserve">the </w:t>
      </w:r>
      <w:r w:rsidR="00EE2408" w:rsidRPr="001A75F9">
        <w:t xml:space="preserve">VMP </w:t>
      </w:r>
      <w:r w:rsidR="0003363E" w:rsidRPr="001A75F9">
        <w:t xml:space="preserve">market authorization procedure. </w:t>
      </w:r>
    </w:p>
    <w:p w14:paraId="561C2A3E" w14:textId="5FF6BCE2" w:rsidR="006C72F6" w:rsidRPr="001A75F9" w:rsidRDefault="007F73FC" w:rsidP="004972C0">
      <w:pPr>
        <w:pStyle w:val="Heading1"/>
      </w:pPr>
      <w:r w:rsidRPr="001A75F9">
        <w:t xml:space="preserve">Acknowledgements </w:t>
      </w:r>
    </w:p>
    <w:p w14:paraId="56367924" w14:textId="5AC4679C" w:rsidR="006C72F6" w:rsidRPr="001A75F9" w:rsidRDefault="00F330E9" w:rsidP="00852B9A">
      <w:pPr>
        <w:rPr>
          <w:b/>
        </w:rPr>
      </w:pPr>
      <w:r w:rsidRPr="001A75F9">
        <w:rPr>
          <w:lang w:val="en-US"/>
        </w:rPr>
        <w:t xml:space="preserve">The authors would like to thank the </w:t>
      </w:r>
      <w:r w:rsidR="00CE2F9B" w:rsidRPr="001A75F9">
        <w:t xml:space="preserve">Federal Ministry for the Environment, Nature Conservation, Building and Nuclear </w:t>
      </w:r>
      <w:r w:rsidR="00AD438F" w:rsidRPr="001A75F9">
        <w:t>S</w:t>
      </w:r>
      <w:r w:rsidR="00CE2F9B" w:rsidRPr="001A75F9">
        <w:t>afety</w:t>
      </w:r>
      <w:r w:rsidR="00E5683E" w:rsidRPr="001A75F9">
        <w:rPr>
          <w:lang w:val="en-US"/>
        </w:rPr>
        <w:t xml:space="preserve"> </w:t>
      </w:r>
      <w:r w:rsidRPr="001A75F9">
        <w:rPr>
          <w:lang w:val="en-US"/>
        </w:rPr>
        <w:t xml:space="preserve">for funding this research. We are grateful for </w:t>
      </w:r>
      <w:r w:rsidR="00E5683E" w:rsidRPr="001A75F9">
        <w:rPr>
          <w:lang w:val="en-US"/>
        </w:rPr>
        <w:t xml:space="preserve">the project support from the staff at </w:t>
      </w:r>
      <w:r w:rsidR="00CE2F9B" w:rsidRPr="001A75F9">
        <w:t xml:space="preserve">Federal Ministry for the Environment, Nature Conservation, Building and Nuclear </w:t>
      </w:r>
      <w:r w:rsidR="00AD438F" w:rsidRPr="001A75F9">
        <w:t>S</w:t>
      </w:r>
      <w:r w:rsidR="00CE2F9B" w:rsidRPr="001A75F9">
        <w:t>afety</w:t>
      </w:r>
      <w:r w:rsidR="0035050E" w:rsidRPr="001A75F9">
        <w:rPr>
          <w:lang w:val="en-US"/>
        </w:rPr>
        <w:t xml:space="preserve">. </w:t>
      </w:r>
      <w:r w:rsidR="00605A21" w:rsidRPr="001A75F9">
        <w:rPr>
          <w:lang w:val="en-US"/>
        </w:rPr>
        <w:t xml:space="preserve">Further thanks to Peter Howley from the University of York for suggestions on the draft manuscript. </w:t>
      </w:r>
    </w:p>
    <w:p w14:paraId="2CB8964D" w14:textId="17B9042B" w:rsidR="008D67BC" w:rsidRPr="001A75F9" w:rsidRDefault="007F73FC" w:rsidP="004972C0">
      <w:pPr>
        <w:pStyle w:val="Heading1"/>
      </w:pPr>
      <w:r w:rsidRPr="001A75F9">
        <w:t>Disclaimer</w:t>
      </w:r>
    </w:p>
    <w:p w14:paraId="24F54232" w14:textId="091FCBE8" w:rsidR="008D67BC" w:rsidRPr="001A75F9" w:rsidRDefault="008D67BC" w:rsidP="00852B9A">
      <w:pPr>
        <w:sectPr w:rsidR="008D67BC" w:rsidRPr="001A75F9" w:rsidSect="00E10DDD">
          <w:pgSz w:w="12240" w:h="15840"/>
          <w:pgMar w:top="1440" w:right="1800" w:bottom="1440" w:left="1800" w:header="708" w:footer="708" w:gutter="0"/>
          <w:lnNumType w:countBy="1" w:restart="continuous"/>
          <w:cols w:space="708"/>
          <w:docGrid w:linePitch="360"/>
        </w:sectPr>
      </w:pPr>
      <w:r w:rsidRPr="001A75F9">
        <w:t xml:space="preserve">The Project underlying this publication was supported with funding from the Federal Ministry for the Environment, Nature Conservation, Building and Nuclear </w:t>
      </w:r>
      <w:r w:rsidR="00AD438F" w:rsidRPr="001A75F9">
        <w:t>S</w:t>
      </w:r>
      <w:r w:rsidRPr="001A75F9">
        <w:t>afety under project number FKZ 3713 14 400. The responsibility for the content of this pub</w:t>
      </w:r>
      <w:r w:rsidR="00744153" w:rsidRPr="001A75F9">
        <w:t>lication lies with the authors.</w:t>
      </w:r>
    </w:p>
    <w:p w14:paraId="0B6FB691" w14:textId="7EA3CFC4" w:rsidR="00D54FF8" w:rsidRPr="001A75F9" w:rsidRDefault="00C60BFE" w:rsidP="000062BE">
      <w:pPr>
        <w:ind w:firstLine="0"/>
        <w:rPr>
          <w:b/>
        </w:rPr>
      </w:pPr>
      <w:r w:rsidRPr="001A75F9">
        <w:rPr>
          <w:b/>
        </w:rPr>
        <w:t>References</w:t>
      </w:r>
    </w:p>
    <w:p w14:paraId="57BB9478" w14:textId="77777777" w:rsidR="00D54FF8" w:rsidRPr="001A75F9" w:rsidRDefault="00D54FF8" w:rsidP="000062BE">
      <w:pPr>
        <w:ind w:firstLine="0"/>
        <w:rPr>
          <w:noProof/>
        </w:rPr>
      </w:pPr>
      <w:r w:rsidRPr="001A75F9">
        <w:rPr>
          <w:noProof/>
          <w:lang w:val="es-ES"/>
        </w:rPr>
        <w:t xml:space="preserve">Acuña V, Ginebreda A, Mor JR, Petrovic M, Sabater S, Sumpter J, Barceló D. 2015. </w:t>
      </w:r>
      <w:r w:rsidRPr="001A75F9">
        <w:rPr>
          <w:noProof/>
        </w:rPr>
        <w:t xml:space="preserve">Balancing the health benefits and environmental risks of pharmaceuticals: Diclofenac as an example. </w:t>
      </w:r>
      <w:r w:rsidR="00C4598D" w:rsidRPr="001A75F9">
        <w:rPr>
          <w:i/>
          <w:noProof/>
        </w:rPr>
        <w:t>Environ Int</w:t>
      </w:r>
      <w:r w:rsidRPr="001A75F9">
        <w:rPr>
          <w:noProof/>
        </w:rPr>
        <w:t xml:space="preserve"> 85:327-333.</w:t>
      </w:r>
    </w:p>
    <w:p w14:paraId="3B9A6B29" w14:textId="064BAEF2" w:rsidR="00BE5BBE" w:rsidRPr="001A75F9" w:rsidRDefault="00BE5BBE" w:rsidP="000062BE">
      <w:pPr>
        <w:ind w:firstLine="0"/>
        <w:rPr>
          <w:noProof/>
        </w:rPr>
      </w:pPr>
      <w:r w:rsidRPr="001A75F9">
        <w:rPr>
          <w:noProof/>
        </w:rPr>
        <w:t xml:space="preserve">Backhaus T. 2016. Environmental risk assessment of pharmaceutical mixtures: Demands, gaps, and possible bridges. </w:t>
      </w:r>
      <w:r w:rsidRPr="001A75F9">
        <w:rPr>
          <w:i/>
          <w:noProof/>
        </w:rPr>
        <w:t>Aaps Journal</w:t>
      </w:r>
      <w:r w:rsidRPr="001A75F9">
        <w:rPr>
          <w:noProof/>
        </w:rPr>
        <w:t xml:space="preserve"> 18:804-813.</w:t>
      </w:r>
    </w:p>
    <w:p w14:paraId="16D449AF" w14:textId="3A8740B0" w:rsidR="00EE002F" w:rsidRPr="001A75F9" w:rsidRDefault="00A026A0" w:rsidP="000062BE">
      <w:pPr>
        <w:ind w:firstLine="0"/>
        <w:rPr>
          <w:rFonts w:eastAsia="Times New Roman"/>
          <w:color w:val="000000"/>
          <w:lang w:val="en-CA"/>
        </w:rPr>
      </w:pPr>
      <w:r w:rsidRPr="001A75F9">
        <w:rPr>
          <w:rFonts w:eastAsia="Times New Roman"/>
          <w:color w:val="000000"/>
          <w:lang w:val="en-CA"/>
        </w:rPr>
        <w:t>Boxall ABA, Kolpin D, Halling</w:t>
      </w:r>
      <w:r w:rsidRPr="001A75F9">
        <w:rPr>
          <w:rFonts w:eastAsia="Times New Roman"/>
          <w:color w:val="000000"/>
          <w:lang w:val="en-CA"/>
        </w:rPr>
        <w:softHyphen/>
        <w:t xml:space="preserve">Sørensen B, Tolls J. 2003. Are veterinary medicines causing environmental risks? </w:t>
      </w:r>
      <w:r w:rsidRPr="001A75F9">
        <w:rPr>
          <w:rFonts w:eastAsia="Times New Roman"/>
          <w:i/>
          <w:iCs/>
          <w:color w:val="000000"/>
          <w:lang w:val="en-CA"/>
        </w:rPr>
        <w:t>Environ Sci Technol</w:t>
      </w:r>
      <w:r w:rsidRPr="001A75F9">
        <w:rPr>
          <w:rFonts w:eastAsia="Times New Roman"/>
          <w:color w:val="000000"/>
          <w:lang w:val="en-CA"/>
        </w:rPr>
        <w:t xml:space="preserve"> 37:286A–294A.</w:t>
      </w:r>
    </w:p>
    <w:p w14:paraId="6AFD715D" w14:textId="71C9629F" w:rsidR="00A026A0" w:rsidRPr="001A75F9" w:rsidRDefault="00A026A0" w:rsidP="000062BE">
      <w:pPr>
        <w:ind w:firstLine="0"/>
        <w:rPr>
          <w:rFonts w:eastAsia="Times New Roman"/>
          <w:color w:val="000000"/>
          <w:lang w:val="en-CA"/>
        </w:rPr>
      </w:pPr>
      <w:r w:rsidRPr="001A75F9">
        <w:rPr>
          <w:rFonts w:eastAsia="Times New Roman"/>
          <w:color w:val="000000"/>
          <w:lang w:val="en-CA"/>
        </w:rPr>
        <w:t xml:space="preserve">Boxall ABA, Fogg LA, Blackwell PA, Kay P, Pemberton EJ, Croxford A. 2004. </w:t>
      </w:r>
      <w:proofErr w:type="gramStart"/>
      <w:r w:rsidRPr="001A75F9">
        <w:rPr>
          <w:rFonts w:eastAsia="Times New Roman"/>
          <w:color w:val="000000"/>
          <w:lang w:val="en-CA"/>
        </w:rPr>
        <w:t>Veterinary medicines in the environment.</w:t>
      </w:r>
      <w:proofErr w:type="gramEnd"/>
      <w:r w:rsidRPr="001A75F9">
        <w:rPr>
          <w:rFonts w:eastAsia="Times New Roman"/>
          <w:color w:val="000000"/>
          <w:lang w:val="en-CA"/>
        </w:rPr>
        <w:t xml:space="preserve"> </w:t>
      </w:r>
      <w:r w:rsidRPr="001A75F9">
        <w:rPr>
          <w:rFonts w:eastAsia="Times New Roman"/>
          <w:i/>
          <w:iCs/>
          <w:color w:val="000000"/>
          <w:lang w:val="en-CA"/>
        </w:rPr>
        <w:t>Rev Environ Contam Toxicol</w:t>
      </w:r>
      <w:r w:rsidRPr="001A75F9">
        <w:rPr>
          <w:rFonts w:eastAsia="Times New Roman"/>
          <w:color w:val="000000"/>
          <w:lang w:val="en-CA"/>
        </w:rPr>
        <w:t xml:space="preserve"> 180:1-91.</w:t>
      </w:r>
    </w:p>
    <w:p w14:paraId="2AB5EDB6" w14:textId="604AE0E1" w:rsidR="0063342A" w:rsidRPr="001A75F9" w:rsidRDefault="0063342A" w:rsidP="000062BE">
      <w:pPr>
        <w:ind w:firstLine="0"/>
        <w:rPr>
          <w:noProof/>
        </w:rPr>
      </w:pPr>
      <w:r w:rsidRPr="001A75F9">
        <w:rPr>
          <w:noProof/>
        </w:rPr>
        <w:t xml:space="preserve">Brandt KK, Amézquita A, Backhaus T, Boxall A, Coors A, Heberer T, Lawrence JR, Lazorchak J, Schönfeld J, Snape JR, Zhu Y, Topp E. 2015. Ecotoxicological assessment of antibiotics: A call for improved consideration of microorganisms. </w:t>
      </w:r>
      <w:r w:rsidRPr="001A75F9">
        <w:rPr>
          <w:i/>
          <w:noProof/>
        </w:rPr>
        <w:t xml:space="preserve">Environ </w:t>
      </w:r>
      <w:r w:rsidR="00835C55" w:rsidRPr="001A75F9">
        <w:rPr>
          <w:i/>
          <w:noProof/>
        </w:rPr>
        <w:t>I</w:t>
      </w:r>
      <w:r w:rsidRPr="001A75F9">
        <w:rPr>
          <w:i/>
          <w:noProof/>
        </w:rPr>
        <w:t>nternat</w:t>
      </w:r>
      <w:r w:rsidRPr="001A75F9">
        <w:rPr>
          <w:noProof/>
        </w:rPr>
        <w:t xml:space="preserve"> 85:189-205.</w:t>
      </w:r>
    </w:p>
    <w:p w14:paraId="07D251A0" w14:textId="76C90FAB" w:rsidR="00810D70" w:rsidRPr="001A75F9" w:rsidRDefault="00900AC0" w:rsidP="000062BE">
      <w:pPr>
        <w:ind w:firstLine="0"/>
        <w:rPr>
          <w:noProof/>
        </w:rPr>
      </w:pPr>
      <w:r w:rsidRPr="001A75F9">
        <w:rPr>
          <w:color w:val="000000"/>
        </w:rPr>
        <w:t>Breitholtz M, Ruden C, Hansson S</w:t>
      </w:r>
      <w:r w:rsidR="00810D70" w:rsidRPr="001A75F9">
        <w:rPr>
          <w:color w:val="000000"/>
        </w:rPr>
        <w:t>O</w:t>
      </w:r>
      <w:r w:rsidRPr="001A75F9">
        <w:rPr>
          <w:color w:val="000000"/>
        </w:rPr>
        <w:t>,</w:t>
      </w:r>
      <w:r w:rsidR="00810D70" w:rsidRPr="001A75F9">
        <w:rPr>
          <w:color w:val="000000"/>
        </w:rPr>
        <w:t xml:space="preserve"> Bengtsson</w:t>
      </w:r>
      <w:r w:rsidRPr="001A75F9">
        <w:rPr>
          <w:color w:val="000000"/>
        </w:rPr>
        <w:t xml:space="preserve"> B</w:t>
      </w:r>
      <w:r w:rsidR="00810D70" w:rsidRPr="001A75F9">
        <w:rPr>
          <w:color w:val="000000"/>
        </w:rPr>
        <w:t>E.</w:t>
      </w:r>
      <w:r w:rsidRPr="001A75F9">
        <w:rPr>
          <w:color w:val="000000"/>
        </w:rPr>
        <w:t xml:space="preserve"> 2006</w:t>
      </w:r>
      <w:r w:rsidR="00810D70" w:rsidRPr="001A75F9">
        <w:rPr>
          <w:color w:val="000000"/>
        </w:rPr>
        <w:t xml:space="preserve"> Ten challenges for improved ecotoxicological testing in enviro</w:t>
      </w:r>
      <w:r w:rsidRPr="001A75F9">
        <w:rPr>
          <w:color w:val="000000"/>
        </w:rPr>
        <w:t xml:space="preserve">nmental risk assessment. </w:t>
      </w:r>
      <w:r w:rsidRPr="001A75F9">
        <w:rPr>
          <w:i/>
          <w:color w:val="000000"/>
        </w:rPr>
        <w:t>Ecotox Environ Safe</w:t>
      </w:r>
      <w:r w:rsidR="00810D70" w:rsidRPr="001A75F9">
        <w:rPr>
          <w:color w:val="000000"/>
        </w:rPr>
        <w:t xml:space="preserve"> </w:t>
      </w:r>
      <w:r w:rsidRPr="001A75F9">
        <w:rPr>
          <w:color w:val="000000"/>
        </w:rPr>
        <w:t>63:</w:t>
      </w:r>
      <w:r w:rsidR="00810D70" w:rsidRPr="001A75F9">
        <w:rPr>
          <w:color w:val="000000"/>
        </w:rPr>
        <w:t>324−335.</w:t>
      </w:r>
    </w:p>
    <w:p w14:paraId="55F2CD7F" w14:textId="60BB288D" w:rsidR="00D036DA" w:rsidRPr="001A75F9" w:rsidRDefault="00D036DA" w:rsidP="000062BE">
      <w:pPr>
        <w:ind w:firstLine="0"/>
        <w:rPr>
          <w:noProof/>
        </w:rPr>
      </w:pPr>
      <w:r w:rsidRPr="001A75F9">
        <w:rPr>
          <w:noProof/>
        </w:rPr>
        <w:t xml:space="preserve">Coplan PM, Noel RA, Levitan BS, Ferguson J, Mussen F. 2011. Development of a </w:t>
      </w:r>
      <w:r w:rsidR="00835C55" w:rsidRPr="001A75F9">
        <w:rPr>
          <w:noProof/>
        </w:rPr>
        <w:t>f</w:t>
      </w:r>
      <w:r w:rsidRPr="001A75F9">
        <w:rPr>
          <w:noProof/>
        </w:rPr>
        <w:t xml:space="preserve">ramework for </w:t>
      </w:r>
      <w:r w:rsidR="00835C55" w:rsidRPr="001A75F9">
        <w:rPr>
          <w:noProof/>
        </w:rPr>
        <w:t>e</w:t>
      </w:r>
      <w:r w:rsidRPr="001A75F9">
        <w:rPr>
          <w:noProof/>
        </w:rPr>
        <w:t xml:space="preserve">nhancing the </w:t>
      </w:r>
      <w:r w:rsidR="00835C55" w:rsidRPr="001A75F9">
        <w:rPr>
          <w:noProof/>
        </w:rPr>
        <w:t>t</w:t>
      </w:r>
      <w:r w:rsidRPr="001A75F9">
        <w:rPr>
          <w:noProof/>
        </w:rPr>
        <w:t xml:space="preserve">ransparency, </w:t>
      </w:r>
      <w:r w:rsidR="00835C55" w:rsidRPr="001A75F9">
        <w:rPr>
          <w:noProof/>
        </w:rPr>
        <w:t>r</w:t>
      </w:r>
      <w:r w:rsidRPr="001A75F9">
        <w:rPr>
          <w:noProof/>
        </w:rPr>
        <w:t xml:space="preserve">eproducibility and </w:t>
      </w:r>
      <w:r w:rsidR="00835C55" w:rsidRPr="001A75F9">
        <w:rPr>
          <w:noProof/>
        </w:rPr>
        <w:t>c</w:t>
      </w:r>
      <w:r w:rsidRPr="001A75F9">
        <w:rPr>
          <w:noProof/>
        </w:rPr>
        <w:t xml:space="preserve">ommunication of the </w:t>
      </w:r>
      <w:r w:rsidR="00835C55" w:rsidRPr="001A75F9">
        <w:rPr>
          <w:noProof/>
        </w:rPr>
        <w:t>b</w:t>
      </w:r>
      <w:r w:rsidRPr="001A75F9">
        <w:rPr>
          <w:noProof/>
        </w:rPr>
        <w:t>enefit-</w:t>
      </w:r>
      <w:r w:rsidR="00835C55" w:rsidRPr="001A75F9">
        <w:rPr>
          <w:noProof/>
        </w:rPr>
        <w:t>r</w:t>
      </w:r>
      <w:r w:rsidRPr="001A75F9">
        <w:rPr>
          <w:noProof/>
        </w:rPr>
        <w:t xml:space="preserve">isk </w:t>
      </w:r>
      <w:r w:rsidR="00835C55" w:rsidRPr="001A75F9">
        <w:rPr>
          <w:noProof/>
        </w:rPr>
        <w:t>b</w:t>
      </w:r>
      <w:r w:rsidRPr="001A75F9">
        <w:rPr>
          <w:noProof/>
        </w:rPr>
        <w:t xml:space="preserve">alance of </w:t>
      </w:r>
      <w:r w:rsidR="00835C55" w:rsidRPr="001A75F9">
        <w:rPr>
          <w:noProof/>
        </w:rPr>
        <w:t>m</w:t>
      </w:r>
      <w:r w:rsidRPr="001A75F9">
        <w:rPr>
          <w:noProof/>
        </w:rPr>
        <w:t xml:space="preserve">edicines. </w:t>
      </w:r>
      <w:r w:rsidRPr="001A75F9">
        <w:rPr>
          <w:i/>
          <w:noProof/>
        </w:rPr>
        <w:t xml:space="preserve">Clin Pharmacol Ther </w:t>
      </w:r>
      <w:r w:rsidRPr="001A75F9">
        <w:rPr>
          <w:noProof/>
        </w:rPr>
        <w:t>89:312-315.</w:t>
      </w:r>
    </w:p>
    <w:p w14:paraId="6145B932" w14:textId="77777777" w:rsidR="00C34D31" w:rsidRPr="001A75F9" w:rsidRDefault="00C34D31" w:rsidP="000062BE">
      <w:pPr>
        <w:ind w:firstLine="0"/>
        <w:rPr>
          <w:rStyle w:val="Hyperlink"/>
        </w:rPr>
      </w:pPr>
      <w:proofErr w:type="gramStart"/>
      <w:r w:rsidRPr="001A75F9">
        <w:t>EMA (European Medicines Agency, CVMP Committee).</w:t>
      </w:r>
      <w:proofErr w:type="gramEnd"/>
      <w:r w:rsidRPr="001A75F9">
        <w:t xml:space="preserve"> 1994. Demonstration of efficacy of ectoparasiticides.</w:t>
      </w:r>
      <w:hyperlink r:id="rId22" w:history="1">
        <w:r w:rsidR="00B10A90" w:rsidRPr="001A75F9">
          <w:rPr>
            <w:rStyle w:val="Hyperlink"/>
          </w:rPr>
          <w:t>http://www.ema.europa.eu/docs/en_GB/document_library/Scientific_guideline/2009/10/WC500004662.pdf</w:t>
        </w:r>
      </w:hyperlink>
    </w:p>
    <w:p w14:paraId="572A0888" w14:textId="566332CF" w:rsidR="00BF7906" w:rsidRPr="001A75F9" w:rsidRDefault="00BF7906" w:rsidP="000062BE">
      <w:pPr>
        <w:ind w:firstLine="0"/>
      </w:pPr>
      <w:r w:rsidRPr="001A75F9">
        <w:t xml:space="preserve">EMA. 2006. </w:t>
      </w:r>
      <w:r w:rsidR="0034242C" w:rsidRPr="001A75F9">
        <w:t>Guidance on pharmaceutical fixed combination products. EMEA/CVMP/83804/2005. http://www.ema.europa.eu/ema/pages/includes/document/open_document.jsp?webContentId=WC500004645</w:t>
      </w:r>
    </w:p>
    <w:p w14:paraId="3E23947D" w14:textId="77777777" w:rsidR="009F18EF" w:rsidRPr="001A75F9" w:rsidRDefault="003645FB" w:rsidP="000062BE">
      <w:pPr>
        <w:ind w:firstLine="0"/>
        <w:rPr>
          <w:lang w:val="es-ES"/>
        </w:rPr>
      </w:pPr>
      <w:r w:rsidRPr="001A75F9">
        <w:t xml:space="preserve">EMA. 2008. </w:t>
      </w:r>
      <w:r w:rsidR="00E4419E" w:rsidRPr="001A75F9">
        <w:t xml:space="preserve">Revised guideline on environmental impact assessment for veterinary medicinal products in support of the VICH guidelines GL6 and GL 38. </w:t>
      </w:r>
      <w:r w:rsidR="00E4419E" w:rsidRPr="001A75F9">
        <w:rPr>
          <w:lang w:val="es-ES"/>
        </w:rPr>
        <w:t>EMEA/CVMP/ERA/418282/2005-Rev.1</w:t>
      </w:r>
      <w:r w:rsidRPr="001A75F9">
        <w:rPr>
          <w:lang w:val="es-ES"/>
        </w:rPr>
        <w:t xml:space="preserve"> </w:t>
      </w:r>
      <w:hyperlink r:id="rId23" w:history="1">
        <w:r w:rsidR="009F18EF" w:rsidRPr="001A75F9">
          <w:rPr>
            <w:rStyle w:val="Hyperlink"/>
            <w:lang w:val="es-ES"/>
          </w:rPr>
          <w:t>http://www.ema.europa.eu/docs/en_GB/document_library/Scientific_guideline/2009/10/WC500004386.pdf</w:t>
        </w:r>
      </w:hyperlink>
    </w:p>
    <w:p w14:paraId="76046383" w14:textId="77777777" w:rsidR="006A0A4D" w:rsidRPr="001A75F9" w:rsidRDefault="00F4257C" w:rsidP="000062BE">
      <w:pPr>
        <w:ind w:firstLine="0"/>
      </w:pPr>
      <w:r w:rsidRPr="001A75F9">
        <w:t xml:space="preserve">EMA. </w:t>
      </w:r>
      <w:r w:rsidR="00D006F6" w:rsidRPr="001A75F9">
        <w:t>2009. Recommendation on the evaluation of the benefit-risk balance of veterinary medicinal p</w:t>
      </w:r>
      <w:r w:rsidR="00D54FF8" w:rsidRPr="001A75F9">
        <w:t xml:space="preserve">roducts. EMEA/CVMP/248499/2007. </w:t>
      </w:r>
      <w:hyperlink r:id="rId24" w:history="1">
        <w:r w:rsidR="006A0A4D" w:rsidRPr="001A75F9">
          <w:rPr>
            <w:rStyle w:val="Hyperlink"/>
          </w:rPr>
          <w:t>http://www.ema.europa.eu/docs/en_GB/document_library/Other/2009/10/WC500005264.pdf</w:t>
        </w:r>
      </w:hyperlink>
    </w:p>
    <w:p w14:paraId="216A8C35" w14:textId="77777777" w:rsidR="00457CDB" w:rsidRPr="001A75F9" w:rsidRDefault="00457CDB" w:rsidP="000062BE">
      <w:pPr>
        <w:ind w:firstLine="0"/>
        <w:rPr>
          <w:lang w:val="es-ES"/>
        </w:rPr>
      </w:pPr>
      <w:r w:rsidRPr="001A75F9">
        <w:t xml:space="preserve">EMA. </w:t>
      </w:r>
      <w:proofErr w:type="gramStart"/>
      <w:r w:rsidRPr="001A75F9">
        <w:t>2012a. Guidance on the assessment of persistent, bioaccumulative and toxic (PBT) or very persistent and very bioaccumulative (vPvB) substances in veterinary medicine.</w:t>
      </w:r>
      <w:proofErr w:type="gramEnd"/>
      <w:r w:rsidRPr="001A75F9">
        <w:t xml:space="preserve"> </w:t>
      </w:r>
      <w:r w:rsidRPr="001A75F9">
        <w:rPr>
          <w:lang w:val="es-ES"/>
        </w:rPr>
        <w:t xml:space="preserve">EMA/CVMP/ERA/52740/2012. </w:t>
      </w:r>
      <w:hyperlink r:id="rId25" w:history="1">
        <w:r w:rsidRPr="001A75F9">
          <w:rPr>
            <w:rStyle w:val="Hyperlink"/>
            <w:lang w:val="es-ES"/>
          </w:rPr>
          <w:t>http://www.ema.europa.eu/docs/en_GB/document_library/Scientific_guideline/2012/07/WC500130368.pdf</w:t>
        </w:r>
      </w:hyperlink>
    </w:p>
    <w:p w14:paraId="0F918B39" w14:textId="77777777" w:rsidR="00D54FF8" w:rsidRPr="001A75F9" w:rsidRDefault="00F4257C" w:rsidP="000062BE">
      <w:pPr>
        <w:ind w:firstLine="0"/>
        <w:rPr>
          <w:rStyle w:val="Hyperlink"/>
          <w:lang w:val="sv-SE"/>
        </w:rPr>
      </w:pPr>
      <w:r w:rsidRPr="001A75F9">
        <w:t xml:space="preserve">EMA. </w:t>
      </w:r>
      <w:r w:rsidR="00D54FF8" w:rsidRPr="001A75F9">
        <w:t>2012</w:t>
      </w:r>
      <w:r w:rsidR="00457CDB" w:rsidRPr="001A75F9">
        <w:t>b</w:t>
      </w:r>
      <w:r w:rsidR="00D54FF8" w:rsidRPr="001A75F9">
        <w:t xml:space="preserve">. Reflection paper on risk mitigation measures related to the environmental risk assessment of veterinary medicinal products. </w:t>
      </w:r>
      <w:r w:rsidR="00D54FF8" w:rsidRPr="001A75F9">
        <w:rPr>
          <w:lang w:val="es-ES"/>
        </w:rPr>
        <w:t xml:space="preserve">EMA/CVMP/ERAWP/409328/2010. </w:t>
      </w:r>
      <w:hyperlink r:id="rId26" w:history="1">
        <w:r w:rsidR="003F7AFC" w:rsidRPr="001A75F9">
          <w:rPr>
            <w:rStyle w:val="Hyperlink"/>
            <w:lang w:val="sv-SE"/>
          </w:rPr>
          <w:t>http://www.ema.europa.eu/docs/en_GB/document_library/Scientific_guideline/2012/03/WC500124187.pdf</w:t>
        </w:r>
      </w:hyperlink>
    </w:p>
    <w:p w14:paraId="692D740A" w14:textId="4A682772" w:rsidR="00864F17" w:rsidRPr="001A75F9" w:rsidRDefault="00864F17" w:rsidP="000062BE">
      <w:pPr>
        <w:ind w:firstLine="0"/>
        <w:rPr>
          <w:lang w:val="sv-SE"/>
        </w:rPr>
      </w:pPr>
      <w:r w:rsidRPr="001A75F9">
        <w:t xml:space="preserve">EMA. </w:t>
      </w:r>
      <w:r w:rsidRPr="001A75F9">
        <w:rPr>
          <w:noProof/>
        </w:rPr>
        <w:t xml:space="preserve">2016. Guideline on efficacy and target animal safety data requirements for veterinary medicinal products intended for minor use or minor species (MUMS/limited market). </w:t>
      </w:r>
      <w:r w:rsidRPr="001A75F9">
        <w:rPr>
          <w:lang w:val="sv-SE"/>
        </w:rPr>
        <w:t xml:space="preserve">EMA/CVMP/EWP/117899/2004. </w:t>
      </w:r>
      <w:hyperlink r:id="rId27" w:history="1">
        <w:r w:rsidRPr="001A75F9">
          <w:rPr>
            <w:rStyle w:val="Hyperlink"/>
            <w:lang w:val="sv-SE"/>
          </w:rPr>
          <w:t>http://www.ema.europa.eu/docs/en_GB/document_library/Scientific_guideline/2016/02/WC500200979.pdf</w:t>
        </w:r>
      </w:hyperlink>
    </w:p>
    <w:p w14:paraId="1DB23E99" w14:textId="5281F4D1" w:rsidR="00C46A2C" w:rsidRPr="001A75F9" w:rsidRDefault="003A49EF" w:rsidP="000062BE">
      <w:pPr>
        <w:ind w:firstLine="0"/>
        <w:rPr>
          <w:rStyle w:val="Hyperlink"/>
          <w:lang w:val="sv-SE"/>
        </w:rPr>
      </w:pPr>
      <w:r w:rsidRPr="001A75F9">
        <w:t>EM</w:t>
      </w:r>
      <w:r w:rsidR="00C46A2C" w:rsidRPr="001A75F9">
        <w:t>A</w:t>
      </w:r>
      <w:r w:rsidRPr="001A75F9">
        <w:t>.</w:t>
      </w:r>
      <w:r w:rsidR="00C46A2C" w:rsidRPr="001A75F9">
        <w:t xml:space="preserve"> 2017. </w:t>
      </w:r>
      <w:r w:rsidR="004F31A1" w:rsidRPr="001A75F9">
        <w:t xml:space="preserve">The European Medicines Agency works closely with the national competent authorities of the Member States of the European Union (EU) and the European Economic Area (EEA) responsible for veterinary medicines. </w:t>
      </w:r>
      <w:hyperlink r:id="rId28" w:history="1">
        <w:r w:rsidR="00C46A2C" w:rsidRPr="001A75F9">
          <w:rPr>
            <w:rStyle w:val="Hyperlink"/>
            <w:lang w:val="sv-SE"/>
          </w:rPr>
          <w:t>http://www.ema.europa.eu/ema/index.jsp?curl=pages/medicines/general/general_content_000167.jsp</w:t>
        </w:r>
      </w:hyperlink>
    </w:p>
    <w:p w14:paraId="219A0EFF" w14:textId="241EBE25" w:rsidR="009C0D17" w:rsidRPr="001A75F9" w:rsidRDefault="00BD1D58" w:rsidP="00B31D6D">
      <w:pPr>
        <w:ind w:firstLine="0"/>
        <w:rPr>
          <w:lang w:val="en-CA"/>
        </w:rPr>
      </w:pPr>
      <w:r>
        <w:rPr>
          <w:rStyle w:val="Hyperlink"/>
          <w:color w:val="auto"/>
          <w:u w:val="none"/>
          <w:lang w:val="en-CA"/>
        </w:rPr>
        <w:t>European Parliament. 1990</w:t>
      </w:r>
      <w:r w:rsidR="00B31D6D" w:rsidRPr="001A75F9">
        <w:rPr>
          <w:rStyle w:val="Hyperlink"/>
          <w:color w:val="auto"/>
          <w:u w:val="none"/>
          <w:lang w:val="en-CA"/>
        </w:rPr>
        <w:t xml:space="preserve">. Council Directive </w:t>
      </w:r>
      <w:r>
        <w:rPr>
          <w:rStyle w:val="Hyperlink"/>
          <w:color w:val="auto"/>
          <w:u w:val="none"/>
          <w:lang w:val="en-CA"/>
        </w:rPr>
        <w:t>90/676</w:t>
      </w:r>
      <w:r w:rsidR="00B31D6D" w:rsidRPr="001A75F9">
        <w:rPr>
          <w:rStyle w:val="Hyperlink"/>
          <w:color w:val="auto"/>
          <w:u w:val="none"/>
          <w:lang w:val="en-CA"/>
        </w:rPr>
        <w:t xml:space="preserve">/EEC of </w:t>
      </w:r>
      <w:r>
        <w:rPr>
          <w:rStyle w:val="Hyperlink"/>
          <w:color w:val="auto"/>
          <w:u w:val="none"/>
          <w:lang w:val="en-CA"/>
        </w:rPr>
        <w:t>13 December 1990</w:t>
      </w:r>
      <w:r w:rsidR="00B31D6D" w:rsidRPr="001A75F9">
        <w:rPr>
          <w:rStyle w:val="Hyperlink"/>
          <w:color w:val="auto"/>
          <w:u w:val="none"/>
          <w:lang w:val="en-CA"/>
        </w:rPr>
        <w:t xml:space="preserve"> modifying </w:t>
      </w:r>
      <w:r>
        <w:rPr>
          <w:rStyle w:val="Hyperlink"/>
          <w:color w:val="auto"/>
          <w:u w:val="none"/>
          <w:lang w:val="en-CA"/>
        </w:rPr>
        <w:t>amending</w:t>
      </w:r>
      <w:r w:rsidR="00B31D6D" w:rsidRPr="001A75F9">
        <w:rPr>
          <w:rStyle w:val="Hyperlink"/>
          <w:color w:val="auto"/>
          <w:u w:val="none"/>
          <w:lang w:val="en-CA"/>
        </w:rPr>
        <w:t xml:space="preserve"> Directive 81/852/EEC on the approximation of the laws of the Member States relating to veterinary medicinal products.</w:t>
      </w:r>
      <w:r w:rsidR="00B31D6D" w:rsidRPr="001A75F9">
        <w:rPr>
          <w:i/>
          <w:lang w:val="en-CA"/>
        </w:rPr>
        <w:t xml:space="preserve"> Off J Eur Union</w:t>
      </w:r>
      <w:r w:rsidR="00B31D6D" w:rsidRPr="001A75F9">
        <w:rPr>
          <w:lang w:val="en-CA"/>
        </w:rPr>
        <w:t xml:space="preserve"> L </w:t>
      </w:r>
      <w:r>
        <w:rPr>
          <w:lang w:val="en-CA"/>
        </w:rPr>
        <w:t>373</w:t>
      </w:r>
      <w:r w:rsidR="00B31D6D" w:rsidRPr="001A75F9">
        <w:rPr>
          <w:lang w:val="en-CA"/>
        </w:rPr>
        <w:t xml:space="preserve">, </w:t>
      </w:r>
      <w:r>
        <w:rPr>
          <w:lang w:val="en-CA"/>
        </w:rPr>
        <w:t>31/12/1990</w:t>
      </w:r>
      <w:r w:rsidR="00B31D6D" w:rsidRPr="001A75F9">
        <w:rPr>
          <w:lang w:val="en-CA"/>
        </w:rPr>
        <w:t xml:space="preserve">, pp </w:t>
      </w:r>
      <w:r>
        <w:rPr>
          <w:lang w:val="en-CA"/>
        </w:rPr>
        <w:t>15-25</w:t>
      </w:r>
      <w:r w:rsidR="00B31D6D" w:rsidRPr="001A75F9">
        <w:rPr>
          <w:lang w:val="en-CA"/>
        </w:rPr>
        <w:t>.</w:t>
      </w:r>
      <w:r w:rsidR="00B31D6D" w:rsidRPr="001A75F9">
        <w:rPr>
          <w:rStyle w:val="Hyperlink"/>
          <w:lang w:val="en-CA"/>
        </w:rPr>
        <w:t xml:space="preserve"> </w:t>
      </w:r>
    </w:p>
    <w:p w14:paraId="52506088" w14:textId="6A738BC3" w:rsidR="00BC03D0" w:rsidRPr="001A75F9" w:rsidRDefault="00BC03D0" w:rsidP="000062BE">
      <w:pPr>
        <w:ind w:firstLine="0"/>
      </w:pPr>
      <w:r w:rsidRPr="001A75F9">
        <w:t xml:space="preserve">European Parliament. 1998. Council Directive 98/58/EC of 20 July 1998 concerning the protection of animals kept for farming purposes. </w:t>
      </w:r>
      <w:r w:rsidRPr="001A75F9">
        <w:rPr>
          <w:i/>
        </w:rPr>
        <w:t>Off J Eur Union</w:t>
      </w:r>
      <w:r w:rsidRPr="001A75F9">
        <w:t xml:space="preserve"> L 221, 08/08/1998, pp 23–27.</w:t>
      </w:r>
    </w:p>
    <w:p w14:paraId="7DBF6C06" w14:textId="5A8EAD62" w:rsidR="00671D26" w:rsidRPr="001A75F9" w:rsidRDefault="00D54FF8" w:rsidP="000062BE">
      <w:pPr>
        <w:ind w:firstLine="0"/>
      </w:pPr>
      <w:r w:rsidRPr="001A75F9">
        <w:t xml:space="preserve">European Parliament. 2001. Directive 2001/83/EC of the European Parliament and of the Council of 6 November 2001 on the </w:t>
      </w:r>
      <w:r w:rsidR="004F31A1" w:rsidRPr="001A75F9">
        <w:t>c</w:t>
      </w:r>
      <w:r w:rsidRPr="001A75F9">
        <w:t xml:space="preserve">ommunity code relating to medicinal products for human use. </w:t>
      </w:r>
      <w:r w:rsidR="005D3528" w:rsidRPr="001A75F9">
        <w:rPr>
          <w:i/>
        </w:rPr>
        <w:t>Off J Eur Union</w:t>
      </w:r>
      <w:r w:rsidR="005D3528" w:rsidRPr="001A75F9">
        <w:t xml:space="preserve"> </w:t>
      </w:r>
      <w:r w:rsidR="00671D26" w:rsidRPr="001A75F9">
        <w:t>L</w:t>
      </w:r>
      <w:r w:rsidR="000B2E05" w:rsidRPr="001A75F9">
        <w:rPr>
          <w:rFonts w:ascii="TimesNewRomanPS" w:hAnsi="TimesNewRomanPS"/>
          <w:iCs/>
        </w:rPr>
        <w:t xml:space="preserve"> – 311, </w:t>
      </w:r>
      <w:r w:rsidR="00671D26" w:rsidRPr="001A75F9">
        <w:rPr>
          <w:rFonts w:ascii="TimesNewRomanPS" w:hAnsi="TimesNewRomanPS"/>
          <w:iCs/>
        </w:rPr>
        <w:t>28/11/2004, p</w:t>
      </w:r>
      <w:r w:rsidR="00457CDB" w:rsidRPr="001A75F9">
        <w:rPr>
          <w:rFonts w:ascii="TimesNewRomanPS" w:hAnsi="TimesNewRomanPS"/>
          <w:iCs/>
        </w:rPr>
        <w:t>p</w:t>
      </w:r>
      <w:r w:rsidR="00671D26" w:rsidRPr="001A75F9">
        <w:rPr>
          <w:rFonts w:ascii="TimesNewRomanPS" w:hAnsi="TimesNewRomanPS"/>
          <w:iCs/>
        </w:rPr>
        <w:t xml:space="preserve"> 67 – 128.</w:t>
      </w:r>
    </w:p>
    <w:p w14:paraId="0E1FD0B2" w14:textId="1394ED7A" w:rsidR="00394313" w:rsidRPr="001A75F9" w:rsidRDefault="00D54FF8" w:rsidP="000062BE">
      <w:pPr>
        <w:ind w:firstLine="0"/>
      </w:pPr>
      <w:r w:rsidRPr="001A75F9">
        <w:t>European Parliament</w:t>
      </w:r>
      <w:r w:rsidR="00457CDB" w:rsidRPr="001A75F9">
        <w:t>.</w:t>
      </w:r>
      <w:r w:rsidRPr="001A75F9">
        <w:t xml:space="preserve"> 2004</w:t>
      </w:r>
      <w:r w:rsidR="009D777C" w:rsidRPr="001A75F9">
        <w:t>a</w:t>
      </w:r>
      <w:r w:rsidRPr="001A75F9">
        <w:t xml:space="preserve">. Consolidated Version of Directive 2001/83/EC of the European Parliament and of the Council of 6 November 2001 on the community code relating to medicinal products for human use, amended by Directive 2002/98/EC, Directive 2004/24/EC, Directive 2004/27/EC. </w:t>
      </w:r>
      <w:r w:rsidR="00D75F61" w:rsidRPr="001A75F9">
        <w:rPr>
          <w:i/>
        </w:rPr>
        <w:t>Off J Eur Union</w:t>
      </w:r>
      <w:r w:rsidR="00D75F61" w:rsidRPr="001A75F9">
        <w:t xml:space="preserve"> </w:t>
      </w:r>
      <w:r w:rsidR="003B5CBB" w:rsidRPr="001A75F9">
        <w:t>L – 311, November 2001, p</w:t>
      </w:r>
      <w:r w:rsidR="00457CDB" w:rsidRPr="001A75F9">
        <w:t xml:space="preserve">p </w:t>
      </w:r>
      <w:r w:rsidRPr="001A75F9">
        <w:t>67–128.</w:t>
      </w:r>
    </w:p>
    <w:p w14:paraId="54AAF1AB" w14:textId="2E9E6943" w:rsidR="00D43652" w:rsidRPr="001A75F9" w:rsidRDefault="00D43652" w:rsidP="000062BE">
      <w:pPr>
        <w:ind w:firstLine="0"/>
      </w:pPr>
      <w:r w:rsidRPr="001A75F9">
        <w:t>European Parliament. 2004</w:t>
      </w:r>
      <w:r w:rsidR="002708AD" w:rsidRPr="001A75F9">
        <w:t>b</w:t>
      </w:r>
      <w:r w:rsidRPr="001A75F9">
        <w:t xml:space="preserve">. </w:t>
      </w:r>
      <w:r w:rsidR="001D245A" w:rsidRPr="001A75F9">
        <w:t>Regulation (EC) No 726/2004 of the European Parliament and of the Council of 31</w:t>
      </w:r>
      <w:r w:rsidRPr="001A75F9">
        <w:t xml:space="preserve"> </w:t>
      </w:r>
      <w:r w:rsidR="001D245A" w:rsidRPr="001A75F9">
        <w:t xml:space="preserve">March 2004 laying down </w:t>
      </w:r>
      <w:r w:rsidR="004F31A1" w:rsidRPr="001A75F9">
        <w:t>c</w:t>
      </w:r>
      <w:r w:rsidR="001D245A" w:rsidRPr="001A75F9">
        <w:t>ommunity procedures for the authorisation and supervision of medicinal products for human and veterinary use and establish</w:t>
      </w:r>
      <w:r w:rsidR="00261779" w:rsidRPr="001A75F9">
        <w:t>ing a European Medicines Agency</w:t>
      </w:r>
      <w:r w:rsidRPr="001A75F9">
        <w:t xml:space="preserve">. </w:t>
      </w:r>
      <w:r w:rsidRPr="001A75F9">
        <w:rPr>
          <w:i/>
        </w:rPr>
        <w:t>Off J Eur Union</w:t>
      </w:r>
      <w:r w:rsidRPr="001A75F9">
        <w:t xml:space="preserve"> </w:t>
      </w:r>
      <w:r w:rsidR="00925899" w:rsidRPr="001A75F9">
        <w:t>L 136,</w:t>
      </w:r>
      <w:r w:rsidRPr="001A75F9">
        <w:t xml:space="preserve"> </w:t>
      </w:r>
      <w:r w:rsidR="00925899" w:rsidRPr="001A75F9">
        <w:t>April 2004</w:t>
      </w:r>
      <w:r w:rsidRPr="001A75F9">
        <w:t xml:space="preserve">, pp </w:t>
      </w:r>
      <w:r w:rsidR="00925899" w:rsidRPr="001A75F9">
        <w:t>1–33</w:t>
      </w:r>
      <w:r w:rsidRPr="001A75F9">
        <w:t>.</w:t>
      </w:r>
    </w:p>
    <w:p w14:paraId="2082BADD" w14:textId="19718E81" w:rsidR="00432960" w:rsidRPr="001A75F9" w:rsidRDefault="00432960" w:rsidP="000062BE">
      <w:pPr>
        <w:ind w:firstLine="0"/>
      </w:pPr>
      <w:r w:rsidRPr="001A75F9">
        <w:t>European Parliament. 2006. Regulation (EC) No 1907/2006 of the European Parliament and of the Council of 18 December 2006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1A75F9">
        <w:rPr>
          <w:i/>
        </w:rPr>
        <w:t xml:space="preserve"> </w:t>
      </w:r>
      <w:proofErr w:type="gramStart"/>
      <w:r w:rsidRPr="001A75F9">
        <w:rPr>
          <w:i/>
        </w:rPr>
        <w:t>Off J Eur Union</w:t>
      </w:r>
      <w:r w:rsidRPr="001A75F9">
        <w:t xml:space="preserve"> 396, December 2006, pp 1–520.</w:t>
      </w:r>
      <w:proofErr w:type="gramEnd"/>
    </w:p>
    <w:p w14:paraId="7127F774" w14:textId="1770F243" w:rsidR="001034A0" w:rsidRPr="001A75F9" w:rsidRDefault="001034A0" w:rsidP="000062BE">
      <w:pPr>
        <w:ind w:firstLine="0"/>
        <w:rPr>
          <w:noProof/>
        </w:rPr>
      </w:pPr>
      <w:r w:rsidRPr="001A75F9">
        <w:rPr>
          <w:noProof/>
        </w:rPr>
        <w:t xml:space="preserve">Evans RM, Martin OV, Faust M, Kortenkamp A. 2015. Should the scope of human mixture risk assessment span legislative/regulatory silos for chemicals? </w:t>
      </w:r>
      <w:r w:rsidRPr="001A75F9">
        <w:rPr>
          <w:i/>
          <w:noProof/>
        </w:rPr>
        <w:t>Sci Total Environ</w:t>
      </w:r>
      <w:r w:rsidR="00A70337" w:rsidRPr="001A75F9">
        <w:rPr>
          <w:noProof/>
        </w:rPr>
        <w:t xml:space="preserve"> 543: 757-764.</w:t>
      </w:r>
    </w:p>
    <w:p w14:paraId="75A060D9" w14:textId="2282B739" w:rsidR="002B70FB" w:rsidRPr="001A75F9" w:rsidRDefault="002B70FB" w:rsidP="000062BE">
      <w:pPr>
        <w:ind w:firstLine="0"/>
        <w:rPr>
          <w:lang w:val="en-CA"/>
        </w:rPr>
      </w:pPr>
      <w:r w:rsidRPr="001A75F9">
        <w:rPr>
          <w:lang w:val="en-CA"/>
        </w:rPr>
        <w:t>Floate KD, Wardhaugh KG, Boxall ABA, Sherratt TN. 2005. Fecal residues of veterinary parasiticides: Nontarget effects in the pasture environment.</w:t>
      </w:r>
      <w:r w:rsidRPr="001A75F9">
        <w:rPr>
          <w:i/>
          <w:iCs/>
          <w:lang w:val="en-CA"/>
        </w:rPr>
        <w:t xml:space="preserve"> Annu Rev Entomol </w:t>
      </w:r>
      <w:r w:rsidRPr="001A75F9">
        <w:rPr>
          <w:lang w:val="en-CA"/>
        </w:rPr>
        <w:t>50:153–79.</w:t>
      </w:r>
    </w:p>
    <w:p w14:paraId="541EF2C6" w14:textId="254D0D16" w:rsidR="007C7C9F" w:rsidRPr="001A75F9" w:rsidRDefault="007C7C9F" w:rsidP="000062BE">
      <w:pPr>
        <w:ind w:firstLine="0"/>
        <w:rPr>
          <w:noProof/>
        </w:rPr>
      </w:pPr>
      <w:r w:rsidRPr="001A75F9">
        <w:t xml:space="preserve">FOCUS. 2000. FOCUS groundwater scenarios in the EU pesticide registration process. </w:t>
      </w:r>
      <w:proofErr w:type="gramStart"/>
      <w:r w:rsidRPr="001A75F9">
        <w:t>Report of the FOCUS Groundwater Scenarios Workgroup, EC Document Reference Sanco/321/2000 rev 2.</w:t>
      </w:r>
      <w:proofErr w:type="gramEnd"/>
      <w:r w:rsidRPr="001A75F9">
        <w:t xml:space="preserve"> 202pp. </w:t>
      </w:r>
    </w:p>
    <w:p w14:paraId="1E89818B" w14:textId="630AB287" w:rsidR="004C394E" w:rsidRPr="001A75F9" w:rsidRDefault="004C394E" w:rsidP="000062BE">
      <w:pPr>
        <w:ind w:firstLine="0"/>
        <w:rPr>
          <w:rFonts w:ascii="Times" w:hAnsi="Times"/>
        </w:rPr>
      </w:pPr>
      <w:r w:rsidRPr="001A75F9">
        <w:t>FOCUS</w:t>
      </w:r>
      <w:r w:rsidR="00265CCC" w:rsidRPr="001A75F9">
        <w:t xml:space="preserve"> 2011.</w:t>
      </w:r>
      <w:r w:rsidRPr="001A75F9">
        <w:t xml:space="preserve"> Surface Water Scenarios in the EU Evaluation Process under 91/414/EEC”. </w:t>
      </w:r>
      <w:proofErr w:type="gramStart"/>
      <w:r w:rsidRPr="001A75F9">
        <w:t>Report of the FOCUS Working Group on Surface Water Scenarios, EC Document Reference SANCO/4802/2001-rev.2.</w:t>
      </w:r>
      <w:proofErr w:type="gramEnd"/>
      <w:r w:rsidRPr="001A75F9">
        <w:t xml:space="preserve"> 245 pp </w:t>
      </w:r>
    </w:p>
    <w:p w14:paraId="4AD2808B" w14:textId="5B4E5C1E" w:rsidR="00E96BB5" w:rsidRPr="001A75F9" w:rsidRDefault="00D54FF8" w:rsidP="000062BE">
      <w:pPr>
        <w:ind w:firstLine="0"/>
        <w:rPr>
          <w:noProof/>
        </w:rPr>
      </w:pPr>
      <w:r w:rsidRPr="001A75F9">
        <w:rPr>
          <w:noProof/>
        </w:rPr>
        <w:t xml:space="preserve">Green RE, Newton I, Shultz S, Cunningham AA, Gilbert M, Pain DJ, Prakash V. 2004. Diclofenac poisoning as a cause of vulture population declines across the Indian subcontinent. </w:t>
      </w:r>
      <w:r w:rsidR="00374C72" w:rsidRPr="001A75F9">
        <w:rPr>
          <w:i/>
          <w:noProof/>
        </w:rPr>
        <w:t xml:space="preserve">J Appl Ecol </w:t>
      </w:r>
      <w:r w:rsidRPr="001A75F9">
        <w:rPr>
          <w:noProof/>
        </w:rPr>
        <w:t>41:793-800.</w:t>
      </w:r>
    </w:p>
    <w:p w14:paraId="0BBBB9B6" w14:textId="6E41B19F" w:rsidR="0049582B" w:rsidRPr="001A75F9" w:rsidRDefault="0049582B" w:rsidP="000062BE">
      <w:pPr>
        <w:ind w:firstLine="0"/>
        <w:rPr>
          <w:lang w:val="en-CA"/>
        </w:rPr>
      </w:pPr>
      <w:r w:rsidRPr="001A75F9">
        <w:rPr>
          <w:lang w:val="en-CA"/>
        </w:rPr>
        <w:t xml:space="preserve">Green RE, Taggart MA, Senacha KR, Raghavan B, Pain DJ, Jhala Y, Cuthbert R. 2007. Rate of decline of the oriental white-backed vulture population in </w:t>
      </w:r>
      <w:r w:rsidR="00AD438F" w:rsidRPr="001A75F9">
        <w:rPr>
          <w:lang w:val="en-CA"/>
        </w:rPr>
        <w:t>I</w:t>
      </w:r>
      <w:r w:rsidRPr="001A75F9">
        <w:rPr>
          <w:lang w:val="en-CA"/>
        </w:rPr>
        <w:t xml:space="preserve">ndia estimated from a survey of diclofenac residues in carcasses of ungulates. </w:t>
      </w:r>
      <w:r w:rsidRPr="001A75F9">
        <w:rPr>
          <w:i/>
          <w:iCs/>
          <w:lang w:val="en-CA"/>
        </w:rPr>
        <w:t>Plos One 2</w:t>
      </w:r>
      <w:r w:rsidRPr="001A75F9">
        <w:rPr>
          <w:lang w:val="en-CA"/>
        </w:rPr>
        <w:t xml:space="preserve"> (8): e686. doi:10.1371/journal.pone.0000686.</w:t>
      </w:r>
    </w:p>
    <w:p w14:paraId="601DD428" w14:textId="28E85DB5" w:rsidR="008566E4" w:rsidRPr="001A75F9" w:rsidRDefault="008566E4" w:rsidP="008566E4">
      <w:pPr>
        <w:ind w:firstLine="0"/>
        <w:rPr>
          <w:noProof/>
        </w:rPr>
      </w:pPr>
      <w:r w:rsidRPr="001A75F9">
        <w:rPr>
          <w:noProof/>
        </w:rPr>
        <w:t>Kemper N. 2008. Veterinary antibiotics in the aquatic and terrestrial en</w:t>
      </w:r>
      <w:r w:rsidR="00FE053B" w:rsidRPr="001A75F9">
        <w:rPr>
          <w:noProof/>
        </w:rPr>
        <w:t xml:space="preserve">vironment. </w:t>
      </w:r>
      <w:r w:rsidR="00FE053B" w:rsidRPr="001A75F9">
        <w:rPr>
          <w:i/>
          <w:noProof/>
        </w:rPr>
        <w:t>Ecol Indic</w:t>
      </w:r>
      <w:r w:rsidRPr="001A75F9">
        <w:rPr>
          <w:noProof/>
        </w:rPr>
        <w:t xml:space="preserve"> 8:1-13.</w:t>
      </w:r>
    </w:p>
    <w:p w14:paraId="111E11CB" w14:textId="780BAF73" w:rsidR="002A2699" w:rsidRPr="001A75F9" w:rsidRDefault="002A2699" w:rsidP="000062BE">
      <w:pPr>
        <w:ind w:firstLine="0"/>
        <w:rPr>
          <w:lang w:val="en-CA"/>
        </w:rPr>
      </w:pPr>
      <w:r w:rsidRPr="001A75F9">
        <w:rPr>
          <w:lang w:val="en-CA"/>
        </w:rPr>
        <w:t xml:space="preserve">Kools SAE, Moltmann JF, Knacker T. 2008. Estimating the use of veterinary medicines in the </w:t>
      </w:r>
      <w:r w:rsidR="00AD438F" w:rsidRPr="001A75F9">
        <w:rPr>
          <w:lang w:val="en-CA"/>
        </w:rPr>
        <w:t>E</w:t>
      </w:r>
      <w:r w:rsidRPr="001A75F9">
        <w:rPr>
          <w:lang w:val="en-CA"/>
        </w:rPr>
        <w:t xml:space="preserve">uropean </w:t>
      </w:r>
      <w:r w:rsidR="00AD438F" w:rsidRPr="001A75F9">
        <w:rPr>
          <w:lang w:val="en-CA"/>
        </w:rPr>
        <w:t>U</w:t>
      </w:r>
      <w:r w:rsidRPr="001A75F9">
        <w:rPr>
          <w:lang w:val="en-CA"/>
        </w:rPr>
        <w:t xml:space="preserve">nion. </w:t>
      </w:r>
      <w:r w:rsidRPr="001A75F9">
        <w:rPr>
          <w:i/>
          <w:iCs/>
          <w:lang w:val="en-CA"/>
        </w:rPr>
        <w:t>Regul Toxicol Pharmacol</w:t>
      </w:r>
      <w:r w:rsidRPr="001A75F9">
        <w:rPr>
          <w:lang w:val="en-CA"/>
        </w:rPr>
        <w:t xml:space="preserve"> 50:59-65.</w:t>
      </w:r>
      <w:r w:rsidR="008566E4" w:rsidRPr="001A75F9">
        <w:rPr>
          <w:lang w:val="en-CA"/>
        </w:rPr>
        <w:t xml:space="preserve"> </w:t>
      </w:r>
    </w:p>
    <w:p w14:paraId="6452EF0B" w14:textId="05918D0F" w:rsidR="008566E4" w:rsidRPr="001A75F9" w:rsidRDefault="008566E4" w:rsidP="008566E4">
      <w:pPr>
        <w:ind w:firstLine="0"/>
        <w:rPr>
          <w:noProof/>
          <w:lang w:val="en-US"/>
        </w:rPr>
      </w:pPr>
      <w:r w:rsidRPr="001A75F9">
        <w:rPr>
          <w:noProof/>
        </w:rPr>
        <w:t>Koschorreck J, Koch C, Ronnefahrt I. 2002. Environmental risk assessment of veterin</w:t>
      </w:r>
      <w:r w:rsidR="007E22B7" w:rsidRPr="001A75F9">
        <w:rPr>
          <w:noProof/>
        </w:rPr>
        <w:t>ary medicinal products in the EU</w:t>
      </w:r>
      <w:r w:rsidRPr="001A75F9">
        <w:rPr>
          <w:noProof/>
        </w:rPr>
        <w:t xml:space="preserve"> - a regulatory pe</w:t>
      </w:r>
      <w:r w:rsidR="007E22B7" w:rsidRPr="001A75F9">
        <w:rPr>
          <w:noProof/>
        </w:rPr>
        <w:t xml:space="preserve">rspective. </w:t>
      </w:r>
      <w:r w:rsidR="007E22B7" w:rsidRPr="001A75F9">
        <w:rPr>
          <w:i/>
          <w:noProof/>
        </w:rPr>
        <w:t>Toxicol</w:t>
      </w:r>
      <w:r w:rsidR="009E2698" w:rsidRPr="001A75F9">
        <w:rPr>
          <w:i/>
          <w:noProof/>
        </w:rPr>
        <w:t xml:space="preserve"> Lett</w:t>
      </w:r>
      <w:r w:rsidRPr="001A75F9">
        <w:rPr>
          <w:noProof/>
        </w:rPr>
        <w:t xml:space="preserve"> 131:117-124.</w:t>
      </w:r>
    </w:p>
    <w:p w14:paraId="2FF3C3AC" w14:textId="12DDE881" w:rsidR="00E96BB5" w:rsidRPr="001A75F9" w:rsidRDefault="00C623E6" w:rsidP="000062BE">
      <w:pPr>
        <w:ind w:firstLine="0"/>
        <w:rPr>
          <w:color w:val="444444"/>
          <w:lang w:val="en"/>
        </w:rPr>
      </w:pPr>
      <w:r w:rsidRPr="001A75F9">
        <w:t>Küs</w:t>
      </w:r>
      <w:r w:rsidR="00E96BB5" w:rsidRPr="001A75F9">
        <w:t xml:space="preserve">ter A, Adler N. 2014. Pharmaceuticals in the environment: scientific evidence of risks and its regulation. </w:t>
      </w:r>
      <w:r w:rsidR="00E96BB5" w:rsidRPr="001A75F9">
        <w:rPr>
          <w:i/>
          <w:iCs/>
        </w:rPr>
        <w:t>Phil Trans R Soc B</w:t>
      </w:r>
      <w:r w:rsidR="00E96BB5" w:rsidRPr="001A75F9">
        <w:t xml:space="preserve"> </w:t>
      </w:r>
      <w:r w:rsidR="00A70337" w:rsidRPr="001A75F9">
        <w:t>Nov 19, 369(1656); doi: 10.1098/rstb.2013.0587.</w:t>
      </w:r>
      <w:r w:rsidR="00E96BB5" w:rsidRPr="001A75F9">
        <w:t>20130587</w:t>
      </w:r>
      <w:r w:rsidR="00E96BB5" w:rsidRPr="001A75F9">
        <w:rPr>
          <w:color w:val="444444"/>
          <w:lang w:val="en"/>
        </w:rPr>
        <w:t>.</w:t>
      </w:r>
    </w:p>
    <w:p w14:paraId="7266785C" w14:textId="7BC7F4A6" w:rsidR="0044253F" w:rsidRPr="001A75F9" w:rsidRDefault="0044253F" w:rsidP="000062BE">
      <w:pPr>
        <w:ind w:firstLine="0"/>
        <w:rPr>
          <w:noProof/>
        </w:rPr>
      </w:pPr>
      <w:r w:rsidRPr="001A75F9">
        <w:rPr>
          <w:noProof/>
        </w:rPr>
        <w:t xml:space="preserve">Levitan BS, Andrews EB, Gilsenan A, Ferguson J, Noel RA, Coplan PM, Mussen F. 2011. Application of the BRAT Framework to </w:t>
      </w:r>
      <w:r w:rsidR="00AD438F" w:rsidRPr="001A75F9">
        <w:rPr>
          <w:noProof/>
        </w:rPr>
        <w:t>c</w:t>
      </w:r>
      <w:r w:rsidRPr="001A75F9">
        <w:rPr>
          <w:noProof/>
        </w:rPr>
        <w:t xml:space="preserve">ase </w:t>
      </w:r>
      <w:r w:rsidR="00AD438F" w:rsidRPr="001A75F9">
        <w:rPr>
          <w:noProof/>
        </w:rPr>
        <w:t>s</w:t>
      </w:r>
      <w:r w:rsidRPr="001A75F9">
        <w:rPr>
          <w:noProof/>
        </w:rPr>
        <w:t xml:space="preserve">tudies: Observations and </w:t>
      </w:r>
      <w:r w:rsidR="00AD438F" w:rsidRPr="001A75F9">
        <w:rPr>
          <w:noProof/>
        </w:rPr>
        <w:t>i</w:t>
      </w:r>
      <w:r w:rsidRPr="001A75F9">
        <w:rPr>
          <w:noProof/>
        </w:rPr>
        <w:t xml:space="preserve">nsights. </w:t>
      </w:r>
      <w:r w:rsidRPr="001A75F9">
        <w:rPr>
          <w:i/>
          <w:noProof/>
        </w:rPr>
        <w:t>Clin Pharmacol Ther</w:t>
      </w:r>
      <w:r w:rsidRPr="001A75F9">
        <w:rPr>
          <w:noProof/>
        </w:rPr>
        <w:t xml:space="preserve"> 89:217-224.</w:t>
      </w:r>
    </w:p>
    <w:p w14:paraId="04B11ADC" w14:textId="1997B9FD" w:rsidR="00D54FF8" w:rsidRPr="001A75F9" w:rsidRDefault="00D54FF8" w:rsidP="000062BE">
      <w:pPr>
        <w:ind w:firstLine="0"/>
        <w:rPr>
          <w:noProof/>
        </w:rPr>
      </w:pPr>
      <w:r w:rsidRPr="001A75F9">
        <w:rPr>
          <w:noProof/>
        </w:rPr>
        <w:t>Liebig M, Fernandez AA, Bluebaum-Gronau E, Boxall A, Brinke M, Carbonell G, Egeler P, Fenner K, Fernandez C, Fink G, Garric J, Halling-Sorensen B, Knacker T, Krogh</w:t>
      </w:r>
      <w:r w:rsidR="00D14E23" w:rsidRPr="001A75F9">
        <w:rPr>
          <w:noProof/>
        </w:rPr>
        <w:t xml:space="preserve"> KA, Kü</w:t>
      </w:r>
      <w:r w:rsidRPr="001A75F9">
        <w:rPr>
          <w:noProof/>
        </w:rPr>
        <w:t>ster A, Loeffler D, Angel M, Cots P, Pope L, Prasse C, Roembke J, Roennefahrt I, Schneider MK, Schweitzer N, Tarazona JV, Ternes TA, Traunspurger W, Wehrhan A, Duis K. 2010. E</w:t>
      </w:r>
      <w:r w:rsidR="00E51D3A" w:rsidRPr="001A75F9">
        <w:rPr>
          <w:noProof/>
        </w:rPr>
        <w:t>nvironmental risk assessment of ivermectin: a case s</w:t>
      </w:r>
      <w:r w:rsidRPr="001A75F9">
        <w:rPr>
          <w:noProof/>
        </w:rPr>
        <w:t xml:space="preserve">tudy. </w:t>
      </w:r>
      <w:r w:rsidR="00366FD3" w:rsidRPr="001A75F9">
        <w:rPr>
          <w:i/>
          <w:noProof/>
        </w:rPr>
        <w:t>Integr Enviro</w:t>
      </w:r>
      <w:r w:rsidR="00457CDB" w:rsidRPr="001A75F9">
        <w:rPr>
          <w:i/>
          <w:noProof/>
        </w:rPr>
        <w:t>n</w:t>
      </w:r>
      <w:r w:rsidR="00366FD3" w:rsidRPr="001A75F9">
        <w:rPr>
          <w:i/>
          <w:noProof/>
        </w:rPr>
        <w:t xml:space="preserve"> Assess Manage </w:t>
      </w:r>
      <w:r w:rsidRPr="001A75F9">
        <w:rPr>
          <w:noProof/>
        </w:rPr>
        <w:t>6:567-587.</w:t>
      </w:r>
    </w:p>
    <w:p w14:paraId="19602771" w14:textId="77777777" w:rsidR="00D54FF8" w:rsidRPr="001A75F9" w:rsidRDefault="00D54FF8" w:rsidP="000062BE">
      <w:pPr>
        <w:ind w:firstLine="0"/>
        <w:rPr>
          <w:noProof/>
          <w:lang w:val="de-DE"/>
        </w:rPr>
      </w:pPr>
      <w:r w:rsidRPr="001A75F9">
        <w:rPr>
          <w:noProof/>
          <w:lang w:val="de-DE"/>
        </w:rPr>
        <w:t xml:space="preserve">Liebig M, Floeter C, Hahn T, Koch W, Wenzel A, Römbke J. 2014. </w:t>
      </w:r>
      <w:r w:rsidR="00C33196" w:rsidRPr="001A75F9">
        <w:rPr>
          <w:noProof/>
        </w:rPr>
        <w:t>Risk m</w:t>
      </w:r>
      <w:r w:rsidRPr="001A75F9">
        <w:rPr>
          <w:noProof/>
        </w:rPr>
        <w:t>itigation</w:t>
      </w:r>
      <w:r w:rsidR="00C33196" w:rsidRPr="001A75F9">
        <w:rPr>
          <w:noProof/>
        </w:rPr>
        <w:t xml:space="preserve"> measures: An important aspect of the environmental risk assessment of p</w:t>
      </w:r>
      <w:r w:rsidRPr="001A75F9">
        <w:rPr>
          <w:noProof/>
        </w:rPr>
        <w:t xml:space="preserve">harmaceuticals. </w:t>
      </w:r>
      <w:r w:rsidRPr="001A75F9">
        <w:rPr>
          <w:i/>
          <w:noProof/>
          <w:lang w:val="de-DE"/>
        </w:rPr>
        <w:t>Toxics</w:t>
      </w:r>
      <w:r w:rsidRPr="001A75F9">
        <w:rPr>
          <w:noProof/>
          <w:lang w:val="de-DE"/>
        </w:rPr>
        <w:t xml:space="preserve"> 2:35-49.</w:t>
      </w:r>
    </w:p>
    <w:p w14:paraId="01168393" w14:textId="0DE62265" w:rsidR="003D5FF3" w:rsidRPr="001A75F9" w:rsidRDefault="003D5FF3" w:rsidP="000062BE">
      <w:pPr>
        <w:ind w:firstLine="0"/>
        <w:rPr>
          <w:lang w:val="en-CA"/>
        </w:rPr>
      </w:pPr>
      <w:proofErr w:type="gramStart"/>
      <w:r w:rsidRPr="001A75F9">
        <w:rPr>
          <w:lang w:val="en-CA"/>
        </w:rPr>
        <w:t>Losey JE, Vaughan M. 2006.</w:t>
      </w:r>
      <w:proofErr w:type="gramEnd"/>
      <w:r w:rsidRPr="001A75F9">
        <w:rPr>
          <w:lang w:val="en-CA"/>
        </w:rPr>
        <w:t xml:space="preserve"> The economic value of ecological services provided by insects.</w:t>
      </w:r>
      <w:r w:rsidRPr="001A75F9">
        <w:rPr>
          <w:i/>
          <w:iCs/>
          <w:lang w:val="en-CA"/>
        </w:rPr>
        <w:t xml:space="preserve"> Bioscience</w:t>
      </w:r>
      <w:r w:rsidRPr="001A75F9">
        <w:rPr>
          <w:lang w:val="en-CA"/>
        </w:rPr>
        <w:t xml:space="preserve"> 56:311-323.</w:t>
      </w:r>
    </w:p>
    <w:p w14:paraId="297C736E" w14:textId="77777777" w:rsidR="00DF739E" w:rsidRPr="001A75F9" w:rsidRDefault="00DF739E" w:rsidP="000062BE">
      <w:pPr>
        <w:ind w:firstLine="0"/>
        <w:rPr>
          <w:lang w:val="en-CA"/>
        </w:rPr>
      </w:pPr>
      <w:r w:rsidRPr="001A75F9">
        <w:rPr>
          <w:lang w:val="en-CA"/>
        </w:rPr>
        <w:t xml:space="preserve">Lumaret J-P, Errouissi F, Floate K, Roembke J, Wardhaugh K. 2012. </w:t>
      </w:r>
      <w:proofErr w:type="gramStart"/>
      <w:r w:rsidRPr="001A75F9">
        <w:rPr>
          <w:lang w:val="en-CA"/>
        </w:rPr>
        <w:t>A review on the toxicity and non-target effects of macrocyclic lactones in terrestrial and aquatic environments.</w:t>
      </w:r>
      <w:proofErr w:type="gramEnd"/>
      <w:r w:rsidRPr="001A75F9">
        <w:rPr>
          <w:lang w:val="en-CA"/>
        </w:rPr>
        <w:t xml:space="preserve"> </w:t>
      </w:r>
      <w:r w:rsidRPr="001A75F9">
        <w:rPr>
          <w:i/>
          <w:iCs/>
          <w:lang w:val="en-CA"/>
        </w:rPr>
        <w:t xml:space="preserve">Curr Pharm Biotechnol </w:t>
      </w:r>
      <w:r w:rsidRPr="001A75F9">
        <w:rPr>
          <w:lang w:val="en-CA"/>
        </w:rPr>
        <w:t>13:1004-1060.</w:t>
      </w:r>
    </w:p>
    <w:p w14:paraId="6B91146A" w14:textId="77777777" w:rsidR="00D54FF8" w:rsidRPr="001A75F9" w:rsidRDefault="00D54FF8" w:rsidP="000062BE">
      <w:pPr>
        <w:ind w:firstLine="0"/>
        <w:rPr>
          <w:noProof/>
          <w:lang w:val="en-US"/>
        </w:rPr>
      </w:pPr>
      <w:r w:rsidRPr="001A75F9">
        <w:rPr>
          <w:noProof/>
        </w:rPr>
        <w:t xml:space="preserve">Markandya A, Taylor T, Longo A, Murty MN, Murty S, Dhavala K. 2008. Counting the cost of vulture decline—An appraisal of the human health and other benefits of vultures in India. </w:t>
      </w:r>
      <w:r w:rsidR="00147455" w:rsidRPr="001A75F9">
        <w:rPr>
          <w:i/>
          <w:noProof/>
          <w:lang w:val="en-US"/>
        </w:rPr>
        <w:t>Ecol Econ</w:t>
      </w:r>
      <w:r w:rsidRPr="001A75F9">
        <w:rPr>
          <w:noProof/>
          <w:lang w:val="en-US"/>
        </w:rPr>
        <w:t xml:space="preserve"> 67:194-204.</w:t>
      </w:r>
    </w:p>
    <w:p w14:paraId="107BFAD7" w14:textId="730E2FAC" w:rsidR="006F1457" w:rsidRPr="001A75F9" w:rsidRDefault="006F1457" w:rsidP="000062BE">
      <w:pPr>
        <w:ind w:firstLine="0"/>
        <w:rPr>
          <w:lang w:val="en-US"/>
        </w:rPr>
      </w:pPr>
      <w:proofErr w:type="gramStart"/>
      <w:r w:rsidRPr="001A75F9">
        <w:t>Marshall BM, Levy SB. 2011.</w:t>
      </w:r>
      <w:proofErr w:type="gramEnd"/>
      <w:r w:rsidRPr="001A75F9">
        <w:t xml:space="preserve"> Food animals and antimicrobials: impacts on human health. </w:t>
      </w:r>
      <w:r w:rsidRPr="001A75F9">
        <w:rPr>
          <w:i/>
          <w:iCs/>
          <w:lang w:val="en-US"/>
        </w:rPr>
        <w:t xml:space="preserve">Clin Microbiol Rev </w:t>
      </w:r>
      <w:r w:rsidRPr="001A75F9">
        <w:rPr>
          <w:lang w:val="en-US"/>
        </w:rPr>
        <w:t xml:space="preserve">24:718–733. </w:t>
      </w:r>
    </w:p>
    <w:p w14:paraId="38F35BE8" w14:textId="77777777" w:rsidR="00D81C67" w:rsidRPr="001A75F9" w:rsidRDefault="00D81C67" w:rsidP="000062BE">
      <w:pPr>
        <w:ind w:firstLine="0"/>
        <w:rPr>
          <w:noProof/>
        </w:rPr>
      </w:pPr>
      <w:r w:rsidRPr="001A75F9">
        <w:rPr>
          <w:noProof/>
          <w:lang w:val="sv-SE"/>
        </w:rPr>
        <w:t xml:space="preserve">Montforts M, van Rijswick H, de Haes HAU. 2004. </w:t>
      </w:r>
      <w:r w:rsidRPr="001A75F9">
        <w:rPr>
          <w:noProof/>
        </w:rPr>
        <w:t xml:space="preserve">Legal constraints in EU product labelling to mitigate the environmental risk of veterinary medicines at use. </w:t>
      </w:r>
      <w:r w:rsidRPr="001A75F9">
        <w:rPr>
          <w:i/>
          <w:noProof/>
        </w:rPr>
        <w:t xml:space="preserve">Regul Toxicol Pharmacol </w:t>
      </w:r>
      <w:r w:rsidRPr="001A75F9">
        <w:rPr>
          <w:noProof/>
        </w:rPr>
        <w:t>40:327-335.</w:t>
      </w:r>
    </w:p>
    <w:p w14:paraId="37DD5D88" w14:textId="4AC7B2C0" w:rsidR="00F00728" w:rsidRPr="001A75F9" w:rsidRDefault="00F00728" w:rsidP="00FF7FA6">
      <w:pPr>
        <w:ind w:firstLine="0"/>
        <w:rPr>
          <w:noProof/>
        </w:rPr>
      </w:pPr>
      <w:r w:rsidRPr="001A75F9">
        <w:rPr>
          <w:noProof/>
          <w:lang w:val="sv-SE"/>
        </w:rPr>
        <w:t>Montforts M. 2006.</w:t>
      </w:r>
      <w:r w:rsidR="00FF7FA6" w:rsidRPr="001A75F9">
        <w:rPr>
          <w:noProof/>
          <w:lang w:val="sv-SE"/>
        </w:rPr>
        <w:t xml:space="preserve"> Validation of the exposure assessment for veterinary medicinal product</w:t>
      </w:r>
      <w:r w:rsidR="00193820" w:rsidRPr="001A75F9">
        <w:rPr>
          <w:noProof/>
          <w:lang w:val="sv-SE"/>
        </w:rPr>
        <w:t xml:space="preserve">. </w:t>
      </w:r>
      <w:r w:rsidR="00193820" w:rsidRPr="001A75F9">
        <w:rPr>
          <w:i/>
          <w:noProof/>
          <w:lang w:val="sv-SE"/>
        </w:rPr>
        <w:t>Sci Total Environ</w:t>
      </w:r>
      <w:r w:rsidR="009E2698" w:rsidRPr="001A75F9">
        <w:rPr>
          <w:noProof/>
          <w:lang w:val="sv-SE"/>
        </w:rPr>
        <w:t xml:space="preserve"> 385:</w:t>
      </w:r>
      <w:r w:rsidR="00FF7FA6" w:rsidRPr="001A75F9">
        <w:rPr>
          <w:noProof/>
          <w:lang w:val="sv-SE"/>
        </w:rPr>
        <w:t xml:space="preserve">121-136. </w:t>
      </w:r>
    </w:p>
    <w:p w14:paraId="45080F95" w14:textId="53344415" w:rsidR="001B133D" w:rsidRPr="001A75F9" w:rsidRDefault="001B133D" w:rsidP="000062BE">
      <w:pPr>
        <w:ind w:firstLine="0"/>
        <w:rPr>
          <w:noProof/>
        </w:rPr>
      </w:pPr>
      <w:r w:rsidRPr="001A75F9">
        <w:rPr>
          <w:noProof/>
        </w:rPr>
        <w:t xml:space="preserve">Obimakinde S, Fatoki O, Opeolu B, Olatunji O. 2017. Veterinary pharmaceuticals in aqueous systems and associated effects: an update. </w:t>
      </w:r>
      <w:r w:rsidRPr="001A75F9">
        <w:rPr>
          <w:i/>
          <w:noProof/>
        </w:rPr>
        <w:t xml:space="preserve">Environ Sci Pollut Res </w:t>
      </w:r>
      <w:r w:rsidRPr="001A75F9">
        <w:rPr>
          <w:noProof/>
        </w:rPr>
        <w:t xml:space="preserve">24:3274-3297. </w:t>
      </w:r>
    </w:p>
    <w:p w14:paraId="6B199477" w14:textId="77777777" w:rsidR="00D54FF8" w:rsidRPr="001A75F9" w:rsidRDefault="00D54FF8" w:rsidP="000062BE">
      <w:pPr>
        <w:ind w:firstLine="0"/>
        <w:rPr>
          <w:noProof/>
        </w:rPr>
      </w:pPr>
      <w:r w:rsidRPr="001A75F9">
        <w:rPr>
          <w:noProof/>
        </w:rPr>
        <w:t xml:space="preserve">Pan M, Chu L. 2016. Phytotoxicity of veterinary antibiotics to seed germination and root elongation of crops. </w:t>
      </w:r>
      <w:r w:rsidR="007A021A" w:rsidRPr="001A75F9">
        <w:rPr>
          <w:i/>
          <w:noProof/>
        </w:rPr>
        <w:t xml:space="preserve">Ecotox Environ Safe </w:t>
      </w:r>
      <w:r w:rsidRPr="001A75F9">
        <w:rPr>
          <w:noProof/>
        </w:rPr>
        <w:t>126:228-237.</w:t>
      </w:r>
    </w:p>
    <w:p w14:paraId="354BA201" w14:textId="78CFD011" w:rsidR="001D4F23" w:rsidRPr="001A75F9" w:rsidRDefault="00333A5F" w:rsidP="000062BE">
      <w:pPr>
        <w:ind w:firstLine="0"/>
        <w:rPr>
          <w:noProof/>
        </w:rPr>
      </w:pPr>
      <w:r w:rsidRPr="001A75F9">
        <w:rPr>
          <w:noProof/>
        </w:rPr>
        <w:t xml:space="preserve">Sarmah AK, Meyer MT, Boxall ABA. 2006. A global perspective on the use, sales, exposure pathways, occurrence, fate and effects of veterinary antibiotics (VAs) in the environment. </w:t>
      </w:r>
      <w:r w:rsidRPr="001A75F9">
        <w:rPr>
          <w:i/>
          <w:noProof/>
        </w:rPr>
        <w:t>Chemosphere</w:t>
      </w:r>
      <w:r w:rsidRPr="001A75F9">
        <w:rPr>
          <w:noProof/>
        </w:rPr>
        <w:t xml:space="preserve"> 65:725-759.</w:t>
      </w:r>
    </w:p>
    <w:p w14:paraId="65D902AF" w14:textId="31BB14F1" w:rsidR="00333A5F" w:rsidRPr="001A75F9" w:rsidRDefault="001D4F23" w:rsidP="000062BE">
      <w:pPr>
        <w:ind w:firstLine="0"/>
        <w:rPr>
          <w:noProof/>
        </w:rPr>
      </w:pPr>
      <w:r w:rsidRPr="001A75F9">
        <w:rPr>
          <w:noProof/>
        </w:rPr>
        <w:t>Schneider MK, Stamm C, Fenner K. 2007. Selecting scenarios to assess exposure of surface waters to veterinary medicines in Europe.</w:t>
      </w:r>
      <w:r w:rsidRPr="001A75F9">
        <w:rPr>
          <w:i/>
          <w:noProof/>
        </w:rPr>
        <w:t xml:space="preserve"> Enviro Sci Technol </w:t>
      </w:r>
      <w:r w:rsidR="00B76790" w:rsidRPr="001A75F9">
        <w:rPr>
          <w:noProof/>
        </w:rPr>
        <w:t>41:</w:t>
      </w:r>
      <w:r w:rsidRPr="001A75F9">
        <w:rPr>
          <w:noProof/>
        </w:rPr>
        <w:t>4667-4676.</w:t>
      </w:r>
    </w:p>
    <w:p w14:paraId="4D394C37" w14:textId="77777777" w:rsidR="00A11C66" w:rsidRPr="001A75F9" w:rsidRDefault="00A11C66" w:rsidP="000062BE">
      <w:pPr>
        <w:ind w:firstLine="0"/>
      </w:pPr>
      <w:r w:rsidRPr="001A75F9">
        <w:t>Swedish Chemicals Agency. 2007. The Substitution Principle. Report 8/07.</w:t>
      </w:r>
    </w:p>
    <w:p w14:paraId="6838F67D" w14:textId="7B08D8D0" w:rsidR="00C12195" w:rsidRPr="001A75F9" w:rsidRDefault="00C12195" w:rsidP="0039289E">
      <w:pPr>
        <w:ind w:firstLine="0"/>
        <w:rPr>
          <w:noProof/>
        </w:rPr>
      </w:pPr>
      <w:r w:rsidRPr="001A75F9">
        <w:rPr>
          <w:noProof/>
        </w:rPr>
        <w:t xml:space="preserve">Syberg K, Hansen SF. 2016. Environmental risk assessment of chemicals and nanomaterials - the best foundation for regulatory decision-making? </w:t>
      </w:r>
      <w:r w:rsidR="00A22C7C" w:rsidRPr="001A75F9">
        <w:rPr>
          <w:i/>
          <w:noProof/>
        </w:rPr>
        <w:t>Sci Total Environ</w:t>
      </w:r>
      <w:r w:rsidR="00A22C7C" w:rsidRPr="001A75F9">
        <w:rPr>
          <w:noProof/>
        </w:rPr>
        <w:t xml:space="preserve"> </w:t>
      </w:r>
      <w:r w:rsidRPr="001A75F9">
        <w:rPr>
          <w:noProof/>
        </w:rPr>
        <w:t>541:784-794.</w:t>
      </w:r>
    </w:p>
    <w:p w14:paraId="34CA95A6" w14:textId="1097EE8D" w:rsidR="00DF0A8F" w:rsidRPr="001A75F9" w:rsidRDefault="00DF0A8F" w:rsidP="00825F4E">
      <w:pPr>
        <w:ind w:firstLine="0"/>
        <w:rPr>
          <w:noProof/>
        </w:rPr>
      </w:pPr>
      <w:r w:rsidRPr="001A75F9">
        <w:rPr>
          <w:noProof/>
        </w:rPr>
        <w:t xml:space="preserve">Viaene KPJ, De Laender F, Rico A, Van den Brink PJ, Di Guardo A, Morselli M, et al. 2015. Species interactions and chemical stress: Combined effects of intraspecific and interspecific interactions and pyrene on daphnia magna population dynamics. </w:t>
      </w:r>
      <w:r w:rsidRPr="001A75F9">
        <w:rPr>
          <w:i/>
        </w:rPr>
        <w:t xml:space="preserve">Environ Toxicol </w:t>
      </w:r>
      <w:proofErr w:type="gramStart"/>
      <w:r w:rsidRPr="001A75F9">
        <w:rPr>
          <w:i/>
        </w:rPr>
        <w:t>Chem</w:t>
      </w:r>
      <w:r w:rsidRPr="001A75F9">
        <w:rPr>
          <w:rFonts w:ascii="Helvetica" w:hAnsi="Helvetica" w:cs="Helvetica"/>
          <w:sz w:val="28"/>
          <w:szCs w:val="28"/>
          <w:lang w:val="en-US"/>
        </w:rPr>
        <w:t xml:space="preserve"> </w:t>
      </w:r>
      <w:r w:rsidRPr="001A75F9">
        <w:rPr>
          <w:noProof/>
        </w:rPr>
        <w:t xml:space="preserve"> 34:1751</w:t>
      </w:r>
      <w:proofErr w:type="gramEnd"/>
      <w:r w:rsidRPr="001A75F9">
        <w:rPr>
          <w:noProof/>
        </w:rPr>
        <w:t>-1759</w:t>
      </w:r>
      <w:r w:rsidR="00021C48" w:rsidRPr="001A75F9">
        <w:rPr>
          <w:noProof/>
        </w:rPr>
        <w:t>.</w:t>
      </w:r>
    </w:p>
    <w:p w14:paraId="27057F0D" w14:textId="71AED7B0" w:rsidR="0062535C" w:rsidRPr="001A75F9" w:rsidRDefault="0062535C" w:rsidP="00531BF2">
      <w:pPr>
        <w:ind w:firstLine="0"/>
      </w:pPr>
      <w:proofErr w:type="gramStart"/>
      <w:r w:rsidRPr="001A75F9">
        <w:t>VICH (International cooperation on harmonisation of technical requirements for regi</w:t>
      </w:r>
      <w:r w:rsidR="000A3CF3" w:rsidRPr="001A75F9">
        <w:t>stration of veterinary medicinal products)</w:t>
      </w:r>
      <w:r w:rsidRPr="001A75F9">
        <w:t>.</w:t>
      </w:r>
      <w:proofErr w:type="gramEnd"/>
      <w:r w:rsidRPr="001A75F9">
        <w:t xml:space="preserve"> 2000. Guideline on environmental impact assessment (EIAs) for veterinary medicinal products–Phase I. CVMP/VICH/592/98. </w:t>
      </w:r>
      <w:hyperlink r:id="rId29" w:history="1">
        <w:r w:rsidRPr="001A75F9">
          <w:rPr>
            <w:rStyle w:val="Hyperlink"/>
          </w:rPr>
          <w:t>http://www.ema.europa.eu/docs/en_GB/document_library/Scientific_guideline/2009/10/WC500004394.pdf</w:t>
        </w:r>
      </w:hyperlink>
    </w:p>
    <w:p w14:paraId="7F091A2E" w14:textId="44B8FC57" w:rsidR="0062535C" w:rsidRPr="001A75F9" w:rsidRDefault="000A3CF3" w:rsidP="00531BF2">
      <w:pPr>
        <w:ind w:firstLine="0"/>
      </w:pPr>
      <w:r w:rsidRPr="001A75F9">
        <w:t>VICH</w:t>
      </w:r>
      <w:r w:rsidR="0062535C" w:rsidRPr="001A75F9">
        <w:t xml:space="preserve">. 2004. Guideline on environmental impact assessment for veterinary medicinal products Phase II. CVMP/ VICH/790/03­FINAL. </w:t>
      </w:r>
      <w:hyperlink r:id="rId30" w:history="1">
        <w:r w:rsidR="0062535C" w:rsidRPr="001A75F9">
          <w:rPr>
            <w:rStyle w:val="Hyperlink"/>
          </w:rPr>
          <w:t>http://www.ema.europa.eu/docs/en_GB/document_library/Scientific_guideline/2009/10/WC500004393.pdf</w:t>
        </w:r>
      </w:hyperlink>
    </w:p>
    <w:p w14:paraId="4EBF52BB" w14:textId="58006338" w:rsidR="00C12195" w:rsidRPr="001A75F9" w:rsidRDefault="008A523E" w:rsidP="00B16D79">
      <w:pPr>
        <w:ind w:firstLine="0"/>
        <w:rPr>
          <w:noProof/>
        </w:rPr>
      </w:pPr>
      <w:r w:rsidRPr="001A75F9">
        <w:rPr>
          <w:noProof/>
        </w:rPr>
        <w:t>Werner I, Hitzfeld B. 2012. 50 years of ecotoxicology since silent spring - a review.</w:t>
      </w:r>
      <w:r w:rsidRPr="001A75F9">
        <w:rPr>
          <w:i/>
          <w:noProof/>
        </w:rPr>
        <w:t xml:space="preserve"> Gaia </w:t>
      </w:r>
      <w:r w:rsidRPr="001A75F9">
        <w:rPr>
          <w:noProof/>
        </w:rPr>
        <w:t>21:217-224.</w:t>
      </w:r>
    </w:p>
    <w:p w14:paraId="4D6F0B68" w14:textId="7AF153B6" w:rsidR="001A40A1" w:rsidRPr="001A75F9" w:rsidRDefault="007E3B97" w:rsidP="003A6CC4">
      <w:pPr>
        <w:ind w:firstLine="0"/>
        <w:rPr>
          <w:noProof/>
        </w:rPr>
      </w:pPr>
      <w:r w:rsidRPr="001A75F9">
        <w:rPr>
          <w:noProof/>
        </w:rPr>
        <w:t xml:space="preserve">Woodward KN. 2008. Assessment of user safety, exposure and risk to veterinary medicinal products in the European Union. </w:t>
      </w:r>
      <w:r w:rsidR="004E23CE" w:rsidRPr="001A75F9">
        <w:rPr>
          <w:i/>
          <w:noProof/>
        </w:rPr>
        <w:t>Regul Toxicol Pharmacol</w:t>
      </w:r>
      <w:r w:rsidR="004E23CE" w:rsidRPr="001A75F9">
        <w:rPr>
          <w:noProof/>
        </w:rPr>
        <w:t xml:space="preserve"> 50:114-128.</w:t>
      </w:r>
    </w:p>
    <w:p w14:paraId="3098CB0C" w14:textId="4A287667" w:rsidR="00BA139E" w:rsidRPr="001A75F9" w:rsidRDefault="00BA139E" w:rsidP="00BA139E">
      <w:pPr>
        <w:ind w:left="0" w:firstLine="0"/>
        <w:rPr>
          <w:b/>
          <w:noProof/>
        </w:rPr>
      </w:pPr>
      <w:r w:rsidRPr="001A75F9">
        <w:rPr>
          <w:b/>
          <w:noProof/>
        </w:rPr>
        <w:t>Figure</w:t>
      </w:r>
      <w:r w:rsidR="00B93ED3">
        <w:rPr>
          <w:b/>
          <w:noProof/>
        </w:rPr>
        <w:t>s</w:t>
      </w:r>
      <w:r w:rsidR="005164DF">
        <w:rPr>
          <w:b/>
          <w:noProof/>
          <w:lang w:eastAsia="en-GB"/>
        </w:rPr>
        <w:drawing>
          <wp:inline distT="0" distB="0" distL="0" distR="0" wp14:anchorId="2E06E9DE" wp14:editId="3E5E7E84">
            <wp:extent cx="5938520" cy="4130040"/>
            <wp:effectExtent l="0" t="0" r="5080" b="10160"/>
            <wp:docPr id="1" name="Picture 1" descr="Macintosh HD:Users:Jen:Google Drive:Thesis Structuring/Writing:Chapter Drafting:Chapter 2:Science of total environment attempt 2:Start point (prev. submission):Current Draft:27.04.17 Submission package:Documents to upload:Revision:1.Redone:Fig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Google Drive:Thesis Structuring/Writing:Chapter Drafting:Chapter 2:Science of total environment attempt 2:Start point (prev. submission):Current Draft:27.04.17 Submission package:Documents to upload:Revision:1.Redone:Fig 1.tif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8520" cy="4130040"/>
                    </a:xfrm>
                    <a:prstGeom prst="rect">
                      <a:avLst/>
                    </a:prstGeom>
                    <a:noFill/>
                    <a:ln>
                      <a:noFill/>
                    </a:ln>
                  </pic:spPr>
                </pic:pic>
              </a:graphicData>
            </a:graphic>
          </wp:inline>
        </w:drawing>
      </w:r>
    </w:p>
    <w:p w14:paraId="70B24713" w14:textId="77777777" w:rsidR="00BA139E" w:rsidRDefault="00BA139E" w:rsidP="00BA139E">
      <w:pPr>
        <w:pStyle w:val="NoSpacing"/>
      </w:pPr>
      <w:r w:rsidRPr="001A75F9">
        <w:rPr>
          <w:b/>
        </w:rPr>
        <w:t>Figure 1.</w:t>
      </w:r>
      <w:r w:rsidRPr="001A75F9">
        <w:t xml:space="preserve"> </w:t>
      </w:r>
      <w:proofErr w:type="gramStart"/>
      <w:r w:rsidRPr="001A75F9">
        <w:t>Schematic of a subset of benefits and the main risks from the VMP benefit-risk recommendation (EMA 2009).</w:t>
      </w:r>
      <w:proofErr w:type="gramEnd"/>
    </w:p>
    <w:p w14:paraId="319D96B0" w14:textId="77777777" w:rsidR="005164DF" w:rsidRDefault="005164DF" w:rsidP="00BA139E">
      <w:pPr>
        <w:pStyle w:val="NoSpacing"/>
      </w:pPr>
    </w:p>
    <w:p w14:paraId="206852C4" w14:textId="55C73396" w:rsidR="005164DF" w:rsidRPr="001A75F9" w:rsidRDefault="005164DF" w:rsidP="00BA139E">
      <w:pPr>
        <w:pStyle w:val="NoSpacing"/>
      </w:pPr>
      <w:r>
        <w:rPr>
          <w:noProof/>
          <w:lang w:val="en-GB" w:eastAsia="en-GB"/>
        </w:rPr>
        <w:drawing>
          <wp:inline distT="0" distB="0" distL="0" distR="0" wp14:anchorId="7300B53C" wp14:editId="7395D2DC">
            <wp:extent cx="5938520" cy="3041015"/>
            <wp:effectExtent l="0" t="0" r="5080" b="6985"/>
            <wp:docPr id="2" name="Picture 2" descr="Macintosh HD:Users:Jen:Google Drive:Thesis Structuring/Writing:Chapter Drafting:Chapter 2:Science of total environment attempt 2:Start point (prev. submission):Current Draft:27.04.17 Submission package:Documents to upload:Revision:1.Redone:Fig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Google Drive:Thesis Structuring/Writing:Chapter Drafting:Chapter 2:Science of total environment attempt 2:Start point (prev. submission):Current Draft:27.04.17 Submission package:Documents to upload:Revision:1.Redone:Fig 2.tif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8520" cy="3041015"/>
                    </a:xfrm>
                    <a:prstGeom prst="rect">
                      <a:avLst/>
                    </a:prstGeom>
                    <a:noFill/>
                    <a:ln>
                      <a:noFill/>
                    </a:ln>
                  </pic:spPr>
                </pic:pic>
              </a:graphicData>
            </a:graphic>
          </wp:inline>
        </w:drawing>
      </w:r>
    </w:p>
    <w:p w14:paraId="025D9B31" w14:textId="77777777" w:rsidR="00BA139E" w:rsidRPr="001A75F9" w:rsidRDefault="00BA139E" w:rsidP="00BA139E">
      <w:pPr>
        <w:pStyle w:val="NoSpacing"/>
      </w:pPr>
      <w:r w:rsidRPr="001A75F9">
        <w:t xml:space="preserve"> </w:t>
      </w:r>
    </w:p>
    <w:p w14:paraId="5C1760DE" w14:textId="77777777" w:rsidR="00BA139E" w:rsidRDefault="00BA139E" w:rsidP="00BA139E">
      <w:pPr>
        <w:pStyle w:val="NoSpacing"/>
        <w:rPr>
          <w:rFonts w:cs="Times New Roman"/>
        </w:rPr>
      </w:pPr>
      <w:r w:rsidRPr="001A75F9">
        <w:rPr>
          <w:b/>
        </w:rPr>
        <w:t>Figure 2</w:t>
      </w:r>
      <w:r w:rsidRPr="001A75F9">
        <w:t xml:space="preserve">. Overview of how environmental risk assessment data from Phase I and II feed into the benefit-risk assessment (BRA) and inform the final authorization decision. Flow illustrates how the three benefit-risk methods (see text) will fit into the authorization process. </w:t>
      </w:r>
      <w:proofErr w:type="gramStart"/>
      <w:r w:rsidRPr="001A75F9">
        <w:rPr>
          <w:vertAlign w:val="superscript"/>
        </w:rPr>
        <w:t>a</w:t>
      </w:r>
      <w:proofErr w:type="gramEnd"/>
      <w:r w:rsidRPr="001A75F9">
        <w:rPr>
          <w:rFonts w:cs="Times New Roman"/>
        </w:rPr>
        <w:t xml:space="preserve"> Persistent, bioaccumulative, toxic (PBT)/very persistent, very bioaccumulative (vPvB) criteria defined in EMA (2012a). PEC: Predicted exposure concentration, EIC: Environmental introduction concentration, PECgw: groundwater PEC, RQ: risk quotient (exposure/effect), RMM: risk mitigation measures.</w:t>
      </w:r>
    </w:p>
    <w:p w14:paraId="784F8C7E" w14:textId="77777777" w:rsidR="005164DF" w:rsidRDefault="005164DF" w:rsidP="00BA139E">
      <w:pPr>
        <w:pStyle w:val="NoSpacing"/>
        <w:rPr>
          <w:rFonts w:cs="Times New Roman"/>
        </w:rPr>
      </w:pPr>
    </w:p>
    <w:p w14:paraId="26975A94" w14:textId="54EA79FC" w:rsidR="005164DF" w:rsidRPr="001A75F9" w:rsidRDefault="005164DF" w:rsidP="00BA139E">
      <w:pPr>
        <w:pStyle w:val="NoSpacing"/>
        <w:rPr>
          <w:rFonts w:cs="Times New Roman"/>
        </w:rPr>
      </w:pPr>
      <w:r>
        <w:rPr>
          <w:rFonts w:cs="Times New Roman"/>
          <w:noProof/>
          <w:lang w:val="en-GB" w:eastAsia="en-GB"/>
        </w:rPr>
        <w:drawing>
          <wp:inline distT="0" distB="0" distL="0" distR="0" wp14:anchorId="32A08FD3" wp14:editId="54AEE741">
            <wp:extent cx="5938520" cy="3996690"/>
            <wp:effectExtent l="0" t="0" r="5080" b="0"/>
            <wp:docPr id="3" name="Picture 3" descr="Macintosh HD:Users:Jen:Google Drive:Thesis Structuring/Writing:Chapter Drafting:Chapter 2:Science of total environment attempt 2:Start point (prev. submission):Current Draft:27.04.17 Submission package:Documents to upload:Revision:1.Redone:Fig 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Google Drive:Thesis Structuring/Writing:Chapter Drafting:Chapter 2:Science of total environment attempt 2:Start point (prev. submission):Current Draft:27.04.17 Submission package:Documents to upload:Revision:1.Redone:Fig 3.tif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8520" cy="3996690"/>
                    </a:xfrm>
                    <a:prstGeom prst="rect">
                      <a:avLst/>
                    </a:prstGeom>
                    <a:noFill/>
                    <a:ln>
                      <a:noFill/>
                    </a:ln>
                  </pic:spPr>
                </pic:pic>
              </a:graphicData>
            </a:graphic>
          </wp:inline>
        </w:drawing>
      </w:r>
    </w:p>
    <w:p w14:paraId="07EC1C17" w14:textId="77777777" w:rsidR="00BA139E" w:rsidRPr="001A75F9" w:rsidRDefault="00BA139E" w:rsidP="00BA139E">
      <w:pPr>
        <w:pStyle w:val="NoSpacing"/>
      </w:pPr>
    </w:p>
    <w:p w14:paraId="08F40664" w14:textId="62FEB78D" w:rsidR="00BA139E" w:rsidRPr="009D4703" w:rsidRDefault="00BA139E" w:rsidP="00BA139E">
      <w:pPr>
        <w:pStyle w:val="NoSpacing"/>
      </w:pPr>
      <w:r w:rsidRPr="001A75F9">
        <w:rPr>
          <w:b/>
        </w:rPr>
        <w:t>Figure 3.</w:t>
      </w:r>
      <w:r w:rsidRPr="001A75F9">
        <w:t xml:space="preserve"> Subset of possible combinations for a level 3 risk in a categorization method with 5 levels of risks and benefits to support authorization decisions for VMPs. Black line connects scenario with the same risks and benefits (i.e., authorization dependent on decision rule). Red lines connect example scenarios with higher risks than benefits (i.e., no authorization); green lines conn</w:t>
      </w:r>
      <w:r w:rsidRPr="009D4A4F">
        <w:t xml:space="preserve">ect example scenarios with higher benefits than risks (i.e., authorization). </w:t>
      </w:r>
    </w:p>
    <w:sectPr w:rsidR="00BA139E" w:rsidRPr="009D4703" w:rsidSect="00E10DDD">
      <w:pgSz w:w="12240" w:h="15840"/>
      <w:pgMar w:top="1440" w:right="1440" w:bottom="1440" w:left="1440"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0ECA3" w15:done="0"/>
  <w15:commentEx w15:paraId="18B3A590" w15:done="0"/>
  <w15:commentEx w15:paraId="13C4F6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71660" w14:textId="77777777" w:rsidR="00592C39" w:rsidRDefault="00592C39" w:rsidP="00754B81">
      <w:r>
        <w:separator/>
      </w:r>
    </w:p>
  </w:endnote>
  <w:endnote w:type="continuationSeparator" w:id="0">
    <w:p w14:paraId="7D285773" w14:textId="77777777" w:rsidR="00592C39" w:rsidRDefault="00592C39" w:rsidP="007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D233"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92D183" w14:textId="77777777" w:rsidR="008A4B38" w:rsidRDefault="008A4B38" w:rsidP="00754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9B36"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5361B">
      <w:rPr>
        <w:rStyle w:val="PageNumber"/>
        <w:noProof/>
      </w:rPr>
      <w:t>1</w:t>
    </w:r>
    <w:r>
      <w:rPr>
        <w:rStyle w:val="PageNumber"/>
      </w:rPr>
      <w:fldChar w:fldCharType="end"/>
    </w:r>
  </w:p>
  <w:p w14:paraId="6DB33810" w14:textId="77777777" w:rsidR="008A4B38" w:rsidRDefault="008A4B38" w:rsidP="00754B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4989"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86F0A6" w14:textId="77777777" w:rsidR="008A4B38" w:rsidRDefault="008A4B38" w:rsidP="00754B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1693"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D1D58">
      <w:rPr>
        <w:rStyle w:val="PageNumber"/>
        <w:noProof/>
      </w:rPr>
      <w:t>14</w:t>
    </w:r>
    <w:r>
      <w:rPr>
        <w:rStyle w:val="PageNumber"/>
      </w:rPr>
      <w:fldChar w:fldCharType="end"/>
    </w:r>
  </w:p>
  <w:p w14:paraId="34C601B6" w14:textId="77777777" w:rsidR="008A4B38" w:rsidRDefault="008A4B38" w:rsidP="00754B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1332"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103F4E" w14:textId="77777777" w:rsidR="008A4B38" w:rsidRDefault="008A4B38" w:rsidP="00754B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E185" w14:textId="77777777" w:rsidR="008A4B38" w:rsidRDefault="008A4B38" w:rsidP="00754B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164DF">
      <w:rPr>
        <w:rStyle w:val="PageNumber"/>
        <w:noProof/>
      </w:rPr>
      <w:t>41</w:t>
    </w:r>
    <w:r>
      <w:rPr>
        <w:rStyle w:val="PageNumber"/>
      </w:rPr>
      <w:fldChar w:fldCharType="end"/>
    </w:r>
  </w:p>
  <w:p w14:paraId="582C7BDD" w14:textId="77777777" w:rsidR="008A4B38" w:rsidRDefault="008A4B38" w:rsidP="00754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B64BD" w14:textId="77777777" w:rsidR="00592C39" w:rsidRDefault="00592C39" w:rsidP="00754B81">
      <w:r>
        <w:separator/>
      </w:r>
    </w:p>
  </w:footnote>
  <w:footnote w:type="continuationSeparator" w:id="0">
    <w:p w14:paraId="43722F4E" w14:textId="77777777" w:rsidR="00592C39" w:rsidRDefault="00592C39" w:rsidP="0075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87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0D2AFF"/>
    <w:multiLevelType w:val="multilevel"/>
    <w:tmpl w:val="6686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3255D"/>
    <w:multiLevelType w:val="hybridMultilevel"/>
    <w:tmpl w:val="9DBEF900"/>
    <w:lvl w:ilvl="0" w:tplc="E7F2C204">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
    <w:nsid w:val="07F16606"/>
    <w:multiLevelType w:val="multilevel"/>
    <w:tmpl w:val="FF40BFBA"/>
    <w:lvl w:ilvl="0">
      <w:start w:val="1"/>
      <w:numFmt w:val="decimal"/>
      <w:lvlText w:val="%1."/>
      <w:lvlJc w:val="left"/>
      <w:pPr>
        <w:ind w:left="2292" w:hanging="360"/>
      </w:pPr>
      <w:rPr>
        <w:rFonts w:hint="default"/>
      </w:rPr>
    </w:lvl>
    <w:lvl w:ilvl="1">
      <w:start w:val="1"/>
      <w:numFmt w:val="decimal"/>
      <w:lvlText w:val="%1.%2."/>
      <w:lvlJc w:val="left"/>
      <w:pPr>
        <w:ind w:left="2724" w:hanging="432"/>
      </w:pPr>
    </w:lvl>
    <w:lvl w:ilvl="2">
      <w:start w:val="1"/>
      <w:numFmt w:val="decimal"/>
      <w:lvlText w:val="%1.%2.%3."/>
      <w:lvlJc w:val="left"/>
      <w:pPr>
        <w:ind w:left="3156" w:hanging="504"/>
      </w:pPr>
    </w:lvl>
    <w:lvl w:ilvl="3">
      <w:start w:val="1"/>
      <w:numFmt w:val="decimal"/>
      <w:lvlText w:val="%1.%2.%3.%4."/>
      <w:lvlJc w:val="left"/>
      <w:pPr>
        <w:ind w:left="3660" w:hanging="648"/>
      </w:pPr>
    </w:lvl>
    <w:lvl w:ilvl="4">
      <w:start w:val="1"/>
      <w:numFmt w:val="decimal"/>
      <w:lvlText w:val="%1.%2.%3.%4.%5."/>
      <w:lvlJc w:val="left"/>
      <w:pPr>
        <w:ind w:left="4164" w:hanging="792"/>
      </w:pPr>
    </w:lvl>
    <w:lvl w:ilvl="5">
      <w:start w:val="1"/>
      <w:numFmt w:val="decimal"/>
      <w:lvlText w:val="%1.%2.%3.%4.%5.%6."/>
      <w:lvlJc w:val="left"/>
      <w:pPr>
        <w:ind w:left="4668" w:hanging="936"/>
      </w:pPr>
    </w:lvl>
    <w:lvl w:ilvl="6">
      <w:start w:val="1"/>
      <w:numFmt w:val="decimal"/>
      <w:lvlText w:val="%1.%2.%3.%4.%5.%6.%7."/>
      <w:lvlJc w:val="left"/>
      <w:pPr>
        <w:ind w:left="5172" w:hanging="1080"/>
      </w:pPr>
    </w:lvl>
    <w:lvl w:ilvl="7">
      <w:start w:val="1"/>
      <w:numFmt w:val="decimal"/>
      <w:lvlText w:val="%1.%2.%3.%4.%5.%6.%7.%8."/>
      <w:lvlJc w:val="left"/>
      <w:pPr>
        <w:ind w:left="5676" w:hanging="1224"/>
      </w:pPr>
    </w:lvl>
    <w:lvl w:ilvl="8">
      <w:start w:val="1"/>
      <w:numFmt w:val="decimal"/>
      <w:lvlText w:val="%1.%2.%3.%4.%5.%6.%7.%8.%9."/>
      <w:lvlJc w:val="left"/>
      <w:pPr>
        <w:ind w:left="6252" w:hanging="1440"/>
      </w:pPr>
    </w:lvl>
  </w:abstractNum>
  <w:abstractNum w:abstractNumId="5">
    <w:nsid w:val="0BB0102F"/>
    <w:multiLevelType w:val="hybridMultilevel"/>
    <w:tmpl w:val="42344D6A"/>
    <w:lvl w:ilvl="0" w:tplc="3320D368">
      <w:start w:val="1"/>
      <w:numFmt w:val="decimal"/>
      <w:lvlText w:val="P%1, "/>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C6A70F7"/>
    <w:multiLevelType w:val="hybridMultilevel"/>
    <w:tmpl w:val="990CE274"/>
    <w:lvl w:ilvl="0" w:tplc="373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E7741"/>
    <w:multiLevelType w:val="multilevel"/>
    <w:tmpl w:val="7F485F72"/>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nsid w:val="113E1835"/>
    <w:multiLevelType w:val="hybridMultilevel"/>
    <w:tmpl w:val="9B3A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D2F69"/>
    <w:multiLevelType w:val="multilevel"/>
    <w:tmpl w:val="863C3CA0"/>
    <w:lvl w:ilvl="0">
      <w:start w:val="1"/>
      <w:numFmt w:val="decimal"/>
      <w:lvlText w:val="%1."/>
      <w:lvlJc w:val="left"/>
      <w:pPr>
        <w:ind w:left="2292" w:hanging="360"/>
      </w:pPr>
      <w:rPr>
        <w:rFonts w:hint="default"/>
      </w:rPr>
    </w:lvl>
    <w:lvl w:ilvl="1">
      <w:start w:val="1"/>
      <w:numFmt w:val="decimal"/>
      <w:lvlText w:val="%1.%2."/>
      <w:lvlJc w:val="left"/>
      <w:pPr>
        <w:ind w:left="2608" w:hanging="623"/>
      </w:pPr>
      <w:rPr>
        <w:rFonts w:hint="default"/>
      </w:rPr>
    </w:lvl>
    <w:lvl w:ilvl="2">
      <w:start w:val="1"/>
      <w:numFmt w:val="decimal"/>
      <w:lvlText w:val="%1.%2.%3."/>
      <w:lvlJc w:val="left"/>
      <w:pPr>
        <w:ind w:left="3156" w:hanging="504"/>
      </w:pPr>
      <w:rPr>
        <w:rFonts w:hint="default"/>
      </w:rPr>
    </w:lvl>
    <w:lvl w:ilvl="3">
      <w:start w:val="1"/>
      <w:numFmt w:val="decimal"/>
      <w:lvlText w:val="%1.%2.%3.%4."/>
      <w:lvlJc w:val="left"/>
      <w:pPr>
        <w:ind w:left="3660" w:hanging="648"/>
      </w:pPr>
      <w:rPr>
        <w:rFonts w:hint="default"/>
      </w:rPr>
    </w:lvl>
    <w:lvl w:ilvl="4">
      <w:start w:val="1"/>
      <w:numFmt w:val="decimal"/>
      <w:lvlText w:val="%1.%2.%3.%4.%5."/>
      <w:lvlJc w:val="left"/>
      <w:pPr>
        <w:ind w:left="4164" w:hanging="792"/>
      </w:pPr>
      <w:rPr>
        <w:rFonts w:hint="default"/>
      </w:rPr>
    </w:lvl>
    <w:lvl w:ilvl="5">
      <w:start w:val="1"/>
      <w:numFmt w:val="decimal"/>
      <w:lvlText w:val="%1.%2.%3.%4.%5.%6."/>
      <w:lvlJc w:val="left"/>
      <w:pPr>
        <w:ind w:left="4668" w:hanging="936"/>
      </w:pPr>
      <w:rPr>
        <w:rFonts w:hint="default"/>
      </w:rPr>
    </w:lvl>
    <w:lvl w:ilvl="6">
      <w:start w:val="1"/>
      <w:numFmt w:val="decimal"/>
      <w:lvlText w:val="%1.%2.%3.%4.%5.%6.%7."/>
      <w:lvlJc w:val="left"/>
      <w:pPr>
        <w:ind w:left="5172" w:hanging="1080"/>
      </w:pPr>
      <w:rPr>
        <w:rFonts w:hint="default"/>
      </w:rPr>
    </w:lvl>
    <w:lvl w:ilvl="7">
      <w:start w:val="1"/>
      <w:numFmt w:val="decimal"/>
      <w:lvlText w:val="%1.%2.%3.%4.%5.%6.%7.%8."/>
      <w:lvlJc w:val="left"/>
      <w:pPr>
        <w:ind w:left="5676" w:hanging="1224"/>
      </w:pPr>
      <w:rPr>
        <w:rFonts w:hint="default"/>
      </w:rPr>
    </w:lvl>
    <w:lvl w:ilvl="8">
      <w:start w:val="1"/>
      <w:numFmt w:val="decimal"/>
      <w:lvlText w:val="%1.%2.%3.%4.%5.%6.%7.%8.%9."/>
      <w:lvlJc w:val="left"/>
      <w:pPr>
        <w:ind w:left="6252" w:hanging="1440"/>
      </w:pPr>
      <w:rPr>
        <w:rFonts w:hint="default"/>
      </w:rPr>
    </w:lvl>
  </w:abstractNum>
  <w:abstractNum w:abstractNumId="10">
    <w:nsid w:val="13752298"/>
    <w:multiLevelType w:val="hybridMultilevel"/>
    <w:tmpl w:val="AA5295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3CB044C"/>
    <w:multiLevelType w:val="hybridMultilevel"/>
    <w:tmpl w:val="ED52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8E4"/>
    <w:multiLevelType w:val="hybridMultilevel"/>
    <w:tmpl w:val="02388DAA"/>
    <w:lvl w:ilvl="0" w:tplc="05C2581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232B66"/>
    <w:multiLevelType w:val="hybridMultilevel"/>
    <w:tmpl w:val="74F4372E"/>
    <w:lvl w:ilvl="0" w:tplc="D3D41296">
      <w:start w:val="1"/>
      <w:numFmt w:val="bullet"/>
      <w:lvlText w:val=""/>
      <w:lvlJc w:val="left"/>
      <w:pPr>
        <w:ind w:left="644" w:hanging="360"/>
      </w:pPr>
      <w:rPr>
        <w:rFonts w:ascii="Symbol" w:eastAsiaTheme="minorEastAsia" w:hAnsi="Symbol"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87F7AC0"/>
    <w:multiLevelType w:val="hybridMultilevel"/>
    <w:tmpl w:val="E65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202E4"/>
    <w:multiLevelType w:val="hybridMultilevel"/>
    <w:tmpl w:val="84785B8C"/>
    <w:lvl w:ilvl="0" w:tplc="D22EE2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CC570DC"/>
    <w:multiLevelType w:val="multilevel"/>
    <w:tmpl w:val="74289CAC"/>
    <w:lvl w:ilvl="0">
      <w:start w:val="1"/>
      <w:numFmt w:val="decimal"/>
      <w:lvlText w:val="%1."/>
      <w:lvlJc w:val="left"/>
      <w:pPr>
        <w:ind w:left="2008" w:hanging="360"/>
      </w:pPr>
      <w:rPr>
        <w:rFonts w:hint="default"/>
      </w:rPr>
    </w:lvl>
    <w:lvl w:ilvl="1">
      <w:start w:val="1"/>
      <w:numFmt w:val="decimal"/>
      <w:lvlText w:val="%1.%2."/>
      <w:lvlJc w:val="left"/>
      <w:pPr>
        <w:ind w:left="2440" w:hanging="432"/>
      </w:pPr>
    </w:lvl>
    <w:lvl w:ilvl="2">
      <w:start w:val="1"/>
      <w:numFmt w:val="decimal"/>
      <w:lvlText w:val="%1.%2.%3."/>
      <w:lvlJc w:val="left"/>
      <w:pPr>
        <w:ind w:left="2872" w:hanging="504"/>
      </w:pPr>
    </w:lvl>
    <w:lvl w:ilvl="3">
      <w:start w:val="1"/>
      <w:numFmt w:val="decimal"/>
      <w:lvlText w:val="%1.%2.%3.%4."/>
      <w:lvlJc w:val="left"/>
      <w:pPr>
        <w:ind w:left="3376" w:hanging="648"/>
      </w:pPr>
    </w:lvl>
    <w:lvl w:ilvl="4">
      <w:start w:val="1"/>
      <w:numFmt w:val="decimal"/>
      <w:lvlText w:val="%1.%2.%3.%4.%5."/>
      <w:lvlJc w:val="left"/>
      <w:pPr>
        <w:ind w:left="3880" w:hanging="792"/>
      </w:pPr>
    </w:lvl>
    <w:lvl w:ilvl="5">
      <w:start w:val="1"/>
      <w:numFmt w:val="decimal"/>
      <w:lvlText w:val="%1.%2.%3.%4.%5.%6."/>
      <w:lvlJc w:val="left"/>
      <w:pPr>
        <w:ind w:left="4384" w:hanging="936"/>
      </w:pPr>
    </w:lvl>
    <w:lvl w:ilvl="6">
      <w:start w:val="1"/>
      <w:numFmt w:val="decimal"/>
      <w:lvlText w:val="%1.%2.%3.%4.%5.%6.%7."/>
      <w:lvlJc w:val="left"/>
      <w:pPr>
        <w:ind w:left="4888" w:hanging="1080"/>
      </w:pPr>
    </w:lvl>
    <w:lvl w:ilvl="7">
      <w:start w:val="1"/>
      <w:numFmt w:val="decimal"/>
      <w:lvlText w:val="%1.%2.%3.%4.%5.%6.%7.%8."/>
      <w:lvlJc w:val="left"/>
      <w:pPr>
        <w:ind w:left="5392" w:hanging="1224"/>
      </w:pPr>
    </w:lvl>
    <w:lvl w:ilvl="8">
      <w:start w:val="1"/>
      <w:numFmt w:val="decimal"/>
      <w:lvlText w:val="%1.%2.%3.%4.%5.%6.%7.%8.%9."/>
      <w:lvlJc w:val="left"/>
      <w:pPr>
        <w:ind w:left="5968" w:hanging="1440"/>
      </w:pPr>
    </w:lvl>
  </w:abstractNum>
  <w:abstractNum w:abstractNumId="17">
    <w:nsid w:val="2002376E"/>
    <w:multiLevelType w:val="multilevel"/>
    <w:tmpl w:val="9BD850FE"/>
    <w:lvl w:ilvl="0">
      <w:start w:val="1"/>
      <w:numFmt w:val="decimal"/>
      <w:lvlText w:val="%1."/>
      <w:lvlJc w:val="left"/>
      <w:pPr>
        <w:ind w:left="2368" w:hanging="360"/>
      </w:pPr>
      <w:rPr>
        <w:rFonts w:hint="default"/>
      </w:rPr>
    </w:lvl>
    <w:lvl w:ilvl="1">
      <w:start w:val="1"/>
      <w:numFmt w:val="decimal"/>
      <w:lvlText w:val="%1.%2."/>
      <w:lvlJc w:val="left"/>
      <w:pPr>
        <w:ind w:left="2800" w:hanging="432"/>
      </w:pPr>
    </w:lvl>
    <w:lvl w:ilvl="2">
      <w:start w:val="1"/>
      <w:numFmt w:val="decimal"/>
      <w:lvlText w:val="%1.%2.%3."/>
      <w:lvlJc w:val="left"/>
      <w:pPr>
        <w:ind w:left="3232" w:hanging="504"/>
      </w:pPr>
    </w:lvl>
    <w:lvl w:ilvl="3">
      <w:start w:val="1"/>
      <w:numFmt w:val="decimal"/>
      <w:lvlText w:val="%1.%2.%3.%4."/>
      <w:lvlJc w:val="left"/>
      <w:pPr>
        <w:ind w:left="3736" w:hanging="648"/>
      </w:pPr>
    </w:lvl>
    <w:lvl w:ilvl="4">
      <w:start w:val="1"/>
      <w:numFmt w:val="decimal"/>
      <w:lvlText w:val="%1.%2.%3.%4.%5."/>
      <w:lvlJc w:val="left"/>
      <w:pPr>
        <w:ind w:left="4240" w:hanging="792"/>
      </w:pPr>
    </w:lvl>
    <w:lvl w:ilvl="5">
      <w:start w:val="1"/>
      <w:numFmt w:val="decimal"/>
      <w:lvlText w:val="%1.%2.%3.%4.%5.%6."/>
      <w:lvlJc w:val="left"/>
      <w:pPr>
        <w:ind w:left="4744" w:hanging="936"/>
      </w:pPr>
    </w:lvl>
    <w:lvl w:ilvl="6">
      <w:start w:val="1"/>
      <w:numFmt w:val="decimal"/>
      <w:lvlText w:val="%1.%2.%3.%4.%5.%6.%7."/>
      <w:lvlJc w:val="left"/>
      <w:pPr>
        <w:ind w:left="5248" w:hanging="1080"/>
      </w:pPr>
    </w:lvl>
    <w:lvl w:ilvl="7">
      <w:start w:val="1"/>
      <w:numFmt w:val="decimal"/>
      <w:lvlText w:val="%1.%2.%3.%4.%5.%6.%7.%8."/>
      <w:lvlJc w:val="left"/>
      <w:pPr>
        <w:ind w:left="5752" w:hanging="1224"/>
      </w:pPr>
    </w:lvl>
    <w:lvl w:ilvl="8">
      <w:start w:val="1"/>
      <w:numFmt w:val="decimal"/>
      <w:lvlText w:val="%1.%2.%3.%4.%5.%6.%7.%8.%9."/>
      <w:lvlJc w:val="left"/>
      <w:pPr>
        <w:ind w:left="6328" w:hanging="1440"/>
      </w:pPr>
    </w:lvl>
  </w:abstractNum>
  <w:abstractNum w:abstractNumId="18">
    <w:nsid w:val="20EF3A54"/>
    <w:multiLevelType w:val="hybridMultilevel"/>
    <w:tmpl w:val="B7E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E42932"/>
    <w:multiLevelType w:val="hybridMultilevel"/>
    <w:tmpl w:val="4AA2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010D2"/>
    <w:multiLevelType w:val="hybridMultilevel"/>
    <w:tmpl w:val="78E43F46"/>
    <w:lvl w:ilvl="0" w:tplc="78969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83B16C6"/>
    <w:multiLevelType w:val="hybridMultilevel"/>
    <w:tmpl w:val="A22884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A1362CE"/>
    <w:multiLevelType w:val="hybridMultilevel"/>
    <w:tmpl w:val="75D0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700D56"/>
    <w:multiLevelType w:val="multilevel"/>
    <w:tmpl w:val="74289CAC"/>
    <w:lvl w:ilvl="0">
      <w:start w:val="1"/>
      <w:numFmt w:val="decimal"/>
      <w:lvlText w:val="%1."/>
      <w:lvlJc w:val="left"/>
      <w:pPr>
        <w:ind w:left="2008" w:hanging="360"/>
      </w:pPr>
      <w:rPr>
        <w:rFonts w:hint="default"/>
      </w:rPr>
    </w:lvl>
    <w:lvl w:ilvl="1">
      <w:start w:val="1"/>
      <w:numFmt w:val="decimal"/>
      <w:lvlText w:val="%1.%2."/>
      <w:lvlJc w:val="left"/>
      <w:pPr>
        <w:ind w:left="2440" w:hanging="432"/>
      </w:pPr>
    </w:lvl>
    <w:lvl w:ilvl="2">
      <w:start w:val="1"/>
      <w:numFmt w:val="decimal"/>
      <w:lvlText w:val="%1.%2.%3."/>
      <w:lvlJc w:val="left"/>
      <w:pPr>
        <w:ind w:left="2872" w:hanging="504"/>
      </w:pPr>
    </w:lvl>
    <w:lvl w:ilvl="3">
      <w:start w:val="1"/>
      <w:numFmt w:val="decimal"/>
      <w:lvlText w:val="%1.%2.%3.%4."/>
      <w:lvlJc w:val="left"/>
      <w:pPr>
        <w:ind w:left="3376" w:hanging="648"/>
      </w:pPr>
    </w:lvl>
    <w:lvl w:ilvl="4">
      <w:start w:val="1"/>
      <w:numFmt w:val="decimal"/>
      <w:lvlText w:val="%1.%2.%3.%4.%5."/>
      <w:lvlJc w:val="left"/>
      <w:pPr>
        <w:ind w:left="3880" w:hanging="792"/>
      </w:pPr>
    </w:lvl>
    <w:lvl w:ilvl="5">
      <w:start w:val="1"/>
      <w:numFmt w:val="decimal"/>
      <w:lvlText w:val="%1.%2.%3.%4.%5.%6."/>
      <w:lvlJc w:val="left"/>
      <w:pPr>
        <w:ind w:left="4384" w:hanging="936"/>
      </w:pPr>
    </w:lvl>
    <w:lvl w:ilvl="6">
      <w:start w:val="1"/>
      <w:numFmt w:val="decimal"/>
      <w:lvlText w:val="%1.%2.%3.%4.%5.%6.%7."/>
      <w:lvlJc w:val="left"/>
      <w:pPr>
        <w:ind w:left="4888" w:hanging="1080"/>
      </w:pPr>
    </w:lvl>
    <w:lvl w:ilvl="7">
      <w:start w:val="1"/>
      <w:numFmt w:val="decimal"/>
      <w:lvlText w:val="%1.%2.%3.%4.%5.%6.%7.%8."/>
      <w:lvlJc w:val="left"/>
      <w:pPr>
        <w:ind w:left="5392" w:hanging="1224"/>
      </w:pPr>
    </w:lvl>
    <w:lvl w:ilvl="8">
      <w:start w:val="1"/>
      <w:numFmt w:val="decimal"/>
      <w:lvlText w:val="%1.%2.%3.%4.%5.%6.%7.%8.%9."/>
      <w:lvlJc w:val="left"/>
      <w:pPr>
        <w:ind w:left="5968" w:hanging="1440"/>
      </w:pPr>
    </w:lvl>
  </w:abstractNum>
  <w:abstractNum w:abstractNumId="24">
    <w:nsid w:val="2DBE07F5"/>
    <w:multiLevelType w:val="hybridMultilevel"/>
    <w:tmpl w:val="009E0000"/>
    <w:lvl w:ilvl="0" w:tplc="373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465DDC"/>
    <w:multiLevelType w:val="multilevel"/>
    <w:tmpl w:val="93E68214"/>
    <w:lvl w:ilvl="0">
      <w:start w:val="1"/>
      <w:numFmt w:val="decimal"/>
      <w:lvlText w:val="%1.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26">
    <w:nsid w:val="2ECB6808"/>
    <w:multiLevelType w:val="hybridMultilevel"/>
    <w:tmpl w:val="985E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3B6517"/>
    <w:multiLevelType w:val="hybridMultilevel"/>
    <w:tmpl w:val="F864C60E"/>
    <w:lvl w:ilvl="0" w:tplc="F3581368">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318042AD"/>
    <w:multiLevelType w:val="hybridMultilevel"/>
    <w:tmpl w:val="305A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F07AEF"/>
    <w:multiLevelType w:val="hybridMultilevel"/>
    <w:tmpl w:val="D6E0E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771FE3"/>
    <w:multiLevelType w:val="hybridMultilevel"/>
    <w:tmpl w:val="FB30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933DF8"/>
    <w:multiLevelType w:val="multilevel"/>
    <w:tmpl w:val="4656C77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35B814E7"/>
    <w:multiLevelType w:val="hybridMultilevel"/>
    <w:tmpl w:val="7F7890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36301D73"/>
    <w:multiLevelType w:val="hybridMultilevel"/>
    <w:tmpl w:val="6B8C74C8"/>
    <w:lvl w:ilvl="0" w:tplc="E7B0F4C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381B21EE"/>
    <w:multiLevelType w:val="hybridMultilevel"/>
    <w:tmpl w:val="9994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B1130C"/>
    <w:multiLevelType w:val="hybridMultilevel"/>
    <w:tmpl w:val="F3C6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7C3C2E"/>
    <w:multiLevelType w:val="hybridMultilevel"/>
    <w:tmpl w:val="D7324A9A"/>
    <w:lvl w:ilvl="0" w:tplc="7660C20C">
      <w:start w:val="1"/>
      <w:numFmt w:val="decimal"/>
      <w:lvlText w:val="%1."/>
      <w:lvlJc w:val="left"/>
      <w:pPr>
        <w:ind w:left="804" w:hanging="5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E5758C4"/>
    <w:multiLevelType w:val="hybridMultilevel"/>
    <w:tmpl w:val="3E0A8E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413E3433"/>
    <w:multiLevelType w:val="hybridMultilevel"/>
    <w:tmpl w:val="6C28A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5F0F33"/>
    <w:multiLevelType w:val="hybridMultilevel"/>
    <w:tmpl w:val="6FB27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464474D4"/>
    <w:multiLevelType w:val="hybridMultilevel"/>
    <w:tmpl w:val="4EA2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C27ED8"/>
    <w:multiLevelType w:val="multilevel"/>
    <w:tmpl w:val="E5523B92"/>
    <w:lvl w:ilvl="0">
      <w:start w:val="1"/>
      <w:numFmt w:val="decimal"/>
      <w:lvlText w:val="%1."/>
      <w:lvlJc w:val="left"/>
      <w:pPr>
        <w:ind w:left="1004" w:hanging="360"/>
      </w:pPr>
      <w:rPr>
        <w:rFonts w:hint="default"/>
      </w:rPr>
    </w:lvl>
    <w:lvl w:ilvl="1">
      <w:start w:val="1"/>
      <w:numFmt w:val="decimal"/>
      <w:lvlText w:val="%1.%2."/>
      <w:lvlJc w:val="left"/>
      <w:pPr>
        <w:ind w:left="1436" w:hanging="432"/>
      </w:pPr>
      <w:rPr>
        <w:rFonts w:hint="default"/>
      </w:r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42">
    <w:nsid w:val="4A1B3145"/>
    <w:multiLevelType w:val="hybridMultilevel"/>
    <w:tmpl w:val="D05A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252D8F"/>
    <w:multiLevelType w:val="hybridMultilevel"/>
    <w:tmpl w:val="1A8E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584C3E"/>
    <w:multiLevelType w:val="hybridMultilevel"/>
    <w:tmpl w:val="6F3EFE32"/>
    <w:lvl w:ilvl="0" w:tplc="A86CE4C8">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5">
    <w:nsid w:val="5AAC51D9"/>
    <w:multiLevelType w:val="hybridMultilevel"/>
    <w:tmpl w:val="6D62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9D6497"/>
    <w:multiLevelType w:val="multilevel"/>
    <w:tmpl w:val="7F206982"/>
    <w:lvl w:ilvl="0">
      <w:start w:val="1"/>
      <w:numFmt w:val="decimal"/>
      <w:lvlText w:val="1.%1"/>
      <w:lvlJc w:val="left"/>
      <w:pPr>
        <w:ind w:left="200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D500A11"/>
    <w:multiLevelType w:val="hybridMultilevel"/>
    <w:tmpl w:val="A7AE4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A00E3D"/>
    <w:multiLevelType w:val="multilevel"/>
    <w:tmpl w:val="1F48915C"/>
    <w:lvl w:ilvl="0">
      <w:start w:val="1"/>
      <w:numFmt w:val="decimal"/>
      <w:lvlText w:val="%1."/>
      <w:lvlJc w:val="left"/>
      <w:pPr>
        <w:ind w:left="704" w:hanging="360"/>
      </w:pPr>
      <w:rPr>
        <w:rFonts w:hint="default"/>
      </w:rPr>
    </w:lvl>
    <w:lvl w:ilvl="1">
      <w:start w:val="1"/>
      <w:numFmt w:val="decimal"/>
      <w:lvlText w:val="%1.%2"/>
      <w:lvlJc w:val="left"/>
      <w:pPr>
        <w:ind w:left="1020" w:hanging="623"/>
      </w:pPr>
      <w:rPr>
        <w:rFonts w:hint="default"/>
      </w:rPr>
    </w:lvl>
    <w:lvl w:ilvl="2">
      <w:start w:val="1"/>
      <w:numFmt w:val="decimal"/>
      <w:lvlText w:val="%1.%2.%3."/>
      <w:lvlJc w:val="left"/>
      <w:pPr>
        <w:ind w:left="1568" w:hanging="504"/>
      </w:pPr>
      <w:rPr>
        <w:rFonts w:hint="default"/>
      </w:rPr>
    </w:lvl>
    <w:lvl w:ilvl="3">
      <w:start w:val="1"/>
      <w:numFmt w:val="decimal"/>
      <w:lvlText w:val="%1.%2.%3.%4."/>
      <w:lvlJc w:val="left"/>
      <w:pPr>
        <w:ind w:left="2072" w:hanging="648"/>
      </w:pPr>
      <w:rPr>
        <w:rFonts w:hint="default"/>
      </w:rPr>
    </w:lvl>
    <w:lvl w:ilvl="4">
      <w:start w:val="1"/>
      <w:numFmt w:val="decimal"/>
      <w:lvlText w:val="%1.%2.%3.%4.%5."/>
      <w:lvlJc w:val="left"/>
      <w:pPr>
        <w:ind w:left="2576" w:hanging="792"/>
      </w:pPr>
      <w:rPr>
        <w:rFonts w:hint="default"/>
      </w:rPr>
    </w:lvl>
    <w:lvl w:ilvl="5">
      <w:start w:val="1"/>
      <w:numFmt w:val="decimal"/>
      <w:lvlText w:val="%1.%2.%3.%4.%5.%6."/>
      <w:lvlJc w:val="left"/>
      <w:pPr>
        <w:ind w:left="3080" w:hanging="936"/>
      </w:pPr>
      <w:rPr>
        <w:rFonts w:hint="default"/>
      </w:rPr>
    </w:lvl>
    <w:lvl w:ilvl="6">
      <w:start w:val="1"/>
      <w:numFmt w:val="decimal"/>
      <w:lvlText w:val="%1.%2.%3.%4.%5.%6.%7."/>
      <w:lvlJc w:val="left"/>
      <w:pPr>
        <w:ind w:left="3584" w:hanging="1080"/>
      </w:pPr>
      <w:rPr>
        <w:rFonts w:hint="default"/>
      </w:rPr>
    </w:lvl>
    <w:lvl w:ilvl="7">
      <w:start w:val="1"/>
      <w:numFmt w:val="decimal"/>
      <w:lvlText w:val="%1.%2.%3.%4.%5.%6.%7.%8."/>
      <w:lvlJc w:val="left"/>
      <w:pPr>
        <w:ind w:left="4088" w:hanging="1224"/>
      </w:pPr>
      <w:rPr>
        <w:rFonts w:hint="default"/>
      </w:rPr>
    </w:lvl>
    <w:lvl w:ilvl="8">
      <w:start w:val="1"/>
      <w:numFmt w:val="decimal"/>
      <w:lvlText w:val="%1.%2.%3.%4.%5.%6.%7.%8.%9."/>
      <w:lvlJc w:val="left"/>
      <w:pPr>
        <w:ind w:left="4664" w:hanging="1440"/>
      </w:pPr>
      <w:rPr>
        <w:rFonts w:hint="default"/>
      </w:rPr>
    </w:lvl>
  </w:abstractNum>
  <w:abstractNum w:abstractNumId="49">
    <w:nsid w:val="616F25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1B645D4"/>
    <w:multiLevelType w:val="multilevel"/>
    <w:tmpl w:val="162E6210"/>
    <w:lvl w:ilvl="0">
      <w:start w:val="1"/>
      <w:numFmt w:val="decimal"/>
      <w:lvlText w:val="1.%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nsid w:val="639A4698"/>
    <w:multiLevelType w:val="hybridMultilevel"/>
    <w:tmpl w:val="F1B092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nsid w:val="68752D3E"/>
    <w:multiLevelType w:val="hybridMultilevel"/>
    <w:tmpl w:val="15F48B0E"/>
    <w:lvl w:ilvl="0" w:tplc="5D2E42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F805C94"/>
    <w:multiLevelType w:val="multilevel"/>
    <w:tmpl w:val="57A238D6"/>
    <w:lvl w:ilvl="0">
      <w:start w:val="1"/>
      <w:numFmt w:val="decimal"/>
      <w:lvlText w:val="%1"/>
      <w:lvlJc w:val="left"/>
      <w:pPr>
        <w:ind w:left="716"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54">
    <w:nsid w:val="70303F58"/>
    <w:multiLevelType w:val="multilevel"/>
    <w:tmpl w:val="74289CAC"/>
    <w:lvl w:ilvl="0">
      <w:start w:val="1"/>
      <w:numFmt w:val="decimal"/>
      <w:lvlText w:val="%1."/>
      <w:lvlJc w:val="left"/>
      <w:pPr>
        <w:ind w:left="2008" w:hanging="360"/>
      </w:pPr>
      <w:rPr>
        <w:rFonts w:hint="default"/>
      </w:rPr>
    </w:lvl>
    <w:lvl w:ilvl="1">
      <w:start w:val="1"/>
      <w:numFmt w:val="decimal"/>
      <w:lvlText w:val="%1.%2."/>
      <w:lvlJc w:val="left"/>
      <w:pPr>
        <w:ind w:left="2440" w:hanging="432"/>
      </w:pPr>
    </w:lvl>
    <w:lvl w:ilvl="2">
      <w:start w:val="1"/>
      <w:numFmt w:val="decimal"/>
      <w:lvlText w:val="%1.%2.%3."/>
      <w:lvlJc w:val="left"/>
      <w:pPr>
        <w:ind w:left="2872" w:hanging="504"/>
      </w:pPr>
    </w:lvl>
    <w:lvl w:ilvl="3">
      <w:start w:val="1"/>
      <w:numFmt w:val="decimal"/>
      <w:lvlText w:val="%1.%2.%3.%4."/>
      <w:lvlJc w:val="left"/>
      <w:pPr>
        <w:ind w:left="3376" w:hanging="648"/>
      </w:pPr>
    </w:lvl>
    <w:lvl w:ilvl="4">
      <w:start w:val="1"/>
      <w:numFmt w:val="decimal"/>
      <w:lvlText w:val="%1.%2.%3.%4.%5."/>
      <w:lvlJc w:val="left"/>
      <w:pPr>
        <w:ind w:left="3880" w:hanging="792"/>
      </w:pPr>
    </w:lvl>
    <w:lvl w:ilvl="5">
      <w:start w:val="1"/>
      <w:numFmt w:val="decimal"/>
      <w:lvlText w:val="%1.%2.%3.%4.%5.%6."/>
      <w:lvlJc w:val="left"/>
      <w:pPr>
        <w:ind w:left="4384" w:hanging="936"/>
      </w:pPr>
    </w:lvl>
    <w:lvl w:ilvl="6">
      <w:start w:val="1"/>
      <w:numFmt w:val="decimal"/>
      <w:lvlText w:val="%1.%2.%3.%4.%5.%6.%7."/>
      <w:lvlJc w:val="left"/>
      <w:pPr>
        <w:ind w:left="4888" w:hanging="1080"/>
      </w:pPr>
    </w:lvl>
    <w:lvl w:ilvl="7">
      <w:start w:val="1"/>
      <w:numFmt w:val="decimal"/>
      <w:lvlText w:val="%1.%2.%3.%4.%5.%6.%7.%8."/>
      <w:lvlJc w:val="left"/>
      <w:pPr>
        <w:ind w:left="5392" w:hanging="1224"/>
      </w:pPr>
    </w:lvl>
    <w:lvl w:ilvl="8">
      <w:start w:val="1"/>
      <w:numFmt w:val="decimal"/>
      <w:lvlText w:val="%1.%2.%3.%4.%5.%6.%7.%8.%9."/>
      <w:lvlJc w:val="left"/>
      <w:pPr>
        <w:ind w:left="5968" w:hanging="1440"/>
      </w:pPr>
    </w:lvl>
  </w:abstractNum>
  <w:abstractNum w:abstractNumId="55">
    <w:nsid w:val="744C512C"/>
    <w:multiLevelType w:val="multilevel"/>
    <w:tmpl w:val="5E520132"/>
    <w:lvl w:ilvl="0">
      <w:start w:val="1"/>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56">
    <w:nsid w:val="79877BC0"/>
    <w:multiLevelType w:val="hybridMultilevel"/>
    <w:tmpl w:val="9AF88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97133F"/>
    <w:multiLevelType w:val="hybridMultilevel"/>
    <w:tmpl w:val="675837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nsid w:val="7CE05F1E"/>
    <w:multiLevelType w:val="hybridMultilevel"/>
    <w:tmpl w:val="6A8636B4"/>
    <w:lvl w:ilvl="0" w:tplc="B756125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E106E86"/>
    <w:multiLevelType w:val="hybridMultilevel"/>
    <w:tmpl w:val="904A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45"/>
  </w:num>
  <w:num w:numId="3">
    <w:abstractNumId w:val="12"/>
  </w:num>
  <w:num w:numId="4">
    <w:abstractNumId w:val="44"/>
  </w:num>
  <w:num w:numId="5">
    <w:abstractNumId w:val="18"/>
  </w:num>
  <w:num w:numId="6">
    <w:abstractNumId w:val="30"/>
  </w:num>
  <w:num w:numId="7">
    <w:abstractNumId w:val="15"/>
  </w:num>
  <w:num w:numId="8">
    <w:abstractNumId w:val="19"/>
  </w:num>
  <w:num w:numId="9">
    <w:abstractNumId w:val="13"/>
  </w:num>
  <w:num w:numId="10">
    <w:abstractNumId w:val="38"/>
  </w:num>
  <w:num w:numId="11">
    <w:abstractNumId w:val="34"/>
  </w:num>
  <w:num w:numId="12">
    <w:abstractNumId w:val="40"/>
  </w:num>
  <w:num w:numId="13">
    <w:abstractNumId w:val="20"/>
  </w:num>
  <w:num w:numId="14">
    <w:abstractNumId w:val="24"/>
  </w:num>
  <w:num w:numId="15">
    <w:abstractNumId w:val="26"/>
  </w:num>
  <w:num w:numId="16">
    <w:abstractNumId w:val="59"/>
  </w:num>
  <w:num w:numId="17">
    <w:abstractNumId w:val="28"/>
  </w:num>
  <w:num w:numId="18">
    <w:abstractNumId w:val="22"/>
  </w:num>
  <w:num w:numId="19">
    <w:abstractNumId w:val="6"/>
  </w:num>
  <w:num w:numId="20">
    <w:abstractNumId w:val="42"/>
  </w:num>
  <w:num w:numId="21">
    <w:abstractNumId w:val="11"/>
  </w:num>
  <w:num w:numId="22">
    <w:abstractNumId w:val="21"/>
  </w:num>
  <w:num w:numId="23">
    <w:abstractNumId w:val="56"/>
  </w:num>
  <w:num w:numId="24">
    <w:abstractNumId w:val="43"/>
  </w:num>
  <w:num w:numId="25">
    <w:abstractNumId w:val="52"/>
  </w:num>
  <w:num w:numId="26">
    <w:abstractNumId w:val="35"/>
  </w:num>
  <w:num w:numId="27">
    <w:abstractNumId w:val="0"/>
  </w:num>
  <w:num w:numId="28">
    <w:abstractNumId w:val="14"/>
  </w:num>
  <w:num w:numId="29">
    <w:abstractNumId w:val="2"/>
  </w:num>
  <w:num w:numId="30">
    <w:abstractNumId w:val="51"/>
  </w:num>
  <w:num w:numId="31">
    <w:abstractNumId w:val="32"/>
  </w:num>
  <w:num w:numId="32">
    <w:abstractNumId w:val="57"/>
  </w:num>
  <w:num w:numId="33">
    <w:abstractNumId w:val="47"/>
  </w:num>
  <w:num w:numId="34">
    <w:abstractNumId w:val="8"/>
  </w:num>
  <w:num w:numId="35">
    <w:abstractNumId w:val="36"/>
  </w:num>
  <w:num w:numId="36">
    <w:abstractNumId w:val="10"/>
  </w:num>
  <w:num w:numId="37">
    <w:abstractNumId w:val="5"/>
  </w:num>
  <w:num w:numId="38">
    <w:abstractNumId w:val="37"/>
  </w:num>
  <w:num w:numId="39">
    <w:abstractNumId w:val="39"/>
  </w:num>
  <w:num w:numId="40">
    <w:abstractNumId w:val="29"/>
  </w:num>
  <w:num w:numId="41">
    <w:abstractNumId w:val="27"/>
  </w:num>
  <w:num w:numId="42">
    <w:abstractNumId w:val="41"/>
  </w:num>
  <w:num w:numId="43">
    <w:abstractNumId w:val="50"/>
  </w:num>
  <w:num w:numId="44">
    <w:abstractNumId w:val="41"/>
    <w:lvlOverride w:ilvl="0">
      <w:startOverride w:val="1"/>
    </w:lvlOverride>
  </w:num>
  <w:num w:numId="45">
    <w:abstractNumId w:val="17"/>
  </w:num>
  <w:num w:numId="46">
    <w:abstractNumId w:val="46"/>
  </w:num>
  <w:num w:numId="47">
    <w:abstractNumId w:val="54"/>
  </w:num>
  <w:num w:numId="48">
    <w:abstractNumId w:val="16"/>
  </w:num>
  <w:num w:numId="49">
    <w:abstractNumId w:val="23"/>
  </w:num>
  <w:num w:numId="50">
    <w:abstractNumId w:val="7"/>
  </w:num>
  <w:num w:numId="51">
    <w:abstractNumId w:val="48"/>
  </w:num>
  <w:num w:numId="52">
    <w:abstractNumId w:val="4"/>
  </w:num>
  <w:num w:numId="53">
    <w:abstractNumId w:val="9"/>
  </w:num>
  <w:num w:numId="54">
    <w:abstractNumId w:val="53"/>
  </w:num>
  <w:num w:numId="55">
    <w:abstractNumId w:val="31"/>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 w:numId="58">
    <w:abstractNumId w:val="25"/>
  </w:num>
  <w:num w:numId="59">
    <w:abstractNumId w:val="1"/>
  </w:num>
  <w:num w:numId="60">
    <w:abstractNumId w:val="49"/>
  </w:num>
  <w:num w:numId="61">
    <w:abstractNumId w:val="53"/>
    <w:lvlOverride w:ilvl="0">
      <w:startOverride w:val="3"/>
    </w:lvlOverride>
    <w:lvlOverride w:ilvl="1">
      <w:startOverride w:val="2"/>
    </w:lvlOverride>
  </w:num>
  <w:num w:numId="62">
    <w:abstractNumId w:val="3"/>
  </w:num>
  <w:num w:numId="63">
    <w:abstractNumId w:val="3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Chapman">
    <w15:presenceInfo w15:providerId="Windows Live" w15:userId="e7b64b85d0e2b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viron Health Persp&lt;/Style&gt;&lt;LeftDelim&gt;{&lt;/LeftDelim&gt;&lt;RightDelim&gt;}&lt;/RightDelim&gt;&lt;FontName&gt;Cambria&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wp29dz4f02rketzw5vr22zwf0pxrzze9se&quot;&gt;LR VMP Focus WC&lt;record-ids&gt;&lt;item&gt;13229&lt;/item&gt;&lt;item&gt;13238&lt;/item&gt;&lt;item&gt;13947&lt;/item&gt;&lt;item&gt;14123&lt;/item&gt;&lt;item&gt;14365&lt;/item&gt;&lt;item&gt;15214&lt;/item&gt;&lt;item&gt;27876&lt;/item&gt;&lt;item&gt;27914&lt;/item&gt;&lt;item&gt;28028&lt;/item&gt;&lt;item&gt;28297&lt;/item&gt;&lt;item&gt;28401&lt;/item&gt;&lt;item&gt;28402&lt;/item&gt;&lt;item&gt;28409&lt;/item&gt;&lt;item&gt;28415&lt;/item&gt;&lt;item&gt;28724&lt;/item&gt;&lt;item&gt;28742&lt;/item&gt;&lt;item&gt;28813&lt;/item&gt;&lt;item&gt;28814&lt;/item&gt;&lt;item&gt;28827&lt;/item&gt;&lt;item&gt;28836&lt;/item&gt;&lt;item&gt;28837&lt;/item&gt;&lt;item&gt;28838&lt;/item&gt;&lt;item&gt;28874&lt;/item&gt;&lt;item&gt;28901&lt;/item&gt;&lt;item&gt;28912&lt;/item&gt;&lt;item&gt;28917&lt;/item&gt;&lt;item&gt;28918&lt;/item&gt;&lt;item&gt;28920&lt;/item&gt;&lt;item&gt;28921&lt;/item&gt;&lt;item&gt;28922&lt;/item&gt;&lt;item&gt;28970&lt;/item&gt;&lt;item&gt;28979&lt;/item&gt;&lt;item&gt;29001&lt;/item&gt;&lt;item&gt;29038&lt;/item&gt;&lt;item&gt;29044&lt;/item&gt;&lt;/record-ids&gt;&lt;/item&gt;&lt;/Libraries&gt;"/>
  </w:docVars>
  <w:rsids>
    <w:rsidRoot w:val="00733EB9"/>
    <w:rsid w:val="000007F5"/>
    <w:rsid w:val="00001A59"/>
    <w:rsid w:val="0000282A"/>
    <w:rsid w:val="00002A6C"/>
    <w:rsid w:val="00002D3E"/>
    <w:rsid w:val="00003303"/>
    <w:rsid w:val="00003661"/>
    <w:rsid w:val="000037FF"/>
    <w:rsid w:val="00003F48"/>
    <w:rsid w:val="000047D7"/>
    <w:rsid w:val="00004B43"/>
    <w:rsid w:val="000052D8"/>
    <w:rsid w:val="000057A5"/>
    <w:rsid w:val="0000597D"/>
    <w:rsid w:val="00005AEC"/>
    <w:rsid w:val="00005F2F"/>
    <w:rsid w:val="000062BE"/>
    <w:rsid w:val="000064F2"/>
    <w:rsid w:val="00006529"/>
    <w:rsid w:val="00006BE1"/>
    <w:rsid w:val="000100FD"/>
    <w:rsid w:val="000102DE"/>
    <w:rsid w:val="000110E9"/>
    <w:rsid w:val="00011268"/>
    <w:rsid w:val="0001151D"/>
    <w:rsid w:val="000116D9"/>
    <w:rsid w:val="00011BA9"/>
    <w:rsid w:val="00011DCF"/>
    <w:rsid w:val="00011E75"/>
    <w:rsid w:val="00011E93"/>
    <w:rsid w:val="000131BC"/>
    <w:rsid w:val="00013567"/>
    <w:rsid w:val="0001356A"/>
    <w:rsid w:val="0001366E"/>
    <w:rsid w:val="000145CB"/>
    <w:rsid w:val="00014B34"/>
    <w:rsid w:val="00015208"/>
    <w:rsid w:val="0001540E"/>
    <w:rsid w:val="00015793"/>
    <w:rsid w:val="00016309"/>
    <w:rsid w:val="000165BB"/>
    <w:rsid w:val="00017552"/>
    <w:rsid w:val="000176A7"/>
    <w:rsid w:val="00020DEA"/>
    <w:rsid w:val="00021056"/>
    <w:rsid w:val="00021192"/>
    <w:rsid w:val="00021C48"/>
    <w:rsid w:val="00022D00"/>
    <w:rsid w:val="000231A4"/>
    <w:rsid w:val="00023B9D"/>
    <w:rsid w:val="00024156"/>
    <w:rsid w:val="000249E8"/>
    <w:rsid w:val="000252D7"/>
    <w:rsid w:val="00025333"/>
    <w:rsid w:val="00025387"/>
    <w:rsid w:val="00025406"/>
    <w:rsid w:val="000264AA"/>
    <w:rsid w:val="000264FE"/>
    <w:rsid w:val="00026FA7"/>
    <w:rsid w:val="00027D56"/>
    <w:rsid w:val="00030AF8"/>
    <w:rsid w:val="00030D38"/>
    <w:rsid w:val="00031035"/>
    <w:rsid w:val="000315F5"/>
    <w:rsid w:val="000316E5"/>
    <w:rsid w:val="00031E83"/>
    <w:rsid w:val="00032094"/>
    <w:rsid w:val="00032637"/>
    <w:rsid w:val="00032AAD"/>
    <w:rsid w:val="00032C85"/>
    <w:rsid w:val="0003363E"/>
    <w:rsid w:val="0003365D"/>
    <w:rsid w:val="00035528"/>
    <w:rsid w:val="00036147"/>
    <w:rsid w:val="000375B3"/>
    <w:rsid w:val="00040F8F"/>
    <w:rsid w:val="00041212"/>
    <w:rsid w:val="0004140B"/>
    <w:rsid w:val="00041656"/>
    <w:rsid w:val="000417AA"/>
    <w:rsid w:val="00041B38"/>
    <w:rsid w:val="000420D9"/>
    <w:rsid w:val="00042C1D"/>
    <w:rsid w:val="00043200"/>
    <w:rsid w:val="000435E4"/>
    <w:rsid w:val="0004417C"/>
    <w:rsid w:val="00044CB0"/>
    <w:rsid w:val="000454E5"/>
    <w:rsid w:val="00047867"/>
    <w:rsid w:val="000479F1"/>
    <w:rsid w:val="00050AF0"/>
    <w:rsid w:val="00050BA5"/>
    <w:rsid w:val="00050E14"/>
    <w:rsid w:val="00050F33"/>
    <w:rsid w:val="000515FB"/>
    <w:rsid w:val="00051DDB"/>
    <w:rsid w:val="0005265F"/>
    <w:rsid w:val="00052ABB"/>
    <w:rsid w:val="000531A8"/>
    <w:rsid w:val="000538F1"/>
    <w:rsid w:val="00053FA8"/>
    <w:rsid w:val="00054582"/>
    <w:rsid w:val="00054D8C"/>
    <w:rsid w:val="00054EF0"/>
    <w:rsid w:val="0005517E"/>
    <w:rsid w:val="00055397"/>
    <w:rsid w:val="00055567"/>
    <w:rsid w:val="00055985"/>
    <w:rsid w:val="00055AC3"/>
    <w:rsid w:val="00055E9C"/>
    <w:rsid w:val="0005640D"/>
    <w:rsid w:val="00057252"/>
    <w:rsid w:val="0005728E"/>
    <w:rsid w:val="0005777E"/>
    <w:rsid w:val="00057EA1"/>
    <w:rsid w:val="0006012E"/>
    <w:rsid w:val="0006015F"/>
    <w:rsid w:val="000608F2"/>
    <w:rsid w:val="0006099F"/>
    <w:rsid w:val="000613C9"/>
    <w:rsid w:val="00061837"/>
    <w:rsid w:val="000618DB"/>
    <w:rsid w:val="00061A82"/>
    <w:rsid w:val="000627F6"/>
    <w:rsid w:val="0006330E"/>
    <w:rsid w:val="0006336B"/>
    <w:rsid w:val="00063D3F"/>
    <w:rsid w:val="00064F9E"/>
    <w:rsid w:val="0006508F"/>
    <w:rsid w:val="00065D14"/>
    <w:rsid w:val="00065D24"/>
    <w:rsid w:val="000661A8"/>
    <w:rsid w:val="00066E31"/>
    <w:rsid w:val="00066E74"/>
    <w:rsid w:val="000672C2"/>
    <w:rsid w:val="000674A8"/>
    <w:rsid w:val="00067EA0"/>
    <w:rsid w:val="0007010D"/>
    <w:rsid w:val="000701A9"/>
    <w:rsid w:val="00070275"/>
    <w:rsid w:val="00070636"/>
    <w:rsid w:val="00070A2D"/>
    <w:rsid w:val="00070E90"/>
    <w:rsid w:val="00070FC1"/>
    <w:rsid w:val="00071615"/>
    <w:rsid w:val="0007190D"/>
    <w:rsid w:val="00072054"/>
    <w:rsid w:val="000722E0"/>
    <w:rsid w:val="0007231D"/>
    <w:rsid w:val="0007269B"/>
    <w:rsid w:val="00072A74"/>
    <w:rsid w:val="00073447"/>
    <w:rsid w:val="00073537"/>
    <w:rsid w:val="00073693"/>
    <w:rsid w:val="00073780"/>
    <w:rsid w:val="00073986"/>
    <w:rsid w:val="00074110"/>
    <w:rsid w:val="0007541A"/>
    <w:rsid w:val="00075807"/>
    <w:rsid w:val="00075A0B"/>
    <w:rsid w:val="00075C5C"/>
    <w:rsid w:val="00075C8A"/>
    <w:rsid w:val="00075ECF"/>
    <w:rsid w:val="000762C5"/>
    <w:rsid w:val="00076D9E"/>
    <w:rsid w:val="00080322"/>
    <w:rsid w:val="00080449"/>
    <w:rsid w:val="000819BB"/>
    <w:rsid w:val="00082A70"/>
    <w:rsid w:val="00082BA3"/>
    <w:rsid w:val="00082D64"/>
    <w:rsid w:val="00082ECD"/>
    <w:rsid w:val="00083A00"/>
    <w:rsid w:val="00083BA5"/>
    <w:rsid w:val="00083C0A"/>
    <w:rsid w:val="0008434E"/>
    <w:rsid w:val="0008452C"/>
    <w:rsid w:val="00084AAE"/>
    <w:rsid w:val="0008570F"/>
    <w:rsid w:val="000877E4"/>
    <w:rsid w:val="0009025C"/>
    <w:rsid w:val="0009031A"/>
    <w:rsid w:val="0009111C"/>
    <w:rsid w:val="00091272"/>
    <w:rsid w:val="000912AD"/>
    <w:rsid w:val="00091819"/>
    <w:rsid w:val="00091BCA"/>
    <w:rsid w:val="0009298F"/>
    <w:rsid w:val="00093218"/>
    <w:rsid w:val="00093B34"/>
    <w:rsid w:val="00093B65"/>
    <w:rsid w:val="00093E16"/>
    <w:rsid w:val="0009410A"/>
    <w:rsid w:val="00094699"/>
    <w:rsid w:val="00094A90"/>
    <w:rsid w:val="00095485"/>
    <w:rsid w:val="00095EE0"/>
    <w:rsid w:val="00096752"/>
    <w:rsid w:val="000978DE"/>
    <w:rsid w:val="000A03C0"/>
    <w:rsid w:val="000A052B"/>
    <w:rsid w:val="000A134E"/>
    <w:rsid w:val="000A1D12"/>
    <w:rsid w:val="000A26D6"/>
    <w:rsid w:val="000A391A"/>
    <w:rsid w:val="000A3CF3"/>
    <w:rsid w:val="000A42E7"/>
    <w:rsid w:val="000A4490"/>
    <w:rsid w:val="000A46DF"/>
    <w:rsid w:val="000A5335"/>
    <w:rsid w:val="000A5B9B"/>
    <w:rsid w:val="000A60AF"/>
    <w:rsid w:val="000A6958"/>
    <w:rsid w:val="000A7FC3"/>
    <w:rsid w:val="000B0068"/>
    <w:rsid w:val="000B1006"/>
    <w:rsid w:val="000B123D"/>
    <w:rsid w:val="000B1610"/>
    <w:rsid w:val="000B1D38"/>
    <w:rsid w:val="000B1FC7"/>
    <w:rsid w:val="000B24EE"/>
    <w:rsid w:val="000B25F5"/>
    <w:rsid w:val="000B2A2C"/>
    <w:rsid w:val="000B2E05"/>
    <w:rsid w:val="000B3A43"/>
    <w:rsid w:val="000B3D33"/>
    <w:rsid w:val="000B4A18"/>
    <w:rsid w:val="000B5266"/>
    <w:rsid w:val="000B5649"/>
    <w:rsid w:val="000B5705"/>
    <w:rsid w:val="000B5780"/>
    <w:rsid w:val="000B5903"/>
    <w:rsid w:val="000B5931"/>
    <w:rsid w:val="000B5C4C"/>
    <w:rsid w:val="000B5D71"/>
    <w:rsid w:val="000B5F44"/>
    <w:rsid w:val="000B6717"/>
    <w:rsid w:val="000B6973"/>
    <w:rsid w:val="000B6F1B"/>
    <w:rsid w:val="000B720A"/>
    <w:rsid w:val="000B72F8"/>
    <w:rsid w:val="000B7A0C"/>
    <w:rsid w:val="000C0B0E"/>
    <w:rsid w:val="000C1850"/>
    <w:rsid w:val="000C186C"/>
    <w:rsid w:val="000C31B4"/>
    <w:rsid w:val="000C323F"/>
    <w:rsid w:val="000C51E0"/>
    <w:rsid w:val="000C59B6"/>
    <w:rsid w:val="000C5F90"/>
    <w:rsid w:val="000C6150"/>
    <w:rsid w:val="000C6189"/>
    <w:rsid w:val="000C61C8"/>
    <w:rsid w:val="000C640D"/>
    <w:rsid w:val="000C67B0"/>
    <w:rsid w:val="000C768B"/>
    <w:rsid w:val="000C795C"/>
    <w:rsid w:val="000C7969"/>
    <w:rsid w:val="000D08B0"/>
    <w:rsid w:val="000D094C"/>
    <w:rsid w:val="000D0AAE"/>
    <w:rsid w:val="000D0F13"/>
    <w:rsid w:val="000D1453"/>
    <w:rsid w:val="000D14ED"/>
    <w:rsid w:val="000D191C"/>
    <w:rsid w:val="000D26D5"/>
    <w:rsid w:val="000D31A7"/>
    <w:rsid w:val="000D32C4"/>
    <w:rsid w:val="000D33A5"/>
    <w:rsid w:val="000D4314"/>
    <w:rsid w:val="000D43C0"/>
    <w:rsid w:val="000D455A"/>
    <w:rsid w:val="000D482A"/>
    <w:rsid w:val="000D4C2E"/>
    <w:rsid w:val="000D4D21"/>
    <w:rsid w:val="000D4E62"/>
    <w:rsid w:val="000D4EAC"/>
    <w:rsid w:val="000D5619"/>
    <w:rsid w:val="000D593C"/>
    <w:rsid w:val="000D6B3E"/>
    <w:rsid w:val="000D70F9"/>
    <w:rsid w:val="000D74DC"/>
    <w:rsid w:val="000D7B70"/>
    <w:rsid w:val="000D7D21"/>
    <w:rsid w:val="000E039E"/>
    <w:rsid w:val="000E0E1E"/>
    <w:rsid w:val="000E1355"/>
    <w:rsid w:val="000E143D"/>
    <w:rsid w:val="000E168E"/>
    <w:rsid w:val="000E2639"/>
    <w:rsid w:val="000E26DE"/>
    <w:rsid w:val="000E2D7E"/>
    <w:rsid w:val="000E2F90"/>
    <w:rsid w:val="000E38AF"/>
    <w:rsid w:val="000E3CE3"/>
    <w:rsid w:val="000E3EAB"/>
    <w:rsid w:val="000E4F6A"/>
    <w:rsid w:val="000E573E"/>
    <w:rsid w:val="000E6678"/>
    <w:rsid w:val="000E7527"/>
    <w:rsid w:val="000E7870"/>
    <w:rsid w:val="000F092C"/>
    <w:rsid w:val="000F0E02"/>
    <w:rsid w:val="000F0F45"/>
    <w:rsid w:val="000F13E0"/>
    <w:rsid w:val="000F164B"/>
    <w:rsid w:val="000F199A"/>
    <w:rsid w:val="000F23FE"/>
    <w:rsid w:val="000F2903"/>
    <w:rsid w:val="000F3434"/>
    <w:rsid w:val="000F3FB1"/>
    <w:rsid w:val="000F4727"/>
    <w:rsid w:val="000F4DBB"/>
    <w:rsid w:val="000F4F65"/>
    <w:rsid w:val="000F618E"/>
    <w:rsid w:val="000F63EB"/>
    <w:rsid w:val="000F69BF"/>
    <w:rsid w:val="0010009C"/>
    <w:rsid w:val="00100C95"/>
    <w:rsid w:val="00100E76"/>
    <w:rsid w:val="0010193F"/>
    <w:rsid w:val="001019FC"/>
    <w:rsid w:val="00101DF8"/>
    <w:rsid w:val="0010231F"/>
    <w:rsid w:val="00102DE5"/>
    <w:rsid w:val="00102FB6"/>
    <w:rsid w:val="001033CE"/>
    <w:rsid w:val="001034A0"/>
    <w:rsid w:val="001037AF"/>
    <w:rsid w:val="001037E5"/>
    <w:rsid w:val="00104524"/>
    <w:rsid w:val="00105479"/>
    <w:rsid w:val="00105501"/>
    <w:rsid w:val="00105786"/>
    <w:rsid w:val="001058A8"/>
    <w:rsid w:val="00105EE8"/>
    <w:rsid w:val="00106B06"/>
    <w:rsid w:val="00106B8C"/>
    <w:rsid w:val="00106FA2"/>
    <w:rsid w:val="00107F45"/>
    <w:rsid w:val="00110BAB"/>
    <w:rsid w:val="00110F6C"/>
    <w:rsid w:val="0011181B"/>
    <w:rsid w:val="001137FB"/>
    <w:rsid w:val="00113C46"/>
    <w:rsid w:val="00113DCD"/>
    <w:rsid w:val="00113F36"/>
    <w:rsid w:val="001141BB"/>
    <w:rsid w:val="0011421B"/>
    <w:rsid w:val="00114C30"/>
    <w:rsid w:val="001151D3"/>
    <w:rsid w:val="00115A93"/>
    <w:rsid w:val="00116890"/>
    <w:rsid w:val="00116FAB"/>
    <w:rsid w:val="00117344"/>
    <w:rsid w:val="00117472"/>
    <w:rsid w:val="001179C0"/>
    <w:rsid w:val="0012061B"/>
    <w:rsid w:val="00120835"/>
    <w:rsid w:val="00120AC6"/>
    <w:rsid w:val="00121C5E"/>
    <w:rsid w:val="00121D0B"/>
    <w:rsid w:val="00121EC3"/>
    <w:rsid w:val="00121F31"/>
    <w:rsid w:val="00122146"/>
    <w:rsid w:val="0012222B"/>
    <w:rsid w:val="00122344"/>
    <w:rsid w:val="001224BE"/>
    <w:rsid w:val="00122F91"/>
    <w:rsid w:val="001235A4"/>
    <w:rsid w:val="0012374A"/>
    <w:rsid w:val="00123828"/>
    <w:rsid w:val="001238E8"/>
    <w:rsid w:val="00123E18"/>
    <w:rsid w:val="00123E91"/>
    <w:rsid w:val="001245E6"/>
    <w:rsid w:val="00124810"/>
    <w:rsid w:val="001255EF"/>
    <w:rsid w:val="001259F5"/>
    <w:rsid w:val="00125B4C"/>
    <w:rsid w:val="00126811"/>
    <w:rsid w:val="00127DEE"/>
    <w:rsid w:val="0013025C"/>
    <w:rsid w:val="00131BC6"/>
    <w:rsid w:val="001321F6"/>
    <w:rsid w:val="00132EAD"/>
    <w:rsid w:val="00132F96"/>
    <w:rsid w:val="00134A7D"/>
    <w:rsid w:val="00134B0C"/>
    <w:rsid w:val="00135733"/>
    <w:rsid w:val="00135B0B"/>
    <w:rsid w:val="00135F64"/>
    <w:rsid w:val="00136A32"/>
    <w:rsid w:val="00136B79"/>
    <w:rsid w:val="0013731D"/>
    <w:rsid w:val="001375E1"/>
    <w:rsid w:val="00137CB1"/>
    <w:rsid w:val="001402AF"/>
    <w:rsid w:val="001403C7"/>
    <w:rsid w:val="00140623"/>
    <w:rsid w:val="00140A5D"/>
    <w:rsid w:val="00140CF0"/>
    <w:rsid w:val="00141318"/>
    <w:rsid w:val="001416B2"/>
    <w:rsid w:val="001418CC"/>
    <w:rsid w:val="00141999"/>
    <w:rsid w:val="00141C2F"/>
    <w:rsid w:val="00143127"/>
    <w:rsid w:val="00144AB2"/>
    <w:rsid w:val="001457D1"/>
    <w:rsid w:val="00145A81"/>
    <w:rsid w:val="00145C9C"/>
    <w:rsid w:val="00146160"/>
    <w:rsid w:val="0014682E"/>
    <w:rsid w:val="00146976"/>
    <w:rsid w:val="00147455"/>
    <w:rsid w:val="00147A3D"/>
    <w:rsid w:val="00150791"/>
    <w:rsid w:val="00150E84"/>
    <w:rsid w:val="00150FC6"/>
    <w:rsid w:val="00151086"/>
    <w:rsid w:val="001513ED"/>
    <w:rsid w:val="001515C9"/>
    <w:rsid w:val="001516FF"/>
    <w:rsid w:val="00151828"/>
    <w:rsid w:val="00151ADE"/>
    <w:rsid w:val="00151D12"/>
    <w:rsid w:val="00151F64"/>
    <w:rsid w:val="001530C8"/>
    <w:rsid w:val="001533F7"/>
    <w:rsid w:val="0015482E"/>
    <w:rsid w:val="0015534D"/>
    <w:rsid w:val="00155C69"/>
    <w:rsid w:val="00156366"/>
    <w:rsid w:val="00156EA6"/>
    <w:rsid w:val="00157D47"/>
    <w:rsid w:val="0016005B"/>
    <w:rsid w:val="00160453"/>
    <w:rsid w:val="001605C0"/>
    <w:rsid w:val="00161490"/>
    <w:rsid w:val="00161B1F"/>
    <w:rsid w:val="00161BEE"/>
    <w:rsid w:val="00161D8B"/>
    <w:rsid w:val="00162092"/>
    <w:rsid w:val="00162AB8"/>
    <w:rsid w:val="00162C70"/>
    <w:rsid w:val="00162D53"/>
    <w:rsid w:val="001630C3"/>
    <w:rsid w:val="00163340"/>
    <w:rsid w:val="0016335F"/>
    <w:rsid w:val="00163482"/>
    <w:rsid w:val="00164E42"/>
    <w:rsid w:val="00165A84"/>
    <w:rsid w:val="00166501"/>
    <w:rsid w:val="001668C5"/>
    <w:rsid w:val="00166E53"/>
    <w:rsid w:val="00167577"/>
    <w:rsid w:val="00167910"/>
    <w:rsid w:val="00167C45"/>
    <w:rsid w:val="00170214"/>
    <w:rsid w:val="001702EB"/>
    <w:rsid w:val="00170DE1"/>
    <w:rsid w:val="00171AF4"/>
    <w:rsid w:val="001720CB"/>
    <w:rsid w:val="0017260D"/>
    <w:rsid w:val="001726FB"/>
    <w:rsid w:val="0017280A"/>
    <w:rsid w:val="00172A1A"/>
    <w:rsid w:val="00173217"/>
    <w:rsid w:val="00173531"/>
    <w:rsid w:val="00173909"/>
    <w:rsid w:val="00173C16"/>
    <w:rsid w:val="00173CE8"/>
    <w:rsid w:val="00173EDD"/>
    <w:rsid w:val="00174334"/>
    <w:rsid w:val="00174624"/>
    <w:rsid w:val="00174705"/>
    <w:rsid w:val="00174834"/>
    <w:rsid w:val="00174C5E"/>
    <w:rsid w:val="00174CCB"/>
    <w:rsid w:val="00174EEF"/>
    <w:rsid w:val="0017500D"/>
    <w:rsid w:val="0017570D"/>
    <w:rsid w:val="001758F2"/>
    <w:rsid w:val="00175986"/>
    <w:rsid w:val="00177200"/>
    <w:rsid w:val="001778C1"/>
    <w:rsid w:val="001808EB"/>
    <w:rsid w:val="00180FC4"/>
    <w:rsid w:val="001810BA"/>
    <w:rsid w:val="001811E7"/>
    <w:rsid w:val="00182556"/>
    <w:rsid w:val="00182720"/>
    <w:rsid w:val="00182A80"/>
    <w:rsid w:val="00183057"/>
    <w:rsid w:val="00183124"/>
    <w:rsid w:val="00183482"/>
    <w:rsid w:val="001842B5"/>
    <w:rsid w:val="00184450"/>
    <w:rsid w:val="00184DE7"/>
    <w:rsid w:val="00184F65"/>
    <w:rsid w:val="00185228"/>
    <w:rsid w:val="0018543C"/>
    <w:rsid w:val="0018574F"/>
    <w:rsid w:val="00185955"/>
    <w:rsid w:val="00185B85"/>
    <w:rsid w:val="00185F1D"/>
    <w:rsid w:val="001872FC"/>
    <w:rsid w:val="0018783D"/>
    <w:rsid w:val="00187BE7"/>
    <w:rsid w:val="00190168"/>
    <w:rsid w:val="001903D5"/>
    <w:rsid w:val="0019070D"/>
    <w:rsid w:val="00190C91"/>
    <w:rsid w:val="00190EBA"/>
    <w:rsid w:val="001911D9"/>
    <w:rsid w:val="00191394"/>
    <w:rsid w:val="00191640"/>
    <w:rsid w:val="00191A4C"/>
    <w:rsid w:val="00191AD3"/>
    <w:rsid w:val="001933D9"/>
    <w:rsid w:val="00193424"/>
    <w:rsid w:val="001936A3"/>
    <w:rsid w:val="00193820"/>
    <w:rsid w:val="001938DB"/>
    <w:rsid w:val="00193906"/>
    <w:rsid w:val="001942F1"/>
    <w:rsid w:val="00195140"/>
    <w:rsid w:val="00195D29"/>
    <w:rsid w:val="001966E8"/>
    <w:rsid w:val="001970CF"/>
    <w:rsid w:val="0019761F"/>
    <w:rsid w:val="001A015D"/>
    <w:rsid w:val="001A0BFD"/>
    <w:rsid w:val="001A0C58"/>
    <w:rsid w:val="001A0FA1"/>
    <w:rsid w:val="001A1351"/>
    <w:rsid w:val="001A1C82"/>
    <w:rsid w:val="001A1D6D"/>
    <w:rsid w:val="001A1FC2"/>
    <w:rsid w:val="001A23A1"/>
    <w:rsid w:val="001A24A5"/>
    <w:rsid w:val="001A27F4"/>
    <w:rsid w:val="001A2BEE"/>
    <w:rsid w:val="001A2D18"/>
    <w:rsid w:val="001A40A1"/>
    <w:rsid w:val="001A50F1"/>
    <w:rsid w:val="001A5193"/>
    <w:rsid w:val="001A5541"/>
    <w:rsid w:val="001A5AF6"/>
    <w:rsid w:val="001A5DF6"/>
    <w:rsid w:val="001A634C"/>
    <w:rsid w:val="001A63F8"/>
    <w:rsid w:val="001A6A09"/>
    <w:rsid w:val="001A6D35"/>
    <w:rsid w:val="001A6D5E"/>
    <w:rsid w:val="001A701D"/>
    <w:rsid w:val="001A71F8"/>
    <w:rsid w:val="001A7529"/>
    <w:rsid w:val="001A75F9"/>
    <w:rsid w:val="001A79BE"/>
    <w:rsid w:val="001B04D7"/>
    <w:rsid w:val="001B0D57"/>
    <w:rsid w:val="001B133D"/>
    <w:rsid w:val="001B16B9"/>
    <w:rsid w:val="001B1773"/>
    <w:rsid w:val="001B36F2"/>
    <w:rsid w:val="001B3888"/>
    <w:rsid w:val="001B4A28"/>
    <w:rsid w:val="001B4A3E"/>
    <w:rsid w:val="001B4C0C"/>
    <w:rsid w:val="001B4CEF"/>
    <w:rsid w:val="001B54C3"/>
    <w:rsid w:val="001B5634"/>
    <w:rsid w:val="001B5FD5"/>
    <w:rsid w:val="001B6DDB"/>
    <w:rsid w:val="001B71A7"/>
    <w:rsid w:val="001B7BFF"/>
    <w:rsid w:val="001B7CE8"/>
    <w:rsid w:val="001C0060"/>
    <w:rsid w:val="001C05A4"/>
    <w:rsid w:val="001C0C0D"/>
    <w:rsid w:val="001C0FC5"/>
    <w:rsid w:val="001C1E75"/>
    <w:rsid w:val="001C21EA"/>
    <w:rsid w:val="001C27BD"/>
    <w:rsid w:val="001C2875"/>
    <w:rsid w:val="001C2C96"/>
    <w:rsid w:val="001C341D"/>
    <w:rsid w:val="001C39F8"/>
    <w:rsid w:val="001C3E2B"/>
    <w:rsid w:val="001C4D4C"/>
    <w:rsid w:val="001C4DCC"/>
    <w:rsid w:val="001C516A"/>
    <w:rsid w:val="001C529A"/>
    <w:rsid w:val="001C535D"/>
    <w:rsid w:val="001C5384"/>
    <w:rsid w:val="001C5588"/>
    <w:rsid w:val="001C59EB"/>
    <w:rsid w:val="001C5A66"/>
    <w:rsid w:val="001C5DEB"/>
    <w:rsid w:val="001C6BDF"/>
    <w:rsid w:val="001C7CA0"/>
    <w:rsid w:val="001D002B"/>
    <w:rsid w:val="001D063B"/>
    <w:rsid w:val="001D08BB"/>
    <w:rsid w:val="001D0B7B"/>
    <w:rsid w:val="001D0BAA"/>
    <w:rsid w:val="001D134B"/>
    <w:rsid w:val="001D17CA"/>
    <w:rsid w:val="001D245A"/>
    <w:rsid w:val="001D2FA0"/>
    <w:rsid w:val="001D308E"/>
    <w:rsid w:val="001D3C2D"/>
    <w:rsid w:val="001D3DCE"/>
    <w:rsid w:val="001D44C1"/>
    <w:rsid w:val="001D499D"/>
    <w:rsid w:val="001D49FF"/>
    <w:rsid w:val="001D4F23"/>
    <w:rsid w:val="001D51A4"/>
    <w:rsid w:val="001D6295"/>
    <w:rsid w:val="001D651C"/>
    <w:rsid w:val="001D7A19"/>
    <w:rsid w:val="001E06FF"/>
    <w:rsid w:val="001E197C"/>
    <w:rsid w:val="001E1EF5"/>
    <w:rsid w:val="001E204E"/>
    <w:rsid w:val="001E268B"/>
    <w:rsid w:val="001E2A04"/>
    <w:rsid w:val="001E2EFA"/>
    <w:rsid w:val="001E2F26"/>
    <w:rsid w:val="001E3895"/>
    <w:rsid w:val="001E3C83"/>
    <w:rsid w:val="001E3EE8"/>
    <w:rsid w:val="001E41C5"/>
    <w:rsid w:val="001E4858"/>
    <w:rsid w:val="001E4A75"/>
    <w:rsid w:val="001E5104"/>
    <w:rsid w:val="001E5433"/>
    <w:rsid w:val="001E5DC6"/>
    <w:rsid w:val="001E736C"/>
    <w:rsid w:val="001F0B17"/>
    <w:rsid w:val="001F17DE"/>
    <w:rsid w:val="001F1897"/>
    <w:rsid w:val="001F289E"/>
    <w:rsid w:val="001F3656"/>
    <w:rsid w:val="001F36BD"/>
    <w:rsid w:val="001F36F1"/>
    <w:rsid w:val="001F3702"/>
    <w:rsid w:val="001F3EE9"/>
    <w:rsid w:val="001F4ACF"/>
    <w:rsid w:val="001F4F4A"/>
    <w:rsid w:val="001F58A2"/>
    <w:rsid w:val="001F5AD3"/>
    <w:rsid w:val="001F5EB7"/>
    <w:rsid w:val="001F6975"/>
    <w:rsid w:val="001F6E0A"/>
    <w:rsid w:val="001F7484"/>
    <w:rsid w:val="001F7F33"/>
    <w:rsid w:val="00200C82"/>
    <w:rsid w:val="002021B9"/>
    <w:rsid w:val="002021E3"/>
    <w:rsid w:val="002028D2"/>
    <w:rsid w:val="00202B90"/>
    <w:rsid w:val="0020383C"/>
    <w:rsid w:val="002039CF"/>
    <w:rsid w:val="00203C23"/>
    <w:rsid w:val="00203CB4"/>
    <w:rsid w:val="00204063"/>
    <w:rsid w:val="002042E5"/>
    <w:rsid w:val="00204357"/>
    <w:rsid w:val="002058C8"/>
    <w:rsid w:val="00205A02"/>
    <w:rsid w:val="00205BB2"/>
    <w:rsid w:val="00205F4D"/>
    <w:rsid w:val="0020614A"/>
    <w:rsid w:val="002063FA"/>
    <w:rsid w:val="00206747"/>
    <w:rsid w:val="00206765"/>
    <w:rsid w:val="00207665"/>
    <w:rsid w:val="00207ED7"/>
    <w:rsid w:val="002104C2"/>
    <w:rsid w:val="002106BF"/>
    <w:rsid w:val="00210721"/>
    <w:rsid w:val="002115BF"/>
    <w:rsid w:val="00211AB1"/>
    <w:rsid w:val="00211BD5"/>
    <w:rsid w:val="00211FC0"/>
    <w:rsid w:val="00213A1E"/>
    <w:rsid w:val="00213D39"/>
    <w:rsid w:val="00213DD2"/>
    <w:rsid w:val="00214A8E"/>
    <w:rsid w:val="002152F5"/>
    <w:rsid w:val="00215BB5"/>
    <w:rsid w:val="00215DAE"/>
    <w:rsid w:val="00215E42"/>
    <w:rsid w:val="00216247"/>
    <w:rsid w:val="00216A50"/>
    <w:rsid w:val="002174BE"/>
    <w:rsid w:val="00217728"/>
    <w:rsid w:val="0022048B"/>
    <w:rsid w:val="00220AD6"/>
    <w:rsid w:val="00220B91"/>
    <w:rsid w:val="0022250F"/>
    <w:rsid w:val="0022269A"/>
    <w:rsid w:val="00222ADB"/>
    <w:rsid w:val="00222E32"/>
    <w:rsid w:val="0022327F"/>
    <w:rsid w:val="002237C0"/>
    <w:rsid w:val="00223ED8"/>
    <w:rsid w:val="00225C62"/>
    <w:rsid w:val="002267C3"/>
    <w:rsid w:val="00226CB8"/>
    <w:rsid w:val="00227508"/>
    <w:rsid w:val="002275DC"/>
    <w:rsid w:val="0022795F"/>
    <w:rsid w:val="00227E24"/>
    <w:rsid w:val="0023081E"/>
    <w:rsid w:val="002324C5"/>
    <w:rsid w:val="00232A6F"/>
    <w:rsid w:val="002333B6"/>
    <w:rsid w:val="00234ED8"/>
    <w:rsid w:val="00235FF4"/>
    <w:rsid w:val="00236094"/>
    <w:rsid w:val="0023737F"/>
    <w:rsid w:val="00240A68"/>
    <w:rsid w:val="002411B1"/>
    <w:rsid w:val="00241B25"/>
    <w:rsid w:val="00241FAD"/>
    <w:rsid w:val="00242DC4"/>
    <w:rsid w:val="00243130"/>
    <w:rsid w:val="0024444B"/>
    <w:rsid w:val="002450BA"/>
    <w:rsid w:val="00245284"/>
    <w:rsid w:val="00245619"/>
    <w:rsid w:val="00245666"/>
    <w:rsid w:val="002458C4"/>
    <w:rsid w:val="00246E63"/>
    <w:rsid w:val="00247689"/>
    <w:rsid w:val="002476AC"/>
    <w:rsid w:val="0024780B"/>
    <w:rsid w:val="00250031"/>
    <w:rsid w:val="00250177"/>
    <w:rsid w:val="00250C6C"/>
    <w:rsid w:val="002510FA"/>
    <w:rsid w:val="00251125"/>
    <w:rsid w:val="00251988"/>
    <w:rsid w:val="00251E3F"/>
    <w:rsid w:val="00251FAA"/>
    <w:rsid w:val="00252F0F"/>
    <w:rsid w:val="0025322F"/>
    <w:rsid w:val="00254497"/>
    <w:rsid w:val="00255C94"/>
    <w:rsid w:val="0025626B"/>
    <w:rsid w:val="00256270"/>
    <w:rsid w:val="002562BD"/>
    <w:rsid w:val="0025679B"/>
    <w:rsid w:val="002569AE"/>
    <w:rsid w:val="00256BCB"/>
    <w:rsid w:val="00257E5B"/>
    <w:rsid w:val="00260646"/>
    <w:rsid w:val="002607C8"/>
    <w:rsid w:val="00261779"/>
    <w:rsid w:val="002618C7"/>
    <w:rsid w:val="00261ED5"/>
    <w:rsid w:val="002624A0"/>
    <w:rsid w:val="00262FE0"/>
    <w:rsid w:val="00263442"/>
    <w:rsid w:val="0026418C"/>
    <w:rsid w:val="002647A1"/>
    <w:rsid w:val="00265788"/>
    <w:rsid w:val="00265B95"/>
    <w:rsid w:val="00265BC6"/>
    <w:rsid w:val="00265CCC"/>
    <w:rsid w:val="00266489"/>
    <w:rsid w:val="00266D35"/>
    <w:rsid w:val="0026755A"/>
    <w:rsid w:val="002678EB"/>
    <w:rsid w:val="0027062C"/>
    <w:rsid w:val="0027072E"/>
    <w:rsid w:val="002708AD"/>
    <w:rsid w:val="002718F5"/>
    <w:rsid w:val="00272912"/>
    <w:rsid w:val="00274DD8"/>
    <w:rsid w:val="00275102"/>
    <w:rsid w:val="00275171"/>
    <w:rsid w:val="002767A6"/>
    <w:rsid w:val="00277D6B"/>
    <w:rsid w:val="00280BCB"/>
    <w:rsid w:val="00281057"/>
    <w:rsid w:val="002810B5"/>
    <w:rsid w:val="00281255"/>
    <w:rsid w:val="00282491"/>
    <w:rsid w:val="002838E2"/>
    <w:rsid w:val="00283F3C"/>
    <w:rsid w:val="002843D1"/>
    <w:rsid w:val="002845C9"/>
    <w:rsid w:val="002847B0"/>
    <w:rsid w:val="002856B3"/>
    <w:rsid w:val="00285ED6"/>
    <w:rsid w:val="002860E4"/>
    <w:rsid w:val="002861AE"/>
    <w:rsid w:val="002867AC"/>
    <w:rsid w:val="00286958"/>
    <w:rsid w:val="002869A9"/>
    <w:rsid w:val="00286F16"/>
    <w:rsid w:val="00287141"/>
    <w:rsid w:val="002916C2"/>
    <w:rsid w:val="00292BA5"/>
    <w:rsid w:val="002931DE"/>
    <w:rsid w:val="002932C2"/>
    <w:rsid w:val="002946E0"/>
    <w:rsid w:val="0029495E"/>
    <w:rsid w:val="00294ED7"/>
    <w:rsid w:val="00295801"/>
    <w:rsid w:val="002966BA"/>
    <w:rsid w:val="00297057"/>
    <w:rsid w:val="002971F1"/>
    <w:rsid w:val="00297877"/>
    <w:rsid w:val="002A05C5"/>
    <w:rsid w:val="002A1F46"/>
    <w:rsid w:val="002A2699"/>
    <w:rsid w:val="002A279C"/>
    <w:rsid w:val="002A3E99"/>
    <w:rsid w:val="002A3F17"/>
    <w:rsid w:val="002A4314"/>
    <w:rsid w:val="002A47C3"/>
    <w:rsid w:val="002A4A91"/>
    <w:rsid w:val="002A545C"/>
    <w:rsid w:val="002A5536"/>
    <w:rsid w:val="002A5737"/>
    <w:rsid w:val="002A6555"/>
    <w:rsid w:val="002A6CEF"/>
    <w:rsid w:val="002A70D1"/>
    <w:rsid w:val="002A7B93"/>
    <w:rsid w:val="002A7CE1"/>
    <w:rsid w:val="002B002A"/>
    <w:rsid w:val="002B0074"/>
    <w:rsid w:val="002B0C79"/>
    <w:rsid w:val="002B0F15"/>
    <w:rsid w:val="002B180D"/>
    <w:rsid w:val="002B2E0B"/>
    <w:rsid w:val="002B2E1D"/>
    <w:rsid w:val="002B341A"/>
    <w:rsid w:val="002B3529"/>
    <w:rsid w:val="002B3769"/>
    <w:rsid w:val="002B38C4"/>
    <w:rsid w:val="002B3A85"/>
    <w:rsid w:val="002B43D6"/>
    <w:rsid w:val="002B45F2"/>
    <w:rsid w:val="002B4614"/>
    <w:rsid w:val="002B484C"/>
    <w:rsid w:val="002B56CD"/>
    <w:rsid w:val="002B5835"/>
    <w:rsid w:val="002B60C0"/>
    <w:rsid w:val="002B6191"/>
    <w:rsid w:val="002B6B69"/>
    <w:rsid w:val="002B6E57"/>
    <w:rsid w:val="002B70FB"/>
    <w:rsid w:val="002B7266"/>
    <w:rsid w:val="002B7949"/>
    <w:rsid w:val="002B7E31"/>
    <w:rsid w:val="002C0F14"/>
    <w:rsid w:val="002C1355"/>
    <w:rsid w:val="002C1369"/>
    <w:rsid w:val="002C143B"/>
    <w:rsid w:val="002C15D0"/>
    <w:rsid w:val="002C2012"/>
    <w:rsid w:val="002C27B7"/>
    <w:rsid w:val="002C286A"/>
    <w:rsid w:val="002C29B8"/>
    <w:rsid w:val="002C39AB"/>
    <w:rsid w:val="002C3BBA"/>
    <w:rsid w:val="002C40B9"/>
    <w:rsid w:val="002C41BA"/>
    <w:rsid w:val="002C563F"/>
    <w:rsid w:val="002C5913"/>
    <w:rsid w:val="002C5962"/>
    <w:rsid w:val="002C5A06"/>
    <w:rsid w:val="002C5B85"/>
    <w:rsid w:val="002C5CE9"/>
    <w:rsid w:val="002C6458"/>
    <w:rsid w:val="002C6583"/>
    <w:rsid w:val="002C6D4E"/>
    <w:rsid w:val="002C76DF"/>
    <w:rsid w:val="002C7EF0"/>
    <w:rsid w:val="002D0211"/>
    <w:rsid w:val="002D0488"/>
    <w:rsid w:val="002D06D1"/>
    <w:rsid w:val="002D0931"/>
    <w:rsid w:val="002D1E32"/>
    <w:rsid w:val="002D2073"/>
    <w:rsid w:val="002D2E05"/>
    <w:rsid w:val="002D611C"/>
    <w:rsid w:val="002D67B9"/>
    <w:rsid w:val="002D6D90"/>
    <w:rsid w:val="002D6DBE"/>
    <w:rsid w:val="002D723A"/>
    <w:rsid w:val="002D7402"/>
    <w:rsid w:val="002D7446"/>
    <w:rsid w:val="002D768D"/>
    <w:rsid w:val="002D7BA4"/>
    <w:rsid w:val="002E02C7"/>
    <w:rsid w:val="002E0B68"/>
    <w:rsid w:val="002E13CB"/>
    <w:rsid w:val="002E1D61"/>
    <w:rsid w:val="002E242F"/>
    <w:rsid w:val="002E2FAC"/>
    <w:rsid w:val="002E3819"/>
    <w:rsid w:val="002E40C7"/>
    <w:rsid w:val="002E432A"/>
    <w:rsid w:val="002E4E18"/>
    <w:rsid w:val="002E5B26"/>
    <w:rsid w:val="002E63DA"/>
    <w:rsid w:val="002E6523"/>
    <w:rsid w:val="002F08EF"/>
    <w:rsid w:val="002F0979"/>
    <w:rsid w:val="002F0E8F"/>
    <w:rsid w:val="002F133F"/>
    <w:rsid w:val="002F2387"/>
    <w:rsid w:val="002F285A"/>
    <w:rsid w:val="002F3B93"/>
    <w:rsid w:val="002F3F91"/>
    <w:rsid w:val="002F4C56"/>
    <w:rsid w:val="002F5847"/>
    <w:rsid w:val="002F5E6A"/>
    <w:rsid w:val="002F63B9"/>
    <w:rsid w:val="002F65B0"/>
    <w:rsid w:val="002F67B2"/>
    <w:rsid w:val="002F7236"/>
    <w:rsid w:val="002F7364"/>
    <w:rsid w:val="002F7A72"/>
    <w:rsid w:val="002F7CC5"/>
    <w:rsid w:val="00300122"/>
    <w:rsid w:val="00301396"/>
    <w:rsid w:val="0030178C"/>
    <w:rsid w:val="0030232D"/>
    <w:rsid w:val="00302749"/>
    <w:rsid w:val="00302DE6"/>
    <w:rsid w:val="00303AD7"/>
    <w:rsid w:val="00304612"/>
    <w:rsid w:val="003059BD"/>
    <w:rsid w:val="003059E7"/>
    <w:rsid w:val="00307E88"/>
    <w:rsid w:val="0031027A"/>
    <w:rsid w:val="003108A5"/>
    <w:rsid w:val="00310D3C"/>
    <w:rsid w:val="00311FE8"/>
    <w:rsid w:val="00312471"/>
    <w:rsid w:val="00312564"/>
    <w:rsid w:val="00312CB5"/>
    <w:rsid w:val="00312D63"/>
    <w:rsid w:val="003142B3"/>
    <w:rsid w:val="003144F4"/>
    <w:rsid w:val="00314783"/>
    <w:rsid w:val="00315683"/>
    <w:rsid w:val="003156A5"/>
    <w:rsid w:val="00315915"/>
    <w:rsid w:val="00315B46"/>
    <w:rsid w:val="00316341"/>
    <w:rsid w:val="00316420"/>
    <w:rsid w:val="0031646F"/>
    <w:rsid w:val="003164E0"/>
    <w:rsid w:val="003170AA"/>
    <w:rsid w:val="00317324"/>
    <w:rsid w:val="00317503"/>
    <w:rsid w:val="00317CDA"/>
    <w:rsid w:val="0032088E"/>
    <w:rsid w:val="00320C20"/>
    <w:rsid w:val="00321277"/>
    <w:rsid w:val="00321926"/>
    <w:rsid w:val="00321C96"/>
    <w:rsid w:val="003222BE"/>
    <w:rsid w:val="0032277E"/>
    <w:rsid w:val="00323A0B"/>
    <w:rsid w:val="00323BD2"/>
    <w:rsid w:val="00324339"/>
    <w:rsid w:val="003246CD"/>
    <w:rsid w:val="00324B63"/>
    <w:rsid w:val="0032540D"/>
    <w:rsid w:val="00325911"/>
    <w:rsid w:val="00325A38"/>
    <w:rsid w:val="0032658F"/>
    <w:rsid w:val="00326A92"/>
    <w:rsid w:val="00327531"/>
    <w:rsid w:val="0033049D"/>
    <w:rsid w:val="003308AD"/>
    <w:rsid w:val="0033099F"/>
    <w:rsid w:val="00332B30"/>
    <w:rsid w:val="00333288"/>
    <w:rsid w:val="00333750"/>
    <w:rsid w:val="00333A5F"/>
    <w:rsid w:val="00334449"/>
    <w:rsid w:val="003345DF"/>
    <w:rsid w:val="00334AA6"/>
    <w:rsid w:val="003352FA"/>
    <w:rsid w:val="0033565E"/>
    <w:rsid w:val="003358FC"/>
    <w:rsid w:val="00336070"/>
    <w:rsid w:val="003360FC"/>
    <w:rsid w:val="0033732D"/>
    <w:rsid w:val="0033741E"/>
    <w:rsid w:val="0033749A"/>
    <w:rsid w:val="00337B06"/>
    <w:rsid w:val="00337D3E"/>
    <w:rsid w:val="00337F15"/>
    <w:rsid w:val="00340079"/>
    <w:rsid w:val="003400BF"/>
    <w:rsid w:val="003407F3"/>
    <w:rsid w:val="00341E30"/>
    <w:rsid w:val="0034242C"/>
    <w:rsid w:val="003428CF"/>
    <w:rsid w:val="0034365B"/>
    <w:rsid w:val="0034387B"/>
    <w:rsid w:val="00343EF8"/>
    <w:rsid w:val="00343F40"/>
    <w:rsid w:val="003440F3"/>
    <w:rsid w:val="00344B70"/>
    <w:rsid w:val="00344EDE"/>
    <w:rsid w:val="00345C8C"/>
    <w:rsid w:val="003461A3"/>
    <w:rsid w:val="0034667F"/>
    <w:rsid w:val="0034712E"/>
    <w:rsid w:val="00347224"/>
    <w:rsid w:val="00347D31"/>
    <w:rsid w:val="00347F31"/>
    <w:rsid w:val="0035050E"/>
    <w:rsid w:val="0035094C"/>
    <w:rsid w:val="00350D5C"/>
    <w:rsid w:val="00351747"/>
    <w:rsid w:val="00351955"/>
    <w:rsid w:val="00351A92"/>
    <w:rsid w:val="00352121"/>
    <w:rsid w:val="0035253D"/>
    <w:rsid w:val="0035514C"/>
    <w:rsid w:val="0035541F"/>
    <w:rsid w:val="003558E1"/>
    <w:rsid w:val="00355A59"/>
    <w:rsid w:val="00355B47"/>
    <w:rsid w:val="00355CCE"/>
    <w:rsid w:val="00355D54"/>
    <w:rsid w:val="00355F45"/>
    <w:rsid w:val="00355F4C"/>
    <w:rsid w:val="0035612F"/>
    <w:rsid w:val="003563FF"/>
    <w:rsid w:val="003568C6"/>
    <w:rsid w:val="00356DCB"/>
    <w:rsid w:val="00356F56"/>
    <w:rsid w:val="00357A12"/>
    <w:rsid w:val="003600E8"/>
    <w:rsid w:val="003604AF"/>
    <w:rsid w:val="00361097"/>
    <w:rsid w:val="00361991"/>
    <w:rsid w:val="003625A1"/>
    <w:rsid w:val="00362684"/>
    <w:rsid w:val="00362F93"/>
    <w:rsid w:val="00363244"/>
    <w:rsid w:val="00363BFB"/>
    <w:rsid w:val="003645FB"/>
    <w:rsid w:val="00364756"/>
    <w:rsid w:val="0036491B"/>
    <w:rsid w:val="00364D16"/>
    <w:rsid w:val="00364D38"/>
    <w:rsid w:val="00365370"/>
    <w:rsid w:val="0036548E"/>
    <w:rsid w:val="00365842"/>
    <w:rsid w:val="00365851"/>
    <w:rsid w:val="00365B32"/>
    <w:rsid w:val="003660EA"/>
    <w:rsid w:val="003661AF"/>
    <w:rsid w:val="00366610"/>
    <w:rsid w:val="00366D03"/>
    <w:rsid w:val="00366F0A"/>
    <w:rsid w:val="00366FD3"/>
    <w:rsid w:val="0036730B"/>
    <w:rsid w:val="0036732C"/>
    <w:rsid w:val="003673E0"/>
    <w:rsid w:val="00367414"/>
    <w:rsid w:val="00367492"/>
    <w:rsid w:val="00367A7C"/>
    <w:rsid w:val="00367AD8"/>
    <w:rsid w:val="003700AE"/>
    <w:rsid w:val="003701A6"/>
    <w:rsid w:val="00370251"/>
    <w:rsid w:val="003706BF"/>
    <w:rsid w:val="003718D4"/>
    <w:rsid w:val="00372094"/>
    <w:rsid w:val="003726BF"/>
    <w:rsid w:val="00373A00"/>
    <w:rsid w:val="00374621"/>
    <w:rsid w:val="003748D0"/>
    <w:rsid w:val="00374C72"/>
    <w:rsid w:val="00374DF5"/>
    <w:rsid w:val="003752F4"/>
    <w:rsid w:val="003755E7"/>
    <w:rsid w:val="00375DC4"/>
    <w:rsid w:val="00375EB5"/>
    <w:rsid w:val="00375F7A"/>
    <w:rsid w:val="003765A3"/>
    <w:rsid w:val="0037665D"/>
    <w:rsid w:val="0037665E"/>
    <w:rsid w:val="00377330"/>
    <w:rsid w:val="00377412"/>
    <w:rsid w:val="00377F5E"/>
    <w:rsid w:val="00377FE8"/>
    <w:rsid w:val="00380144"/>
    <w:rsid w:val="00380205"/>
    <w:rsid w:val="00380278"/>
    <w:rsid w:val="0038053B"/>
    <w:rsid w:val="0038061B"/>
    <w:rsid w:val="00380C9F"/>
    <w:rsid w:val="00380E45"/>
    <w:rsid w:val="00380EF1"/>
    <w:rsid w:val="003810C7"/>
    <w:rsid w:val="003816D5"/>
    <w:rsid w:val="00381FFE"/>
    <w:rsid w:val="0038233F"/>
    <w:rsid w:val="00382E72"/>
    <w:rsid w:val="003835A8"/>
    <w:rsid w:val="0038361E"/>
    <w:rsid w:val="003838C0"/>
    <w:rsid w:val="00383D4E"/>
    <w:rsid w:val="00383E72"/>
    <w:rsid w:val="00383F95"/>
    <w:rsid w:val="00384649"/>
    <w:rsid w:val="00385452"/>
    <w:rsid w:val="0038557C"/>
    <w:rsid w:val="00385903"/>
    <w:rsid w:val="00385C4D"/>
    <w:rsid w:val="003866EF"/>
    <w:rsid w:val="00386B76"/>
    <w:rsid w:val="003872DE"/>
    <w:rsid w:val="00387947"/>
    <w:rsid w:val="00387D47"/>
    <w:rsid w:val="00387F6E"/>
    <w:rsid w:val="003907B2"/>
    <w:rsid w:val="00390806"/>
    <w:rsid w:val="00390E0E"/>
    <w:rsid w:val="0039102B"/>
    <w:rsid w:val="003911A8"/>
    <w:rsid w:val="003913E1"/>
    <w:rsid w:val="003915F5"/>
    <w:rsid w:val="00391656"/>
    <w:rsid w:val="003916D9"/>
    <w:rsid w:val="00391D6D"/>
    <w:rsid w:val="0039238D"/>
    <w:rsid w:val="0039289E"/>
    <w:rsid w:val="003928B1"/>
    <w:rsid w:val="00392D39"/>
    <w:rsid w:val="0039304C"/>
    <w:rsid w:val="00393C3E"/>
    <w:rsid w:val="00394313"/>
    <w:rsid w:val="00394923"/>
    <w:rsid w:val="00394DFB"/>
    <w:rsid w:val="00395544"/>
    <w:rsid w:val="00395949"/>
    <w:rsid w:val="0039614C"/>
    <w:rsid w:val="0039715D"/>
    <w:rsid w:val="0039731D"/>
    <w:rsid w:val="00397698"/>
    <w:rsid w:val="00397C73"/>
    <w:rsid w:val="003A00FB"/>
    <w:rsid w:val="003A02D4"/>
    <w:rsid w:val="003A03E5"/>
    <w:rsid w:val="003A0810"/>
    <w:rsid w:val="003A0B44"/>
    <w:rsid w:val="003A1E13"/>
    <w:rsid w:val="003A2428"/>
    <w:rsid w:val="003A25A2"/>
    <w:rsid w:val="003A2826"/>
    <w:rsid w:val="003A2E71"/>
    <w:rsid w:val="003A30AD"/>
    <w:rsid w:val="003A36E1"/>
    <w:rsid w:val="003A3BED"/>
    <w:rsid w:val="003A4622"/>
    <w:rsid w:val="003A47C0"/>
    <w:rsid w:val="003A49EF"/>
    <w:rsid w:val="003A5138"/>
    <w:rsid w:val="003A5ED3"/>
    <w:rsid w:val="003A6107"/>
    <w:rsid w:val="003A6184"/>
    <w:rsid w:val="003A6818"/>
    <w:rsid w:val="003A6C96"/>
    <w:rsid w:val="003A6CC4"/>
    <w:rsid w:val="003A6DCA"/>
    <w:rsid w:val="003A6ECD"/>
    <w:rsid w:val="003A70F5"/>
    <w:rsid w:val="003A7511"/>
    <w:rsid w:val="003A77F3"/>
    <w:rsid w:val="003B0F43"/>
    <w:rsid w:val="003B1983"/>
    <w:rsid w:val="003B2948"/>
    <w:rsid w:val="003B2FBB"/>
    <w:rsid w:val="003B3522"/>
    <w:rsid w:val="003B3636"/>
    <w:rsid w:val="003B3DB4"/>
    <w:rsid w:val="003B41B8"/>
    <w:rsid w:val="003B587F"/>
    <w:rsid w:val="003B5CBB"/>
    <w:rsid w:val="003B5E9B"/>
    <w:rsid w:val="003B74B1"/>
    <w:rsid w:val="003B7DA2"/>
    <w:rsid w:val="003C0319"/>
    <w:rsid w:val="003C04AA"/>
    <w:rsid w:val="003C11AA"/>
    <w:rsid w:val="003C1816"/>
    <w:rsid w:val="003C222A"/>
    <w:rsid w:val="003C223B"/>
    <w:rsid w:val="003C2410"/>
    <w:rsid w:val="003C3727"/>
    <w:rsid w:val="003C3C79"/>
    <w:rsid w:val="003C42C2"/>
    <w:rsid w:val="003C45A9"/>
    <w:rsid w:val="003C577E"/>
    <w:rsid w:val="003C6022"/>
    <w:rsid w:val="003C6EF0"/>
    <w:rsid w:val="003C6F52"/>
    <w:rsid w:val="003C733F"/>
    <w:rsid w:val="003C7AA4"/>
    <w:rsid w:val="003D0D48"/>
    <w:rsid w:val="003D10DF"/>
    <w:rsid w:val="003D1C8A"/>
    <w:rsid w:val="003D3667"/>
    <w:rsid w:val="003D3776"/>
    <w:rsid w:val="003D3E78"/>
    <w:rsid w:val="003D3E98"/>
    <w:rsid w:val="003D4501"/>
    <w:rsid w:val="003D5D72"/>
    <w:rsid w:val="003D5FF3"/>
    <w:rsid w:val="003D6217"/>
    <w:rsid w:val="003D68AA"/>
    <w:rsid w:val="003E0493"/>
    <w:rsid w:val="003E04A1"/>
    <w:rsid w:val="003E0C8C"/>
    <w:rsid w:val="003E13B9"/>
    <w:rsid w:val="003E16F9"/>
    <w:rsid w:val="003E2003"/>
    <w:rsid w:val="003E204D"/>
    <w:rsid w:val="003E2080"/>
    <w:rsid w:val="003E265C"/>
    <w:rsid w:val="003E2B35"/>
    <w:rsid w:val="003E36A1"/>
    <w:rsid w:val="003E39A8"/>
    <w:rsid w:val="003E3BB9"/>
    <w:rsid w:val="003E3FD4"/>
    <w:rsid w:val="003E4973"/>
    <w:rsid w:val="003E5147"/>
    <w:rsid w:val="003E7144"/>
    <w:rsid w:val="003E7BB4"/>
    <w:rsid w:val="003E7CCB"/>
    <w:rsid w:val="003F07DC"/>
    <w:rsid w:val="003F1798"/>
    <w:rsid w:val="003F2163"/>
    <w:rsid w:val="003F27DE"/>
    <w:rsid w:val="003F2995"/>
    <w:rsid w:val="003F2B38"/>
    <w:rsid w:val="003F2F82"/>
    <w:rsid w:val="003F3426"/>
    <w:rsid w:val="003F3431"/>
    <w:rsid w:val="003F39C1"/>
    <w:rsid w:val="003F4324"/>
    <w:rsid w:val="003F4B29"/>
    <w:rsid w:val="003F5FDD"/>
    <w:rsid w:val="003F6A83"/>
    <w:rsid w:val="003F701F"/>
    <w:rsid w:val="003F7707"/>
    <w:rsid w:val="003F77AD"/>
    <w:rsid w:val="003F786A"/>
    <w:rsid w:val="003F7AFC"/>
    <w:rsid w:val="00400281"/>
    <w:rsid w:val="00400326"/>
    <w:rsid w:val="004015AB"/>
    <w:rsid w:val="004016FE"/>
    <w:rsid w:val="004027EE"/>
    <w:rsid w:val="00403BB9"/>
    <w:rsid w:val="004040AA"/>
    <w:rsid w:val="004041CD"/>
    <w:rsid w:val="00404357"/>
    <w:rsid w:val="004044FD"/>
    <w:rsid w:val="00404D83"/>
    <w:rsid w:val="004058AD"/>
    <w:rsid w:val="00405F82"/>
    <w:rsid w:val="0040606E"/>
    <w:rsid w:val="00406328"/>
    <w:rsid w:val="00406345"/>
    <w:rsid w:val="00406F90"/>
    <w:rsid w:val="0040729F"/>
    <w:rsid w:val="00407B97"/>
    <w:rsid w:val="004100E2"/>
    <w:rsid w:val="004101E2"/>
    <w:rsid w:val="004109F9"/>
    <w:rsid w:val="00411062"/>
    <w:rsid w:val="00411317"/>
    <w:rsid w:val="00411813"/>
    <w:rsid w:val="00411A15"/>
    <w:rsid w:val="0041222A"/>
    <w:rsid w:val="004128CD"/>
    <w:rsid w:val="00412D1E"/>
    <w:rsid w:val="0041331F"/>
    <w:rsid w:val="004136BE"/>
    <w:rsid w:val="00413D04"/>
    <w:rsid w:val="00413FE0"/>
    <w:rsid w:val="004141AF"/>
    <w:rsid w:val="0041430B"/>
    <w:rsid w:val="0041461D"/>
    <w:rsid w:val="00414DC3"/>
    <w:rsid w:val="0041583A"/>
    <w:rsid w:val="004159F5"/>
    <w:rsid w:val="00415A2E"/>
    <w:rsid w:val="00415EB0"/>
    <w:rsid w:val="00415F30"/>
    <w:rsid w:val="00416049"/>
    <w:rsid w:val="00416A4E"/>
    <w:rsid w:val="00416D68"/>
    <w:rsid w:val="00416DC1"/>
    <w:rsid w:val="00417233"/>
    <w:rsid w:val="004173E2"/>
    <w:rsid w:val="0041752D"/>
    <w:rsid w:val="0041793A"/>
    <w:rsid w:val="00417FAD"/>
    <w:rsid w:val="00420852"/>
    <w:rsid w:val="0042100D"/>
    <w:rsid w:val="00421C3B"/>
    <w:rsid w:val="00422341"/>
    <w:rsid w:val="00423627"/>
    <w:rsid w:val="004241A0"/>
    <w:rsid w:val="00424CBD"/>
    <w:rsid w:val="00425202"/>
    <w:rsid w:val="004252C6"/>
    <w:rsid w:val="00425511"/>
    <w:rsid w:val="00425C61"/>
    <w:rsid w:val="00426419"/>
    <w:rsid w:val="00426970"/>
    <w:rsid w:val="00426987"/>
    <w:rsid w:val="00426B11"/>
    <w:rsid w:val="00426DA5"/>
    <w:rsid w:val="004276B1"/>
    <w:rsid w:val="00431717"/>
    <w:rsid w:val="00431B17"/>
    <w:rsid w:val="004322BD"/>
    <w:rsid w:val="00432960"/>
    <w:rsid w:val="00432D5A"/>
    <w:rsid w:val="00434962"/>
    <w:rsid w:val="00435C10"/>
    <w:rsid w:val="004363BF"/>
    <w:rsid w:val="00436447"/>
    <w:rsid w:val="004367B7"/>
    <w:rsid w:val="00436D8C"/>
    <w:rsid w:val="00437E14"/>
    <w:rsid w:val="004414EC"/>
    <w:rsid w:val="00441A1F"/>
    <w:rsid w:val="0044253F"/>
    <w:rsid w:val="0044262A"/>
    <w:rsid w:val="004426AB"/>
    <w:rsid w:val="00442CEE"/>
    <w:rsid w:val="00443270"/>
    <w:rsid w:val="00443A53"/>
    <w:rsid w:val="004440E0"/>
    <w:rsid w:val="004448D0"/>
    <w:rsid w:val="004449F1"/>
    <w:rsid w:val="00444F3B"/>
    <w:rsid w:val="00445D8C"/>
    <w:rsid w:val="0044621B"/>
    <w:rsid w:val="004463E0"/>
    <w:rsid w:val="00446970"/>
    <w:rsid w:val="004469D9"/>
    <w:rsid w:val="00446AC0"/>
    <w:rsid w:val="00446BD4"/>
    <w:rsid w:val="004502C7"/>
    <w:rsid w:val="00450AC2"/>
    <w:rsid w:val="00450CBC"/>
    <w:rsid w:val="00450DD1"/>
    <w:rsid w:val="00451A49"/>
    <w:rsid w:val="00451B27"/>
    <w:rsid w:val="00452317"/>
    <w:rsid w:val="0045243C"/>
    <w:rsid w:val="00454083"/>
    <w:rsid w:val="004543D0"/>
    <w:rsid w:val="004544C6"/>
    <w:rsid w:val="00454D9B"/>
    <w:rsid w:val="00455E4B"/>
    <w:rsid w:val="00456821"/>
    <w:rsid w:val="00456C32"/>
    <w:rsid w:val="00456DE4"/>
    <w:rsid w:val="00456E7A"/>
    <w:rsid w:val="00457A46"/>
    <w:rsid w:val="00457AA7"/>
    <w:rsid w:val="00457C4E"/>
    <w:rsid w:val="00457CDB"/>
    <w:rsid w:val="00457E04"/>
    <w:rsid w:val="00460A2F"/>
    <w:rsid w:val="00460C4A"/>
    <w:rsid w:val="00460D4F"/>
    <w:rsid w:val="004610C2"/>
    <w:rsid w:val="004611B6"/>
    <w:rsid w:val="00461D97"/>
    <w:rsid w:val="00462B47"/>
    <w:rsid w:val="00462DE3"/>
    <w:rsid w:val="00463012"/>
    <w:rsid w:val="004632E1"/>
    <w:rsid w:val="00463482"/>
    <w:rsid w:val="004642B5"/>
    <w:rsid w:val="004665A2"/>
    <w:rsid w:val="00466B6D"/>
    <w:rsid w:val="0046786C"/>
    <w:rsid w:val="00467FDA"/>
    <w:rsid w:val="00470683"/>
    <w:rsid w:val="0047076E"/>
    <w:rsid w:val="00470979"/>
    <w:rsid w:val="0047105A"/>
    <w:rsid w:val="00471CA2"/>
    <w:rsid w:val="00472723"/>
    <w:rsid w:val="004729D1"/>
    <w:rsid w:val="00472AF7"/>
    <w:rsid w:val="0047331D"/>
    <w:rsid w:val="00473643"/>
    <w:rsid w:val="004751E0"/>
    <w:rsid w:val="00475256"/>
    <w:rsid w:val="00475577"/>
    <w:rsid w:val="004756D3"/>
    <w:rsid w:val="0047590D"/>
    <w:rsid w:val="0047597C"/>
    <w:rsid w:val="00476025"/>
    <w:rsid w:val="00476E4C"/>
    <w:rsid w:val="00477677"/>
    <w:rsid w:val="004777EA"/>
    <w:rsid w:val="00477BE8"/>
    <w:rsid w:val="0048036A"/>
    <w:rsid w:val="004804E2"/>
    <w:rsid w:val="00481022"/>
    <w:rsid w:val="0048118B"/>
    <w:rsid w:val="004815B3"/>
    <w:rsid w:val="0048222B"/>
    <w:rsid w:val="00482F09"/>
    <w:rsid w:val="00483BAB"/>
    <w:rsid w:val="00483E2D"/>
    <w:rsid w:val="00484235"/>
    <w:rsid w:val="004845F8"/>
    <w:rsid w:val="004846E8"/>
    <w:rsid w:val="00485224"/>
    <w:rsid w:val="0048543B"/>
    <w:rsid w:val="00485C97"/>
    <w:rsid w:val="00485D3D"/>
    <w:rsid w:val="00485EAA"/>
    <w:rsid w:val="004868A8"/>
    <w:rsid w:val="00487056"/>
    <w:rsid w:val="004874C7"/>
    <w:rsid w:val="00487784"/>
    <w:rsid w:val="004878CE"/>
    <w:rsid w:val="004878F2"/>
    <w:rsid w:val="00487E96"/>
    <w:rsid w:val="0049093E"/>
    <w:rsid w:val="004913F6"/>
    <w:rsid w:val="00491485"/>
    <w:rsid w:val="00491B2C"/>
    <w:rsid w:val="00492080"/>
    <w:rsid w:val="00492CC0"/>
    <w:rsid w:val="00492D0B"/>
    <w:rsid w:val="004932A5"/>
    <w:rsid w:val="0049333E"/>
    <w:rsid w:val="00493523"/>
    <w:rsid w:val="00493959"/>
    <w:rsid w:val="00493A66"/>
    <w:rsid w:val="004940CF"/>
    <w:rsid w:val="004948A6"/>
    <w:rsid w:val="00494BC6"/>
    <w:rsid w:val="00494FDF"/>
    <w:rsid w:val="00495190"/>
    <w:rsid w:val="0049582B"/>
    <w:rsid w:val="00495C52"/>
    <w:rsid w:val="004960D0"/>
    <w:rsid w:val="004962AF"/>
    <w:rsid w:val="00496DF1"/>
    <w:rsid w:val="004972C0"/>
    <w:rsid w:val="004973F8"/>
    <w:rsid w:val="0049743D"/>
    <w:rsid w:val="004979DE"/>
    <w:rsid w:val="004A038A"/>
    <w:rsid w:val="004A0D37"/>
    <w:rsid w:val="004A1D86"/>
    <w:rsid w:val="004A2D49"/>
    <w:rsid w:val="004A3C81"/>
    <w:rsid w:val="004A4FD3"/>
    <w:rsid w:val="004A5494"/>
    <w:rsid w:val="004A5B91"/>
    <w:rsid w:val="004A605D"/>
    <w:rsid w:val="004A71EE"/>
    <w:rsid w:val="004A728C"/>
    <w:rsid w:val="004A7D40"/>
    <w:rsid w:val="004B02B8"/>
    <w:rsid w:val="004B14E1"/>
    <w:rsid w:val="004B2F82"/>
    <w:rsid w:val="004B33AF"/>
    <w:rsid w:val="004B4026"/>
    <w:rsid w:val="004B406A"/>
    <w:rsid w:val="004B43A8"/>
    <w:rsid w:val="004B454F"/>
    <w:rsid w:val="004B4CD6"/>
    <w:rsid w:val="004B4E4D"/>
    <w:rsid w:val="004B4F73"/>
    <w:rsid w:val="004B5715"/>
    <w:rsid w:val="004B5CE5"/>
    <w:rsid w:val="004B62F1"/>
    <w:rsid w:val="004B639D"/>
    <w:rsid w:val="004B65BE"/>
    <w:rsid w:val="004B7554"/>
    <w:rsid w:val="004B7BA3"/>
    <w:rsid w:val="004C11E2"/>
    <w:rsid w:val="004C2BED"/>
    <w:rsid w:val="004C318F"/>
    <w:rsid w:val="004C394E"/>
    <w:rsid w:val="004C3D5A"/>
    <w:rsid w:val="004C4833"/>
    <w:rsid w:val="004C48C4"/>
    <w:rsid w:val="004C49F6"/>
    <w:rsid w:val="004C5395"/>
    <w:rsid w:val="004C5C9C"/>
    <w:rsid w:val="004C6160"/>
    <w:rsid w:val="004C640C"/>
    <w:rsid w:val="004C736A"/>
    <w:rsid w:val="004C73F7"/>
    <w:rsid w:val="004D0100"/>
    <w:rsid w:val="004D0807"/>
    <w:rsid w:val="004D0BC7"/>
    <w:rsid w:val="004D140A"/>
    <w:rsid w:val="004D1A16"/>
    <w:rsid w:val="004D1C57"/>
    <w:rsid w:val="004D2D3F"/>
    <w:rsid w:val="004D4273"/>
    <w:rsid w:val="004D4894"/>
    <w:rsid w:val="004D4A70"/>
    <w:rsid w:val="004D4E68"/>
    <w:rsid w:val="004D5116"/>
    <w:rsid w:val="004D6BC7"/>
    <w:rsid w:val="004D7B57"/>
    <w:rsid w:val="004E0063"/>
    <w:rsid w:val="004E058A"/>
    <w:rsid w:val="004E0773"/>
    <w:rsid w:val="004E0862"/>
    <w:rsid w:val="004E14C7"/>
    <w:rsid w:val="004E188B"/>
    <w:rsid w:val="004E18C8"/>
    <w:rsid w:val="004E1D1D"/>
    <w:rsid w:val="004E20A4"/>
    <w:rsid w:val="004E23CE"/>
    <w:rsid w:val="004E29C5"/>
    <w:rsid w:val="004E2EFF"/>
    <w:rsid w:val="004E328D"/>
    <w:rsid w:val="004E36CC"/>
    <w:rsid w:val="004E37CB"/>
    <w:rsid w:val="004E4BF8"/>
    <w:rsid w:val="004E6003"/>
    <w:rsid w:val="004E60D4"/>
    <w:rsid w:val="004E6FB5"/>
    <w:rsid w:val="004F012C"/>
    <w:rsid w:val="004F030E"/>
    <w:rsid w:val="004F0C54"/>
    <w:rsid w:val="004F0D02"/>
    <w:rsid w:val="004F1521"/>
    <w:rsid w:val="004F1878"/>
    <w:rsid w:val="004F1A40"/>
    <w:rsid w:val="004F1F0A"/>
    <w:rsid w:val="004F1FA4"/>
    <w:rsid w:val="004F21C5"/>
    <w:rsid w:val="004F2CB9"/>
    <w:rsid w:val="004F31A1"/>
    <w:rsid w:val="004F38A5"/>
    <w:rsid w:val="004F3EF5"/>
    <w:rsid w:val="004F47A2"/>
    <w:rsid w:val="004F4C68"/>
    <w:rsid w:val="004F4ECA"/>
    <w:rsid w:val="004F4EE1"/>
    <w:rsid w:val="004F51B5"/>
    <w:rsid w:val="004F56A2"/>
    <w:rsid w:val="004F5AFF"/>
    <w:rsid w:val="004F5B0C"/>
    <w:rsid w:val="004F5BBB"/>
    <w:rsid w:val="004F5C71"/>
    <w:rsid w:val="004F6BC1"/>
    <w:rsid w:val="004F70FF"/>
    <w:rsid w:val="004F7466"/>
    <w:rsid w:val="004F7766"/>
    <w:rsid w:val="004F7D3F"/>
    <w:rsid w:val="005001A7"/>
    <w:rsid w:val="00500DAE"/>
    <w:rsid w:val="00501177"/>
    <w:rsid w:val="00501C24"/>
    <w:rsid w:val="00501E6A"/>
    <w:rsid w:val="00502374"/>
    <w:rsid w:val="00502A72"/>
    <w:rsid w:val="005031DA"/>
    <w:rsid w:val="005035A6"/>
    <w:rsid w:val="00503A16"/>
    <w:rsid w:val="00503C14"/>
    <w:rsid w:val="00503FF4"/>
    <w:rsid w:val="00503FFE"/>
    <w:rsid w:val="005042D2"/>
    <w:rsid w:val="005054B0"/>
    <w:rsid w:val="00506252"/>
    <w:rsid w:val="0050675A"/>
    <w:rsid w:val="00506B1C"/>
    <w:rsid w:val="00507226"/>
    <w:rsid w:val="005075EE"/>
    <w:rsid w:val="005076F6"/>
    <w:rsid w:val="00507754"/>
    <w:rsid w:val="00507BB2"/>
    <w:rsid w:val="005114CB"/>
    <w:rsid w:val="005120DB"/>
    <w:rsid w:val="0051212E"/>
    <w:rsid w:val="00512220"/>
    <w:rsid w:val="00512B24"/>
    <w:rsid w:val="00512E25"/>
    <w:rsid w:val="0051327C"/>
    <w:rsid w:val="00513A74"/>
    <w:rsid w:val="005142B2"/>
    <w:rsid w:val="00515C8D"/>
    <w:rsid w:val="005164DF"/>
    <w:rsid w:val="00516537"/>
    <w:rsid w:val="0051654E"/>
    <w:rsid w:val="00516AA0"/>
    <w:rsid w:val="00516C3C"/>
    <w:rsid w:val="00516CFA"/>
    <w:rsid w:val="00517482"/>
    <w:rsid w:val="00517782"/>
    <w:rsid w:val="00517B9A"/>
    <w:rsid w:val="00517DF4"/>
    <w:rsid w:val="0052018E"/>
    <w:rsid w:val="00520623"/>
    <w:rsid w:val="00520682"/>
    <w:rsid w:val="00520BB2"/>
    <w:rsid w:val="00520C4F"/>
    <w:rsid w:val="00520DD0"/>
    <w:rsid w:val="0052174F"/>
    <w:rsid w:val="00521C5C"/>
    <w:rsid w:val="0052211B"/>
    <w:rsid w:val="005221D0"/>
    <w:rsid w:val="00522359"/>
    <w:rsid w:val="00522B12"/>
    <w:rsid w:val="00522B15"/>
    <w:rsid w:val="00522C96"/>
    <w:rsid w:val="00523828"/>
    <w:rsid w:val="00523A12"/>
    <w:rsid w:val="00523F7D"/>
    <w:rsid w:val="00524142"/>
    <w:rsid w:val="00524144"/>
    <w:rsid w:val="00524811"/>
    <w:rsid w:val="00524E78"/>
    <w:rsid w:val="00524FF9"/>
    <w:rsid w:val="00525343"/>
    <w:rsid w:val="00525560"/>
    <w:rsid w:val="00525DF0"/>
    <w:rsid w:val="00526210"/>
    <w:rsid w:val="0052672E"/>
    <w:rsid w:val="00526AAA"/>
    <w:rsid w:val="00526FBE"/>
    <w:rsid w:val="00527035"/>
    <w:rsid w:val="005274C9"/>
    <w:rsid w:val="0052793B"/>
    <w:rsid w:val="00527BA8"/>
    <w:rsid w:val="005307A6"/>
    <w:rsid w:val="00530C19"/>
    <w:rsid w:val="00530D5F"/>
    <w:rsid w:val="0053178E"/>
    <w:rsid w:val="00531BF2"/>
    <w:rsid w:val="00531D1E"/>
    <w:rsid w:val="005322AA"/>
    <w:rsid w:val="005329D5"/>
    <w:rsid w:val="005330E5"/>
    <w:rsid w:val="00533F2B"/>
    <w:rsid w:val="0053474A"/>
    <w:rsid w:val="00534804"/>
    <w:rsid w:val="00535928"/>
    <w:rsid w:val="00535A06"/>
    <w:rsid w:val="00535FC6"/>
    <w:rsid w:val="00536661"/>
    <w:rsid w:val="00536F57"/>
    <w:rsid w:val="00537F3B"/>
    <w:rsid w:val="005400B2"/>
    <w:rsid w:val="005408B8"/>
    <w:rsid w:val="005408C6"/>
    <w:rsid w:val="00540AED"/>
    <w:rsid w:val="005416C4"/>
    <w:rsid w:val="00542549"/>
    <w:rsid w:val="005437C2"/>
    <w:rsid w:val="0054394E"/>
    <w:rsid w:val="00543D2A"/>
    <w:rsid w:val="00543DA4"/>
    <w:rsid w:val="00544203"/>
    <w:rsid w:val="005448AE"/>
    <w:rsid w:val="00544C6C"/>
    <w:rsid w:val="00544EC5"/>
    <w:rsid w:val="00544FF4"/>
    <w:rsid w:val="00545021"/>
    <w:rsid w:val="005450B3"/>
    <w:rsid w:val="0054538D"/>
    <w:rsid w:val="005461D4"/>
    <w:rsid w:val="00546681"/>
    <w:rsid w:val="00546BE3"/>
    <w:rsid w:val="00547092"/>
    <w:rsid w:val="005473EF"/>
    <w:rsid w:val="0054752A"/>
    <w:rsid w:val="005501D1"/>
    <w:rsid w:val="00550318"/>
    <w:rsid w:val="00550F14"/>
    <w:rsid w:val="00551869"/>
    <w:rsid w:val="00551E1F"/>
    <w:rsid w:val="00552F57"/>
    <w:rsid w:val="00552F88"/>
    <w:rsid w:val="00553271"/>
    <w:rsid w:val="00553597"/>
    <w:rsid w:val="00553F2F"/>
    <w:rsid w:val="005549A7"/>
    <w:rsid w:val="00554FB3"/>
    <w:rsid w:val="0055532B"/>
    <w:rsid w:val="00556CA6"/>
    <w:rsid w:val="0055723B"/>
    <w:rsid w:val="00557A61"/>
    <w:rsid w:val="005608C6"/>
    <w:rsid w:val="00561174"/>
    <w:rsid w:val="005615E5"/>
    <w:rsid w:val="00561B3F"/>
    <w:rsid w:val="005620D4"/>
    <w:rsid w:val="005623AF"/>
    <w:rsid w:val="00564E32"/>
    <w:rsid w:val="00565E2C"/>
    <w:rsid w:val="00566560"/>
    <w:rsid w:val="00566AED"/>
    <w:rsid w:val="0056796F"/>
    <w:rsid w:val="005700F1"/>
    <w:rsid w:val="00571E97"/>
    <w:rsid w:val="00572A01"/>
    <w:rsid w:val="00572EFC"/>
    <w:rsid w:val="0057362A"/>
    <w:rsid w:val="005737E4"/>
    <w:rsid w:val="005738B0"/>
    <w:rsid w:val="00573993"/>
    <w:rsid w:val="00574C77"/>
    <w:rsid w:val="00574EBE"/>
    <w:rsid w:val="005750B0"/>
    <w:rsid w:val="00575E06"/>
    <w:rsid w:val="00576910"/>
    <w:rsid w:val="00577779"/>
    <w:rsid w:val="00577998"/>
    <w:rsid w:val="00580349"/>
    <w:rsid w:val="005803D2"/>
    <w:rsid w:val="0058128E"/>
    <w:rsid w:val="005812E2"/>
    <w:rsid w:val="005816A2"/>
    <w:rsid w:val="00582007"/>
    <w:rsid w:val="005820FB"/>
    <w:rsid w:val="005826C6"/>
    <w:rsid w:val="00582869"/>
    <w:rsid w:val="005828BA"/>
    <w:rsid w:val="00582A6E"/>
    <w:rsid w:val="00582F68"/>
    <w:rsid w:val="00583478"/>
    <w:rsid w:val="005837E8"/>
    <w:rsid w:val="00583894"/>
    <w:rsid w:val="00584765"/>
    <w:rsid w:val="00584EA1"/>
    <w:rsid w:val="0058509B"/>
    <w:rsid w:val="00585756"/>
    <w:rsid w:val="00585832"/>
    <w:rsid w:val="00585E86"/>
    <w:rsid w:val="00586DDE"/>
    <w:rsid w:val="0058728B"/>
    <w:rsid w:val="00587833"/>
    <w:rsid w:val="00587FB8"/>
    <w:rsid w:val="00590CAC"/>
    <w:rsid w:val="00591810"/>
    <w:rsid w:val="005921FE"/>
    <w:rsid w:val="005923B1"/>
    <w:rsid w:val="00592C39"/>
    <w:rsid w:val="0059313C"/>
    <w:rsid w:val="005935C2"/>
    <w:rsid w:val="0059365E"/>
    <w:rsid w:val="005936B4"/>
    <w:rsid w:val="005936D2"/>
    <w:rsid w:val="00593721"/>
    <w:rsid w:val="005946A9"/>
    <w:rsid w:val="005950B5"/>
    <w:rsid w:val="0059518E"/>
    <w:rsid w:val="00595317"/>
    <w:rsid w:val="005953DB"/>
    <w:rsid w:val="00596BBC"/>
    <w:rsid w:val="00597122"/>
    <w:rsid w:val="005977EE"/>
    <w:rsid w:val="00597A62"/>
    <w:rsid w:val="005A12F0"/>
    <w:rsid w:val="005A1F3C"/>
    <w:rsid w:val="005A2303"/>
    <w:rsid w:val="005A232D"/>
    <w:rsid w:val="005A2D21"/>
    <w:rsid w:val="005A3C66"/>
    <w:rsid w:val="005A3CD8"/>
    <w:rsid w:val="005A3DF2"/>
    <w:rsid w:val="005A474A"/>
    <w:rsid w:val="005A51ED"/>
    <w:rsid w:val="005A6CA4"/>
    <w:rsid w:val="005A6E19"/>
    <w:rsid w:val="005A70D0"/>
    <w:rsid w:val="005A7DB9"/>
    <w:rsid w:val="005B05CB"/>
    <w:rsid w:val="005B0650"/>
    <w:rsid w:val="005B0671"/>
    <w:rsid w:val="005B0952"/>
    <w:rsid w:val="005B0C87"/>
    <w:rsid w:val="005B1505"/>
    <w:rsid w:val="005B257A"/>
    <w:rsid w:val="005B2A1C"/>
    <w:rsid w:val="005B2CB1"/>
    <w:rsid w:val="005B34D2"/>
    <w:rsid w:val="005B3702"/>
    <w:rsid w:val="005B4029"/>
    <w:rsid w:val="005B413F"/>
    <w:rsid w:val="005B41F3"/>
    <w:rsid w:val="005B477C"/>
    <w:rsid w:val="005B48B4"/>
    <w:rsid w:val="005B498F"/>
    <w:rsid w:val="005B59F0"/>
    <w:rsid w:val="005B66A1"/>
    <w:rsid w:val="005B7090"/>
    <w:rsid w:val="005B76F2"/>
    <w:rsid w:val="005B7B99"/>
    <w:rsid w:val="005C105B"/>
    <w:rsid w:val="005C11FD"/>
    <w:rsid w:val="005C1749"/>
    <w:rsid w:val="005C25CE"/>
    <w:rsid w:val="005C27DD"/>
    <w:rsid w:val="005C338E"/>
    <w:rsid w:val="005C4195"/>
    <w:rsid w:val="005C42A5"/>
    <w:rsid w:val="005C4DAB"/>
    <w:rsid w:val="005C54BF"/>
    <w:rsid w:val="005C5779"/>
    <w:rsid w:val="005C6055"/>
    <w:rsid w:val="005C6131"/>
    <w:rsid w:val="005C68A1"/>
    <w:rsid w:val="005C6DC3"/>
    <w:rsid w:val="005C70A0"/>
    <w:rsid w:val="005C7631"/>
    <w:rsid w:val="005D011C"/>
    <w:rsid w:val="005D0ACC"/>
    <w:rsid w:val="005D0E2C"/>
    <w:rsid w:val="005D1B91"/>
    <w:rsid w:val="005D1BF7"/>
    <w:rsid w:val="005D1FF2"/>
    <w:rsid w:val="005D3425"/>
    <w:rsid w:val="005D3528"/>
    <w:rsid w:val="005D3E04"/>
    <w:rsid w:val="005D45F2"/>
    <w:rsid w:val="005D5366"/>
    <w:rsid w:val="005D5954"/>
    <w:rsid w:val="005D5CCB"/>
    <w:rsid w:val="005D6A42"/>
    <w:rsid w:val="005D70FA"/>
    <w:rsid w:val="005D7314"/>
    <w:rsid w:val="005D7F67"/>
    <w:rsid w:val="005D7F6F"/>
    <w:rsid w:val="005E0AFA"/>
    <w:rsid w:val="005E102D"/>
    <w:rsid w:val="005E12BD"/>
    <w:rsid w:val="005E1743"/>
    <w:rsid w:val="005E1757"/>
    <w:rsid w:val="005E186B"/>
    <w:rsid w:val="005E19C8"/>
    <w:rsid w:val="005E1DC8"/>
    <w:rsid w:val="005E2B45"/>
    <w:rsid w:val="005E466C"/>
    <w:rsid w:val="005E49EB"/>
    <w:rsid w:val="005E4C9E"/>
    <w:rsid w:val="005E4D26"/>
    <w:rsid w:val="005E5198"/>
    <w:rsid w:val="005E598E"/>
    <w:rsid w:val="005E6219"/>
    <w:rsid w:val="005E6306"/>
    <w:rsid w:val="005E6E7E"/>
    <w:rsid w:val="005E7253"/>
    <w:rsid w:val="005E7763"/>
    <w:rsid w:val="005E79F0"/>
    <w:rsid w:val="005E7B75"/>
    <w:rsid w:val="005F0BAB"/>
    <w:rsid w:val="005F1061"/>
    <w:rsid w:val="005F1B10"/>
    <w:rsid w:val="005F33F7"/>
    <w:rsid w:val="005F34DA"/>
    <w:rsid w:val="005F3E05"/>
    <w:rsid w:val="005F4D5D"/>
    <w:rsid w:val="005F51CE"/>
    <w:rsid w:val="005F5C4E"/>
    <w:rsid w:val="005F6111"/>
    <w:rsid w:val="005F688D"/>
    <w:rsid w:val="005F71BB"/>
    <w:rsid w:val="0060184D"/>
    <w:rsid w:val="00601D04"/>
    <w:rsid w:val="006023B6"/>
    <w:rsid w:val="0060249D"/>
    <w:rsid w:val="00602727"/>
    <w:rsid w:val="00602861"/>
    <w:rsid w:val="00602913"/>
    <w:rsid w:val="00603E81"/>
    <w:rsid w:val="00603E99"/>
    <w:rsid w:val="00605234"/>
    <w:rsid w:val="00605A21"/>
    <w:rsid w:val="00605D11"/>
    <w:rsid w:val="0060614E"/>
    <w:rsid w:val="00606DB0"/>
    <w:rsid w:val="006071A1"/>
    <w:rsid w:val="00607C15"/>
    <w:rsid w:val="00607D14"/>
    <w:rsid w:val="0061034B"/>
    <w:rsid w:val="00610451"/>
    <w:rsid w:val="00611F08"/>
    <w:rsid w:val="00612480"/>
    <w:rsid w:val="00612501"/>
    <w:rsid w:val="00613976"/>
    <w:rsid w:val="00613A3C"/>
    <w:rsid w:val="00613A78"/>
    <w:rsid w:val="00613E19"/>
    <w:rsid w:val="00613F5A"/>
    <w:rsid w:val="00614734"/>
    <w:rsid w:val="00614AB8"/>
    <w:rsid w:val="006157A3"/>
    <w:rsid w:val="00615DAA"/>
    <w:rsid w:val="00616148"/>
    <w:rsid w:val="006161BE"/>
    <w:rsid w:val="00616B78"/>
    <w:rsid w:val="00616DB1"/>
    <w:rsid w:val="0061712F"/>
    <w:rsid w:val="00617635"/>
    <w:rsid w:val="00617CCD"/>
    <w:rsid w:val="00620013"/>
    <w:rsid w:val="00620630"/>
    <w:rsid w:val="006206BC"/>
    <w:rsid w:val="00620861"/>
    <w:rsid w:val="00620D3B"/>
    <w:rsid w:val="00622671"/>
    <w:rsid w:val="00622A1C"/>
    <w:rsid w:val="006237CF"/>
    <w:rsid w:val="0062498B"/>
    <w:rsid w:val="00624D1B"/>
    <w:rsid w:val="00625018"/>
    <w:rsid w:val="0062535C"/>
    <w:rsid w:val="0062644B"/>
    <w:rsid w:val="00627699"/>
    <w:rsid w:val="00627A20"/>
    <w:rsid w:val="00627D14"/>
    <w:rsid w:val="006304A0"/>
    <w:rsid w:val="00630DE4"/>
    <w:rsid w:val="0063129D"/>
    <w:rsid w:val="006319C0"/>
    <w:rsid w:val="00632173"/>
    <w:rsid w:val="00632720"/>
    <w:rsid w:val="00632985"/>
    <w:rsid w:val="006329BF"/>
    <w:rsid w:val="00633285"/>
    <w:rsid w:val="0063342A"/>
    <w:rsid w:val="00633CC1"/>
    <w:rsid w:val="00634239"/>
    <w:rsid w:val="006342F4"/>
    <w:rsid w:val="00634BFF"/>
    <w:rsid w:val="00634ECB"/>
    <w:rsid w:val="00635C18"/>
    <w:rsid w:val="00636321"/>
    <w:rsid w:val="0063642D"/>
    <w:rsid w:val="0063752E"/>
    <w:rsid w:val="00637B98"/>
    <w:rsid w:val="00637E9E"/>
    <w:rsid w:val="0064063F"/>
    <w:rsid w:val="006413E7"/>
    <w:rsid w:val="00641954"/>
    <w:rsid w:val="00641B1A"/>
    <w:rsid w:val="00641E80"/>
    <w:rsid w:val="006421C3"/>
    <w:rsid w:val="006423C1"/>
    <w:rsid w:val="00642E45"/>
    <w:rsid w:val="006431B7"/>
    <w:rsid w:val="00643479"/>
    <w:rsid w:val="00643DCC"/>
    <w:rsid w:val="00643F7E"/>
    <w:rsid w:val="00644308"/>
    <w:rsid w:val="00644C43"/>
    <w:rsid w:val="00644EC3"/>
    <w:rsid w:val="006451BE"/>
    <w:rsid w:val="006454F3"/>
    <w:rsid w:val="00645512"/>
    <w:rsid w:val="00645D4E"/>
    <w:rsid w:val="00646298"/>
    <w:rsid w:val="00646ADF"/>
    <w:rsid w:val="00646EAD"/>
    <w:rsid w:val="006471D1"/>
    <w:rsid w:val="006472FD"/>
    <w:rsid w:val="006475B0"/>
    <w:rsid w:val="00650008"/>
    <w:rsid w:val="006506AD"/>
    <w:rsid w:val="00651736"/>
    <w:rsid w:val="00651AA4"/>
    <w:rsid w:val="00651E65"/>
    <w:rsid w:val="00652137"/>
    <w:rsid w:val="00652151"/>
    <w:rsid w:val="006524A2"/>
    <w:rsid w:val="006525D2"/>
    <w:rsid w:val="00652AB9"/>
    <w:rsid w:val="00652D58"/>
    <w:rsid w:val="00653686"/>
    <w:rsid w:val="0065447B"/>
    <w:rsid w:val="00654BA4"/>
    <w:rsid w:val="00654D38"/>
    <w:rsid w:val="00654E4C"/>
    <w:rsid w:val="006552CB"/>
    <w:rsid w:val="00655B37"/>
    <w:rsid w:val="00655D7E"/>
    <w:rsid w:val="0065645C"/>
    <w:rsid w:val="00656F4F"/>
    <w:rsid w:val="00657241"/>
    <w:rsid w:val="006572CC"/>
    <w:rsid w:val="006576DC"/>
    <w:rsid w:val="006604A6"/>
    <w:rsid w:val="0066067B"/>
    <w:rsid w:val="00661383"/>
    <w:rsid w:val="00661517"/>
    <w:rsid w:val="00661ADB"/>
    <w:rsid w:val="006621BC"/>
    <w:rsid w:val="00662268"/>
    <w:rsid w:val="0066232F"/>
    <w:rsid w:val="00662401"/>
    <w:rsid w:val="0066281F"/>
    <w:rsid w:val="00662B0A"/>
    <w:rsid w:val="00662C14"/>
    <w:rsid w:val="00663085"/>
    <w:rsid w:val="00663FDF"/>
    <w:rsid w:val="00664FE8"/>
    <w:rsid w:val="00665504"/>
    <w:rsid w:val="00665C7E"/>
    <w:rsid w:val="00667DAF"/>
    <w:rsid w:val="006701BD"/>
    <w:rsid w:val="006706B7"/>
    <w:rsid w:val="00670ECB"/>
    <w:rsid w:val="00671BC2"/>
    <w:rsid w:val="00671D26"/>
    <w:rsid w:val="00672412"/>
    <w:rsid w:val="0067257A"/>
    <w:rsid w:val="00673428"/>
    <w:rsid w:val="006737EA"/>
    <w:rsid w:val="006739F6"/>
    <w:rsid w:val="00673F0E"/>
    <w:rsid w:val="006744DB"/>
    <w:rsid w:val="00674A0D"/>
    <w:rsid w:val="00674A8E"/>
    <w:rsid w:val="00674BBC"/>
    <w:rsid w:val="00674FC7"/>
    <w:rsid w:val="00675884"/>
    <w:rsid w:val="00676E97"/>
    <w:rsid w:val="00677DD6"/>
    <w:rsid w:val="0068034D"/>
    <w:rsid w:val="00681FB7"/>
    <w:rsid w:val="00682932"/>
    <w:rsid w:val="00682D8D"/>
    <w:rsid w:val="00683045"/>
    <w:rsid w:val="00683236"/>
    <w:rsid w:val="00683ADE"/>
    <w:rsid w:val="0068433E"/>
    <w:rsid w:val="0068453F"/>
    <w:rsid w:val="00684A13"/>
    <w:rsid w:val="0068642E"/>
    <w:rsid w:val="00686E2F"/>
    <w:rsid w:val="00686EF0"/>
    <w:rsid w:val="00687601"/>
    <w:rsid w:val="0069034D"/>
    <w:rsid w:val="00690EF4"/>
    <w:rsid w:val="00691A32"/>
    <w:rsid w:val="00691ADE"/>
    <w:rsid w:val="00692EAC"/>
    <w:rsid w:val="00692F3B"/>
    <w:rsid w:val="00693343"/>
    <w:rsid w:val="00693E5B"/>
    <w:rsid w:val="00695266"/>
    <w:rsid w:val="00695DC1"/>
    <w:rsid w:val="00696DCB"/>
    <w:rsid w:val="0069706E"/>
    <w:rsid w:val="006A02D4"/>
    <w:rsid w:val="006A0A4D"/>
    <w:rsid w:val="006A0E1D"/>
    <w:rsid w:val="006A1554"/>
    <w:rsid w:val="006A1D29"/>
    <w:rsid w:val="006A1DAB"/>
    <w:rsid w:val="006A212C"/>
    <w:rsid w:val="006A213D"/>
    <w:rsid w:val="006A32C2"/>
    <w:rsid w:val="006A46DD"/>
    <w:rsid w:val="006A4816"/>
    <w:rsid w:val="006A4CE7"/>
    <w:rsid w:val="006A4D06"/>
    <w:rsid w:val="006A4D87"/>
    <w:rsid w:val="006A4F60"/>
    <w:rsid w:val="006A59E0"/>
    <w:rsid w:val="006A5AA7"/>
    <w:rsid w:val="006A5B67"/>
    <w:rsid w:val="006A6216"/>
    <w:rsid w:val="006A65DD"/>
    <w:rsid w:val="006A6AED"/>
    <w:rsid w:val="006B01DC"/>
    <w:rsid w:val="006B0381"/>
    <w:rsid w:val="006B0AEB"/>
    <w:rsid w:val="006B0EBE"/>
    <w:rsid w:val="006B10DB"/>
    <w:rsid w:val="006B1602"/>
    <w:rsid w:val="006B16A3"/>
    <w:rsid w:val="006B1DB9"/>
    <w:rsid w:val="006B259F"/>
    <w:rsid w:val="006B3060"/>
    <w:rsid w:val="006B3323"/>
    <w:rsid w:val="006B33D8"/>
    <w:rsid w:val="006B3C29"/>
    <w:rsid w:val="006B3D67"/>
    <w:rsid w:val="006B465E"/>
    <w:rsid w:val="006B49E9"/>
    <w:rsid w:val="006B4B74"/>
    <w:rsid w:val="006B52D1"/>
    <w:rsid w:val="006B54E5"/>
    <w:rsid w:val="006B5A41"/>
    <w:rsid w:val="006B6716"/>
    <w:rsid w:val="006B675D"/>
    <w:rsid w:val="006B68A7"/>
    <w:rsid w:val="006B6B2F"/>
    <w:rsid w:val="006B7338"/>
    <w:rsid w:val="006B7FA2"/>
    <w:rsid w:val="006C032E"/>
    <w:rsid w:val="006C08AA"/>
    <w:rsid w:val="006C08F0"/>
    <w:rsid w:val="006C1FE8"/>
    <w:rsid w:val="006C263D"/>
    <w:rsid w:val="006C2667"/>
    <w:rsid w:val="006C27DE"/>
    <w:rsid w:val="006C2A64"/>
    <w:rsid w:val="006C32F0"/>
    <w:rsid w:val="006C3503"/>
    <w:rsid w:val="006C37B8"/>
    <w:rsid w:val="006C3C0E"/>
    <w:rsid w:val="006C4070"/>
    <w:rsid w:val="006C4354"/>
    <w:rsid w:val="006C4426"/>
    <w:rsid w:val="006C4734"/>
    <w:rsid w:val="006C4756"/>
    <w:rsid w:val="006C517D"/>
    <w:rsid w:val="006C54EA"/>
    <w:rsid w:val="006C593B"/>
    <w:rsid w:val="006C5D56"/>
    <w:rsid w:val="006C5F2F"/>
    <w:rsid w:val="006C66FF"/>
    <w:rsid w:val="006C6C2A"/>
    <w:rsid w:val="006C6ED3"/>
    <w:rsid w:val="006C71D9"/>
    <w:rsid w:val="006C72F6"/>
    <w:rsid w:val="006C7C99"/>
    <w:rsid w:val="006C7DE5"/>
    <w:rsid w:val="006C7F94"/>
    <w:rsid w:val="006D0152"/>
    <w:rsid w:val="006D0E0B"/>
    <w:rsid w:val="006D120E"/>
    <w:rsid w:val="006D1D2A"/>
    <w:rsid w:val="006D1E2B"/>
    <w:rsid w:val="006D1E72"/>
    <w:rsid w:val="006D1F6F"/>
    <w:rsid w:val="006D2836"/>
    <w:rsid w:val="006D2EE7"/>
    <w:rsid w:val="006D300B"/>
    <w:rsid w:val="006D3803"/>
    <w:rsid w:val="006D39E5"/>
    <w:rsid w:val="006D3B34"/>
    <w:rsid w:val="006D3C2C"/>
    <w:rsid w:val="006D5474"/>
    <w:rsid w:val="006D597B"/>
    <w:rsid w:val="006D5F28"/>
    <w:rsid w:val="006D627B"/>
    <w:rsid w:val="006E0781"/>
    <w:rsid w:val="006E0E0E"/>
    <w:rsid w:val="006E1035"/>
    <w:rsid w:val="006E1151"/>
    <w:rsid w:val="006E1F8F"/>
    <w:rsid w:val="006E2104"/>
    <w:rsid w:val="006E30ED"/>
    <w:rsid w:val="006E34BB"/>
    <w:rsid w:val="006E3A19"/>
    <w:rsid w:val="006E3CC5"/>
    <w:rsid w:val="006E4535"/>
    <w:rsid w:val="006E481B"/>
    <w:rsid w:val="006E4C6A"/>
    <w:rsid w:val="006E6C04"/>
    <w:rsid w:val="006E72BE"/>
    <w:rsid w:val="006E77AA"/>
    <w:rsid w:val="006E7BD7"/>
    <w:rsid w:val="006F00DD"/>
    <w:rsid w:val="006F0CF9"/>
    <w:rsid w:val="006F1415"/>
    <w:rsid w:val="006F1457"/>
    <w:rsid w:val="006F1D05"/>
    <w:rsid w:val="006F2488"/>
    <w:rsid w:val="006F3221"/>
    <w:rsid w:val="006F32A2"/>
    <w:rsid w:val="006F36D1"/>
    <w:rsid w:val="006F3F43"/>
    <w:rsid w:val="006F4006"/>
    <w:rsid w:val="006F4045"/>
    <w:rsid w:val="006F4A59"/>
    <w:rsid w:val="006F5C2E"/>
    <w:rsid w:val="006F5DA6"/>
    <w:rsid w:val="006F6D3A"/>
    <w:rsid w:val="00700013"/>
    <w:rsid w:val="007002EF"/>
    <w:rsid w:val="007008C7"/>
    <w:rsid w:val="00701BDD"/>
    <w:rsid w:val="00702586"/>
    <w:rsid w:val="00702B4C"/>
    <w:rsid w:val="00702E6E"/>
    <w:rsid w:val="00702FA3"/>
    <w:rsid w:val="007035C7"/>
    <w:rsid w:val="007039B2"/>
    <w:rsid w:val="00703B99"/>
    <w:rsid w:val="007045D0"/>
    <w:rsid w:val="00704C3A"/>
    <w:rsid w:val="007057B7"/>
    <w:rsid w:val="007058EA"/>
    <w:rsid w:val="00705DAE"/>
    <w:rsid w:val="0070641C"/>
    <w:rsid w:val="007068E1"/>
    <w:rsid w:val="007075EA"/>
    <w:rsid w:val="00707F8B"/>
    <w:rsid w:val="00710398"/>
    <w:rsid w:val="007108CE"/>
    <w:rsid w:val="0071171F"/>
    <w:rsid w:val="00712E6E"/>
    <w:rsid w:val="00712EDA"/>
    <w:rsid w:val="00713053"/>
    <w:rsid w:val="00713573"/>
    <w:rsid w:val="007135F2"/>
    <w:rsid w:val="007143DC"/>
    <w:rsid w:val="00714467"/>
    <w:rsid w:val="007148F4"/>
    <w:rsid w:val="00714BFA"/>
    <w:rsid w:val="00714FD9"/>
    <w:rsid w:val="007152DB"/>
    <w:rsid w:val="00715372"/>
    <w:rsid w:val="007156A9"/>
    <w:rsid w:val="00715806"/>
    <w:rsid w:val="00716533"/>
    <w:rsid w:val="00716729"/>
    <w:rsid w:val="0071676B"/>
    <w:rsid w:val="00716C68"/>
    <w:rsid w:val="00716CA3"/>
    <w:rsid w:val="0071704D"/>
    <w:rsid w:val="00717387"/>
    <w:rsid w:val="00720237"/>
    <w:rsid w:val="007202F7"/>
    <w:rsid w:val="007204B8"/>
    <w:rsid w:val="00721075"/>
    <w:rsid w:val="007214A5"/>
    <w:rsid w:val="00721671"/>
    <w:rsid w:val="007219E7"/>
    <w:rsid w:val="00721FE9"/>
    <w:rsid w:val="00722293"/>
    <w:rsid w:val="0072324F"/>
    <w:rsid w:val="00723F90"/>
    <w:rsid w:val="007245FE"/>
    <w:rsid w:val="007246BC"/>
    <w:rsid w:val="00725979"/>
    <w:rsid w:val="00725AA2"/>
    <w:rsid w:val="0072670A"/>
    <w:rsid w:val="0072733F"/>
    <w:rsid w:val="0072739E"/>
    <w:rsid w:val="007274EB"/>
    <w:rsid w:val="00727AB8"/>
    <w:rsid w:val="00727B22"/>
    <w:rsid w:val="007301CF"/>
    <w:rsid w:val="007307CC"/>
    <w:rsid w:val="00730847"/>
    <w:rsid w:val="007309B1"/>
    <w:rsid w:val="00730BB0"/>
    <w:rsid w:val="00730C1B"/>
    <w:rsid w:val="00731CA1"/>
    <w:rsid w:val="007322CF"/>
    <w:rsid w:val="00732779"/>
    <w:rsid w:val="00732E20"/>
    <w:rsid w:val="00733AB2"/>
    <w:rsid w:val="00733EB9"/>
    <w:rsid w:val="0073437D"/>
    <w:rsid w:val="0073468E"/>
    <w:rsid w:val="00734825"/>
    <w:rsid w:val="00734B73"/>
    <w:rsid w:val="00734DBF"/>
    <w:rsid w:val="0073587A"/>
    <w:rsid w:val="007359B1"/>
    <w:rsid w:val="00737732"/>
    <w:rsid w:val="00737CC6"/>
    <w:rsid w:val="007400F7"/>
    <w:rsid w:val="00740B88"/>
    <w:rsid w:val="00740E7F"/>
    <w:rsid w:val="0074215C"/>
    <w:rsid w:val="00742A72"/>
    <w:rsid w:val="0074310C"/>
    <w:rsid w:val="007433A3"/>
    <w:rsid w:val="00743828"/>
    <w:rsid w:val="00743B03"/>
    <w:rsid w:val="00743B66"/>
    <w:rsid w:val="00744153"/>
    <w:rsid w:val="00744911"/>
    <w:rsid w:val="0074498C"/>
    <w:rsid w:val="00745044"/>
    <w:rsid w:val="0074525D"/>
    <w:rsid w:val="00745F59"/>
    <w:rsid w:val="007462A3"/>
    <w:rsid w:val="00746DEA"/>
    <w:rsid w:val="00747263"/>
    <w:rsid w:val="0074752F"/>
    <w:rsid w:val="00747E2E"/>
    <w:rsid w:val="00747E50"/>
    <w:rsid w:val="00747E55"/>
    <w:rsid w:val="00747FA6"/>
    <w:rsid w:val="0075011E"/>
    <w:rsid w:val="00750327"/>
    <w:rsid w:val="00750352"/>
    <w:rsid w:val="00750895"/>
    <w:rsid w:val="0075153E"/>
    <w:rsid w:val="00751A10"/>
    <w:rsid w:val="00751CA5"/>
    <w:rsid w:val="007522AC"/>
    <w:rsid w:val="0075285F"/>
    <w:rsid w:val="00753D6F"/>
    <w:rsid w:val="00754131"/>
    <w:rsid w:val="00754748"/>
    <w:rsid w:val="00754B81"/>
    <w:rsid w:val="00754CA0"/>
    <w:rsid w:val="00754F3E"/>
    <w:rsid w:val="00755C69"/>
    <w:rsid w:val="007561D2"/>
    <w:rsid w:val="00756874"/>
    <w:rsid w:val="007579C7"/>
    <w:rsid w:val="00757C0D"/>
    <w:rsid w:val="0076144A"/>
    <w:rsid w:val="00761D66"/>
    <w:rsid w:val="00761D6B"/>
    <w:rsid w:val="00762BD6"/>
    <w:rsid w:val="00762E94"/>
    <w:rsid w:val="0076301A"/>
    <w:rsid w:val="00763C7F"/>
    <w:rsid w:val="00764893"/>
    <w:rsid w:val="00764BF8"/>
    <w:rsid w:val="007659C6"/>
    <w:rsid w:val="007660AD"/>
    <w:rsid w:val="007669A1"/>
    <w:rsid w:val="00766AC4"/>
    <w:rsid w:val="007678DD"/>
    <w:rsid w:val="007679B0"/>
    <w:rsid w:val="00767DF9"/>
    <w:rsid w:val="007701C1"/>
    <w:rsid w:val="00771520"/>
    <w:rsid w:val="00771BAC"/>
    <w:rsid w:val="00772048"/>
    <w:rsid w:val="00772511"/>
    <w:rsid w:val="00772784"/>
    <w:rsid w:val="007728B7"/>
    <w:rsid w:val="00772FA4"/>
    <w:rsid w:val="00773099"/>
    <w:rsid w:val="0077465C"/>
    <w:rsid w:val="00774AFB"/>
    <w:rsid w:val="00774B52"/>
    <w:rsid w:val="00775297"/>
    <w:rsid w:val="00775909"/>
    <w:rsid w:val="00775B04"/>
    <w:rsid w:val="007766FF"/>
    <w:rsid w:val="00776B1D"/>
    <w:rsid w:val="00776B46"/>
    <w:rsid w:val="00777A09"/>
    <w:rsid w:val="007802C5"/>
    <w:rsid w:val="0078079B"/>
    <w:rsid w:val="00780F5E"/>
    <w:rsid w:val="007813FF"/>
    <w:rsid w:val="007817DF"/>
    <w:rsid w:val="00781EBF"/>
    <w:rsid w:val="007823FE"/>
    <w:rsid w:val="007829DB"/>
    <w:rsid w:val="00782CFE"/>
    <w:rsid w:val="00782E4A"/>
    <w:rsid w:val="00782F67"/>
    <w:rsid w:val="007839B0"/>
    <w:rsid w:val="00783CFB"/>
    <w:rsid w:val="00783D7C"/>
    <w:rsid w:val="00783F9B"/>
    <w:rsid w:val="00784110"/>
    <w:rsid w:val="007847C3"/>
    <w:rsid w:val="00785219"/>
    <w:rsid w:val="00785A8F"/>
    <w:rsid w:val="00786202"/>
    <w:rsid w:val="0078620A"/>
    <w:rsid w:val="00786D5D"/>
    <w:rsid w:val="00787287"/>
    <w:rsid w:val="0079007C"/>
    <w:rsid w:val="0079094D"/>
    <w:rsid w:val="00790AFE"/>
    <w:rsid w:val="00791408"/>
    <w:rsid w:val="007917F4"/>
    <w:rsid w:val="00791F43"/>
    <w:rsid w:val="00791FC4"/>
    <w:rsid w:val="0079281D"/>
    <w:rsid w:val="007928AD"/>
    <w:rsid w:val="00792D22"/>
    <w:rsid w:val="00792EAE"/>
    <w:rsid w:val="007935F5"/>
    <w:rsid w:val="00795074"/>
    <w:rsid w:val="007956CD"/>
    <w:rsid w:val="00796A3C"/>
    <w:rsid w:val="00796A78"/>
    <w:rsid w:val="00796E3C"/>
    <w:rsid w:val="0079798E"/>
    <w:rsid w:val="00797D9B"/>
    <w:rsid w:val="007A021A"/>
    <w:rsid w:val="007A1C87"/>
    <w:rsid w:val="007A22B0"/>
    <w:rsid w:val="007A22FD"/>
    <w:rsid w:val="007A2CE1"/>
    <w:rsid w:val="007A2F79"/>
    <w:rsid w:val="007A310A"/>
    <w:rsid w:val="007A3530"/>
    <w:rsid w:val="007A3A55"/>
    <w:rsid w:val="007A4076"/>
    <w:rsid w:val="007A459A"/>
    <w:rsid w:val="007A5693"/>
    <w:rsid w:val="007A5756"/>
    <w:rsid w:val="007A57F9"/>
    <w:rsid w:val="007A597E"/>
    <w:rsid w:val="007A5B32"/>
    <w:rsid w:val="007A706F"/>
    <w:rsid w:val="007A783D"/>
    <w:rsid w:val="007B0037"/>
    <w:rsid w:val="007B0774"/>
    <w:rsid w:val="007B07FF"/>
    <w:rsid w:val="007B10D7"/>
    <w:rsid w:val="007B2071"/>
    <w:rsid w:val="007B2B33"/>
    <w:rsid w:val="007B2BD9"/>
    <w:rsid w:val="007B2E23"/>
    <w:rsid w:val="007B422A"/>
    <w:rsid w:val="007B4F56"/>
    <w:rsid w:val="007B58B2"/>
    <w:rsid w:val="007B694B"/>
    <w:rsid w:val="007B6967"/>
    <w:rsid w:val="007B7356"/>
    <w:rsid w:val="007B7993"/>
    <w:rsid w:val="007B7BC9"/>
    <w:rsid w:val="007C0111"/>
    <w:rsid w:val="007C02C8"/>
    <w:rsid w:val="007C0984"/>
    <w:rsid w:val="007C0BD6"/>
    <w:rsid w:val="007C1493"/>
    <w:rsid w:val="007C1EC9"/>
    <w:rsid w:val="007C2027"/>
    <w:rsid w:val="007C39E9"/>
    <w:rsid w:val="007C3DC0"/>
    <w:rsid w:val="007C45AB"/>
    <w:rsid w:val="007C6100"/>
    <w:rsid w:val="007C6724"/>
    <w:rsid w:val="007C6C1D"/>
    <w:rsid w:val="007C7C9F"/>
    <w:rsid w:val="007D06FD"/>
    <w:rsid w:val="007D0771"/>
    <w:rsid w:val="007D111A"/>
    <w:rsid w:val="007D2071"/>
    <w:rsid w:val="007D255D"/>
    <w:rsid w:val="007D2903"/>
    <w:rsid w:val="007D2CCA"/>
    <w:rsid w:val="007D332F"/>
    <w:rsid w:val="007D35BB"/>
    <w:rsid w:val="007D3BEB"/>
    <w:rsid w:val="007D3C7F"/>
    <w:rsid w:val="007D4DCD"/>
    <w:rsid w:val="007D50D7"/>
    <w:rsid w:val="007D518F"/>
    <w:rsid w:val="007D59F8"/>
    <w:rsid w:val="007D5ADA"/>
    <w:rsid w:val="007D66EF"/>
    <w:rsid w:val="007D6C02"/>
    <w:rsid w:val="007D6D38"/>
    <w:rsid w:val="007D6F87"/>
    <w:rsid w:val="007D7908"/>
    <w:rsid w:val="007E083C"/>
    <w:rsid w:val="007E0997"/>
    <w:rsid w:val="007E0C67"/>
    <w:rsid w:val="007E0CEF"/>
    <w:rsid w:val="007E0DC0"/>
    <w:rsid w:val="007E0E08"/>
    <w:rsid w:val="007E0FF9"/>
    <w:rsid w:val="007E13F4"/>
    <w:rsid w:val="007E1AA3"/>
    <w:rsid w:val="007E1E44"/>
    <w:rsid w:val="007E22B7"/>
    <w:rsid w:val="007E255B"/>
    <w:rsid w:val="007E261B"/>
    <w:rsid w:val="007E31EB"/>
    <w:rsid w:val="007E37ED"/>
    <w:rsid w:val="007E38E6"/>
    <w:rsid w:val="007E3B97"/>
    <w:rsid w:val="007E3BAF"/>
    <w:rsid w:val="007E4422"/>
    <w:rsid w:val="007E4640"/>
    <w:rsid w:val="007E477E"/>
    <w:rsid w:val="007E4E79"/>
    <w:rsid w:val="007E504C"/>
    <w:rsid w:val="007E6453"/>
    <w:rsid w:val="007E661A"/>
    <w:rsid w:val="007E667C"/>
    <w:rsid w:val="007E7ABC"/>
    <w:rsid w:val="007F0CE7"/>
    <w:rsid w:val="007F12AD"/>
    <w:rsid w:val="007F1327"/>
    <w:rsid w:val="007F18A5"/>
    <w:rsid w:val="007F2D7B"/>
    <w:rsid w:val="007F2F9E"/>
    <w:rsid w:val="007F35DB"/>
    <w:rsid w:val="007F3E0D"/>
    <w:rsid w:val="007F4ECF"/>
    <w:rsid w:val="007F5765"/>
    <w:rsid w:val="007F64B5"/>
    <w:rsid w:val="007F6661"/>
    <w:rsid w:val="007F69A3"/>
    <w:rsid w:val="007F6D2E"/>
    <w:rsid w:val="007F6F07"/>
    <w:rsid w:val="007F73FC"/>
    <w:rsid w:val="008000A4"/>
    <w:rsid w:val="008006D9"/>
    <w:rsid w:val="00800A84"/>
    <w:rsid w:val="008013FD"/>
    <w:rsid w:val="008016C1"/>
    <w:rsid w:val="00801E77"/>
    <w:rsid w:val="00802AEC"/>
    <w:rsid w:val="008036BE"/>
    <w:rsid w:val="00804228"/>
    <w:rsid w:val="0080474F"/>
    <w:rsid w:val="00804943"/>
    <w:rsid w:val="00804F67"/>
    <w:rsid w:val="00805A9F"/>
    <w:rsid w:val="00806721"/>
    <w:rsid w:val="00806C86"/>
    <w:rsid w:val="00807D58"/>
    <w:rsid w:val="0081036D"/>
    <w:rsid w:val="0081050A"/>
    <w:rsid w:val="00810ADF"/>
    <w:rsid w:val="00810D70"/>
    <w:rsid w:val="00810F7F"/>
    <w:rsid w:val="00811351"/>
    <w:rsid w:val="00811958"/>
    <w:rsid w:val="00811FB3"/>
    <w:rsid w:val="00813635"/>
    <w:rsid w:val="00813D8A"/>
    <w:rsid w:val="00813FBD"/>
    <w:rsid w:val="00813FC3"/>
    <w:rsid w:val="00814AA3"/>
    <w:rsid w:val="00814BF5"/>
    <w:rsid w:val="00816F54"/>
    <w:rsid w:val="00817132"/>
    <w:rsid w:val="008173C7"/>
    <w:rsid w:val="008205F6"/>
    <w:rsid w:val="008206A6"/>
    <w:rsid w:val="00820874"/>
    <w:rsid w:val="0082147B"/>
    <w:rsid w:val="00821678"/>
    <w:rsid w:val="008217A8"/>
    <w:rsid w:val="00821CAB"/>
    <w:rsid w:val="00822AA0"/>
    <w:rsid w:val="00822BAD"/>
    <w:rsid w:val="00822D08"/>
    <w:rsid w:val="00822F32"/>
    <w:rsid w:val="008236B7"/>
    <w:rsid w:val="00824BB4"/>
    <w:rsid w:val="00824C9A"/>
    <w:rsid w:val="0082523F"/>
    <w:rsid w:val="00825F4E"/>
    <w:rsid w:val="008260E5"/>
    <w:rsid w:val="00826316"/>
    <w:rsid w:val="00827456"/>
    <w:rsid w:val="008274FE"/>
    <w:rsid w:val="00827923"/>
    <w:rsid w:val="00827FB7"/>
    <w:rsid w:val="0083027E"/>
    <w:rsid w:val="0083147E"/>
    <w:rsid w:val="008316C5"/>
    <w:rsid w:val="00831D0C"/>
    <w:rsid w:val="00831D12"/>
    <w:rsid w:val="008323F0"/>
    <w:rsid w:val="00833436"/>
    <w:rsid w:val="00833A2A"/>
    <w:rsid w:val="00833C33"/>
    <w:rsid w:val="00834245"/>
    <w:rsid w:val="0083444D"/>
    <w:rsid w:val="00835812"/>
    <w:rsid w:val="00835C55"/>
    <w:rsid w:val="00836054"/>
    <w:rsid w:val="0083641B"/>
    <w:rsid w:val="00836760"/>
    <w:rsid w:val="0083767B"/>
    <w:rsid w:val="00837D27"/>
    <w:rsid w:val="0084077E"/>
    <w:rsid w:val="008409BF"/>
    <w:rsid w:val="00841271"/>
    <w:rsid w:val="00843267"/>
    <w:rsid w:val="00843715"/>
    <w:rsid w:val="00843B0D"/>
    <w:rsid w:val="00843C38"/>
    <w:rsid w:val="00844199"/>
    <w:rsid w:val="008441C1"/>
    <w:rsid w:val="0084435F"/>
    <w:rsid w:val="00844437"/>
    <w:rsid w:val="008445F0"/>
    <w:rsid w:val="0084475B"/>
    <w:rsid w:val="00844D28"/>
    <w:rsid w:val="008459CF"/>
    <w:rsid w:val="00845E6E"/>
    <w:rsid w:val="0084606B"/>
    <w:rsid w:val="00847329"/>
    <w:rsid w:val="00847415"/>
    <w:rsid w:val="008476FC"/>
    <w:rsid w:val="008476FE"/>
    <w:rsid w:val="0084785C"/>
    <w:rsid w:val="00847F73"/>
    <w:rsid w:val="008500CF"/>
    <w:rsid w:val="00852228"/>
    <w:rsid w:val="00852B9A"/>
    <w:rsid w:val="00852CC0"/>
    <w:rsid w:val="00853603"/>
    <w:rsid w:val="00854FAD"/>
    <w:rsid w:val="00855485"/>
    <w:rsid w:val="008554BC"/>
    <w:rsid w:val="00855E0B"/>
    <w:rsid w:val="00855F34"/>
    <w:rsid w:val="00856249"/>
    <w:rsid w:val="008566E4"/>
    <w:rsid w:val="00856760"/>
    <w:rsid w:val="0085684F"/>
    <w:rsid w:val="00856870"/>
    <w:rsid w:val="00856FBC"/>
    <w:rsid w:val="00857483"/>
    <w:rsid w:val="00857A47"/>
    <w:rsid w:val="00857EF1"/>
    <w:rsid w:val="00857F49"/>
    <w:rsid w:val="0086037B"/>
    <w:rsid w:val="00860388"/>
    <w:rsid w:val="00860399"/>
    <w:rsid w:val="008611A8"/>
    <w:rsid w:val="008611BB"/>
    <w:rsid w:val="0086130C"/>
    <w:rsid w:val="00861F86"/>
    <w:rsid w:val="008624CF"/>
    <w:rsid w:val="00862AA3"/>
    <w:rsid w:val="00863437"/>
    <w:rsid w:val="00863557"/>
    <w:rsid w:val="00863A25"/>
    <w:rsid w:val="00863DD8"/>
    <w:rsid w:val="00863FBB"/>
    <w:rsid w:val="008644BF"/>
    <w:rsid w:val="008644C9"/>
    <w:rsid w:val="008647B0"/>
    <w:rsid w:val="00864F17"/>
    <w:rsid w:val="00864F93"/>
    <w:rsid w:val="00864FB5"/>
    <w:rsid w:val="00865185"/>
    <w:rsid w:val="00865A0A"/>
    <w:rsid w:val="00867097"/>
    <w:rsid w:val="00867A1D"/>
    <w:rsid w:val="00870668"/>
    <w:rsid w:val="008706F9"/>
    <w:rsid w:val="00870873"/>
    <w:rsid w:val="00870A90"/>
    <w:rsid w:val="00870EF1"/>
    <w:rsid w:val="00871608"/>
    <w:rsid w:val="008718B5"/>
    <w:rsid w:val="00871EC6"/>
    <w:rsid w:val="0087241D"/>
    <w:rsid w:val="00875BA8"/>
    <w:rsid w:val="00875D53"/>
    <w:rsid w:val="00875E17"/>
    <w:rsid w:val="0087620D"/>
    <w:rsid w:val="00876268"/>
    <w:rsid w:val="00876973"/>
    <w:rsid w:val="00876D2C"/>
    <w:rsid w:val="008775CD"/>
    <w:rsid w:val="0087785F"/>
    <w:rsid w:val="008778C5"/>
    <w:rsid w:val="008803D0"/>
    <w:rsid w:val="008809F4"/>
    <w:rsid w:val="00880A07"/>
    <w:rsid w:val="00880C8D"/>
    <w:rsid w:val="00881414"/>
    <w:rsid w:val="00881820"/>
    <w:rsid w:val="00881B51"/>
    <w:rsid w:val="00881CEF"/>
    <w:rsid w:val="00881EE0"/>
    <w:rsid w:val="00882704"/>
    <w:rsid w:val="0088360D"/>
    <w:rsid w:val="00884CA3"/>
    <w:rsid w:val="00884E58"/>
    <w:rsid w:val="008859A3"/>
    <w:rsid w:val="00886603"/>
    <w:rsid w:val="0088684A"/>
    <w:rsid w:val="0088694B"/>
    <w:rsid w:val="00886BF5"/>
    <w:rsid w:val="0089020A"/>
    <w:rsid w:val="0089049A"/>
    <w:rsid w:val="00890D0A"/>
    <w:rsid w:val="00891562"/>
    <w:rsid w:val="00891BD4"/>
    <w:rsid w:val="00892B90"/>
    <w:rsid w:val="00892E6F"/>
    <w:rsid w:val="00892EC6"/>
    <w:rsid w:val="00893077"/>
    <w:rsid w:val="008933CB"/>
    <w:rsid w:val="00893949"/>
    <w:rsid w:val="008940B6"/>
    <w:rsid w:val="008941B4"/>
    <w:rsid w:val="0089437A"/>
    <w:rsid w:val="008944A6"/>
    <w:rsid w:val="008947E6"/>
    <w:rsid w:val="008949AE"/>
    <w:rsid w:val="008951A5"/>
    <w:rsid w:val="00895734"/>
    <w:rsid w:val="008959A9"/>
    <w:rsid w:val="00896B25"/>
    <w:rsid w:val="0089776F"/>
    <w:rsid w:val="00897AA9"/>
    <w:rsid w:val="00897E18"/>
    <w:rsid w:val="00897FDE"/>
    <w:rsid w:val="008A0E6A"/>
    <w:rsid w:val="008A1ED5"/>
    <w:rsid w:val="008A1FF9"/>
    <w:rsid w:val="008A3727"/>
    <w:rsid w:val="008A3C32"/>
    <w:rsid w:val="008A470E"/>
    <w:rsid w:val="008A4B38"/>
    <w:rsid w:val="008A4B74"/>
    <w:rsid w:val="008A4BE0"/>
    <w:rsid w:val="008A523E"/>
    <w:rsid w:val="008A5545"/>
    <w:rsid w:val="008A59BB"/>
    <w:rsid w:val="008A60FD"/>
    <w:rsid w:val="008A64D5"/>
    <w:rsid w:val="008A6807"/>
    <w:rsid w:val="008A6D25"/>
    <w:rsid w:val="008A705D"/>
    <w:rsid w:val="008A72D6"/>
    <w:rsid w:val="008A7FBB"/>
    <w:rsid w:val="008B016A"/>
    <w:rsid w:val="008B0DF7"/>
    <w:rsid w:val="008B1DA2"/>
    <w:rsid w:val="008B2391"/>
    <w:rsid w:val="008B2EEB"/>
    <w:rsid w:val="008B42F1"/>
    <w:rsid w:val="008B469A"/>
    <w:rsid w:val="008B46D0"/>
    <w:rsid w:val="008B4BF9"/>
    <w:rsid w:val="008B4FAA"/>
    <w:rsid w:val="008B5296"/>
    <w:rsid w:val="008B5461"/>
    <w:rsid w:val="008B59FE"/>
    <w:rsid w:val="008B6291"/>
    <w:rsid w:val="008B67C2"/>
    <w:rsid w:val="008B6A38"/>
    <w:rsid w:val="008B6E07"/>
    <w:rsid w:val="008B7F38"/>
    <w:rsid w:val="008C041E"/>
    <w:rsid w:val="008C064B"/>
    <w:rsid w:val="008C0B55"/>
    <w:rsid w:val="008C0B59"/>
    <w:rsid w:val="008C0E1A"/>
    <w:rsid w:val="008C18A8"/>
    <w:rsid w:val="008C408B"/>
    <w:rsid w:val="008C47B1"/>
    <w:rsid w:val="008C47D4"/>
    <w:rsid w:val="008C55E0"/>
    <w:rsid w:val="008C5626"/>
    <w:rsid w:val="008C60AE"/>
    <w:rsid w:val="008C6A03"/>
    <w:rsid w:val="008C76F1"/>
    <w:rsid w:val="008C789A"/>
    <w:rsid w:val="008C7BF5"/>
    <w:rsid w:val="008D077C"/>
    <w:rsid w:val="008D0A4B"/>
    <w:rsid w:val="008D159B"/>
    <w:rsid w:val="008D16E0"/>
    <w:rsid w:val="008D1B90"/>
    <w:rsid w:val="008D1C69"/>
    <w:rsid w:val="008D1DC9"/>
    <w:rsid w:val="008D2C98"/>
    <w:rsid w:val="008D3DF7"/>
    <w:rsid w:val="008D3E92"/>
    <w:rsid w:val="008D509A"/>
    <w:rsid w:val="008D5420"/>
    <w:rsid w:val="008D5880"/>
    <w:rsid w:val="008D67BC"/>
    <w:rsid w:val="008D7491"/>
    <w:rsid w:val="008D7708"/>
    <w:rsid w:val="008D7A9C"/>
    <w:rsid w:val="008D7C03"/>
    <w:rsid w:val="008D7D0B"/>
    <w:rsid w:val="008E0DC7"/>
    <w:rsid w:val="008E0FED"/>
    <w:rsid w:val="008E10A7"/>
    <w:rsid w:val="008E11C5"/>
    <w:rsid w:val="008E1564"/>
    <w:rsid w:val="008E18F3"/>
    <w:rsid w:val="008E2EB5"/>
    <w:rsid w:val="008E369E"/>
    <w:rsid w:val="008E39FC"/>
    <w:rsid w:val="008E3B09"/>
    <w:rsid w:val="008E47EC"/>
    <w:rsid w:val="008E4870"/>
    <w:rsid w:val="008E4DC2"/>
    <w:rsid w:val="008E4E63"/>
    <w:rsid w:val="008E5A2B"/>
    <w:rsid w:val="008E5B12"/>
    <w:rsid w:val="008E605E"/>
    <w:rsid w:val="008E61EE"/>
    <w:rsid w:val="008E64DB"/>
    <w:rsid w:val="008E6E0A"/>
    <w:rsid w:val="008E7163"/>
    <w:rsid w:val="008E7789"/>
    <w:rsid w:val="008E7852"/>
    <w:rsid w:val="008F049F"/>
    <w:rsid w:val="008F06C8"/>
    <w:rsid w:val="008F09A0"/>
    <w:rsid w:val="008F0C65"/>
    <w:rsid w:val="008F17DD"/>
    <w:rsid w:val="008F17E7"/>
    <w:rsid w:val="008F188D"/>
    <w:rsid w:val="008F1E38"/>
    <w:rsid w:val="008F2108"/>
    <w:rsid w:val="008F243C"/>
    <w:rsid w:val="008F25AF"/>
    <w:rsid w:val="008F2767"/>
    <w:rsid w:val="008F2AB9"/>
    <w:rsid w:val="008F2BAC"/>
    <w:rsid w:val="008F2F6D"/>
    <w:rsid w:val="008F3665"/>
    <w:rsid w:val="008F3B60"/>
    <w:rsid w:val="008F40E9"/>
    <w:rsid w:val="008F46FE"/>
    <w:rsid w:val="008F705E"/>
    <w:rsid w:val="008F7445"/>
    <w:rsid w:val="008F77E4"/>
    <w:rsid w:val="008F78FA"/>
    <w:rsid w:val="008F7A16"/>
    <w:rsid w:val="008F7A37"/>
    <w:rsid w:val="00900350"/>
    <w:rsid w:val="009005B5"/>
    <w:rsid w:val="00900AC0"/>
    <w:rsid w:val="00901693"/>
    <w:rsid w:val="009019DC"/>
    <w:rsid w:val="009020D5"/>
    <w:rsid w:val="0090355D"/>
    <w:rsid w:val="00903630"/>
    <w:rsid w:val="00903651"/>
    <w:rsid w:val="009039C7"/>
    <w:rsid w:val="00903CED"/>
    <w:rsid w:val="00903DA3"/>
    <w:rsid w:val="00903F07"/>
    <w:rsid w:val="00904F42"/>
    <w:rsid w:val="00905C5D"/>
    <w:rsid w:val="00905D90"/>
    <w:rsid w:val="009064D7"/>
    <w:rsid w:val="00910399"/>
    <w:rsid w:val="00910910"/>
    <w:rsid w:val="00910ACD"/>
    <w:rsid w:val="00910E84"/>
    <w:rsid w:val="00910EC3"/>
    <w:rsid w:val="009117A8"/>
    <w:rsid w:val="0091189F"/>
    <w:rsid w:val="00911B8E"/>
    <w:rsid w:val="00913121"/>
    <w:rsid w:val="009131B0"/>
    <w:rsid w:val="00913FD2"/>
    <w:rsid w:val="00914D1F"/>
    <w:rsid w:val="00914E4F"/>
    <w:rsid w:val="00914F07"/>
    <w:rsid w:val="0091571F"/>
    <w:rsid w:val="00915A69"/>
    <w:rsid w:val="00915EC7"/>
    <w:rsid w:val="00916541"/>
    <w:rsid w:val="00916D43"/>
    <w:rsid w:val="00917001"/>
    <w:rsid w:val="00920346"/>
    <w:rsid w:val="009204E8"/>
    <w:rsid w:val="00920787"/>
    <w:rsid w:val="00920D6A"/>
    <w:rsid w:val="00920EB5"/>
    <w:rsid w:val="00921599"/>
    <w:rsid w:val="00921654"/>
    <w:rsid w:val="009229DE"/>
    <w:rsid w:val="00922D53"/>
    <w:rsid w:val="0092327C"/>
    <w:rsid w:val="009233B3"/>
    <w:rsid w:val="00923827"/>
    <w:rsid w:val="009238FD"/>
    <w:rsid w:val="00923A0C"/>
    <w:rsid w:val="00923A32"/>
    <w:rsid w:val="00923CA3"/>
    <w:rsid w:val="00924BC3"/>
    <w:rsid w:val="00925899"/>
    <w:rsid w:val="009265C4"/>
    <w:rsid w:val="00926C8A"/>
    <w:rsid w:val="00926CAA"/>
    <w:rsid w:val="00927272"/>
    <w:rsid w:val="00927454"/>
    <w:rsid w:val="00927F22"/>
    <w:rsid w:val="00930CBB"/>
    <w:rsid w:val="00931328"/>
    <w:rsid w:val="00932333"/>
    <w:rsid w:val="00932DD7"/>
    <w:rsid w:val="009332DF"/>
    <w:rsid w:val="00933B8B"/>
    <w:rsid w:val="009343AC"/>
    <w:rsid w:val="009347A4"/>
    <w:rsid w:val="00934FC5"/>
    <w:rsid w:val="009354EC"/>
    <w:rsid w:val="0093632D"/>
    <w:rsid w:val="00936A16"/>
    <w:rsid w:val="0094049B"/>
    <w:rsid w:val="009406E3"/>
    <w:rsid w:val="009409ED"/>
    <w:rsid w:val="009412BF"/>
    <w:rsid w:val="00941308"/>
    <w:rsid w:val="00941654"/>
    <w:rsid w:val="009420BE"/>
    <w:rsid w:val="00942323"/>
    <w:rsid w:val="009424C2"/>
    <w:rsid w:val="00942BC5"/>
    <w:rsid w:val="009433AC"/>
    <w:rsid w:val="0094352A"/>
    <w:rsid w:val="00944BF7"/>
    <w:rsid w:val="00945700"/>
    <w:rsid w:val="00945F5E"/>
    <w:rsid w:val="00946A1D"/>
    <w:rsid w:val="00946F9F"/>
    <w:rsid w:val="00947803"/>
    <w:rsid w:val="009504FC"/>
    <w:rsid w:val="00950CFD"/>
    <w:rsid w:val="00950D05"/>
    <w:rsid w:val="00950DB1"/>
    <w:rsid w:val="00950FDF"/>
    <w:rsid w:val="00951571"/>
    <w:rsid w:val="00951762"/>
    <w:rsid w:val="009518C2"/>
    <w:rsid w:val="00951940"/>
    <w:rsid w:val="009528D9"/>
    <w:rsid w:val="00952E14"/>
    <w:rsid w:val="00953863"/>
    <w:rsid w:val="00953E7A"/>
    <w:rsid w:val="0095400E"/>
    <w:rsid w:val="009540EF"/>
    <w:rsid w:val="009542B0"/>
    <w:rsid w:val="00954B51"/>
    <w:rsid w:val="009556B7"/>
    <w:rsid w:val="009562AC"/>
    <w:rsid w:val="00956BF7"/>
    <w:rsid w:val="00960051"/>
    <w:rsid w:val="009603EF"/>
    <w:rsid w:val="009606E0"/>
    <w:rsid w:val="009622E7"/>
    <w:rsid w:val="009623EE"/>
    <w:rsid w:val="009633EF"/>
    <w:rsid w:val="00963733"/>
    <w:rsid w:val="00963F47"/>
    <w:rsid w:val="009640D2"/>
    <w:rsid w:val="00964DBF"/>
    <w:rsid w:val="00965063"/>
    <w:rsid w:val="009656BA"/>
    <w:rsid w:val="00965F44"/>
    <w:rsid w:val="00966525"/>
    <w:rsid w:val="0096681C"/>
    <w:rsid w:val="009676F7"/>
    <w:rsid w:val="00967A3C"/>
    <w:rsid w:val="0097117B"/>
    <w:rsid w:val="009711AF"/>
    <w:rsid w:val="00971346"/>
    <w:rsid w:val="00972179"/>
    <w:rsid w:val="009730E6"/>
    <w:rsid w:val="009733BB"/>
    <w:rsid w:val="009734FC"/>
    <w:rsid w:val="00973A5A"/>
    <w:rsid w:val="009751D3"/>
    <w:rsid w:val="009757EF"/>
    <w:rsid w:val="00975B29"/>
    <w:rsid w:val="00975D2C"/>
    <w:rsid w:val="00975E08"/>
    <w:rsid w:val="00976149"/>
    <w:rsid w:val="00976F58"/>
    <w:rsid w:val="00977263"/>
    <w:rsid w:val="009772A7"/>
    <w:rsid w:val="00977501"/>
    <w:rsid w:val="009775C6"/>
    <w:rsid w:val="009804B0"/>
    <w:rsid w:val="0098084D"/>
    <w:rsid w:val="00980BB0"/>
    <w:rsid w:val="00980C69"/>
    <w:rsid w:val="0098145F"/>
    <w:rsid w:val="0098197F"/>
    <w:rsid w:val="00981DC1"/>
    <w:rsid w:val="00982766"/>
    <w:rsid w:val="00983E3B"/>
    <w:rsid w:val="009843A1"/>
    <w:rsid w:val="00984D5C"/>
    <w:rsid w:val="00984F62"/>
    <w:rsid w:val="009873D0"/>
    <w:rsid w:val="009873F0"/>
    <w:rsid w:val="00987BF0"/>
    <w:rsid w:val="00990431"/>
    <w:rsid w:val="009910D0"/>
    <w:rsid w:val="00991139"/>
    <w:rsid w:val="009918FD"/>
    <w:rsid w:val="00991A6A"/>
    <w:rsid w:val="009922E9"/>
    <w:rsid w:val="009922F0"/>
    <w:rsid w:val="00992364"/>
    <w:rsid w:val="0099241B"/>
    <w:rsid w:val="00992709"/>
    <w:rsid w:val="00992A6A"/>
    <w:rsid w:val="00992E89"/>
    <w:rsid w:val="0099364F"/>
    <w:rsid w:val="00994141"/>
    <w:rsid w:val="0099431F"/>
    <w:rsid w:val="00994395"/>
    <w:rsid w:val="00994C4D"/>
    <w:rsid w:val="00994C84"/>
    <w:rsid w:val="009957F4"/>
    <w:rsid w:val="00995CA5"/>
    <w:rsid w:val="00995ED7"/>
    <w:rsid w:val="00996BE4"/>
    <w:rsid w:val="00996F6E"/>
    <w:rsid w:val="009975CE"/>
    <w:rsid w:val="009979D6"/>
    <w:rsid w:val="009A073D"/>
    <w:rsid w:val="009A09BF"/>
    <w:rsid w:val="009A0C0B"/>
    <w:rsid w:val="009A131A"/>
    <w:rsid w:val="009A2EB9"/>
    <w:rsid w:val="009A3A31"/>
    <w:rsid w:val="009A3DD0"/>
    <w:rsid w:val="009A3EC9"/>
    <w:rsid w:val="009A41F1"/>
    <w:rsid w:val="009A4C1C"/>
    <w:rsid w:val="009A4F10"/>
    <w:rsid w:val="009A550F"/>
    <w:rsid w:val="009A55A1"/>
    <w:rsid w:val="009A61F9"/>
    <w:rsid w:val="009A6229"/>
    <w:rsid w:val="009A69F0"/>
    <w:rsid w:val="009A748F"/>
    <w:rsid w:val="009A764E"/>
    <w:rsid w:val="009B01AB"/>
    <w:rsid w:val="009B020B"/>
    <w:rsid w:val="009B118F"/>
    <w:rsid w:val="009B11F7"/>
    <w:rsid w:val="009B1245"/>
    <w:rsid w:val="009B1257"/>
    <w:rsid w:val="009B197F"/>
    <w:rsid w:val="009B1E49"/>
    <w:rsid w:val="009B24BC"/>
    <w:rsid w:val="009B25E5"/>
    <w:rsid w:val="009B27EA"/>
    <w:rsid w:val="009B2866"/>
    <w:rsid w:val="009B464A"/>
    <w:rsid w:val="009B488E"/>
    <w:rsid w:val="009B53AB"/>
    <w:rsid w:val="009B558F"/>
    <w:rsid w:val="009B6200"/>
    <w:rsid w:val="009B672A"/>
    <w:rsid w:val="009B7C0D"/>
    <w:rsid w:val="009B7D7F"/>
    <w:rsid w:val="009B7EB7"/>
    <w:rsid w:val="009C0D17"/>
    <w:rsid w:val="009C0D23"/>
    <w:rsid w:val="009C0FD3"/>
    <w:rsid w:val="009C1557"/>
    <w:rsid w:val="009C187C"/>
    <w:rsid w:val="009C2157"/>
    <w:rsid w:val="009C220F"/>
    <w:rsid w:val="009C2815"/>
    <w:rsid w:val="009C2E14"/>
    <w:rsid w:val="009C307E"/>
    <w:rsid w:val="009C36AC"/>
    <w:rsid w:val="009C4425"/>
    <w:rsid w:val="009C4A25"/>
    <w:rsid w:val="009C5211"/>
    <w:rsid w:val="009C5394"/>
    <w:rsid w:val="009C59D4"/>
    <w:rsid w:val="009C6578"/>
    <w:rsid w:val="009C6D2F"/>
    <w:rsid w:val="009C7042"/>
    <w:rsid w:val="009C7777"/>
    <w:rsid w:val="009C7F8A"/>
    <w:rsid w:val="009D0120"/>
    <w:rsid w:val="009D021D"/>
    <w:rsid w:val="009D088F"/>
    <w:rsid w:val="009D0AFE"/>
    <w:rsid w:val="009D127D"/>
    <w:rsid w:val="009D1665"/>
    <w:rsid w:val="009D265E"/>
    <w:rsid w:val="009D2821"/>
    <w:rsid w:val="009D2B31"/>
    <w:rsid w:val="009D2FC6"/>
    <w:rsid w:val="009D31C0"/>
    <w:rsid w:val="009D36DB"/>
    <w:rsid w:val="009D3C2E"/>
    <w:rsid w:val="009D4703"/>
    <w:rsid w:val="009D4A4F"/>
    <w:rsid w:val="009D4C6F"/>
    <w:rsid w:val="009D4E95"/>
    <w:rsid w:val="009D50F1"/>
    <w:rsid w:val="009D5502"/>
    <w:rsid w:val="009D585D"/>
    <w:rsid w:val="009D6038"/>
    <w:rsid w:val="009D70C9"/>
    <w:rsid w:val="009D7605"/>
    <w:rsid w:val="009D777C"/>
    <w:rsid w:val="009D7BE3"/>
    <w:rsid w:val="009D7D61"/>
    <w:rsid w:val="009E02AF"/>
    <w:rsid w:val="009E0CAC"/>
    <w:rsid w:val="009E2698"/>
    <w:rsid w:val="009E3098"/>
    <w:rsid w:val="009E30B1"/>
    <w:rsid w:val="009E3649"/>
    <w:rsid w:val="009E37CA"/>
    <w:rsid w:val="009E4127"/>
    <w:rsid w:val="009E41D8"/>
    <w:rsid w:val="009E48A8"/>
    <w:rsid w:val="009E4DCF"/>
    <w:rsid w:val="009E56CE"/>
    <w:rsid w:val="009E6452"/>
    <w:rsid w:val="009E6E00"/>
    <w:rsid w:val="009E71D2"/>
    <w:rsid w:val="009E7247"/>
    <w:rsid w:val="009E73FC"/>
    <w:rsid w:val="009E7DFC"/>
    <w:rsid w:val="009F0660"/>
    <w:rsid w:val="009F13AF"/>
    <w:rsid w:val="009F18EF"/>
    <w:rsid w:val="009F1C34"/>
    <w:rsid w:val="009F1C36"/>
    <w:rsid w:val="009F1D8E"/>
    <w:rsid w:val="009F25D7"/>
    <w:rsid w:val="009F25EE"/>
    <w:rsid w:val="009F276C"/>
    <w:rsid w:val="009F2DA1"/>
    <w:rsid w:val="009F2EF8"/>
    <w:rsid w:val="009F3715"/>
    <w:rsid w:val="009F4180"/>
    <w:rsid w:val="009F4471"/>
    <w:rsid w:val="009F549E"/>
    <w:rsid w:val="009F5C1B"/>
    <w:rsid w:val="009F60A3"/>
    <w:rsid w:val="009F66E5"/>
    <w:rsid w:val="009F695E"/>
    <w:rsid w:val="009F6C6B"/>
    <w:rsid w:val="009F6E95"/>
    <w:rsid w:val="009F77A9"/>
    <w:rsid w:val="009F7B36"/>
    <w:rsid w:val="009F7BCC"/>
    <w:rsid w:val="009F7BEC"/>
    <w:rsid w:val="009F7DEE"/>
    <w:rsid w:val="00A001C1"/>
    <w:rsid w:val="00A00AC0"/>
    <w:rsid w:val="00A01670"/>
    <w:rsid w:val="00A01934"/>
    <w:rsid w:val="00A01B8D"/>
    <w:rsid w:val="00A023C8"/>
    <w:rsid w:val="00A0260F"/>
    <w:rsid w:val="00A026A0"/>
    <w:rsid w:val="00A027E7"/>
    <w:rsid w:val="00A02BFA"/>
    <w:rsid w:val="00A02F1D"/>
    <w:rsid w:val="00A032E5"/>
    <w:rsid w:val="00A033EE"/>
    <w:rsid w:val="00A037DE"/>
    <w:rsid w:val="00A04E51"/>
    <w:rsid w:val="00A057A9"/>
    <w:rsid w:val="00A05F1C"/>
    <w:rsid w:val="00A06273"/>
    <w:rsid w:val="00A062D2"/>
    <w:rsid w:val="00A06338"/>
    <w:rsid w:val="00A06648"/>
    <w:rsid w:val="00A06B65"/>
    <w:rsid w:val="00A06C6F"/>
    <w:rsid w:val="00A078A6"/>
    <w:rsid w:val="00A07AE3"/>
    <w:rsid w:val="00A11381"/>
    <w:rsid w:val="00A115F1"/>
    <w:rsid w:val="00A11945"/>
    <w:rsid w:val="00A11C66"/>
    <w:rsid w:val="00A12333"/>
    <w:rsid w:val="00A126AA"/>
    <w:rsid w:val="00A130AB"/>
    <w:rsid w:val="00A132E4"/>
    <w:rsid w:val="00A1356C"/>
    <w:rsid w:val="00A137E6"/>
    <w:rsid w:val="00A13B42"/>
    <w:rsid w:val="00A13D18"/>
    <w:rsid w:val="00A14F07"/>
    <w:rsid w:val="00A16153"/>
    <w:rsid w:val="00A16ECE"/>
    <w:rsid w:val="00A20353"/>
    <w:rsid w:val="00A20362"/>
    <w:rsid w:val="00A206AF"/>
    <w:rsid w:val="00A20C4B"/>
    <w:rsid w:val="00A20DC9"/>
    <w:rsid w:val="00A20EB0"/>
    <w:rsid w:val="00A2154E"/>
    <w:rsid w:val="00A21A6E"/>
    <w:rsid w:val="00A22592"/>
    <w:rsid w:val="00A22600"/>
    <w:rsid w:val="00A228EC"/>
    <w:rsid w:val="00A22BFC"/>
    <w:rsid w:val="00A22C7C"/>
    <w:rsid w:val="00A230A9"/>
    <w:rsid w:val="00A23807"/>
    <w:rsid w:val="00A247DE"/>
    <w:rsid w:val="00A24F9E"/>
    <w:rsid w:val="00A25D72"/>
    <w:rsid w:val="00A26437"/>
    <w:rsid w:val="00A26725"/>
    <w:rsid w:val="00A26957"/>
    <w:rsid w:val="00A26A1A"/>
    <w:rsid w:val="00A272E8"/>
    <w:rsid w:val="00A3007C"/>
    <w:rsid w:val="00A31C29"/>
    <w:rsid w:val="00A32244"/>
    <w:rsid w:val="00A322CA"/>
    <w:rsid w:val="00A33ED1"/>
    <w:rsid w:val="00A349C2"/>
    <w:rsid w:val="00A34C20"/>
    <w:rsid w:val="00A35724"/>
    <w:rsid w:val="00A359FA"/>
    <w:rsid w:val="00A3635D"/>
    <w:rsid w:val="00A36498"/>
    <w:rsid w:val="00A36C3A"/>
    <w:rsid w:val="00A378C3"/>
    <w:rsid w:val="00A3790C"/>
    <w:rsid w:val="00A379C5"/>
    <w:rsid w:val="00A37E25"/>
    <w:rsid w:val="00A40783"/>
    <w:rsid w:val="00A4080E"/>
    <w:rsid w:val="00A408F0"/>
    <w:rsid w:val="00A40983"/>
    <w:rsid w:val="00A4152C"/>
    <w:rsid w:val="00A41A32"/>
    <w:rsid w:val="00A4217C"/>
    <w:rsid w:val="00A42C28"/>
    <w:rsid w:val="00A436F7"/>
    <w:rsid w:val="00A444E3"/>
    <w:rsid w:val="00A4475B"/>
    <w:rsid w:val="00A44D50"/>
    <w:rsid w:val="00A4518E"/>
    <w:rsid w:val="00A451CD"/>
    <w:rsid w:val="00A457AD"/>
    <w:rsid w:val="00A4614E"/>
    <w:rsid w:val="00A464DB"/>
    <w:rsid w:val="00A4664C"/>
    <w:rsid w:val="00A4666C"/>
    <w:rsid w:val="00A47BC5"/>
    <w:rsid w:val="00A47D5C"/>
    <w:rsid w:val="00A47FD9"/>
    <w:rsid w:val="00A5015D"/>
    <w:rsid w:val="00A507B4"/>
    <w:rsid w:val="00A5101F"/>
    <w:rsid w:val="00A51174"/>
    <w:rsid w:val="00A51207"/>
    <w:rsid w:val="00A5144F"/>
    <w:rsid w:val="00A52390"/>
    <w:rsid w:val="00A5252F"/>
    <w:rsid w:val="00A532E4"/>
    <w:rsid w:val="00A53C5A"/>
    <w:rsid w:val="00A54EE1"/>
    <w:rsid w:val="00A55248"/>
    <w:rsid w:val="00A55296"/>
    <w:rsid w:val="00A569DC"/>
    <w:rsid w:val="00A60CF2"/>
    <w:rsid w:val="00A61677"/>
    <w:rsid w:val="00A61AF6"/>
    <w:rsid w:val="00A62D05"/>
    <w:rsid w:val="00A636C0"/>
    <w:rsid w:val="00A63977"/>
    <w:rsid w:val="00A63CFC"/>
    <w:rsid w:val="00A6423E"/>
    <w:rsid w:val="00A64433"/>
    <w:rsid w:val="00A645EB"/>
    <w:rsid w:val="00A64D7B"/>
    <w:rsid w:val="00A655F4"/>
    <w:rsid w:val="00A65B39"/>
    <w:rsid w:val="00A661D2"/>
    <w:rsid w:val="00A66AC2"/>
    <w:rsid w:val="00A6700D"/>
    <w:rsid w:val="00A701F0"/>
    <w:rsid w:val="00A70337"/>
    <w:rsid w:val="00A70389"/>
    <w:rsid w:val="00A70FD8"/>
    <w:rsid w:val="00A71135"/>
    <w:rsid w:val="00A7140F"/>
    <w:rsid w:val="00A71808"/>
    <w:rsid w:val="00A71840"/>
    <w:rsid w:val="00A72625"/>
    <w:rsid w:val="00A7279E"/>
    <w:rsid w:val="00A73F2F"/>
    <w:rsid w:val="00A7445E"/>
    <w:rsid w:val="00A745A4"/>
    <w:rsid w:val="00A74CD9"/>
    <w:rsid w:val="00A752C3"/>
    <w:rsid w:val="00A753E8"/>
    <w:rsid w:val="00A754FB"/>
    <w:rsid w:val="00A76928"/>
    <w:rsid w:val="00A77553"/>
    <w:rsid w:val="00A7782D"/>
    <w:rsid w:val="00A77A8B"/>
    <w:rsid w:val="00A77BC0"/>
    <w:rsid w:val="00A77F87"/>
    <w:rsid w:val="00A8070E"/>
    <w:rsid w:val="00A80B9E"/>
    <w:rsid w:val="00A80E89"/>
    <w:rsid w:val="00A81AC4"/>
    <w:rsid w:val="00A825DB"/>
    <w:rsid w:val="00A83D8F"/>
    <w:rsid w:val="00A841D8"/>
    <w:rsid w:val="00A84DAC"/>
    <w:rsid w:val="00A85D54"/>
    <w:rsid w:val="00A86C5F"/>
    <w:rsid w:val="00A86E31"/>
    <w:rsid w:val="00A87312"/>
    <w:rsid w:val="00A90319"/>
    <w:rsid w:val="00A90FB5"/>
    <w:rsid w:val="00A912F7"/>
    <w:rsid w:val="00A91374"/>
    <w:rsid w:val="00A91577"/>
    <w:rsid w:val="00A91605"/>
    <w:rsid w:val="00A92EFD"/>
    <w:rsid w:val="00A93F2C"/>
    <w:rsid w:val="00A94044"/>
    <w:rsid w:val="00A9414A"/>
    <w:rsid w:val="00A95715"/>
    <w:rsid w:val="00A95B06"/>
    <w:rsid w:val="00A970A4"/>
    <w:rsid w:val="00A9742B"/>
    <w:rsid w:val="00A9750E"/>
    <w:rsid w:val="00A97CCA"/>
    <w:rsid w:val="00A97DA8"/>
    <w:rsid w:val="00AA0A06"/>
    <w:rsid w:val="00AA0F3D"/>
    <w:rsid w:val="00AA14AA"/>
    <w:rsid w:val="00AA32CC"/>
    <w:rsid w:val="00AA3673"/>
    <w:rsid w:val="00AA37B6"/>
    <w:rsid w:val="00AA3BB6"/>
    <w:rsid w:val="00AA3DE9"/>
    <w:rsid w:val="00AA59CC"/>
    <w:rsid w:val="00AA6151"/>
    <w:rsid w:val="00AA637B"/>
    <w:rsid w:val="00AA66D9"/>
    <w:rsid w:val="00AA738E"/>
    <w:rsid w:val="00AA7D62"/>
    <w:rsid w:val="00AA7F72"/>
    <w:rsid w:val="00AB1D40"/>
    <w:rsid w:val="00AB1F20"/>
    <w:rsid w:val="00AB2438"/>
    <w:rsid w:val="00AB2866"/>
    <w:rsid w:val="00AB3031"/>
    <w:rsid w:val="00AB30E5"/>
    <w:rsid w:val="00AB3B4E"/>
    <w:rsid w:val="00AB3C4E"/>
    <w:rsid w:val="00AB46DA"/>
    <w:rsid w:val="00AB4710"/>
    <w:rsid w:val="00AB5258"/>
    <w:rsid w:val="00AB5807"/>
    <w:rsid w:val="00AB592F"/>
    <w:rsid w:val="00AB717F"/>
    <w:rsid w:val="00AB73E4"/>
    <w:rsid w:val="00AB74C0"/>
    <w:rsid w:val="00AB7E2D"/>
    <w:rsid w:val="00AC0BBC"/>
    <w:rsid w:val="00AC0D3C"/>
    <w:rsid w:val="00AC2D36"/>
    <w:rsid w:val="00AC34DC"/>
    <w:rsid w:val="00AC41F8"/>
    <w:rsid w:val="00AC4D08"/>
    <w:rsid w:val="00AC4D60"/>
    <w:rsid w:val="00AC509E"/>
    <w:rsid w:val="00AC5313"/>
    <w:rsid w:val="00AC569E"/>
    <w:rsid w:val="00AC580F"/>
    <w:rsid w:val="00AC5935"/>
    <w:rsid w:val="00AC5A53"/>
    <w:rsid w:val="00AC68EB"/>
    <w:rsid w:val="00AC6F3D"/>
    <w:rsid w:val="00AC73BB"/>
    <w:rsid w:val="00AD002E"/>
    <w:rsid w:val="00AD003C"/>
    <w:rsid w:val="00AD060D"/>
    <w:rsid w:val="00AD0E8A"/>
    <w:rsid w:val="00AD1071"/>
    <w:rsid w:val="00AD16ED"/>
    <w:rsid w:val="00AD2046"/>
    <w:rsid w:val="00AD21DA"/>
    <w:rsid w:val="00AD22DC"/>
    <w:rsid w:val="00AD2508"/>
    <w:rsid w:val="00AD27D6"/>
    <w:rsid w:val="00AD3100"/>
    <w:rsid w:val="00AD401D"/>
    <w:rsid w:val="00AD42CC"/>
    <w:rsid w:val="00AD438F"/>
    <w:rsid w:val="00AD51A7"/>
    <w:rsid w:val="00AD5DFA"/>
    <w:rsid w:val="00AD63CF"/>
    <w:rsid w:val="00AD6F2C"/>
    <w:rsid w:val="00AD785D"/>
    <w:rsid w:val="00AD7994"/>
    <w:rsid w:val="00AD7A78"/>
    <w:rsid w:val="00AD7CA7"/>
    <w:rsid w:val="00AE00C7"/>
    <w:rsid w:val="00AE0B05"/>
    <w:rsid w:val="00AE1080"/>
    <w:rsid w:val="00AE131F"/>
    <w:rsid w:val="00AE1A01"/>
    <w:rsid w:val="00AE2569"/>
    <w:rsid w:val="00AE2EDD"/>
    <w:rsid w:val="00AE39D5"/>
    <w:rsid w:val="00AE444E"/>
    <w:rsid w:val="00AE4E9B"/>
    <w:rsid w:val="00AE5119"/>
    <w:rsid w:val="00AE53AE"/>
    <w:rsid w:val="00AE5C14"/>
    <w:rsid w:val="00AE64D3"/>
    <w:rsid w:val="00AE6690"/>
    <w:rsid w:val="00AE765F"/>
    <w:rsid w:val="00AE7781"/>
    <w:rsid w:val="00AE7785"/>
    <w:rsid w:val="00AF01BD"/>
    <w:rsid w:val="00AF0717"/>
    <w:rsid w:val="00AF07C7"/>
    <w:rsid w:val="00AF0909"/>
    <w:rsid w:val="00AF0DA4"/>
    <w:rsid w:val="00AF2E0E"/>
    <w:rsid w:val="00AF39E5"/>
    <w:rsid w:val="00AF405A"/>
    <w:rsid w:val="00AF40D4"/>
    <w:rsid w:val="00AF4414"/>
    <w:rsid w:val="00AF50AC"/>
    <w:rsid w:val="00AF533A"/>
    <w:rsid w:val="00AF53DA"/>
    <w:rsid w:val="00AF579E"/>
    <w:rsid w:val="00AF5BE4"/>
    <w:rsid w:val="00AF5C53"/>
    <w:rsid w:val="00AF6E44"/>
    <w:rsid w:val="00AF70E6"/>
    <w:rsid w:val="00AF73E7"/>
    <w:rsid w:val="00AF7D91"/>
    <w:rsid w:val="00B005B5"/>
    <w:rsid w:val="00B00635"/>
    <w:rsid w:val="00B00AE6"/>
    <w:rsid w:val="00B01154"/>
    <w:rsid w:val="00B01499"/>
    <w:rsid w:val="00B0224D"/>
    <w:rsid w:val="00B023F4"/>
    <w:rsid w:val="00B03AB8"/>
    <w:rsid w:val="00B03EE5"/>
    <w:rsid w:val="00B04B01"/>
    <w:rsid w:val="00B04DBA"/>
    <w:rsid w:val="00B05CFC"/>
    <w:rsid w:val="00B05D55"/>
    <w:rsid w:val="00B05DC4"/>
    <w:rsid w:val="00B0607E"/>
    <w:rsid w:val="00B06238"/>
    <w:rsid w:val="00B0625E"/>
    <w:rsid w:val="00B06CD7"/>
    <w:rsid w:val="00B1013D"/>
    <w:rsid w:val="00B10A90"/>
    <w:rsid w:val="00B10B1F"/>
    <w:rsid w:val="00B10DC3"/>
    <w:rsid w:val="00B10E98"/>
    <w:rsid w:val="00B11337"/>
    <w:rsid w:val="00B11622"/>
    <w:rsid w:val="00B11EBD"/>
    <w:rsid w:val="00B11F34"/>
    <w:rsid w:val="00B133DE"/>
    <w:rsid w:val="00B1420D"/>
    <w:rsid w:val="00B146B7"/>
    <w:rsid w:val="00B157D0"/>
    <w:rsid w:val="00B15ADF"/>
    <w:rsid w:val="00B15B44"/>
    <w:rsid w:val="00B15EED"/>
    <w:rsid w:val="00B160CE"/>
    <w:rsid w:val="00B16643"/>
    <w:rsid w:val="00B16796"/>
    <w:rsid w:val="00B169A0"/>
    <w:rsid w:val="00B16A5B"/>
    <w:rsid w:val="00B16D79"/>
    <w:rsid w:val="00B17293"/>
    <w:rsid w:val="00B1754A"/>
    <w:rsid w:val="00B20124"/>
    <w:rsid w:val="00B217FA"/>
    <w:rsid w:val="00B22895"/>
    <w:rsid w:val="00B22B84"/>
    <w:rsid w:val="00B2313B"/>
    <w:rsid w:val="00B232FF"/>
    <w:rsid w:val="00B23736"/>
    <w:rsid w:val="00B23764"/>
    <w:rsid w:val="00B23853"/>
    <w:rsid w:val="00B2425F"/>
    <w:rsid w:val="00B24606"/>
    <w:rsid w:val="00B2468B"/>
    <w:rsid w:val="00B2492A"/>
    <w:rsid w:val="00B24977"/>
    <w:rsid w:val="00B252F1"/>
    <w:rsid w:val="00B2549C"/>
    <w:rsid w:val="00B2604A"/>
    <w:rsid w:val="00B26B78"/>
    <w:rsid w:val="00B26F96"/>
    <w:rsid w:val="00B270D5"/>
    <w:rsid w:val="00B2741F"/>
    <w:rsid w:val="00B30613"/>
    <w:rsid w:val="00B30773"/>
    <w:rsid w:val="00B308DB"/>
    <w:rsid w:val="00B30BAA"/>
    <w:rsid w:val="00B31D09"/>
    <w:rsid w:val="00B31D6D"/>
    <w:rsid w:val="00B32264"/>
    <w:rsid w:val="00B33309"/>
    <w:rsid w:val="00B3364F"/>
    <w:rsid w:val="00B338E5"/>
    <w:rsid w:val="00B33A63"/>
    <w:rsid w:val="00B35713"/>
    <w:rsid w:val="00B36233"/>
    <w:rsid w:val="00B36360"/>
    <w:rsid w:val="00B36595"/>
    <w:rsid w:val="00B36BC8"/>
    <w:rsid w:val="00B36DF5"/>
    <w:rsid w:val="00B37D83"/>
    <w:rsid w:val="00B40036"/>
    <w:rsid w:val="00B400E0"/>
    <w:rsid w:val="00B404D9"/>
    <w:rsid w:val="00B406D2"/>
    <w:rsid w:val="00B40C37"/>
    <w:rsid w:val="00B412AF"/>
    <w:rsid w:val="00B416E6"/>
    <w:rsid w:val="00B41D78"/>
    <w:rsid w:val="00B436CB"/>
    <w:rsid w:val="00B43B3C"/>
    <w:rsid w:val="00B43D62"/>
    <w:rsid w:val="00B43DE7"/>
    <w:rsid w:val="00B44462"/>
    <w:rsid w:val="00B445E7"/>
    <w:rsid w:val="00B4462C"/>
    <w:rsid w:val="00B44D40"/>
    <w:rsid w:val="00B4551E"/>
    <w:rsid w:val="00B45DB5"/>
    <w:rsid w:val="00B465B9"/>
    <w:rsid w:val="00B468CA"/>
    <w:rsid w:val="00B47171"/>
    <w:rsid w:val="00B479D8"/>
    <w:rsid w:val="00B50835"/>
    <w:rsid w:val="00B52A97"/>
    <w:rsid w:val="00B52EB9"/>
    <w:rsid w:val="00B52F29"/>
    <w:rsid w:val="00B5300D"/>
    <w:rsid w:val="00B53B7F"/>
    <w:rsid w:val="00B5426F"/>
    <w:rsid w:val="00B554F4"/>
    <w:rsid w:val="00B56332"/>
    <w:rsid w:val="00B56794"/>
    <w:rsid w:val="00B5749C"/>
    <w:rsid w:val="00B57E8C"/>
    <w:rsid w:val="00B60285"/>
    <w:rsid w:val="00B6058C"/>
    <w:rsid w:val="00B60933"/>
    <w:rsid w:val="00B61121"/>
    <w:rsid w:val="00B61BA9"/>
    <w:rsid w:val="00B6282C"/>
    <w:rsid w:val="00B6283B"/>
    <w:rsid w:val="00B62C94"/>
    <w:rsid w:val="00B62FA8"/>
    <w:rsid w:val="00B63117"/>
    <w:rsid w:val="00B6323F"/>
    <w:rsid w:val="00B63282"/>
    <w:rsid w:val="00B63410"/>
    <w:rsid w:val="00B63E06"/>
    <w:rsid w:val="00B655A4"/>
    <w:rsid w:val="00B65605"/>
    <w:rsid w:val="00B65CBE"/>
    <w:rsid w:val="00B662C4"/>
    <w:rsid w:val="00B666EE"/>
    <w:rsid w:val="00B67E9D"/>
    <w:rsid w:val="00B707BC"/>
    <w:rsid w:val="00B71483"/>
    <w:rsid w:val="00B71771"/>
    <w:rsid w:val="00B72406"/>
    <w:rsid w:val="00B7297F"/>
    <w:rsid w:val="00B7359E"/>
    <w:rsid w:val="00B73ADD"/>
    <w:rsid w:val="00B74311"/>
    <w:rsid w:val="00B74592"/>
    <w:rsid w:val="00B7512D"/>
    <w:rsid w:val="00B75612"/>
    <w:rsid w:val="00B76295"/>
    <w:rsid w:val="00B764B3"/>
    <w:rsid w:val="00B76790"/>
    <w:rsid w:val="00B7694F"/>
    <w:rsid w:val="00B775A3"/>
    <w:rsid w:val="00B80305"/>
    <w:rsid w:val="00B8082D"/>
    <w:rsid w:val="00B81100"/>
    <w:rsid w:val="00B81367"/>
    <w:rsid w:val="00B81903"/>
    <w:rsid w:val="00B8190B"/>
    <w:rsid w:val="00B821A6"/>
    <w:rsid w:val="00B8235F"/>
    <w:rsid w:val="00B82BC1"/>
    <w:rsid w:val="00B834DD"/>
    <w:rsid w:val="00B83B62"/>
    <w:rsid w:val="00B8408F"/>
    <w:rsid w:val="00B84B5C"/>
    <w:rsid w:val="00B84D63"/>
    <w:rsid w:val="00B85763"/>
    <w:rsid w:val="00B8598D"/>
    <w:rsid w:val="00B861B3"/>
    <w:rsid w:val="00B86574"/>
    <w:rsid w:val="00B86F54"/>
    <w:rsid w:val="00B87368"/>
    <w:rsid w:val="00B87926"/>
    <w:rsid w:val="00B90B02"/>
    <w:rsid w:val="00B9159A"/>
    <w:rsid w:val="00B91B5A"/>
    <w:rsid w:val="00B92160"/>
    <w:rsid w:val="00B92527"/>
    <w:rsid w:val="00B92560"/>
    <w:rsid w:val="00B92661"/>
    <w:rsid w:val="00B92BF7"/>
    <w:rsid w:val="00B92C15"/>
    <w:rsid w:val="00B938DD"/>
    <w:rsid w:val="00B9393F"/>
    <w:rsid w:val="00B93A6E"/>
    <w:rsid w:val="00B93BAF"/>
    <w:rsid w:val="00B93BEC"/>
    <w:rsid w:val="00B93ED3"/>
    <w:rsid w:val="00B93F03"/>
    <w:rsid w:val="00B94146"/>
    <w:rsid w:val="00B96CB2"/>
    <w:rsid w:val="00B96D87"/>
    <w:rsid w:val="00B96F1E"/>
    <w:rsid w:val="00B976B6"/>
    <w:rsid w:val="00B97CED"/>
    <w:rsid w:val="00B97D9E"/>
    <w:rsid w:val="00BA08E2"/>
    <w:rsid w:val="00BA0EEF"/>
    <w:rsid w:val="00BA1228"/>
    <w:rsid w:val="00BA139E"/>
    <w:rsid w:val="00BA161E"/>
    <w:rsid w:val="00BA1AFB"/>
    <w:rsid w:val="00BA1B66"/>
    <w:rsid w:val="00BA1E93"/>
    <w:rsid w:val="00BA1F36"/>
    <w:rsid w:val="00BA2577"/>
    <w:rsid w:val="00BA2BF8"/>
    <w:rsid w:val="00BA2EEF"/>
    <w:rsid w:val="00BA386A"/>
    <w:rsid w:val="00BA3D2B"/>
    <w:rsid w:val="00BA3F51"/>
    <w:rsid w:val="00BA425F"/>
    <w:rsid w:val="00BA44DC"/>
    <w:rsid w:val="00BA46AE"/>
    <w:rsid w:val="00BA4A38"/>
    <w:rsid w:val="00BA590C"/>
    <w:rsid w:val="00BA62CD"/>
    <w:rsid w:val="00BA63FD"/>
    <w:rsid w:val="00BA6776"/>
    <w:rsid w:val="00BA7590"/>
    <w:rsid w:val="00BA75C9"/>
    <w:rsid w:val="00BA78EE"/>
    <w:rsid w:val="00BB0193"/>
    <w:rsid w:val="00BB02AA"/>
    <w:rsid w:val="00BB0AEC"/>
    <w:rsid w:val="00BB1030"/>
    <w:rsid w:val="00BB1AC0"/>
    <w:rsid w:val="00BB29CD"/>
    <w:rsid w:val="00BB2E39"/>
    <w:rsid w:val="00BB326C"/>
    <w:rsid w:val="00BB3459"/>
    <w:rsid w:val="00BB3724"/>
    <w:rsid w:val="00BB3AE1"/>
    <w:rsid w:val="00BB530F"/>
    <w:rsid w:val="00BB58F6"/>
    <w:rsid w:val="00BB6498"/>
    <w:rsid w:val="00BB6F8A"/>
    <w:rsid w:val="00BB7BDE"/>
    <w:rsid w:val="00BC03D0"/>
    <w:rsid w:val="00BC07D2"/>
    <w:rsid w:val="00BC0C8F"/>
    <w:rsid w:val="00BC0E29"/>
    <w:rsid w:val="00BC12D2"/>
    <w:rsid w:val="00BC1A3E"/>
    <w:rsid w:val="00BC27D8"/>
    <w:rsid w:val="00BC2891"/>
    <w:rsid w:val="00BC2F0C"/>
    <w:rsid w:val="00BC363F"/>
    <w:rsid w:val="00BC3D86"/>
    <w:rsid w:val="00BC40C7"/>
    <w:rsid w:val="00BC4DA0"/>
    <w:rsid w:val="00BC4E48"/>
    <w:rsid w:val="00BC4F8F"/>
    <w:rsid w:val="00BC566E"/>
    <w:rsid w:val="00BC5BD2"/>
    <w:rsid w:val="00BC5D42"/>
    <w:rsid w:val="00BC67CD"/>
    <w:rsid w:val="00BC7579"/>
    <w:rsid w:val="00BC7A98"/>
    <w:rsid w:val="00BD0523"/>
    <w:rsid w:val="00BD06D6"/>
    <w:rsid w:val="00BD0F6E"/>
    <w:rsid w:val="00BD1D58"/>
    <w:rsid w:val="00BD2413"/>
    <w:rsid w:val="00BD275E"/>
    <w:rsid w:val="00BD404D"/>
    <w:rsid w:val="00BD488E"/>
    <w:rsid w:val="00BD4A70"/>
    <w:rsid w:val="00BD52E0"/>
    <w:rsid w:val="00BD5939"/>
    <w:rsid w:val="00BD5DAA"/>
    <w:rsid w:val="00BD6501"/>
    <w:rsid w:val="00BD658A"/>
    <w:rsid w:val="00BD70E0"/>
    <w:rsid w:val="00BD7506"/>
    <w:rsid w:val="00BD7846"/>
    <w:rsid w:val="00BE0190"/>
    <w:rsid w:val="00BE0F68"/>
    <w:rsid w:val="00BE1A42"/>
    <w:rsid w:val="00BE1D45"/>
    <w:rsid w:val="00BE21D7"/>
    <w:rsid w:val="00BE22F3"/>
    <w:rsid w:val="00BE246D"/>
    <w:rsid w:val="00BE26A6"/>
    <w:rsid w:val="00BE27E5"/>
    <w:rsid w:val="00BE3660"/>
    <w:rsid w:val="00BE3D20"/>
    <w:rsid w:val="00BE4268"/>
    <w:rsid w:val="00BE4A0C"/>
    <w:rsid w:val="00BE4A33"/>
    <w:rsid w:val="00BE4D27"/>
    <w:rsid w:val="00BE5BBE"/>
    <w:rsid w:val="00BE6582"/>
    <w:rsid w:val="00BE68C5"/>
    <w:rsid w:val="00BE75FD"/>
    <w:rsid w:val="00BE7605"/>
    <w:rsid w:val="00BF0AF7"/>
    <w:rsid w:val="00BF138E"/>
    <w:rsid w:val="00BF1F80"/>
    <w:rsid w:val="00BF204A"/>
    <w:rsid w:val="00BF21C6"/>
    <w:rsid w:val="00BF226C"/>
    <w:rsid w:val="00BF2AC7"/>
    <w:rsid w:val="00BF3E64"/>
    <w:rsid w:val="00BF3EE3"/>
    <w:rsid w:val="00BF4720"/>
    <w:rsid w:val="00BF4837"/>
    <w:rsid w:val="00BF4A93"/>
    <w:rsid w:val="00BF4C36"/>
    <w:rsid w:val="00BF5976"/>
    <w:rsid w:val="00BF6B49"/>
    <w:rsid w:val="00BF7387"/>
    <w:rsid w:val="00BF7665"/>
    <w:rsid w:val="00BF77DF"/>
    <w:rsid w:val="00BF7906"/>
    <w:rsid w:val="00BF7FE2"/>
    <w:rsid w:val="00C001FB"/>
    <w:rsid w:val="00C005FD"/>
    <w:rsid w:val="00C0129F"/>
    <w:rsid w:val="00C0153C"/>
    <w:rsid w:val="00C01B43"/>
    <w:rsid w:val="00C02101"/>
    <w:rsid w:val="00C023E7"/>
    <w:rsid w:val="00C02A6A"/>
    <w:rsid w:val="00C03BB3"/>
    <w:rsid w:val="00C040A1"/>
    <w:rsid w:val="00C043CA"/>
    <w:rsid w:val="00C04497"/>
    <w:rsid w:val="00C05660"/>
    <w:rsid w:val="00C05A99"/>
    <w:rsid w:val="00C06276"/>
    <w:rsid w:val="00C0643D"/>
    <w:rsid w:val="00C06B79"/>
    <w:rsid w:val="00C114ED"/>
    <w:rsid w:val="00C11791"/>
    <w:rsid w:val="00C11C70"/>
    <w:rsid w:val="00C12105"/>
    <w:rsid w:val="00C12195"/>
    <w:rsid w:val="00C121AA"/>
    <w:rsid w:val="00C124DD"/>
    <w:rsid w:val="00C1381E"/>
    <w:rsid w:val="00C1418C"/>
    <w:rsid w:val="00C14289"/>
    <w:rsid w:val="00C14382"/>
    <w:rsid w:val="00C14E79"/>
    <w:rsid w:val="00C14F39"/>
    <w:rsid w:val="00C1508C"/>
    <w:rsid w:val="00C151A7"/>
    <w:rsid w:val="00C1570C"/>
    <w:rsid w:val="00C15FA9"/>
    <w:rsid w:val="00C162E8"/>
    <w:rsid w:val="00C16985"/>
    <w:rsid w:val="00C16A06"/>
    <w:rsid w:val="00C16A73"/>
    <w:rsid w:val="00C17704"/>
    <w:rsid w:val="00C1776E"/>
    <w:rsid w:val="00C200CA"/>
    <w:rsid w:val="00C2038C"/>
    <w:rsid w:val="00C20466"/>
    <w:rsid w:val="00C211E7"/>
    <w:rsid w:val="00C21229"/>
    <w:rsid w:val="00C2127A"/>
    <w:rsid w:val="00C21550"/>
    <w:rsid w:val="00C223D1"/>
    <w:rsid w:val="00C22967"/>
    <w:rsid w:val="00C2320F"/>
    <w:rsid w:val="00C235B2"/>
    <w:rsid w:val="00C23832"/>
    <w:rsid w:val="00C23E72"/>
    <w:rsid w:val="00C23FCA"/>
    <w:rsid w:val="00C24639"/>
    <w:rsid w:val="00C24EEB"/>
    <w:rsid w:val="00C2523C"/>
    <w:rsid w:val="00C2538E"/>
    <w:rsid w:val="00C2578F"/>
    <w:rsid w:val="00C2697C"/>
    <w:rsid w:val="00C26A1D"/>
    <w:rsid w:val="00C275B5"/>
    <w:rsid w:val="00C27911"/>
    <w:rsid w:val="00C27CAD"/>
    <w:rsid w:val="00C302F2"/>
    <w:rsid w:val="00C30C15"/>
    <w:rsid w:val="00C30EDE"/>
    <w:rsid w:val="00C3180B"/>
    <w:rsid w:val="00C319D0"/>
    <w:rsid w:val="00C325AF"/>
    <w:rsid w:val="00C32C5E"/>
    <w:rsid w:val="00C32FD8"/>
    <w:rsid w:val="00C330A9"/>
    <w:rsid w:val="00C33196"/>
    <w:rsid w:val="00C331F0"/>
    <w:rsid w:val="00C336DD"/>
    <w:rsid w:val="00C3472D"/>
    <w:rsid w:val="00C34CC8"/>
    <w:rsid w:val="00C34D31"/>
    <w:rsid w:val="00C34DAC"/>
    <w:rsid w:val="00C35259"/>
    <w:rsid w:val="00C35702"/>
    <w:rsid w:val="00C35D05"/>
    <w:rsid w:val="00C3635B"/>
    <w:rsid w:val="00C365F1"/>
    <w:rsid w:val="00C37517"/>
    <w:rsid w:val="00C37682"/>
    <w:rsid w:val="00C3794D"/>
    <w:rsid w:val="00C37B27"/>
    <w:rsid w:val="00C40580"/>
    <w:rsid w:val="00C40F9D"/>
    <w:rsid w:val="00C41178"/>
    <w:rsid w:val="00C41C17"/>
    <w:rsid w:val="00C41CA9"/>
    <w:rsid w:val="00C41DFC"/>
    <w:rsid w:val="00C42A66"/>
    <w:rsid w:val="00C42E35"/>
    <w:rsid w:val="00C431FB"/>
    <w:rsid w:val="00C432BF"/>
    <w:rsid w:val="00C43BD9"/>
    <w:rsid w:val="00C45420"/>
    <w:rsid w:val="00C456E1"/>
    <w:rsid w:val="00C4598D"/>
    <w:rsid w:val="00C45ACA"/>
    <w:rsid w:val="00C45E0A"/>
    <w:rsid w:val="00C463FF"/>
    <w:rsid w:val="00C46528"/>
    <w:rsid w:val="00C46A2C"/>
    <w:rsid w:val="00C46A63"/>
    <w:rsid w:val="00C4725A"/>
    <w:rsid w:val="00C475E6"/>
    <w:rsid w:val="00C47EF2"/>
    <w:rsid w:val="00C50526"/>
    <w:rsid w:val="00C50ADB"/>
    <w:rsid w:val="00C50DCF"/>
    <w:rsid w:val="00C514F8"/>
    <w:rsid w:val="00C52A56"/>
    <w:rsid w:val="00C5361B"/>
    <w:rsid w:val="00C53E5C"/>
    <w:rsid w:val="00C546F4"/>
    <w:rsid w:val="00C54948"/>
    <w:rsid w:val="00C54A14"/>
    <w:rsid w:val="00C55A31"/>
    <w:rsid w:val="00C5600C"/>
    <w:rsid w:val="00C560D2"/>
    <w:rsid w:val="00C561B5"/>
    <w:rsid w:val="00C56892"/>
    <w:rsid w:val="00C5775C"/>
    <w:rsid w:val="00C57CCC"/>
    <w:rsid w:val="00C60394"/>
    <w:rsid w:val="00C60BF8"/>
    <w:rsid w:val="00C60BFE"/>
    <w:rsid w:val="00C60D40"/>
    <w:rsid w:val="00C612C8"/>
    <w:rsid w:val="00C61480"/>
    <w:rsid w:val="00C617B3"/>
    <w:rsid w:val="00C6199A"/>
    <w:rsid w:val="00C623E6"/>
    <w:rsid w:val="00C62C3F"/>
    <w:rsid w:val="00C63510"/>
    <w:rsid w:val="00C639DA"/>
    <w:rsid w:val="00C63AAF"/>
    <w:rsid w:val="00C64A39"/>
    <w:rsid w:val="00C65097"/>
    <w:rsid w:val="00C65822"/>
    <w:rsid w:val="00C65B35"/>
    <w:rsid w:val="00C65FB2"/>
    <w:rsid w:val="00C6602E"/>
    <w:rsid w:val="00C66801"/>
    <w:rsid w:val="00C668C5"/>
    <w:rsid w:val="00C705A7"/>
    <w:rsid w:val="00C712E3"/>
    <w:rsid w:val="00C71973"/>
    <w:rsid w:val="00C72189"/>
    <w:rsid w:val="00C7280A"/>
    <w:rsid w:val="00C72828"/>
    <w:rsid w:val="00C7311F"/>
    <w:rsid w:val="00C731D4"/>
    <w:rsid w:val="00C73DD6"/>
    <w:rsid w:val="00C73E32"/>
    <w:rsid w:val="00C75039"/>
    <w:rsid w:val="00C767B7"/>
    <w:rsid w:val="00C76B92"/>
    <w:rsid w:val="00C76CA1"/>
    <w:rsid w:val="00C76EF5"/>
    <w:rsid w:val="00C77176"/>
    <w:rsid w:val="00C77462"/>
    <w:rsid w:val="00C80625"/>
    <w:rsid w:val="00C8098A"/>
    <w:rsid w:val="00C8114D"/>
    <w:rsid w:val="00C8130C"/>
    <w:rsid w:val="00C815C4"/>
    <w:rsid w:val="00C81B35"/>
    <w:rsid w:val="00C81ED5"/>
    <w:rsid w:val="00C824F5"/>
    <w:rsid w:val="00C82778"/>
    <w:rsid w:val="00C833CE"/>
    <w:rsid w:val="00C83AD7"/>
    <w:rsid w:val="00C866B4"/>
    <w:rsid w:val="00C877D1"/>
    <w:rsid w:val="00C87846"/>
    <w:rsid w:val="00C87860"/>
    <w:rsid w:val="00C87B63"/>
    <w:rsid w:val="00C87BE8"/>
    <w:rsid w:val="00C90510"/>
    <w:rsid w:val="00C91822"/>
    <w:rsid w:val="00C91968"/>
    <w:rsid w:val="00C91A6A"/>
    <w:rsid w:val="00C932AE"/>
    <w:rsid w:val="00C93734"/>
    <w:rsid w:val="00C939EC"/>
    <w:rsid w:val="00C93A25"/>
    <w:rsid w:val="00C93C63"/>
    <w:rsid w:val="00C94090"/>
    <w:rsid w:val="00C940D1"/>
    <w:rsid w:val="00C94A5F"/>
    <w:rsid w:val="00C94F78"/>
    <w:rsid w:val="00C95441"/>
    <w:rsid w:val="00C9587C"/>
    <w:rsid w:val="00C9675A"/>
    <w:rsid w:val="00C978EB"/>
    <w:rsid w:val="00C97B4C"/>
    <w:rsid w:val="00CA0382"/>
    <w:rsid w:val="00CA0660"/>
    <w:rsid w:val="00CA08A1"/>
    <w:rsid w:val="00CA0ED9"/>
    <w:rsid w:val="00CA1499"/>
    <w:rsid w:val="00CA18BE"/>
    <w:rsid w:val="00CA1DFE"/>
    <w:rsid w:val="00CA33A6"/>
    <w:rsid w:val="00CA3BD9"/>
    <w:rsid w:val="00CA3D20"/>
    <w:rsid w:val="00CA4224"/>
    <w:rsid w:val="00CA4E7A"/>
    <w:rsid w:val="00CA6994"/>
    <w:rsid w:val="00CA6FBB"/>
    <w:rsid w:val="00CA7003"/>
    <w:rsid w:val="00CA7202"/>
    <w:rsid w:val="00CA721D"/>
    <w:rsid w:val="00CA75D9"/>
    <w:rsid w:val="00CA7806"/>
    <w:rsid w:val="00CA7C05"/>
    <w:rsid w:val="00CA7D59"/>
    <w:rsid w:val="00CA7ECB"/>
    <w:rsid w:val="00CB0004"/>
    <w:rsid w:val="00CB0746"/>
    <w:rsid w:val="00CB091F"/>
    <w:rsid w:val="00CB0B91"/>
    <w:rsid w:val="00CB0FEA"/>
    <w:rsid w:val="00CB18DB"/>
    <w:rsid w:val="00CB1B74"/>
    <w:rsid w:val="00CB21FB"/>
    <w:rsid w:val="00CB23A7"/>
    <w:rsid w:val="00CB23D6"/>
    <w:rsid w:val="00CB28FB"/>
    <w:rsid w:val="00CB39DB"/>
    <w:rsid w:val="00CB49A3"/>
    <w:rsid w:val="00CB4AA9"/>
    <w:rsid w:val="00CB4AB3"/>
    <w:rsid w:val="00CB5542"/>
    <w:rsid w:val="00CB6C41"/>
    <w:rsid w:val="00CB744A"/>
    <w:rsid w:val="00CB7B95"/>
    <w:rsid w:val="00CC022C"/>
    <w:rsid w:val="00CC04AA"/>
    <w:rsid w:val="00CC138A"/>
    <w:rsid w:val="00CC1737"/>
    <w:rsid w:val="00CC22D9"/>
    <w:rsid w:val="00CC233E"/>
    <w:rsid w:val="00CC290D"/>
    <w:rsid w:val="00CC3242"/>
    <w:rsid w:val="00CC388F"/>
    <w:rsid w:val="00CC4202"/>
    <w:rsid w:val="00CC4985"/>
    <w:rsid w:val="00CC4F57"/>
    <w:rsid w:val="00CC4FF1"/>
    <w:rsid w:val="00CC55C0"/>
    <w:rsid w:val="00CC5F26"/>
    <w:rsid w:val="00CC6AEA"/>
    <w:rsid w:val="00CC7523"/>
    <w:rsid w:val="00CD04DA"/>
    <w:rsid w:val="00CD1327"/>
    <w:rsid w:val="00CD2521"/>
    <w:rsid w:val="00CD2FA4"/>
    <w:rsid w:val="00CD3273"/>
    <w:rsid w:val="00CD3290"/>
    <w:rsid w:val="00CD34D9"/>
    <w:rsid w:val="00CD3DD9"/>
    <w:rsid w:val="00CD41BC"/>
    <w:rsid w:val="00CD46FC"/>
    <w:rsid w:val="00CD4D41"/>
    <w:rsid w:val="00CD504A"/>
    <w:rsid w:val="00CD5C97"/>
    <w:rsid w:val="00CD5F10"/>
    <w:rsid w:val="00CD6812"/>
    <w:rsid w:val="00CD762E"/>
    <w:rsid w:val="00CD7D46"/>
    <w:rsid w:val="00CD7F33"/>
    <w:rsid w:val="00CE01DD"/>
    <w:rsid w:val="00CE12F3"/>
    <w:rsid w:val="00CE17E1"/>
    <w:rsid w:val="00CE2102"/>
    <w:rsid w:val="00CE21C8"/>
    <w:rsid w:val="00CE2D26"/>
    <w:rsid w:val="00CE2F9B"/>
    <w:rsid w:val="00CE31C8"/>
    <w:rsid w:val="00CE341B"/>
    <w:rsid w:val="00CE3721"/>
    <w:rsid w:val="00CE3BAC"/>
    <w:rsid w:val="00CE3F1E"/>
    <w:rsid w:val="00CE4276"/>
    <w:rsid w:val="00CE48FE"/>
    <w:rsid w:val="00CE48FF"/>
    <w:rsid w:val="00CE4C84"/>
    <w:rsid w:val="00CE4FC7"/>
    <w:rsid w:val="00CE57F8"/>
    <w:rsid w:val="00CE5951"/>
    <w:rsid w:val="00CE617A"/>
    <w:rsid w:val="00CE6596"/>
    <w:rsid w:val="00CE6D6D"/>
    <w:rsid w:val="00CE6E7A"/>
    <w:rsid w:val="00CE78E6"/>
    <w:rsid w:val="00CF0BC9"/>
    <w:rsid w:val="00CF0CC7"/>
    <w:rsid w:val="00CF1209"/>
    <w:rsid w:val="00CF1CAA"/>
    <w:rsid w:val="00CF1D2E"/>
    <w:rsid w:val="00CF2922"/>
    <w:rsid w:val="00CF298D"/>
    <w:rsid w:val="00CF30F7"/>
    <w:rsid w:val="00CF4CB9"/>
    <w:rsid w:val="00CF5B38"/>
    <w:rsid w:val="00CF789B"/>
    <w:rsid w:val="00CF7C7F"/>
    <w:rsid w:val="00D006F6"/>
    <w:rsid w:val="00D00998"/>
    <w:rsid w:val="00D009F8"/>
    <w:rsid w:val="00D00E51"/>
    <w:rsid w:val="00D01570"/>
    <w:rsid w:val="00D01B8F"/>
    <w:rsid w:val="00D01BF2"/>
    <w:rsid w:val="00D01D32"/>
    <w:rsid w:val="00D02313"/>
    <w:rsid w:val="00D0322B"/>
    <w:rsid w:val="00D036DA"/>
    <w:rsid w:val="00D0463B"/>
    <w:rsid w:val="00D05827"/>
    <w:rsid w:val="00D05EB3"/>
    <w:rsid w:val="00D06091"/>
    <w:rsid w:val="00D100BC"/>
    <w:rsid w:val="00D109B8"/>
    <w:rsid w:val="00D10ACC"/>
    <w:rsid w:val="00D11D67"/>
    <w:rsid w:val="00D123FE"/>
    <w:rsid w:val="00D12489"/>
    <w:rsid w:val="00D13CD3"/>
    <w:rsid w:val="00D14104"/>
    <w:rsid w:val="00D146A1"/>
    <w:rsid w:val="00D14BA5"/>
    <w:rsid w:val="00D14E23"/>
    <w:rsid w:val="00D152A6"/>
    <w:rsid w:val="00D16524"/>
    <w:rsid w:val="00D16623"/>
    <w:rsid w:val="00D16807"/>
    <w:rsid w:val="00D16F1C"/>
    <w:rsid w:val="00D17622"/>
    <w:rsid w:val="00D2094F"/>
    <w:rsid w:val="00D20BBA"/>
    <w:rsid w:val="00D2180F"/>
    <w:rsid w:val="00D218BB"/>
    <w:rsid w:val="00D22BD5"/>
    <w:rsid w:val="00D240E7"/>
    <w:rsid w:val="00D242EB"/>
    <w:rsid w:val="00D24CE2"/>
    <w:rsid w:val="00D25D36"/>
    <w:rsid w:val="00D26344"/>
    <w:rsid w:val="00D26950"/>
    <w:rsid w:val="00D26AAD"/>
    <w:rsid w:val="00D26AB6"/>
    <w:rsid w:val="00D26E13"/>
    <w:rsid w:val="00D26F62"/>
    <w:rsid w:val="00D273C8"/>
    <w:rsid w:val="00D275D4"/>
    <w:rsid w:val="00D27C2B"/>
    <w:rsid w:val="00D3022A"/>
    <w:rsid w:val="00D30924"/>
    <w:rsid w:val="00D31BC3"/>
    <w:rsid w:val="00D31F41"/>
    <w:rsid w:val="00D322B1"/>
    <w:rsid w:val="00D3295C"/>
    <w:rsid w:val="00D32CF2"/>
    <w:rsid w:val="00D32F5C"/>
    <w:rsid w:val="00D3423E"/>
    <w:rsid w:val="00D3455B"/>
    <w:rsid w:val="00D348AE"/>
    <w:rsid w:val="00D34B6F"/>
    <w:rsid w:val="00D34CC4"/>
    <w:rsid w:val="00D34CEB"/>
    <w:rsid w:val="00D3544A"/>
    <w:rsid w:val="00D35485"/>
    <w:rsid w:val="00D36505"/>
    <w:rsid w:val="00D36849"/>
    <w:rsid w:val="00D3698F"/>
    <w:rsid w:val="00D36F95"/>
    <w:rsid w:val="00D376C4"/>
    <w:rsid w:val="00D37A6D"/>
    <w:rsid w:val="00D405E5"/>
    <w:rsid w:val="00D407F7"/>
    <w:rsid w:val="00D40CE5"/>
    <w:rsid w:val="00D413DD"/>
    <w:rsid w:val="00D41737"/>
    <w:rsid w:val="00D41A2C"/>
    <w:rsid w:val="00D42D13"/>
    <w:rsid w:val="00D433D6"/>
    <w:rsid w:val="00D43607"/>
    <w:rsid w:val="00D43652"/>
    <w:rsid w:val="00D43D81"/>
    <w:rsid w:val="00D4470E"/>
    <w:rsid w:val="00D44A9E"/>
    <w:rsid w:val="00D44E88"/>
    <w:rsid w:val="00D45026"/>
    <w:rsid w:val="00D4518E"/>
    <w:rsid w:val="00D46B66"/>
    <w:rsid w:val="00D46BAD"/>
    <w:rsid w:val="00D46FB4"/>
    <w:rsid w:val="00D46FE5"/>
    <w:rsid w:val="00D476E5"/>
    <w:rsid w:val="00D51CBF"/>
    <w:rsid w:val="00D528F7"/>
    <w:rsid w:val="00D52C65"/>
    <w:rsid w:val="00D53004"/>
    <w:rsid w:val="00D538FF"/>
    <w:rsid w:val="00D53A41"/>
    <w:rsid w:val="00D53D09"/>
    <w:rsid w:val="00D53E88"/>
    <w:rsid w:val="00D5469B"/>
    <w:rsid w:val="00D54BD3"/>
    <w:rsid w:val="00D54D2A"/>
    <w:rsid w:val="00D54FF8"/>
    <w:rsid w:val="00D55385"/>
    <w:rsid w:val="00D569FF"/>
    <w:rsid w:val="00D6031F"/>
    <w:rsid w:val="00D604BE"/>
    <w:rsid w:val="00D6081E"/>
    <w:rsid w:val="00D61519"/>
    <w:rsid w:val="00D616A5"/>
    <w:rsid w:val="00D61D7A"/>
    <w:rsid w:val="00D61E14"/>
    <w:rsid w:val="00D620E0"/>
    <w:rsid w:val="00D6367D"/>
    <w:rsid w:val="00D64119"/>
    <w:rsid w:val="00D64383"/>
    <w:rsid w:val="00D6560F"/>
    <w:rsid w:val="00D65BBA"/>
    <w:rsid w:val="00D66996"/>
    <w:rsid w:val="00D6705C"/>
    <w:rsid w:val="00D67A5F"/>
    <w:rsid w:val="00D7030C"/>
    <w:rsid w:val="00D70489"/>
    <w:rsid w:val="00D7111F"/>
    <w:rsid w:val="00D714C6"/>
    <w:rsid w:val="00D71924"/>
    <w:rsid w:val="00D73811"/>
    <w:rsid w:val="00D7392A"/>
    <w:rsid w:val="00D739A4"/>
    <w:rsid w:val="00D74195"/>
    <w:rsid w:val="00D744E4"/>
    <w:rsid w:val="00D74D9C"/>
    <w:rsid w:val="00D75993"/>
    <w:rsid w:val="00D75B0E"/>
    <w:rsid w:val="00D75F61"/>
    <w:rsid w:val="00D766C6"/>
    <w:rsid w:val="00D76831"/>
    <w:rsid w:val="00D76BD1"/>
    <w:rsid w:val="00D76D11"/>
    <w:rsid w:val="00D77675"/>
    <w:rsid w:val="00D77AFD"/>
    <w:rsid w:val="00D80065"/>
    <w:rsid w:val="00D802E1"/>
    <w:rsid w:val="00D802E7"/>
    <w:rsid w:val="00D80F4D"/>
    <w:rsid w:val="00D814B1"/>
    <w:rsid w:val="00D815E5"/>
    <w:rsid w:val="00D81C67"/>
    <w:rsid w:val="00D81F45"/>
    <w:rsid w:val="00D820F3"/>
    <w:rsid w:val="00D83612"/>
    <w:rsid w:val="00D83FF5"/>
    <w:rsid w:val="00D84151"/>
    <w:rsid w:val="00D859FB"/>
    <w:rsid w:val="00D85CA2"/>
    <w:rsid w:val="00D85F30"/>
    <w:rsid w:val="00D8659D"/>
    <w:rsid w:val="00D86740"/>
    <w:rsid w:val="00D86E46"/>
    <w:rsid w:val="00D86EA4"/>
    <w:rsid w:val="00D86F79"/>
    <w:rsid w:val="00D87017"/>
    <w:rsid w:val="00D87320"/>
    <w:rsid w:val="00D87538"/>
    <w:rsid w:val="00D87769"/>
    <w:rsid w:val="00D87EB0"/>
    <w:rsid w:val="00D903B8"/>
    <w:rsid w:val="00D9054B"/>
    <w:rsid w:val="00D90B1C"/>
    <w:rsid w:val="00D91319"/>
    <w:rsid w:val="00D913CB"/>
    <w:rsid w:val="00D91CE1"/>
    <w:rsid w:val="00D926A9"/>
    <w:rsid w:val="00D92A70"/>
    <w:rsid w:val="00D92B37"/>
    <w:rsid w:val="00D92E61"/>
    <w:rsid w:val="00D93525"/>
    <w:rsid w:val="00D94187"/>
    <w:rsid w:val="00D9513E"/>
    <w:rsid w:val="00D95A1E"/>
    <w:rsid w:val="00D95B4A"/>
    <w:rsid w:val="00D95B7B"/>
    <w:rsid w:val="00D95B84"/>
    <w:rsid w:val="00D95BBB"/>
    <w:rsid w:val="00D966FC"/>
    <w:rsid w:val="00D96BE0"/>
    <w:rsid w:val="00D97347"/>
    <w:rsid w:val="00D9783A"/>
    <w:rsid w:val="00D97B24"/>
    <w:rsid w:val="00DA044D"/>
    <w:rsid w:val="00DA1351"/>
    <w:rsid w:val="00DA13C6"/>
    <w:rsid w:val="00DA182C"/>
    <w:rsid w:val="00DA1979"/>
    <w:rsid w:val="00DA2169"/>
    <w:rsid w:val="00DA2AED"/>
    <w:rsid w:val="00DA3A1E"/>
    <w:rsid w:val="00DA3E87"/>
    <w:rsid w:val="00DA4EBA"/>
    <w:rsid w:val="00DA54FB"/>
    <w:rsid w:val="00DA5DB9"/>
    <w:rsid w:val="00DA5F11"/>
    <w:rsid w:val="00DA613A"/>
    <w:rsid w:val="00DA768F"/>
    <w:rsid w:val="00DA78B5"/>
    <w:rsid w:val="00DB00DA"/>
    <w:rsid w:val="00DB0247"/>
    <w:rsid w:val="00DB08A4"/>
    <w:rsid w:val="00DB0BB4"/>
    <w:rsid w:val="00DB0BFF"/>
    <w:rsid w:val="00DB0C69"/>
    <w:rsid w:val="00DB0D76"/>
    <w:rsid w:val="00DB15AD"/>
    <w:rsid w:val="00DB1D6C"/>
    <w:rsid w:val="00DB2230"/>
    <w:rsid w:val="00DB2489"/>
    <w:rsid w:val="00DB27B6"/>
    <w:rsid w:val="00DB2EEA"/>
    <w:rsid w:val="00DB35B0"/>
    <w:rsid w:val="00DB3A98"/>
    <w:rsid w:val="00DB45F4"/>
    <w:rsid w:val="00DB4753"/>
    <w:rsid w:val="00DB49A2"/>
    <w:rsid w:val="00DB4F03"/>
    <w:rsid w:val="00DB4FB3"/>
    <w:rsid w:val="00DB5290"/>
    <w:rsid w:val="00DB58AD"/>
    <w:rsid w:val="00DB5AE4"/>
    <w:rsid w:val="00DB6790"/>
    <w:rsid w:val="00DB6C49"/>
    <w:rsid w:val="00DB6D08"/>
    <w:rsid w:val="00DB7645"/>
    <w:rsid w:val="00DB76F0"/>
    <w:rsid w:val="00DB79A9"/>
    <w:rsid w:val="00DC014B"/>
    <w:rsid w:val="00DC0672"/>
    <w:rsid w:val="00DC0C0F"/>
    <w:rsid w:val="00DC0CEF"/>
    <w:rsid w:val="00DC0DBA"/>
    <w:rsid w:val="00DC110E"/>
    <w:rsid w:val="00DC11B9"/>
    <w:rsid w:val="00DC14DE"/>
    <w:rsid w:val="00DC1805"/>
    <w:rsid w:val="00DC1A9B"/>
    <w:rsid w:val="00DC1F9D"/>
    <w:rsid w:val="00DC2118"/>
    <w:rsid w:val="00DC241D"/>
    <w:rsid w:val="00DC2F38"/>
    <w:rsid w:val="00DC30A1"/>
    <w:rsid w:val="00DC3640"/>
    <w:rsid w:val="00DC3E9E"/>
    <w:rsid w:val="00DC51B4"/>
    <w:rsid w:val="00DC572B"/>
    <w:rsid w:val="00DC576A"/>
    <w:rsid w:val="00DC59B4"/>
    <w:rsid w:val="00DC5D8A"/>
    <w:rsid w:val="00DC66AE"/>
    <w:rsid w:val="00DC693A"/>
    <w:rsid w:val="00DC7213"/>
    <w:rsid w:val="00DC7313"/>
    <w:rsid w:val="00DC7914"/>
    <w:rsid w:val="00DC7D14"/>
    <w:rsid w:val="00DD0114"/>
    <w:rsid w:val="00DD0118"/>
    <w:rsid w:val="00DD032C"/>
    <w:rsid w:val="00DD0443"/>
    <w:rsid w:val="00DD11AC"/>
    <w:rsid w:val="00DD1577"/>
    <w:rsid w:val="00DD1A4A"/>
    <w:rsid w:val="00DD1AA5"/>
    <w:rsid w:val="00DD2409"/>
    <w:rsid w:val="00DD2633"/>
    <w:rsid w:val="00DD388B"/>
    <w:rsid w:val="00DD472A"/>
    <w:rsid w:val="00DD478D"/>
    <w:rsid w:val="00DD4BEA"/>
    <w:rsid w:val="00DD4D7B"/>
    <w:rsid w:val="00DD51D4"/>
    <w:rsid w:val="00DD5B76"/>
    <w:rsid w:val="00DD5EC0"/>
    <w:rsid w:val="00DD5FA3"/>
    <w:rsid w:val="00DD618E"/>
    <w:rsid w:val="00DD6191"/>
    <w:rsid w:val="00DD7398"/>
    <w:rsid w:val="00DD75C8"/>
    <w:rsid w:val="00DD7AA2"/>
    <w:rsid w:val="00DD7B07"/>
    <w:rsid w:val="00DE00A1"/>
    <w:rsid w:val="00DE00EA"/>
    <w:rsid w:val="00DE00F8"/>
    <w:rsid w:val="00DE04E0"/>
    <w:rsid w:val="00DE0C95"/>
    <w:rsid w:val="00DE1083"/>
    <w:rsid w:val="00DE123B"/>
    <w:rsid w:val="00DE21C9"/>
    <w:rsid w:val="00DE2DFC"/>
    <w:rsid w:val="00DE3BF9"/>
    <w:rsid w:val="00DE4816"/>
    <w:rsid w:val="00DE4DE6"/>
    <w:rsid w:val="00DE512A"/>
    <w:rsid w:val="00DE53E1"/>
    <w:rsid w:val="00DE5A02"/>
    <w:rsid w:val="00DE5B40"/>
    <w:rsid w:val="00DE6060"/>
    <w:rsid w:val="00DE69F4"/>
    <w:rsid w:val="00DE6DCC"/>
    <w:rsid w:val="00DE73C0"/>
    <w:rsid w:val="00DF0283"/>
    <w:rsid w:val="00DF0A8F"/>
    <w:rsid w:val="00DF0CB9"/>
    <w:rsid w:val="00DF18B9"/>
    <w:rsid w:val="00DF19D8"/>
    <w:rsid w:val="00DF1A08"/>
    <w:rsid w:val="00DF1C65"/>
    <w:rsid w:val="00DF2D4B"/>
    <w:rsid w:val="00DF2DF0"/>
    <w:rsid w:val="00DF3861"/>
    <w:rsid w:val="00DF3870"/>
    <w:rsid w:val="00DF3BBE"/>
    <w:rsid w:val="00DF3DC6"/>
    <w:rsid w:val="00DF4292"/>
    <w:rsid w:val="00DF4DB3"/>
    <w:rsid w:val="00DF5E11"/>
    <w:rsid w:val="00DF61D6"/>
    <w:rsid w:val="00DF6F1C"/>
    <w:rsid w:val="00DF739E"/>
    <w:rsid w:val="00DF76DB"/>
    <w:rsid w:val="00E01957"/>
    <w:rsid w:val="00E028F9"/>
    <w:rsid w:val="00E03656"/>
    <w:rsid w:val="00E04387"/>
    <w:rsid w:val="00E047F6"/>
    <w:rsid w:val="00E04E5B"/>
    <w:rsid w:val="00E04FE2"/>
    <w:rsid w:val="00E05DBB"/>
    <w:rsid w:val="00E06B8A"/>
    <w:rsid w:val="00E06D00"/>
    <w:rsid w:val="00E075DD"/>
    <w:rsid w:val="00E07A45"/>
    <w:rsid w:val="00E07C01"/>
    <w:rsid w:val="00E07DF7"/>
    <w:rsid w:val="00E1088C"/>
    <w:rsid w:val="00E10DDD"/>
    <w:rsid w:val="00E13936"/>
    <w:rsid w:val="00E139B5"/>
    <w:rsid w:val="00E14F2E"/>
    <w:rsid w:val="00E14F3F"/>
    <w:rsid w:val="00E159C5"/>
    <w:rsid w:val="00E15AF9"/>
    <w:rsid w:val="00E15FCE"/>
    <w:rsid w:val="00E16753"/>
    <w:rsid w:val="00E16DED"/>
    <w:rsid w:val="00E17199"/>
    <w:rsid w:val="00E172B3"/>
    <w:rsid w:val="00E175AB"/>
    <w:rsid w:val="00E179BF"/>
    <w:rsid w:val="00E17AC9"/>
    <w:rsid w:val="00E20F87"/>
    <w:rsid w:val="00E2190B"/>
    <w:rsid w:val="00E21AFE"/>
    <w:rsid w:val="00E225E5"/>
    <w:rsid w:val="00E228E8"/>
    <w:rsid w:val="00E228F3"/>
    <w:rsid w:val="00E22A8C"/>
    <w:rsid w:val="00E22C06"/>
    <w:rsid w:val="00E22D7E"/>
    <w:rsid w:val="00E23B52"/>
    <w:rsid w:val="00E23B83"/>
    <w:rsid w:val="00E24F57"/>
    <w:rsid w:val="00E254BA"/>
    <w:rsid w:val="00E25BD4"/>
    <w:rsid w:val="00E262DD"/>
    <w:rsid w:val="00E27748"/>
    <w:rsid w:val="00E27A15"/>
    <w:rsid w:val="00E30194"/>
    <w:rsid w:val="00E30482"/>
    <w:rsid w:val="00E30B5A"/>
    <w:rsid w:val="00E31298"/>
    <w:rsid w:val="00E314A4"/>
    <w:rsid w:val="00E31918"/>
    <w:rsid w:val="00E31B4E"/>
    <w:rsid w:val="00E31BEE"/>
    <w:rsid w:val="00E31C51"/>
    <w:rsid w:val="00E329B4"/>
    <w:rsid w:val="00E32B1B"/>
    <w:rsid w:val="00E32CCB"/>
    <w:rsid w:val="00E32E8D"/>
    <w:rsid w:val="00E334D9"/>
    <w:rsid w:val="00E337BA"/>
    <w:rsid w:val="00E339D0"/>
    <w:rsid w:val="00E33D89"/>
    <w:rsid w:val="00E34CAC"/>
    <w:rsid w:val="00E35139"/>
    <w:rsid w:val="00E35195"/>
    <w:rsid w:val="00E35BFD"/>
    <w:rsid w:val="00E3684F"/>
    <w:rsid w:val="00E373D3"/>
    <w:rsid w:val="00E3743E"/>
    <w:rsid w:val="00E3792D"/>
    <w:rsid w:val="00E379A5"/>
    <w:rsid w:val="00E403A2"/>
    <w:rsid w:val="00E406F2"/>
    <w:rsid w:val="00E4185A"/>
    <w:rsid w:val="00E41FE8"/>
    <w:rsid w:val="00E422F5"/>
    <w:rsid w:val="00E429A0"/>
    <w:rsid w:val="00E43599"/>
    <w:rsid w:val="00E43C74"/>
    <w:rsid w:val="00E4419E"/>
    <w:rsid w:val="00E46B3E"/>
    <w:rsid w:val="00E47553"/>
    <w:rsid w:val="00E47644"/>
    <w:rsid w:val="00E47839"/>
    <w:rsid w:val="00E47A7A"/>
    <w:rsid w:val="00E47F79"/>
    <w:rsid w:val="00E50046"/>
    <w:rsid w:val="00E50423"/>
    <w:rsid w:val="00E51D3A"/>
    <w:rsid w:val="00E528CC"/>
    <w:rsid w:val="00E52B26"/>
    <w:rsid w:val="00E52E09"/>
    <w:rsid w:val="00E5313D"/>
    <w:rsid w:val="00E534B5"/>
    <w:rsid w:val="00E538D0"/>
    <w:rsid w:val="00E54395"/>
    <w:rsid w:val="00E54C5F"/>
    <w:rsid w:val="00E56211"/>
    <w:rsid w:val="00E5672A"/>
    <w:rsid w:val="00E5683E"/>
    <w:rsid w:val="00E57F00"/>
    <w:rsid w:val="00E604DB"/>
    <w:rsid w:val="00E6152F"/>
    <w:rsid w:val="00E615CB"/>
    <w:rsid w:val="00E61F6D"/>
    <w:rsid w:val="00E61FAA"/>
    <w:rsid w:val="00E632CE"/>
    <w:rsid w:val="00E640E5"/>
    <w:rsid w:val="00E64387"/>
    <w:rsid w:val="00E644ED"/>
    <w:rsid w:val="00E656E7"/>
    <w:rsid w:val="00E65B15"/>
    <w:rsid w:val="00E65C0B"/>
    <w:rsid w:val="00E660B3"/>
    <w:rsid w:val="00E66712"/>
    <w:rsid w:val="00E66DCB"/>
    <w:rsid w:val="00E67D20"/>
    <w:rsid w:val="00E67E68"/>
    <w:rsid w:val="00E7000D"/>
    <w:rsid w:val="00E703A9"/>
    <w:rsid w:val="00E70EDF"/>
    <w:rsid w:val="00E71921"/>
    <w:rsid w:val="00E71C38"/>
    <w:rsid w:val="00E7272D"/>
    <w:rsid w:val="00E72B8F"/>
    <w:rsid w:val="00E72F3F"/>
    <w:rsid w:val="00E7306D"/>
    <w:rsid w:val="00E73907"/>
    <w:rsid w:val="00E73951"/>
    <w:rsid w:val="00E73B6A"/>
    <w:rsid w:val="00E73F93"/>
    <w:rsid w:val="00E74393"/>
    <w:rsid w:val="00E75D41"/>
    <w:rsid w:val="00E76263"/>
    <w:rsid w:val="00E76479"/>
    <w:rsid w:val="00E767EE"/>
    <w:rsid w:val="00E76F6A"/>
    <w:rsid w:val="00E77069"/>
    <w:rsid w:val="00E7754D"/>
    <w:rsid w:val="00E77865"/>
    <w:rsid w:val="00E8112B"/>
    <w:rsid w:val="00E819CF"/>
    <w:rsid w:val="00E828A4"/>
    <w:rsid w:val="00E82CF1"/>
    <w:rsid w:val="00E82DA9"/>
    <w:rsid w:val="00E838C9"/>
    <w:rsid w:val="00E83B74"/>
    <w:rsid w:val="00E844E3"/>
    <w:rsid w:val="00E84C1F"/>
    <w:rsid w:val="00E84DB1"/>
    <w:rsid w:val="00E85102"/>
    <w:rsid w:val="00E854B5"/>
    <w:rsid w:val="00E86DDB"/>
    <w:rsid w:val="00E86F5A"/>
    <w:rsid w:val="00E87A8B"/>
    <w:rsid w:val="00E901F1"/>
    <w:rsid w:val="00E90B48"/>
    <w:rsid w:val="00E91725"/>
    <w:rsid w:val="00E91868"/>
    <w:rsid w:val="00E91CB7"/>
    <w:rsid w:val="00E923C8"/>
    <w:rsid w:val="00E92727"/>
    <w:rsid w:val="00E92C64"/>
    <w:rsid w:val="00E92DF9"/>
    <w:rsid w:val="00E92FCE"/>
    <w:rsid w:val="00E93094"/>
    <w:rsid w:val="00E93203"/>
    <w:rsid w:val="00E935DC"/>
    <w:rsid w:val="00E94303"/>
    <w:rsid w:val="00E94380"/>
    <w:rsid w:val="00E94AF7"/>
    <w:rsid w:val="00E94BE1"/>
    <w:rsid w:val="00E94DA1"/>
    <w:rsid w:val="00E94F32"/>
    <w:rsid w:val="00E9582E"/>
    <w:rsid w:val="00E96BB5"/>
    <w:rsid w:val="00E96DEE"/>
    <w:rsid w:val="00E9744E"/>
    <w:rsid w:val="00E9789D"/>
    <w:rsid w:val="00E97A52"/>
    <w:rsid w:val="00EA0591"/>
    <w:rsid w:val="00EA21B4"/>
    <w:rsid w:val="00EA236F"/>
    <w:rsid w:val="00EA2BF9"/>
    <w:rsid w:val="00EA2C64"/>
    <w:rsid w:val="00EA41F2"/>
    <w:rsid w:val="00EA4ACF"/>
    <w:rsid w:val="00EA5864"/>
    <w:rsid w:val="00EA5DFA"/>
    <w:rsid w:val="00EA7251"/>
    <w:rsid w:val="00EA7A31"/>
    <w:rsid w:val="00EA7CDD"/>
    <w:rsid w:val="00EB005D"/>
    <w:rsid w:val="00EB0970"/>
    <w:rsid w:val="00EB0B94"/>
    <w:rsid w:val="00EB0E6C"/>
    <w:rsid w:val="00EB0E6E"/>
    <w:rsid w:val="00EB0E75"/>
    <w:rsid w:val="00EB164C"/>
    <w:rsid w:val="00EB19A5"/>
    <w:rsid w:val="00EB1F3D"/>
    <w:rsid w:val="00EB28B4"/>
    <w:rsid w:val="00EB2E36"/>
    <w:rsid w:val="00EB2FAA"/>
    <w:rsid w:val="00EB328E"/>
    <w:rsid w:val="00EB32C2"/>
    <w:rsid w:val="00EB3646"/>
    <w:rsid w:val="00EB4C52"/>
    <w:rsid w:val="00EB4E9F"/>
    <w:rsid w:val="00EB56A2"/>
    <w:rsid w:val="00EB5B65"/>
    <w:rsid w:val="00EB5D6F"/>
    <w:rsid w:val="00EB5EAC"/>
    <w:rsid w:val="00EB62D3"/>
    <w:rsid w:val="00EB6BE1"/>
    <w:rsid w:val="00EB6FAE"/>
    <w:rsid w:val="00EB7926"/>
    <w:rsid w:val="00EB7A7E"/>
    <w:rsid w:val="00EC00A3"/>
    <w:rsid w:val="00EC012F"/>
    <w:rsid w:val="00EC05E4"/>
    <w:rsid w:val="00EC0B6F"/>
    <w:rsid w:val="00EC22ED"/>
    <w:rsid w:val="00EC235D"/>
    <w:rsid w:val="00EC26C3"/>
    <w:rsid w:val="00EC2BAD"/>
    <w:rsid w:val="00EC2DE7"/>
    <w:rsid w:val="00EC3051"/>
    <w:rsid w:val="00EC3F86"/>
    <w:rsid w:val="00EC41F9"/>
    <w:rsid w:val="00EC45F7"/>
    <w:rsid w:val="00EC4980"/>
    <w:rsid w:val="00EC4E25"/>
    <w:rsid w:val="00EC65CD"/>
    <w:rsid w:val="00EC6640"/>
    <w:rsid w:val="00EC6C7A"/>
    <w:rsid w:val="00EC6F60"/>
    <w:rsid w:val="00EC7252"/>
    <w:rsid w:val="00EC796E"/>
    <w:rsid w:val="00EC7E06"/>
    <w:rsid w:val="00ED020E"/>
    <w:rsid w:val="00ED026E"/>
    <w:rsid w:val="00ED0AB2"/>
    <w:rsid w:val="00ED2936"/>
    <w:rsid w:val="00ED2FC0"/>
    <w:rsid w:val="00ED3261"/>
    <w:rsid w:val="00ED3782"/>
    <w:rsid w:val="00ED379A"/>
    <w:rsid w:val="00ED42AB"/>
    <w:rsid w:val="00ED4400"/>
    <w:rsid w:val="00ED47E8"/>
    <w:rsid w:val="00ED4B2A"/>
    <w:rsid w:val="00ED51ED"/>
    <w:rsid w:val="00ED52B3"/>
    <w:rsid w:val="00ED5321"/>
    <w:rsid w:val="00ED5781"/>
    <w:rsid w:val="00ED6924"/>
    <w:rsid w:val="00ED6B62"/>
    <w:rsid w:val="00ED6E75"/>
    <w:rsid w:val="00ED72A8"/>
    <w:rsid w:val="00ED7A0A"/>
    <w:rsid w:val="00ED7F4D"/>
    <w:rsid w:val="00EE002F"/>
    <w:rsid w:val="00EE0775"/>
    <w:rsid w:val="00EE0FE3"/>
    <w:rsid w:val="00EE2367"/>
    <w:rsid w:val="00EE2408"/>
    <w:rsid w:val="00EE262A"/>
    <w:rsid w:val="00EE2847"/>
    <w:rsid w:val="00EE2B64"/>
    <w:rsid w:val="00EE32A4"/>
    <w:rsid w:val="00EE414F"/>
    <w:rsid w:val="00EE4429"/>
    <w:rsid w:val="00EE44EE"/>
    <w:rsid w:val="00EE49D8"/>
    <w:rsid w:val="00EE4BB3"/>
    <w:rsid w:val="00EE52CB"/>
    <w:rsid w:val="00EE56FF"/>
    <w:rsid w:val="00EE5975"/>
    <w:rsid w:val="00EE65C1"/>
    <w:rsid w:val="00EE6778"/>
    <w:rsid w:val="00EE7F6F"/>
    <w:rsid w:val="00EF0A3F"/>
    <w:rsid w:val="00EF11D8"/>
    <w:rsid w:val="00EF135D"/>
    <w:rsid w:val="00EF266E"/>
    <w:rsid w:val="00EF2705"/>
    <w:rsid w:val="00EF27C6"/>
    <w:rsid w:val="00EF28F4"/>
    <w:rsid w:val="00EF2A12"/>
    <w:rsid w:val="00EF374F"/>
    <w:rsid w:val="00EF3908"/>
    <w:rsid w:val="00EF3A40"/>
    <w:rsid w:val="00EF3A54"/>
    <w:rsid w:val="00EF3E38"/>
    <w:rsid w:val="00EF4309"/>
    <w:rsid w:val="00EF4428"/>
    <w:rsid w:val="00EF4644"/>
    <w:rsid w:val="00EF53A0"/>
    <w:rsid w:val="00EF5BC2"/>
    <w:rsid w:val="00EF5E7A"/>
    <w:rsid w:val="00EF5F36"/>
    <w:rsid w:val="00EF5FBD"/>
    <w:rsid w:val="00EF69D5"/>
    <w:rsid w:val="00EF729D"/>
    <w:rsid w:val="00EF754C"/>
    <w:rsid w:val="00EF78C0"/>
    <w:rsid w:val="00F0056B"/>
    <w:rsid w:val="00F00728"/>
    <w:rsid w:val="00F00F24"/>
    <w:rsid w:val="00F01755"/>
    <w:rsid w:val="00F01DA1"/>
    <w:rsid w:val="00F022FF"/>
    <w:rsid w:val="00F0253E"/>
    <w:rsid w:val="00F03174"/>
    <w:rsid w:val="00F0330A"/>
    <w:rsid w:val="00F0345B"/>
    <w:rsid w:val="00F03522"/>
    <w:rsid w:val="00F035B3"/>
    <w:rsid w:val="00F0392D"/>
    <w:rsid w:val="00F03AAC"/>
    <w:rsid w:val="00F03C09"/>
    <w:rsid w:val="00F045ED"/>
    <w:rsid w:val="00F04655"/>
    <w:rsid w:val="00F049FB"/>
    <w:rsid w:val="00F04A85"/>
    <w:rsid w:val="00F054E2"/>
    <w:rsid w:val="00F062E9"/>
    <w:rsid w:val="00F06B0D"/>
    <w:rsid w:val="00F06B20"/>
    <w:rsid w:val="00F07D75"/>
    <w:rsid w:val="00F07D88"/>
    <w:rsid w:val="00F07DCD"/>
    <w:rsid w:val="00F100AC"/>
    <w:rsid w:val="00F10CFE"/>
    <w:rsid w:val="00F110E7"/>
    <w:rsid w:val="00F114B9"/>
    <w:rsid w:val="00F11727"/>
    <w:rsid w:val="00F118A6"/>
    <w:rsid w:val="00F11FA7"/>
    <w:rsid w:val="00F12921"/>
    <w:rsid w:val="00F12A44"/>
    <w:rsid w:val="00F13A1E"/>
    <w:rsid w:val="00F13DDB"/>
    <w:rsid w:val="00F14069"/>
    <w:rsid w:val="00F147FE"/>
    <w:rsid w:val="00F148AC"/>
    <w:rsid w:val="00F15AB6"/>
    <w:rsid w:val="00F15DB6"/>
    <w:rsid w:val="00F15E90"/>
    <w:rsid w:val="00F15FA4"/>
    <w:rsid w:val="00F160E9"/>
    <w:rsid w:val="00F165EE"/>
    <w:rsid w:val="00F16771"/>
    <w:rsid w:val="00F167C0"/>
    <w:rsid w:val="00F17EF8"/>
    <w:rsid w:val="00F202E3"/>
    <w:rsid w:val="00F206E7"/>
    <w:rsid w:val="00F2081D"/>
    <w:rsid w:val="00F21318"/>
    <w:rsid w:val="00F216E9"/>
    <w:rsid w:val="00F21CF5"/>
    <w:rsid w:val="00F21EDF"/>
    <w:rsid w:val="00F21F43"/>
    <w:rsid w:val="00F22340"/>
    <w:rsid w:val="00F22BD3"/>
    <w:rsid w:val="00F23278"/>
    <w:rsid w:val="00F235DA"/>
    <w:rsid w:val="00F23BC1"/>
    <w:rsid w:val="00F23F07"/>
    <w:rsid w:val="00F243EF"/>
    <w:rsid w:val="00F252BB"/>
    <w:rsid w:val="00F25989"/>
    <w:rsid w:val="00F26497"/>
    <w:rsid w:val="00F27112"/>
    <w:rsid w:val="00F27304"/>
    <w:rsid w:val="00F2759F"/>
    <w:rsid w:val="00F27750"/>
    <w:rsid w:val="00F27FA2"/>
    <w:rsid w:val="00F30923"/>
    <w:rsid w:val="00F30A7C"/>
    <w:rsid w:val="00F30CAF"/>
    <w:rsid w:val="00F311B4"/>
    <w:rsid w:val="00F3129E"/>
    <w:rsid w:val="00F313A4"/>
    <w:rsid w:val="00F313D5"/>
    <w:rsid w:val="00F31628"/>
    <w:rsid w:val="00F31F7F"/>
    <w:rsid w:val="00F3307B"/>
    <w:rsid w:val="00F330E9"/>
    <w:rsid w:val="00F33404"/>
    <w:rsid w:val="00F3382C"/>
    <w:rsid w:val="00F33DAE"/>
    <w:rsid w:val="00F33E2A"/>
    <w:rsid w:val="00F33E5D"/>
    <w:rsid w:val="00F3452B"/>
    <w:rsid w:val="00F34591"/>
    <w:rsid w:val="00F34BEA"/>
    <w:rsid w:val="00F34FCC"/>
    <w:rsid w:val="00F35115"/>
    <w:rsid w:val="00F3544B"/>
    <w:rsid w:val="00F36283"/>
    <w:rsid w:val="00F365CC"/>
    <w:rsid w:val="00F368E7"/>
    <w:rsid w:val="00F36B0E"/>
    <w:rsid w:val="00F37340"/>
    <w:rsid w:val="00F40019"/>
    <w:rsid w:val="00F40A94"/>
    <w:rsid w:val="00F414CF"/>
    <w:rsid w:val="00F41586"/>
    <w:rsid w:val="00F41BBD"/>
    <w:rsid w:val="00F41C99"/>
    <w:rsid w:val="00F4257C"/>
    <w:rsid w:val="00F425FF"/>
    <w:rsid w:val="00F42692"/>
    <w:rsid w:val="00F43281"/>
    <w:rsid w:val="00F44669"/>
    <w:rsid w:val="00F44989"/>
    <w:rsid w:val="00F44E4A"/>
    <w:rsid w:val="00F454B8"/>
    <w:rsid w:val="00F45B58"/>
    <w:rsid w:val="00F45CDB"/>
    <w:rsid w:val="00F45D66"/>
    <w:rsid w:val="00F4624B"/>
    <w:rsid w:val="00F46443"/>
    <w:rsid w:val="00F46548"/>
    <w:rsid w:val="00F46B6B"/>
    <w:rsid w:val="00F47533"/>
    <w:rsid w:val="00F479D5"/>
    <w:rsid w:val="00F506FB"/>
    <w:rsid w:val="00F50B58"/>
    <w:rsid w:val="00F519FE"/>
    <w:rsid w:val="00F51E7C"/>
    <w:rsid w:val="00F51F7B"/>
    <w:rsid w:val="00F525C9"/>
    <w:rsid w:val="00F52F9C"/>
    <w:rsid w:val="00F5389C"/>
    <w:rsid w:val="00F53D97"/>
    <w:rsid w:val="00F544E4"/>
    <w:rsid w:val="00F548AB"/>
    <w:rsid w:val="00F55D31"/>
    <w:rsid w:val="00F5625C"/>
    <w:rsid w:val="00F5646C"/>
    <w:rsid w:val="00F567D2"/>
    <w:rsid w:val="00F575D3"/>
    <w:rsid w:val="00F57B7F"/>
    <w:rsid w:val="00F604DE"/>
    <w:rsid w:val="00F606C5"/>
    <w:rsid w:val="00F609EC"/>
    <w:rsid w:val="00F60AD5"/>
    <w:rsid w:val="00F6120A"/>
    <w:rsid w:val="00F614EB"/>
    <w:rsid w:val="00F6175A"/>
    <w:rsid w:val="00F618DB"/>
    <w:rsid w:val="00F61C48"/>
    <w:rsid w:val="00F62300"/>
    <w:rsid w:val="00F6230B"/>
    <w:rsid w:val="00F62BBC"/>
    <w:rsid w:val="00F62EEA"/>
    <w:rsid w:val="00F631DD"/>
    <w:rsid w:val="00F6380C"/>
    <w:rsid w:val="00F64C38"/>
    <w:rsid w:val="00F64E57"/>
    <w:rsid w:val="00F65001"/>
    <w:rsid w:val="00F654EA"/>
    <w:rsid w:val="00F659CC"/>
    <w:rsid w:val="00F65DF3"/>
    <w:rsid w:val="00F65F36"/>
    <w:rsid w:val="00F65FED"/>
    <w:rsid w:val="00F67099"/>
    <w:rsid w:val="00F672EB"/>
    <w:rsid w:val="00F67660"/>
    <w:rsid w:val="00F6782D"/>
    <w:rsid w:val="00F67BA2"/>
    <w:rsid w:val="00F7053B"/>
    <w:rsid w:val="00F7281F"/>
    <w:rsid w:val="00F72A1E"/>
    <w:rsid w:val="00F72B13"/>
    <w:rsid w:val="00F72BDB"/>
    <w:rsid w:val="00F72E72"/>
    <w:rsid w:val="00F734DF"/>
    <w:rsid w:val="00F73706"/>
    <w:rsid w:val="00F73796"/>
    <w:rsid w:val="00F739FA"/>
    <w:rsid w:val="00F73DD4"/>
    <w:rsid w:val="00F74247"/>
    <w:rsid w:val="00F7428F"/>
    <w:rsid w:val="00F748D0"/>
    <w:rsid w:val="00F75D8F"/>
    <w:rsid w:val="00F76AB7"/>
    <w:rsid w:val="00F76BD6"/>
    <w:rsid w:val="00F77526"/>
    <w:rsid w:val="00F77713"/>
    <w:rsid w:val="00F77826"/>
    <w:rsid w:val="00F77B0C"/>
    <w:rsid w:val="00F77B1C"/>
    <w:rsid w:val="00F77C9F"/>
    <w:rsid w:val="00F80B04"/>
    <w:rsid w:val="00F80B4E"/>
    <w:rsid w:val="00F80C2D"/>
    <w:rsid w:val="00F81F74"/>
    <w:rsid w:val="00F82237"/>
    <w:rsid w:val="00F8286F"/>
    <w:rsid w:val="00F830DB"/>
    <w:rsid w:val="00F8315F"/>
    <w:rsid w:val="00F838DF"/>
    <w:rsid w:val="00F83A74"/>
    <w:rsid w:val="00F83A93"/>
    <w:rsid w:val="00F840E4"/>
    <w:rsid w:val="00F84937"/>
    <w:rsid w:val="00F84BDA"/>
    <w:rsid w:val="00F84CA0"/>
    <w:rsid w:val="00F84CDE"/>
    <w:rsid w:val="00F84FC2"/>
    <w:rsid w:val="00F854A5"/>
    <w:rsid w:val="00F85986"/>
    <w:rsid w:val="00F85C2F"/>
    <w:rsid w:val="00F8652F"/>
    <w:rsid w:val="00F86747"/>
    <w:rsid w:val="00F8703A"/>
    <w:rsid w:val="00F8721D"/>
    <w:rsid w:val="00F87899"/>
    <w:rsid w:val="00F87E72"/>
    <w:rsid w:val="00F90354"/>
    <w:rsid w:val="00F91068"/>
    <w:rsid w:val="00F91474"/>
    <w:rsid w:val="00F91AA1"/>
    <w:rsid w:val="00F92307"/>
    <w:rsid w:val="00F926C4"/>
    <w:rsid w:val="00F92856"/>
    <w:rsid w:val="00F93866"/>
    <w:rsid w:val="00F93ECB"/>
    <w:rsid w:val="00F943E9"/>
    <w:rsid w:val="00F94B95"/>
    <w:rsid w:val="00F95D36"/>
    <w:rsid w:val="00F95D8B"/>
    <w:rsid w:val="00F95F5A"/>
    <w:rsid w:val="00F96149"/>
    <w:rsid w:val="00F9646B"/>
    <w:rsid w:val="00F96DBA"/>
    <w:rsid w:val="00F974F6"/>
    <w:rsid w:val="00F97D83"/>
    <w:rsid w:val="00FA082A"/>
    <w:rsid w:val="00FA10E9"/>
    <w:rsid w:val="00FA112D"/>
    <w:rsid w:val="00FA16BC"/>
    <w:rsid w:val="00FA1B8A"/>
    <w:rsid w:val="00FA1E6A"/>
    <w:rsid w:val="00FA22DE"/>
    <w:rsid w:val="00FA2468"/>
    <w:rsid w:val="00FA2495"/>
    <w:rsid w:val="00FA28CE"/>
    <w:rsid w:val="00FA2E7C"/>
    <w:rsid w:val="00FA31E8"/>
    <w:rsid w:val="00FA362B"/>
    <w:rsid w:val="00FA37A4"/>
    <w:rsid w:val="00FA3BC0"/>
    <w:rsid w:val="00FA3CF0"/>
    <w:rsid w:val="00FA3DB5"/>
    <w:rsid w:val="00FA41D2"/>
    <w:rsid w:val="00FA45D8"/>
    <w:rsid w:val="00FA49CB"/>
    <w:rsid w:val="00FA4C0E"/>
    <w:rsid w:val="00FA4EE3"/>
    <w:rsid w:val="00FA55F6"/>
    <w:rsid w:val="00FA5AF8"/>
    <w:rsid w:val="00FA62BE"/>
    <w:rsid w:val="00FB0343"/>
    <w:rsid w:val="00FB07F4"/>
    <w:rsid w:val="00FB0ED4"/>
    <w:rsid w:val="00FB131A"/>
    <w:rsid w:val="00FB1B42"/>
    <w:rsid w:val="00FB1E44"/>
    <w:rsid w:val="00FB28D2"/>
    <w:rsid w:val="00FB2912"/>
    <w:rsid w:val="00FB2BC6"/>
    <w:rsid w:val="00FB4227"/>
    <w:rsid w:val="00FB59B8"/>
    <w:rsid w:val="00FB5E08"/>
    <w:rsid w:val="00FB6224"/>
    <w:rsid w:val="00FB6427"/>
    <w:rsid w:val="00FB6A51"/>
    <w:rsid w:val="00FB6E99"/>
    <w:rsid w:val="00FB749F"/>
    <w:rsid w:val="00FB7754"/>
    <w:rsid w:val="00FB7F2A"/>
    <w:rsid w:val="00FB7F5F"/>
    <w:rsid w:val="00FC05C5"/>
    <w:rsid w:val="00FC0753"/>
    <w:rsid w:val="00FC100F"/>
    <w:rsid w:val="00FC33B0"/>
    <w:rsid w:val="00FC33D9"/>
    <w:rsid w:val="00FC41AD"/>
    <w:rsid w:val="00FC4299"/>
    <w:rsid w:val="00FC4BE4"/>
    <w:rsid w:val="00FC4D2B"/>
    <w:rsid w:val="00FC50CF"/>
    <w:rsid w:val="00FC5A09"/>
    <w:rsid w:val="00FC60B9"/>
    <w:rsid w:val="00FC6BAE"/>
    <w:rsid w:val="00FC73D4"/>
    <w:rsid w:val="00FC7AAA"/>
    <w:rsid w:val="00FD0B91"/>
    <w:rsid w:val="00FD11A6"/>
    <w:rsid w:val="00FD168B"/>
    <w:rsid w:val="00FD18E7"/>
    <w:rsid w:val="00FD1D43"/>
    <w:rsid w:val="00FD1F2C"/>
    <w:rsid w:val="00FD1FB2"/>
    <w:rsid w:val="00FD25D3"/>
    <w:rsid w:val="00FD276F"/>
    <w:rsid w:val="00FD3286"/>
    <w:rsid w:val="00FD35A1"/>
    <w:rsid w:val="00FD3954"/>
    <w:rsid w:val="00FD3D68"/>
    <w:rsid w:val="00FD3E08"/>
    <w:rsid w:val="00FD4B2F"/>
    <w:rsid w:val="00FD4F6C"/>
    <w:rsid w:val="00FD5CCF"/>
    <w:rsid w:val="00FD6703"/>
    <w:rsid w:val="00FD6997"/>
    <w:rsid w:val="00FD6B30"/>
    <w:rsid w:val="00FD70B0"/>
    <w:rsid w:val="00FD7227"/>
    <w:rsid w:val="00FD72F1"/>
    <w:rsid w:val="00FE004D"/>
    <w:rsid w:val="00FE053B"/>
    <w:rsid w:val="00FE16FA"/>
    <w:rsid w:val="00FE259D"/>
    <w:rsid w:val="00FE25A3"/>
    <w:rsid w:val="00FE298D"/>
    <w:rsid w:val="00FE3D27"/>
    <w:rsid w:val="00FE40DE"/>
    <w:rsid w:val="00FE4B0F"/>
    <w:rsid w:val="00FE548A"/>
    <w:rsid w:val="00FE5EC3"/>
    <w:rsid w:val="00FE6B2B"/>
    <w:rsid w:val="00FE6BC3"/>
    <w:rsid w:val="00FE76B9"/>
    <w:rsid w:val="00FE79B6"/>
    <w:rsid w:val="00FE7B71"/>
    <w:rsid w:val="00FE7BB3"/>
    <w:rsid w:val="00FF0037"/>
    <w:rsid w:val="00FF0485"/>
    <w:rsid w:val="00FF04DF"/>
    <w:rsid w:val="00FF2C7D"/>
    <w:rsid w:val="00FF32EA"/>
    <w:rsid w:val="00FF3EBB"/>
    <w:rsid w:val="00FF52C0"/>
    <w:rsid w:val="00FF54B0"/>
    <w:rsid w:val="00FF5B8E"/>
    <w:rsid w:val="00FF5FD0"/>
    <w:rsid w:val="00FF6307"/>
    <w:rsid w:val="00FF6A74"/>
    <w:rsid w:val="00FF7106"/>
    <w:rsid w:val="00FF7BF3"/>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4"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81"/>
    <w:pPr>
      <w:spacing w:before="100" w:beforeAutospacing="1" w:after="100" w:afterAutospacing="1" w:line="480" w:lineRule="auto"/>
      <w:ind w:left="284" w:firstLine="284"/>
    </w:pPr>
    <w:rPr>
      <w:rFonts w:ascii="Times New Roman" w:hAnsi="Times New Roman" w:cs="Times New Roman"/>
      <w:lang w:val="en-GB"/>
    </w:rPr>
  </w:style>
  <w:style w:type="paragraph" w:styleId="Heading1">
    <w:name w:val="heading 1"/>
    <w:basedOn w:val="Normal"/>
    <w:next w:val="Normal"/>
    <w:link w:val="Heading1Char"/>
    <w:uiPriority w:val="9"/>
    <w:qFormat/>
    <w:rsid w:val="004972C0"/>
    <w:pPr>
      <w:outlineLvl w:val="0"/>
    </w:pPr>
    <w:rPr>
      <w:b/>
    </w:rPr>
  </w:style>
  <w:style w:type="paragraph" w:styleId="Heading2">
    <w:name w:val="heading 2"/>
    <w:basedOn w:val="Normal"/>
    <w:next w:val="Normal"/>
    <w:link w:val="Heading2Char"/>
    <w:uiPriority w:val="9"/>
    <w:unhideWhenUsed/>
    <w:qFormat/>
    <w:rsid w:val="0073437D"/>
    <w:pPr>
      <w:numPr>
        <w:ilvl w:val="1"/>
        <w:numId w:val="54"/>
      </w:numPr>
      <w:outlineLvl w:val="1"/>
    </w:pPr>
    <w:rPr>
      <w:b/>
      <w:i/>
    </w:rPr>
  </w:style>
  <w:style w:type="paragraph" w:styleId="Heading3">
    <w:name w:val="heading 3"/>
    <w:basedOn w:val="Normal"/>
    <w:next w:val="Normal"/>
    <w:link w:val="Heading3Char"/>
    <w:uiPriority w:val="9"/>
    <w:unhideWhenUsed/>
    <w:qFormat/>
    <w:rsid w:val="0073437D"/>
    <w:pPr>
      <w:keepNext/>
      <w:keepLines/>
      <w:numPr>
        <w:ilvl w:val="2"/>
        <w:numId w:val="54"/>
      </w:numPr>
      <w:spacing w:before="200" w:after="0"/>
      <w:outlineLvl w:val="2"/>
    </w:pPr>
    <w:rPr>
      <w:rFonts w:eastAsiaTheme="majorEastAsia"/>
      <w:bCs/>
      <w:i/>
    </w:rPr>
  </w:style>
  <w:style w:type="paragraph" w:styleId="Heading4">
    <w:name w:val="heading 4"/>
    <w:basedOn w:val="Normal"/>
    <w:next w:val="Normal"/>
    <w:link w:val="Heading4Char"/>
    <w:uiPriority w:val="9"/>
    <w:semiHidden/>
    <w:unhideWhenUsed/>
    <w:qFormat/>
    <w:rsid w:val="00F464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437D"/>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37D"/>
    <w:pPr>
      <w:keepNext/>
      <w:keepLines/>
      <w:numPr>
        <w:ilvl w:val="5"/>
        <w:numId w:val="54"/>
      </w:numPr>
      <w:spacing w:before="200" w:beforeAutospacing="0" w:after="0" w:afterAutospacing="0" w:line="360"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3437D"/>
    <w:pPr>
      <w:keepNext/>
      <w:keepLines/>
      <w:numPr>
        <w:ilvl w:val="6"/>
        <w:numId w:val="54"/>
      </w:numPr>
      <w:spacing w:before="200" w:beforeAutospacing="0" w:after="0" w:afterAutospacing="0" w:line="360"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3437D"/>
    <w:pPr>
      <w:keepNext/>
      <w:keepLines/>
      <w:numPr>
        <w:ilvl w:val="7"/>
        <w:numId w:val="54"/>
      </w:numPr>
      <w:spacing w:before="200" w:beforeAutospacing="0" w:after="0" w:afterAutospacing="0" w:line="36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3437D"/>
    <w:pPr>
      <w:keepNext/>
      <w:keepLines/>
      <w:numPr>
        <w:ilvl w:val="8"/>
        <w:numId w:val="54"/>
      </w:numPr>
      <w:spacing w:before="200" w:beforeAutospacing="0" w:after="0" w:afterAutospacing="0" w:line="36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771"/>
    <w:pPr>
      <w:ind w:left="284"/>
    </w:pPr>
    <w:rPr>
      <w:rFonts w:ascii="Times New Roman" w:hAnsi="Times New Roman"/>
    </w:rPr>
  </w:style>
  <w:style w:type="paragraph" w:customStyle="1" w:styleId="EndNoteBibliographyTitle">
    <w:name w:val="EndNote Bibliography Title"/>
    <w:basedOn w:val="Normal"/>
    <w:rsid w:val="00BB6498"/>
    <w:pPr>
      <w:jc w:val="center"/>
    </w:pPr>
    <w:rPr>
      <w:rFonts w:ascii="Cambria" w:hAnsi="Cambria"/>
      <w:lang w:val="en-US"/>
    </w:rPr>
  </w:style>
  <w:style w:type="paragraph" w:customStyle="1" w:styleId="EndNoteBibliography">
    <w:name w:val="EndNote Bibliography"/>
    <w:basedOn w:val="Normal"/>
    <w:rsid w:val="00BB6498"/>
    <w:pPr>
      <w:spacing w:line="240" w:lineRule="auto"/>
    </w:pPr>
    <w:rPr>
      <w:rFonts w:ascii="Cambria" w:hAnsi="Cambria"/>
      <w:lang w:val="en-US"/>
    </w:rPr>
  </w:style>
  <w:style w:type="paragraph" w:styleId="FootnoteText">
    <w:name w:val="footnote text"/>
    <w:basedOn w:val="Normal"/>
    <w:link w:val="FootnoteTextChar"/>
    <w:uiPriority w:val="99"/>
    <w:unhideWhenUsed/>
    <w:rsid w:val="00C93734"/>
  </w:style>
  <w:style w:type="character" w:customStyle="1" w:styleId="FootnoteTextChar">
    <w:name w:val="Footnote Text Char"/>
    <w:basedOn w:val="DefaultParagraphFont"/>
    <w:link w:val="FootnoteText"/>
    <w:uiPriority w:val="99"/>
    <w:rsid w:val="00C93734"/>
    <w:rPr>
      <w:lang w:val="en-CA"/>
    </w:rPr>
  </w:style>
  <w:style w:type="character" w:styleId="FootnoteReference">
    <w:name w:val="footnote reference"/>
    <w:basedOn w:val="DefaultParagraphFont"/>
    <w:uiPriority w:val="99"/>
    <w:unhideWhenUsed/>
    <w:rsid w:val="00C93734"/>
    <w:rPr>
      <w:vertAlign w:val="superscript"/>
    </w:rPr>
  </w:style>
  <w:style w:type="paragraph" w:styleId="Footer">
    <w:name w:val="footer"/>
    <w:basedOn w:val="Normal"/>
    <w:link w:val="FooterChar"/>
    <w:uiPriority w:val="99"/>
    <w:unhideWhenUsed/>
    <w:rsid w:val="00F3382C"/>
    <w:pPr>
      <w:tabs>
        <w:tab w:val="center" w:pos="4320"/>
        <w:tab w:val="right" w:pos="8640"/>
      </w:tabs>
    </w:pPr>
  </w:style>
  <w:style w:type="character" w:customStyle="1" w:styleId="FooterChar">
    <w:name w:val="Footer Char"/>
    <w:basedOn w:val="DefaultParagraphFont"/>
    <w:link w:val="Footer"/>
    <w:uiPriority w:val="99"/>
    <w:rsid w:val="00F3382C"/>
    <w:rPr>
      <w:lang w:val="en-CA"/>
    </w:rPr>
  </w:style>
  <w:style w:type="character" w:styleId="PageNumber">
    <w:name w:val="page number"/>
    <w:basedOn w:val="DefaultParagraphFont"/>
    <w:uiPriority w:val="99"/>
    <w:semiHidden/>
    <w:unhideWhenUsed/>
    <w:rsid w:val="00F3382C"/>
  </w:style>
  <w:style w:type="character" w:customStyle="1" w:styleId="Heading1Char">
    <w:name w:val="Heading 1 Char"/>
    <w:basedOn w:val="DefaultParagraphFont"/>
    <w:link w:val="Heading1"/>
    <w:uiPriority w:val="9"/>
    <w:rsid w:val="004972C0"/>
    <w:rPr>
      <w:rFonts w:ascii="Times New Roman" w:hAnsi="Times New Roman" w:cs="Times New Roman"/>
      <w:b/>
      <w:lang w:val="en-GB"/>
    </w:rPr>
  </w:style>
  <w:style w:type="paragraph" w:styleId="ListParagraph">
    <w:name w:val="List Paragraph"/>
    <w:basedOn w:val="Normal"/>
    <w:uiPriority w:val="34"/>
    <w:qFormat/>
    <w:rsid w:val="00920D6A"/>
    <w:pPr>
      <w:ind w:left="720"/>
      <w:contextualSpacing/>
    </w:pPr>
  </w:style>
  <w:style w:type="character" w:customStyle="1" w:styleId="Heading4Char">
    <w:name w:val="Heading 4 Char"/>
    <w:basedOn w:val="DefaultParagraphFont"/>
    <w:link w:val="Heading4"/>
    <w:uiPriority w:val="9"/>
    <w:semiHidden/>
    <w:rsid w:val="00F46443"/>
    <w:rPr>
      <w:rFonts w:asciiTheme="majorHAnsi" w:eastAsiaTheme="majorEastAsia" w:hAnsiTheme="majorHAnsi" w:cstheme="majorBidi"/>
      <w:b/>
      <w:bCs/>
      <w:i/>
      <w:iCs/>
      <w:color w:val="4F81BD" w:themeColor="accent1"/>
      <w:lang w:val="en-CA"/>
    </w:rPr>
  </w:style>
  <w:style w:type="character" w:styleId="CommentReference">
    <w:name w:val="annotation reference"/>
    <w:basedOn w:val="DefaultParagraphFont"/>
    <w:uiPriority w:val="99"/>
    <w:semiHidden/>
    <w:unhideWhenUsed/>
    <w:rsid w:val="004D0807"/>
    <w:rPr>
      <w:sz w:val="18"/>
      <w:szCs w:val="18"/>
    </w:rPr>
  </w:style>
  <w:style w:type="paragraph" w:styleId="CommentText">
    <w:name w:val="annotation text"/>
    <w:aliases w:val="Comment Text2"/>
    <w:basedOn w:val="Normal"/>
    <w:link w:val="CommentTextChar"/>
    <w:uiPriority w:val="99"/>
    <w:unhideWhenUsed/>
    <w:rsid w:val="004D0807"/>
    <w:pPr>
      <w:spacing w:line="240" w:lineRule="auto"/>
    </w:pPr>
  </w:style>
  <w:style w:type="character" w:customStyle="1" w:styleId="CommentTextChar">
    <w:name w:val="Comment Text Char"/>
    <w:aliases w:val="Comment Text2 Char"/>
    <w:basedOn w:val="DefaultParagraphFont"/>
    <w:link w:val="CommentText"/>
    <w:uiPriority w:val="99"/>
    <w:rsid w:val="004D0807"/>
    <w:rPr>
      <w:rFonts w:ascii="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4D0807"/>
    <w:rPr>
      <w:b/>
      <w:bCs/>
      <w:sz w:val="20"/>
      <w:szCs w:val="20"/>
    </w:rPr>
  </w:style>
  <w:style w:type="character" w:customStyle="1" w:styleId="CommentSubjectChar">
    <w:name w:val="Comment Subject Char"/>
    <w:basedOn w:val="CommentTextChar"/>
    <w:link w:val="CommentSubject"/>
    <w:uiPriority w:val="99"/>
    <w:semiHidden/>
    <w:rsid w:val="004D0807"/>
    <w:rPr>
      <w:rFonts w:ascii="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4D0807"/>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807"/>
    <w:rPr>
      <w:rFonts w:ascii="Lucida Grande" w:hAnsi="Lucida Grande" w:cs="Lucida Grande"/>
      <w:sz w:val="18"/>
      <w:szCs w:val="18"/>
      <w:lang w:val="en-CA"/>
    </w:rPr>
  </w:style>
  <w:style w:type="character" w:customStyle="1" w:styleId="Heading5Char">
    <w:name w:val="Heading 5 Char"/>
    <w:basedOn w:val="DefaultParagraphFont"/>
    <w:link w:val="Heading5"/>
    <w:uiPriority w:val="9"/>
    <w:rsid w:val="0073437D"/>
    <w:rPr>
      <w:rFonts w:asciiTheme="majorHAnsi" w:eastAsiaTheme="majorEastAsia" w:hAnsiTheme="majorHAnsi" w:cstheme="majorBidi"/>
      <w:color w:val="243F60" w:themeColor="accent1" w:themeShade="7F"/>
      <w:lang w:val="en-GB"/>
    </w:rPr>
  </w:style>
  <w:style w:type="paragraph" w:styleId="Caption">
    <w:name w:val="caption"/>
    <w:aliases w:val="table.Caption"/>
    <w:basedOn w:val="BodyText"/>
    <w:next w:val="BodyText"/>
    <w:uiPriority w:val="4"/>
    <w:qFormat/>
    <w:rsid w:val="00C475E6"/>
    <w:pPr>
      <w:keepNext/>
      <w:keepLines/>
      <w:tabs>
        <w:tab w:val="left" w:pos="0"/>
      </w:tabs>
      <w:spacing w:before="240" w:line="240" w:lineRule="auto"/>
    </w:pPr>
    <w:rPr>
      <w:rFonts w:ascii="Times New Roman" w:hAnsi="Times New Roman"/>
      <w:b/>
      <w:bCs/>
      <w:sz w:val="24"/>
      <w:lang w:val="en-GB"/>
    </w:rPr>
  </w:style>
  <w:style w:type="paragraph" w:styleId="BodyText">
    <w:name w:val="Body Text"/>
    <w:link w:val="BodyTextChar"/>
    <w:rsid w:val="009504FC"/>
    <w:pPr>
      <w:spacing w:before="120" w:after="120" w:line="280" w:lineRule="atLeast"/>
    </w:pPr>
    <w:rPr>
      <w:rFonts w:cs="Times New Roman"/>
      <w:sz w:val="22"/>
      <w:lang w:val="de-DE" w:eastAsia="de-DE"/>
    </w:rPr>
  </w:style>
  <w:style w:type="character" w:customStyle="1" w:styleId="BodyTextChar">
    <w:name w:val="Body Text Char"/>
    <w:basedOn w:val="DefaultParagraphFont"/>
    <w:link w:val="BodyText"/>
    <w:rsid w:val="009504FC"/>
    <w:rPr>
      <w:rFonts w:cs="Times New Roman"/>
      <w:sz w:val="22"/>
      <w:lang w:val="de-DE" w:eastAsia="de-DE"/>
    </w:rPr>
  </w:style>
  <w:style w:type="paragraph" w:styleId="NormalWeb">
    <w:name w:val="Normal (Web)"/>
    <w:basedOn w:val="Normal"/>
    <w:uiPriority w:val="99"/>
    <w:rsid w:val="009504FC"/>
    <w:pPr>
      <w:spacing w:before="120" w:beforeAutospacing="0" w:after="120" w:afterAutospacing="0" w:line="240" w:lineRule="auto"/>
      <w:ind w:firstLine="0"/>
    </w:pPr>
    <w:rPr>
      <w:lang w:eastAsia="de-DE"/>
    </w:rPr>
  </w:style>
  <w:style w:type="character" w:customStyle="1" w:styleId="Heading3Char">
    <w:name w:val="Heading 3 Char"/>
    <w:basedOn w:val="DefaultParagraphFont"/>
    <w:link w:val="Heading3"/>
    <w:uiPriority w:val="9"/>
    <w:rsid w:val="0073437D"/>
    <w:rPr>
      <w:rFonts w:ascii="Times New Roman" w:eastAsiaTheme="majorEastAsia" w:hAnsi="Times New Roman" w:cs="Times New Roman"/>
      <w:bCs/>
      <w:i/>
      <w:lang w:val="en-GB"/>
    </w:rPr>
  </w:style>
  <w:style w:type="table" w:styleId="LightList">
    <w:name w:val="Light List"/>
    <w:basedOn w:val="TableNormal"/>
    <w:uiPriority w:val="61"/>
    <w:rsid w:val="00F21ED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73437D"/>
    <w:rPr>
      <w:rFonts w:ascii="Times New Roman" w:hAnsi="Times New Roman" w:cs="Times New Roman"/>
      <w:b/>
      <w:i/>
      <w:lang w:val="en-GB"/>
    </w:rPr>
  </w:style>
  <w:style w:type="table" w:styleId="LightShading">
    <w:name w:val="Light Shading"/>
    <w:basedOn w:val="TableNormal"/>
    <w:uiPriority w:val="60"/>
    <w:rsid w:val="008F78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73CE8"/>
    <w:rPr>
      <w:rFonts w:ascii="Times New Roman" w:hAnsi="Times New Roman" w:cs="Times New Roman"/>
      <w:lang w:val="en-CA"/>
    </w:rPr>
  </w:style>
  <w:style w:type="paragraph" w:customStyle="1" w:styleId="Quellenverzeichnis">
    <w:name w:val="Quellenverzeichnis"/>
    <w:basedOn w:val="BodyText"/>
    <w:link w:val="QuellenverzeichnisZchn"/>
    <w:uiPriority w:val="6"/>
    <w:rsid w:val="00302749"/>
    <w:pPr>
      <w:spacing w:before="0" w:after="80"/>
    </w:pPr>
    <w:rPr>
      <w:rFonts w:asciiTheme="majorHAnsi" w:hAnsiTheme="majorHAnsi"/>
      <w:sz w:val="18"/>
    </w:rPr>
  </w:style>
  <w:style w:type="character" w:customStyle="1" w:styleId="QuellenverzeichnisZchn">
    <w:name w:val="Quellenverzeichnis Zchn"/>
    <w:basedOn w:val="BodyTextChar"/>
    <w:link w:val="Quellenverzeichnis"/>
    <w:uiPriority w:val="6"/>
    <w:rsid w:val="00302749"/>
    <w:rPr>
      <w:rFonts w:asciiTheme="majorHAnsi" w:hAnsiTheme="majorHAnsi" w:cs="Times New Roman"/>
      <w:sz w:val="18"/>
      <w:lang w:val="de-DE" w:eastAsia="de-DE"/>
    </w:rPr>
  </w:style>
  <w:style w:type="character" w:styleId="Hyperlink">
    <w:name w:val="Hyperlink"/>
    <w:basedOn w:val="DefaultParagraphFont"/>
    <w:uiPriority w:val="99"/>
    <w:unhideWhenUsed/>
    <w:rsid w:val="0051212E"/>
    <w:rPr>
      <w:color w:val="0000FF" w:themeColor="hyperlink"/>
      <w:u w:val="single"/>
    </w:rPr>
  </w:style>
  <w:style w:type="paragraph" w:styleId="Header">
    <w:name w:val="header"/>
    <w:basedOn w:val="Normal"/>
    <w:link w:val="HeaderChar"/>
    <w:uiPriority w:val="99"/>
    <w:unhideWhenUsed/>
    <w:rsid w:val="0067588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75884"/>
    <w:rPr>
      <w:rFonts w:ascii="Times New Roman" w:hAnsi="Times New Roman" w:cs="Times New Roman"/>
      <w:lang w:val="en-CA"/>
    </w:rPr>
  </w:style>
  <w:style w:type="character" w:styleId="FollowedHyperlink">
    <w:name w:val="FollowedHyperlink"/>
    <w:basedOn w:val="DefaultParagraphFont"/>
    <w:uiPriority w:val="99"/>
    <w:semiHidden/>
    <w:unhideWhenUsed/>
    <w:rsid w:val="0062535C"/>
    <w:rPr>
      <w:color w:val="800080" w:themeColor="followedHyperlink"/>
      <w:u w:val="single"/>
    </w:rPr>
  </w:style>
  <w:style w:type="character" w:customStyle="1" w:styleId="glossary-term">
    <w:name w:val="glossary-term"/>
    <w:basedOn w:val="DefaultParagraphFont"/>
    <w:rsid w:val="00D31F41"/>
  </w:style>
  <w:style w:type="character" w:customStyle="1" w:styleId="st">
    <w:name w:val="st"/>
    <w:basedOn w:val="DefaultParagraphFont"/>
    <w:rsid w:val="003A5138"/>
  </w:style>
  <w:style w:type="character" w:customStyle="1" w:styleId="Heading6Char">
    <w:name w:val="Heading 6 Char"/>
    <w:basedOn w:val="DefaultParagraphFont"/>
    <w:link w:val="Heading6"/>
    <w:uiPriority w:val="9"/>
    <w:semiHidden/>
    <w:rsid w:val="007343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43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43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437D"/>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uiPriority w:val="99"/>
    <w:semiHidden/>
    <w:unhideWhenUsed/>
    <w:rsid w:val="00297877"/>
  </w:style>
  <w:style w:type="paragraph" w:styleId="DocumentMap">
    <w:name w:val="Document Map"/>
    <w:basedOn w:val="Normal"/>
    <w:link w:val="DocumentMapChar"/>
    <w:uiPriority w:val="99"/>
    <w:semiHidden/>
    <w:unhideWhenUsed/>
    <w:rsid w:val="00E94303"/>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94303"/>
    <w:rPr>
      <w:rFonts w:ascii="Lucida Grande" w:hAnsi="Lucida Grande" w:cs="Lucida Grand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4"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81"/>
    <w:pPr>
      <w:spacing w:before="100" w:beforeAutospacing="1" w:after="100" w:afterAutospacing="1" w:line="480" w:lineRule="auto"/>
      <w:ind w:left="284" w:firstLine="284"/>
    </w:pPr>
    <w:rPr>
      <w:rFonts w:ascii="Times New Roman" w:hAnsi="Times New Roman" w:cs="Times New Roman"/>
      <w:lang w:val="en-GB"/>
    </w:rPr>
  </w:style>
  <w:style w:type="paragraph" w:styleId="Heading1">
    <w:name w:val="heading 1"/>
    <w:basedOn w:val="Normal"/>
    <w:next w:val="Normal"/>
    <w:link w:val="Heading1Char"/>
    <w:uiPriority w:val="9"/>
    <w:qFormat/>
    <w:rsid w:val="004972C0"/>
    <w:pPr>
      <w:outlineLvl w:val="0"/>
    </w:pPr>
    <w:rPr>
      <w:b/>
    </w:rPr>
  </w:style>
  <w:style w:type="paragraph" w:styleId="Heading2">
    <w:name w:val="heading 2"/>
    <w:basedOn w:val="Normal"/>
    <w:next w:val="Normal"/>
    <w:link w:val="Heading2Char"/>
    <w:uiPriority w:val="9"/>
    <w:unhideWhenUsed/>
    <w:qFormat/>
    <w:rsid w:val="0073437D"/>
    <w:pPr>
      <w:numPr>
        <w:ilvl w:val="1"/>
        <w:numId w:val="54"/>
      </w:numPr>
      <w:outlineLvl w:val="1"/>
    </w:pPr>
    <w:rPr>
      <w:b/>
      <w:i/>
    </w:rPr>
  </w:style>
  <w:style w:type="paragraph" w:styleId="Heading3">
    <w:name w:val="heading 3"/>
    <w:basedOn w:val="Normal"/>
    <w:next w:val="Normal"/>
    <w:link w:val="Heading3Char"/>
    <w:uiPriority w:val="9"/>
    <w:unhideWhenUsed/>
    <w:qFormat/>
    <w:rsid w:val="0073437D"/>
    <w:pPr>
      <w:keepNext/>
      <w:keepLines/>
      <w:numPr>
        <w:ilvl w:val="2"/>
        <w:numId w:val="54"/>
      </w:numPr>
      <w:spacing w:before="200" w:after="0"/>
      <w:outlineLvl w:val="2"/>
    </w:pPr>
    <w:rPr>
      <w:rFonts w:eastAsiaTheme="majorEastAsia"/>
      <w:bCs/>
      <w:i/>
    </w:rPr>
  </w:style>
  <w:style w:type="paragraph" w:styleId="Heading4">
    <w:name w:val="heading 4"/>
    <w:basedOn w:val="Normal"/>
    <w:next w:val="Normal"/>
    <w:link w:val="Heading4Char"/>
    <w:uiPriority w:val="9"/>
    <w:semiHidden/>
    <w:unhideWhenUsed/>
    <w:qFormat/>
    <w:rsid w:val="00F464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437D"/>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37D"/>
    <w:pPr>
      <w:keepNext/>
      <w:keepLines/>
      <w:numPr>
        <w:ilvl w:val="5"/>
        <w:numId w:val="54"/>
      </w:numPr>
      <w:spacing w:before="200" w:beforeAutospacing="0" w:after="0" w:afterAutospacing="0" w:line="360"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3437D"/>
    <w:pPr>
      <w:keepNext/>
      <w:keepLines/>
      <w:numPr>
        <w:ilvl w:val="6"/>
        <w:numId w:val="54"/>
      </w:numPr>
      <w:spacing w:before="200" w:beforeAutospacing="0" w:after="0" w:afterAutospacing="0" w:line="360"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3437D"/>
    <w:pPr>
      <w:keepNext/>
      <w:keepLines/>
      <w:numPr>
        <w:ilvl w:val="7"/>
        <w:numId w:val="54"/>
      </w:numPr>
      <w:spacing w:before="200" w:beforeAutospacing="0" w:after="0" w:afterAutospacing="0" w:line="36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3437D"/>
    <w:pPr>
      <w:keepNext/>
      <w:keepLines/>
      <w:numPr>
        <w:ilvl w:val="8"/>
        <w:numId w:val="54"/>
      </w:numPr>
      <w:spacing w:before="200" w:beforeAutospacing="0" w:after="0" w:afterAutospacing="0" w:line="36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771"/>
    <w:pPr>
      <w:ind w:left="284"/>
    </w:pPr>
    <w:rPr>
      <w:rFonts w:ascii="Times New Roman" w:hAnsi="Times New Roman"/>
    </w:rPr>
  </w:style>
  <w:style w:type="paragraph" w:customStyle="1" w:styleId="EndNoteBibliographyTitle">
    <w:name w:val="EndNote Bibliography Title"/>
    <w:basedOn w:val="Normal"/>
    <w:rsid w:val="00BB6498"/>
    <w:pPr>
      <w:jc w:val="center"/>
    </w:pPr>
    <w:rPr>
      <w:rFonts w:ascii="Cambria" w:hAnsi="Cambria"/>
      <w:lang w:val="en-US"/>
    </w:rPr>
  </w:style>
  <w:style w:type="paragraph" w:customStyle="1" w:styleId="EndNoteBibliography">
    <w:name w:val="EndNote Bibliography"/>
    <w:basedOn w:val="Normal"/>
    <w:rsid w:val="00BB6498"/>
    <w:pPr>
      <w:spacing w:line="240" w:lineRule="auto"/>
    </w:pPr>
    <w:rPr>
      <w:rFonts w:ascii="Cambria" w:hAnsi="Cambria"/>
      <w:lang w:val="en-US"/>
    </w:rPr>
  </w:style>
  <w:style w:type="paragraph" w:styleId="FootnoteText">
    <w:name w:val="footnote text"/>
    <w:basedOn w:val="Normal"/>
    <w:link w:val="FootnoteTextChar"/>
    <w:uiPriority w:val="99"/>
    <w:unhideWhenUsed/>
    <w:rsid w:val="00C93734"/>
  </w:style>
  <w:style w:type="character" w:customStyle="1" w:styleId="FootnoteTextChar">
    <w:name w:val="Footnote Text Char"/>
    <w:basedOn w:val="DefaultParagraphFont"/>
    <w:link w:val="FootnoteText"/>
    <w:uiPriority w:val="99"/>
    <w:rsid w:val="00C93734"/>
    <w:rPr>
      <w:lang w:val="en-CA"/>
    </w:rPr>
  </w:style>
  <w:style w:type="character" w:styleId="FootnoteReference">
    <w:name w:val="footnote reference"/>
    <w:basedOn w:val="DefaultParagraphFont"/>
    <w:uiPriority w:val="99"/>
    <w:unhideWhenUsed/>
    <w:rsid w:val="00C93734"/>
    <w:rPr>
      <w:vertAlign w:val="superscript"/>
    </w:rPr>
  </w:style>
  <w:style w:type="paragraph" w:styleId="Footer">
    <w:name w:val="footer"/>
    <w:basedOn w:val="Normal"/>
    <w:link w:val="FooterChar"/>
    <w:uiPriority w:val="99"/>
    <w:unhideWhenUsed/>
    <w:rsid w:val="00F3382C"/>
    <w:pPr>
      <w:tabs>
        <w:tab w:val="center" w:pos="4320"/>
        <w:tab w:val="right" w:pos="8640"/>
      </w:tabs>
    </w:pPr>
  </w:style>
  <w:style w:type="character" w:customStyle="1" w:styleId="FooterChar">
    <w:name w:val="Footer Char"/>
    <w:basedOn w:val="DefaultParagraphFont"/>
    <w:link w:val="Footer"/>
    <w:uiPriority w:val="99"/>
    <w:rsid w:val="00F3382C"/>
    <w:rPr>
      <w:lang w:val="en-CA"/>
    </w:rPr>
  </w:style>
  <w:style w:type="character" w:styleId="PageNumber">
    <w:name w:val="page number"/>
    <w:basedOn w:val="DefaultParagraphFont"/>
    <w:uiPriority w:val="99"/>
    <w:semiHidden/>
    <w:unhideWhenUsed/>
    <w:rsid w:val="00F3382C"/>
  </w:style>
  <w:style w:type="character" w:customStyle="1" w:styleId="Heading1Char">
    <w:name w:val="Heading 1 Char"/>
    <w:basedOn w:val="DefaultParagraphFont"/>
    <w:link w:val="Heading1"/>
    <w:uiPriority w:val="9"/>
    <w:rsid w:val="004972C0"/>
    <w:rPr>
      <w:rFonts w:ascii="Times New Roman" w:hAnsi="Times New Roman" w:cs="Times New Roman"/>
      <w:b/>
      <w:lang w:val="en-GB"/>
    </w:rPr>
  </w:style>
  <w:style w:type="paragraph" w:styleId="ListParagraph">
    <w:name w:val="List Paragraph"/>
    <w:basedOn w:val="Normal"/>
    <w:uiPriority w:val="34"/>
    <w:qFormat/>
    <w:rsid w:val="00920D6A"/>
    <w:pPr>
      <w:ind w:left="720"/>
      <w:contextualSpacing/>
    </w:pPr>
  </w:style>
  <w:style w:type="character" w:customStyle="1" w:styleId="Heading4Char">
    <w:name w:val="Heading 4 Char"/>
    <w:basedOn w:val="DefaultParagraphFont"/>
    <w:link w:val="Heading4"/>
    <w:uiPriority w:val="9"/>
    <w:semiHidden/>
    <w:rsid w:val="00F46443"/>
    <w:rPr>
      <w:rFonts w:asciiTheme="majorHAnsi" w:eastAsiaTheme="majorEastAsia" w:hAnsiTheme="majorHAnsi" w:cstheme="majorBidi"/>
      <w:b/>
      <w:bCs/>
      <w:i/>
      <w:iCs/>
      <w:color w:val="4F81BD" w:themeColor="accent1"/>
      <w:lang w:val="en-CA"/>
    </w:rPr>
  </w:style>
  <w:style w:type="character" w:styleId="CommentReference">
    <w:name w:val="annotation reference"/>
    <w:basedOn w:val="DefaultParagraphFont"/>
    <w:uiPriority w:val="99"/>
    <w:semiHidden/>
    <w:unhideWhenUsed/>
    <w:rsid w:val="004D0807"/>
    <w:rPr>
      <w:sz w:val="18"/>
      <w:szCs w:val="18"/>
    </w:rPr>
  </w:style>
  <w:style w:type="paragraph" w:styleId="CommentText">
    <w:name w:val="annotation text"/>
    <w:aliases w:val="Comment Text2"/>
    <w:basedOn w:val="Normal"/>
    <w:link w:val="CommentTextChar"/>
    <w:uiPriority w:val="99"/>
    <w:unhideWhenUsed/>
    <w:rsid w:val="004D0807"/>
    <w:pPr>
      <w:spacing w:line="240" w:lineRule="auto"/>
    </w:pPr>
  </w:style>
  <w:style w:type="character" w:customStyle="1" w:styleId="CommentTextChar">
    <w:name w:val="Comment Text Char"/>
    <w:aliases w:val="Comment Text2 Char"/>
    <w:basedOn w:val="DefaultParagraphFont"/>
    <w:link w:val="CommentText"/>
    <w:uiPriority w:val="99"/>
    <w:rsid w:val="004D0807"/>
    <w:rPr>
      <w:rFonts w:ascii="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4D0807"/>
    <w:rPr>
      <w:b/>
      <w:bCs/>
      <w:sz w:val="20"/>
      <w:szCs w:val="20"/>
    </w:rPr>
  </w:style>
  <w:style w:type="character" w:customStyle="1" w:styleId="CommentSubjectChar">
    <w:name w:val="Comment Subject Char"/>
    <w:basedOn w:val="CommentTextChar"/>
    <w:link w:val="CommentSubject"/>
    <w:uiPriority w:val="99"/>
    <w:semiHidden/>
    <w:rsid w:val="004D0807"/>
    <w:rPr>
      <w:rFonts w:ascii="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4D0807"/>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807"/>
    <w:rPr>
      <w:rFonts w:ascii="Lucida Grande" w:hAnsi="Lucida Grande" w:cs="Lucida Grande"/>
      <w:sz w:val="18"/>
      <w:szCs w:val="18"/>
      <w:lang w:val="en-CA"/>
    </w:rPr>
  </w:style>
  <w:style w:type="character" w:customStyle="1" w:styleId="Heading5Char">
    <w:name w:val="Heading 5 Char"/>
    <w:basedOn w:val="DefaultParagraphFont"/>
    <w:link w:val="Heading5"/>
    <w:uiPriority w:val="9"/>
    <w:rsid w:val="0073437D"/>
    <w:rPr>
      <w:rFonts w:asciiTheme="majorHAnsi" w:eastAsiaTheme="majorEastAsia" w:hAnsiTheme="majorHAnsi" w:cstheme="majorBidi"/>
      <w:color w:val="243F60" w:themeColor="accent1" w:themeShade="7F"/>
      <w:lang w:val="en-GB"/>
    </w:rPr>
  </w:style>
  <w:style w:type="paragraph" w:styleId="Caption">
    <w:name w:val="caption"/>
    <w:aliases w:val="table.Caption"/>
    <w:basedOn w:val="BodyText"/>
    <w:next w:val="BodyText"/>
    <w:uiPriority w:val="4"/>
    <w:qFormat/>
    <w:rsid w:val="00C475E6"/>
    <w:pPr>
      <w:keepNext/>
      <w:keepLines/>
      <w:tabs>
        <w:tab w:val="left" w:pos="0"/>
      </w:tabs>
      <w:spacing w:before="240" w:line="240" w:lineRule="auto"/>
    </w:pPr>
    <w:rPr>
      <w:rFonts w:ascii="Times New Roman" w:hAnsi="Times New Roman"/>
      <w:b/>
      <w:bCs/>
      <w:sz w:val="24"/>
      <w:lang w:val="en-GB"/>
    </w:rPr>
  </w:style>
  <w:style w:type="paragraph" w:styleId="BodyText">
    <w:name w:val="Body Text"/>
    <w:link w:val="BodyTextChar"/>
    <w:rsid w:val="009504FC"/>
    <w:pPr>
      <w:spacing w:before="120" w:after="120" w:line="280" w:lineRule="atLeast"/>
    </w:pPr>
    <w:rPr>
      <w:rFonts w:cs="Times New Roman"/>
      <w:sz w:val="22"/>
      <w:lang w:val="de-DE" w:eastAsia="de-DE"/>
    </w:rPr>
  </w:style>
  <w:style w:type="character" w:customStyle="1" w:styleId="BodyTextChar">
    <w:name w:val="Body Text Char"/>
    <w:basedOn w:val="DefaultParagraphFont"/>
    <w:link w:val="BodyText"/>
    <w:rsid w:val="009504FC"/>
    <w:rPr>
      <w:rFonts w:cs="Times New Roman"/>
      <w:sz w:val="22"/>
      <w:lang w:val="de-DE" w:eastAsia="de-DE"/>
    </w:rPr>
  </w:style>
  <w:style w:type="paragraph" w:styleId="NormalWeb">
    <w:name w:val="Normal (Web)"/>
    <w:basedOn w:val="Normal"/>
    <w:uiPriority w:val="99"/>
    <w:rsid w:val="009504FC"/>
    <w:pPr>
      <w:spacing w:before="120" w:beforeAutospacing="0" w:after="120" w:afterAutospacing="0" w:line="240" w:lineRule="auto"/>
      <w:ind w:firstLine="0"/>
    </w:pPr>
    <w:rPr>
      <w:lang w:eastAsia="de-DE"/>
    </w:rPr>
  </w:style>
  <w:style w:type="character" w:customStyle="1" w:styleId="Heading3Char">
    <w:name w:val="Heading 3 Char"/>
    <w:basedOn w:val="DefaultParagraphFont"/>
    <w:link w:val="Heading3"/>
    <w:uiPriority w:val="9"/>
    <w:rsid w:val="0073437D"/>
    <w:rPr>
      <w:rFonts w:ascii="Times New Roman" w:eastAsiaTheme="majorEastAsia" w:hAnsi="Times New Roman" w:cs="Times New Roman"/>
      <w:bCs/>
      <w:i/>
      <w:lang w:val="en-GB"/>
    </w:rPr>
  </w:style>
  <w:style w:type="table" w:styleId="LightList">
    <w:name w:val="Light List"/>
    <w:basedOn w:val="TableNormal"/>
    <w:uiPriority w:val="61"/>
    <w:rsid w:val="00F21ED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73437D"/>
    <w:rPr>
      <w:rFonts w:ascii="Times New Roman" w:hAnsi="Times New Roman" w:cs="Times New Roman"/>
      <w:b/>
      <w:i/>
      <w:lang w:val="en-GB"/>
    </w:rPr>
  </w:style>
  <w:style w:type="table" w:styleId="LightShading">
    <w:name w:val="Light Shading"/>
    <w:basedOn w:val="TableNormal"/>
    <w:uiPriority w:val="60"/>
    <w:rsid w:val="008F78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73CE8"/>
    <w:rPr>
      <w:rFonts w:ascii="Times New Roman" w:hAnsi="Times New Roman" w:cs="Times New Roman"/>
      <w:lang w:val="en-CA"/>
    </w:rPr>
  </w:style>
  <w:style w:type="paragraph" w:customStyle="1" w:styleId="Quellenverzeichnis">
    <w:name w:val="Quellenverzeichnis"/>
    <w:basedOn w:val="BodyText"/>
    <w:link w:val="QuellenverzeichnisZchn"/>
    <w:uiPriority w:val="6"/>
    <w:rsid w:val="00302749"/>
    <w:pPr>
      <w:spacing w:before="0" w:after="80"/>
    </w:pPr>
    <w:rPr>
      <w:rFonts w:asciiTheme="majorHAnsi" w:hAnsiTheme="majorHAnsi"/>
      <w:sz w:val="18"/>
    </w:rPr>
  </w:style>
  <w:style w:type="character" w:customStyle="1" w:styleId="QuellenverzeichnisZchn">
    <w:name w:val="Quellenverzeichnis Zchn"/>
    <w:basedOn w:val="BodyTextChar"/>
    <w:link w:val="Quellenverzeichnis"/>
    <w:uiPriority w:val="6"/>
    <w:rsid w:val="00302749"/>
    <w:rPr>
      <w:rFonts w:asciiTheme="majorHAnsi" w:hAnsiTheme="majorHAnsi" w:cs="Times New Roman"/>
      <w:sz w:val="18"/>
      <w:lang w:val="de-DE" w:eastAsia="de-DE"/>
    </w:rPr>
  </w:style>
  <w:style w:type="character" w:styleId="Hyperlink">
    <w:name w:val="Hyperlink"/>
    <w:basedOn w:val="DefaultParagraphFont"/>
    <w:uiPriority w:val="99"/>
    <w:unhideWhenUsed/>
    <w:rsid w:val="0051212E"/>
    <w:rPr>
      <w:color w:val="0000FF" w:themeColor="hyperlink"/>
      <w:u w:val="single"/>
    </w:rPr>
  </w:style>
  <w:style w:type="paragraph" w:styleId="Header">
    <w:name w:val="header"/>
    <w:basedOn w:val="Normal"/>
    <w:link w:val="HeaderChar"/>
    <w:uiPriority w:val="99"/>
    <w:unhideWhenUsed/>
    <w:rsid w:val="0067588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75884"/>
    <w:rPr>
      <w:rFonts w:ascii="Times New Roman" w:hAnsi="Times New Roman" w:cs="Times New Roman"/>
      <w:lang w:val="en-CA"/>
    </w:rPr>
  </w:style>
  <w:style w:type="character" w:styleId="FollowedHyperlink">
    <w:name w:val="FollowedHyperlink"/>
    <w:basedOn w:val="DefaultParagraphFont"/>
    <w:uiPriority w:val="99"/>
    <w:semiHidden/>
    <w:unhideWhenUsed/>
    <w:rsid w:val="0062535C"/>
    <w:rPr>
      <w:color w:val="800080" w:themeColor="followedHyperlink"/>
      <w:u w:val="single"/>
    </w:rPr>
  </w:style>
  <w:style w:type="character" w:customStyle="1" w:styleId="glossary-term">
    <w:name w:val="glossary-term"/>
    <w:basedOn w:val="DefaultParagraphFont"/>
    <w:rsid w:val="00D31F41"/>
  </w:style>
  <w:style w:type="character" w:customStyle="1" w:styleId="st">
    <w:name w:val="st"/>
    <w:basedOn w:val="DefaultParagraphFont"/>
    <w:rsid w:val="003A5138"/>
  </w:style>
  <w:style w:type="character" w:customStyle="1" w:styleId="Heading6Char">
    <w:name w:val="Heading 6 Char"/>
    <w:basedOn w:val="DefaultParagraphFont"/>
    <w:link w:val="Heading6"/>
    <w:uiPriority w:val="9"/>
    <w:semiHidden/>
    <w:rsid w:val="007343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43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43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437D"/>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uiPriority w:val="99"/>
    <w:semiHidden/>
    <w:unhideWhenUsed/>
    <w:rsid w:val="00297877"/>
  </w:style>
  <w:style w:type="paragraph" w:styleId="DocumentMap">
    <w:name w:val="Document Map"/>
    <w:basedOn w:val="Normal"/>
    <w:link w:val="DocumentMapChar"/>
    <w:uiPriority w:val="99"/>
    <w:semiHidden/>
    <w:unhideWhenUsed/>
    <w:rsid w:val="00E94303"/>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9430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5020">
      <w:bodyDiv w:val="1"/>
      <w:marLeft w:val="0"/>
      <w:marRight w:val="0"/>
      <w:marTop w:val="0"/>
      <w:marBottom w:val="0"/>
      <w:divBdr>
        <w:top w:val="none" w:sz="0" w:space="0" w:color="auto"/>
        <w:left w:val="none" w:sz="0" w:space="0" w:color="auto"/>
        <w:bottom w:val="none" w:sz="0" w:space="0" w:color="auto"/>
        <w:right w:val="none" w:sz="0" w:space="0" w:color="auto"/>
      </w:divBdr>
    </w:div>
    <w:div w:id="86273712">
      <w:bodyDiv w:val="1"/>
      <w:marLeft w:val="0"/>
      <w:marRight w:val="0"/>
      <w:marTop w:val="0"/>
      <w:marBottom w:val="0"/>
      <w:divBdr>
        <w:top w:val="none" w:sz="0" w:space="0" w:color="auto"/>
        <w:left w:val="none" w:sz="0" w:space="0" w:color="auto"/>
        <w:bottom w:val="none" w:sz="0" w:space="0" w:color="auto"/>
        <w:right w:val="none" w:sz="0" w:space="0" w:color="auto"/>
      </w:divBdr>
    </w:div>
    <w:div w:id="239800972">
      <w:bodyDiv w:val="1"/>
      <w:marLeft w:val="0"/>
      <w:marRight w:val="0"/>
      <w:marTop w:val="0"/>
      <w:marBottom w:val="0"/>
      <w:divBdr>
        <w:top w:val="none" w:sz="0" w:space="0" w:color="auto"/>
        <w:left w:val="none" w:sz="0" w:space="0" w:color="auto"/>
        <w:bottom w:val="none" w:sz="0" w:space="0" w:color="auto"/>
        <w:right w:val="none" w:sz="0" w:space="0" w:color="auto"/>
      </w:divBdr>
    </w:div>
    <w:div w:id="241720514">
      <w:bodyDiv w:val="1"/>
      <w:marLeft w:val="0"/>
      <w:marRight w:val="0"/>
      <w:marTop w:val="0"/>
      <w:marBottom w:val="0"/>
      <w:divBdr>
        <w:top w:val="none" w:sz="0" w:space="0" w:color="auto"/>
        <w:left w:val="none" w:sz="0" w:space="0" w:color="auto"/>
        <w:bottom w:val="none" w:sz="0" w:space="0" w:color="auto"/>
        <w:right w:val="none" w:sz="0" w:space="0" w:color="auto"/>
      </w:divBdr>
    </w:div>
    <w:div w:id="249194721">
      <w:bodyDiv w:val="1"/>
      <w:marLeft w:val="0"/>
      <w:marRight w:val="0"/>
      <w:marTop w:val="0"/>
      <w:marBottom w:val="0"/>
      <w:divBdr>
        <w:top w:val="none" w:sz="0" w:space="0" w:color="auto"/>
        <w:left w:val="none" w:sz="0" w:space="0" w:color="auto"/>
        <w:bottom w:val="none" w:sz="0" w:space="0" w:color="auto"/>
        <w:right w:val="none" w:sz="0" w:space="0" w:color="auto"/>
      </w:divBdr>
    </w:div>
    <w:div w:id="250890225">
      <w:bodyDiv w:val="1"/>
      <w:marLeft w:val="0"/>
      <w:marRight w:val="0"/>
      <w:marTop w:val="0"/>
      <w:marBottom w:val="0"/>
      <w:divBdr>
        <w:top w:val="none" w:sz="0" w:space="0" w:color="auto"/>
        <w:left w:val="none" w:sz="0" w:space="0" w:color="auto"/>
        <w:bottom w:val="none" w:sz="0" w:space="0" w:color="auto"/>
        <w:right w:val="none" w:sz="0" w:space="0" w:color="auto"/>
      </w:divBdr>
    </w:div>
    <w:div w:id="266231267">
      <w:bodyDiv w:val="1"/>
      <w:marLeft w:val="0"/>
      <w:marRight w:val="0"/>
      <w:marTop w:val="0"/>
      <w:marBottom w:val="0"/>
      <w:divBdr>
        <w:top w:val="none" w:sz="0" w:space="0" w:color="auto"/>
        <w:left w:val="none" w:sz="0" w:space="0" w:color="auto"/>
        <w:bottom w:val="none" w:sz="0" w:space="0" w:color="auto"/>
        <w:right w:val="none" w:sz="0" w:space="0" w:color="auto"/>
      </w:divBdr>
    </w:div>
    <w:div w:id="322705344">
      <w:bodyDiv w:val="1"/>
      <w:marLeft w:val="0"/>
      <w:marRight w:val="0"/>
      <w:marTop w:val="0"/>
      <w:marBottom w:val="0"/>
      <w:divBdr>
        <w:top w:val="none" w:sz="0" w:space="0" w:color="auto"/>
        <w:left w:val="none" w:sz="0" w:space="0" w:color="auto"/>
        <w:bottom w:val="none" w:sz="0" w:space="0" w:color="auto"/>
        <w:right w:val="none" w:sz="0" w:space="0" w:color="auto"/>
      </w:divBdr>
      <w:divsChild>
        <w:div w:id="864946404">
          <w:marLeft w:val="0"/>
          <w:marRight w:val="0"/>
          <w:marTop w:val="0"/>
          <w:marBottom w:val="0"/>
          <w:divBdr>
            <w:top w:val="none" w:sz="0" w:space="0" w:color="auto"/>
            <w:left w:val="none" w:sz="0" w:space="0" w:color="auto"/>
            <w:bottom w:val="none" w:sz="0" w:space="0" w:color="auto"/>
            <w:right w:val="none" w:sz="0" w:space="0" w:color="auto"/>
          </w:divBdr>
          <w:divsChild>
            <w:div w:id="1182821925">
              <w:marLeft w:val="0"/>
              <w:marRight w:val="0"/>
              <w:marTop w:val="0"/>
              <w:marBottom w:val="0"/>
              <w:divBdr>
                <w:top w:val="none" w:sz="0" w:space="0" w:color="auto"/>
                <w:left w:val="none" w:sz="0" w:space="0" w:color="auto"/>
                <w:bottom w:val="none" w:sz="0" w:space="0" w:color="auto"/>
                <w:right w:val="none" w:sz="0" w:space="0" w:color="auto"/>
              </w:divBdr>
              <w:divsChild>
                <w:div w:id="13773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8445">
      <w:bodyDiv w:val="1"/>
      <w:marLeft w:val="0"/>
      <w:marRight w:val="0"/>
      <w:marTop w:val="0"/>
      <w:marBottom w:val="0"/>
      <w:divBdr>
        <w:top w:val="none" w:sz="0" w:space="0" w:color="auto"/>
        <w:left w:val="none" w:sz="0" w:space="0" w:color="auto"/>
        <w:bottom w:val="none" w:sz="0" w:space="0" w:color="auto"/>
        <w:right w:val="none" w:sz="0" w:space="0" w:color="auto"/>
      </w:divBdr>
    </w:div>
    <w:div w:id="356547380">
      <w:bodyDiv w:val="1"/>
      <w:marLeft w:val="0"/>
      <w:marRight w:val="0"/>
      <w:marTop w:val="0"/>
      <w:marBottom w:val="0"/>
      <w:divBdr>
        <w:top w:val="none" w:sz="0" w:space="0" w:color="auto"/>
        <w:left w:val="none" w:sz="0" w:space="0" w:color="auto"/>
        <w:bottom w:val="none" w:sz="0" w:space="0" w:color="auto"/>
        <w:right w:val="none" w:sz="0" w:space="0" w:color="auto"/>
      </w:divBdr>
    </w:div>
    <w:div w:id="420370505">
      <w:bodyDiv w:val="1"/>
      <w:marLeft w:val="0"/>
      <w:marRight w:val="0"/>
      <w:marTop w:val="0"/>
      <w:marBottom w:val="0"/>
      <w:divBdr>
        <w:top w:val="none" w:sz="0" w:space="0" w:color="auto"/>
        <w:left w:val="none" w:sz="0" w:space="0" w:color="auto"/>
        <w:bottom w:val="none" w:sz="0" w:space="0" w:color="auto"/>
        <w:right w:val="none" w:sz="0" w:space="0" w:color="auto"/>
      </w:divBdr>
    </w:div>
    <w:div w:id="422727992">
      <w:bodyDiv w:val="1"/>
      <w:marLeft w:val="0"/>
      <w:marRight w:val="0"/>
      <w:marTop w:val="0"/>
      <w:marBottom w:val="0"/>
      <w:divBdr>
        <w:top w:val="none" w:sz="0" w:space="0" w:color="auto"/>
        <w:left w:val="none" w:sz="0" w:space="0" w:color="auto"/>
        <w:bottom w:val="none" w:sz="0" w:space="0" w:color="auto"/>
        <w:right w:val="none" w:sz="0" w:space="0" w:color="auto"/>
      </w:divBdr>
    </w:div>
    <w:div w:id="447042699">
      <w:bodyDiv w:val="1"/>
      <w:marLeft w:val="0"/>
      <w:marRight w:val="0"/>
      <w:marTop w:val="0"/>
      <w:marBottom w:val="0"/>
      <w:divBdr>
        <w:top w:val="none" w:sz="0" w:space="0" w:color="auto"/>
        <w:left w:val="none" w:sz="0" w:space="0" w:color="auto"/>
        <w:bottom w:val="none" w:sz="0" w:space="0" w:color="auto"/>
        <w:right w:val="none" w:sz="0" w:space="0" w:color="auto"/>
      </w:divBdr>
      <w:divsChild>
        <w:div w:id="1479884041">
          <w:marLeft w:val="0"/>
          <w:marRight w:val="0"/>
          <w:marTop w:val="0"/>
          <w:marBottom w:val="0"/>
          <w:divBdr>
            <w:top w:val="none" w:sz="0" w:space="0" w:color="auto"/>
            <w:left w:val="none" w:sz="0" w:space="0" w:color="auto"/>
            <w:bottom w:val="none" w:sz="0" w:space="0" w:color="auto"/>
            <w:right w:val="none" w:sz="0" w:space="0" w:color="auto"/>
          </w:divBdr>
          <w:divsChild>
            <w:div w:id="508757411">
              <w:marLeft w:val="0"/>
              <w:marRight w:val="0"/>
              <w:marTop w:val="0"/>
              <w:marBottom w:val="0"/>
              <w:divBdr>
                <w:top w:val="none" w:sz="0" w:space="0" w:color="auto"/>
                <w:left w:val="none" w:sz="0" w:space="0" w:color="auto"/>
                <w:bottom w:val="none" w:sz="0" w:space="0" w:color="auto"/>
                <w:right w:val="none" w:sz="0" w:space="0" w:color="auto"/>
              </w:divBdr>
              <w:divsChild>
                <w:div w:id="478813717">
                  <w:marLeft w:val="0"/>
                  <w:marRight w:val="0"/>
                  <w:marTop w:val="0"/>
                  <w:marBottom w:val="0"/>
                  <w:divBdr>
                    <w:top w:val="none" w:sz="0" w:space="0" w:color="auto"/>
                    <w:left w:val="none" w:sz="0" w:space="0" w:color="auto"/>
                    <w:bottom w:val="none" w:sz="0" w:space="0" w:color="auto"/>
                    <w:right w:val="none" w:sz="0" w:space="0" w:color="auto"/>
                  </w:divBdr>
                  <w:divsChild>
                    <w:div w:id="786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9748">
      <w:bodyDiv w:val="1"/>
      <w:marLeft w:val="0"/>
      <w:marRight w:val="0"/>
      <w:marTop w:val="0"/>
      <w:marBottom w:val="0"/>
      <w:divBdr>
        <w:top w:val="none" w:sz="0" w:space="0" w:color="auto"/>
        <w:left w:val="none" w:sz="0" w:space="0" w:color="auto"/>
        <w:bottom w:val="none" w:sz="0" w:space="0" w:color="auto"/>
        <w:right w:val="none" w:sz="0" w:space="0" w:color="auto"/>
      </w:divBdr>
    </w:div>
    <w:div w:id="479465921">
      <w:bodyDiv w:val="1"/>
      <w:marLeft w:val="0"/>
      <w:marRight w:val="0"/>
      <w:marTop w:val="0"/>
      <w:marBottom w:val="0"/>
      <w:divBdr>
        <w:top w:val="none" w:sz="0" w:space="0" w:color="auto"/>
        <w:left w:val="none" w:sz="0" w:space="0" w:color="auto"/>
        <w:bottom w:val="none" w:sz="0" w:space="0" w:color="auto"/>
        <w:right w:val="none" w:sz="0" w:space="0" w:color="auto"/>
      </w:divBdr>
    </w:div>
    <w:div w:id="491532406">
      <w:bodyDiv w:val="1"/>
      <w:marLeft w:val="0"/>
      <w:marRight w:val="0"/>
      <w:marTop w:val="0"/>
      <w:marBottom w:val="0"/>
      <w:divBdr>
        <w:top w:val="none" w:sz="0" w:space="0" w:color="auto"/>
        <w:left w:val="none" w:sz="0" w:space="0" w:color="auto"/>
        <w:bottom w:val="none" w:sz="0" w:space="0" w:color="auto"/>
        <w:right w:val="none" w:sz="0" w:space="0" w:color="auto"/>
      </w:divBdr>
    </w:div>
    <w:div w:id="520096035">
      <w:bodyDiv w:val="1"/>
      <w:marLeft w:val="0"/>
      <w:marRight w:val="0"/>
      <w:marTop w:val="0"/>
      <w:marBottom w:val="0"/>
      <w:divBdr>
        <w:top w:val="none" w:sz="0" w:space="0" w:color="auto"/>
        <w:left w:val="none" w:sz="0" w:space="0" w:color="auto"/>
        <w:bottom w:val="none" w:sz="0" w:space="0" w:color="auto"/>
        <w:right w:val="none" w:sz="0" w:space="0" w:color="auto"/>
      </w:divBdr>
    </w:div>
    <w:div w:id="524169835">
      <w:bodyDiv w:val="1"/>
      <w:marLeft w:val="0"/>
      <w:marRight w:val="0"/>
      <w:marTop w:val="0"/>
      <w:marBottom w:val="0"/>
      <w:divBdr>
        <w:top w:val="none" w:sz="0" w:space="0" w:color="auto"/>
        <w:left w:val="none" w:sz="0" w:space="0" w:color="auto"/>
        <w:bottom w:val="none" w:sz="0" w:space="0" w:color="auto"/>
        <w:right w:val="none" w:sz="0" w:space="0" w:color="auto"/>
      </w:divBdr>
    </w:div>
    <w:div w:id="536815886">
      <w:bodyDiv w:val="1"/>
      <w:marLeft w:val="0"/>
      <w:marRight w:val="0"/>
      <w:marTop w:val="0"/>
      <w:marBottom w:val="0"/>
      <w:divBdr>
        <w:top w:val="none" w:sz="0" w:space="0" w:color="auto"/>
        <w:left w:val="none" w:sz="0" w:space="0" w:color="auto"/>
        <w:bottom w:val="none" w:sz="0" w:space="0" w:color="auto"/>
        <w:right w:val="none" w:sz="0" w:space="0" w:color="auto"/>
      </w:divBdr>
    </w:div>
    <w:div w:id="566302644">
      <w:bodyDiv w:val="1"/>
      <w:marLeft w:val="0"/>
      <w:marRight w:val="0"/>
      <w:marTop w:val="0"/>
      <w:marBottom w:val="0"/>
      <w:divBdr>
        <w:top w:val="none" w:sz="0" w:space="0" w:color="auto"/>
        <w:left w:val="none" w:sz="0" w:space="0" w:color="auto"/>
        <w:bottom w:val="none" w:sz="0" w:space="0" w:color="auto"/>
        <w:right w:val="none" w:sz="0" w:space="0" w:color="auto"/>
      </w:divBdr>
      <w:divsChild>
        <w:div w:id="668482989">
          <w:marLeft w:val="0"/>
          <w:marRight w:val="0"/>
          <w:marTop w:val="0"/>
          <w:marBottom w:val="0"/>
          <w:divBdr>
            <w:top w:val="none" w:sz="0" w:space="0" w:color="auto"/>
            <w:left w:val="none" w:sz="0" w:space="0" w:color="auto"/>
            <w:bottom w:val="none" w:sz="0" w:space="0" w:color="auto"/>
            <w:right w:val="none" w:sz="0" w:space="0" w:color="auto"/>
          </w:divBdr>
          <w:divsChild>
            <w:div w:id="1466316077">
              <w:marLeft w:val="0"/>
              <w:marRight w:val="0"/>
              <w:marTop w:val="0"/>
              <w:marBottom w:val="0"/>
              <w:divBdr>
                <w:top w:val="none" w:sz="0" w:space="0" w:color="auto"/>
                <w:left w:val="none" w:sz="0" w:space="0" w:color="auto"/>
                <w:bottom w:val="none" w:sz="0" w:space="0" w:color="auto"/>
                <w:right w:val="none" w:sz="0" w:space="0" w:color="auto"/>
              </w:divBdr>
              <w:divsChild>
                <w:div w:id="1009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9751">
      <w:bodyDiv w:val="1"/>
      <w:marLeft w:val="0"/>
      <w:marRight w:val="0"/>
      <w:marTop w:val="0"/>
      <w:marBottom w:val="0"/>
      <w:divBdr>
        <w:top w:val="none" w:sz="0" w:space="0" w:color="auto"/>
        <w:left w:val="none" w:sz="0" w:space="0" w:color="auto"/>
        <w:bottom w:val="none" w:sz="0" w:space="0" w:color="auto"/>
        <w:right w:val="none" w:sz="0" w:space="0" w:color="auto"/>
      </w:divBdr>
    </w:div>
    <w:div w:id="645158744">
      <w:bodyDiv w:val="1"/>
      <w:marLeft w:val="0"/>
      <w:marRight w:val="0"/>
      <w:marTop w:val="0"/>
      <w:marBottom w:val="0"/>
      <w:divBdr>
        <w:top w:val="none" w:sz="0" w:space="0" w:color="auto"/>
        <w:left w:val="none" w:sz="0" w:space="0" w:color="auto"/>
        <w:bottom w:val="none" w:sz="0" w:space="0" w:color="auto"/>
        <w:right w:val="none" w:sz="0" w:space="0" w:color="auto"/>
      </w:divBdr>
    </w:div>
    <w:div w:id="662510131">
      <w:bodyDiv w:val="1"/>
      <w:marLeft w:val="0"/>
      <w:marRight w:val="0"/>
      <w:marTop w:val="0"/>
      <w:marBottom w:val="0"/>
      <w:divBdr>
        <w:top w:val="none" w:sz="0" w:space="0" w:color="auto"/>
        <w:left w:val="none" w:sz="0" w:space="0" w:color="auto"/>
        <w:bottom w:val="none" w:sz="0" w:space="0" w:color="auto"/>
        <w:right w:val="none" w:sz="0" w:space="0" w:color="auto"/>
      </w:divBdr>
    </w:div>
    <w:div w:id="711687533">
      <w:bodyDiv w:val="1"/>
      <w:marLeft w:val="0"/>
      <w:marRight w:val="0"/>
      <w:marTop w:val="0"/>
      <w:marBottom w:val="0"/>
      <w:divBdr>
        <w:top w:val="none" w:sz="0" w:space="0" w:color="auto"/>
        <w:left w:val="none" w:sz="0" w:space="0" w:color="auto"/>
        <w:bottom w:val="none" w:sz="0" w:space="0" w:color="auto"/>
        <w:right w:val="none" w:sz="0" w:space="0" w:color="auto"/>
      </w:divBdr>
    </w:div>
    <w:div w:id="714624263">
      <w:bodyDiv w:val="1"/>
      <w:marLeft w:val="0"/>
      <w:marRight w:val="0"/>
      <w:marTop w:val="0"/>
      <w:marBottom w:val="0"/>
      <w:divBdr>
        <w:top w:val="none" w:sz="0" w:space="0" w:color="auto"/>
        <w:left w:val="none" w:sz="0" w:space="0" w:color="auto"/>
        <w:bottom w:val="none" w:sz="0" w:space="0" w:color="auto"/>
        <w:right w:val="none" w:sz="0" w:space="0" w:color="auto"/>
      </w:divBdr>
    </w:div>
    <w:div w:id="734621544">
      <w:bodyDiv w:val="1"/>
      <w:marLeft w:val="0"/>
      <w:marRight w:val="0"/>
      <w:marTop w:val="0"/>
      <w:marBottom w:val="0"/>
      <w:divBdr>
        <w:top w:val="none" w:sz="0" w:space="0" w:color="auto"/>
        <w:left w:val="none" w:sz="0" w:space="0" w:color="auto"/>
        <w:bottom w:val="none" w:sz="0" w:space="0" w:color="auto"/>
        <w:right w:val="none" w:sz="0" w:space="0" w:color="auto"/>
      </w:divBdr>
    </w:div>
    <w:div w:id="775953154">
      <w:bodyDiv w:val="1"/>
      <w:marLeft w:val="0"/>
      <w:marRight w:val="0"/>
      <w:marTop w:val="0"/>
      <w:marBottom w:val="0"/>
      <w:divBdr>
        <w:top w:val="none" w:sz="0" w:space="0" w:color="auto"/>
        <w:left w:val="none" w:sz="0" w:space="0" w:color="auto"/>
        <w:bottom w:val="none" w:sz="0" w:space="0" w:color="auto"/>
        <w:right w:val="none" w:sz="0" w:space="0" w:color="auto"/>
      </w:divBdr>
    </w:div>
    <w:div w:id="841824184">
      <w:bodyDiv w:val="1"/>
      <w:marLeft w:val="0"/>
      <w:marRight w:val="0"/>
      <w:marTop w:val="0"/>
      <w:marBottom w:val="0"/>
      <w:divBdr>
        <w:top w:val="none" w:sz="0" w:space="0" w:color="auto"/>
        <w:left w:val="none" w:sz="0" w:space="0" w:color="auto"/>
        <w:bottom w:val="none" w:sz="0" w:space="0" w:color="auto"/>
        <w:right w:val="none" w:sz="0" w:space="0" w:color="auto"/>
      </w:divBdr>
      <w:divsChild>
        <w:div w:id="1789622999">
          <w:marLeft w:val="0"/>
          <w:marRight w:val="0"/>
          <w:marTop w:val="0"/>
          <w:marBottom w:val="0"/>
          <w:divBdr>
            <w:top w:val="none" w:sz="0" w:space="0" w:color="auto"/>
            <w:left w:val="none" w:sz="0" w:space="0" w:color="auto"/>
            <w:bottom w:val="none" w:sz="0" w:space="0" w:color="auto"/>
            <w:right w:val="none" w:sz="0" w:space="0" w:color="auto"/>
          </w:divBdr>
          <w:divsChild>
            <w:div w:id="2070683469">
              <w:marLeft w:val="0"/>
              <w:marRight w:val="0"/>
              <w:marTop w:val="0"/>
              <w:marBottom w:val="0"/>
              <w:divBdr>
                <w:top w:val="none" w:sz="0" w:space="0" w:color="auto"/>
                <w:left w:val="none" w:sz="0" w:space="0" w:color="auto"/>
                <w:bottom w:val="none" w:sz="0" w:space="0" w:color="auto"/>
                <w:right w:val="none" w:sz="0" w:space="0" w:color="auto"/>
              </w:divBdr>
              <w:divsChild>
                <w:div w:id="12920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1582">
      <w:bodyDiv w:val="1"/>
      <w:marLeft w:val="0"/>
      <w:marRight w:val="0"/>
      <w:marTop w:val="0"/>
      <w:marBottom w:val="0"/>
      <w:divBdr>
        <w:top w:val="none" w:sz="0" w:space="0" w:color="auto"/>
        <w:left w:val="none" w:sz="0" w:space="0" w:color="auto"/>
        <w:bottom w:val="none" w:sz="0" w:space="0" w:color="auto"/>
        <w:right w:val="none" w:sz="0" w:space="0" w:color="auto"/>
      </w:divBdr>
    </w:div>
    <w:div w:id="886525122">
      <w:bodyDiv w:val="1"/>
      <w:marLeft w:val="0"/>
      <w:marRight w:val="0"/>
      <w:marTop w:val="0"/>
      <w:marBottom w:val="0"/>
      <w:divBdr>
        <w:top w:val="none" w:sz="0" w:space="0" w:color="auto"/>
        <w:left w:val="none" w:sz="0" w:space="0" w:color="auto"/>
        <w:bottom w:val="none" w:sz="0" w:space="0" w:color="auto"/>
        <w:right w:val="none" w:sz="0" w:space="0" w:color="auto"/>
      </w:divBdr>
    </w:div>
    <w:div w:id="891113207">
      <w:bodyDiv w:val="1"/>
      <w:marLeft w:val="0"/>
      <w:marRight w:val="0"/>
      <w:marTop w:val="0"/>
      <w:marBottom w:val="0"/>
      <w:divBdr>
        <w:top w:val="none" w:sz="0" w:space="0" w:color="auto"/>
        <w:left w:val="none" w:sz="0" w:space="0" w:color="auto"/>
        <w:bottom w:val="none" w:sz="0" w:space="0" w:color="auto"/>
        <w:right w:val="none" w:sz="0" w:space="0" w:color="auto"/>
      </w:divBdr>
    </w:div>
    <w:div w:id="894196001">
      <w:bodyDiv w:val="1"/>
      <w:marLeft w:val="0"/>
      <w:marRight w:val="0"/>
      <w:marTop w:val="0"/>
      <w:marBottom w:val="0"/>
      <w:divBdr>
        <w:top w:val="none" w:sz="0" w:space="0" w:color="auto"/>
        <w:left w:val="none" w:sz="0" w:space="0" w:color="auto"/>
        <w:bottom w:val="none" w:sz="0" w:space="0" w:color="auto"/>
        <w:right w:val="none" w:sz="0" w:space="0" w:color="auto"/>
      </w:divBdr>
    </w:div>
    <w:div w:id="906107363">
      <w:bodyDiv w:val="1"/>
      <w:marLeft w:val="0"/>
      <w:marRight w:val="0"/>
      <w:marTop w:val="0"/>
      <w:marBottom w:val="0"/>
      <w:divBdr>
        <w:top w:val="none" w:sz="0" w:space="0" w:color="auto"/>
        <w:left w:val="none" w:sz="0" w:space="0" w:color="auto"/>
        <w:bottom w:val="none" w:sz="0" w:space="0" w:color="auto"/>
        <w:right w:val="none" w:sz="0" w:space="0" w:color="auto"/>
      </w:divBdr>
    </w:div>
    <w:div w:id="916207006">
      <w:bodyDiv w:val="1"/>
      <w:marLeft w:val="0"/>
      <w:marRight w:val="0"/>
      <w:marTop w:val="0"/>
      <w:marBottom w:val="0"/>
      <w:divBdr>
        <w:top w:val="none" w:sz="0" w:space="0" w:color="auto"/>
        <w:left w:val="none" w:sz="0" w:space="0" w:color="auto"/>
        <w:bottom w:val="none" w:sz="0" w:space="0" w:color="auto"/>
        <w:right w:val="none" w:sz="0" w:space="0" w:color="auto"/>
      </w:divBdr>
    </w:div>
    <w:div w:id="967785968">
      <w:bodyDiv w:val="1"/>
      <w:marLeft w:val="0"/>
      <w:marRight w:val="0"/>
      <w:marTop w:val="0"/>
      <w:marBottom w:val="0"/>
      <w:divBdr>
        <w:top w:val="none" w:sz="0" w:space="0" w:color="auto"/>
        <w:left w:val="none" w:sz="0" w:space="0" w:color="auto"/>
        <w:bottom w:val="none" w:sz="0" w:space="0" w:color="auto"/>
        <w:right w:val="none" w:sz="0" w:space="0" w:color="auto"/>
      </w:divBdr>
    </w:div>
    <w:div w:id="998535593">
      <w:bodyDiv w:val="1"/>
      <w:marLeft w:val="0"/>
      <w:marRight w:val="0"/>
      <w:marTop w:val="0"/>
      <w:marBottom w:val="0"/>
      <w:divBdr>
        <w:top w:val="none" w:sz="0" w:space="0" w:color="auto"/>
        <w:left w:val="none" w:sz="0" w:space="0" w:color="auto"/>
        <w:bottom w:val="none" w:sz="0" w:space="0" w:color="auto"/>
        <w:right w:val="none" w:sz="0" w:space="0" w:color="auto"/>
      </w:divBdr>
    </w:div>
    <w:div w:id="1065107513">
      <w:bodyDiv w:val="1"/>
      <w:marLeft w:val="0"/>
      <w:marRight w:val="0"/>
      <w:marTop w:val="0"/>
      <w:marBottom w:val="0"/>
      <w:divBdr>
        <w:top w:val="none" w:sz="0" w:space="0" w:color="auto"/>
        <w:left w:val="none" w:sz="0" w:space="0" w:color="auto"/>
        <w:bottom w:val="none" w:sz="0" w:space="0" w:color="auto"/>
        <w:right w:val="none" w:sz="0" w:space="0" w:color="auto"/>
      </w:divBdr>
    </w:div>
    <w:div w:id="1109593369">
      <w:bodyDiv w:val="1"/>
      <w:marLeft w:val="0"/>
      <w:marRight w:val="0"/>
      <w:marTop w:val="0"/>
      <w:marBottom w:val="0"/>
      <w:divBdr>
        <w:top w:val="none" w:sz="0" w:space="0" w:color="auto"/>
        <w:left w:val="none" w:sz="0" w:space="0" w:color="auto"/>
        <w:bottom w:val="none" w:sz="0" w:space="0" w:color="auto"/>
        <w:right w:val="none" w:sz="0" w:space="0" w:color="auto"/>
      </w:divBdr>
    </w:div>
    <w:div w:id="1154569584">
      <w:bodyDiv w:val="1"/>
      <w:marLeft w:val="0"/>
      <w:marRight w:val="0"/>
      <w:marTop w:val="0"/>
      <w:marBottom w:val="0"/>
      <w:divBdr>
        <w:top w:val="none" w:sz="0" w:space="0" w:color="auto"/>
        <w:left w:val="none" w:sz="0" w:space="0" w:color="auto"/>
        <w:bottom w:val="none" w:sz="0" w:space="0" w:color="auto"/>
        <w:right w:val="none" w:sz="0" w:space="0" w:color="auto"/>
      </w:divBdr>
    </w:div>
    <w:div w:id="1200119216">
      <w:bodyDiv w:val="1"/>
      <w:marLeft w:val="0"/>
      <w:marRight w:val="0"/>
      <w:marTop w:val="0"/>
      <w:marBottom w:val="0"/>
      <w:divBdr>
        <w:top w:val="none" w:sz="0" w:space="0" w:color="auto"/>
        <w:left w:val="none" w:sz="0" w:space="0" w:color="auto"/>
        <w:bottom w:val="none" w:sz="0" w:space="0" w:color="auto"/>
        <w:right w:val="none" w:sz="0" w:space="0" w:color="auto"/>
      </w:divBdr>
    </w:div>
    <w:div w:id="1209221347">
      <w:bodyDiv w:val="1"/>
      <w:marLeft w:val="0"/>
      <w:marRight w:val="0"/>
      <w:marTop w:val="0"/>
      <w:marBottom w:val="0"/>
      <w:divBdr>
        <w:top w:val="none" w:sz="0" w:space="0" w:color="auto"/>
        <w:left w:val="none" w:sz="0" w:space="0" w:color="auto"/>
        <w:bottom w:val="none" w:sz="0" w:space="0" w:color="auto"/>
        <w:right w:val="none" w:sz="0" w:space="0" w:color="auto"/>
      </w:divBdr>
    </w:div>
    <w:div w:id="1317687186">
      <w:bodyDiv w:val="1"/>
      <w:marLeft w:val="0"/>
      <w:marRight w:val="0"/>
      <w:marTop w:val="0"/>
      <w:marBottom w:val="0"/>
      <w:divBdr>
        <w:top w:val="none" w:sz="0" w:space="0" w:color="auto"/>
        <w:left w:val="none" w:sz="0" w:space="0" w:color="auto"/>
        <w:bottom w:val="none" w:sz="0" w:space="0" w:color="auto"/>
        <w:right w:val="none" w:sz="0" w:space="0" w:color="auto"/>
      </w:divBdr>
    </w:div>
    <w:div w:id="1348097817">
      <w:bodyDiv w:val="1"/>
      <w:marLeft w:val="0"/>
      <w:marRight w:val="0"/>
      <w:marTop w:val="0"/>
      <w:marBottom w:val="0"/>
      <w:divBdr>
        <w:top w:val="none" w:sz="0" w:space="0" w:color="auto"/>
        <w:left w:val="none" w:sz="0" w:space="0" w:color="auto"/>
        <w:bottom w:val="none" w:sz="0" w:space="0" w:color="auto"/>
        <w:right w:val="none" w:sz="0" w:space="0" w:color="auto"/>
      </w:divBdr>
    </w:div>
    <w:div w:id="1389525071">
      <w:bodyDiv w:val="1"/>
      <w:marLeft w:val="0"/>
      <w:marRight w:val="0"/>
      <w:marTop w:val="0"/>
      <w:marBottom w:val="0"/>
      <w:divBdr>
        <w:top w:val="none" w:sz="0" w:space="0" w:color="auto"/>
        <w:left w:val="none" w:sz="0" w:space="0" w:color="auto"/>
        <w:bottom w:val="none" w:sz="0" w:space="0" w:color="auto"/>
        <w:right w:val="none" w:sz="0" w:space="0" w:color="auto"/>
      </w:divBdr>
    </w:div>
    <w:div w:id="1462649836">
      <w:bodyDiv w:val="1"/>
      <w:marLeft w:val="0"/>
      <w:marRight w:val="0"/>
      <w:marTop w:val="0"/>
      <w:marBottom w:val="0"/>
      <w:divBdr>
        <w:top w:val="none" w:sz="0" w:space="0" w:color="auto"/>
        <w:left w:val="none" w:sz="0" w:space="0" w:color="auto"/>
        <w:bottom w:val="none" w:sz="0" w:space="0" w:color="auto"/>
        <w:right w:val="none" w:sz="0" w:space="0" w:color="auto"/>
      </w:divBdr>
    </w:div>
    <w:div w:id="1468863099">
      <w:bodyDiv w:val="1"/>
      <w:marLeft w:val="0"/>
      <w:marRight w:val="0"/>
      <w:marTop w:val="0"/>
      <w:marBottom w:val="0"/>
      <w:divBdr>
        <w:top w:val="none" w:sz="0" w:space="0" w:color="auto"/>
        <w:left w:val="none" w:sz="0" w:space="0" w:color="auto"/>
        <w:bottom w:val="none" w:sz="0" w:space="0" w:color="auto"/>
        <w:right w:val="none" w:sz="0" w:space="0" w:color="auto"/>
      </w:divBdr>
    </w:div>
    <w:div w:id="1516845799">
      <w:bodyDiv w:val="1"/>
      <w:marLeft w:val="0"/>
      <w:marRight w:val="0"/>
      <w:marTop w:val="0"/>
      <w:marBottom w:val="0"/>
      <w:divBdr>
        <w:top w:val="none" w:sz="0" w:space="0" w:color="auto"/>
        <w:left w:val="none" w:sz="0" w:space="0" w:color="auto"/>
        <w:bottom w:val="none" w:sz="0" w:space="0" w:color="auto"/>
        <w:right w:val="none" w:sz="0" w:space="0" w:color="auto"/>
      </w:divBdr>
    </w:div>
    <w:div w:id="1548372197">
      <w:bodyDiv w:val="1"/>
      <w:marLeft w:val="0"/>
      <w:marRight w:val="0"/>
      <w:marTop w:val="0"/>
      <w:marBottom w:val="0"/>
      <w:divBdr>
        <w:top w:val="none" w:sz="0" w:space="0" w:color="auto"/>
        <w:left w:val="none" w:sz="0" w:space="0" w:color="auto"/>
        <w:bottom w:val="none" w:sz="0" w:space="0" w:color="auto"/>
        <w:right w:val="none" w:sz="0" w:space="0" w:color="auto"/>
      </w:divBdr>
      <w:divsChild>
        <w:div w:id="1693990709">
          <w:marLeft w:val="0"/>
          <w:marRight w:val="0"/>
          <w:marTop w:val="0"/>
          <w:marBottom w:val="0"/>
          <w:divBdr>
            <w:top w:val="none" w:sz="0" w:space="0" w:color="auto"/>
            <w:left w:val="none" w:sz="0" w:space="0" w:color="auto"/>
            <w:bottom w:val="none" w:sz="0" w:space="0" w:color="auto"/>
            <w:right w:val="none" w:sz="0" w:space="0" w:color="auto"/>
          </w:divBdr>
          <w:divsChild>
            <w:div w:id="442841371">
              <w:marLeft w:val="0"/>
              <w:marRight w:val="0"/>
              <w:marTop w:val="0"/>
              <w:marBottom w:val="0"/>
              <w:divBdr>
                <w:top w:val="none" w:sz="0" w:space="0" w:color="auto"/>
                <w:left w:val="none" w:sz="0" w:space="0" w:color="auto"/>
                <w:bottom w:val="none" w:sz="0" w:space="0" w:color="auto"/>
                <w:right w:val="none" w:sz="0" w:space="0" w:color="auto"/>
              </w:divBdr>
              <w:divsChild>
                <w:div w:id="14019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15504">
          <w:marLeft w:val="0"/>
          <w:marRight w:val="0"/>
          <w:marTop w:val="0"/>
          <w:marBottom w:val="0"/>
          <w:divBdr>
            <w:top w:val="none" w:sz="0" w:space="0" w:color="auto"/>
            <w:left w:val="none" w:sz="0" w:space="0" w:color="auto"/>
            <w:bottom w:val="none" w:sz="0" w:space="0" w:color="auto"/>
            <w:right w:val="none" w:sz="0" w:space="0" w:color="auto"/>
          </w:divBdr>
          <w:divsChild>
            <w:div w:id="1544098473">
              <w:marLeft w:val="0"/>
              <w:marRight w:val="0"/>
              <w:marTop w:val="0"/>
              <w:marBottom w:val="0"/>
              <w:divBdr>
                <w:top w:val="none" w:sz="0" w:space="0" w:color="auto"/>
                <w:left w:val="none" w:sz="0" w:space="0" w:color="auto"/>
                <w:bottom w:val="none" w:sz="0" w:space="0" w:color="auto"/>
                <w:right w:val="none" w:sz="0" w:space="0" w:color="auto"/>
              </w:divBdr>
              <w:divsChild>
                <w:div w:id="487786379">
                  <w:marLeft w:val="0"/>
                  <w:marRight w:val="0"/>
                  <w:marTop w:val="0"/>
                  <w:marBottom w:val="0"/>
                  <w:divBdr>
                    <w:top w:val="none" w:sz="0" w:space="0" w:color="auto"/>
                    <w:left w:val="none" w:sz="0" w:space="0" w:color="auto"/>
                    <w:bottom w:val="none" w:sz="0" w:space="0" w:color="auto"/>
                    <w:right w:val="none" w:sz="0" w:space="0" w:color="auto"/>
                  </w:divBdr>
                  <w:divsChild>
                    <w:div w:id="739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303540">
      <w:bodyDiv w:val="1"/>
      <w:marLeft w:val="0"/>
      <w:marRight w:val="0"/>
      <w:marTop w:val="0"/>
      <w:marBottom w:val="0"/>
      <w:divBdr>
        <w:top w:val="none" w:sz="0" w:space="0" w:color="auto"/>
        <w:left w:val="none" w:sz="0" w:space="0" w:color="auto"/>
        <w:bottom w:val="none" w:sz="0" w:space="0" w:color="auto"/>
        <w:right w:val="none" w:sz="0" w:space="0" w:color="auto"/>
      </w:divBdr>
    </w:div>
    <w:div w:id="1574244415">
      <w:bodyDiv w:val="1"/>
      <w:marLeft w:val="0"/>
      <w:marRight w:val="0"/>
      <w:marTop w:val="0"/>
      <w:marBottom w:val="0"/>
      <w:divBdr>
        <w:top w:val="none" w:sz="0" w:space="0" w:color="auto"/>
        <w:left w:val="none" w:sz="0" w:space="0" w:color="auto"/>
        <w:bottom w:val="none" w:sz="0" w:space="0" w:color="auto"/>
        <w:right w:val="none" w:sz="0" w:space="0" w:color="auto"/>
      </w:divBdr>
    </w:div>
    <w:div w:id="1603758775">
      <w:bodyDiv w:val="1"/>
      <w:marLeft w:val="0"/>
      <w:marRight w:val="0"/>
      <w:marTop w:val="0"/>
      <w:marBottom w:val="0"/>
      <w:divBdr>
        <w:top w:val="none" w:sz="0" w:space="0" w:color="auto"/>
        <w:left w:val="none" w:sz="0" w:space="0" w:color="auto"/>
        <w:bottom w:val="none" w:sz="0" w:space="0" w:color="auto"/>
        <w:right w:val="none" w:sz="0" w:space="0" w:color="auto"/>
      </w:divBdr>
    </w:div>
    <w:div w:id="1607614836">
      <w:bodyDiv w:val="1"/>
      <w:marLeft w:val="0"/>
      <w:marRight w:val="0"/>
      <w:marTop w:val="0"/>
      <w:marBottom w:val="0"/>
      <w:divBdr>
        <w:top w:val="none" w:sz="0" w:space="0" w:color="auto"/>
        <w:left w:val="none" w:sz="0" w:space="0" w:color="auto"/>
        <w:bottom w:val="none" w:sz="0" w:space="0" w:color="auto"/>
        <w:right w:val="none" w:sz="0" w:space="0" w:color="auto"/>
      </w:divBdr>
    </w:div>
    <w:div w:id="1629627512">
      <w:bodyDiv w:val="1"/>
      <w:marLeft w:val="0"/>
      <w:marRight w:val="0"/>
      <w:marTop w:val="0"/>
      <w:marBottom w:val="0"/>
      <w:divBdr>
        <w:top w:val="none" w:sz="0" w:space="0" w:color="auto"/>
        <w:left w:val="none" w:sz="0" w:space="0" w:color="auto"/>
        <w:bottom w:val="none" w:sz="0" w:space="0" w:color="auto"/>
        <w:right w:val="none" w:sz="0" w:space="0" w:color="auto"/>
      </w:divBdr>
    </w:div>
    <w:div w:id="1637829950">
      <w:bodyDiv w:val="1"/>
      <w:marLeft w:val="0"/>
      <w:marRight w:val="0"/>
      <w:marTop w:val="0"/>
      <w:marBottom w:val="0"/>
      <w:divBdr>
        <w:top w:val="none" w:sz="0" w:space="0" w:color="auto"/>
        <w:left w:val="none" w:sz="0" w:space="0" w:color="auto"/>
        <w:bottom w:val="none" w:sz="0" w:space="0" w:color="auto"/>
        <w:right w:val="none" w:sz="0" w:space="0" w:color="auto"/>
      </w:divBdr>
    </w:div>
    <w:div w:id="1668946545">
      <w:bodyDiv w:val="1"/>
      <w:marLeft w:val="0"/>
      <w:marRight w:val="0"/>
      <w:marTop w:val="0"/>
      <w:marBottom w:val="0"/>
      <w:divBdr>
        <w:top w:val="none" w:sz="0" w:space="0" w:color="auto"/>
        <w:left w:val="none" w:sz="0" w:space="0" w:color="auto"/>
        <w:bottom w:val="none" w:sz="0" w:space="0" w:color="auto"/>
        <w:right w:val="none" w:sz="0" w:space="0" w:color="auto"/>
      </w:divBdr>
    </w:div>
    <w:div w:id="1699499890">
      <w:bodyDiv w:val="1"/>
      <w:marLeft w:val="0"/>
      <w:marRight w:val="0"/>
      <w:marTop w:val="0"/>
      <w:marBottom w:val="0"/>
      <w:divBdr>
        <w:top w:val="none" w:sz="0" w:space="0" w:color="auto"/>
        <w:left w:val="none" w:sz="0" w:space="0" w:color="auto"/>
        <w:bottom w:val="none" w:sz="0" w:space="0" w:color="auto"/>
        <w:right w:val="none" w:sz="0" w:space="0" w:color="auto"/>
      </w:divBdr>
    </w:div>
    <w:div w:id="1707875558">
      <w:bodyDiv w:val="1"/>
      <w:marLeft w:val="0"/>
      <w:marRight w:val="0"/>
      <w:marTop w:val="0"/>
      <w:marBottom w:val="0"/>
      <w:divBdr>
        <w:top w:val="none" w:sz="0" w:space="0" w:color="auto"/>
        <w:left w:val="none" w:sz="0" w:space="0" w:color="auto"/>
        <w:bottom w:val="none" w:sz="0" w:space="0" w:color="auto"/>
        <w:right w:val="none" w:sz="0" w:space="0" w:color="auto"/>
      </w:divBdr>
    </w:div>
    <w:div w:id="1738474618">
      <w:bodyDiv w:val="1"/>
      <w:marLeft w:val="0"/>
      <w:marRight w:val="0"/>
      <w:marTop w:val="0"/>
      <w:marBottom w:val="0"/>
      <w:divBdr>
        <w:top w:val="none" w:sz="0" w:space="0" w:color="auto"/>
        <w:left w:val="none" w:sz="0" w:space="0" w:color="auto"/>
        <w:bottom w:val="none" w:sz="0" w:space="0" w:color="auto"/>
        <w:right w:val="none" w:sz="0" w:space="0" w:color="auto"/>
      </w:divBdr>
    </w:div>
    <w:div w:id="1781949614">
      <w:bodyDiv w:val="1"/>
      <w:marLeft w:val="0"/>
      <w:marRight w:val="0"/>
      <w:marTop w:val="0"/>
      <w:marBottom w:val="0"/>
      <w:divBdr>
        <w:top w:val="none" w:sz="0" w:space="0" w:color="auto"/>
        <w:left w:val="none" w:sz="0" w:space="0" w:color="auto"/>
        <w:bottom w:val="none" w:sz="0" w:space="0" w:color="auto"/>
        <w:right w:val="none" w:sz="0" w:space="0" w:color="auto"/>
      </w:divBdr>
    </w:div>
    <w:div w:id="1788694079">
      <w:bodyDiv w:val="1"/>
      <w:marLeft w:val="0"/>
      <w:marRight w:val="0"/>
      <w:marTop w:val="0"/>
      <w:marBottom w:val="0"/>
      <w:divBdr>
        <w:top w:val="none" w:sz="0" w:space="0" w:color="auto"/>
        <w:left w:val="none" w:sz="0" w:space="0" w:color="auto"/>
        <w:bottom w:val="none" w:sz="0" w:space="0" w:color="auto"/>
        <w:right w:val="none" w:sz="0" w:space="0" w:color="auto"/>
      </w:divBdr>
    </w:div>
    <w:div w:id="1807700089">
      <w:bodyDiv w:val="1"/>
      <w:marLeft w:val="0"/>
      <w:marRight w:val="0"/>
      <w:marTop w:val="0"/>
      <w:marBottom w:val="0"/>
      <w:divBdr>
        <w:top w:val="none" w:sz="0" w:space="0" w:color="auto"/>
        <w:left w:val="none" w:sz="0" w:space="0" w:color="auto"/>
        <w:bottom w:val="none" w:sz="0" w:space="0" w:color="auto"/>
        <w:right w:val="none" w:sz="0" w:space="0" w:color="auto"/>
      </w:divBdr>
      <w:divsChild>
        <w:div w:id="281959647">
          <w:marLeft w:val="0"/>
          <w:marRight w:val="0"/>
          <w:marTop w:val="0"/>
          <w:marBottom w:val="0"/>
          <w:divBdr>
            <w:top w:val="none" w:sz="0" w:space="0" w:color="auto"/>
            <w:left w:val="none" w:sz="0" w:space="0" w:color="auto"/>
            <w:bottom w:val="none" w:sz="0" w:space="0" w:color="auto"/>
            <w:right w:val="none" w:sz="0" w:space="0" w:color="auto"/>
          </w:divBdr>
          <w:divsChild>
            <w:div w:id="219368353">
              <w:marLeft w:val="0"/>
              <w:marRight w:val="0"/>
              <w:marTop w:val="0"/>
              <w:marBottom w:val="0"/>
              <w:divBdr>
                <w:top w:val="none" w:sz="0" w:space="0" w:color="auto"/>
                <w:left w:val="none" w:sz="0" w:space="0" w:color="auto"/>
                <w:bottom w:val="none" w:sz="0" w:space="0" w:color="auto"/>
                <w:right w:val="none" w:sz="0" w:space="0" w:color="auto"/>
              </w:divBdr>
              <w:divsChild>
                <w:div w:id="9696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8794">
      <w:bodyDiv w:val="1"/>
      <w:marLeft w:val="0"/>
      <w:marRight w:val="0"/>
      <w:marTop w:val="0"/>
      <w:marBottom w:val="0"/>
      <w:divBdr>
        <w:top w:val="none" w:sz="0" w:space="0" w:color="auto"/>
        <w:left w:val="none" w:sz="0" w:space="0" w:color="auto"/>
        <w:bottom w:val="none" w:sz="0" w:space="0" w:color="auto"/>
        <w:right w:val="none" w:sz="0" w:space="0" w:color="auto"/>
      </w:divBdr>
    </w:div>
    <w:div w:id="1881700188">
      <w:bodyDiv w:val="1"/>
      <w:marLeft w:val="0"/>
      <w:marRight w:val="0"/>
      <w:marTop w:val="0"/>
      <w:marBottom w:val="0"/>
      <w:divBdr>
        <w:top w:val="none" w:sz="0" w:space="0" w:color="auto"/>
        <w:left w:val="none" w:sz="0" w:space="0" w:color="auto"/>
        <w:bottom w:val="none" w:sz="0" w:space="0" w:color="auto"/>
        <w:right w:val="none" w:sz="0" w:space="0" w:color="auto"/>
      </w:divBdr>
    </w:div>
    <w:div w:id="1936010008">
      <w:bodyDiv w:val="1"/>
      <w:marLeft w:val="0"/>
      <w:marRight w:val="0"/>
      <w:marTop w:val="0"/>
      <w:marBottom w:val="0"/>
      <w:divBdr>
        <w:top w:val="none" w:sz="0" w:space="0" w:color="auto"/>
        <w:left w:val="none" w:sz="0" w:space="0" w:color="auto"/>
        <w:bottom w:val="none" w:sz="0" w:space="0" w:color="auto"/>
        <w:right w:val="none" w:sz="0" w:space="0" w:color="auto"/>
      </w:divBdr>
    </w:div>
    <w:div w:id="2018389000">
      <w:bodyDiv w:val="1"/>
      <w:marLeft w:val="0"/>
      <w:marRight w:val="0"/>
      <w:marTop w:val="0"/>
      <w:marBottom w:val="0"/>
      <w:divBdr>
        <w:top w:val="none" w:sz="0" w:space="0" w:color="auto"/>
        <w:left w:val="none" w:sz="0" w:space="0" w:color="auto"/>
        <w:bottom w:val="none" w:sz="0" w:space="0" w:color="auto"/>
        <w:right w:val="none" w:sz="0" w:space="0" w:color="auto"/>
      </w:divBdr>
    </w:div>
    <w:div w:id="2023822931">
      <w:bodyDiv w:val="1"/>
      <w:marLeft w:val="0"/>
      <w:marRight w:val="0"/>
      <w:marTop w:val="0"/>
      <w:marBottom w:val="0"/>
      <w:divBdr>
        <w:top w:val="none" w:sz="0" w:space="0" w:color="auto"/>
        <w:left w:val="none" w:sz="0" w:space="0" w:color="auto"/>
        <w:bottom w:val="none" w:sz="0" w:space="0" w:color="auto"/>
        <w:right w:val="none" w:sz="0" w:space="0" w:color="auto"/>
      </w:divBdr>
    </w:div>
    <w:div w:id="2027976565">
      <w:bodyDiv w:val="1"/>
      <w:marLeft w:val="0"/>
      <w:marRight w:val="0"/>
      <w:marTop w:val="0"/>
      <w:marBottom w:val="0"/>
      <w:divBdr>
        <w:top w:val="none" w:sz="0" w:space="0" w:color="auto"/>
        <w:left w:val="none" w:sz="0" w:space="0" w:color="auto"/>
        <w:bottom w:val="none" w:sz="0" w:space="0" w:color="auto"/>
        <w:right w:val="none" w:sz="0" w:space="0" w:color="auto"/>
      </w:divBdr>
    </w:div>
    <w:div w:id="2107340308">
      <w:bodyDiv w:val="1"/>
      <w:marLeft w:val="0"/>
      <w:marRight w:val="0"/>
      <w:marTop w:val="0"/>
      <w:marBottom w:val="0"/>
      <w:divBdr>
        <w:top w:val="none" w:sz="0" w:space="0" w:color="auto"/>
        <w:left w:val="none" w:sz="0" w:space="0" w:color="auto"/>
        <w:bottom w:val="none" w:sz="0" w:space="0" w:color="auto"/>
        <w:right w:val="none" w:sz="0" w:space="0" w:color="auto"/>
      </w:divBdr>
    </w:div>
    <w:div w:id="2112964757">
      <w:bodyDiv w:val="1"/>
      <w:marLeft w:val="0"/>
      <w:marRight w:val="0"/>
      <w:marTop w:val="0"/>
      <w:marBottom w:val="0"/>
      <w:divBdr>
        <w:top w:val="none" w:sz="0" w:space="0" w:color="auto"/>
        <w:left w:val="none" w:sz="0" w:space="0" w:color="auto"/>
        <w:bottom w:val="none" w:sz="0" w:space="0" w:color="auto"/>
        <w:right w:val="none" w:sz="0" w:space="0" w:color="auto"/>
      </w:divBdr>
    </w:div>
    <w:div w:id="214102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sinclair@fera.co.uk" TargetMode="External"/><Relationship Id="rId18" Type="http://schemas.openxmlformats.org/officeDocument/2006/relationships/footer" Target="footer3.xml"/><Relationship Id="rId26" Type="http://schemas.openxmlformats.org/officeDocument/2006/relationships/hyperlink" Target="http://www.ema.europa.eu/docs/en_GB/document_library/Scientific_guideline/2012/03/WC500124187.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homas.backhaus@bioenv.gu.se" TargetMode="External"/><Relationship Id="rId17" Type="http://schemas.openxmlformats.org/officeDocument/2006/relationships/footer" Target="footer2.xml"/><Relationship Id="rId25" Type="http://schemas.openxmlformats.org/officeDocument/2006/relationships/hyperlink" Target="http://www.ema.europa.eu/docs/en_GB/document_library/Scientific_guideline/2012/07/WC500130368.pdf" TargetMode="External"/><Relationship Id="rId33" Type="http://schemas.openxmlformats.org/officeDocument/2006/relationships/image" Target="media/image3.png"/><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hyperlink" Target="http://www.ema.europa.eu/docs/en_GB/document_library/Scientific_guideline/2009/10/WC50000439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daurre@ecologic.eu" TargetMode="External"/><Relationship Id="rId24" Type="http://schemas.openxmlformats.org/officeDocument/2006/relationships/hyperlink" Target="http://www.ema.europa.eu/docs/en_GB/document_library/Other/2009/10/WC500005264.pdf"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alistair.boxall@york.ac.uk" TargetMode="External"/><Relationship Id="rId23" Type="http://schemas.openxmlformats.org/officeDocument/2006/relationships/hyperlink" Target="http://www.ema.europa.eu/docs/en_GB/document_library/Scientific_guideline/2009/10/WC500004386.pdf" TargetMode="External"/><Relationship Id="rId28" Type="http://schemas.openxmlformats.org/officeDocument/2006/relationships/hyperlink" Target="http://www.ema.europa.eu/ema/index.jsp?curl=pages/medicines/general/general_content_000167.jsp" TargetMode="External"/><Relationship Id="rId10" Type="http://schemas.openxmlformats.org/officeDocument/2006/relationships/hyperlink" Target="mailto:lucas.porsch@ecologic.eu" TargetMode="External"/><Relationship Id="rId19" Type="http://schemas.openxmlformats.org/officeDocument/2006/relationships/footer" Target="footer4.xm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lc571@york.ac.uk" TargetMode="External"/><Relationship Id="rId14" Type="http://schemas.openxmlformats.org/officeDocument/2006/relationships/hyperlink" Target="mailto:glyn.d.jones@fera.co.uk" TargetMode="External"/><Relationship Id="rId22" Type="http://schemas.openxmlformats.org/officeDocument/2006/relationships/hyperlink" Target="http://www.ema.europa.eu/docs/en_GB/document_library/Scientific_guideline/2009/10/WC500004662.pdf" TargetMode="External"/><Relationship Id="rId27" Type="http://schemas.openxmlformats.org/officeDocument/2006/relationships/hyperlink" Target="http://www.ema.europa.eu/docs/en_GB/document_library/Scientific_guideline/2016/02/WC500200979.pdf" TargetMode="External"/><Relationship Id="rId30" Type="http://schemas.openxmlformats.org/officeDocument/2006/relationships/hyperlink" Target="http://www.ema.europa.eu/docs/en_GB/document_library/Scientific_guideline/2009/10/WC50000439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EB23-6C21-4EBE-83D2-7E98E4FD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8932</Words>
  <Characters>50913</Characters>
  <Application>Microsoft Office Word</Application>
  <DocSecurity>0</DocSecurity>
  <Lines>424</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Chapman</dc:creator>
  <cp:lastModifiedBy>abab500</cp:lastModifiedBy>
  <cp:revision>2</cp:revision>
  <cp:lastPrinted>2017-04-10T11:31:00Z</cp:lastPrinted>
  <dcterms:created xsi:type="dcterms:W3CDTF">2017-07-07T07:53:00Z</dcterms:created>
  <dcterms:modified xsi:type="dcterms:W3CDTF">2017-07-07T07:53:00Z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