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DAF75" w14:textId="033DB187" w:rsidR="00F62C8B" w:rsidRPr="000D0229" w:rsidRDefault="000F3A41" w:rsidP="004C531E">
      <w:pPr>
        <w:pStyle w:val="RSCM01ReceivedAccepted"/>
      </w:pPr>
      <w:r w:rsidRPr="000D0229">
        <mc:AlternateContent>
          <mc:Choice Requires="wps">
            <w:drawing>
              <wp:anchor distT="180340" distB="0" distL="114300" distR="114300" simplePos="0" relativeHeight="251662336" behindDoc="1" locked="1" layoutInCell="0" allowOverlap="0" wp14:anchorId="2E6BDAEB" wp14:editId="005725A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EDFABD6" w14:textId="2CF8D8D6" w:rsidR="005F3E89" w:rsidRPr="00C405FD" w:rsidRDefault="005F3E89" w:rsidP="00C405FD">
                            <w:pPr>
                              <w:pStyle w:val="RSCF01FootnoteAuthorAddress"/>
                            </w:pPr>
                            <w:r>
                              <w:t>Green Chemistry Centre of Excellence, University of York, York YO10 5DD, UK</w:t>
                            </w:r>
                            <w:r w:rsidRPr="00C405FD">
                              <w:t>.</w:t>
                            </w:r>
                          </w:p>
                          <w:p w14:paraId="2DE172F9" w14:textId="1FE4A9BC" w:rsidR="005F3E89" w:rsidRPr="00241ACD" w:rsidRDefault="005F3E89" w:rsidP="00241ACD">
                            <w:pPr>
                              <w:pStyle w:val="RSCF01FootnoteAuthorAddress"/>
                            </w:pPr>
                            <w:r>
                              <w:t>Nitto Belgium, NV Eikelaarstraat 22, Belgium</w:t>
                            </w:r>
                            <w:r w:rsidRPr="00C405FD">
                              <w:t>.</w:t>
                            </w:r>
                          </w:p>
                          <w:p w14:paraId="3D04884F" w14:textId="77777777" w:rsidR="005F3E89" w:rsidRPr="00241ACD" w:rsidRDefault="005F3E89"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E6BDAEB"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EDFABD6" w14:textId="2CF8D8D6" w:rsidR="005F3E89" w:rsidRPr="00C405FD" w:rsidRDefault="005F3E89" w:rsidP="00C405FD">
                      <w:pPr>
                        <w:pStyle w:val="RSCF01FootnoteAuthorAddress"/>
                      </w:pPr>
                      <w:r>
                        <w:t>Green Chemistry Centre of Excellence, University of York, York YO10 5DD, UK</w:t>
                      </w:r>
                      <w:r w:rsidRPr="00C405FD">
                        <w:t>.</w:t>
                      </w:r>
                    </w:p>
                    <w:p w14:paraId="2DE172F9" w14:textId="1FE4A9BC" w:rsidR="005F3E89" w:rsidRPr="00241ACD" w:rsidRDefault="005F3E89" w:rsidP="00241ACD">
                      <w:pPr>
                        <w:pStyle w:val="RSCF01FootnoteAuthorAddress"/>
                      </w:pPr>
                      <w:r>
                        <w:t>Nitto Belgium, NV Eikelaarstraat 22, Belgium</w:t>
                      </w:r>
                      <w:r w:rsidRPr="00C405FD">
                        <w:t>.</w:t>
                      </w:r>
                    </w:p>
                    <w:p w14:paraId="3D04884F" w14:textId="77777777" w:rsidR="005F3E89" w:rsidRPr="00241ACD" w:rsidRDefault="005F3E89"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0D0229">
        <w:t>Received 00th January 20</w:t>
      </w:r>
      <w:r w:rsidR="00F15F90" w:rsidRPr="000D0229">
        <w:t>xx</w:t>
      </w:r>
      <w:r w:rsidR="00F62C8B" w:rsidRPr="000D0229">
        <w:t>,</w:t>
      </w:r>
    </w:p>
    <w:p w14:paraId="3910FF02" w14:textId="77777777" w:rsidR="00F62C8B" w:rsidRPr="000D0229" w:rsidRDefault="00F62C8B" w:rsidP="004C531E">
      <w:pPr>
        <w:pStyle w:val="RSCM01ReceivedAccepted"/>
      </w:pPr>
      <w:r w:rsidRPr="000D0229">
        <w:t>Accepted 00th January 20</w:t>
      </w:r>
      <w:r w:rsidR="00F15F90" w:rsidRPr="000D0229">
        <w:t>xx</w:t>
      </w:r>
    </w:p>
    <w:p w14:paraId="5C13D1F5" w14:textId="0AC69531" w:rsidR="00F62C8B" w:rsidRPr="000D0229" w:rsidRDefault="00F62C8B" w:rsidP="004C531E">
      <w:pPr>
        <w:pStyle w:val="RSCM02DOI"/>
      </w:pPr>
      <w:r w:rsidRPr="000D0229">
        <w:t>DOI: 10.1039/x0xx00000x</w:t>
      </w:r>
    </w:p>
    <w:p w14:paraId="7F6A82DC" w14:textId="77777777" w:rsidR="00A9649E" w:rsidRPr="000D0229" w:rsidRDefault="00A9649E" w:rsidP="004C531E">
      <w:pPr>
        <w:pStyle w:val="RSCM03Website"/>
      </w:pPr>
      <w:r w:rsidRPr="000D0229">
        <w:t>www.rsc.org/</w:t>
      </w:r>
    </w:p>
    <w:p w14:paraId="342B307A" w14:textId="5E92D6BC" w:rsidR="004414A5" w:rsidRPr="000D0229" w:rsidRDefault="00F62C8B" w:rsidP="00C32EDF">
      <w:pPr>
        <w:pStyle w:val="RSCH01PaperTitle"/>
      </w:pPr>
      <w:r w:rsidRPr="000D0229">
        <w:br w:type="column"/>
      </w:r>
      <w:r w:rsidR="0066030C" w:rsidRPr="000D0229">
        <w:t>2,2,5,5-Tetramethyltetrahydrofuran (TMTHF): A Non-Polar, Non-Peroxide Forming Ether Replacement for Hazardous Hydrocarbon Solvents</w:t>
      </w:r>
      <w:r w:rsidR="00A00166" w:rsidRPr="000D0229">
        <w:t xml:space="preserve"> </w:t>
      </w:r>
    </w:p>
    <w:p w14:paraId="77EF8A37" w14:textId="482100FB" w:rsidR="00FA2DA2" w:rsidRPr="000D0229" w:rsidRDefault="00CF7700" w:rsidP="00F21465">
      <w:pPr>
        <w:pStyle w:val="RSCH02PaperAuthorsandByline"/>
        <w:rPr>
          <w:vertAlign w:val="superscript"/>
        </w:rPr>
      </w:pPr>
      <w:r w:rsidRPr="000D0229">
        <w:t>Fergal Byrne,</w:t>
      </w:r>
      <w:r w:rsidRPr="000D0229">
        <w:rPr>
          <w:vertAlign w:val="superscript"/>
        </w:rPr>
        <w:t>a</w:t>
      </w:r>
      <w:r w:rsidRPr="000D0229">
        <w:t xml:space="preserve"> Bart Forier,</w:t>
      </w:r>
      <w:r w:rsidRPr="000D0229">
        <w:rPr>
          <w:vertAlign w:val="superscript"/>
        </w:rPr>
        <w:t>b</w:t>
      </w:r>
      <w:r w:rsidRPr="000D0229">
        <w:t xml:space="preserve"> Greet Bossaert,</w:t>
      </w:r>
      <w:r w:rsidRPr="000D0229">
        <w:rPr>
          <w:vertAlign w:val="superscript"/>
        </w:rPr>
        <w:t>b</w:t>
      </w:r>
      <w:r w:rsidRPr="000D0229">
        <w:t xml:space="preserve"> Charly Hoebers,</w:t>
      </w:r>
      <w:r w:rsidRPr="000D0229">
        <w:rPr>
          <w:vertAlign w:val="superscript"/>
        </w:rPr>
        <w:t>b</w:t>
      </w:r>
      <w:r w:rsidRPr="000D0229">
        <w:t xml:space="preserve"> Thomas J. Farmer,</w:t>
      </w:r>
      <w:r w:rsidRPr="000D0229">
        <w:rPr>
          <w:vertAlign w:val="superscript"/>
        </w:rPr>
        <w:t>a</w:t>
      </w:r>
      <w:r w:rsidRPr="000D0229">
        <w:t xml:space="preserve"> James H. Clark</w:t>
      </w:r>
      <w:r w:rsidRPr="000D0229">
        <w:rPr>
          <w:vertAlign w:val="superscript"/>
        </w:rPr>
        <w:t>a</w:t>
      </w:r>
      <w:r w:rsidRPr="000D0229">
        <w:t xml:space="preserve"> and Andrew J. Hunt*</w:t>
      </w:r>
      <w:r w:rsidRPr="000D0229">
        <w:rPr>
          <w:vertAlign w:val="superscript"/>
        </w:rPr>
        <w:t>a</w:t>
      </w:r>
      <w:r w:rsidRPr="000D0229">
        <w:t xml:space="preserve"> </w:t>
      </w:r>
    </w:p>
    <w:p w14:paraId="44BCC528" w14:textId="33BD0D5E" w:rsidR="00E81F74" w:rsidRDefault="0066030C" w:rsidP="00FA2DA2">
      <w:pPr>
        <w:pStyle w:val="RSCB01ARTAbstract"/>
      </w:pPr>
      <w:r w:rsidRPr="000D0229">
        <w:t xml:space="preserve">An inherently non-peroxide forming ether solvent, 2,2,5,5-tetramethyltetrahydrofuran (2,2,5,5-tetramethyloxolane), has been synthesized from readily available and potentially renewable feedstocks, and its solvation properties have been tested. Unlike traditional ethers, its absence of a proton at the alpha-position to the oxygen of the ether eliminates the potential to form hazardous peroxides. Additionally, this unusual structure leads to lower basicity compared with many traditional ethers, due to the concealment of the ethereal oxygen by four bulky methyl groups at the alpha-position. As such, this molecule exhibits similar solvent properties to common hydrocarbon solvents, particularly toluene. Its solvent properties have been proved by testing its performance in Fischer esterification, amidation and Grignard reactions. TMTHFs differences from traditional ethers is further demonstrated by its ability to produce high molecular weight radical-initiated polymers for use as pressure-sensitive adhesives. </w:t>
      </w:r>
      <w:r w:rsidR="00E81F74">
        <w:t xml:space="preserve"> </w:t>
      </w:r>
    </w:p>
    <w:p w14:paraId="76B6A0E4" w14:textId="77777777" w:rsidR="001027C7" w:rsidRPr="000D0229" w:rsidRDefault="001027C7" w:rsidP="00FA2DA2">
      <w:pPr>
        <w:pStyle w:val="RSCB01ARTAbstract"/>
        <w:sectPr w:rsidR="001027C7" w:rsidRPr="000D022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1045BBA8" w14:textId="6CB30D41" w:rsidR="00CF7700" w:rsidRPr="000D0229" w:rsidRDefault="00CF7700" w:rsidP="00FA2DA2">
      <w:pPr>
        <w:pStyle w:val="RSCB04AHeadingSection"/>
      </w:pPr>
      <w:r w:rsidRPr="000D0229">
        <w:t>Introduction</w:t>
      </w:r>
    </w:p>
    <w:p w14:paraId="2FD221A4" w14:textId="25949F23" w:rsidR="00CF7700" w:rsidRPr="000D0229" w:rsidRDefault="00CF7700" w:rsidP="00216D59">
      <w:pPr>
        <w:pStyle w:val="RSCB02ArticleText"/>
      </w:pPr>
      <w:r w:rsidRPr="000D0229">
        <w:t>The volatile, non-polar (VNP) class of solvent is important and widely used, with applications as reaction media in synthetic chemistry, in liquid-liquid extractions and in the coating industry where rapid removal by evaporation is necessary.  However, many VNP solvents such as the hydrocarbons hexane and toluene have been recognized as hazardous air pollutants by the US EPA</w:t>
      </w:r>
      <w:r w:rsidRPr="000D0229">
        <w:fldChar w:fldCharType="begin"/>
      </w:r>
      <w:r w:rsidR="00653A21" w:rsidRPr="000D0229">
        <w:instrText xml:space="preserve"> ADDIN ZOTERO_ITEM CSL_CITATION {"citationID":"av4j92aidd","properties":{"formattedCitation":"{\\rtf \\super 1\\nosupersub{}}","plainCitation":"1"},"citationItems":[{"id":4400,"uris":["http://zotero.org/users/1738524/items/F6QCC4MN"],"uri":["http://zotero.org/users/1738524/items/F6QCC4MN"],"itemData":{"id":4400,"type":"webpage","title":"Initial List of Hazardous Air Pollutants with Modifications","genre":"Reports and Assessments","abstract":"Initial List of Hazardous Air Pollutants with Modifications","URL":"https://www.epa.gov/haps/initial-list-hazardous-air-pollutants-modifications","language":"en","author":[{"literal":"US EPA"}],"accessed":{"date-parts":[["2017",3,2]]}}}],"schema":"https://github.com/citation-style-language/schema/raw/master/csl-citation.json"} </w:instrText>
      </w:r>
      <w:r w:rsidRPr="000D0229">
        <w:fldChar w:fldCharType="separate"/>
      </w:r>
      <w:r w:rsidR="00653A21" w:rsidRPr="000D0229">
        <w:rPr>
          <w:rFonts w:ascii="Calibri" w:hAnsi="Calibri"/>
          <w:szCs w:val="24"/>
          <w:vertAlign w:val="superscript"/>
        </w:rPr>
        <w:t>1</w:t>
      </w:r>
      <w:r w:rsidRPr="000D0229">
        <w:fldChar w:fldCharType="end"/>
      </w:r>
      <w:r w:rsidRPr="000D0229">
        <w:t xml:space="preserve"> and both are suspected of damaging fertility as defined under REACH.</w:t>
      </w:r>
      <w:r w:rsidRPr="000D0229">
        <w:fldChar w:fldCharType="begin"/>
      </w:r>
      <w:r w:rsidR="00FF231A" w:rsidRPr="000D0229">
        <w:instrText xml:space="preserve"> ADDIN ZOTERO_ITEM CSL_CITATION {"citationID":"a2jf9cp8soh","properties":{"formattedCitation":"{\\rtf \\super 2,3\\nosupersub{}}","plainCitation":"2,3"},"citationItems":[{"id":1629,"uris":["http://zotero.org/users/1738524/items/5MCPQ8TU"],"uri":["http://zotero.org/users/1738524/items/5MCPQ8TU"],"itemData":{"id":1629,"type":"webpage","title":"n-Hexane - Substance Information - ECHA","URL":"https://echa.europa.eu/substance-information/-/substanceinfo/100.003.435","accessed":{"date-parts":[["2016",9,12]]}}},{"id":1622,"uris":["http://zotero.org/users/1738524/items/2HD3BUMV"],"uri":["http://zotero.org/users/1738524/items/2HD3BUMV"],"itemData":{"id":1622,"type":"webpage","title":"Toluene - Substance Information - ECHA","URL":"https://echa.europa.eu/substance-information/-/substanceinfo/100.003.297","accessed":{"date-parts":[["2016",9,8]]}}}],"schema":"https://github.com/citation-style-language/schema/raw/master/csl-citation.json"} </w:instrText>
      </w:r>
      <w:r w:rsidRPr="000D0229">
        <w:fldChar w:fldCharType="separate"/>
      </w:r>
      <w:r w:rsidR="00653A21" w:rsidRPr="000D0229">
        <w:rPr>
          <w:rFonts w:ascii="Calibri" w:hAnsi="Calibri"/>
          <w:szCs w:val="24"/>
          <w:vertAlign w:val="superscript"/>
        </w:rPr>
        <w:t>2,3</w:t>
      </w:r>
      <w:r w:rsidRPr="000D0229">
        <w:fldChar w:fldCharType="end"/>
      </w:r>
      <w:r w:rsidRPr="000D0229">
        <w:t xml:space="preserve"> Furthermore, hexane is currently on a CoRAP list for evaluation due to carcinogenicity, mutagenicity and reprotoxicity (CMR) concerns.</w:t>
      </w:r>
      <w:r w:rsidRPr="000D0229">
        <w:fldChar w:fldCharType="begin"/>
      </w:r>
      <w:r w:rsidR="00FF231A" w:rsidRPr="000D0229">
        <w:instrText xml:space="preserve"> ADDIN ZOTERO_ITEM CSL_CITATION {"citationID":"ik7lbvltm","properties":{"formattedCitation":"{\\rtf \\super 4\\nosupersub{}}","plainCitation":"4"},"citationItems":[{"id":4421,"uris":["http://zotero.org/users/1738524/items/J93GBGW7"],"uri":["http://zotero.org/users/1738524/items/J93GBGW7"],"itemData":{"id":4421,"type":"webpage","title":"n-Hexane - Substance evaluation - CoRAP - ECHA","URL":"https://echa.europa.eu/information-on-chemicals/evaluation/community-rolling-action-plan/corap-table/-/dislist/details/0b0236e1807e4bd4","accessed":{"date-parts":[["2017",3,3]]}}}],"schema":"https://github.com/citation-style-language/schema/raw/master/csl-citation.json"} </w:instrText>
      </w:r>
      <w:r w:rsidRPr="000D0229">
        <w:fldChar w:fldCharType="separate"/>
      </w:r>
      <w:r w:rsidR="00653A21" w:rsidRPr="000D0229">
        <w:rPr>
          <w:rFonts w:ascii="Calibri" w:hAnsi="Calibri"/>
          <w:szCs w:val="24"/>
          <w:vertAlign w:val="superscript"/>
        </w:rPr>
        <w:t>4</w:t>
      </w:r>
      <w:r w:rsidRPr="000D0229">
        <w:fldChar w:fldCharType="end"/>
      </w:r>
      <w:r w:rsidRPr="000D0229">
        <w:t xml:space="preserve"> VNP solvents have been targeted for replacement with safer, non-volatile, and ideally renewable alternatives in many recent reviews and solvent guides,</w:t>
      </w:r>
      <w:r w:rsidRPr="000D0229">
        <w:fldChar w:fldCharType="begin"/>
      </w:r>
      <w:r w:rsidR="00FF231A" w:rsidRPr="000D0229">
        <w:instrText xml:space="preserve"> ADDIN ZOTERO_ITEM CSL_CITATION {"citationID":"I1Sf7q9x","properties":{"formattedCitation":"{\\rtf \\super 5\\uc0\\u8211{}7\\nosupersub{}}","plainCitation":"5–7"},"citationItems":[{"id":409,"uris":["http://zotero.org/users/1738524/items/Q4P6ERUG"],"uri":["http://zotero.org/users/1738524/items/Q4P6ERUG"],"itemData":{"id":409,"type":"article-journal","title":"Searching for green solvents","container-title":"Green Chemistry","page":"1391-1398","volume":"13","issue":"6","source":"pubs.rsc.org","abstract":"Academic research in the area of green solvents is focused on neither the industries that use solvents most nor the types of solvents that the research community believes have the best hope of reducing solvent-related environmental damage. Those of us who are primarily motivated by a desire to reduce such da Green Solvents for Synthesis","DOI":"10.1039/C0GC00797H","ISSN":"1463-9270","journalAbbreviation":"Green Chem.","language":"en","author":[{"family":"Jessop","given":"Philip G."}],"issued":{"date-parts":[["2011",6,7]]}}},{"id":1460,"uris":["http://zotero.org/users/1738524/items/VZ9RTGAV"],"uri":["http://zotero.org/users/1738524/items/VZ9RTGAV"],"itemData":{"id":1460,"type":"article-journal","title":"CHEM21 selection guide of classical- and less classical-solvents","container-title":"Green Chemistry","page":"288-296","volume":"18","issue":"1","source":"pubs.rsc.org","abstract":"A selection guide of common solvents has been elaborated, based on a survey of publically available solvent selection guides. In order to rank less classical solvents, a set of Safety, Health and Environment criteria is proposed, aligned with the Global Harmonized System (GHS) and European regulations. A methodology based on a simple combination of these criteria gives an overall preliminary ranking of any solvent. This enables in particular a simplified greenness evaluation of bio-derived solvents.","DOI":"10.1039/C5GC01008J","ISSN":"1463-9270","journalAbbreviation":"Green Chem.","language":"en","author":[{"family":"Prat","given":"Denis"},{"family":"Wells","given":"Andy"},{"family":"Hayler","given":"John"},{"family":"Sneddon","given":"Helen"},{"family":"McElroy","given":"C. Robert"},{"family":"Abou-Shehada","given":"Sarah"},{"family":"Dunn","given":"Peter J."}],"issued":{"date-parts":[["2015",12,21]]}},"locator":"21"},{"id":4487,"uris":["http://zotero.org/users/1738524/items/XZP7IHHC"],"uri":["http://zotero.org/users/1738524/items/XZP7IHHC"],"itemData":{"id":4487,"type":"article-journal","title":"Updating and further expanding GSK's solvent sustainability guide","page":"3879-3890","volume":"18","issue":"13","source":"pubs.rsc.org","abstract":"GlaxoSmithKline (GSK) has previously reported on the development of a GSK solvent guide, the incorporation of lifecycle impact and the expansion of the guide including a customisable version intended for posting in different business areas. This guide has recently been enhanced by: (1) adding 44 additional solvents, many of which have literature claims to be “green”; (2) adjusting the way in which multiple health, environment, safety, and waste categories are combined to reach a single composite score and colour assignment; (3) updating the data behind all scores, especially toxicology and health hazard assessment, and revising the methodology to reflect current guidelines and data. The full methodology behind this work is hereby shared. The new GSK Solvent Sustainability Guide enables GSK scientists to objectively assess solvents. It facilitates both comparison of individual sustainability criteria, and a composite score and colour for rank ordering, incorporating multiple facets of sustainability.","DOI":"10.1039/C6GC00611F","ISSN":"1463-9270","journalAbbreviation":"Green Chem.","language":"en","author":[{"family":"Alder","given":"Catherine M."},{"family":"Hayler","given":"John D."},{"family":"Henderson","given":"Richard K."},{"family":"Redman","given":"Anikó M."},{"family":"Shukla","given":"Lena"},{"family":"Shuster","given":"Leanna E."},{"family":"Sneddon","given":"Helen F."}],"issued":{"date-parts":[["2016",6,27]]}}}],"schema":"https://github.com/citation-style-language/schema/raw/master/csl-citation.json"} </w:instrText>
      </w:r>
      <w:r w:rsidRPr="000D0229">
        <w:fldChar w:fldCharType="separate"/>
      </w:r>
      <w:r w:rsidR="00653A21" w:rsidRPr="000D0229">
        <w:rPr>
          <w:rFonts w:ascii="Calibri" w:hAnsi="Calibri"/>
          <w:szCs w:val="24"/>
          <w:vertAlign w:val="superscript"/>
        </w:rPr>
        <w:t>5–7</w:t>
      </w:r>
      <w:r w:rsidRPr="000D0229">
        <w:fldChar w:fldCharType="end"/>
      </w:r>
      <w:r w:rsidRPr="000D0229">
        <w:t xml:space="preserve"> but this has proven to be difficult. Although many traditionally used VNP solvents can be made from biomass,</w:t>
      </w:r>
      <w:r w:rsidRPr="000D0229">
        <w:fldChar w:fldCharType="begin"/>
      </w:r>
      <w:r w:rsidR="00FF231A" w:rsidRPr="000D0229">
        <w:instrText xml:space="preserve"> ADDIN ZOTERO_ITEM CSL_CITATION {"citationID":"6Gzzg0tS","properties":{"formattedCitation":"{\\rtf \\super 8,9\\nosupersub{}}","plainCitation":"8,9"},"citationItems":[{"id":1627,"uris":["http://zotero.org/users/1738524/items/RQTNFN39"],"uri":["http://zotero.org/users/1738524/items/RQTNFN39"],"itemData":{"id":1627,"type":"article-journal","title":"Synthesis of biomass-derived methylcyclopentane as a gasoline additive via aldol condensation/hydrodeoxygenation of 2,5-hexanedione","container-title":"Green Chemistry","page":"2393-2397","volume":"17","issue":"4","source":"pubs.rsc.org","abstract":"A novel approach to produce biomass-derived gasoline is the hydrolysis of 2,5-dimethylfuran (DMF) to produce 2,5-hexanedione followed by base-catalyzed intramolecular aldol condensation of this product to form 3-methylcyclopent-2-enone (MCP). By proper choice of catalysts and conditions, MCP yields of 98% can be achieved. We further show that hydrogenation of MCP over Pt/NbOPO4 gives methylcyclopentane with virtually quantitative yields. Methylcyclopentane is an attractive gasoline substitute for ethanol, since its octane number is similar to ethanol and its gravimetric energy density is 58% higher.","DOI":"10.1039/C4GC02292K","ISSN":"1463-9270","journalAbbreviation":"Green Chem.","language":"en","author":[{"family":"Sacia","given":"Eric R."},{"family":"Deaner","given":"Matthew H."},{"family":"Louie","given":"Ying “Lin”"},{"family":"Bell","given":"Alexis T."}],"issued":{"date-parts":[["2015",4,7]]}}},{"id":1626,"uris":["http://zotero.org/users/1738524/items/PDQASGVU"],"uri":["http://zotero.org/users/1738524/items/PDQASGVU"],"itemData":{"id":1626,"type":"article-journal","title":"Direct catalytic conversion of cellulose to liquid straight-chain alkanes","container-title":"Energy &amp; Environmental Science","page":"230-240","volume":"8","issue":"1","source":"pubs.rsc.org","abstract":"High yields of liquid straight-chain alkanes were obtained directly from cellulosic feedstock in a one-pot biphasic catalytic system. The catalytic reaction proceeds at elevated temperatures under hydrogen pressure in the presence of tungstosilicic acid, dissolved in the aqueous phase, and modified Ru/C, suspended in the organic phase. Tungstosilicic acid is primarily responsible for cellulose hydrolysis and dehydration steps, while the modified Ru/C selectively hydrogenates intermediates en route to the liquid alkanes. Under optimal conditions, microcrystalline cellulose is converted to 82% n-decane-soluble products, mainly n-hexane, within a few hours, with a minimum formation of gaseous and char products. The dominant route to the liquid alkanes proceeds via 5-hydroxymethylfurfural (HMF), whereas the more common pathway via sorbitol appears to be less efficient. High liquid alkane yields were possible through (i) selective conversion of cellulose to glucose and further to HMF by gradually heating the reactor, (ii) a proper hydrothermal modification of commercial Ru/C to tune its chemoselectivity to furan hydrogenation rather than glucose hydrogenation, and (iii) the use of a biphasic reaction system with optimal partitioning of the intermediates and catalytic reactions. The catalytic system is capable of converting subsequent batches of fresh cellulose, enabling accumulation of the liquid alkanes in the organic phase during subsequent runs. Its robustness is illustrated in the conversion of the raw (soft)wood sawdust.","DOI":"10.1039/C4EE01523A","ISSN":"1754-5706","journalAbbreviation":"Energy Environ. Sci.","language":"en","author":[{"family":"Beeck","given":"Beau Op","dropping-particle":"de"},{"family":"Dusselier","given":"Michiel"},{"family":"Geboers","given":"Jan"},{"family":"Holsbeek","given":"Jensen"},{"family":"Morré","given":"Eline"},{"family":"Oswald","given":"Steffen"},{"family":"Giebeler","given":"Lars"},{"family":"Sels","given":"Bert F."}],"issued":{"date-parts":[["2014",12,18]]}}}],"schema":"https://github.com/citation-style-language/schema/raw/master/csl-citation.json"} </w:instrText>
      </w:r>
      <w:r w:rsidRPr="000D0229">
        <w:fldChar w:fldCharType="separate"/>
      </w:r>
      <w:r w:rsidR="00653A21" w:rsidRPr="000D0229">
        <w:rPr>
          <w:rFonts w:ascii="Calibri" w:hAnsi="Calibri"/>
          <w:szCs w:val="24"/>
          <w:vertAlign w:val="superscript"/>
        </w:rPr>
        <w:t>8,9</w:t>
      </w:r>
      <w:r w:rsidRPr="000D0229">
        <w:fldChar w:fldCharType="end"/>
      </w:r>
      <w:r w:rsidRPr="000D0229">
        <w:t xml:space="preserve"> the same toxicity and flammability issues as their petroleum-based equivalents persist.</w:t>
      </w:r>
      <w:r w:rsidRPr="000D0229">
        <w:fldChar w:fldCharType="begin"/>
      </w:r>
      <w:r w:rsidR="00FF231A" w:rsidRPr="000D0229">
        <w:instrText xml:space="preserve"> ADDIN ZOTERO_ITEM CSL_CITATION {"citationID":"Qxf13FOt","properties":{"formattedCitation":"{\\rtf \\super 2,10\\nosupersub{}}","plainCitation":"2,10"},"citationItems":[{"id":1628,"uris":["http://zotero.org/users/1738524/items/S8KTMAJK"],"uri":["http://zotero.org/users/1738524/items/S8KTMAJK"],"itemData":{"id":1628,"type":"webpage","title":"Methylcyclopentane - Substance Information - ECHA","URL":"https://echa.europa.eu/substance-information/-/substanceinfo/100.002.277","accessed":{"date-parts":[["2016",9,12]]}}},{"id":1629,"uris":["http://zotero.org/users/1738524/items/5MCPQ8TU"],"uri":["http://zotero.org/users/1738524/items/5MCPQ8TU"],"itemData":{"id":1629,"type":"webpage","title":"n-Hexane - Substance Information - ECHA","URL":"https://echa.europa.eu/substance-information/-/substanceinfo/100.003.435","accessed":{"date-parts":[["2016",9,12]]}}}],"schema":"https://github.com/citation-style-language/schema/raw/master/csl-citation.json"} </w:instrText>
      </w:r>
      <w:r w:rsidRPr="000D0229">
        <w:fldChar w:fldCharType="separate"/>
      </w:r>
      <w:r w:rsidR="00653A21" w:rsidRPr="000D0229">
        <w:rPr>
          <w:rFonts w:ascii="Calibri" w:hAnsi="Calibri"/>
          <w:szCs w:val="24"/>
          <w:vertAlign w:val="superscript"/>
        </w:rPr>
        <w:t>2,10</w:t>
      </w:r>
      <w:r w:rsidRPr="000D0229">
        <w:fldChar w:fldCharType="end"/>
      </w:r>
    </w:p>
    <w:p w14:paraId="2B61604E" w14:textId="74217C87" w:rsidR="00216D59" w:rsidRPr="000D0229" w:rsidRDefault="00216D59" w:rsidP="008F3050">
      <w:pPr>
        <w:pStyle w:val="RSCB02ArticleText"/>
        <w:ind w:firstLine="284"/>
      </w:pPr>
      <w:r w:rsidRPr="000D0229">
        <w:t xml:space="preserve">Many of the candidates to replace VNP solvents have much higher boiling points than the solvent to be replaced. While limonene and </w:t>
      </w:r>
      <w:r w:rsidRPr="000D0229">
        <w:rPr>
          <w:i/>
        </w:rPr>
        <w:t>para</w:t>
      </w:r>
      <w:r w:rsidRPr="000D0229">
        <w:t xml:space="preserve">-cymene have similar solvent properties to toluene, product isolation by solvent removal is challenging and energy intensive due to their high boiling points, 176 and 177 </w:t>
      </w:r>
      <w:r w:rsidRPr="000D0229">
        <w:rPr>
          <w:rFonts w:cs="Arial"/>
        </w:rPr>
        <w:t>°</w:t>
      </w:r>
      <w:r w:rsidRPr="000D0229">
        <w:t>C respectively.</w:t>
      </w:r>
      <w:r w:rsidRPr="000D0229">
        <w:fldChar w:fldCharType="begin"/>
      </w:r>
      <w:r w:rsidRPr="000D0229">
        <w:instrText xml:space="preserve"> ADDIN ZOTERO_ITEM CSL_CITATION {"citationID":"29l3lvh7d7","properties":{"formattedCitation":"{\\rtf \\super 11\\nosupersub{}}","plainCitation":"11"},"citationItems":[{"id":554,"uris":["http://zotero.org/users/1738524/items/NNSUP5P2"],"uri":["http://zotero.org/users/1738524/items/NNSUP5P2"],"itemData":{"id":554,"type":"article-journal","title":"A quantitative comparison between conventional and bio-derived solvents from citrus waste in esterification and amidation kinetic studies","container-title":"Green Chemistry","page":"90","volume":"14","issue":"1","source":"CrossRef","DOI":"10.1039/c1gc16299c","ISSN":"1463-9262, 1463-9270","author":[{"family":"Clark","given":"James H."},{"family":"Macquarrie","given":"Duncan J."},{"family":"Sherwood","given":"James"}],"issued":{"date-parts":[["2012"]]}}}],"schema":"https://github.com/citation-style-language/schema/raw/master/csl-citation.json"} </w:instrText>
      </w:r>
      <w:r w:rsidRPr="000D0229">
        <w:fldChar w:fldCharType="separate"/>
      </w:r>
      <w:r w:rsidR="00653A21" w:rsidRPr="000D0229">
        <w:rPr>
          <w:rFonts w:ascii="Calibri" w:hAnsi="Calibri"/>
          <w:szCs w:val="24"/>
          <w:vertAlign w:val="superscript"/>
        </w:rPr>
        <w:t>11</w:t>
      </w:r>
      <w:r w:rsidRPr="000D0229">
        <w:fldChar w:fldCharType="end"/>
      </w:r>
      <w:r w:rsidRPr="000D0229">
        <w:t xml:space="preserve"> Unless a product can be easily crystallized from the reaction medium, solvent removal by evaporation is often the only alternative.  Volatility is a solvent property which can </w:t>
      </w:r>
      <w:r w:rsidRPr="000D0229">
        <w:t>improve the greenness of a process by facilitating recovery.</w:t>
      </w:r>
      <w:r w:rsidRPr="000D0229">
        <w:fldChar w:fldCharType="begin"/>
      </w:r>
      <w:r w:rsidR="00FF231A" w:rsidRPr="000D0229">
        <w:instrText xml:space="preserve"> ADDIN ZOTERO_ITEM CSL_CITATION {"citationID":"a13fsent693","properties":{"formattedCitation":"{\\rtf \\super 12\\nosupersub{}}","plainCitation":"12"},"citationItems":[{"id":4491,"uris":["http://zotero.org/users/1738524/items/MGTJIHVR"],"uri":["http://zotero.org/users/1738524/items/MGTJIHVR"],"itemData":{"id":4491,"type":"article-journal","title":"Challenges in the development of bio-based solvents: a case study on methyl (2,2-dimethyl-1,3-dioxolan-4-yl) methyl carbonate as an alternative aprotic solvent","container-title":"Faraday Discussions","DOI":"10.1039/c7fd00049a","author":[{"family":"Jin","given":"Saimeng"},{"family":"Byrne","given":"Fergal"},{"family":"McElroy","given":"Con Robert"},{"family":"Sherwood","given":"James"},{"family":"Clark","given":"James H."},{"family":"Hunt","given":"Andrew J."}],"issued":{"date-parts":[["2017"]]}}}],"schema":"https://github.com/citation-style-language/schema/raw/master/csl-citation.json"} </w:instrText>
      </w:r>
      <w:r w:rsidRPr="000D0229">
        <w:fldChar w:fldCharType="separate"/>
      </w:r>
      <w:r w:rsidR="00653A21" w:rsidRPr="000D0229">
        <w:rPr>
          <w:rFonts w:ascii="Calibri" w:hAnsi="Calibri"/>
          <w:szCs w:val="24"/>
          <w:vertAlign w:val="superscript"/>
        </w:rPr>
        <w:t>12</w:t>
      </w:r>
      <w:r w:rsidRPr="000D0229">
        <w:fldChar w:fldCharType="end"/>
      </w:r>
      <w:r w:rsidRPr="000D0229">
        <w:t xml:space="preserve"> The energy demand to remove less-volatile solvents such as limonene and </w:t>
      </w:r>
      <w:r w:rsidRPr="000D0229">
        <w:rPr>
          <w:i/>
        </w:rPr>
        <w:t>para</w:t>
      </w:r>
      <w:r w:rsidRPr="000D0229">
        <w:t xml:space="preserve">-cymene, can impair the environmental credentials of an otherwise green process. Until new processes and products have been developed which do not require solvent evaporation, green, volatile, and safe solvents are needed. </w:t>
      </w:r>
    </w:p>
    <w:p w14:paraId="51B84E00" w14:textId="25CF84C0" w:rsidR="00216D59" w:rsidRPr="000D0229" w:rsidRDefault="00216D59" w:rsidP="008F3050">
      <w:pPr>
        <w:pStyle w:val="RSCB02ArticleText"/>
        <w:ind w:firstLine="284"/>
      </w:pPr>
      <w:r w:rsidRPr="000D0229">
        <w:t xml:space="preserve">Esters are another attractive alternative as they generally do not possess the high toxicity of hydrocarbons which is demonstrated by their natural presence in foods and use as </w:t>
      </w:r>
      <w:r w:rsidR="00DA59E3" w:rsidRPr="000D0229">
        <w:t>flavour</w:t>
      </w:r>
      <w:r w:rsidRPr="000D0229">
        <w:t xml:space="preserve"> additives.</w:t>
      </w:r>
      <w:r w:rsidRPr="000D0229">
        <w:fldChar w:fldCharType="begin"/>
      </w:r>
      <w:r w:rsidR="00FF231A" w:rsidRPr="000D0229">
        <w:instrText xml:space="preserve"> ADDIN ZOTERO_ITEM CSL_CITATION {"citationID":"a271lg7pggu","properties":{"formattedCitation":"{\\rtf \\super 13\\nosupersub{}}","plainCitation":"13"},"citationItems":[{"id":628,"uris":["http://zotero.org/users/1738524/items/XPFZSR74"],"uri":["http://zotero.org/users/1738524/items/XPFZSR74"],"itemData":{"id":628,"type":"article-journal","title":"Expanding GSK's solvent selection guide – embedding sustainability into solvent selection starting at medicinal chemistry","container-title":"Green Chemistry","page":"854-862","volume":"13","issue":"4","source":"pubs.rsc.org","abstract":"Solvents make a large contribution to the environmental impact of manufacturing processes of active pharmaceutical ingredients (API), as well as playing an important role in other chemical industries, with millions of tons used and disposed of each year. GlaxoSmithKline (GSK) has previously reported on the b","DOI":"10.1039/C0GC00918K","ISSN":"1463-9270","journalAbbreviation":"Green Chem.","language":"en","author":[{"family":"Henderson","given":"Richard K."},{"family":"Jiménez-González","given":"Concepción"},{"family":"Constable","given":"David J. C."},{"family":"Alston","given":"Sarah R."},{"family":"Inglis","given":"Graham G. A."},{"family":"Fisher","given":"Gail"},{"family":"Sherwood","given":"James"},{"family":"Binks","given":"Steve P."},{"family":"Curzons","given":"Alan D."}],"issued":{"date-parts":[["2011",4,5]]}}}],"schema":"https://github.com/citation-style-language/schema/raw/master/csl-citation.json"} </w:instrText>
      </w:r>
      <w:r w:rsidRPr="000D0229">
        <w:fldChar w:fldCharType="separate"/>
      </w:r>
      <w:r w:rsidR="00653A21" w:rsidRPr="000D0229">
        <w:rPr>
          <w:rFonts w:ascii="Calibri" w:hAnsi="Calibri"/>
          <w:szCs w:val="24"/>
          <w:vertAlign w:val="superscript"/>
        </w:rPr>
        <w:t>13</w:t>
      </w:r>
      <w:r w:rsidRPr="000D0229">
        <w:fldChar w:fldCharType="end"/>
      </w:r>
      <w:r w:rsidRPr="000D0229">
        <w:t xml:space="preserve"> However, at low molecular weights, esters have higher polarity compared to hydrocarbon solvents, impeding their use as VNPs.</w:t>
      </w:r>
      <w:r w:rsidRPr="000D0229">
        <w:fldChar w:fldCharType="begin"/>
      </w:r>
      <w:r w:rsidR="00FF231A" w:rsidRPr="000D0229">
        <w:instrText xml:space="preserve"> ADDIN ZOTERO_ITEM CSL_CITATION {"citationID":"a22h2lrq1sj","properties":{"formattedCitation":"{\\rtf \\super 14\\nosupersub{}}","plainCitation":"14"},"citationItems":[{"id":4117,"uris":["http://zotero.org/users/1738524/items/S3IUG5SP"],"uri":["http://zotero.org/users/1738524/items/S3IUG5SP"],"itemData":{"id":4117,"type":"thesis","title":"Bio-Based Solvents for Organic Synthesis","publisher":"University of York","genre":"PhD Thesis","source":"etheses.whiterose.ac.uk","abstract":"Scrutiny over solvent selection in the chemical industry has risen in recent decades, popularising research into neoteric solvent systems such as ionic liquids and supercritical fluids. More recently bio-based solvent products have been considered as replacements for conventional petroleum derived solvents. Because they bear a close resemblance to existing solvent products, bio-based solvents can be readily absorbed into the fine chemical industries. This work develops a methodology for identifying reactions of concern with respect to current solvent selection practice, and then implementing a high performance bio-based solvent substitute.\n\nIn this thesis, kinetic studies of heteroatom alkylation, amidation, and esterification are documented, and the solvent effect dictating the rate of each reaction ascertained. With the ideal properties for the solvent known, bio-based solvent candidates were screened for suitability in each case study. This process, which employs computational tools, was also applied to model the productivity of the Biginelli reaction as a representative multi-component heterocycle synthesis. A strong case is made for limonene and p-cymene as bio-based solvents for all but heteroatom alkylation from the case studies listed above. Alkylations with nitrogen nucleophiles are instead suited to high polarity solvents, and to this end some bio-based amides were investigated.","URL":"http://etheses.whiterose.ac.uk/4999/","author":[{"family":"Sherwood","given":"James"}],"issued":{"date-parts":[["2013",7]]},"accessed":{"date-parts":[["2017",1,12]]}}}],"schema":"https://github.com/citation-style-language/schema/raw/master/csl-citation.json"} </w:instrText>
      </w:r>
      <w:r w:rsidRPr="000D0229">
        <w:fldChar w:fldCharType="separate"/>
      </w:r>
      <w:r w:rsidR="00653A21" w:rsidRPr="000D0229">
        <w:rPr>
          <w:rFonts w:ascii="Calibri" w:hAnsi="Calibri"/>
          <w:szCs w:val="24"/>
          <w:vertAlign w:val="superscript"/>
        </w:rPr>
        <w:t>14</w:t>
      </w:r>
      <w:r w:rsidRPr="000D0229">
        <w:fldChar w:fldCharType="end"/>
      </w:r>
      <w:r w:rsidRPr="000D0229">
        <w:t xml:space="preserve"> At higher molecular weights the polarity of esters decreases but with the consequence that their boiling point increases, making product isolation by solvent evaporation energy intensive.</w:t>
      </w:r>
      <w:r w:rsidRPr="000D0229">
        <w:fldChar w:fldCharType="begin"/>
      </w:r>
      <w:r w:rsidR="00FF231A" w:rsidRPr="000D0229">
        <w:instrText xml:space="preserve"> ADDIN ZOTERO_ITEM CSL_CITATION {"citationID":"a2qnsia1s9k","properties":{"formattedCitation":"{\\rtf \\super 15\\nosupersub{}}","plainCitation":"15"},"citationItems":[{"id":806,"uris":["http://zotero.org/users/1738524/items/T4GEE2CA"],"uri":["http://zotero.org/users/1738524/items/T4GEE2CA"],"itemData":{"id":806,"type":"article-journal","title":"Green syntheses of biobased solvents","container-title":"Comptes Rendus Chimie","page":"636-646","volume":"14","issue":"7–8","source":"ScienceDirect","abstract":"The design of bioproducts implies the use of renewable carbon but also the conversion of this carbon through clean processes. This step is often a limiting one if we consider the whole life cycle “from the raw materials to the fate of the products”. We proposed, in this work, to adapt conventional methods to the conversion of a natural raw material, the fusel oil, a co-product generated by ethanol industry to prepare acetates, carbonates and isovalerates. Selected conditions are compared to conventional routes to quantify their ecoefficiency and to check their potential development for the preparation of new biosolvents. In another step, we have calculated the volatile organic compound amount emitted during the production of a new cosmetic formulation using the fusel oil derivatives. This complete but simple example shows how to identify a real competitive alternative to the usual production chains.","DOI":"10.1016/j.crci.2010.07.008","ISSN":"1631-0748","journalAbbreviation":"Comptes Rendus Chimie","author":[{"family":"Bandres","given":"Matthieu"},{"family":"Caro","given":"Pascale","non-dropping-particle":"de"},{"family":"Thiebaud-Roux","given":"Sophie"},{"family":"Borredon","given":"Marie-Elisabeth"}],"issued":{"date-parts":[["2011",7]]}}}],"schema":"https://github.com/citation-style-language/schema/raw/master/csl-citation.json"} </w:instrText>
      </w:r>
      <w:r w:rsidRPr="000D0229">
        <w:fldChar w:fldCharType="separate"/>
      </w:r>
      <w:r w:rsidR="00653A21" w:rsidRPr="000D0229">
        <w:rPr>
          <w:rFonts w:ascii="Calibri" w:hAnsi="Calibri"/>
          <w:szCs w:val="24"/>
          <w:vertAlign w:val="superscript"/>
        </w:rPr>
        <w:t>15</w:t>
      </w:r>
      <w:r w:rsidRPr="000D0229">
        <w:fldChar w:fldCharType="end"/>
      </w:r>
      <w:r w:rsidRPr="000D0229">
        <w:t xml:space="preserve"> </w:t>
      </w:r>
    </w:p>
    <w:p w14:paraId="269542A6" w14:textId="75531625" w:rsidR="00216D59" w:rsidRPr="000D0229" w:rsidRDefault="00216D59" w:rsidP="008F3050">
      <w:pPr>
        <w:pStyle w:val="RSCB02ArticleText"/>
        <w:ind w:firstLine="284"/>
      </w:pPr>
      <w:r w:rsidRPr="000D0229">
        <w:t>Many supposedly greener ethers such as cyclopentyl methyl ether (CPME), 2-methyltetrahydrofuran (2-MeTHF) and 2,5-dimethyltetrahydrofuran (DMTHF) have a suitable balance of polarity and volatility to replace traditional VNP solvents, but safety issues persist due to their explosive peroxide-forming potential, questioning their green credentials.</w:t>
      </w:r>
      <w:r w:rsidRPr="000D0229">
        <w:fldChar w:fldCharType="begin"/>
      </w:r>
      <w:r w:rsidR="00FF231A" w:rsidRPr="000D0229">
        <w:instrText xml:space="preserve"> ADDIN ZOTERO_ITEM CSL_CITATION {"citationID":"bHHHfuD5","properties":{"formattedCitation":"{\\rtf \\super 16\\uc0\\u8211{}18\\nosupersub{}}","plainCitation":"16–18"},"citationItems":[{"id":744,"uris":["http://zotero.org/users/1738524/items/79QM8R2G"],"uri":["http://zotero.org/users/1738524/items/79QM8R2G"],"itemData":{"id":744,"type":"article-journal","title":"Cyclopentyl Methyl Ether as a New and Alternative Process Solvent","container-title":"Organic Process Research &amp; Development","page":"251-258","volume":"11","issue":"2","source":"ACS Publications","abstract":"Cyclopentyl methyl ether (CPME) has become available in commercial quantities since November 2005 from Zeon Corporation with approval by the Toxic Substances Control Act (TSCA) and the European List of Notified Chemical Substances (ELINCS). A high boiling point (106 °C) and preferable characteristics such as low formation of peroxides, relative stability under acidic and basic conditions, formation of azeotropes with water coupled with a narrow explosion range render CPME an alternative to other ethereal solvents such as tetrahydrofuran (THF), 2-methyl tetrahydrofuran (2-MeTHF), dioxane (carcinogenic), and 1,2-dimethoxyethane (DME). Conventional drying is unnecessary for general organometallic reactions including Grignard reactions, enolate formation, Claisen condensation, general reductions, and Pd-based transformations.","DOI":"10.1021/op0680136","ISSN":"1083-6160","journalAbbreviation":"Org. Process Res. Dev.","author":[{"family":"Watanabe","given":"Kiyoshi"},{"family":"Yamagiwa","given":"Noriyuki"},{"family":"Torisawa","given":"Yasuhiro"}],"issued":{"date-parts":[["2007",3,1]]}}},{"id":896,"uris":["http://zotero.org/users/1738524/items/UZWB8EJ7"],"uri":["http://zotero.org/users/1738524/items/UZWB8EJ7"],"itemData":{"id":896,"type":"article-journal","title":"Solvent Applications of 2-Methyltetrahydrofuran in Organometallic and Biphasic Reactions","container-title":"Organic Process Research &amp; Development","page":"156-159","volume":"11","issue":"1","source":"pubs.acs.org (Atypon)","DOI":"10.1021/op060155c","ISSN":"1083-6160","journalAbbreviation":"Org. Process Res. Dev.","author":[{"family":"Aycock","given":"David F."}],"issued":{"date-parts":[["2006",12,6]]}}},{"id":1637,"uris":["http://zotero.org/users/1738524/items/ZUMEETGE"],"uri":["http://zotero.org/users/1738524/items/ZUMEETGE"],"itemData":{"id":1637,"type":"article-journal","title":"The Autoxidation of Nonvicinal Glycols Ester Formation via Cyclic Ethers and Their Peroxides","container-title":"The Journal of Organic Chemistry","page":"144-148","volume":"28","issue":"1","source":"ACS Publications","DOI":"10.1021/jo01036a033","ISSN":"0022-3263","journalAbbreviation":"J. Org. Chem.","author":[{"family":"Youngman","given":"E. A."},{"family":"Rust","given":"F. F."},{"family":"Coppinger","given":"G. M."},{"family":"Mare","given":"H. E. De La"}],"issued":{"date-parts":[["1963",1,1]]}}}],"schema":"https://github.com/citation-style-language/schema/raw/master/csl-citation.json"} </w:instrText>
      </w:r>
      <w:r w:rsidRPr="000D0229">
        <w:fldChar w:fldCharType="separate"/>
      </w:r>
      <w:r w:rsidR="00653A21" w:rsidRPr="000D0229">
        <w:rPr>
          <w:rFonts w:ascii="Calibri" w:hAnsi="Calibri"/>
          <w:szCs w:val="24"/>
          <w:vertAlign w:val="superscript"/>
        </w:rPr>
        <w:t>16–18</w:t>
      </w:r>
      <w:r w:rsidRPr="000D0229">
        <w:fldChar w:fldCharType="end"/>
      </w:r>
      <w:r w:rsidRPr="000D0229">
        <w:t xml:space="preserve"> Improved safety has been claimed in the case of CPME but an anti-oxidant additive, butylated hydroxytoluene (BHT), is required to prevent peroxidation.</w:t>
      </w:r>
      <w:r w:rsidRPr="000D0229">
        <w:fldChar w:fldCharType="begin"/>
      </w:r>
      <w:r w:rsidR="00FF231A" w:rsidRPr="000D0229">
        <w:instrText xml:space="preserve"> ADDIN ZOTERO_ITEM CSL_CITATION {"citationID":"lrabeeivb","properties":{"formattedCitation":"{\\rtf \\super 16\\nosupersub{}}","plainCitation":"16"},"citationItems":[{"id":744,"uris":["http://zotero.org/users/1738524/items/79QM8R2G"],"uri":["http://zotero.org/users/1738524/items/79QM8R2G"],"itemData":{"id":744,"type":"article-journal","title":"Cyclopentyl Methyl Ether as a New and Alternative Process Solvent","container-title":"Organic Process Research &amp; Development","page":"251-258","volume":"11","issue":"2","source":"ACS Publications","abstract":"Cyclopentyl methyl ether (CPME) has become available in commercial quantities since November 2005 from Zeon Corporation with approval by the Toxic Substances Control Act (TSCA) and the European List of Notified Chemical Substances (ELINCS). A high boiling point (106 °C) and preferable characteristics such as low formation of peroxides, relative stability under acidic and basic conditions, formation of azeotropes with water coupled with a narrow explosion range render CPME an alternative to other ethereal solvents such as tetrahydrofuran (THF), 2-methyl tetrahydrofuran (2-MeTHF), dioxane (carcinogenic), and 1,2-dimethoxyethane (DME). Conventional drying is unnecessary for general organometallic reactions including Grignard reactions, enolate formation, Claisen condensation, general reductions, and Pd-based transformations.","DOI":"10.1021/op0680136","ISSN":"1083-6160","journalAbbreviation":"Org. Process Res. Dev.","author":[{"family":"Watanabe","given":"Kiyoshi"},{"family":"Yamagiwa","given":"Noriyuki"},{"family":"Torisawa","given":"Yasuhiro"}],"issued":{"date-parts":[["2007",3,1]]}}}],"schema":"https://github.com/citation-style-language/schema/raw/master/csl-citation.json"} </w:instrText>
      </w:r>
      <w:r w:rsidRPr="000D0229">
        <w:fldChar w:fldCharType="separate"/>
      </w:r>
      <w:r w:rsidR="00653A21" w:rsidRPr="000D0229">
        <w:rPr>
          <w:rFonts w:ascii="Calibri" w:hAnsi="Calibri"/>
          <w:szCs w:val="24"/>
          <w:vertAlign w:val="superscript"/>
        </w:rPr>
        <w:t>16</w:t>
      </w:r>
      <w:r w:rsidRPr="000D0229">
        <w:fldChar w:fldCharType="end"/>
      </w:r>
      <w:r w:rsidRPr="000D0229">
        <w:fldChar w:fldCharType="begin"/>
      </w:r>
      <w:r w:rsidR="00FF231A" w:rsidRPr="000D0229">
        <w:instrText xml:space="preserve"> ADDIN ZOTERO_ITEM CSL_CITATION {"citationID":"f9vjat7ai","properties":{"formattedCitation":"{\\rtf \\super 19\\nosupersub{}}","plainCitation":"19"},"citationItems":[{"id":1638,"uris":["http://zotero.org/users/1738524/items/9HE5ZJH9"],"uri":["http://zotero.org/users/1738524/items/9HE5ZJH9"],"itemData":{"id":1638,"type":"webpage","title":"Specialty Chemicals - Cyclopentyl methyl ether (CPME) - Products</w:instrText>
      </w:r>
      <w:r w:rsidR="00FF231A" w:rsidRPr="000D0229">
        <w:rPr>
          <w:rFonts w:ascii="MS Gothic" w:eastAsia="MS Gothic" w:hAnsi="MS Gothic" w:cs="MS Gothic" w:hint="eastAsia"/>
        </w:rPr>
        <w:instrText>：</w:instrText>
      </w:r>
      <w:r w:rsidR="00FF231A" w:rsidRPr="000D0229">
        <w:instrText xml:space="preserve">ZEON CORPORATION","URL":"http://www.zeon.co.jp/business_e/enterprise/spechemi/spechemi5-13.html","accessed":{"date-parts":[["2016",9,13]]}}}],"schema":"https://github.com/citation-style-language/schema/raw/master/csl-citation.json"} </w:instrText>
      </w:r>
      <w:r w:rsidRPr="000D0229">
        <w:fldChar w:fldCharType="separate"/>
      </w:r>
      <w:r w:rsidR="00653A21" w:rsidRPr="000D0229">
        <w:rPr>
          <w:rFonts w:ascii="Calibri" w:hAnsi="Calibri"/>
          <w:szCs w:val="24"/>
          <w:vertAlign w:val="superscript"/>
        </w:rPr>
        <w:t>19</w:t>
      </w:r>
      <w:r w:rsidRPr="000D0229">
        <w:fldChar w:fldCharType="end"/>
      </w:r>
      <w:r w:rsidRPr="000D0229">
        <w:t xml:space="preserve"> Issues regarding the peroxide forming potential of ethers has recently been reflected in the pharmaceutical industry CHEM21 solvent selection guide where 2-MeTHF and CPME are classed as problematic, while DMTHF has not yet been classified.</w:t>
      </w:r>
      <w:r w:rsidRPr="000D0229">
        <w:fldChar w:fldCharType="begin"/>
      </w:r>
      <w:r w:rsidR="00FF231A" w:rsidRPr="000D0229">
        <w:instrText xml:space="preserve"> ADDIN ZOTERO_ITEM CSL_CITATION {"citationID":"6hks8qadd","properties":{"formattedCitation":"{\\rtf \\super 6\\nosupersub{}}","plainCitation":"6"},"citationItems":[{"id":1460,"uris":["http://zotero.org/users/1738524/items/VZ9RTGAV"],"uri":["http://zotero.org/users/1738524/items/VZ9RTGAV"],"itemData":{"id":1460,"type":"article-journal","title":"CHEM21 selection guide of classical- and less classical-solvents","container-title":"Green Chemistry","page":"288-296","volume":"18","issue":"1","source":"pubs.rsc.org","abstract":"A selection guide of common solvents has been elaborated, based on a survey of publically available solvent selection guides. In order to rank less classical solvents, a set of Safety, Health and Environment criteria is proposed, aligned with the Global Harmonized System (GHS) and European regulations. A methodology based on a simple combination of these criteria gives an overall preliminary ranking of any solvent. This enables in particular a simplified greenness evaluation of bio-derived solvents.","DOI":"10.1039/C5GC01008J","ISSN":"1463-9270","journalAbbreviation":"Green Chem.","language":"en","author":[{"family":"Prat","given":"Denis"},{"family":"Wells","given":"Andy"},{"family":"Hayler","given":"John"},{"family":"Sneddon","given":"Helen"},{"family":"McElroy","given":"C. Robert"},{"family":"Abou-Shehada","given":"Sarah"},{"family":"Dunn","given":"Peter J."}],"issued":{"date-parts":[["2015",12,21]]}}}],"schema":"https://github.com/citation-style-language/schema/raw/master/csl-citation.json"} </w:instrText>
      </w:r>
      <w:r w:rsidRPr="000D0229">
        <w:fldChar w:fldCharType="separate"/>
      </w:r>
      <w:r w:rsidR="00653A21" w:rsidRPr="000D0229">
        <w:rPr>
          <w:rFonts w:ascii="Calibri" w:hAnsi="Calibri"/>
          <w:szCs w:val="24"/>
          <w:vertAlign w:val="superscript"/>
        </w:rPr>
        <w:t>6</w:t>
      </w:r>
      <w:r w:rsidRPr="000D0229">
        <w:fldChar w:fldCharType="end"/>
      </w:r>
      <w:r w:rsidRPr="000D0229">
        <w:t xml:space="preserve"> </w:t>
      </w:r>
    </w:p>
    <w:p w14:paraId="472A9C51" w14:textId="6417EF9D" w:rsidR="00240BE2" w:rsidRPr="000D0229" w:rsidRDefault="00216D59" w:rsidP="008F3050">
      <w:pPr>
        <w:pStyle w:val="RSCB02ArticleText"/>
        <w:ind w:firstLine="284"/>
      </w:pPr>
      <w:r w:rsidRPr="000D0229">
        <w:t xml:space="preserve">Thus, there is a real need to develop a safer VNP solvent, evidenced by limited peroxide formation and low mutagenicity. Additionally, boundaries </w:t>
      </w:r>
      <w:r w:rsidR="00240BE2" w:rsidRPr="000D0229">
        <w:t xml:space="preserve">were set </w:t>
      </w:r>
      <w:r w:rsidRPr="000D0229">
        <w:t xml:space="preserve">for a solvent with a boiling </w:t>
      </w:r>
      <w:r w:rsidRPr="000D0229">
        <w:lastRenderedPageBreak/>
        <w:t xml:space="preserve">point &lt;115 </w:t>
      </w:r>
      <w:r w:rsidRPr="000D0229">
        <w:rPr>
          <w:rFonts w:cs="Arial"/>
        </w:rPr>
        <w:t>°</w:t>
      </w:r>
      <w:r w:rsidRPr="000D0229">
        <w:t>C (comparable to toluene)</w:t>
      </w:r>
      <w:r w:rsidR="009D3D75" w:rsidRPr="000D0229">
        <w:t>,</w:t>
      </w:r>
      <w:r w:rsidRPr="000D0229">
        <w:t xml:space="preserve"> a melting point &lt;-15 </w:t>
      </w:r>
      <w:r w:rsidRPr="000D0229">
        <w:rPr>
          <w:rFonts w:cs="Arial"/>
        </w:rPr>
        <w:t>°</w:t>
      </w:r>
      <w:r w:rsidRPr="000D0229">
        <w:t xml:space="preserve">C </w:t>
      </w:r>
      <w:r w:rsidR="007569DD" w:rsidRPr="000D0229">
        <w:t>(</w:t>
      </w:r>
      <w:r w:rsidRPr="000D0229">
        <w:t>for storage in cold climates</w:t>
      </w:r>
      <w:r w:rsidR="007569DD" w:rsidRPr="000D0229">
        <w:t>)</w:t>
      </w:r>
      <w:r w:rsidR="009D3D75" w:rsidRPr="000D0229">
        <w:t xml:space="preserve"> and an ability to dissolve polyisoprene rubber (as a verification of non-polarity)</w:t>
      </w:r>
      <w:r w:rsidRPr="000D0229">
        <w:t xml:space="preserve">. Herein, the facile synthesis (Figure 1) and testing of the non-peroxide forming (without the use of anti-oxidant additives) ether, 2,2,5,5-tetramethyltetrahydrofuran </w:t>
      </w:r>
      <w:r w:rsidR="004B49C9" w:rsidRPr="000D0229">
        <w:t xml:space="preserve">(TMTHF, IUPAC = 2,2,5,5-tetramethyloxolane), </w:t>
      </w:r>
      <w:r w:rsidRPr="000D0229">
        <w:t>has been described.</w:t>
      </w:r>
      <w:r w:rsidR="00CF7700" w:rsidRPr="000D0229">
        <w:rPr>
          <w:noProof/>
          <w:lang w:eastAsia="en-GB"/>
        </w:rPr>
        <w:t xml:space="preserve"> </w:t>
      </w:r>
      <w:r w:rsidR="00240BE2" w:rsidRPr="000D0229">
        <w:t xml:space="preserve">It was demonstrated to be a safer, potentially renewable alternative to traditional VNP solvents. TMTHF’s resistance to peroxide formation has been investigated and compared to current commercially available ether solvents. Finally, its viability as a replacement for VNP solvents has been demonstrated by its application in a series of synthetic reactions, radical-initiated polymerizations and solubility tests, and finally its green credentials are discussed. </w:t>
      </w:r>
    </w:p>
    <w:p w14:paraId="48BBAA3D" w14:textId="41B33341" w:rsidR="00240BE2" w:rsidRPr="000D0229" w:rsidRDefault="00240BE2" w:rsidP="00240BE2">
      <w:pPr>
        <w:pStyle w:val="RSCB04AHeadingSection"/>
        <w:rPr>
          <w:noProof/>
          <w:lang w:eastAsia="en-GB"/>
        </w:rPr>
      </w:pPr>
      <w:r w:rsidRPr="000D0229">
        <w:rPr>
          <w:noProof/>
          <w:lang w:eastAsia="en-GB"/>
        </w:rPr>
        <w:t>Results and discussion</w:t>
      </w:r>
    </w:p>
    <w:p w14:paraId="46A8D565" w14:textId="5680F54D" w:rsidR="008F3050" w:rsidRPr="000D0229" w:rsidRDefault="008F3050" w:rsidP="008F3050">
      <w:pPr>
        <w:pStyle w:val="RSCB06BHeadingSub-Section"/>
        <w:rPr>
          <w:noProof/>
          <w:lang w:eastAsia="en-GB"/>
        </w:rPr>
      </w:pPr>
      <w:r w:rsidRPr="000D0229">
        <w:rPr>
          <w:noProof/>
          <w:lang w:eastAsia="en-GB"/>
        </w:rPr>
        <w:t xml:space="preserve">Synthesis of TMTHF </w:t>
      </w:r>
    </w:p>
    <w:p w14:paraId="31736B61" w14:textId="08208404" w:rsidR="008F3050" w:rsidRPr="000D0229" w:rsidRDefault="00216D59" w:rsidP="00216D59">
      <w:pPr>
        <w:pStyle w:val="RSCB02ArticleText"/>
      </w:pPr>
      <w:r w:rsidRPr="000D0229">
        <w:t xml:space="preserve">TMTHF was prepared via the facile dehydration of readily available 2,5-dimethylhexane-2,5-diol (DMHDL). A moderate temperature of 110 </w:t>
      </w:r>
      <w:r w:rsidRPr="000D0229">
        <w:rPr>
          <w:rFonts w:cs="Arial"/>
        </w:rPr>
        <w:t>°</w:t>
      </w:r>
      <w:r w:rsidRPr="000D0229">
        <w:t>C in the presence of a suitable heterogeneous solid acid catalyst was found to be sufficient for the synthesis of TMTHF. A catalyst screen of a range of solid acid catalysts showed that H-beta-zeolites fully convert DMHDL with excellent selectivity of &gt;99% for TMTHF (Figure S1, ESI) at low catalyst loadings.</w:t>
      </w:r>
      <w:r w:rsidRPr="000D0229">
        <w:fldChar w:fldCharType="begin"/>
      </w:r>
      <w:r w:rsidR="00FF231A" w:rsidRPr="000D0229">
        <w:instrText xml:space="preserve"> ADDIN ZOTERO_ITEM CSL_CITATION {"citationID":"2ZgQpVEX","properties":{"formattedCitation":"{\\rtf \\super 20\\nosupersub{}}","plainCitation":"20"},"citationItems":[{"id":4534,"uris":["http://zotero.org/users/1738524/items/4EVBC4X2"],"uri":["http://zotero.org/users/1738524/items/4EVBC4X2"],"itemData":{"id":4534,"type":"patent","title":"Preparation of TMTHF","number":"P32827NL00/WZO","author":[{"family":"Byrne","given":"Fergal"},{"family":"Hunt","given":"Andrew J."},{"family":"Farmer","given":"Thomas J."},{"family":"Clark","given":"James H."},{"family":"Forier","given":"Bart"},{"family":"Bossaert","given":"Greet"}],"submitted":{"date-parts":[["2016",8,19]]}}}],"schema":"https://github.com/citation-style-language/schema/raw/master/csl-citation.json"} </w:instrText>
      </w:r>
      <w:r w:rsidRPr="000D0229">
        <w:fldChar w:fldCharType="separate"/>
      </w:r>
      <w:r w:rsidR="00653A21" w:rsidRPr="000D0229">
        <w:rPr>
          <w:rFonts w:ascii="Calibri" w:hAnsi="Calibri"/>
          <w:szCs w:val="24"/>
          <w:vertAlign w:val="superscript"/>
        </w:rPr>
        <w:t>20</w:t>
      </w:r>
      <w:r w:rsidRPr="000D0229">
        <w:fldChar w:fldCharType="end"/>
      </w:r>
      <w:r w:rsidRPr="000D0229">
        <w:t xml:space="preserve"> At 1 wt% catalyst loading, a reaction time of 2 hours was sufficient for full conversion of DMHDL. Silica/alumina ratios of 25:1 and 150:1 were tested with no variation in yield observed between them (Figure S1, ESI). Other solid acid catalysts were also found to produce TMTHF in good yields (Figure S1, ESI), but were discounted as a result of noticeable side-product formation (</w:t>
      </w:r>
      <w:r w:rsidR="00A469A7" w:rsidRPr="000D0229">
        <w:rPr>
          <w:b/>
        </w:rPr>
        <w:t>1</w:t>
      </w:r>
      <w:r w:rsidR="00A469A7" w:rsidRPr="000D0229">
        <w:t xml:space="preserve">, </w:t>
      </w:r>
      <w:r w:rsidR="00A469A7" w:rsidRPr="000D0229">
        <w:rPr>
          <w:b/>
        </w:rPr>
        <w:t>2</w:t>
      </w:r>
      <w:r w:rsidR="00A469A7" w:rsidRPr="000D0229">
        <w:t xml:space="preserve">, </w:t>
      </w:r>
      <w:r w:rsidR="00A469A7" w:rsidRPr="000D0229">
        <w:rPr>
          <w:b/>
        </w:rPr>
        <w:t>3</w:t>
      </w:r>
      <w:r w:rsidR="00A469A7" w:rsidRPr="000D0229">
        <w:t>,</w:t>
      </w:r>
      <w:r w:rsidR="00A469A7" w:rsidRPr="000D0229">
        <w:rPr>
          <w:b/>
        </w:rPr>
        <w:t xml:space="preserve"> 4</w:t>
      </w:r>
      <w:r w:rsidR="00A469A7" w:rsidRPr="000D0229">
        <w:t xml:space="preserve">, </w:t>
      </w:r>
      <w:r w:rsidRPr="000D0229">
        <w:t xml:space="preserve">Figure S2, ESI). </w:t>
      </w:r>
    </w:p>
    <w:p w14:paraId="75036D78" w14:textId="5A288DCF" w:rsidR="00ED7D4C" w:rsidRPr="000D0229" w:rsidRDefault="00ED7D4C" w:rsidP="004B49C9">
      <w:pPr>
        <w:pStyle w:val="RSCB02ArticleText"/>
        <w:ind w:firstLine="284"/>
      </w:pPr>
    </w:p>
    <w:p w14:paraId="62753324" w14:textId="77777777" w:rsidR="000924B6" w:rsidRPr="000D0229" w:rsidRDefault="000924B6" w:rsidP="00216D59">
      <w:pPr>
        <w:pStyle w:val="RSCB02ArticleText"/>
      </w:pPr>
    </w:p>
    <w:p w14:paraId="0F263A7B" w14:textId="4CE348AC" w:rsidR="000924B6" w:rsidRPr="000D0229" w:rsidRDefault="009C1482" w:rsidP="009C1482">
      <w:pPr>
        <w:pStyle w:val="Tablemolecules"/>
        <w:jc w:val="left"/>
      </w:pPr>
      <w:r w:rsidRPr="000D0229">
        <w:object w:dxaOrig="4162" w:dyaOrig="2352" w14:anchorId="54ABF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65pt;height:142.9pt" o:ole="">
            <v:imagedata r:id="rId14" o:title=""/>
          </v:shape>
          <o:OLEObject Type="Embed" ProgID="ChemDraw.Document.6.0" ShapeID="_x0000_i1025" DrawAspect="Content" ObjectID="_1560759040" r:id="rId15"/>
        </w:object>
      </w:r>
    </w:p>
    <w:p w14:paraId="3BB2FE6D" w14:textId="6BE52100" w:rsidR="000924B6" w:rsidRPr="000D0229" w:rsidRDefault="000924B6" w:rsidP="000924B6">
      <w:pPr>
        <w:pStyle w:val="RSCI04CaptiontoFigureSchemeChart"/>
      </w:pPr>
      <w:r w:rsidRPr="000D0229">
        <w:t>Figure 1. Synthetic route to TMTHF.</w:t>
      </w:r>
    </w:p>
    <w:p w14:paraId="03124465" w14:textId="60D5290C" w:rsidR="008F3050" w:rsidRPr="000D0229" w:rsidRDefault="001027C7" w:rsidP="000924B6">
      <w:pPr>
        <w:pStyle w:val="RSCB02ArticleText"/>
      </w:pPr>
      <w:r w:rsidRPr="000D0229">
        <w:t xml:space="preserve">The high yielding beta-zeolite catalysed synthesis was easily scaled to 1 L, using a reactive distillation apparatus (Figure S3, ESI) which simultaneously purified TMTHF by removing small amounts of higher boiling point side-products. This flow-type apparatus allowed the continuous production of TMTHF by simply adding more DMHDL. Multiple reuse of the zeolite catalyst was possible by filtering from the reaction residue and calcining at 600 </w:t>
      </w:r>
      <w:r w:rsidRPr="000D0229">
        <w:rPr>
          <w:rFonts w:cs="Arial"/>
        </w:rPr>
        <w:t>°</w:t>
      </w:r>
      <w:r w:rsidRPr="000D0229">
        <w:t xml:space="preserve">C for 4 hours, resulting in no noticeable loss of </w:t>
      </w:r>
      <w:r w:rsidRPr="000D0229">
        <w:t xml:space="preserve">catalyst performance in 500 g scale (w.r.t. DMHDL) batches over </w:t>
      </w:r>
      <w:r w:rsidR="00216D59" w:rsidRPr="000D0229">
        <w:t xml:space="preserve">a six-month period. Figure S1 (ESI) shows yields from three successive reactions using the same catalyst, although many more were subsequently carried out with similarly high performance. </w:t>
      </w:r>
    </w:p>
    <w:p w14:paraId="627EC5B1" w14:textId="439C40E8" w:rsidR="00216D59" w:rsidRPr="000D0229" w:rsidRDefault="00216D59" w:rsidP="008F3050">
      <w:pPr>
        <w:pStyle w:val="RSCB02ArticleText"/>
        <w:ind w:firstLine="284"/>
        <w:rPr>
          <w:noProof/>
          <w:lang w:eastAsia="en-GB"/>
        </w:rPr>
      </w:pPr>
      <w:r w:rsidRPr="000D0229">
        <w:t>The starting material, DMHDL, is currently produced on a large scale from the reaction of acetylene and acetone via 2,5-dimethylhex-3-yne-2,5-diol for use in polyethylene copolymers.</w:t>
      </w:r>
      <w:r w:rsidRPr="000D0229">
        <w:fldChar w:fldCharType="begin"/>
      </w:r>
      <w:r w:rsidR="00FF231A" w:rsidRPr="000D0229">
        <w:instrText xml:space="preserve"> ADDIN ZOTERO_ITEM CSL_CITATION {"citationID":"hjCkb2tI","properties":{"formattedCitation":"{\\rtf \\super 21,22\\nosupersub{}}","plainCitation":"21,22"},"citationItems":[{"id":4097,"uris":["http://zotero.org/users/1738524/items/9RSZCVWH"],"uri":["http://zotero.org/users/1738524/items/9RSZCVWH"],"itemData":{"id":4097,"type":"webpage","title":"Dimethylhexanediol - CAS 110-03-2 - BASF - We create chemistry","URL":"http://www.windenergy.basf.com/group/corporate/wind-energy/en/brand/2_5_DIMETHYL_2_5_HEXANEDIOL","accessed":{"date-parts":[["2016",10,19]]}}},{"id":1582,"uris":["http://zotero.org/users/1738524/items/FMA799IZ"],"uri":["http://zotero.org/users/1738524/items/FMA799IZ"],"itemData":{"id":1582,"type":"patent","title":"Method for preparing acetylene alcohols and their secondary products","abstract":"A process for preparing at least one unsaturated alcohol (B) comprises the steps (I) to (III) below: (I) reaction of at least one alkali metal hydroxide or alkaline earth metal hydroxide with at least one alcohol (A) in at least one organic solvent (L) to give a mixture (G-I) comprising at least the alcohol (A), the solvent (L) and an alkoxide (AL); (II) reaction of at least one carbonyl compound of the formula R—CO—R′ with at least one alkyne of the formula R″—C≡C—H and the mixture (G-I) obtained in step (I) to give a mixture (G-II) comprising at least the alcohol (A), the solvent (L) and an unsaturated alcohol (B); (III) distillation of the mixture (G-II) obtained in step (II) to give the alcohol or alcohols (B) and a mixture (G-III) comprising the solvent (L) and the alcohol (A), wherein the solvent (L) obtained in step (III) and the alcohol (A) obtained in step (III) are recycled as a mixture to step (I).","URL":"http://www.google.ch/patents/US6956141","note":"U.S. Classification 568/874, 568/856, 568/873, 568/861, 568/855; International Classification C07C29/42, C07C29/17; Cooperative Classification Y02P20/582, C07C29/42, C07C29/172; European Classification C07C29/17A, C07C29/42","number":"US6956141 B1","author":[{"family":"Maas-Brunner","given":"Melanie"},{"family":"Henkelmann","given":"Jochem"},{"family":"Kaibel","given":"Gerd"},{"family":"Kindler","given":"Alois"},{"family":"Knoll","given":"Christian"},{"family":"Rust","given":"Harald"},{"family":"Tragut","given":"Christian"},{"family":"Stroezel","given":"Manfred"},{"family":"Rheude","given":"Udo"},{"family":"Lorenz","given":"Rudolf Erich"},{"family":"Aiscar","given":"Juan"}],"issued":{"date-parts":[["2005",10,18]]},"accessed":{"date-parts":[["2016",6,20]]},"submitted":{"date-parts":[["2000",2,22]]}}}],"schema":"https://github.com/citation-style-language/schema/raw/master/csl-citation.json"} </w:instrText>
      </w:r>
      <w:r w:rsidRPr="000D0229">
        <w:fldChar w:fldCharType="separate"/>
      </w:r>
      <w:r w:rsidR="00653A21" w:rsidRPr="000D0229">
        <w:rPr>
          <w:rFonts w:ascii="Calibri" w:hAnsi="Calibri"/>
          <w:szCs w:val="24"/>
          <w:vertAlign w:val="superscript"/>
        </w:rPr>
        <w:t>21,22</w:t>
      </w:r>
      <w:r w:rsidRPr="000D0229">
        <w:fldChar w:fldCharType="end"/>
      </w:r>
      <w:r w:rsidRPr="000D0229">
        <w:t xml:space="preserve"> The only by-products in the production of TMTHF are potassium phosphate from the coupling of acetylene and acetone, and water from the ring closure of DMHDL.  Potassium phosphate has significant potential for downstream use as a fertilizer in agricultural applications. This results in a highly efficient production process (atom economy (AE) = 96%, reaction mass efficiency (RME) = 93%). Using bio-based drop-in acetone and acetylene as the starting materials, renewable TMTHF can be produced, securing its long term production and sustainability (see ESI for proposed synthetic routes).</w:t>
      </w:r>
      <w:r w:rsidRPr="000D0229">
        <w:fldChar w:fldCharType="begin"/>
      </w:r>
      <w:r w:rsidR="00FF231A" w:rsidRPr="000D0229">
        <w:instrText xml:space="preserve"> ADDIN ZOTERO_ITEM CSL_CITATION {"citationID":"1B31zZFK","properties":{"formattedCitation":"{\\rtf \\super 23\\uc0\\u8211{}26\\nosupersub{}}","plainCitation":"23–26"},"citationItems":[{"id":1649,"uris":["http://zotero.org/users/1738524/items/XMDZKS5S"],"uri":["http://zotero.org/users/1738524/items/XMDZKS5S"],"itemData":{"id":1649,"type":"article-journal","title":"Enhanced bio-methane production from co-digestion of different organic wastes","container-title":"Environmental Technology","page":"2733-2740","volume":"33","issue":"24","source":"Taylor and Francis+NEJM","abstract":"This paper deals with an experimental study aimed at assessing the effect of mixing different organic wastes on the anaerobic digestion process. Livestock manure and organic solid wastes have been taken into account as substrates to verify if their mixing gives rise to higher methane production rates and lower risk of process failure. Bio-methane potential (BMP) tests have been conducted using the following substrates: buffalo manure (BM), poultry manure (PM), organic fraction of the municipal solid waste (OFMSW), greengrocery waste (GW) and two different mixtures composed of BM and OFMSW. Mixing BM with OFMSW resulted in 12% and 30% higher methane volumes after 30 and 15 days from the test start, respectively. Experimental data have been also used to calibrate and validate a mathematical model previously proposed by the authors, showing its capability to reproduce the synergistic effect on methane production promoted by co-digesting BM and OFSMW.","DOI":"10.1080/09593330.2012.676077","ISSN":"0959-3330","note":"PMID: 23437674","author":[{"family":"Esposito","given":"Giovanni"},{"family":"Frunzo","given":"Luigi"},{"family":"Panico","given":"Antonio"},{"family":"Pirozzi","given":"Francesco"}],"issued":{"date-parts":[["2012",12,1]]}}},{"id":1648,"uris":["http://zotero.org/users/1738524/items/T8VMVJ4R"],"uri":["http://zotero.org/users/1738524/items/T8VMVJ4R"],"itemData":{"id":1648,"type":"article-journal","title":"Bio-methane via fast pyrolysis of biomass","container-title":"Applied Energy","page":"440-447","volume":"112","source":"ScienceDirect","abstract":"Bio-methane, a renewable vehicle fuel, is today produced by anaerobic digestion and a 2nd generation production route via gasification is under development. This paper proposes a poly-generation plant that produces bio-methane, bio-char and heat via fast pyrolysis of biomass. The energy and material flows for the fuel synthesis are calculated by process simulation in Aspen Plus®. The production of bio-methane and bio-char amounts to 15.5 MW and 3.7 MW, when the total inputs are 23 MW raw biomass and 1.39 MW electricity respectively (HHV basis). The results indicate an overall efficiency of 84% including high-temperature heat and the biomass to bio-methane yield amounts to 83% after allocation of the biomass input to the final products (HHV basis). The overall energy efficiency is higher for the suggested plant than for the gasification production route and is therefore a competitive route for bio-methane production.","DOI":"10.1016/j.apenergy.2013.01.002","ISSN":"0306-2619","journalAbbreviation":"Applied Energy","author":[{"family":"Görling","given":"Martin"},{"family":"Larsson","given":"Mårten"},{"family":"Alvfors","given":"Per"}],"issued":{"date-parts":[["2013",12]]}}},{"id":1650,"uris":["http://zotero.org/users/1738524/items/DZGKE9W9"],"uri":["http://zotero.org/users/1738524/items/DZGKE9W9"],"itemData":{"id":1650,"type":"patent","title":"Preparation of acetylene and synthesis gas","abstract":"The invention relates to a process for the preparation of acetylene and synthesis gas by thermal treatment of a starting mixture containing one or more hydrocarbons and in addition molecular oxygen and/or one or more compounds containing the element oxygen, in which the starting mixture is heated, brought to reaction in a reactor and subsequently cooled. The process has the special feature that the starting mixture is heated to a maximum of 1400° C. It is then possible to carry out the process with comparatively little expenditure of energy.","URL":"http://www.google.com/patents/US6365792","note":"U.S. Classification 585/539, 585/534, 585/538, 585/540, 585/536; International Classification C07C11/24, C07C2/82, C10G9/36, C07C4/04, C07C5/42, C01B3/36; Cooperative Classification C01B3/36, C07C2/82; European Classification C07C2/82, C01B3/36","number":"US6365792 B1","author":[{"family":"Stapf","given":"Dieter"},{"family":"Pässler","given":"Peter"},{"family":"Bachtler","given":"Michael"},{"family":"Scheidsteger","given":"Olaf"},{"family":"Bartenbach","given":"Bernd"}],"issued":{"date-parts":[["2002",4,2]]},"accessed":{"date-parts":[["2016",9,19]]},"submitted":{"date-parts":[["2000",3,20]]}}},{"id":1647,"uris":["http://zotero.org/users/1738524/items/HKKR7NE8"],"uri":["http://zotero.org/users/1738524/items/HKKR7NE8"],"itemData":{"id":1647,"type":"webpage","title":"Renewable, Bio-based Acetone","URL":"http://www.greenbiologics.com/acetone.php","accessed":{"date-parts":[["2016",9,19]]}}}],"schema":"https://github.com/citation-style-language/schema/raw/master/csl-citation.json"} </w:instrText>
      </w:r>
      <w:r w:rsidRPr="000D0229">
        <w:fldChar w:fldCharType="separate"/>
      </w:r>
      <w:r w:rsidR="00653A21" w:rsidRPr="000D0229">
        <w:rPr>
          <w:rFonts w:ascii="Calibri" w:hAnsi="Calibri"/>
          <w:szCs w:val="24"/>
          <w:vertAlign w:val="superscript"/>
        </w:rPr>
        <w:t>23–26</w:t>
      </w:r>
      <w:r w:rsidRPr="000D0229">
        <w:fldChar w:fldCharType="end"/>
      </w:r>
    </w:p>
    <w:p w14:paraId="1AF7215E" w14:textId="1ACD24B3" w:rsidR="008F3050" w:rsidRPr="000D0229" w:rsidRDefault="008F3050" w:rsidP="008F3050">
      <w:pPr>
        <w:pStyle w:val="RSCB07BHeadingSub-Section-standalone"/>
      </w:pPr>
      <w:r w:rsidRPr="000D0229">
        <w:t>Peroxide tests</w:t>
      </w:r>
    </w:p>
    <w:p w14:paraId="521D7AD6" w14:textId="4E8A9A59" w:rsidR="00B30DDB" w:rsidRPr="000D0229" w:rsidRDefault="00216D59" w:rsidP="00216D59">
      <w:pPr>
        <w:pStyle w:val="RSCB02ArticleText"/>
      </w:pPr>
      <w:r w:rsidRPr="000D0229">
        <w:t>Autoxidation to form peroxides is known to occur readily in many chemical compounds, and is particularly an issue with ethers.</w:t>
      </w:r>
      <w:r w:rsidRPr="000D0229">
        <w:fldChar w:fldCharType="begin"/>
      </w:r>
      <w:r w:rsidR="00FF231A" w:rsidRPr="000D0229">
        <w:instrText xml:space="preserve"> ADDIN ZOTERO_ITEM CSL_CITATION {"citationID":"YrIrpu4Y","properties":{"formattedCitation":"{\\rtf \\super 27\\uc0\\u8211{}31\\nosupersub{}}","plainCitation":"27–31"},"citationItems":[{"id":1624,"uris":["http://zotero.org/users/1738524/items/C5CAN5E8"],"uri":["http://zotero.org/users/1738524/items/C5CAN5E8"],"itemData":{"id":1624,"type":"article-journal","title":"Peroxides and peroxide-forming compounds","container-title":"Chemical Health and Safety","page":"12-22","volume":"8","issue":"5","source":"ScienceDirect","DOI":"10.1016/S1074-9098(01)00247-7","ISSN":"1074-9098","journalAbbreviation":"Chemical Health and Safety","author":[{"family":"Clark","given":"Donald E"}],"issued":{"date-parts":[["2001",9]]}}},{"id":1617,"uris":["http://zotero.org/users/1738524/items/FKEXKQJR"],"uri":["http://zotero.org/users/1738524/items/FKEXKQJR"],"itemData":{"id":1617,"type":"article-journal","title":"Hydrocarbon Autoxidation.","container-title":"Chemical Reviews","page":"155-169","volume":"46","issue":"1","source":"ACS Publications","DOI":"10.1021/cr60143a003","ISSN":"0009-2665","journalAbbreviation":"Chem. Rev.","author":[{"family":"Frank","given":"Charles E."}],"issued":{"date-parts":[["1950",2,1]]}}},{"id":1615,"uris":["http://zotero.org/users/1738524/items/8ACF63IX"],"uri":["http://zotero.org/users/1738524/items/8ACF63IX"],"itemData":{"id":1615,"type":"article-journal","title":"Peroxides in Isopropanol","container-title":"Journal of the American Chemical Society","page":"3049-3050","volume":"64","issue":"12","source":"ACS Publications","DOI":"10.1021/ja01264a512","ISSN":"0002-7863","journalAbbreviation":"J. Am. Chem. Soc.","author":[{"family":"Redemann","given":"C. Ernst"}],"issued":{"date-parts":[["1942",12,1]]}}},{"id":1616,"uris":["http://zotero.org/users/1738524/items/2ZZMZK5S"],"uri":["http://zotero.org/users/1738524/items/2ZZMZK5S"],"itemData":{"id":1616,"type":"article-journal","title":"Autoxidation of Ketones. I. Diisopropyl Ketone1","container-title":"Journal of the American Chemical Society","page":"5600-5603","volume":"73","issue":"12","source":"ACS Publications","DOI":"10.1021/ja01156a030","ISSN":"0002-7863","journalAbbreviation":"J. Am. Chem. Soc.","author":[{"family":"Sharp","given":"Dexter B."},{"family":"Patton","given":"Leo W."},{"family":"Whitcomb","given":"Stuart E."}],"issued":{"date-parts":[["1951",12,1]]}}},{"id":923,"uris":["http://zotero.org/users/1738524/items/J6BS8HTW"],"uri":["http://zotero.org/users/1738524/items/J6BS8HTW"],"itemData":{"id":923,"type":"article-journal","title":"Bio-oxygenates and the peroxide number: a safety issue alert","container-title":"Energy &amp; Environmental Science","page":"767","volume":"2","issue":"7","source":"CrossRef","DOI":"10.1039/b900229b","ISSN":"1754-5692, 1754-5706","shortTitle":"Bio-oxygenates and the peroxide number","language":"en","author":[{"family":"Fábos","given":"Viktória"},{"family":"Koczó","given":"Gabriella"},{"family":"Mehdi","given":"Hasan"},{"family":"Boda","given":"László"},{"family":"Horváth","given":"István T."}],"issued":{"date-parts":[["2009"]]}}}],"schema":"https://github.com/citation-style-language/schema/raw/master/csl-citation.json"} </w:instrText>
      </w:r>
      <w:r w:rsidRPr="000D0229">
        <w:fldChar w:fldCharType="separate"/>
      </w:r>
      <w:r w:rsidR="00653A21" w:rsidRPr="000D0229">
        <w:rPr>
          <w:rFonts w:ascii="Calibri" w:hAnsi="Calibri"/>
          <w:szCs w:val="24"/>
          <w:vertAlign w:val="superscript"/>
        </w:rPr>
        <w:t>27–31</w:t>
      </w:r>
      <w:r w:rsidRPr="000D0229">
        <w:fldChar w:fldCharType="end"/>
      </w:r>
      <w:r w:rsidRPr="000D0229">
        <w:t xml:space="preserve"> The subsequently formed low-molecular weight peroxides are extremely unstable compounds and in many cases are shock sensitive.</w:t>
      </w:r>
      <w:r w:rsidRPr="000D0229">
        <w:fldChar w:fldCharType="begin"/>
      </w:r>
      <w:r w:rsidR="00FF231A" w:rsidRPr="000D0229">
        <w:instrText xml:space="preserve"> ADDIN ZOTERO_ITEM CSL_CITATION {"citationID":"yVvA53xm","properties":{"formattedCitation":"{\\rtf \\super 27\\nosupersub{}}","plainCitation":"27"},"citationItems":[{"id":1624,"uris":["http://zotero.org/users/1738524/items/C5CAN5E8"],"uri":["http://zotero.org/users/1738524/items/C5CAN5E8"],"itemData":{"id":1624,"type":"article-journal","title":"Peroxides and peroxide-forming compounds","container-title":"Chemical Health and Safety","page":"12-22","volume":"8","issue":"5","source":"ScienceDirect","DOI":"10.1016/S1074-9098(01)00247-7","ISSN":"1074-9098","journalAbbreviation":"Chemical Health and Safety","author":[{"family":"Clark","given":"Donald E"}],"issued":{"date-parts":[["2001",9]]}}}],"schema":"https://github.com/citation-style-language/schema/raw/master/csl-citation.json"} </w:instrText>
      </w:r>
      <w:r w:rsidRPr="000D0229">
        <w:fldChar w:fldCharType="separate"/>
      </w:r>
      <w:r w:rsidR="00653A21" w:rsidRPr="000D0229">
        <w:rPr>
          <w:rFonts w:ascii="Calibri" w:hAnsi="Calibri"/>
          <w:szCs w:val="24"/>
          <w:vertAlign w:val="superscript"/>
        </w:rPr>
        <w:t>27</w:t>
      </w:r>
      <w:r w:rsidRPr="000D0229">
        <w:fldChar w:fldCharType="end"/>
      </w:r>
      <w:r w:rsidRPr="000D0229">
        <w:t xml:space="preserve"> While the rates of peroxide formation in some chemical classes in certain conditions have been reported, little is known about the concentrations at </w:t>
      </w:r>
      <w:r w:rsidR="009C1482" w:rsidRPr="000D0229">
        <w:t>which they become explosive.</w:t>
      </w:r>
      <w:r w:rsidR="009C1482" w:rsidRPr="000D0229">
        <w:fldChar w:fldCharType="begin"/>
      </w:r>
      <w:r w:rsidR="009C1482" w:rsidRPr="000D0229">
        <w:instrText xml:space="preserve"> ADDIN ZOTERO_ITEM CSL_CITATION {"citationID":"a24geh3j2a7","properties":{"formattedCitation":"{\\rtf \\super 27,32\\nosupersub{}}","plainCitation":"27,32"},"citationItems":[{"id":4407,"uris":["http://zotero.org/users/1738524/items/IF4JGE3V"],"uri":["http://zotero.org/users/1738524/items/IF4JGE3V"],"itemData":{"id":4407,"type":"article-journal","title":"Review of safety guidelines for peroxidizable organic chemicals","container-title":"Chemical Health and Safety","page":"28-36","volume":"3","issue":"5","author":[{"family":"Kelly","given":"Richard J."}],"issued":{"date-parts":[["1996",10]]}}},{"id":1624,"uris":["http://zotero.org/users/1738524/items/C5CAN5E8"],"uri":["http://zotero.org/users/1738524/items/C5CAN5E8"],"itemData":{"id":1624,"type":"article-journal","title":"Peroxides and peroxide-forming compounds","container-title":"Chemical Health and Safety","page":"12-22","volume":"8","issue":"5","source":"ScienceDirect","DOI":"10.1016/S1074-9098(01)00247-7","ISSN":"1074-9098","journalAbbreviation":"Chemical Health and Safety","author":[{"family":"Clark","given":"Donald E"}],"issued":{"date-parts":[["2001",9]]}}}],"schema":"https://github.com/citation-style-language/schema/raw/master/csl-citation.json"} </w:instrText>
      </w:r>
      <w:r w:rsidR="009C1482" w:rsidRPr="000D0229">
        <w:fldChar w:fldCharType="separate"/>
      </w:r>
      <w:r w:rsidR="009C1482" w:rsidRPr="000D0229">
        <w:rPr>
          <w:rFonts w:ascii="Calibri" w:hAnsi="Calibri"/>
          <w:szCs w:val="24"/>
          <w:vertAlign w:val="superscript"/>
        </w:rPr>
        <w:t>27,32</w:t>
      </w:r>
      <w:r w:rsidR="009C1482" w:rsidRPr="000D0229">
        <w:fldChar w:fldCharType="end"/>
      </w:r>
    </w:p>
    <w:p w14:paraId="61726ECC" w14:textId="77777777" w:rsidR="00BB4CFB" w:rsidRPr="000D0229" w:rsidRDefault="00BB4CFB" w:rsidP="00BB4CFB">
      <w:pPr>
        <w:pStyle w:val="RSCB02ArticleText"/>
      </w:pPr>
      <w:r w:rsidRPr="000D0229">
        <w:t>As such, standardized methods of measurement have not been established and safety thresholds are vaguely defined as 100 ppm.</w:t>
      </w:r>
      <w:r w:rsidRPr="000D0229">
        <w:fldChar w:fldCharType="begin"/>
      </w:r>
      <w:r w:rsidRPr="000D0229">
        <w:instrText xml:space="preserve"> ADDIN ZOTERO_ITEM CSL_CITATION {"citationID":"JXAI5TQM","properties":{"formattedCitation":"{\\rtf \\super 27,32\\nosupersub{}}","plainCitation":"27,32"},"citationItems":[{"id":1624,"uris":["http://zotero.org/users/1738524/items/C5CAN5E8"],"uri":["http://zotero.org/users/1738524/items/C5CAN5E8"],"itemData":{"id":1624,"type":"article-journal","title":"Peroxides and peroxide-forming compounds","container-title":"Chemical Health and Safety","page":"12-22","volume":"8","issue":"5","source":"ScienceDirect","DOI":"10.1016/S1074-9098(01)00247-7","ISSN":"1074-9098","journalAbbreviation":"Chemical Health and Safety","author":[{"family":"Clark","given":"Donald E"}],"issued":{"date-parts":[["2001",9]]}}},{"id":4407,"uris":["http://zotero.org/users/1738524/items/IF4JGE3V"],"uri":["http://zotero.org/users/1738524/items/IF4JGE3V"],"itemData":{"id":4407,"type":"article-journal","title":"Review of safety guidelines for peroxidizable organic chemicals","container-title":"Chemical Health and Safety","page":"28-36","volume":"3","issue":"5","author":[{"family":"Kelly","given":"Richard J."}],"issued":{"date-parts":[["1996",10]]}}}],"schema":"https://github.com/citation-style-language/schema/raw/master/csl-citation.json"} </w:instrText>
      </w:r>
      <w:r w:rsidRPr="000D0229">
        <w:fldChar w:fldCharType="separate"/>
      </w:r>
      <w:r w:rsidRPr="000D0229">
        <w:rPr>
          <w:rFonts w:ascii="Calibri" w:hAnsi="Calibri"/>
          <w:szCs w:val="24"/>
          <w:vertAlign w:val="superscript"/>
        </w:rPr>
        <w:t>27,32</w:t>
      </w:r>
      <w:r w:rsidRPr="000D0229">
        <w:fldChar w:fldCharType="end"/>
      </w:r>
      <w:r w:rsidRPr="000D0229">
        <w:t xml:space="preserve"> Peroxide formation in ethers occurs when protons on the </w:t>
      </w:r>
      <w:r w:rsidRPr="000D0229">
        <w:rPr>
          <w:i/>
        </w:rPr>
        <w:t>alpha</w:t>
      </w:r>
      <w:r w:rsidRPr="000D0229">
        <w:t>-carbon to the ethereal oxygen are abstracted by low energy visible light or by a radical initiator [Eq. (1)], followed by oxidation by atmospheric oxygen to form a radical (R-O-O</w:t>
      </w:r>
      <w:r w:rsidRPr="000D0229">
        <w:rPr>
          <w:rFonts w:cs="Arial"/>
        </w:rPr>
        <w:t>·) [Eq. (2)]</w:t>
      </w:r>
      <w:r w:rsidRPr="000D0229">
        <w:t xml:space="preserve">. Propagation continues when a newly formed radical abstracts an </w:t>
      </w:r>
      <w:r w:rsidRPr="000D0229">
        <w:rPr>
          <w:i/>
        </w:rPr>
        <w:t>alpha</w:t>
      </w:r>
      <w:r w:rsidRPr="000D0229">
        <w:t>-proton from an adjacent ether molecule, producing a hydroperoxide (R-O-O-H) and another ether radical (R</w:t>
      </w:r>
      <w:r w:rsidRPr="000D0229">
        <w:rPr>
          <w:rFonts w:cs="Arial"/>
        </w:rPr>
        <w:t>·</w:t>
      </w:r>
      <w:r w:rsidRPr="000D0229">
        <w:t>) [Eq. (3)].</w:t>
      </w:r>
      <w:r w:rsidRPr="000D0229">
        <w:fldChar w:fldCharType="begin"/>
      </w:r>
      <w:r w:rsidRPr="000D0229">
        <w:instrText xml:space="preserve"> ADDIN ZOTERO_ITEM CSL_CITATION {"citationID":"2g1ged29sb","properties":{"formattedCitation":"{\\rtf \\super 28\\nosupersub{}}","plainCitation":"28"},"citationItems":[{"id":1617,"uris":["http://zotero.org/users/1738524/items/FKEXKQJR"],"uri":["http://zotero.org/users/1738524/items/FKEXKQJR"],"itemData":{"id":1617,"type":"article-journal","title":"Hydrocarbon Autoxidation.","container-title":"Chemical Reviews","page":"155-169","volume":"46","issue":"1","source":"ACS Publications","DOI":"10.1021/cr60143a003","ISSN":"0009-2665","journalAbbreviation":"Chem. Rev.","author":[{"family":"Frank","given":"Charles E."}],"issued":{"date-parts":[["1950",2,1]]}}}],"schema":"https://github.com/citation-style-language/schema/raw/master/csl-citation.json"} </w:instrText>
      </w:r>
      <w:r w:rsidRPr="000D0229">
        <w:fldChar w:fldCharType="separate"/>
      </w:r>
      <w:r w:rsidRPr="000D0229">
        <w:rPr>
          <w:rFonts w:ascii="Calibri" w:hAnsi="Calibri"/>
          <w:szCs w:val="24"/>
          <w:vertAlign w:val="superscript"/>
        </w:rPr>
        <w:t>28</w:t>
      </w:r>
      <w:r w:rsidRPr="000D0229">
        <w:fldChar w:fldCharType="end"/>
      </w:r>
      <w:r w:rsidRPr="000D0229">
        <w:t xml:space="preserve"> </w:t>
      </w:r>
    </w:p>
    <w:p w14:paraId="7E116278" w14:textId="77777777" w:rsidR="00BB4CFB" w:rsidRPr="000D0229" w:rsidRDefault="00BB4CFB" w:rsidP="00BB4CFB">
      <w:pPr>
        <w:pStyle w:val="RSCB03MathematicsGreeketc"/>
        <w:numPr>
          <w:ilvl w:val="0"/>
          <w:numId w:val="8"/>
        </w:numPr>
      </w:pPr>
      <m:oMath>
        <m:r>
          <w:rPr>
            <w:rFonts w:ascii="Cambria Math" w:hAnsi="Cambria Math" w:cs="Cambria Math"/>
          </w:rPr>
          <m:t>R</m:t>
        </m:r>
        <m:r>
          <w:rPr>
            <w:rFonts w:ascii="Cambria Math" w:hAnsi="Cambria Math"/>
          </w:rPr>
          <m:t>H</m:t>
        </m:r>
        <m:box>
          <m:boxPr>
            <m:opEmu m:val="1"/>
            <m:ctrlPr>
              <w:rPr>
                <w:rFonts w:ascii="Cambria Math" w:hAnsi="Cambria Math"/>
                <w:sz w:val="12"/>
                <w:lang w:val="en-US"/>
              </w:rPr>
            </m:ctrlPr>
          </m:boxPr>
          <m:e>
            <m:box>
              <m:boxPr>
                <m:noBreak m:val="0"/>
                <m:diff m:val="1"/>
                <m:ctrlPr>
                  <w:rPr>
                    <w:rFonts w:ascii="Cambria Math" w:hAnsi="Cambria Math"/>
                    <w:sz w:val="12"/>
                    <w:lang w:val="en-US"/>
                  </w:rPr>
                </m:ctrlPr>
              </m:boxPr>
              <m:e>
                <m:groupChr>
                  <m:groupChrPr>
                    <m:chr m:val="→"/>
                    <m:vertJc m:val="bot"/>
                    <m:ctrlPr>
                      <w:rPr>
                        <w:rFonts w:ascii="Cambria Math" w:hAnsi="Cambria Math"/>
                        <w:sz w:val="12"/>
                        <w:lang w:val="en-US"/>
                      </w:rPr>
                    </m:ctrlPr>
                  </m:groupChrPr>
                  <m:e>
                    <m:r>
                      <w:rPr>
                        <w:rFonts w:ascii="Cambria Math" w:hAnsi="Cambria Math"/>
                      </w:rPr>
                      <m:t>hν</m:t>
                    </m:r>
                  </m:e>
                </m:groupChr>
              </m:e>
            </m:box>
          </m:e>
        </m:box>
        <m:r>
          <w:rPr>
            <w:rFonts w:ascii="Cambria Math" w:hAnsi="Cambria Math"/>
          </w:rPr>
          <m:t>R</m:t>
        </m:r>
        <m:r>
          <m:rPr>
            <m:sty m:val="p"/>
          </m:rPr>
          <w:rPr>
            <w:rFonts w:ascii="Cambria Math" w:hAnsi="Cambria Math"/>
          </w:rPr>
          <m:t>·+</m:t>
        </m:r>
        <m:r>
          <w:rPr>
            <w:rFonts w:ascii="Cambria Math" w:hAnsi="Cambria Math"/>
          </w:rPr>
          <m:t>H</m:t>
        </m:r>
        <m:r>
          <m:rPr>
            <m:sty m:val="p"/>
          </m:rPr>
          <w:rPr>
            <w:rFonts w:ascii="Cambria Math" w:hAnsi="Cambria Math"/>
          </w:rPr>
          <m:t>·</m:t>
        </m:r>
      </m:oMath>
    </w:p>
    <w:p w14:paraId="7BFB980A" w14:textId="77777777" w:rsidR="00BB4CFB" w:rsidRPr="000D0229" w:rsidRDefault="00BB4CFB" w:rsidP="00BB4CFB">
      <w:pPr>
        <w:pStyle w:val="RSCB03MathematicsGreeketc"/>
        <w:numPr>
          <w:ilvl w:val="0"/>
          <w:numId w:val="8"/>
        </w:numPr>
      </w:pPr>
      <m:oMath>
        <m:r>
          <w:rPr>
            <w:rFonts w:ascii="Cambria Math" w:hAnsi="Cambria Math"/>
          </w:rPr>
          <m:t>R</m:t>
        </m:r>
        <m:r>
          <m:rPr>
            <m:sty m:val="p"/>
          </m:rPr>
          <w:rPr>
            <w:rFonts w:ascii="Cambria Math" w:hAnsi="Cambria Math"/>
          </w:rPr>
          <m:t xml:space="preserve">·+ </m:t>
        </m:r>
        <m:sSub>
          <m:sSubPr>
            <m:ctrlPr>
              <w:rPr>
                <w:rFonts w:ascii="Cambria Math" w:hAnsi="Cambria Math"/>
                <w:sz w:val="12"/>
                <w:lang w:val="en-US"/>
              </w:rPr>
            </m:ctrlPr>
          </m:sSubPr>
          <m:e>
            <m: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ROO</m:t>
        </m:r>
        <m:r>
          <m:rPr>
            <m:sty m:val="p"/>
          </m:rPr>
          <w:rPr>
            <w:rFonts w:ascii="Cambria Math" w:hAnsi="Cambria Math"/>
          </w:rPr>
          <m:t>·</m:t>
        </m:r>
      </m:oMath>
    </w:p>
    <w:p w14:paraId="7E04C0F9" w14:textId="77777777" w:rsidR="00BB4CFB" w:rsidRPr="000D0229" w:rsidRDefault="00BB4CFB" w:rsidP="00BB4CFB">
      <w:pPr>
        <w:pStyle w:val="RSCB03MathematicsGreeketc"/>
        <w:numPr>
          <w:ilvl w:val="0"/>
          <w:numId w:val="8"/>
        </w:numPr>
      </w:pPr>
      <m:oMath>
        <m:r>
          <w:rPr>
            <w:rFonts w:ascii="Cambria Math" w:hAnsi="Cambria Math"/>
          </w:rPr>
          <m:t>ROO</m:t>
        </m:r>
        <m:r>
          <m:rPr>
            <m:sty m:val="p"/>
          </m:rPr>
          <w:rPr>
            <w:rFonts w:ascii="Cambria Math" w:hAnsi="Cambria Math"/>
          </w:rPr>
          <m:t>·+</m:t>
        </m:r>
        <m:r>
          <w:rPr>
            <w:rFonts w:ascii="Cambria Math" w:hAnsi="Cambria Math"/>
          </w:rPr>
          <m:t>RH</m:t>
        </m:r>
        <m:r>
          <m:rPr>
            <m:sty m:val="p"/>
          </m:rPr>
          <w:rPr>
            <w:rFonts w:ascii="Cambria Math" w:hAnsi="Cambria Math"/>
          </w:rPr>
          <m:t>→</m:t>
        </m:r>
        <m:r>
          <w:rPr>
            <w:rFonts w:ascii="Cambria Math" w:hAnsi="Cambria Math"/>
          </w:rPr>
          <m:t>ROOH</m:t>
        </m:r>
        <m:r>
          <m:rPr>
            <m:sty m:val="p"/>
          </m:rPr>
          <w:rPr>
            <w:rFonts w:ascii="Cambria Math" w:hAnsi="Cambria Math"/>
          </w:rPr>
          <m:t>+</m:t>
        </m:r>
        <m:r>
          <w:rPr>
            <w:rFonts w:ascii="Cambria Math" w:hAnsi="Cambria Math"/>
          </w:rPr>
          <m:t>R</m:t>
        </m:r>
        <m:r>
          <m:rPr>
            <m:sty m:val="p"/>
          </m:rPr>
          <w:rPr>
            <w:rFonts w:ascii="Cambria Math" w:hAnsi="Cambria Math"/>
          </w:rPr>
          <m:t>·</m:t>
        </m:r>
      </m:oMath>
    </w:p>
    <w:p w14:paraId="176C0EB7" w14:textId="70573215" w:rsidR="00BB4CFB" w:rsidRPr="000D0229" w:rsidRDefault="00BB4CFB" w:rsidP="00BB4CFB">
      <w:pPr>
        <w:pStyle w:val="RSCB02ArticleText"/>
      </w:pPr>
      <w:r w:rsidRPr="000D0229">
        <w:t xml:space="preserve">Replacing the adjacent </w:t>
      </w:r>
      <w:r w:rsidRPr="000D0229">
        <w:rPr>
          <w:i/>
        </w:rPr>
        <w:t>alpha</w:t>
      </w:r>
      <w:r w:rsidRPr="000D0229">
        <w:t>-protons with stronger bonding groups, such as methyl groups, limits the peroxide forming potential of the ether molecule via the aforementioned mechanism</w:t>
      </w:r>
      <w:r w:rsidR="001752FF">
        <w:t>.</w:t>
      </w:r>
    </w:p>
    <w:p w14:paraId="517F49CF" w14:textId="6C351780" w:rsidR="000924B6" w:rsidRPr="000D0229" w:rsidRDefault="000924B6" w:rsidP="00BB4CFB">
      <w:pPr>
        <w:pStyle w:val="RSCB02ArticleText"/>
      </w:pPr>
    </w:p>
    <w:tbl>
      <w:tblPr>
        <w:tblStyle w:val="TableGrid"/>
        <w:tblpPr w:leftFromText="180" w:rightFromText="180" w:vertAnchor="page" w:horzAnchor="margin" w:tblpY="2255"/>
        <w:tblW w:w="1019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906"/>
        <w:gridCol w:w="912"/>
        <w:gridCol w:w="907"/>
        <w:gridCol w:w="912"/>
        <w:gridCol w:w="912"/>
        <w:gridCol w:w="916"/>
        <w:gridCol w:w="912"/>
        <w:gridCol w:w="912"/>
        <w:gridCol w:w="901"/>
      </w:tblGrid>
      <w:tr w:rsidR="000C47EA" w:rsidRPr="000D0229" w14:paraId="491C797B" w14:textId="77777777" w:rsidTr="00541C8E">
        <w:trPr>
          <w:trHeight w:val="170"/>
        </w:trPr>
        <w:tc>
          <w:tcPr>
            <w:tcW w:w="975" w:type="pct"/>
            <w:tcBorders>
              <w:top w:val="nil"/>
              <w:left w:val="nil"/>
              <w:bottom w:val="nil"/>
              <w:right w:val="single" w:sz="4" w:space="0" w:color="auto"/>
            </w:tcBorders>
            <w:vAlign w:val="bottom"/>
          </w:tcPr>
          <w:p w14:paraId="70EEAC25" w14:textId="75494E3D" w:rsidR="00AC7F3A" w:rsidRPr="000D0229" w:rsidRDefault="00AC7F3A" w:rsidP="00541C8E">
            <w:pPr>
              <w:pStyle w:val="RSCT03TableBody"/>
            </w:pPr>
          </w:p>
        </w:tc>
        <w:tc>
          <w:tcPr>
            <w:tcW w:w="1340" w:type="pct"/>
            <w:gridSpan w:val="3"/>
            <w:tcBorders>
              <w:top w:val="nil"/>
              <w:left w:val="single" w:sz="4" w:space="0" w:color="auto"/>
              <w:bottom w:val="nil"/>
              <w:right w:val="single" w:sz="4" w:space="0" w:color="auto"/>
            </w:tcBorders>
            <w:vAlign w:val="bottom"/>
          </w:tcPr>
          <w:p w14:paraId="0D7D58AF" w14:textId="765A0B83" w:rsidR="00AC7F3A" w:rsidRPr="000D0229" w:rsidRDefault="00AC7F3A" w:rsidP="00541C8E">
            <w:pPr>
              <w:pStyle w:val="RSCT03TableBody"/>
            </w:pPr>
            <w:r w:rsidRPr="000D0229">
              <w:t>Hydrocarbons</w:t>
            </w:r>
          </w:p>
        </w:tc>
        <w:tc>
          <w:tcPr>
            <w:tcW w:w="1346" w:type="pct"/>
            <w:gridSpan w:val="3"/>
            <w:tcBorders>
              <w:top w:val="nil"/>
              <w:left w:val="single" w:sz="4" w:space="0" w:color="auto"/>
              <w:bottom w:val="nil"/>
              <w:right w:val="single" w:sz="4" w:space="0" w:color="auto"/>
            </w:tcBorders>
            <w:vAlign w:val="bottom"/>
          </w:tcPr>
          <w:p w14:paraId="3C721B5C" w14:textId="0A9BB890" w:rsidR="00AC7F3A" w:rsidRPr="000D0229" w:rsidRDefault="00AC7F3A" w:rsidP="00541C8E">
            <w:pPr>
              <w:pStyle w:val="RSCT03TableBody"/>
            </w:pPr>
            <w:r w:rsidRPr="000D0229">
              <w:t>Quaternary Ethers</w:t>
            </w:r>
          </w:p>
        </w:tc>
        <w:tc>
          <w:tcPr>
            <w:tcW w:w="1339" w:type="pct"/>
            <w:gridSpan w:val="3"/>
            <w:tcBorders>
              <w:top w:val="nil"/>
              <w:left w:val="single" w:sz="4" w:space="0" w:color="auto"/>
              <w:bottom w:val="nil"/>
              <w:right w:val="nil"/>
            </w:tcBorders>
            <w:vAlign w:val="bottom"/>
          </w:tcPr>
          <w:p w14:paraId="4D81FCD6" w14:textId="3CAF2423" w:rsidR="00AC7F3A" w:rsidRPr="000D0229" w:rsidRDefault="00AC7F3A" w:rsidP="00541C8E">
            <w:pPr>
              <w:pStyle w:val="RSCT03TableBody"/>
            </w:pPr>
            <w:r w:rsidRPr="000D0229">
              <w:t>Traditional Ethers</w:t>
            </w:r>
          </w:p>
        </w:tc>
      </w:tr>
      <w:tr w:rsidR="006721AE" w:rsidRPr="000D0229" w14:paraId="21BFEEE6" w14:textId="77777777" w:rsidTr="00541C8E">
        <w:trPr>
          <w:trHeight w:val="238"/>
        </w:trPr>
        <w:tc>
          <w:tcPr>
            <w:tcW w:w="975" w:type="pct"/>
            <w:tcBorders>
              <w:top w:val="nil"/>
              <w:left w:val="nil"/>
              <w:bottom w:val="nil"/>
              <w:right w:val="single" w:sz="4" w:space="0" w:color="auto"/>
            </w:tcBorders>
            <w:vAlign w:val="bottom"/>
          </w:tcPr>
          <w:p w14:paraId="7AD347E9" w14:textId="53B29E12" w:rsidR="006721AE" w:rsidRPr="000D0229" w:rsidRDefault="006721AE" w:rsidP="00541C8E">
            <w:pPr>
              <w:pStyle w:val="TableHead"/>
              <w:jc w:val="center"/>
            </w:pPr>
            <w:r w:rsidRPr="000D0229">
              <w:t>Solvent Property</w:t>
            </w:r>
          </w:p>
        </w:tc>
        <w:tc>
          <w:tcPr>
            <w:tcW w:w="446" w:type="pct"/>
            <w:tcBorders>
              <w:top w:val="nil"/>
              <w:left w:val="single" w:sz="4" w:space="0" w:color="auto"/>
              <w:bottom w:val="nil"/>
              <w:right w:val="nil"/>
            </w:tcBorders>
            <w:vAlign w:val="bottom"/>
          </w:tcPr>
          <w:p w14:paraId="167AB1E1" w14:textId="7F21D52F" w:rsidR="006721AE" w:rsidRPr="000D0229" w:rsidRDefault="006721AE" w:rsidP="00541C8E">
            <w:pPr>
              <w:pStyle w:val="TableHead"/>
              <w:jc w:val="center"/>
            </w:pPr>
            <w:r w:rsidRPr="000D0229">
              <w:t>Hexane</w:t>
            </w:r>
          </w:p>
        </w:tc>
        <w:tc>
          <w:tcPr>
            <w:tcW w:w="448" w:type="pct"/>
            <w:tcBorders>
              <w:top w:val="nil"/>
              <w:left w:val="nil"/>
              <w:bottom w:val="nil"/>
              <w:right w:val="nil"/>
            </w:tcBorders>
            <w:vAlign w:val="bottom"/>
          </w:tcPr>
          <w:p w14:paraId="7C06BE81" w14:textId="5DE0B5C6" w:rsidR="006721AE" w:rsidRPr="000D0229" w:rsidRDefault="006721AE" w:rsidP="00541C8E">
            <w:pPr>
              <w:pStyle w:val="TableHead"/>
              <w:jc w:val="center"/>
            </w:pPr>
            <w:r w:rsidRPr="000D0229">
              <w:t>C-hexane</w:t>
            </w:r>
          </w:p>
        </w:tc>
        <w:tc>
          <w:tcPr>
            <w:tcW w:w="446" w:type="pct"/>
            <w:tcBorders>
              <w:top w:val="nil"/>
              <w:left w:val="nil"/>
              <w:bottom w:val="nil"/>
              <w:right w:val="single" w:sz="4" w:space="0" w:color="auto"/>
            </w:tcBorders>
            <w:vAlign w:val="bottom"/>
          </w:tcPr>
          <w:p w14:paraId="29C75CCA" w14:textId="20E13C68" w:rsidR="006721AE" w:rsidRPr="000D0229" w:rsidRDefault="006721AE" w:rsidP="00541C8E">
            <w:pPr>
              <w:pStyle w:val="TableHead"/>
              <w:jc w:val="center"/>
            </w:pPr>
            <w:r w:rsidRPr="000D0229">
              <w:t>Toluene</w:t>
            </w:r>
          </w:p>
        </w:tc>
        <w:tc>
          <w:tcPr>
            <w:tcW w:w="448" w:type="pct"/>
            <w:tcBorders>
              <w:top w:val="nil"/>
              <w:left w:val="single" w:sz="4" w:space="0" w:color="auto"/>
              <w:bottom w:val="nil"/>
              <w:right w:val="nil"/>
            </w:tcBorders>
            <w:vAlign w:val="bottom"/>
          </w:tcPr>
          <w:p w14:paraId="603F8A05" w14:textId="7BD71CAC" w:rsidR="006721AE" w:rsidRPr="000D0229" w:rsidRDefault="006721AE" w:rsidP="00541C8E">
            <w:pPr>
              <w:pStyle w:val="TableHead"/>
              <w:jc w:val="center"/>
            </w:pPr>
            <w:r w:rsidRPr="000D0229">
              <w:t>1,8-Cineol</w:t>
            </w:r>
          </w:p>
        </w:tc>
        <w:tc>
          <w:tcPr>
            <w:tcW w:w="448" w:type="pct"/>
            <w:tcBorders>
              <w:top w:val="nil"/>
              <w:left w:val="nil"/>
              <w:bottom w:val="nil"/>
              <w:right w:val="nil"/>
            </w:tcBorders>
            <w:vAlign w:val="bottom"/>
          </w:tcPr>
          <w:p w14:paraId="009EDD74" w14:textId="0673E9D9" w:rsidR="006721AE" w:rsidRPr="000D0229" w:rsidRDefault="006721AE" w:rsidP="00541C8E">
            <w:pPr>
              <w:pStyle w:val="TableHead"/>
              <w:jc w:val="center"/>
            </w:pPr>
            <w:r w:rsidRPr="000D0229">
              <w:t>TMTHF</w:t>
            </w:r>
          </w:p>
        </w:tc>
        <w:tc>
          <w:tcPr>
            <w:tcW w:w="449" w:type="pct"/>
            <w:tcBorders>
              <w:top w:val="nil"/>
              <w:left w:val="nil"/>
              <w:bottom w:val="nil"/>
              <w:right w:val="single" w:sz="4" w:space="0" w:color="auto"/>
            </w:tcBorders>
            <w:vAlign w:val="bottom"/>
          </w:tcPr>
          <w:p w14:paraId="69A25360" w14:textId="27DEEAF2" w:rsidR="006721AE" w:rsidRPr="000D0229" w:rsidRDefault="006721AE" w:rsidP="00541C8E">
            <w:pPr>
              <w:pStyle w:val="TableHead"/>
              <w:jc w:val="center"/>
            </w:pPr>
            <w:r w:rsidRPr="000D0229">
              <w:t>DTBE</w:t>
            </w:r>
          </w:p>
        </w:tc>
        <w:tc>
          <w:tcPr>
            <w:tcW w:w="448" w:type="pct"/>
            <w:tcBorders>
              <w:top w:val="nil"/>
              <w:left w:val="single" w:sz="4" w:space="0" w:color="auto"/>
              <w:bottom w:val="nil"/>
              <w:right w:val="nil"/>
            </w:tcBorders>
            <w:vAlign w:val="bottom"/>
          </w:tcPr>
          <w:p w14:paraId="13657879" w14:textId="2DE819D6" w:rsidR="006721AE" w:rsidRPr="000D0229" w:rsidRDefault="006721AE" w:rsidP="00541C8E">
            <w:pPr>
              <w:pStyle w:val="TableHead"/>
              <w:jc w:val="center"/>
            </w:pPr>
            <w:r w:rsidRPr="000D0229">
              <w:t>THF</w:t>
            </w:r>
          </w:p>
        </w:tc>
        <w:tc>
          <w:tcPr>
            <w:tcW w:w="448" w:type="pct"/>
            <w:tcBorders>
              <w:top w:val="nil"/>
              <w:left w:val="nil"/>
              <w:bottom w:val="nil"/>
              <w:right w:val="nil"/>
            </w:tcBorders>
            <w:vAlign w:val="bottom"/>
          </w:tcPr>
          <w:p w14:paraId="36CB7CCB" w14:textId="3C33EB01" w:rsidR="006721AE" w:rsidRPr="000D0229" w:rsidRDefault="006721AE" w:rsidP="00541C8E">
            <w:pPr>
              <w:pStyle w:val="TableHead"/>
              <w:jc w:val="center"/>
            </w:pPr>
            <w:r w:rsidRPr="000D0229">
              <w:t>2-MeTHF</w:t>
            </w:r>
          </w:p>
        </w:tc>
        <w:tc>
          <w:tcPr>
            <w:tcW w:w="443" w:type="pct"/>
            <w:tcBorders>
              <w:top w:val="nil"/>
              <w:left w:val="nil"/>
              <w:bottom w:val="nil"/>
              <w:right w:val="nil"/>
            </w:tcBorders>
            <w:vAlign w:val="bottom"/>
          </w:tcPr>
          <w:p w14:paraId="377F527C" w14:textId="2ECB4B0C" w:rsidR="006721AE" w:rsidRPr="000D0229" w:rsidRDefault="006721AE" w:rsidP="00541C8E">
            <w:pPr>
              <w:pStyle w:val="TableHead"/>
              <w:jc w:val="center"/>
            </w:pPr>
            <w:r w:rsidRPr="000D0229">
              <w:t>Diethyl Ether</w:t>
            </w:r>
          </w:p>
        </w:tc>
      </w:tr>
      <w:tr w:rsidR="006721AE" w:rsidRPr="000D0229" w14:paraId="34773B14" w14:textId="77777777" w:rsidTr="00541C8E">
        <w:trPr>
          <w:trHeight w:val="219"/>
        </w:trPr>
        <w:tc>
          <w:tcPr>
            <w:tcW w:w="975" w:type="pct"/>
            <w:tcBorders>
              <w:top w:val="nil"/>
              <w:bottom w:val="nil"/>
              <w:right w:val="single" w:sz="4" w:space="0" w:color="auto"/>
            </w:tcBorders>
            <w:vAlign w:val="center"/>
          </w:tcPr>
          <w:p w14:paraId="603E5055" w14:textId="480AE25A" w:rsidR="006721AE" w:rsidRPr="000D0229" w:rsidRDefault="006721AE" w:rsidP="00541C8E">
            <w:pPr>
              <w:pStyle w:val="RSCT03TableBody"/>
              <w:jc w:val="left"/>
            </w:pPr>
            <w:r w:rsidRPr="000D0229">
              <w:t>Mw / g</w:t>
            </w:r>
            <w:r w:rsidRPr="000D0229">
              <w:rPr>
                <w:rFonts w:cs="Arial"/>
              </w:rPr>
              <w:t>·</w:t>
            </w:r>
            <w:r w:rsidRPr="000D0229">
              <w:t>mol</w:t>
            </w:r>
            <w:r w:rsidRPr="000D0229">
              <w:rPr>
                <w:vertAlign w:val="superscript"/>
              </w:rPr>
              <w:t>-1</w:t>
            </w:r>
          </w:p>
        </w:tc>
        <w:tc>
          <w:tcPr>
            <w:tcW w:w="446" w:type="pct"/>
            <w:tcBorders>
              <w:top w:val="nil"/>
              <w:left w:val="single" w:sz="4" w:space="0" w:color="auto"/>
            </w:tcBorders>
            <w:vAlign w:val="center"/>
          </w:tcPr>
          <w:p w14:paraId="519CC5F6" w14:textId="649A6C1D" w:rsidR="006721AE" w:rsidRPr="000D0229" w:rsidRDefault="006721AE" w:rsidP="00541C8E">
            <w:pPr>
              <w:pStyle w:val="RSCT03TableBody"/>
            </w:pPr>
            <w:r w:rsidRPr="000D0229">
              <w:t>86.18</w:t>
            </w:r>
          </w:p>
        </w:tc>
        <w:tc>
          <w:tcPr>
            <w:tcW w:w="448" w:type="pct"/>
            <w:tcBorders>
              <w:top w:val="nil"/>
            </w:tcBorders>
            <w:vAlign w:val="center"/>
          </w:tcPr>
          <w:p w14:paraId="06635C97" w14:textId="13327113" w:rsidR="006721AE" w:rsidRPr="000D0229" w:rsidRDefault="006721AE" w:rsidP="00541C8E">
            <w:pPr>
              <w:pStyle w:val="RSCT03TableBody"/>
            </w:pPr>
            <w:r w:rsidRPr="000D0229">
              <w:t>84.16</w:t>
            </w:r>
          </w:p>
        </w:tc>
        <w:tc>
          <w:tcPr>
            <w:tcW w:w="446" w:type="pct"/>
            <w:tcBorders>
              <w:top w:val="nil"/>
              <w:bottom w:val="nil"/>
              <w:right w:val="single" w:sz="4" w:space="0" w:color="auto"/>
            </w:tcBorders>
            <w:vAlign w:val="center"/>
          </w:tcPr>
          <w:p w14:paraId="2CE3C7C0" w14:textId="1128A5E5" w:rsidR="006721AE" w:rsidRPr="000D0229" w:rsidRDefault="006721AE" w:rsidP="00541C8E">
            <w:pPr>
              <w:pStyle w:val="RSCT03TableBody"/>
            </w:pPr>
            <w:r w:rsidRPr="000D0229">
              <w:t>92.14</w:t>
            </w:r>
          </w:p>
        </w:tc>
        <w:tc>
          <w:tcPr>
            <w:tcW w:w="448" w:type="pct"/>
            <w:tcBorders>
              <w:top w:val="nil"/>
              <w:left w:val="single" w:sz="4" w:space="0" w:color="auto"/>
            </w:tcBorders>
            <w:vAlign w:val="center"/>
          </w:tcPr>
          <w:p w14:paraId="3972E1C0" w14:textId="5F70FA50" w:rsidR="006721AE" w:rsidRPr="000D0229" w:rsidRDefault="006721AE" w:rsidP="00541C8E">
            <w:pPr>
              <w:pStyle w:val="RSCT03TableBody"/>
            </w:pPr>
            <w:r w:rsidRPr="000D0229">
              <w:t>154.25</w:t>
            </w:r>
          </w:p>
        </w:tc>
        <w:tc>
          <w:tcPr>
            <w:tcW w:w="448" w:type="pct"/>
            <w:tcBorders>
              <w:top w:val="nil"/>
            </w:tcBorders>
            <w:vAlign w:val="center"/>
          </w:tcPr>
          <w:p w14:paraId="074B43CB" w14:textId="0C3FAAC7" w:rsidR="006721AE" w:rsidRPr="000D0229" w:rsidRDefault="006721AE" w:rsidP="00541C8E">
            <w:pPr>
              <w:pStyle w:val="RSCT03TableBody"/>
            </w:pPr>
            <w:r w:rsidRPr="000D0229">
              <w:t>128.25</w:t>
            </w:r>
          </w:p>
        </w:tc>
        <w:tc>
          <w:tcPr>
            <w:tcW w:w="449" w:type="pct"/>
            <w:tcBorders>
              <w:top w:val="nil"/>
              <w:bottom w:val="nil"/>
              <w:right w:val="single" w:sz="4" w:space="0" w:color="auto"/>
            </w:tcBorders>
            <w:vAlign w:val="center"/>
          </w:tcPr>
          <w:p w14:paraId="6D746955" w14:textId="0187545C" w:rsidR="006721AE" w:rsidRPr="000D0229" w:rsidRDefault="006721AE" w:rsidP="00541C8E">
            <w:pPr>
              <w:pStyle w:val="RSCT03TableBody"/>
            </w:pPr>
            <w:r w:rsidRPr="000D0229">
              <w:t>130.23</w:t>
            </w:r>
          </w:p>
        </w:tc>
        <w:tc>
          <w:tcPr>
            <w:tcW w:w="448" w:type="pct"/>
            <w:tcBorders>
              <w:top w:val="nil"/>
              <w:left w:val="single" w:sz="4" w:space="0" w:color="auto"/>
            </w:tcBorders>
            <w:vAlign w:val="center"/>
          </w:tcPr>
          <w:p w14:paraId="25F9D0A0" w14:textId="3FBC0C83" w:rsidR="006721AE" w:rsidRPr="000D0229" w:rsidRDefault="006721AE" w:rsidP="00541C8E">
            <w:pPr>
              <w:pStyle w:val="RSCT03TableBody"/>
            </w:pPr>
            <w:r w:rsidRPr="000D0229">
              <w:t>72.11</w:t>
            </w:r>
          </w:p>
        </w:tc>
        <w:tc>
          <w:tcPr>
            <w:tcW w:w="448" w:type="pct"/>
            <w:tcBorders>
              <w:top w:val="nil"/>
            </w:tcBorders>
            <w:vAlign w:val="center"/>
          </w:tcPr>
          <w:p w14:paraId="7BC54F95" w14:textId="2C38D52F" w:rsidR="006721AE" w:rsidRPr="000D0229" w:rsidRDefault="006721AE" w:rsidP="00541C8E">
            <w:pPr>
              <w:pStyle w:val="RSCT03TableBody"/>
            </w:pPr>
            <w:r w:rsidRPr="000D0229">
              <w:t>86.13</w:t>
            </w:r>
          </w:p>
        </w:tc>
        <w:tc>
          <w:tcPr>
            <w:tcW w:w="443" w:type="pct"/>
            <w:tcBorders>
              <w:top w:val="nil"/>
            </w:tcBorders>
            <w:vAlign w:val="center"/>
          </w:tcPr>
          <w:p w14:paraId="5B8AEF94" w14:textId="1B5737FB" w:rsidR="006721AE" w:rsidRPr="000D0229" w:rsidRDefault="006721AE" w:rsidP="00541C8E">
            <w:pPr>
              <w:pStyle w:val="RSCT03TableBody"/>
            </w:pPr>
            <w:r w:rsidRPr="000D0229">
              <w:t>74.12</w:t>
            </w:r>
          </w:p>
        </w:tc>
      </w:tr>
      <w:tr w:rsidR="006721AE" w:rsidRPr="000D0229" w14:paraId="595910BA" w14:textId="77777777" w:rsidTr="00541C8E">
        <w:trPr>
          <w:trHeight w:val="219"/>
        </w:trPr>
        <w:tc>
          <w:tcPr>
            <w:tcW w:w="975" w:type="pct"/>
            <w:tcBorders>
              <w:top w:val="nil"/>
              <w:bottom w:val="nil"/>
              <w:right w:val="single" w:sz="4" w:space="0" w:color="auto"/>
            </w:tcBorders>
            <w:vAlign w:val="center"/>
          </w:tcPr>
          <w:p w14:paraId="6EA6B003" w14:textId="7C0B4BBB" w:rsidR="006721AE" w:rsidRPr="000D0229" w:rsidRDefault="006721AE" w:rsidP="00541C8E">
            <w:pPr>
              <w:pStyle w:val="RSCT03TableBody"/>
              <w:jc w:val="left"/>
            </w:pPr>
            <w:r w:rsidRPr="000D0229">
              <w:t xml:space="preserve">Boiling point / </w:t>
            </w:r>
            <w:r w:rsidRPr="000D0229">
              <w:rPr>
                <w:rFonts w:cs="Arial"/>
              </w:rPr>
              <w:t>°</w:t>
            </w:r>
            <w:r w:rsidRPr="000D0229">
              <w:t>C</w:t>
            </w:r>
          </w:p>
        </w:tc>
        <w:tc>
          <w:tcPr>
            <w:tcW w:w="446" w:type="pct"/>
            <w:tcBorders>
              <w:left w:val="single" w:sz="4" w:space="0" w:color="auto"/>
            </w:tcBorders>
            <w:vAlign w:val="center"/>
          </w:tcPr>
          <w:p w14:paraId="0BBB4BEB" w14:textId="586543F0" w:rsidR="006721AE" w:rsidRPr="000D0229" w:rsidRDefault="006721AE" w:rsidP="00541C8E">
            <w:pPr>
              <w:pStyle w:val="RSCT03TableBody"/>
            </w:pPr>
            <w:r w:rsidRPr="000D0229">
              <w:t>69</w:t>
            </w:r>
            <w:r w:rsidRPr="000D0229">
              <w:rPr>
                <w:vertAlign w:val="superscript"/>
              </w:rPr>
              <w:t>(a)</w:t>
            </w:r>
          </w:p>
        </w:tc>
        <w:tc>
          <w:tcPr>
            <w:tcW w:w="448" w:type="pct"/>
            <w:vAlign w:val="center"/>
          </w:tcPr>
          <w:p w14:paraId="2B5C2E58" w14:textId="3FEC2388" w:rsidR="006721AE" w:rsidRPr="000D0229" w:rsidRDefault="006721AE" w:rsidP="00541C8E">
            <w:pPr>
              <w:pStyle w:val="RSCT03TableBody"/>
            </w:pPr>
            <w:r w:rsidRPr="000D0229">
              <w:t>81</w:t>
            </w:r>
            <w:r w:rsidRPr="000D0229">
              <w:rPr>
                <w:vertAlign w:val="superscript"/>
              </w:rPr>
              <w:t>(a)</w:t>
            </w:r>
          </w:p>
        </w:tc>
        <w:tc>
          <w:tcPr>
            <w:tcW w:w="446" w:type="pct"/>
            <w:tcBorders>
              <w:top w:val="nil"/>
              <w:bottom w:val="nil"/>
              <w:right w:val="single" w:sz="4" w:space="0" w:color="auto"/>
            </w:tcBorders>
            <w:vAlign w:val="center"/>
          </w:tcPr>
          <w:p w14:paraId="0A6AB3BF" w14:textId="611BEDF9" w:rsidR="006721AE" w:rsidRPr="000D0229" w:rsidRDefault="006721AE" w:rsidP="00541C8E">
            <w:pPr>
              <w:pStyle w:val="RSCT03TableBody"/>
            </w:pPr>
            <w:r w:rsidRPr="000D0229">
              <w:t>111</w:t>
            </w:r>
            <w:r w:rsidRPr="000D0229">
              <w:rPr>
                <w:vertAlign w:val="superscript"/>
              </w:rPr>
              <w:t>(a)</w:t>
            </w:r>
          </w:p>
        </w:tc>
        <w:tc>
          <w:tcPr>
            <w:tcW w:w="448" w:type="pct"/>
            <w:tcBorders>
              <w:left w:val="single" w:sz="4" w:space="0" w:color="auto"/>
            </w:tcBorders>
            <w:vAlign w:val="center"/>
          </w:tcPr>
          <w:p w14:paraId="3A7E6EB1" w14:textId="078553EF" w:rsidR="006721AE" w:rsidRPr="000D0229" w:rsidRDefault="006721AE" w:rsidP="00541C8E">
            <w:pPr>
              <w:pStyle w:val="RSCT03TableBody"/>
            </w:pPr>
            <w:r w:rsidRPr="000D0229">
              <w:t>176</w:t>
            </w:r>
            <w:r w:rsidRPr="000D0229">
              <w:rPr>
                <w:vertAlign w:val="superscript"/>
              </w:rPr>
              <w:t>(a)</w:t>
            </w:r>
          </w:p>
        </w:tc>
        <w:tc>
          <w:tcPr>
            <w:tcW w:w="448" w:type="pct"/>
            <w:vAlign w:val="center"/>
          </w:tcPr>
          <w:p w14:paraId="1F696102" w14:textId="20F1AF93" w:rsidR="006721AE" w:rsidRPr="000D0229" w:rsidRDefault="006721AE" w:rsidP="00541C8E">
            <w:pPr>
              <w:pStyle w:val="RSCT03TableBody"/>
            </w:pPr>
            <w:r w:rsidRPr="000D0229">
              <w:t>112</w:t>
            </w:r>
            <w:r w:rsidRPr="000D0229">
              <w:rPr>
                <w:vertAlign w:val="superscript"/>
              </w:rPr>
              <w:t>(b)</w:t>
            </w:r>
          </w:p>
        </w:tc>
        <w:tc>
          <w:tcPr>
            <w:tcW w:w="449" w:type="pct"/>
            <w:tcBorders>
              <w:top w:val="nil"/>
              <w:bottom w:val="nil"/>
              <w:right w:val="single" w:sz="4" w:space="0" w:color="auto"/>
            </w:tcBorders>
            <w:vAlign w:val="center"/>
          </w:tcPr>
          <w:p w14:paraId="28BB4200" w14:textId="72E95345" w:rsidR="006721AE" w:rsidRPr="000D0229" w:rsidRDefault="006721AE" w:rsidP="00541C8E">
            <w:pPr>
              <w:pStyle w:val="RSCT03TableBody"/>
            </w:pPr>
            <w:r w:rsidRPr="000D0229">
              <w:t>107</w:t>
            </w:r>
            <w:r w:rsidRPr="000D0229">
              <w:rPr>
                <w:vertAlign w:val="superscript"/>
              </w:rPr>
              <w:t>(c)</w:t>
            </w:r>
          </w:p>
        </w:tc>
        <w:tc>
          <w:tcPr>
            <w:tcW w:w="448" w:type="pct"/>
            <w:tcBorders>
              <w:left w:val="single" w:sz="4" w:space="0" w:color="auto"/>
            </w:tcBorders>
            <w:vAlign w:val="center"/>
          </w:tcPr>
          <w:p w14:paraId="32DFBD49" w14:textId="7C2C7918" w:rsidR="006721AE" w:rsidRPr="000D0229" w:rsidRDefault="006721AE" w:rsidP="00541C8E">
            <w:pPr>
              <w:pStyle w:val="RSCT03TableBody"/>
            </w:pPr>
            <w:r w:rsidRPr="000D0229">
              <w:t>66</w:t>
            </w:r>
            <w:r w:rsidRPr="000D0229">
              <w:rPr>
                <w:vertAlign w:val="superscript"/>
              </w:rPr>
              <w:t>(a)</w:t>
            </w:r>
          </w:p>
        </w:tc>
        <w:tc>
          <w:tcPr>
            <w:tcW w:w="448" w:type="pct"/>
            <w:vAlign w:val="center"/>
          </w:tcPr>
          <w:p w14:paraId="4C6D77B4" w14:textId="512E97D0" w:rsidR="006721AE" w:rsidRPr="000D0229" w:rsidRDefault="006721AE" w:rsidP="00541C8E">
            <w:pPr>
              <w:pStyle w:val="RSCT03TableBody"/>
            </w:pPr>
            <w:r w:rsidRPr="000D0229">
              <w:t>78</w:t>
            </w:r>
            <w:r w:rsidRPr="000D0229">
              <w:rPr>
                <w:vertAlign w:val="superscript"/>
              </w:rPr>
              <w:t>(d)</w:t>
            </w:r>
          </w:p>
        </w:tc>
        <w:tc>
          <w:tcPr>
            <w:tcW w:w="443" w:type="pct"/>
            <w:vAlign w:val="center"/>
          </w:tcPr>
          <w:p w14:paraId="1E961A98" w14:textId="0382D76A" w:rsidR="006721AE" w:rsidRPr="000D0229" w:rsidRDefault="006721AE" w:rsidP="00541C8E">
            <w:pPr>
              <w:pStyle w:val="RSCT03TableBody"/>
            </w:pPr>
            <w:r w:rsidRPr="000D0229">
              <w:t>35</w:t>
            </w:r>
            <w:r w:rsidRPr="000D0229">
              <w:rPr>
                <w:vertAlign w:val="superscript"/>
              </w:rPr>
              <w:t>(a)</w:t>
            </w:r>
          </w:p>
        </w:tc>
      </w:tr>
      <w:tr w:rsidR="006721AE" w:rsidRPr="000D0229" w14:paraId="7524C0F1" w14:textId="77777777" w:rsidTr="00541C8E">
        <w:trPr>
          <w:trHeight w:val="238"/>
        </w:trPr>
        <w:tc>
          <w:tcPr>
            <w:tcW w:w="975" w:type="pct"/>
            <w:tcBorders>
              <w:top w:val="nil"/>
              <w:bottom w:val="nil"/>
              <w:right w:val="single" w:sz="4" w:space="0" w:color="auto"/>
            </w:tcBorders>
            <w:vAlign w:val="center"/>
          </w:tcPr>
          <w:p w14:paraId="7A8E8827" w14:textId="4D8EB09C" w:rsidR="006721AE" w:rsidRPr="000D0229" w:rsidRDefault="006721AE" w:rsidP="00541C8E">
            <w:pPr>
              <w:pStyle w:val="RSCT03TableBody"/>
              <w:jc w:val="left"/>
            </w:pPr>
            <w:r w:rsidRPr="000D0229">
              <w:t xml:space="preserve">Melting point / </w:t>
            </w:r>
            <w:r w:rsidRPr="000D0229">
              <w:rPr>
                <w:rFonts w:cs="Arial"/>
              </w:rPr>
              <w:t>°</w:t>
            </w:r>
            <w:r w:rsidRPr="000D0229">
              <w:t>C</w:t>
            </w:r>
          </w:p>
        </w:tc>
        <w:tc>
          <w:tcPr>
            <w:tcW w:w="446" w:type="pct"/>
            <w:tcBorders>
              <w:left w:val="single" w:sz="4" w:space="0" w:color="auto"/>
            </w:tcBorders>
            <w:vAlign w:val="center"/>
          </w:tcPr>
          <w:p w14:paraId="490A4C5C" w14:textId="761A25DD" w:rsidR="006721AE" w:rsidRPr="000D0229" w:rsidRDefault="006721AE" w:rsidP="00541C8E">
            <w:pPr>
              <w:pStyle w:val="RSCT03TableBody"/>
            </w:pPr>
            <w:r w:rsidRPr="000D0229">
              <w:t>-95</w:t>
            </w:r>
            <w:r w:rsidRPr="000D0229">
              <w:rPr>
                <w:vertAlign w:val="superscript"/>
              </w:rPr>
              <w:t>(a)</w:t>
            </w:r>
          </w:p>
        </w:tc>
        <w:tc>
          <w:tcPr>
            <w:tcW w:w="448" w:type="pct"/>
            <w:vAlign w:val="center"/>
          </w:tcPr>
          <w:p w14:paraId="2B203991" w14:textId="642B7D47" w:rsidR="006721AE" w:rsidRPr="000D0229" w:rsidRDefault="006721AE" w:rsidP="00541C8E">
            <w:pPr>
              <w:pStyle w:val="RSCT03TableBody"/>
            </w:pPr>
            <w:r w:rsidRPr="000D0229">
              <w:t>6</w:t>
            </w:r>
            <w:r w:rsidRPr="000D0229">
              <w:rPr>
                <w:vertAlign w:val="superscript"/>
              </w:rPr>
              <w:t>(a)</w:t>
            </w:r>
          </w:p>
        </w:tc>
        <w:tc>
          <w:tcPr>
            <w:tcW w:w="446" w:type="pct"/>
            <w:tcBorders>
              <w:top w:val="nil"/>
              <w:bottom w:val="nil"/>
              <w:right w:val="single" w:sz="4" w:space="0" w:color="auto"/>
            </w:tcBorders>
            <w:vAlign w:val="center"/>
          </w:tcPr>
          <w:p w14:paraId="0E4D48D8" w14:textId="7371FF81" w:rsidR="006721AE" w:rsidRPr="000D0229" w:rsidRDefault="006721AE" w:rsidP="00541C8E">
            <w:pPr>
              <w:pStyle w:val="RSCT03TableBody"/>
            </w:pPr>
            <w:r w:rsidRPr="000D0229">
              <w:t>-95</w:t>
            </w:r>
            <w:r w:rsidRPr="000D0229">
              <w:rPr>
                <w:vertAlign w:val="superscript"/>
              </w:rPr>
              <w:t>(a)</w:t>
            </w:r>
          </w:p>
        </w:tc>
        <w:tc>
          <w:tcPr>
            <w:tcW w:w="448" w:type="pct"/>
            <w:tcBorders>
              <w:left w:val="single" w:sz="4" w:space="0" w:color="auto"/>
            </w:tcBorders>
            <w:vAlign w:val="center"/>
          </w:tcPr>
          <w:p w14:paraId="45F03FCA" w14:textId="7763FB96" w:rsidR="006721AE" w:rsidRPr="000D0229" w:rsidRDefault="006721AE" w:rsidP="00541C8E">
            <w:pPr>
              <w:pStyle w:val="RSCT03TableBody"/>
            </w:pPr>
            <w:r w:rsidRPr="000D0229">
              <w:t>2</w:t>
            </w:r>
            <w:r w:rsidRPr="000D0229">
              <w:rPr>
                <w:vertAlign w:val="superscript"/>
              </w:rPr>
              <w:t>(a)</w:t>
            </w:r>
          </w:p>
        </w:tc>
        <w:tc>
          <w:tcPr>
            <w:tcW w:w="448" w:type="pct"/>
            <w:vAlign w:val="center"/>
          </w:tcPr>
          <w:p w14:paraId="2CCC0080" w14:textId="51B78FEB" w:rsidR="006721AE" w:rsidRPr="000D0229" w:rsidRDefault="006721AE" w:rsidP="00541C8E">
            <w:pPr>
              <w:pStyle w:val="RSCT03TableBody"/>
            </w:pPr>
            <w:r w:rsidRPr="000D0229">
              <w:t>&lt;-90</w:t>
            </w:r>
            <w:r w:rsidRPr="000D0229">
              <w:rPr>
                <w:vertAlign w:val="superscript"/>
              </w:rPr>
              <w:t>(b)</w:t>
            </w:r>
          </w:p>
        </w:tc>
        <w:tc>
          <w:tcPr>
            <w:tcW w:w="449" w:type="pct"/>
            <w:tcBorders>
              <w:top w:val="nil"/>
              <w:bottom w:val="nil"/>
              <w:right w:val="single" w:sz="4" w:space="0" w:color="auto"/>
            </w:tcBorders>
            <w:vAlign w:val="center"/>
          </w:tcPr>
          <w:p w14:paraId="293BF95B" w14:textId="0A190FE7" w:rsidR="006721AE" w:rsidRPr="000D0229" w:rsidRDefault="006721AE" w:rsidP="00541C8E">
            <w:pPr>
              <w:pStyle w:val="RSCT03TableBody"/>
            </w:pPr>
            <w:r w:rsidRPr="000D0229">
              <w:t>&lt;-90</w:t>
            </w:r>
            <w:r w:rsidRPr="000D0229">
              <w:rPr>
                <w:vertAlign w:val="superscript"/>
              </w:rPr>
              <w:t>(b)</w:t>
            </w:r>
          </w:p>
        </w:tc>
        <w:tc>
          <w:tcPr>
            <w:tcW w:w="448" w:type="pct"/>
            <w:tcBorders>
              <w:left w:val="single" w:sz="4" w:space="0" w:color="auto"/>
            </w:tcBorders>
            <w:vAlign w:val="center"/>
          </w:tcPr>
          <w:p w14:paraId="7CD9DD24" w14:textId="7E83C91C" w:rsidR="006721AE" w:rsidRPr="000D0229" w:rsidRDefault="006721AE" w:rsidP="00541C8E">
            <w:pPr>
              <w:pStyle w:val="RSCT03TableBody"/>
            </w:pPr>
            <w:r w:rsidRPr="000D0229">
              <w:t>-108</w:t>
            </w:r>
            <w:r w:rsidRPr="000D0229">
              <w:rPr>
                <w:vertAlign w:val="superscript"/>
              </w:rPr>
              <w:t>(a)</w:t>
            </w:r>
          </w:p>
        </w:tc>
        <w:tc>
          <w:tcPr>
            <w:tcW w:w="448" w:type="pct"/>
            <w:vAlign w:val="center"/>
          </w:tcPr>
          <w:p w14:paraId="4D059A0D" w14:textId="20C74038" w:rsidR="006721AE" w:rsidRPr="000D0229" w:rsidRDefault="006721AE" w:rsidP="00541C8E">
            <w:pPr>
              <w:pStyle w:val="RSCT03TableBody"/>
            </w:pPr>
            <w:r w:rsidRPr="000D0229">
              <w:t>-136</w:t>
            </w:r>
            <w:r w:rsidRPr="000D0229">
              <w:rPr>
                <w:vertAlign w:val="superscript"/>
              </w:rPr>
              <w:t>(d)</w:t>
            </w:r>
          </w:p>
        </w:tc>
        <w:tc>
          <w:tcPr>
            <w:tcW w:w="443" w:type="pct"/>
            <w:vAlign w:val="center"/>
          </w:tcPr>
          <w:p w14:paraId="6AF3B4D2" w14:textId="16F7605D" w:rsidR="006721AE" w:rsidRPr="000D0229" w:rsidRDefault="006721AE" w:rsidP="00541C8E">
            <w:pPr>
              <w:pStyle w:val="RSCT03TableBody"/>
            </w:pPr>
            <w:r w:rsidRPr="000D0229">
              <w:t>-116</w:t>
            </w:r>
            <w:r w:rsidRPr="000D0229">
              <w:rPr>
                <w:vertAlign w:val="superscript"/>
              </w:rPr>
              <w:t>(a)</w:t>
            </w:r>
          </w:p>
        </w:tc>
      </w:tr>
      <w:tr w:rsidR="006721AE" w:rsidRPr="000D0229" w14:paraId="05160EF8" w14:textId="77777777" w:rsidTr="00541C8E">
        <w:trPr>
          <w:trHeight w:val="219"/>
        </w:trPr>
        <w:tc>
          <w:tcPr>
            <w:tcW w:w="975" w:type="pct"/>
            <w:tcBorders>
              <w:top w:val="nil"/>
              <w:bottom w:val="nil"/>
              <w:right w:val="single" w:sz="4" w:space="0" w:color="auto"/>
            </w:tcBorders>
            <w:vAlign w:val="center"/>
          </w:tcPr>
          <w:p w14:paraId="4093B627" w14:textId="2B389638" w:rsidR="006721AE" w:rsidRPr="000D0229" w:rsidRDefault="006721AE" w:rsidP="00541C8E">
            <w:pPr>
              <w:pStyle w:val="RSCT03TableBody"/>
              <w:jc w:val="left"/>
            </w:pPr>
            <w:r w:rsidRPr="000D0229">
              <w:t>Density / g</w:t>
            </w:r>
            <w:r w:rsidRPr="000D0229">
              <w:rPr>
                <w:rFonts w:cs="Arial"/>
              </w:rPr>
              <w:t>·</w:t>
            </w:r>
            <w:r w:rsidRPr="000D0229">
              <w:t>ml</w:t>
            </w:r>
            <w:r w:rsidRPr="000D0229">
              <w:rPr>
                <w:vertAlign w:val="superscript"/>
              </w:rPr>
              <w:t>-1</w:t>
            </w:r>
          </w:p>
        </w:tc>
        <w:tc>
          <w:tcPr>
            <w:tcW w:w="446" w:type="pct"/>
            <w:tcBorders>
              <w:left w:val="single" w:sz="4" w:space="0" w:color="auto"/>
            </w:tcBorders>
            <w:vAlign w:val="center"/>
          </w:tcPr>
          <w:p w14:paraId="7DBFBA0D" w14:textId="34E7B24B" w:rsidR="006721AE" w:rsidRPr="000D0229" w:rsidRDefault="006721AE" w:rsidP="00541C8E">
            <w:pPr>
              <w:pStyle w:val="RSCT03TableBody"/>
            </w:pPr>
            <w:r w:rsidRPr="000D0229">
              <w:t>0.661</w:t>
            </w:r>
            <w:r w:rsidRPr="000D0229">
              <w:rPr>
                <w:vertAlign w:val="superscript"/>
              </w:rPr>
              <w:t>(a)</w:t>
            </w:r>
          </w:p>
        </w:tc>
        <w:tc>
          <w:tcPr>
            <w:tcW w:w="448" w:type="pct"/>
            <w:vAlign w:val="center"/>
          </w:tcPr>
          <w:p w14:paraId="3F51744B" w14:textId="37AFB9D1" w:rsidR="006721AE" w:rsidRPr="000D0229" w:rsidRDefault="006721AE" w:rsidP="00541C8E">
            <w:pPr>
              <w:pStyle w:val="RSCT03TableBody"/>
            </w:pPr>
            <w:r w:rsidRPr="000D0229">
              <w:t>0.778</w:t>
            </w:r>
            <w:r w:rsidRPr="000D0229">
              <w:rPr>
                <w:vertAlign w:val="superscript"/>
              </w:rPr>
              <w:t>(a)</w:t>
            </w:r>
          </w:p>
        </w:tc>
        <w:tc>
          <w:tcPr>
            <w:tcW w:w="446" w:type="pct"/>
            <w:tcBorders>
              <w:top w:val="nil"/>
              <w:bottom w:val="nil"/>
              <w:right w:val="single" w:sz="4" w:space="0" w:color="auto"/>
            </w:tcBorders>
            <w:vAlign w:val="center"/>
          </w:tcPr>
          <w:p w14:paraId="32E7268E" w14:textId="6B786735" w:rsidR="006721AE" w:rsidRPr="000D0229" w:rsidRDefault="006721AE" w:rsidP="00541C8E">
            <w:pPr>
              <w:pStyle w:val="RSCT03TableBody"/>
            </w:pPr>
            <w:r w:rsidRPr="000D0229">
              <w:t>0.867</w:t>
            </w:r>
            <w:r w:rsidRPr="000D0229">
              <w:rPr>
                <w:vertAlign w:val="superscript"/>
              </w:rPr>
              <w:t>(a)</w:t>
            </w:r>
          </w:p>
        </w:tc>
        <w:tc>
          <w:tcPr>
            <w:tcW w:w="448" w:type="pct"/>
            <w:tcBorders>
              <w:left w:val="single" w:sz="4" w:space="0" w:color="auto"/>
            </w:tcBorders>
            <w:vAlign w:val="center"/>
          </w:tcPr>
          <w:p w14:paraId="68BEF019" w14:textId="051C45C2" w:rsidR="006721AE" w:rsidRPr="000D0229" w:rsidRDefault="006721AE" w:rsidP="00541C8E">
            <w:pPr>
              <w:pStyle w:val="RSCT03TableBody"/>
            </w:pPr>
            <w:r w:rsidRPr="000D0229">
              <w:t>0.927</w:t>
            </w:r>
            <w:r w:rsidRPr="000D0229">
              <w:rPr>
                <w:vertAlign w:val="superscript"/>
              </w:rPr>
              <w:t>(a)</w:t>
            </w:r>
          </w:p>
        </w:tc>
        <w:tc>
          <w:tcPr>
            <w:tcW w:w="448" w:type="pct"/>
            <w:vAlign w:val="center"/>
          </w:tcPr>
          <w:p w14:paraId="000DD91C" w14:textId="28ACCD5D" w:rsidR="006721AE" w:rsidRPr="000D0229" w:rsidRDefault="006721AE" w:rsidP="00541C8E">
            <w:pPr>
              <w:pStyle w:val="RSCT03TableBody"/>
            </w:pPr>
            <w:r w:rsidRPr="000D0229">
              <w:t>0.802</w:t>
            </w:r>
            <w:r w:rsidRPr="000D0229">
              <w:rPr>
                <w:vertAlign w:val="superscript"/>
              </w:rPr>
              <w:t>(b)</w:t>
            </w:r>
          </w:p>
        </w:tc>
        <w:tc>
          <w:tcPr>
            <w:tcW w:w="449" w:type="pct"/>
            <w:tcBorders>
              <w:top w:val="nil"/>
              <w:bottom w:val="nil"/>
              <w:right w:val="single" w:sz="4" w:space="0" w:color="auto"/>
            </w:tcBorders>
            <w:vAlign w:val="center"/>
          </w:tcPr>
          <w:p w14:paraId="2E4EBB79" w14:textId="084F30DF" w:rsidR="006721AE" w:rsidRPr="000D0229" w:rsidRDefault="006721AE" w:rsidP="00541C8E">
            <w:pPr>
              <w:pStyle w:val="RSCT03TableBody"/>
            </w:pPr>
            <w:r w:rsidRPr="000D0229">
              <w:t>0.762</w:t>
            </w:r>
            <w:r w:rsidRPr="000D0229">
              <w:rPr>
                <w:vertAlign w:val="superscript"/>
              </w:rPr>
              <w:t>(c)</w:t>
            </w:r>
          </w:p>
        </w:tc>
        <w:tc>
          <w:tcPr>
            <w:tcW w:w="448" w:type="pct"/>
            <w:tcBorders>
              <w:left w:val="single" w:sz="4" w:space="0" w:color="auto"/>
            </w:tcBorders>
            <w:vAlign w:val="center"/>
          </w:tcPr>
          <w:p w14:paraId="1D7AE28F" w14:textId="61128472" w:rsidR="006721AE" w:rsidRPr="000D0229" w:rsidRDefault="006721AE" w:rsidP="00541C8E">
            <w:pPr>
              <w:pStyle w:val="RSCT03TableBody"/>
            </w:pPr>
            <w:r w:rsidRPr="000D0229">
              <w:t>0.883</w:t>
            </w:r>
            <w:r w:rsidRPr="000D0229">
              <w:rPr>
                <w:vertAlign w:val="superscript"/>
              </w:rPr>
              <w:t>(a)</w:t>
            </w:r>
          </w:p>
        </w:tc>
        <w:tc>
          <w:tcPr>
            <w:tcW w:w="448" w:type="pct"/>
            <w:vAlign w:val="center"/>
          </w:tcPr>
          <w:p w14:paraId="0E5241A6" w14:textId="1E6FF46A" w:rsidR="006721AE" w:rsidRPr="000D0229" w:rsidRDefault="006721AE" w:rsidP="00541C8E">
            <w:pPr>
              <w:pStyle w:val="RSCT03TableBody"/>
            </w:pPr>
            <w:r w:rsidRPr="000D0229">
              <w:t>0.854</w:t>
            </w:r>
            <w:r w:rsidRPr="000D0229">
              <w:rPr>
                <w:vertAlign w:val="superscript"/>
              </w:rPr>
              <w:t>(d)</w:t>
            </w:r>
          </w:p>
        </w:tc>
        <w:tc>
          <w:tcPr>
            <w:tcW w:w="443" w:type="pct"/>
            <w:vAlign w:val="center"/>
          </w:tcPr>
          <w:p w14:paraId="04AD2B8A" w14:textId="480048AB" w:rsidR="006721AE" w:rsidRPr="000D0229" w:rsidRDefault="006721AE" w:rsidP="00541C8E">
            <w:pPr>
              <w:pStyle w:val="RSCT03TableBody"/>
            </w:pPr>
            <w:r w:rsidRPr="000D0229">
              <w:t>0.713</w:t>
            </w:r>
            <w:r w:rsidRPr="000D0229">
              <w:rPr>
                <w:vertAlign w:val="superscript"/>
              </w:rPr>
              <w:t>(a)</w:t>
            </w:r>
          </w:p>
        </w:tc>
      </w:tr>
      <w:tr w:rsidR="006721AE" w:rsidRPr="000D0229" w14:paraId="56D71EDE" w14:textId="77777777" w:rsidTr="00541C8E">
        <w:trPr>
          <w:trHeight w:val="238"/>
        </w:trPr>
        <w:tc>
          <w:tcPr>
            <w:tcW w:w="975" w:type="pct"/>
            <w:tcBorders>
              <w:top w:val="nil"/>
              <w:bottom w:val="nil"/>
              <w:right w:val="single" w:sz="4" w:space="0" w:color="auto"/>
            </w:tcBorders>
            <w:vAlign w:val="center"/>
          </w:tcPr>
          <w:p w14:paraId="04CA8D90" w14:textId="4DF0B0DF" w:rsidR="006721AE" w:rsidRPr="000D0229" w:rsidRDefault="006721AE" w:rsidP="00541C8E">
            <w:pPr>
              <w:pStyle w:val="RSCT03TableBody"/>
              <w:jc w:val="left"/>
            </w:pPr>
            <w:r w:rsidRPr="000D0229">
              <w:t>Mol. Vol. / cm</w:t>
            </w:r>
            <w:r w:rsidRPr="000D0229">
              <w:rPr>
                <w:vertAlign w:val="superscript"/>
              </w:rPr>
              <w:t>-3</w:t>
            </w:r>
            <w:r w:rsidRPr="000D0229">
              <w:rPr>
                <w:rFonts w:cs="Arial"/>
              </w:rPr>
              <w:t>·</w:t>
            </w:r>
            <w:r w:rsidRPr="000D0229">
              <w:t>mol</w:t>
            </w:r>
            <w:r w:rsidRPr="000D0229">
              <w:rPr>
                <w:vertAlign w:val="superscript"/>
              </w:rPr>
              <w:t>-1</w:t>
            </w:r>
          </w:p>
        </w:tc>
        <w:tc>
          <w:tcPr>
            <w:tcW w:w="446" w:type="pct"/>
            <w:tcBorders>
              <w:left w:val="single" w:sz="4" w:space="0" w:color="auto"/>
            </w:tcBorders>
            <w:vAlign w:val="center"/>
          </w:tcPr>
          <w:p w14:paraId="69A58150" w14:textId="25BE324E" w:rsidR="006721AE" w:rsidRPr="000D0229" w:rsidRDefault="006721AE" w:rsidP="00541C8E">
            <w:pPr>
              <w:pStyle w:val="RSCT03TableBody"/>
            </w:pPr>
            <w:r w:rsidRPr="000D0229">
              <w:t>131.4</w:t>
            </w:r>
            <w:r w:rsidRPr="000D0229">
              <w:rPr>
                <w:vertAlign w:val="superscript"/>
              </w:rPr>
              <w:t>(e)</w:t>
            </w:r>
          </w:p>
        </w:tc>
        <w:tc>
          <w:tcPr>
            <w:tcW w:w="448" w:type="pct"/>
            <w:vAlign w:val="center"/>
          </w:tcPr>
          <w:p w14:paraId="0D5ECD25" w14:textId="0C9CA545" w:rsidR="006721AE" w:rsidRPr="000D0229" w:rsidRDefault="006721AE" w:rsidP="00541C8E">
            <w:pPr>
              <w:pStyle w:val="RSCT03TableBody"/>
            </w:pPr>
            <w:r w:rsidRPr="000D0229">
              <w:t>108.9</w:t>
            </w:r>
            <w:r w:rsidRPr="000D0229">
              <w:rPr>
                <w:vertAlign w:val="superscript"/>
              </w:rPr>
              <w:t>(e)</w:t>
            </w:r>
          </w:p>
        </w:tc>
        <w:tc>
          <w:tcPr>
            <w:tcW w:w="446" w:type="pct"/>
            <w:tcBorders>
              <w:top w:val="nil"/>
              <w:bottom w:val="nil"/>
              <w:right w:val="single" w:sz="4" w:space="0" w:color="auto"/>
            </w:tcBorders>
            <w:vAlign w:val="center"/>
          </w:tcPr>
          <w:p w14:paraId="08F0CF00" w14:textId="707CEDC1" w:rsidR="006721AE" w:rsidRPr="000D0229" w:rsidRDefault="006721AE" w:rsidP="00541C8E">
            <w:pPr>
              <w:pStyle w:val="RSCT03TableBody"/>
            </w:pPr>
            <w:r w:rsidRPr="000D0229">
              <w:t>106.6</w:t>
            </w:r>
            <w:r w:rsidRPr="000D0229">
              <w:rPr>
                <w:vertAlign w:val="superscript"/>
              </w:rPr>
              <w:t>(e)</w:t>
            </w:r>
          </w:p>
        </w:tc>
        <w:tc>
          <w:tcPr>
            <w:tcW w:w="448" w:type="pct"/>
            <w:tcBorders>
              <w:left w:val="single" w:sz="4" w:space="0" w:color="auto"/>
            </w:tcBorders>
            <w:vAlign w:val="center"/>
          </w:tcPr>
          <w:p w14:paraId="1941DC37" w14:textId="03B9ECF8" w:rsidR="006721AE" w:rsidRPr="000D0229" w:rsidRDefault="006721AE" w:rsidP="00541C8E">
            <w:pPr>
              <w:pStyle w:val="RSCT03TableBody"/>
            </w:pPr>
            <w:r w:rsidRPr="000D0229">
              <w:t>167.5</w:t>
            </w:r>
            <w:r w:rsidRPr="000D0229">
              <w:rPr>
                <w:vertAlign w:val="superscript"/>
              </w:rPr>
              <w:t>(e)</w:t>
            </w:r>
          </w:p>
        </w:tc>
        <w:tc>
          <w:tcPr>
            <w:tcW w:w="448" w:type="pct"/>
            <w:vAlign w:val="center"/>
          </w:tcPr>
          <w:p w14:paraId="0EA9D9B7" w14:textId="0EC49048" w:rsidR="006721AE" w:rsidRPr="000D0229" w:rsidRDefault="006721AE" w:rsidP="00541C8E">
            <w:pPr>
              <w:pStyle w:val="RSCT03TableBody"/>
            </w:pPr>
            <w:r w:rsidRPr="000D0229">
              <w:t>151.1</w:t>
            </w:r>
            <w:r w:rsidRPr="000D0229">
              <w:rPr>
                <w:vertAlign w:val="superscript"/>
              </w:rPr>
              <w:t>(e)</w:t>
            </w:r>
          </w:p>
        </w:tc>
        <w:tc>
          <w:tcPr>
            <w:tcW w:w="449" w:type="pct"/>
            <w:tcBorders>
              <w:top w:val="nil"/>
              <w:bottom w:val="nil"/>
              <w:right w:val="single" w:sz="4" w:space="0" w:color="auto"/>
            </w:tcBorders>
            <w:vAlign w:val="center"/>
          </w:tcPr>
          <w:p w14:paraId="2511E9A5" w14:textId="25DFD7C0" w:rsidR="006721AE" w:rsidRPr="000D0229" w:rsidRDefault="006721AE" w:rsidP="00541C8E">
            <w:pPr>
              <w:pStyle w:val="RSCT03TableBody"/>
            </w:pPr>
            <w:r w:rsidRPr="000D0229">
              <w:t>172.5</w:t>
            </w:r>
            <w:r w:rsidRPr="000D0229">
              <w:rPr>
                <w:vertAlign w:val="superscript"/>
              </w:rPr>
              <w:t>(e)</w:t>
            </w:r>
          </w:p>
        </w:tc>
        <w:tc>
          <w:tcPr>
            <w:tcW w:w="448" w:type="pct"/>
            <w:tcBorders>
              <w:left w:val="single" w:sz="4" w:space="0" w:color="auto"/>
            </w:tcBorders>
            <w:vAlign w:val="center"/>
          </w:tcPr>
          <w:p w14:paraId="3B3D2034" w14:textId="1764A011" w:rsidR="006721AE" w:rsidRPr="000D0229" w:rsidRDefault="006721AE" w:rsidP="00541C8E">
            <w:pPr>
              <w:pStyle w:val="RSCT03TableBody"/>
            </w:pPr>
            <w:r w:rsidRPr="000D0229">
              <w:t>81.9</w:t>
            </w:r>
            <w:r w:rsidRPr="000D0229">
              <w:rPr>
                <w:vertAlign w:val="superscript"/>
              </w:rPr>
              <w:t>(e)</w:t>
            </w:r>
          </w:p>
        </w:tc>
        <w:tc>
          <w:tcPr>
            <w:tcW w:w="448" w:type="pct"/>
            <w:vAlign w:val="center"/>
          </w:tcPr>
          <w:p w14:paraId="33094CC0" w14:textId="0A5D7250" w:rsidR="006721AE" w:rsidRPr="000D0229" w:rsidRDefault="006721AE" w:rsidP="00541C8E">
            <w:pPr>
              <w:pStyle w:val="RSCT03TableBody"/>
            </w:pPr>
            <w:r w:rsidRPr="000D0229">
              <w:t>100.2</w:t>
            </w:r>
            <w:r w:rsidRPr="000D0229">
              <w:rPr>
                <w:vertAlign w:val="superscript"/>
              </w:rPr>
              <w:t>(e)</w:t>
            </w:r>
          </w:p>
        </w:tc>
        <w:tc>
          <w:tcPr>
            <w:tcW w:w="443" w:type="pct"/>
            <w:vAlign w:val="center"/>
          </w:tcPr>
          <w:p w14:paraId="06D21DC5" w14:textId="3DF71B23" w:rsidR="006721AE" w:rsidRPr="000D0229" w:rsidRDefault="006721AE" w:rsidP="00541C8E">
            <w:pPr>
              <w:pStyle w:val="RSCT03TableBody"/>
            </w:pPr>
            <w:r w:rsidRPr="000D0229">
              <w:t>104.7</w:t>
            </w:r>
            <w:r w:rsidRPr="000D0229">
              <w:rPr>
                <w:vertAlign w:val="superscript"/>
              </w:rPr>
              <w:t>(e)</w:t>
            </w:r>
          </w:p>
        </w:tc>
      </w:tr>
      <w:tr w:rsidR="006721AE" w:rsidRPr="000D0229" w14:paraId="246BFD34" w14:textId="77777777" w:rsidTr="00541C8E">
        <w:trPr>
          <w:trHeight w:val="202"/>
        </w:trPr>
        <w:tc>
          <w:tcPr>
            <w:tcW w:w="975" w:type="pct"/>
            <w:tcBorders>
              <w:top w:val="nil"/>
              <w:bottom w:val="nil"/>
              <w:right w:val="single" w:sz="4" w:space="0" w:color="auto"/>
            </w:tcBorders>
            <w:vAlign w:val="center"/>
          </w:tcPr>
          <w:p w14:paraId="5E1430F2" w14:textId="4BD8F0C5" w:rsidR="006721AE" w:rsidRPr="000D0229" w:rsidRDefault="006721AE" w:rsidP="00541C8E">
            <w:pPr>
              <w:pStyle w:val="RSCT03TableBody"/>
              <w:jc w:val="left"/>
            </w:pPr>
            <w:r w:rsidRPr="000D0229">
              <w:t xml:space="preserve">AIT / </w:t>
            </w:r>
            <w:r w:rsidRPr="000D0229">
              <w:rPr>
                <w:rFonts w:cs="Arial"/>
              </w:rPr>
              <w:t>°</w:t>
            </w:r>
            <w:r w:rsidRPr="000D0229">
              <w:t>C</w:t>
            </w:r>
          </w:p>
        </w:tc>
        <w:tc>
          <w:tcPr>
            <w:tcW w:w="446" w:type="pct"/>
            <w:tcBorders>
              <w:left w:val="single" w:sz="4" w:space="0" w:color="auto"/>
            </w:tcBorders>
            <w:vAlign w:val="center"/>
          </w:tcPr>
          <w:p w14:paraId="47A6ACD9" w14:textId="5C999459" w:rsidR="006721AE" w:rsidRPr="000D0229" w:rsidRDefault="006721AE" w:rsidP="00541C8E">
            <w:pPr>
              <w:pStyle w:val="RSCT03TableBody"/>
            </w:pPr>
            <w:r w:rsidRPr="000D0229">
              <w:t>225</w:t>
            </w:r>
            <w:r w:rsidRPr="000D0229">
              <w:rPr>
                <w:vertAlign w:val="superscript"/>
              </w:rPr>
              <w:t>(a)</w:t>
            </w:r>
          </w:p>
        </w:tc>
        <w:tc>
          <w:tcPr>
            <w:tcW w:w="448" w:type="pct"/>
            <w:vAlign w:val="center"/>
          </w:tcPr>
          <w:p w14:paraId="6041E11D" w14:textId="0ADD11EC" w:rsidR="006721AE" w:rsidRPr="000D0229" w:rsidRDefault="006721AE" w:rsidP="00541C8E">
            <w:pPr>
              <w:pStyle w:val="RSCT03TableBody"/>
            </w:pPr>
            <w:r w:rsidRPr="000D0229">
              <w:t>245</w:t>
            </w:r>
            <w:r w:rsidRPr="000D0229">
              <w:rPr>
                <w:vertAlign w:val="superscript"/>
              </w:rPr>
              <w:t>(a)</w:t>
            </w:r>
          </w:p>
        </w:tc>
        <w:tc>
          <w:tcPr>
            <w:tcW w:w="446" w:type="pct"/>
            <w:tcBorders>
              <w:top w:val="nil"/>
              <w:bottom w:val="nil"/>
              <w:right w:val="single" w:sz="4" w:space="0" w:color="auto"/>
            </w:tcBorders>
            <w:vAlign w:val="center"/>
          </w:tcPr>
          <w:p w14:paraId="5A65FF08" w14:textId="5E053A50" w:rsidR="006721AE" w:rsidRPr="000D0229" w:rsidRDefault="006721AE" w:rsidP="00541C8E">
            <w:pPr>
              <w:pStyle w:val="RSCT03TableBody"/>
            </w:pPr>
            <w:r w:rsidRPr="000D0229">
              <w:t>522</w:t>
            </w:r>
            <w:r w:rsidRPr="000D0229">
              <w:rPr>
                <w:vertAlign w:val="superscript"/>
              </w:rPr>
              <w:t>(f)</w:t>
            </w:r>
          </w:p>
        </w:tc>
        <w:tc>
          <w:tcPr>
            <w:tcW w:w="448" w:type="pct"/>
            <w:tcBorders>
              <w:left w:val="single" w:sz="4" w:space="0" w:color="auto"/>
            </w:tcBorders>
            <w:vAlign w:val="center"/>
          </w:tcPr>
          <w:p w14:paraId="15F5CC85" w14:textId="099AF605" w:rsidR="006721AE" w:rsidRPr="000D0229" w:rsidRDefault="006721AE" w:rsidP="00541C8E">
            <w:pPr>
              <w:pStyle w:val="RSCT03TableBody"/>
            </w:pPr>
            <w:r w:rsidRPr="000D0229">
              <w:t>No data</w:t>
            </w:r>
          </w:p>
        </w:tc>
        <w:tc>
          <w:tcPr>
            <w:tcW w:w="448" w:type="pct"/>
            <w:vAlign w:val="center"/>
          </w:tcPr>
          <w:p w14:paraId="11B3D267" w14:textId="18DCC0F6" w:rsidR="006721AE" w:rsidRPr="000D0229" w:rsidRDefault="006721AE" w:rsidP="00541C8E">
            <w:pPr>
              <w:pStyle w:val="RSCT03TableBody"/>
            </w:pPr>
            <w:r w:rsidRPr="000D0229">
              <w:t>417</w:t>
            </w:r>
            <w:r w:rsidRPr="000D0229">
              <w:rPr>
                <w:vertAlign w:val="superscript"/>
              </w:rPr>
              <w:t>(f)</w:t>
            </w:r>
          </w:p>
        </w:tc>
        <w:tc>
          <w:tcPr>
            <w:tcW w:w="449" w:type="pct"/>
            <w:tcBorders>
              <w:top w:val="nil"/>
              <w:bottom w:val="nil"/>
              <w:right w:val="single" w:sz="4" w:space="0" w:color="auto"/>
            </w:tcBorders>
            <w:vAlign w:val="center"/>
          </w:tcPr>
          <w:p w14:paraId="3A9B62DB" w14:textId="67E3581C" w:rsidR="006721AE" w:rsidRPr="000D0229" w:rsidRDefault="006721AE" w:rsidP="00541C8E">
            <w:pPr>
              <w:pStyle w:val="RSCT03TableBody"/>
            </w:pPr>
            <w:r w:rsidRPr="000D0229">
              <w:t>No data</w:t>
            </w:r>
          </w:p>
        </w:tc>
        <w:tc>
          <w:tcPr>
            <w:tcW w:w="448" w:type="pct"/>
            <w:tcBorders>
              <w:left w:val="single" w:sz="4" w:space="0" w:color="auto"/>
            </w:tcBorders>
            <w:vAlign w:val="center"/>
          </w:tcPr>
          <w:p w14:paraId="762C3031" w14:textId="17B81399" w:rsidR="006721AE" w:rsidRPr="000D0229" w:rsidRDefault="006721AE" w:rsidP="00541C8E">
            <w:pPr>
              <w:pStyle w:val="RSCT03TableBody"/>
            </w:pPr>
            <w:r w:rsidRPr="000D0229">
              <w:t>321</w:t>
            </w:r>
            <w:r w:rsidRPr="000D0229">
              <w:rPr>
                <w:vertAlign w:val="superscript"/>
              </w:rPr>
              <w:t>(a)</w:t>
            </w:r>
          </w:p>
        </w:tc>
        <w:tc>
          <w:tcPr>
            <w:tcW w:w="448" w:type="pct"/>
            <w:vAlign w:val="center"/>
          </w:tcPr>
          <w:p w14:paraId="1841B054" w14:textId="0BD49DDE" w:rsidR="006721AE" w:rsidRPr="000D0229" w:rsidRDefault="006721AE" w:rsidP="00541C8E">
            <w:pPr>
              <w:pStyle w:val="RSCT03TableBody"/>
            </w:pPr>
            <w:r w:rsidRPr="000D0229">
              <w:t>270</w:t>
            </w:r>
            <w:r w:rsidRPr="000D0229">
              <w:rPr>
                <w:vertAlign w:val="superscript"/>
              </w:rPr>
              <w:t>(g)</w:t>
            </w:r>
          </w:p>
        </w:tc>
        <w:tc>
          <w:tcPr>
            <w:tcW w:w="443" w:type="pct"/>
            <w:vAlign w:val="center"/>
          </w:tcPr>
          <w:p w14:paraId="2B1648FB" w14:textId="76B8F37C" w:rsidR="006721AE" w:rsidRPr="000D0229" w:rsidRDefault="006721AE" w:rsidP="00541C8E">
            <w:pPr>
              <w:pStyle w:val="RSCT03TableBody"/>
            </w:pPr>
            <w:r w:rsidRPr="000D0229">
              <w:t>180</w:t>
            </w:r>
            <w:r w:rsidRPr="000D0229">
              <w:rPr>
                <w:vertAlign w:val="superscript"/>
              </w:rPr>
              <w:t>(a)</w:t>
            </w:r>
          </w:p>
        </w:tc>
      </w:tr>
      <w:tr w:rsidR="006721AE" w:rsidRPr="000D0229" w14:paraId="43378B8F" w14:textId="77777777" w:rsidTr="00541C8E">
        <w:trPr>
          <w:trHeight w:val="202"/>
        </w:trPr>
        <w:tc>
          <w:tcPr>
            <w:tcW w:w="975" w:type="pct"/>
            <w:tcBorders>
              <w:top w:val="nil"/>
              <w:bottom w:val="nil"/>
              <w:right w:val="single" w:sz="4" w:space="0" w:color="auto"/>
            </w:tcBorders>
            <w:vAlign w:val="center"/>
          </w:tcPr>
          <w:p w14:paraId="3C283703" w14:textId="44F1CD28" w:rsidR="006721AE" w:rsidRPr="000D0229" w:rsidRDefault="006721AE" w:rsidP="00541C8E">
            <w:pPr>
              <w:pStyle w:val="RSCT03TableBody"/>
              <w:jc w:val="left"/>
            </w:pPr>
            <w:r w:rsidRPr="000D0229">
              <w:t>LEL / v/v%</w:t>
            </w:r>
          </w:p>
        </w:tc>
        <w:tc>
          <w:tcPr>
            <w:tcW w:w="446" w:type="pct"/>
            <w:tcBorders>
              <w:left w:val="single" w:sz="4" w:space="0" w:color="auto"/>
            </w:tcBorders>
            <w:vAlign w:val="center"/>
          </w:tcPr>
          <w:p w14:paraId="6DD331F9" w14:textId="0B585A11" w:rsidR="006721AE" w:rsidRPr="000D0229" w:rsidRDefault="006721AE" w:rsidP="00541C8E">
            <w:pPr>
              <w:pStyle w:val="RSCT03TableBody"/>
            </w:pPr>
            <w:r w:rsidRPr="000D0229">
              <w:t>1.1</w:t>
            </w:r>
            <w:r w:rsidRPr="000D0229">
              <w:rPr>
                <w:vertAlign w:val="superscript"/>
              </w:rPr>
              <w:t>(a)</w:t>
            </w:r>
          </w:p>
        </w:tc>
        <w:tc>
          <w:tcPr>
            <w:tcW w:w="448" w:type="pct"/>
            <w:vAlign w:val="center"/>
          </w:tcPr>
          <w:p w14:paraId="5A310D06" w14:textId="5783EC2E" w:rsidR="006721AE" w:rsidRPr="000D0229" w:rsidRDefault="006721AE" w:rsidP="00541C8E">
            <w:pPr>
              <w:pStyle w:val="RSCT03TableBody"/>
            </w:pPr>
            <w:r w:rsidRPr="000D0229">
              <w:t>1.3</w:t>
            </w:r>
            <w:r w:rsidRPr="000D0229">
              <w:rPr>
                <w:vertAlign w:val="superscript"/>
              </w:rPr>
              <w:t>(a)</w:t>
            </w:r>
          </w:p>
        </w:tc>
        <w:tc>
          <w:tcPr>
            <w:tcW w:w="446" w:type="pct"/>
            <w:tcBorders>
              <w:top w:val="nil"/>
              <w:bottom w:val="nil"/>
              <w:right w:val="single" w:sz="4" w:space="0" w:color="auto"/>
            </w:tcBorders>
            <w:vAlign w:val="center"/>
          </w:tcPr>
          <w:p w14:paraId="26CD8ADA" w14:textId="7B088EC7" w:rsidR="006721AE" w:rsidRPr="000D0229" w:rsidRDefault="006721AE" w:rsidP="00541C8E">
            <w:pPr>
              <w:pStyle w:val="RSCT03TableBody"/>
            </w:pPr>
            <w:r w:rsidRPr="000D0229">
              <w:t>1.1</w:t>
            </w:r>
            <w:r w:rsidRPr="000D0229">
              <w:rPr>
                <w:vertAlign w:val="superscript"/>
              </w:rPr>
              <w:t>(h)</w:t>
            </w:r>
          </w:p>
        </w:tc>
        <w:tc>
          <w:tcPr>
            <w:tcW w:w="448" w:type="pct"/>
            <w:tcBorders>
              <w:left w:val="single" w:sz="4" w:space="0" w:color="auto"/>
            </w:tcBorders>
            <w:vAlign w:val="center"/>
          </w:tcPr>
          <w:p w14:paraId="3654A7B6" w14:textId="125A61FB" w:rsidR="006721AE" w:rsidRPr="000D0229" w:rsidRDefault="006721AE" w:rsidP="00541C8E">
            <w:pPr>
              <w:pStyle w:val="RSCT03TableBody"/>
            </w:pPr>
            <w:r w:rsidRPr="000D0229">
              <w:t>No data</w:t>
            </w:r>
          </w:p>
        </w:tc>
        <w:tc>
          <w:tcPr>
            <w:tcW w:w="448" w:type="pct"/>
            <w:vAlign w:val="center"/>
          </w:tcPr>
          <w:p w14:paraId="68B2B4C6" w14:textId="306D8D10" w:rsidR="006721AE" w:rsidRPr="000D0229" w:rsidRDefault="006721AE" w:rsidP="00541C8E">
            <w:pPr>
              <w:pStyle w:val="RSCT03TableBody"/>
            </w:pPr>
            <w:r w:rsidRPr="000D0229">
              <w:t>0.9</w:t>
            </w:r>
            <w:r w:rsidRPr="000D0229">
              <w:rPr>
                <w:vertAlign w:val="superscript"/>
              </w:rPr>
              <w:t>(h)</w:t>
            </w:r>
          </w:p>
        </w:tc>
        <w:tc>
          <w:tcPr>
            <w:tcW w:w="449" w:type="pct"/>
            <w:tcBorders>
              <w:top w:val="nil"/>
              <w:bottom w:val="nil"/>
              <w:right w:val="single" w:sz="4" w:space="0" w:color="auto"/>
            </w:tcBorders>
            <w:vAlign w:val="center"/>
          </w:tcPr>
          <w:p w14:paraId="2ACE10F5" w14:textId="75C95F19" w:rsidR="006721AE" w:rsidRPr="000D0229" w:rsidRDefault="006721AE" w:rsidP="00541C8E">
            <w:pPr>
              <w:pStyle w:val="RSCT03TableBody"/>
            </w:pPr>
            <w:r w:rsidRPr="000D0229">
              <w:t>No data</w:t>
            </w:r>
          </w:p>
        </w:tc>
        <w:tc>
          <w:tcPr>
            <w:tcW w:w="448" w:type="pct"/>
            <w:tcBorders>
              <w:left w:val="single" w:sz="4" w:space="0" w:color="auto"/>
            </w:tcBorders>
            <w:vAlign w:val="center"/>
          </w:tcPr>
          <w:p w14:paraId="3E6D589A" w14:textId="49523C71" w:rsidR="006721AE" w:rsidRPr="000D0229" w:rsidRDefault="006721AE" w:rsidP="00541C8E">
            <w:pPr>
              <w:pStyle w:val="RSCT03TableBody"/>
            </w:pPr>
            <w:r w:rsidRPr="000D0229">
              <w:t>2.0</w:t>
            </w:r>
            <w:r w:rsidRPr="000D0229">
              <w:rPr>
                <w:vertAlign w:val="superscript"/>
              </w:rPr>
              <w:t>(a)</w:t>
            </w:r>
          </w:p>
        </w:tc>
        <w:tc>
          <w:tcPr>
            <w:tcW w:w="448" w:type="pct"/>
            <w:vAlign w:val="center"/>
          </w:tcPr>
          <w:p w14:paraId="03ECDE5F" w14:textId="72E5865A" w:rsidR="006721AE" w:rsidRPr="000D0229" w:rsidRDefault="006721AE" w:rsidP="00541C8E">
            <w:pPr>
              <w:pStyle w:val="RSCT03TableBody"/>
            </w:pPr>
            <w:r w:rsidRPr="000D0229">
              <w:t>1.5</w:t>
            </w:r>
            <w:r w:rsidRPr="000D0229">
              <w:rPr>
                <w:vertAlign w:val="superscript"/>
              </w:rPr>
              <w:t>(g)</w:t>
            </w:r>
          </w:p>
        </w:tc>
        <w:tc>
          <w:tcPr>
            <w:tcW w:w="443" w:type="pct"/>
            <w:vAlign w:val="center"/>
          </w:tcPr>
          <w:p w14:paraId="311B8E7F" w14:textId="6A601996" w:rsidR="006721AE" w:rsidRPr="000D0229" w:rsidRDefault="006721AE" w:rsidP="00541C8E">
            <w:pPr>
              <w:pStyle w:val="RSCT03TableBody"/>
            </w:pPr>
            <w:r w:rsidRPr="000D0229">
              <w:t>1.9</w:t>
            </w:r>
            <w:r w:rsidRPr="000D0229">
              <w:rPr>
                <w:vertAlign w:val="superscript"/>
              </w:rPr>
              <w:t>(a)</w:t>
            </w:r>
          </w:p>
        </w:tc>
      </w:tr>
      <w:tr w:rsidR="006721AE" w:rsidRPr="000D0229" w14:paraId="1A088169" w14:textId="77777777" w:rsidTr="00541C8E">
        <w:trPr>
          <w:trHeight w:val="202"/>
        </w:trPr>
        <w:tc>
          <w:tcPr>
            <w:tcW w:w="975" w:type="pct"/>
            <w:tcBorders>
              <w:top w:val="nil"/>
              <w:bottom w:val="nil"/>
              <w:right w:val="single" w:sz="4" w:space="0" w:color="auto"/>
            </w:tcBorders>
            <w:vAlign w:val="center"/>
          </w:tcPr>
          <w:p w14:paraId="5FFC5FED" w14:textId="5359589C" w:rsidR="006721AE" w:rsidRPr="000D0229" w:rsidRDefault="006721AE" w:rsidP="00541C8E">
            <w:pPr>
              <w:pStyle w:val="RSCT03TableBody"/>
              <w:jc w:val="left"/>
            </w:pPr>
            <w:r w:rsidRPr="000D0229">
              <w:rPr>
                <w:rFonts w:cs="Arial"/>
              </w:rPr>
              <w:t>δ</w:t>
            </w:r>
            <w:r w:rsidRPr="000D0229">
              <w:rPr>
                <w:rFonts w:cs="Arial"/>
                <w:vertAlign w:val="subscript"/>
              </w:rPr>
              <w:t>D</w:t>
            </w:r>
            <w:r w:rsidRPr="000D0229">
              <w:rPr>
                <w:rFonts w:cs="Arial"/>
              </w:rPr>
              <w:t xml:space="preserve"> / MPa</w:t>
            </w:r>
            <w:r w:rsidRPr="000D0229">
              <w:rPr>
                <w:rFonts w:cs="Arial"/>
                <w:vertAlign w:val="superscript"/>
              </w:rPr>
              <w:t>0.5</w:t>
            </w:r>
          </w:p>
        </w:tc>
        <w:tc>
          <w:tcPr>
            <w:tcW w:w="446" w:type="pct"/>
            <w:tcBorders>
              <w:left w:val="single" w:sz="4" w:space="0" w:color="auto"/>
            </w:tcBorders>
            <w:vAlign w:val="center"/>
          </w:tcPr>
          <w:p w14:paraId="6FF8DF96" w14:textId="25A943BF" w:rsidR="006721AE" w:rsidRPr="000D0229" w:rsidRDefault="006721AE" w:rsidP="00541C8E">
            <w:pPr>
              <w:pStyle w:val="RSCT03TableBody"/>
            </w:pPr>
            <w:r w:rsidRPr="000D0229">
              <w:t>14.9</w:t>
            </w:r>
            <w:r w:rsidRPr="000D0229">
              <w:rPr>
                <w:vertAlign w:val="superscript"/>
              </w:rPr>
              <w:t>(e)</w:t>
            </w:r>
          </w:p>
        </w:tc>
        <w:tc>
          <w:tcPr>
            <w:tcW w:w="448" w:type="pct"/>
            <w:vAlign w:val="center"/>
          </w:tcPr>
          <w:p w14:paraId="39A66B30" w14:textId="6998BF84" w:rsidR="006721AE" w:rsidRPr="000D0229" w:rsidRDefault="006721AE" w:rsidP="00541C8E">
            <w:pPr>
              <w:pStyle w:val="RSCT03TableBody"/>
            </w:pPr>
            <w:r w:rsidRPr="000D0229">
              <w:t>16.6</w:t>
            </w:r>
            <w:r w:rsidRPr="000D0229">
              <w:rPr>
                <w:vertAlign w:val="superscript"/>
              </w:rPr>
              <w:t>(e)</w:t>
            </w:r>
          </w:p>
        </w:tc>
        <w:tc>
          <w:tcPr>
            <w:tcW w:w="446" w:type="pct"/>
            <w:tcBorders>
              <w:top w:val="nil"/>
              <w:bottom w:val="nil"/>
              <w:right w:val="single" w:sz="4" w:space="0" w:color="auto"/>
            </w:tcBorders>
            <w:vAlign w:val="center"/>
          </w:tcPr>
          <w:p w14:paraId="406AE748" w14:textId="23F80F95" w:rsidR="006721AE" w:rsidRPr="000D0229" w:rsidRDefault="006721AE" w:rsidP="00541C8E">
            <w:pPr>
              <w:pStyle w:val="RSCT03TableBody"/>
            </w:pPr>
            <w:r w:rsidRPr="000D0229">
              <w:t>18.0</w:t>
            </w:r>
            <w:r w:rsidRPr="000D0229">
              <w:rPr>
                <w:vertAlign w:val="superscript"/>
              </w:rPr>
              <w:t>(e)</w:t>
            </w:r>
          </w:p>
        </w:tc>
        <w:tc>
          <w:tcPr>
            <w:tcW w:w="448" w:type="pct"/>
            <w:tcBorders>
              <w:left w:val="single" w:sz="4" w:space="0" w:color="auto"/>
            </w:tcBorders>
            <w:vAlign w:val="center"/>
          </w:tcPr>
          <w:p w14:paraId="60377CA3" w14:textId="7E7A9ECB" w:rsidR="006721AE" w:rsidRPr="000D0229" w:rsidRDefault="006721AE" w:rsidP="00541C8E">
            <w:pPr>
              <w:pStyle w:val="RSCT03TableBody"/>
            </w:pPr>
            <w:r w:rsidRPr="000D0229">
              <w:t>16.6</w:t>
            </w:r>
            <w:r w:rsidRPr="000D0229">
              <w:rPr>
                <w:vertAlign w:val="superscript"/>
              </w:rPr>
              <w:t>(e)</w:t>
            </w:r>
          </w:p>
        </w:tc>
        <w:tc>
          <w:tcPr>
            <w:tcW w:w="448" w:type="pct"/>
            <w:vAlign w:val="center"/>
          </w:tcPr>
          <w:p w14:paraId="4BB55DFE" w14:textId="412ABF84" w:rsidR="006721AE" w:rsidRPr="000D0229" w:rsidRDefault="006721AE" w:rsidP="00541C8E">
            <w:pPr>
              <w:pStyle w:val="RSCT03TableBody"/>
            </w:pPr>
            <w:r w:rsidRPr="000D0229">
              <w:t>15.4</w:t>
            </w:r>
            <w:r w:rsidRPr="000D0229">
              <w:rPr>
                <w:vertAlign w:val="superscript"/>
              </w:rPr>
              <w:t>(e)</w:t>
            </w:r>
          </w:p>
        </w:tc>
        <w:tc>
          <w:tcPr>
            <w:tcW w:w="449" w:type="pct"/>
            <w:tcBorders>
              <w:top w:val="nil"/>
              <w:bottom w:val="nil"/>
              <w:right w:val="single" w:sz="4" w:space="0" w:color="auto"/>
            </w:tcBorders>
            <w:vAlign w:val="center"/>
          </w:tcPr>
          <w:p w14:paraId="07E3BEE1" w14:textId="200208D7" w:rsidR="006721AE" w:rsidRPr="000D0229" w:rsidRDefault="006721AE" w:rsidP="00541C8E">
            <w:pPr>
              <w:pStyle w:val="RSCT03TableBody"/>
            </w:pPr>
            <w:r w:rsidRPr="000D0229">
              <w:t>14.0</w:t>
            </w:r>
            <w:r w:rsidRPr="000D0229">
              <w:rPr>
                <w:vertAlign w:val="superscript"/>
              </w:rPr>
              <w:t>(e)</w:t>
            </w:r>
          </w:p>
        </w:tc>
        <w:tc>
          <w:tcPr>
            <w:tcW w:w="448" w:type="pct"/>
            <w:tcBorders>
              <w:left w:val="single" w:sz="4" w:space="0" w:color="auto"/>
            </w:tcBorders>
            <w:vAlign w:val="center"/>
          </w:tcPr>
          <w:p w14:paraId="471E7CE7" w14:textId="0919EA70" w:rsidR="006721AE" w:rsidRPr="000D0229" w:rsidRDefault="006721AE" w:rsidP="00541C8E">
            <w:pPr>
              <w:pStyle w:val="RSCT03TableBody"/>
            </w:pPr>
            <w:r w:rsidRPr="000D0229">
              <w:t>16.8</w:t>
            </w:r>
            <w:r w:rsidRPr="000D0229">
              <w:rPr>
                <w:vertAlign w:val="superscript"/>
              </w:rPr>
              <w:t>(e)</w:t>
            </w:r>
          </w:p>
        </w:tc>
        <w:tc>
          <w:tcPr>
            <w:tcW w:w="448" w:type="pct"/>
            <w:vAlign w:val="center"/>
          </w:tcPr>
          <w:p w14:paraId="77AA8879" w14:textId="4243855B" w:rsidR="006721AE" w:rsidRPr="000D0229" w:rsidRDefault="006721AE" w:rsidP="00541C8E">
            <w:pPr>
              <w:pStyle w:val="RSCT03TableBody"/>
            </w:pPr>
            <w:r w:rsidRPr="000D0229">
              <w:t>16.9</w:t>
            </w:r>
            <w:r w:rsidRPr="000D0229">
              <w:rPr>
                <w:vertAlign w:val="superscript"/>
              </w:rPr>
              <w:t>(e)</w:t>
            </w:r>
          </w:p>
        </w:tc>
        <w:tc>
          <w:tcPr>
            <w:tcW w:w="443" w:type="pct"/>
            <w:vAlign w:val="center"/>
          </w:tcPr>
          <w:p w14:paraId="64429300" w14:textId="335FD684" w:rsidR="006721AE" w:rsidRPr="000D0229" w:rsidRDefault="006721AE" w:rsidP="00541C8E">
            <w:pPr>
              <w:pStyle w:val="RSCT03TableBody"/>
            </w:pPr>
            <w:r w:rsidRPr="000D0229">
              <w:t>14.5</w:t>
            </w:r>
            <w:r w:rsidRPr="000D0229">
              <w:rPr>
                <w:vertAlign w:val="superscript"/>
              </w:rPr>
              <w:t>(e)</w:t>
            </w:r>
          </w:p>
        </w:tc>
      </w:tr>
      <w:tr w:rsidR="006721AE" w:rsidRPr="000D0229" w14:paraId="20684B1E" w14:textId="77777777" w:rsidTr="00541C8E">
        <w:trPr>
          <w:trHeight w:val="202"/>
        </w:trPr>
        <w:tc>
          <w:tcPr>
            <w:tcW w:w="975" w:type="pct"/>
            <w:tcBorders>
              <w:top w:val="nil"/>
              <w:bottom w:val="nil"/>
              <w:right w:val="single" w:sz="4" w:space="0" w:color="auto"/>
            </w:tcBorders>
            <w:vAlign w:val="center"/>
          </w:tcPr>
          <w:p w14:paraId="66EEB0CF" w14:textId="5C1678FA" w:rsidR="006721AE" w:rsidRPr="000D0229" w:rsidRDefault="006721AE" w:rsidP="00541C8E">
            <w:pPr>
              <w:pStyle w:val="RSCT03TableBody"/>
              <w:jc w:val="left"/>
              <w:rPr>
                <w:rFonts w:cs="Arial"/>
              </w:rPr>
            </w:pPr>
            <w:r w:rsidRPr="000D0229">
              <w:rPr>
                <w:rFonts w:cs="Arial"/>
              </w:rPr>
              <w:t>δ</w:t>
            </w:r>
            <w:r w:rsidRPr="000D0229">
              <w:rPr>
                <w:rFonts w:cs="Arial"/>
                <w:vertAlign w:val="subscript"/>
              </w:rPr>
              <w:t>P</w:t>
            </w:r>
            <w:r w:rsidRPr="000D0229">
              <w:rPr>
                <w:rFonts w:cs="Arial"/>
              </w:rPr>
              <w:t xml:space="preserve"> / MPa</w:t>
            </w:r>
            <w:r w:rsidRPr="000D0229">
              <w:rPr>
                <w:rFonts w:cs="Arial"/>
                <w:vertAlign w:val="superscript"/>
              </w:rPr>
              <w:t>0.5</w:t>
            </w:r>
          </w:p>
        </w:tc>
        <w:tc>
          <w:tcPr>
            <w:tcW w:w="446" w:type="pct"/>
            <w:tcBorders>
              <w:left w:val="single" w:sz="4" w:space="0" w:color="auto"/>
            </w:tcBorders>
            <w:vAlign w:val="center"/>
          </w:tcPr>
          <w:p w14:paraId="6E01D33B" w14:textId="652C046B" w:rsidR="006721AE" w:rsidRPr="000D0229" w:rsidRDefault="006721AE" w:rsidP="00541C8E">
            <w:pPr>
              <w:pStyle w:val="RSCT03TableBody"/>
            </w:pPr>
            <w:r w:rsidRPr="000D0229">
              <w:t>0</w:t>
            </w:r>
            <w:r w:rsidRPr="000D0229">
              <w:rPr>
                <w:vertAlign w:val="superscript"/>
              </w:rPr>
              <w:t>(e)</w:t>
            </w:r>
          </w:p>
        </w:tc>
        <w:tc>
          <w:tcPr>
            <w:tcW w:w="448" w:type="pct"/>
            <w:vAlign w:val="center"/>
          </w:tcPr>
          <w:p w14:paraId="57117D10" w14:textId="64B26D1D" w:rsidR="006721AE" w:rsidRPr="000D0229" w:rsidRDefault="006721AE" w:rsidP="00541C8E">
            <w:pPr>
              <w:pStyle w:val="RSCT03TableBody"/>
            </w:pPr>
            <w:r w:rsidRPr="000D0229">
              <w:t>0</w:t>
            </w:r>
            <w:r w:rsidRPr="000D0229">
              <w:rPr>
                <w:vertAlign w:val="superscript"/>
              </w:rPr>
              <w:t>(e)</w:t>
            </w:r>
          </w:p>
        </w:tc>
        <w:tc>
          <w:tcPr>
            <w:tcW w:w="446" w:type="pct"/>
            <w:tcBorders>
              <w:top w:val="nil"/>
              <w:bottom w:val="nil"/>
              <w:right w:val="single" w:sz="4" w:space="0" w:color="auto"/>
            </w:tcBorders>
            <w:vAlign w:val="center"/>
          </w:tcPr>
          <w:p w14:paraId="54F7A7C0" w14:textId="2C10CF1F" w:rsidR="006721AE" w:rsidRPr="000D0229" w:rsidRDefault="006721AE" w:rsidP="00541C8E">
            <w:pPr>
              <w:pStyle w:val="RSCT03TableBody"/>
            </w:pPr>
            <w:r w:rsidRPr="000D0229">
              <w:t>1.4</w:t>
            </w:r>
            <w:r w:rsidRPr="000D0229">
              <w:rPr>
                <w:vertAlign w:val="superscript"/>
              </w:rPr>
              <w:t>(e)</w:t>
            </w:r>
          </w:p>
        </w:tc>
        <w:tc>
          <w:tcPr>
            <w:tcW w:w="448" w:type="pct"/>
            <w:tcBorders>
              <w:left w:val="single" w:sz="4" w:space="0" w:color="auto"/>
            </w:tcBorders>
            <w:vAlign w:val="center"/>
          </w:tcPr>
          <w:p w14:paraId="3BEB61E4" w14:textId="1BE6AD15" w:rsidR="006721AE" w:rsidRPr="000D0229" w:rsidRDefault="006721AE" w:rsidP="00541C8E">
            <w:pPr>
              <w:pStyle w:val="RSCT03TableBody"/>
            </w:pPr>
            <w:r w:rsidRPr="000D0229">
              <w:t>2.5</w:t>
            </w:r>
            <w:r w:rsidRPr="000D0229">
              <w:rPr>
                <w:vertAlign w:val="superscript"/>
              </w:rPr>
              <w:t>(e)</w:t>
            </w:r>
          </w:p>
        </w:tc>
        <w:tc>
          <w:tcPr>
            <w:tcW w:w="448" w:type="pct"/>
            <w:vAlign w:val="center"/>
          </w:tcPr>
          <w:p w14:paraId="50174C4E" w14:textId="7B8AC9C7" w:rsidR="006721AE" w:rsidRPr="000D0229" w:rsidRDefault="006721AE" w:rsidP="00541C8E">
            <w:pPr>
              <w:pStyle w:val="RSCT03TableBody"/>
            </w:pPr>
            <w:r w:rsidRPr="000D0229">
              <w:t>2.4</w:t>
            </w:r>
            <w:r w:rsidRPr="000D0229">
              <w:rPr>
                <w:vertAlign w:val="superscript"/>
              </w:rPr>
              <w:t>(e)</w:t>
            </w:r>
          </w:p>
        </w:tc>
        <w:tc>
          <w:tcPr>
            <w:tcW w:w="449" w:type="pct"/>
            <w:tcBorders>
              <w:top w:val="nil"/>
              <w:bottom w:val="nil"/>
              <w:right w:val="single" w:sz="4" w:space="0" w:color="auto"/>
            </w:tcBorders>
            <w:vAlign w:val="center"/>
          </w:tcPr>
          <w:p w14:paraId="28D73C6E" w14:textId="166BDE9E" w:rsidR="006721AE" w:rsidRPr="000D0229" w:rsidRDefault="006721AE" w:rsidP="00541C8E">
            <w:pPr>
              <w:pStyle w:val="RSCT03TableBody"/>
            </w:pPr>
            <w:r w:rsidRPr="000D0229">
              <w:t>2.5</w:t>
            </w:r>
            <w:r w:rsidRPr="000D0229">
              <w:rPr>
                <w:vertAlign w:val="superscript"/>
              </w:rPr>
              <w:t>(e)</w:t>
            </w:r>
          </w:p>
        </w:tc>
        <w:tc>
          <w:tcPr>
            <w:tcW w:w="448" w:type="pct"/>
            <w:tcBorders>
              <w:left w:val="single" w:sz="4" w:space="0" w:color="auto"/>
            </w:tcBorders>
            <w:vAlign w:val="center"/>
          </w:tcPr>
          <w:p w14:paraId="6436179C" w14:textId="434808AC" w:rsidR="006721AE" w:rsidRPr="000D0229" w:rsidRDefault="006721AE" w:rsidP="00541C8E">
            <w:pPr>
              <w:pStyle w:val="RSCT03TableBody"/>
            </w:pPr>
            <w:r w:rsidRPr="000D0229">
              <w:t>5.7</w:t>
            </w:r>
            <w:r w:rsidRPr="000D0229">
              <w:rPr>
                <w:vertAlign w:val="superscript"/>
              </w:rPr>
              <w:t>(e)</w:t>
            </w:r>
          </w:p>
        </w:tc>
        <w:tc>
          <w:tcPr>
            <w:tcW w:w="448" w:type="pct"/>
            <w:vAlign w:val="center"/>
          </w:tcPr>
          <w:p w14:paraId="0A3498BD" w14:textId="3D818DF2" w:rsidR="006721AE" w:rsidRPr="000D0229" w:rsidRDefault="006721AE" w:rsidP="00541C8E">
            <w:pPr>
              <w:pStyle w:val="RSCT03TableBody"/>
            </w:pPr>
            <w:r w:rsidRPr="000D0229">
              <w:t>5.0</w:t>
            </w:r>
            <w:r w:rsidRPr="000D0229">
              <w:rPr>
                <w:vertAlign w:val="superscript"/>
              </w:rPr>
              <w:t>(e)</w:t>
            </w:r>
          </w:p>
        </w:tc>
        <w:tc>
          <w:tcPr>
            <w:tcW w:w="443" w:type="pct"/>
            <w:vAlign w:val="center"/>
          </w:tcPr>
          <w:p w14:paraId="1ED42EB4" w14:textId="2E2F4020" w:rsidR="006721AE" w:rsidRPr="000D0229" w:rsidRDefault="006721AE" w:rsidP="00541C8E">
            <w:pPr>
              <w:pStyle w:val="RSCT03TableBody"/>
            </w:pPr>
            <w:r w:rsidRPr="000D0229">
              <w:t>2.9</w:t>
            </w:r>
            <w:r w:rsidRPr="000D0229">
              <w:rPr>
                <w:vertAlign w:val="superscript"/>
              </w:rPr>
              <w:t>(e)</w:t>
            </w:r>
          </w:p>
        </w:tc>
      </w:tr>
      <w:tr w:rsidR="006721AE" w:rsidRPr="000D0229" w14:paraId="175ED93F" w14:textId="77777777" w:rsidTr="00541C8E">
        <w:trPr>
          <w:trHeight w:val="202"/>
        </w:trPr>
        <w:tc>
          <w:tcPr>
            <w:tcW w:w="975" w:type="pct"/>
            <w:tcBorders>
              <w:top w:val="nil"/>
              <w:bottom w:val="nil"/>
              <w:right w:val="single" w:sz="4" w:space="0" w:color="auto"/>
            </w:tcBorders>
            <w:vAlign w:val="center"/>
          </w:tcPr>
          <w:p w14:paraId="5292CCF5" w14:textId="2CC0F46B" w:rsidR="006721AE" w:rsidRPr="000D0229" w:rsidRDefault="006721AE" w:rsidP="00541C8E">
            <w:pPr>
              <w:pStyle w:val="RSCT03TableBody"/>
              <w:jc w:val="left"/>
              <w:rPr>
                <w:rFonts w:cs="Arial"/>
              </w:rPr>
            </w:pPr>
            <w:r w:rsidRPr="000D0229">
              <w:rPr>
                <w:rFonts w:cs="Arial"/>
              </w:rPr>
              <w:t>δ</w:t>
            </w:r>
            <w:r w:rsidRPr="000D0229">
              <w:rPr>
                <w:rFonts w:cs="Arial"/>
                <w:vertAlign w:val="subscript"/>
              </w:rPr>
              <w:t>H</w:t>
            </w:r>
            <w:r w:rsidRPr="000D0229">
              <w:rPr>
                <w:rFonts w:cs="Arial"/>
              </w:rPr>
              <w:t xml:space="preserve"> / MPa</w:t>
            </w:r>
            <w:r w:rsidRPr="000D0229">
              <w:rPr>
                <w:rFonts w:cs="Arial"/>
                <w:vertAlign w:val="superscript"/>
              </w:rPr>
              <w:t>0.5</w:t>
            </w:r>
          </w:p>
        </w:tc>
        <w:tc>
          <w:tcPr>
            <w:tcW w:w="446" w:type="pct"/>
            <w:tcBorders>
              <w:left w:val="single" w:sz="4" w:space="0" w:color="auto"/>
            </w:tcBorders>
            <w:vAlign w:val="center"/>
          </w:tcPr>
          <w:p w14:paraId="64CDBD53" w14:textId="016D7EFF" w:rsidR="006721AE" w:rsidRPr="000D0229" w:rsidRDefault="006721AE" w:rsidP="00541C8E">
            <w:pPr>
              <w:pStyle w:val="RSCT03TableBody"/>
            </w:pPr>
            <w:r w:rsidRPr="000D0229">
              <w:t>0</w:t>
            </w:r>
            <w:r w:rsidRPr="000D0229">
              <w:rPr>
                <w:vertAlign w:val="superscript"/>
              </w:rPr>
              <w:t>(e)</w:t>
            </w:r>
          </w:p>
        </w:tc>
        <w:tc>
          <w:tcPr>
            <w:tcW w:w="448" w:type="pct"/>
            <w:vAlign w:val="center"/>
          </w:tcPr>
          <w:p w14:paraId="43E50FB0" w14:textId="60ADB31C" w:rsidR="006721AE" w:rsidRPr="000D0229" w:rsidRDefault="006721AE" w:rsidP="00541C8E">
            <w:pPr>
              <w:pStyle w:val="RSCT03TableBody"/>
            </w:pPr>
            <w:r w:rsidRPr="000D0229">
              <w:t>0</w:t>
            </w:r>
            <w:r w:rsidRPr="000D0229">
              <w:rPr>
                <w:vertAlign w:val="superscript"/>
              </w:rPr>
              <w:t>(e)</w:t>
            </w:r>
          </w:p>
        </w:tc>
        <w:tc>
          <w:tcPr>
            <w:tcW w:w="446" w:type="pct"/>
            <w:tcBorders>
              <w:top w:val="nil"/>
              <w:bottom w:val="nil"/>
              <w:right w:val="single" w:sz="4" w:space="0" w:color="auto"/>
            </w:tcBorders>
            <w:vAlign w:val="center"/>
          </w:tcPr>
          <w:p w14:paraId="4597BA6A" w14:textId="02BD150A" w:rsidR="006721AE" w:rsidRPr="000D0229" w:rsidRDefault="006721AE" w:rsidP="00541C8E">
            <w:pPr>
              <w:pStyle w:val="RSCT03TableBody"/>
            </w:pPr>
            <w:r w:rsidRPr="000D0229">
              <w:t>2.0</w:t>
            </w:r>
            <w:r w:rsidRPr="000D0229">
              <w:rPr>
                <w:vertAlign w:val="superscript"/>
              </w:rPr>
              <w:t>(e)</w:t>
            </w:r>
          </w:p>
        </w:tc>
        <w:tc>
          <w:tcPr>
            <w:tcW w:w="448" w:type="pct"/>
            <w:tcBorders>
              <w:left w:val="single" w:sz="4" w:space="0" w:color="auto"/>
            </w:tcBorders>
            <w:vAlign w:val="center"/>
          </w:tcPr>
          <w:p w14:paraId="68D7486D" w14:textId="2ADCD3BC" w:rsidR="006721AE" w:rsidRPr="000D0229" w:rsidRDefault="006721AE" w:rsidP="00541C8E">
            <w:pPr>
              <w:pStyle w:val="RSCT03TableBody"/>
            </w:pPr>
            <w:r w:rsidRPr="000D0229">
              <w:t>2.5</w:t>
            </w:r>
            <w:r w:rsidRPr="000D0229">
              <w:rPr>
                <w:vertAlign w:val="superscript"/>
              </w:rPr>
              <w:t>(e)</w:t>
            </w:r>
          </w:p>
        </w:tc>
        <w:tc>
          <w:tcPr>
            <w:tcW w:w="448" w:type="pct"/>
            <w:vAlign w:val="center"/>
          </w:tcPr>
          <w:p w14:paraId="26026839" w14:textId="74B3A87D" w:rsidR="006721AE" w:rsidRPr="000D0229" w:rsidRDefault="006721AE" w:rsidP="00541C8E">
            <w:pPr>
              <w:pStyle w:val="RSCT03TableBody"/>
            </w:pPr>
            <w:r w:rsidRPr="000D0229">
              <w:t>2.1</w:t>
            </w:r>
            <w:r w:rsidRPr="000D0229">
              <w:rPr>
                <w:vertAlign w:val="superscript"/>
              </w:rPr>
              <w:t>(e)</w:t>
            </w:r>
          </w:p>
        </w:tc>
        <w:tc>
          <w:tcPr>
            <w:tcW w:w="449" w:type="pct"/>
            <w:tcBorders>
              <w:top w:val="nil"/>
              <w:bottom w:val="nil"/>
              <w:right w:val="single" w:sz="4" w:space="0" w:color="auto"/>
            </w:tcBorders>
            <w:vAlign w:val="center"/>
          </w:tcPr>
          <w:p w14:paraId="45651864" w14:textId="2B53C869" w:rsidR="006721AE" w:rsidRPr="000D0229" w:rsidRDefault="006721AE" w:rsidP="00541C8E">
            <w:pPr>
              <w:pStyle w:val="RSCT03TableBody"/>
            </w:pPr>
            <w:r w:rsidRPr="000D0229">
              <w:t>1.4</w:t>
            </w:r>
            <w:r w:rsidRPr="000D0229">
              <w:rPr>
                <w:vertAlign w:val="superscript"/>
              </w:rPr>
              <w:t>(e)</w:t>
            </w:r>
          </w:p>
        </w:tc>
        <w:tc>
          <w:tcPr>
            <w:tcW w:w="448" w:type="pct"/>
            <w:tcBorders>
              <w:left w:val="single" w:sz="4" w:space="0" w:color="auto"/>
            </w:tcBorders>
            <w:vAlign w:val="center"/>
          </w:tcPr>
          <w:p w14:paraId="52658B52" w14:textId="483C2781" w:rsidR="006721AE" w:rsidRPr="000D0229" w:rsidRDefault="006721AE" w:rsidP="00541C8E">
            <w:pPr>
              <w:pStyle w:val="RSCT03TableBody"/>
            </w:pPr>
            <w:r w:rsidRPr="000D0229">
              <w:t>8.0</w:t>
            </w:r>
            <w:r w:rsidRPr="000D0229">
              <w:rPr>
                <w:vertAlign w:val="superscript"/>
              </w:rPr>
              <w:t>(e)</w:t>
            </w:r>
          </w:p>
        </w:tc>
        <w:tc>
          <w:tcPr>
            <w:tcW w:w="448" w:type="pct"/>
            <w:vAlign w:val="center"/>
          </w:tcPr>
          <w:p w14:paraId="1C9E9E36" w14:textId="46C46504" w:rsidR="006721AE" w:rsidRPr="000D0229" w:rsidRDefault="006721AE" w:rsidP="00541C8E">
            <w:pPr>
              <w:pStyle w:val="RSCT03TableBody"/>
            </w:pPr>
            <w:r w:rsidRPr="000D0229">
              <w:t>4.3</w:t>
            </w:r>
            <w:r w:rsidRPr="000D0229">
              <w:rPr>
                <w:vertAlign w:val="superscript"/>
              </w:rPr>
              <w:t>(e)</w:t>
            </w:r>
          </w:p>
        </w:tc>
        <w:tc>
          <w:tcPr>
            <w:tcW w:w="443" w:type="pct"/>
            <w:vAlign w:val="center"/>
          </w:tcPr>
          <w:p w14:paraId="0C2833CB" w14:textId="77642C88" w:rsidR="006721AE" w:rsidRPr="000D0229" w:rsidRDefault="006721AE" w:rsidP="00541C8E">
            <w:pPr>
              <w:pStyle w:val="RSCT03TableBody"/>
            </w:pPr>
            <w:r w:rsidRPr="000D0229">
              <w:t>5.4</w:t>
            </w:r>
            <w:r w:rsidRPr="000D0229">
              <w:rPr>
                <w:vertAlign w:val="superscript"/>
              </w:rPr>
              <w:t>(e)</w:t>
            </w:r>
          </w:p>
        </w:tc>
      </w:tr>
      <w:tr w:rsidR="006721AE" w:rsidRPr="000D0229" w14:paraId="7E001B40" w14:textId="77777777" w:rsidTr="00541C8E">
        <w:trPr>
          <w:trHeight w:val="202"/>
        </w:trPr>
        <w:tc>
          <w:tcPr>
            <w:tcW w:w="975" w:type="pct"/>
            <w:tcBorders>
              <w:top w:val="nil"/>
              <w:bottom w:val="nil"/>
              <w:right w:val="single" w:sz="4" w:space="0" w:color="auto"/>
            </w:tcBorders>
            <w:vAlign w:val="center"/>
          </w:tcPr>
          <w:p w14:paraId="44FEDBE6" w14:textId="652252BF" w:rsidR="006721AE" w:rsidRPr="000D0229" w:rsidRDefault="006721AE" w:rsidP="00541C8E">
            <w:pPr>
              <w:pStyle w:val="RSCT03TableBody"/>
              <w:jc w:val="left"/>
              <w:rPr>
                <w:rFonts w:cs="Arial"/>
              </w:rPr>
            </w:pPr>
            <w:r w:rsidRPr="000D0229">
              <w:rPr>
                <w:rFonts w:cs="Arial"/>
              </w:rPr>
              <w:t>δ / MPa</w:t>
            </w:r>
            <w:r w:rsidRPr="000D0229">
              <w:rPr>
                <w:rFonts w:cs="Arial"/>
                <w:vertAlign w:val="superscript"/>
              </w:rPr>
              <w:t>0.5</w:t>
            </w:r>
          </w:p>
        </w:tc>
        <w:tc>
          <w:tcPr>
            <w:tcW w:w="446" w:type="pct"/>
            <w:tcBorders>
              <w:left w:val="single" w:sz="4" w:space="0" w:color="auto"/>
            </w:tcBorders>
            <w:vAlign w:val="center"/>
          </w:tcPr>
          <w:p w14:paraId="0046E86A" w14:textId="70CD43D3" w:rsidR="006721AE" w:rsidRPr="000D0229" w:rsidRDefault="006721AE" w:rsidP="00541C8E">
            <w:pPr>
              <w:pStyle w:val="RSCT03TableBody"/>
            </w:pPr>
            <w:r w:rsidRPr="000D0229">
              <w:t>14.9</w:t>
            </w:r>
            <w:r w:rsidRPr="000D0229">
              <w:rPr>
                <w:vertAlign w:val="superscript"/>
              </w:rPr>
              <w:t>(e)</w:t>
            </w:r>
          </w:p>
        </w:tc>
        <w:tc>
          <w:tcPr>
            <w:tcW w:w="448" w:type="pct"/>
            <w:vAlign w:val="center"/>
          </w:tcPr>
          <w:p w14:paraId="3B4EE687" w14:textId="0DAFD8B6" w:rsidR="006721AE" w:rsidRPr="000D0229" w:rsidRDefault="006721AE" w:rsidP="00541C8E">
            <w:pPr>
              <w:pStyle w:val="RSCT03TableBody"/>
            </w:pPr>
            <w:r w:rsidRPr="000D0229">
              <w:t>16.6</w:t>
            </w:r>
            <w:r w:rsidRPr="000D0229">
              <w:rPr>
                <w:vertAlign w:val="superscript"/>
              </w:rPr>
              <w:t>(e)</w:t>
            </w:r>
          </w:p>
        </w:tc>
        <w:tc>
          <w:tcPr>
            <w:tcW w:w="446" w:type="pct"/>
            <w:tcBorders>
              <w:top w:val="nil"/>
              <w:bottom w:val="nil"/>
              <w:right w:val="single" w:sz="4" w:space="0" w:color="auto"/>
            </w:tcBorders>
            <w:vAlign w:val="center"/>
          </w:tcPr>
          <w:p w14:paraId="5CEE8F7A" w14:textId="2E1976B1" w:rsidR="006721AE" w:rsidRPr="000D0229" w:rsidRDefault="006721AE" w:rsidP="00541C8E">
            <w:pPr>
              <w:pStyle w:val="RSCT03TableBody"/>
            </w:pPr>
            <w:r w:rsidRPr="000D0229">
              <w:t>18.2</w:t>
            </w:r>
            <w:r w:rsidRPr="000D0229">
              <w:rPr>
                <w:vertAlign w:val="superscript"/>
              </w:rPr>
              <w:t>(e)</w:t>
            </w:r>
          </w:p>
        </w:tc>
        <w:tc>
          <w:tcPr>
            <w:tcW w:w="448" w:type="pct"/>
            <w:tcBorders>
              <w:left w:val="single" w:sz="4" w:space="0" w:color="auto"/>
            </w:tcBorders>
            <w:vAlign w:val="center"/>
          </w:tcPr>
          <w:p w14:paraId="470319A8" w14:textId="21EB1D19" w:rsidR="006721AE" w:rsidRPr="000D0229" w:rsidRDefault="006721AE" w:rsidP="00541C8E">
            <w:pPr>
              <w:pStyle w:val="RSCT03TableBody"/>
            </w:pPr>
            <w:r w:rsidRPr="000D0229">
              <w:t>16.9</w:t>
            </w:r>
            <w:r w:rsidRPr="000D0229">
              <w:rPr>
                <w:vertAlign w:val="superscript"/>
              </w:rPr>
              <w:t>(e)</w:t>
            </w:r>
          </w:p>
        </w:tc>
        <w:tc>
          <w:tcPr>
            <w:tcW w:w="448" w:type="pct"/>
            <w:vAlign w:val="center"/>
          </w:tcPr>
          <w:p w14:paraId="5CFC0FCE" w14:textId="53C815C8" w:rsidR="006721AE" w:rsidRPr="000D0229" w:rsidRDefault="006721AE" w:rsidP="00541C8E">
            <w:pPr>
              <w:pStyle w:val="RSCT03TableBody"/>
            </w:pPr>
            <w:r w:rsidRPr="000D0229">
              <w:t>15.7</w:t>
            </w:r>
            <w:r w:rsidRPr="000D0229">
              <w:rPr>
                <w:vertAlign w:val="superscript"/>
              </w:rPr>
              <w:t>(e)</w:t>
            </w:r>
          </w:p>
        </w:tc>
        <w:tc>
          <w:tcPr>
            <w:tcW w:w="449" w:type="pct"/>
            <w:tcBorders>
              <w:top w:val="nil"/>
              <w:bottom w:val="nil"/>
              <w:right w:val="single" w:sz="4" w:space="0" w:color="auto"/>
            </w:tcBorders>
            <w:vAlign w:val="center"/>
          </w:tcPr>
          <w:p w14:paraId="4CF74081" w14:textId="3DF8815C" w:rsidR="006721AE" w:rsidRPr="000D0229" w:rsidRDefault="006721AE" w:rsidP="00541C8E">
            <w:pPr>
              <w:pStyle w:val="RSCT03TableBody"/>
            </w:pPr>
            <w:r w:rsidRPr="000D0229">
              <w:t>14.3</w:t>
            </w:r>
            <w:r w:rsidRPr="000D0229">
              <w:rPr>
                <w:vertAlign w:val="superscript"/>
              </w:rPr>
              <w:t>(e)</w:t>
            </w:r>
          </w:p>
        </w:tc>
        <w:tc>
          <w:tcPr>
            <w:tcW w:w="448" w:type="pct"/>
            <w:tcBorders>
              <w:left w:val="single" w:sz="4" w:space="0" w:color="auto"/>
            </w:tcBorders>
            <w:vAlign w:val="center"/>
          </w:tcPr>
          <w:p w14:paraId="44727991" w14:textId="018768E3" w:rsidR="006721AE" w:rsidRPr="000D0229" w:rsidRDefault="006721AE" w:rsidP="00541C8E">
            <w:pPr>
              <w:pStyle w:val="RSCT03TableBody"/>
            </w:pPr>
            <w:r w:rsidRPr="000D0229">
              <w:t>19.5</w:t>
            </w:r>
            <w:r w:rsidRPr="000D0229">
              <w:rPr>
                <w:vertAlign w:val="superscript"/>
              </w:rPr>
              <w:t>(e)</w:t>
            </w:r>
          </w:p>
        </w:tc>
        <w:tc>
          <w:tcPr>
            <w:tcW w:w="448" w:type="pct"/>
            <w:vAlign w:val="center"/>
          </w:tcPr>
          <w:p w14:paraId="76AE8E4F" w14:textId="42CF845D" w:rsidR="006721AE" w:rsidRPr="000D0229" w:rsidRDefault="006721AE" w:rsidP="00541C8E">
            <w:pPr>
              <w:pStyle w:val="RSCT03TableBody"/>
            </w:pPr>
            <w:r w:rsidRPr="000D0229">
              <w:t>18.1</w:t>
            </w:r>
            <w:r w:rsidRPr="000D0229">
              <w:rPr>
                <w:vertAlign w:val="superscript"/>
              </w:rPr>
              <w:t>(e)</w:t>
            </w:r>
          </w:p>
        </w:tc>
        <w:tc>
          <w:tcPr>
            <w:tcW w:w="443" w:type="pct"/>
            <w:vAlign w:val="center"/>
          </w:tcPr>
          <w:p w14:paraId="2196565A" w14:textId="2E15AA98" w:rsidR="006721AE" w:rsidRPr="000D0229" w:rsidRDefault="006721AE" w:rsidP="00541C8E">
            <w:pPr>
              <w:pStyle w:val="RSCT03TableBody"/>
            </w:pPr>
            <w:r w:rsidRPr="000D0229">
              <w:t>15.0</w:t>
            </w:r>
            <w:r w:rsidRPr="000D0229">
              <w:rPr>
                <w:vertAlign w:val="superscript"/>
              </w:rPr>
              <w:t>(e)</w:t>
            </w:r>
          </w:p>
        </w:tc>
      </w:tr>
      <w:tr w:rsidR="006721AE" w:rsidRPr="000D0229" w14:paraId="54E5AB33" w14:textId="77777777" w:rsidTr="00541C8E">
        <w:trPr>
          <w:trHeight w:val="202"/>
        </w:trPr>
        <w:tc>
          <w:tcPr>
            <w:tcW w:w="975" w:type="pct"/>
            <w:tcBorders>
              <w:top w:val="nil"/>
              <w:bottom w:val="nil"/>
              <w:right w:val="single" w:sz="4" w:space="0" w:color="auto"/>
            </w:tcBorders>
            <w:vAlign w:val="center"/>
          </w:tcPr>
          <w:p w14:paraId="2667C1EF" w14:textId="09E5B5DF" w:rsidR="006721AE" w:rsidRPr="000D0229" w:rsidRDefault="006721AE" w:rsidP="00541C8E">
            <w:pPr>
              <w:pStyle w:val="RSCT03TableBody"/>
              <w:jc w:val="left"/>
              <w:rPr>
                <w:rFonts w:cs="Arial"/>
              </w:rPr>
            </w:pPr>
            <w:r w:rsidRPr="000D0229">
              <w:rPr>
                <w:rFonts w:cs="Arial"/>
              </w:rPr>
              <w:t>α</w:t>
            </w:r>
          </w:p>
        </w:tc>
        <w:tc>
          <w:tcPr>
            <w:tcW w:w="446" w:type="pct"/>
            <w:tcBorders>
              <w:left w:val="single" w:sz="4" w:space="0" w:color="auto"/>
            </w:tcBorders>
            <w:vAlign w:val="center"/>
          </w:tcPr>
          <w:p w14:paraId="7587A5F1" w14:textId="4C7EE688" w:rsidR="006721AE" w:rsidRPr="000D0229" w:rsidRDefault="006721AE" w:rsidP="00541C8E">
            <w:pPr>
              <w:pStyle w:val="RSCT03TableBody"/>
            </w:pPr>
            <w:r w:rsidRPr="000D0229">
              <w:t>0.00</w:t>
            </w:r>
            <w:r w:rsidRPr="000D0229">
              <w:rPr>
                <w:vertAlign w:val="superscript"/>
              </w:rPr>
              <w:t>(i)</w:t>
            </w:r>
          </w:p>
        </w:tc>
        <w:tc>
          <w:tcPr>
            <w:tcW w:w="448" w:type="pct"/>
            <w:vAlign w:val="center"/>
          </w:tcPr>
          <w:p w14:paraId="6FF610A0" w14:textId="3B5EC3ED" w:rsidR="006721AE" w:rsidRPr="000D0229" w:rsidRDefault="006721AE" w:rsidP="00541C8E">
            <w:pPr>
              <w:pStyle w:val="RSCT03TableBody"/>
            </w:pPr>
            <w:r w:rsidRPr="000D0229">
              <w:t>0.00</w:t>
            </w:r>
            <w:r w:rsidRPr="000D0229">
              <w:rPr>
                <w:vertAlign w:val="superscript"/>
              </w:rPr>
              <w:t>(i)</w:t>
            </w:r>
          </w:p>
        </w:tc>
        <w:tc>
          <w:tcPr>
            <w:tcW w:w="446" w:type="pct"/>
            <w:tcBorders>
              <w:top w:val="nil"/>
              <w:bottom w:val="nil"/>
              <w:right w:val="single" w:sz="4" w:space="0" w:color="auto"/>
            </w:tcBorders>
            <w:vAlign w:val="center"/>
          </w:tcPr>
          <w:p w14:paraId="4DE8B08D" w14:textId="3D8F30BE" w:rsidR="006721AE" w:rsidRPr="000D0229" w:rsidRDefault="006721AE" w:rsidP="00541C8E">
            <w:pPr>
              <w:pStyle w:val="RSCT03TableBody"/>
            </w:pPr>
            <w:r w:rsidRPr="000D0229">
              <w:t>0.00</w:t>
            </w:r>
            <w:r w:rsidRPr="000D0229">
              <w:rPr>
                <w:vertAlign w:val="superscript"/>
              </w:rPr>
              <w:t>(i)</w:t>
            </w:r>
          </w:p>
        </w:tc>
        <w:tc>
          <w:tcPr>
            <w:tcW w:w="448" w:type="pct"/>
            <w:tcBorders>
              <w:left w:val="single" w:sz="4" w:space="0" w:color="auto"/>
            </w:tcBorders>
            <w:vAlign w:val="center"/>
          </w:tcPr>
          <w:p w14:paraId="72C9F6BF" w14:textId="394DB41A" w:rsidR="006721AE" w:rsidRPr="000D0229" w:rsidRDefault="006721AE" w:rsidP="00541C8E">
            <w:pPr>
              <w:pStyle w:val="RSCT03TableBody"/>
            </w:pPr>
            <w:r w:rsidRPr="000D0229">
              <w:t>0.00</w:t>
            </w:r>
            <w:r w:rsidRPr="000D0229">
              <w:rPr>
                <w:vertAlign w:val="superscript"/>
              </w:rPr>
              <w:t>(i)</w:t>
            </w:r>
          </w:p>
        </w:tc>
        <w:tc>
          <w:tcPr>
            <w:tcW w:w="448" w:type="pct"/>
            <w:vAlign w:val="center"/>
          </w:tcPr>
          <w:p w14:paraId="490C024F" w14:textId="7503236E" w:rsidR="006721AE" w:rsidRPr="000D0229" w:rsidRDefault="006721AE" w:rsidP="00541C8E">
            <w:pPr>
              <w:pStyle w:val="RSCT03TableBody"/>
            </w:pPr>
            <w:r w:rsidRPr="000D0229">
              <w:t>0.00</w:t>
            </w:r>
            <w:r w:rsidRPr="000D0229">
              <w:rPr>
                <w:vertAlign w:val="superscript"/>
              </w:rPr>
              <w:t>(i)</w:t>
            </w:r>
          </w:p>
        </w:tc>
        <w:tc>
          <w:tcPr>
            <w:tcW w:w="449" w:type="pct"/>
            <w:tcBorders>
              <w:top w:val="nil"/>
              <w:bottom w:val="nil"/>
              <w:right w:val="single" w:sz="4" w:space="0" w:color="auto"/>
            </w:tcBorders>
            <w:vAlign w:val="center"/>
          </w:tcPr>
          <w:p w14:paraId="6CC17387" w14:textId="147338F0" w:rsidR="006721AE" w:rsidRPr="000D0229" w:rsidRDefault="006721AE" w:rsidP="00541C8E">
            <w:pPr>
              <w:pStyle w:val="RSCT03TableBody"/>
            </w:pPr>
            <w:r w:rsidRPr="000D0229">
              <w:t>0.00</w:t>
            </w:r>
            <w:r w:rsidRPr="000D0229">
              <w:rPr>
                <w:vertAlign w:val="superscript"/>
              </w:rPr>
              <w:t>(i)</w:t>
            </w:r>
          </w:p>
        </w:tc>
        <w:tc>
          <w:tcPr>
            <w:tcW w:w="448" w:type="pct"/>
            <w:tcBorders>
              <w:left w:val="single" w:sz="4" w:space="0" w:color="auto"/>
            </w:tcBorders>
            <w:vAlign w:val="center"/>
          </w:tcPr>
          <w:p w14:paraId="5479F249" w14:textId="235BF9F9" w:rsidR="006721AE" w:rsidRPr="000D0229" w:rsidRDefault="006721AE" w:rsidP="00541C8E">
            <w:pPr>
              <w:pStyle w:val="RSCT03TableBody"/>
            </w:pPr>
            <w:r w:rsidRPr="000D0229">
              <w:t>0.00</w:t>
            </w:r>
            <w:r w:rsidRPr="000D0229">
              <w:rPr>
                <w:vertAlign w:val="superscript"/>
              </w:rPr>
              <w:t>(i)</w:t>
            </w:r>
          </w:p>
        </w:tc>
        <w:tc>
          <w:tcPr>
            <w:tcW w:w="448" w:type="pct"/>
            <w:vAlign w:val="center"/>
          </w:tcPr>
          <w:p w14:paraId="6550B841" w14:textId="1A91946F" w:rsidR="006721AE" w:rsidRPr="000D0229" w:rsidRDefault="006721AE" w:rsidP="00541C8E">
            <w:pPr>
              <w:pStyle w:val="RSCT03TableBody"/>
            </w:pPr>
            <w:r w:rsidRPr="000D0229">
              <w:t>0.00</w:t>
            </w:r>
            <w:r w:rsidRPr="000D0229">
              <w:rPr>
                <w:vertAlign w:val="superscript"/>
              </w:rPr>
              <w:t>(i)</w:t>
            </w:r>
          </w:p>
        </w:tc>
        <w:tc>
          <w:tcPr>
            <w:tcW w:w="443" w:type="pct"/>
            <w:vAlign w:val="center"/>
          </w:tcPr>
          <w:p w14:paraId="64B9785E" w14:textId="5DF82B08" w:rsidR="006721AE" w:rsidRPr="000D0229" w:rsidRDefault="006721AE" w:rsidP="00541C8E">
            <w:pPr>
              <w:pStyle w:val="RSCT03TableBody"/>
            </w:pPr>
            <w:r w:rsidRPr="000D0229">
              <w:t>0.00</w:t>
            </w:r>
            <w:r w:rsidRPr="000D0229">
              <w:rPr>
                <w:vertAlign w:val="superscript"/>
              </w:rPr>
              <w:t>(i)</w:t>
            </w:r>
          </w:p>
        </w:tc>
      </w:tr>
      <w:tr w:rsidR="006721AE" w:rsidRPr="000D0229" w14:paraId="7041DAB7" w14:textId="77777777" w:rsidTr="00541C8E">
        <w:trPr>
          <w:trHeight w:val="202"/>
        </w:trPr>
        <w:tc>
          <w:tcPr>
            <w:tcW w:w="975" w:type="pct"/>
            <w:tcBorders>
              <w:top w:val="nil"/>
              <w:bottom w:val="nil"/>
              <w:right w:val="single" w:sz="4" w:space="0" w:color="auto"/>
            </w:tcBorders>
            <w:vAlign w:val="center"/>
          </w:tcPr>
          <w:p w14:paraId="625D9589" w14:textId="297090E6" w:rsidR="006721AE" w:rsidRPr="000D0229" w:rsidRDefault="006721AE" w:rsidP="00541C8E">
            <w:pPr>
              <w:pStyle w:val="RSCT03TableBody"/>
              <w:jc w:val="left"/>
              <w:rPr>
                <w:rFonts w:cs="Arial"/>
              </w:rPr>
            </w:pPr>
            <w:r w:rsidRPr="000D0229">
              <w:rPr>
                <w:rFonts w:cs="Arial"/>
              </w:rPr>
              <w:t>β</w:t>
            </w:r>
          </w:p>
        </w:tc>
        <w:tc>
          <w:tcPr>
            <w:tcW w:w="446" w:type="pct"/>
            <w:tcBorders>
              <w:left w:val="single" w:sz="4" w:space="0" w:color="auto"/>
            </w:tcBorders>
            <w:vAlign w:val="center"/>
          </w:tcPr>
          <w:p w14:paraId="3B3E99D6" w14:textId="5E73891E" w:rsidR="006721AE" w:rsidRPr="000D0229" w:rsidRDefault="006721AE" w:rsidP="00541C8E">
            <w:pPr>
              <w:pStyle w:val="RSCT03TableBody"/>
            </w:pPr>
            <w:r w:rsidRPr="000D0229">
              <w:t>0.00</w:t>
            </w:r>
            <w:r w:rsidRPr="000D0229">
              <w:rPr>
                <w:vertAlign w:val="superscript"/>
              </w:rPr>
              <w:t>(j)</w:t>
            </w:r>
          </w:p>
        </w:tc>
        <w:tc>
          <w:tcPr>
            <w:tcW w:w="448" w:type="pct"/>
            <w:vAlign w:val="center"/>
          </w:tcPr>
          <w:p w14:paraId="6BA08440" w14:textId="11601B45" w:rsidR="006721AE" w:rsidRPr="000D0229" w:rsidRDefault="006721AE" w:rsidP="00541C8E">
            <w:pPr>
              <w:pStyle w:val="RSCT03TableBody"/>
            </w:pPr>
            <w:r w:rsidRPr="000D0229">
              <w:t>0.00</w:t>
            </w:r>
            <w:r w:rsidRPr="000D0229">
              <w:rPr>
                <w:vertAlign w:val="superscript"/>
              </w:rPr>
              <w:t>(j)</w:t>
            </w:r>
          </w:p>
        </w:tc>
        <w:tc>
          <w:tcPr>
            <w:tcW w:w="446" w:type="pct"/>
            <w:tcBorders>
              <w:top w:val="nil"/>
              <w:bottom w:val="nil"/>
              <w:right w:val="single" w:sz="4" w:space="0" w:color="auto"/>
            </w:tcBorders>
            <w:vAlign w:val="center"/>
          </w:tcPr>
          <w:p w14:paraId="07FE7F78" w14:textId="2F02D19A" w:rsidR="006721AE" w:rsidRPr="000D0229" w:rsidRDefault="006721AE" w:rsidP="00541C8E">
            <w:pPr>
              <w:pStyle w:val="RSCT03TableBody"/>
            </w:pPr>
            <w:r w:rsidRPr="000D0229">
              <w:t>0.10</w:t>
            </w:r>
            <w:r w:rsidRPr="000D0229">
              <w:rPr>
                <w:vertAlign w:val="superscript"/>
              </w:rPr>
              <w:t>(j)</w:t>
            </w:r>
          </w:p>
        </w:tc>
        <w:tc>
          <w:tcPr>
            <w:tcW w:w="448" w:type="pct"/>
            <w:tcBorders>
              <w:left w:val="single" w:sz="4" w:space="0" w:color="auto"/>
            </w:tcBorders>
            <w:vAlign w:val="center"/>
          </w:tcPr>
          <w:p w14:paraId="496CC794" w14:textId="1A2FC8E1" w:rsidR="006721AE" w:rsidRPr="000D0229" w:rsidRDefault="006721AE" w:rsidP="00541C8E">
            <w:pPr>
              <w:pStyle w:val="RSCT03TableBody"/>
            </w:pPr>
            <w:r w:rsidRPr="000D0229">
              <w:t>0.72</w:t>
            </w:r>
            <w:r w:rsidRPr="000D0229">
              <w:rPr>
                <w:vertAlign w:val="superscript"/>
              </w:rPr>
              <w:t>(j)</w:t>
            </w:r>
          </w:p>
        </w:tc>
        <w:tc>
          <w:tcPr>
            <w:tcW w:w="448" w:type="pct"/>
            <w:vAlign w:val="center"/>
          </w:tcPr>
          <w:p w14:paraId="6D316050" w14:textId="363A219A" w:rsidR="006721AE" w:rsidRPr="000D0229" w:rsidRDefault="006721AE" w:rsidP="00541C8E">
            <w:pPr>
              <w:pStyle w:val="RSCT03TableBody"/>
            </w:pPr>
            <w:r w:rsidRPr="000D0229">
              <w:t>0.77</w:t>
            </w:r>
            <w:r w:rsidRPr="000D0229">
              <w:rPr>
                <w:vertAlign w:val="superscript"/>
              </w:rPr>
              <w:t>(j)</w:t>
            </w:r>
          </w:p>
        </w:tc>
        <w:tc>
          <w:tcPr>
            <w:tcW w:w="449" w:type="pct"/>
            <w:tcBorders>
              <w:top w:val="nil"/>
              <w:bottom w:val="nil"/>
              <w:right w:val="single" w:sz="4" w:space="0" w:color="auto"/>
            </w:tcBorders>
            <w:vAlign w:val="center"/>
          </w:tcPr>
          <w:p w14:paraId="1A48DE51" w14:textId="6F27DDD2" w:rsidR="006721AE" w:rsidRPr="000D0229" w:rsidRDefault="006721AE" w:rsidP="00541C8E">
            <w:pPr>
              <w:pStyle w:val="RSCT03TableBody"/>
            </w:pPr>
            <w:r w:rsidRPr="000D0229">
              <w:t>0.51</w:t>
            </w:r>
            <w:r w:rsidRPr="000D0229">
              <w:rPr>
                <w:vertAlign w:val="superscript"/>
              </w:rPr>
              <w:t>(j)</w:t>
            </w:r>
          </w:p>
        </w:tc>
        <w:tc>
          <w:tcPr>
            <w:tcW w:w="448" w:type="pct"/>
            <w:tcBorders>
              <w:left w:val="single" w:sz="4" w:space="0" w:color="auto"/>
            </w:tcBorders>
            <w:vAlign w:val="center"/>
          </w:tcPr>
          <w:p w14:paraId="788589A3" w14:textId="6775A910" w:rsidR="006721AE" w:rsidRPr="000D0229" w:rsidRDefault="006721AE" w:rsidP="00541C8E">
            <w:pPr>
              <w:pStyle w:val="RSCT03TableBody"/>
            </w:pPr>
            <w:r w:rsidRPr="000D0229">
              <w:t>0.58</w:t>
            </w:r>
            <w:r w:rsidRPr="000D0229">
              <w:rPr>
                <w:vertAlign w:val="superscript"/>
              </w:rPr>
              <w:t>(j)</w:t>
            </w:r>
          </w:p>
        </w:tc>
        <w:tc>
          <w:tcPr>
            <w:tcW w:w="448" w:type="pct"/>
            <w:vAlign w:val="center"/>
          </w:tcPr>
          <w:p w14:paraId="35FE259B" w14:textId="27E3BAAF" w:rsidR="006721AE" w:rsidRPr="000D0229" w:rsidRDefault="006721AE" w:rsidP="00541C8E">
            <w:pPr>
              <w:pStyle w:val="RSCT03TableBody"/>
            </w:pPr>
            <w:r w:rsidRPr="000D0229">
              <w:t>0.58</w:t>
            </w:r>
            <w:r w:rsidRPr="000D0229">
              <w:rPr>
                <w:vertAlign w:val="superscript"/>
              </w:rPr>
              <w:t>(l)</w:t>
            </w:r>
          </w:p>
        </w:tc>
        <w:tc>
          <w:tcPr>
            <w:tcW w:w="443" w:type="pct"/>
            <w:vAlign w:val="center"/>
          </w:tcPr>
          <w:p w14:paraId="71F57AA8" w14:textId="667D8651" w:rsidR="006721AE" w:rsidRPr="000D0229" w:rsidRDefault="006721AE" w:rsidP="00541C8E">
            <w:pPr>
              <w:pStyle w:val="RSCT03TableBody"/>
            </w:pPr>
            <w:r w:rsidRPr="000D0229">
              <w:t>0.47</w:t>
            </w:r>
            <w:r w:rsidRPr="000D0229">
              <w:rPr>
                <w:vertAlign w:val="superscript"/>
              </w:rPr>
              <w:t>(m)</w:t>
            </w:r>
          </w:p>
        </w:tc>
      </w:tr>
      <w:tr w:rsidR="006721AE" w:rsidRPr="000D0229" w14:paraId="4CA9D5ED" w14:textId="77777777" w:rsidTr="00541C8E">
        <w:trPr>
          <w:trHeight w:val="202"/>
        </w:trPr>
        <w:tc>
          <w:tcPr>
            <w:tcW w:w="975" w:type="pct"/>
            <w:tcBorders>
              <w:top w:val="nil"/>
              <w:bottom w:val="nil"/>
              <w:right w:val="single" w:sz="4" w:space="0" w:color="auto"/>
            </w:tcBorders>
            <w:vAlign w:val="center"/>
          </w:tcPr>
          <w:p w14:paraId="3D89D8EC" w14:textId="2A80B7F8" w:rsidR="006721AE" w:rsidRPr="000D0229" w:rsidRDefault="006721AE" w:rsidP="00541C8E">
            <w:pPr>
              <w:pStyle w:val="RSCT03TableBody"/>
              <w:jc w:val="left"/>
              <w:rPr>
                <w:rFonts w:cs="Arial"/>
              </w:rPr>
            </w:pPr>
            <w:r w:rsidRPr="000D0229">
              <w:rPr>
                <w:rFonts w:cs="Arial"/>
              </w:rPr>
              <w:t>π</w:t>
            </w:r>
            <w:r w:rsidRPr="000D0229">
              <w:t>*</w:t>
            </w:r>
          </w:p>
        </w:tc>
        <w:tc>
          <w:tcPr>
            <w:tcW w:w="446" w:type="pct"/>
            <w:tcBorders>
              <w:left w:val="single" w:sz="4" w:space="0" w:color="auto"/>
            </w:tcBorders>
            <w:vAlign w:val="center"/>
          </w:tcPr>
          <w:p w14:paraId="6C53AAED" w14:textId="271E7AE3" w:rsidR="006721AE" w:rsidRPr="000D0229" w:rsidRDefault="006721AE" w:rsidP="00541C8E">
            <w:pPr>
              <w:pStyle w:val="RSCT03TableBody"/>
            </w:pPr>
            <w:r w:rsidRPr="000D0229">
              <w:t>0.00</w:t>
            </w:r>
            <w:r w:rsidRPr="000D0229">
              <w:rPr>
                <w:vertAlign w:val="superscript"/>
              </w:rPr>
              <w:t>(k)</w:t>
            </w:r>
          </w:p>
        </w:tc>
        <w:tc>
          <w:tcPr>
            <w:tcW w:w="448" w:type="pct"/>
            <w:vAlign w:val="center"/>
          </w:tcPr>
          <w:p w14:paraId="60D13417" w14:textId="575D2F7B" w:rsidR="006721AE" w:rsidRPr="000D0229" w:rsidRDefault="006721AE" w:rsidP="00541C8E">
            <w:pPr>
              <w:pStyle w:val="RSCT03TableBody"/>
            </w:pPr>
            <w:r w:rsidRPr="000D0229">
              <w:t>0.00</w:t>
            </w:r>
            <w:r w:rsidRPr="000D0229">
              <w:rPr>
                <w:vertAlign w:val="superscript"/>
              </w:rPr>
              <w:t>(k)</w:t>
            </w:r>
          </w:p>
        </w:tc>
        <w:tc>
          <w:tcPr>
            <w:tcW w:w="446" w:type="pct"/>
            <w:tcBorders>
              <w:top w:val="nil"/>
              <w:bottom w:val="nil"/>
              <w:right w:val="single" w:sz="4" w:space="0" w:color="auto"/>
            </w:tcBorders>
            <w:vAlign w:val="center"/>
          </w:tcPr>
          <w:p w14:paraId="54C84912" w14:textId="2CF3536F" w:rsidR="006721AE" w:rsidRPr="000D0229" w:rsidRDefault="006721AE" w:rsidP="00541C8E">
            <w:pPr>
              <w:pStyle w:val="RSCT03TableBody"/>
            </w:pPr>
            <w:r w:rsidRPr="000D0229">
              <w:t>0.51</w:t>
            </w:r>
            <w:r w:rsidRPr="000D0229">
              <w:rPr>
                <w:vertAlign w:val="superscript"/>
              </w:rPr>
              <w:t>(k)</w:t>
            </w:r>
          </w:p>
        </w:tc>
        <w:tc>
          <w:tcPr>
            <w:tcW w:w="448" w:type="pct"/>
            <w:tcBorders>
              <w:left w:val="single" w:sz="4" w:space="0" w:color="auto"/>
            </w:tcBorders>
            <w:vAlign w:val="center"/>
          </w:tcPr>
          <w:p w14:paraId="22A814E7" w14:textId="0DD48352" w:rsidR="006721AE" w:rsidRPr="000D0229" w:rsidRDefault="006721AE" w:rsidP="00541C8E">
            <w:pPr>
              <w:pStyle w:val="RSCT03TableBody"/>
            </w:pPr>
            <w:r w:rsidRPr="000D0229">
              <w:t>0.41</w:t>
            </w:r>
            <w:r w:rsidRPr="000D0229">
              <w:rPr>
                <w:vertAlign w:val="superscript"/>
              </w:rPr>
              <w:t>(k)</w:t>
            </w:r>
          </w:p>
        </w:tc>
        <w:tc>
          <w:tcPr>
            <w:tcW w:w="448" w:type="pct"/>
            <w:vAlign w:val="center"/>
          </w:tcPr>
          <w:p w14:paraId="2536A1D5" w14:textId="2CBEAAE5" w:rsidR="006721AE" w:rsidRPr="000D0229" w:rsidRDefault="006721AE" w:rsidP="00541C8E">
            <w:pPr>
              <w:pStyle w:val="RSCT03TableBody"/>
            </w:pPr>
            <w:r w:rsidRPr="000D0229">
              <w:t>0.35</w:t>
            </w:r>
            <w:r w:rsidRPr="000D0229">
              <w:rPr>
                <w:vertAlign w:val="superscript"/>
              </w:rPr>
              <w:t>(k)</w:t>
            </w:r>
          </w:p>
        </w:tc>
        <w:tc>
          <w:tcPr>
            <w:tcW w:w="449" w:type="pct"/>
            <w:tcBorders>
              <w:top w:val="nil"/>
              <w:bottom w:val="nil"/>
              <w:right w:val="single" w:sz="4" w:space="0" w:color="auto"/>
            </w:tcBorders>
            <w:vAlign w:val="center"/>
          </w:tcPr>
          <w:p w14:paraId="3BEB3FE5" w14:textId="29AEDF52" w:rsidR="006721AE" w:rsidRPr="000D0229" w:rsidRDefault="006721AE" w:rsidP="00541C8E">
            <w:pPr>
              <w:pStyle w:val="RSCT03TableBody"/>
            </w:pPr>
            <w:r w:rsidRPr="000D0229">
              <w:t>0.17</w:t>
            </w:r>
            <w:r w:rsidRPr="000D0229">
              <w:rPr>
                <w:vertAlign w:val="superscript"/>
              </w:rPr>
              <w:t>(k)</w:t>
            </w:r>
          </w:p>
        </w:tc>
        <w:tc>
          <w:tcPr>
            <w:tcW w:w="448" w:type="pct"/>
            <w:tcBorders>
              <w:left w:val="single" w:sz="4" w:space="0" w:color="auto"/>
            </w:tcBorders>
            <w:vAlign w:val="center"/>
          </w:tcPr>
          <w:p w14:paraId="4AFF1406" w14:textId="34BA153F" w:rsidR="006721AE" w:rsidRPr="000D0229" w:rsidRDefault="006721AE" w:rsidP="00541C8E">
            <w:pPr>
              <w:pStyle w:val="RSCT03TableBody"/>
            </w:pPr>
            <w:r w:rsidRPr="000D0229">
              <w:t>0.59</w:t>
            </w:r>
            <w:r w:rsidRPr="000D0229">
              <w:rPr>
                <w:vertAlign w:val="superscript"/>
              </w:rPr>
              <w:t>(k)</w:t>
            </w:r>
          </w:p>
        </w:tc>
        <w:tc>
          <w:tcPr>
            <w:tcW w:w="448" w:type="pct"/>
            <w:vAlign w:val="center"/>
          </w:tcPr>
          <w:p w14:paraId="36B0103C" w14:textId="61CDDE29" w:rsidR="006721AE" w:rsidRPr="000D0229" w:rsidRDefault="006721AE" w:rsidP="00541C8E">
            <w:pPr>
              <w:pStyle w:val="RSCT03TableBody"/>
            </w:pPr>
            <w:r w:rsidRPr="000D0229">
              <w:t>0.53</w:t>
            </w:r>
            <w:r w:rsidRPr="000D0229">
              <w:rPr>
                <w:vertAlign w:val="superscript"/>
              </w:rPr>
              <w:t>(l)</w:t>
            </w:r>
          </w:p>
        </w:tc>
        <w:tc>
          <w:tcPr>
            <w:tcW w:w="443" w:type="pct"/>
            <w:vAlign w:val="center"/>
          </w:tcPr>
          <w:p w14:paraId="1B6B9069" w14:textId="31D0C7A7" w:rsidR="006721AE" w:rsidRPr="000D0229" w:rsidRDefault="006721AE" w:rsidP="00541C8E">
            <w:pPr>
              <w:pStyle w:val="RSCT03TableBody"/>
            </w:pPr>
            <w:r w:rsidRPr="000D0229">
              <w:t>0.27</w:t>
            </w:r>
            <w:r w:rsidRPr="000D0229">
              <w:rPr>
                <w:vertAlign w:val="superscript"/>
              </w:rPr>
              <w:t>(m)</w:t>
            </w:r>
          </w:p>
        </w:tc>
      </w:tr>
      <w:tr w:rsidR="006721AE" w:rsidRPr="000D0229" w14:paraId="79C811F1" w14:textId="77777777" w:rsidTr="00541C8E">
        <w:trPr>
          <w:trHeight w:val="202"/>
        </w:trPr>
        <w:tc>
          <w:tcPr>
            <w:tcW w:w="975" w:type="pct"/>
            <w:tcBorders>
              <w:top w:val="nil"/>
              <w:bottom w:val="single" w:sz="4" w:space="0" w:color="auto"/>
              <w:right w:val="single" w:sz="4" w:space="0" w:color="auto"/>
            </w:tcBorders>
            <w:vAlign w:val="center"/>
          </w:tcPr>
          <w:p w14:paraId="4D7AF7CE" w14:textId="0B653A7F" w:rsidR="006721AE" w:rsidRPr="000D0229" w:rsidRDefault="006721AE" w:rsidP="00541C8E">
            <w:pPr>
              <w:pStyle w:val="RSCT03TableBody"/>
              <w:jc w:val="left"/>
              <w:rPr>
                <w:rFonts w:cs="Arial"/>
              </w:rPr>
            </w:pPr>
            <w:r w:rsidRPr="000D0229">
              <w:t>Log P</w:t>
            </w:r>
            <w:r w:rsidRPr="000D0229">
              <w:rPr>
                <w:vertAlign w:val="subscript"/>
              </w:rPr>
              <w:t>(o/w)</w:t>
            </w:r>
          </w:p>
        </w:tc>
        <w:tc>
          <w:tcPr>
            <w:tcW w:w="446" w:type="pct"/>
            <w:tcBorders>
              <w:left w:val="single" w:sz="4" w:space="0" w:color="auto"/>
            </w:tcBorders>
            <w:vAlign w:val="center"/>
          </w:tcPr>
          <w:p w14:paraId="018166CB" w14:textId="4581DC00" w:rsidR="006721AE" w:rsidRPr="000D0229" w:rsidRDefault="006721AE" w:rsidP="00541C8E">
            <w:pPr>
              <w:pStyle w:val="RSCT03TableBody"/>
            </w:pPr>
            <w:r w:rsidRPr="000D0229">
              <w:t>4.00</w:t>
            </w:r>
            <w:r w:rsidRPr="000D0229">
              <w:rPr>
                <w:vertAlign w:val="superscript"/>
              </w:rPr>
              <w:t>(n)</w:t>
            </w:r>
          </w:p>
        </w:tc>
        <w:tc>
          <w:tcPr>
            <w:tcW w:w="448" w:type="pct"/>
            <w:vAlign w:val="center"/>
          </w:tcPr>
          <w:p w14:paraId="5C511BC3" w14:textId="21E1B8E1" w:rsidR="006721AE" w:rsidRPr="000D0229" w:rsidRDefault="006721AE" w:rsidP="00541C8E">
            <w:pPr>
              <w:pStyle w:val="RSCT03TableBody"/>
            </w:pPr>
            <w:r w:rsidRPr="000D0229">
              <w:t>3.44</w:t>
            </w:r>
            <w:r w:rsidRPr="000D0229">
              <w:rPr>
                <w:vertAlign w:val="superscript"/>
              </w:rPr>
              <w:t>(n)</w:t>
            </w:r>
          </w:p>
        </w:tc>
        <w:tc>
          <w:tcPr>
            <w:tcW w:w="446" w:type="pct"/>
            <w:tcBorders>
              <w:top w:val="nil"/>
              <w:bottom w:val="single" w:sz="4" w:space="0" w:color="auto"/>
              <w:right w:val="single" w:sz="4" w:space="0" w:color="auto"/>
            </w:tcBorders>
            <w:vAlign w:val="center"/>
          </w:tcPr>
          <w:p w14:paraId="2EA2F384" w14:textId="6B7E5126" w:rsidR="006721AE" w:rsidRPr="000D0229" w:rsidRDefault="006721AE" w:rsidP="00541C8E">
            <w:pPr>
              <w:pStyle w:val="RSCT03TableBody"/>
            </w:pPr>
            <w:r w:rsidRPr="000D0229">
              <w:t>2.73</w:t>
            </w:r>
            <w:r w:rsidRPr="000D0229">
              <w:rPr>
                <w:vertAlign w:val="superscript"/>
              </w:rPr>
              <w:t>(n)</w:t>
            </w:r>
          </w:p>
        </w:tc>
        <w:tc>
          <w:tcPr>
            <w:tcW w:w="448" w:type="pct"/>
            <w:tcBorders>
              <w:left w:val="single" w:sz="4" w:space="0" w:color="auto"/>
            </w:tcBorders>
            <w:vAlign w:val="center"/>
          </w:tcPr>
          <w:p w14:paraId="3C64CE91" w14:textId="0AFD39B7" w:rsidR="006721AE" w:rsidRPr="000D0229" w:rsidRDefault="002E1952" w:rsidP="00541C8E">
            <w:pPr>
              <w:pStyle w:val="RSCT03TableBody"/>
            </w:pPr>
            <w:r w:rsidRPr="000D0229">
              <w:t>2.28</w:t>
            </w:r>
            <w:r w:rsidR="006721AE" w:rsidRPr="000D0229">
              <w:rPr>
                <w:vertAlign w:val="superscript"/>
              </w:rPr>
              <w:t>(b)</w:t>
            </w:r>
          </w:p>
        </w:tc>
        <w:tc>
          <w:tcPr>
            <w:tcW w:w="448" w:type="pct"/>
            <w:vAlign w:val="center"/>
          </w:tcPr>
          <w:p w14:paraId="025572B0" w14:textId="15616F15" w:rsidR="006721AE" w:rsidRPr="000D0229" w:rsidRDefault="002E1952" w:rsidP="00541C8E">
            <w:pPr>
              <w:pStyle w:val="RSCT03TableBody"/>
            </w:pPr>
            <w:r w:rsidRPr="000D0229">
              <w:t>1.92</w:t>
            </w:r>
            <w:r w:rsidR="006721AE" w:rsidRPr="000D0229">
              <w:rPr>
                <w:vertAlign w:val="superscript"/>
              </w:rPr>
              <w:t>(b)</w:t>
            </w:r>
          </w:p>
        </w:tc>
        <w:tc>
          <w:tcPr>
            <w:tcW w:w="449" w:type="pct"/>
            <w:tcBorders>
              <w:top w:val="nil"/>
              <w:bottom w:val="single" w:sz="4" w:space="0" w:color="auto"/>
              <w:right w:val="single" w:sz="4" w:space="0" w:color="auto"/>
            </w:tcBorders>
            <w:vAlign w:val="center"/>
          </w:tcPr>
          <w:p w14:paraId="231D6D88" w14:textId="3B6C646E" w:rsidR="006721AE" w:rsidRPr="000D0229" w:rsidRDefault="002E1952" w:rsidP="00541C8E">
            <w:pPr>
              <w:pStyle w:val="RSCT03TableBody"/>
            </w:pPr>
            <w:r w:rsidRPr="000D0229">
              <w:t>2.57</w:t>
            </w:r>
            <w:r w:rsidR="006721AE" w:rsidRPr="000D0229">
              <w:rPr>
                <w:vertAlign w:val="superscript"/>
              </w:rPr>
              <w:t>(b)</w:t>
            </w:r>
          </w:p>
        </w:tc>
        <w:tc>
          <w:tcPr>
            <w:tcW w:w="448" w:type="pct"/>
            <w:tcBorders>
              <w:left w:val="single" w:sz="4" w:space="0" w:color="auto"/>
            </w:tcBorders>
            <w:vAlign w:val="center"/>
          </w:tcPr>
          <w:p w14:paraId="3AFFB89A" w14:textId="2AB0CA3C" w:rsidR="006721AE" w:rsidRPr="000D0229" w:rsidRDefault="006721AE" w:rsidP="00541C8E">
            <w:pPr>
              <w:pStyle w:val="RSCT03TableBody"/>
            </w:pPr>
            <w:r w:rsidRPr="000D0229">
              <w:t>0.46</w:t>
            </w:r>
            <w:r w:rsidRPr="000D0229">
              <w:rPr>
                <w:vertAlign w:val="superscript"/>
              </w:rPr>
              <w:t>(n)</w:t>
            </w:r>
          </w:p>
        </w:tc>
        <w:tc>
          <w:tcPr>
            <w:tcW w:w="448" w:type="pct"/>
            <w:vAlign w:val="center"/>
          </w:tcPr>
          <w:p w14:paraId="7F59AD47" w14:textId="2E4D4E67" w:rsidR="006721AE" w:rsidRPr="000D0229" w:rsidRDefault="0092636D" w:rsidP="00541C8E">
            <w:pPr>
              <w:pStyle w:val="RSCT03TableBody"/>
            </w:pPr>
            <w:r w:rsidRPr="000D0229">
              <w:t>0.77</w:t>
            </w:r>
            <w:r w:rsidR="006721AE" w:rsidRPr="000D0229">
              <w:rPr>
                <w:vertAlign w:val="superscript"/>
              </w:rPr>
              <w:t>(b)</w:t>
            </w:r>
          </w:p>
        </w:tc>
        <w:tc>
          <w:tcPr>
            <w:tcW w:w="443" w:type="pct"/>
            <w:vAlign w:val="center"/>
          </w:tcPr>
          <w:p w14:paraId="2E598BFB" w14:textId="6E6DC537" w:rsidR="006721AE" w:rsidRPr="000D0229" w:rsidRDefault="006721AE" w:rsidP="00541C8E">
            <w:pPr>
              <w:pStyle w:val="RSCT03TableBody"/>
            </w:pPr>
            <w:r w:rsidRPr="000D0229">
              <w:t>0.89</w:t>
            </w:r>
            <w:r w:rsidRPr="000D0229">
              <w:rPr>
                <w:vertAlign w:val="superscript"/>
              </w:rPr>
              <w:t>(n)</w:t>
            </w:r>
          </w:p>
        </w:tc>
      </w:tr>
    </w:tbl>
    <w:p w14:paraId="7BED7E83" w14:textId="0DA49814" w:rsidR="00985F65" w:rsidRDefault="00985F65" w:rsidP="00AC7F3A">
      <w:pPr>
        <w:pStyle w:val="TableHead"/>
      </w:pPr>
    </w:p>
    <w:p w14:paraId="5A34EAD3" w14:textId="77777777" w:rsidR="002A569A" w:rsidRPr="000D0229" w:rsidRDefault="002A569A" w:rsidP="00AC7F3A">
      <w:pPr>
        <w:pStyle w:val="TableHead"/>
        <w:sectPr w:rsidR="002A569A" w:rsidRPr="000D0229" w:rsidSect="00514CBA">
          <w:type w:val="continuous"/>
          <w:pgSz w:w="11907" w:h="16840" w:code="9"/>
          <w:pgMar w:top="1009" w:right="851" w:bottom="1758" w:left="851" w:header="851" w:footer="1049" w:gutter="0"/>
          <w:cols w:num="2" w:space="227"/>
          <w:titlePg/>
          <w:docGrid w:linePitch="360"/>
        </w:sectPr>
      </w:pPr>
    </w:p>
    <w:p w14:paraId="5E5F5C37" w14:textId="77777777" w:rsidR="002A569A" w:rsidRPr="000D0229" w:rsidRDefault="002A569A" w:rsidP="002A569A">
      <w:pPr>
        <w:pStyle w:val="RSCT02Tabletitlewithouttopbar"/>
      </w:pPr>
      <w:r w:rsidRPr="000D0229">
        <w:t>Table 1. The physical properties of TMTHF shown in comparison to a range of hydrocarbon, traditional ether and other quaternary ether solvents.</w:t>
      </w:r>
    </w:p>
    <w:p w14:paraId="6AE264BD" w14:textId="799E20C9" w:rsidR="00AC7F3A" w:rsidRDefault="00902209" w:rsidP="00351B17">
      <w:pPr>
        <w:pStyle w:val="RSCT05TableFootnotewithoutbottombar"/>
      </w:pPr>
      <w:r w:rsidRPr="000D0229">
        <w:t xml:space="preserve"> </w:t>
      </w:r>
      <w:r w:rsidR="00AC7F3A" w:rsidRPr="000D0229">
        <w:t xml:space="preserve">(a) Pubchem, (b) This work, (c) Smutny </w:t>
      </w:r>
      <w:r w:rsidR="00AC7F3A" w:rsidRPr="000D0229">
        <w:rPr>
          <w:i/>
        </w:rPr>
        <w:t>et al</w:t>
      </w:r>
      <w:r w:rsidR="00AC7F3A" w:rsidRPr="000D0229">
        <w:t>.,</w:t>
      </w:r>
      <w:r w:rsidR="00AC7F3A" w:rsidRPr="000D0229">
        <w:fldChar w:fldCharType="begin"/>
      </w:r>
      <w:r w:rsidR="00AC7F3A" w:rsidRPr="000D0229">
        <w:instrText xml:space="preserve"> ADDIN ZOTERO_ITEM CSL_CITATION {"citationID":"acv6e6fv3t","properties":{"formattedCitation":"{\\rtf \\super 35\\nosupersub{}}","plainCitation":"35"},"citationItems":[{"id":1634,"uris":["http://zotero.org/users/1738524/items/25WSB24Q"],"uri":["http://zotero.org/users/1738524/items/25WSB24Q"],"itemData":{"id":1634,"type":"article-journal","title":"Di-t-butyl ether: strain energy and physical properties","container-title":"The Journal of Physical Chemistry","page":"546-550","volume":"65","issue":"3","source":"ACS Publications","DOI":"10.1021/j100821a038","ISSN":"0022-3654","shortTitle":"DI-t-BUTYL ETHER","journalAbbreviation":"J. Phys. Chem.","author":[{"family":"Smutny","given":"E. J."},{"family":"Bondi","given":"A."}],"issued":{"date-parts":[["1961",3,1]]}}}],"schema":"https://github.com/citation-style-language/schema/raw/master/csl-citation.json"} </w:instrText>
      </w:r>
      <w:r w:rsidR="00AC7F3A" w:rsidRPr="000D0229">
        <w:fldChar w:fldCharType="separate"/>
      </w:r>
      <w:r w:rsidR="00AC7F3A" w:rsidRPr="000D0229">
        <w:rPr>
          <w:rFonts w:cs="Arial"/>
          <w:szCs w:val="24"/>
          <w:vertAlign w:val="superscript"/>
        </w:rPr>
        <w:t>35</w:t>
      </w:r>
      <w:r w:rsidR="00AC7F3A" w:rsidRPr="000D0229">
        <w:fldChar w:fldCharType="end"/>
      </w:r>
      <w:r w:rsidR="00AC7F3A" w:rsidRPr="000D0229">
        <w:t xml:space="preserve"> (d) Aycock </w:t>
      </w:r>
      <w:r w:rsidR="00AC7F3A" w:rsidRPr="000D0229">
        <w:rPr>
          <w:i/>
        </w:rPr>
        <w:t>et al</w:t>
      </w:r>
      <w:r w:rsidR="00AC7F3A" w:rsidRPr="000D0229">
        <w:t>.,</w:t>
      </w:r>
      <w:r w:rsidR="00AC7F3A" w:rsidRPr="000D0229">
        <w:fldChar w:fldCharType="begin"/>
      </w:r>
      <w:r w:rsidR="00AC7F3A" w:rsidRPr="000D0229">
        <w:instrText xml:space="preserve"> ADDIN ZOTERO_ITEM CSL_CITATION {"citationID":"a1vo9n1tqr0","properties":{"formattedCitation":"{\\rtf \\super 17\\nosupersub{}}","plainCitation":"17"},"citationItems":[{"id":896,"uris":["http://zotero.org/users/1738524/items/UZWB8EJ7"],"uri":["http://zotero.org/users/1738524/items/UZWB8EJ7"],"itemData":{"id":896,"type":"article-journal","title":"Solvent Applications of 2-Methyltetrahydrofuran in Organometallic and Biphasic Reactions","container-title":"Organic Process Research &amp; Development","page":"156-159","volume":"11","issue":"1","source":"pubs.acs.org (Atypon)","DOI":"10.1021/op060155c","ISSN":"1083-6160","journalAbbreviation":"Org. Process Res. Dev.","author":[{"family":"Aycock","given":"David F."}],"issued":{"date-parts":[["2006",12,6]]}}}],"schema":"https://github.com/citation-style-language/schema/raw/master/csl-citation.json"} </w:instrText>
      </w:r>
      <w:r w:rsidR="00AC7F3A" w:rsidRPr="000D0229">
        <w:fldChar w:fldCharType="separate"/>
      </w:r>
      <w:r w:rsidR="00AC7F3A" w:rsidRPr="000D0229">
        <w:rPr>
          <w:rFonts w:cs="Arial"/>
          <w:szCs w:val="24"/>
          <w:vertAlign w:val="superscript"/>
        </w:rPr>
        <w:t>17</w:t>
      </w:r>
      <w:r w:rsidR="00AC7F3A" w:rsidRPr="000D0229">
        <w:fldChar w:fldCharType="end"/>
      </w:r>
      <w:r w:rsidR="00AC7F3A" w:rsidRPr="000D0229">
        <w:t xml:space="preserve"> (e) Predicted by HSPiP, (f) Carried out by ITS testing services, (g) Pennakem MSDS,</w:t>
      </w:r>
      <w:r w:rsidR="00AC7F3A" w:rsidRPr="000D0229">
        <w:fldChar w:fldCharType="begin"/>
      </w:r>
      <w:r w:rsidR="00AC7F3A" w:rsidRPr="000D0229">
        <w:instrText xml:space="preserve"> ADDIN ZOTERO_ITEM CSL_CITATION {"citationID":"ai1vkp8da5","properties":{"formattedCitation":"{\\rtf \\super 56\\nosupersub{}}","plainCitation":"56"},"citationItems":[{"id":1389,"uris":["http://zotero.org/users/1738524/items/HMCJDPSR"],"uri":["http://zotero.org/users/1738524/items/HMCJDPSR"],"itemData":{"id":1389,"type":"article","title":"Methyltetrahydrofuran","publisher":"Penn Speciality Chemicals","URL":"http://www.pennakem.com/pdfs/methf5.pdf","author":[{"literal":"Penn Speciality Chemicals"}],"accessed":{"date-parts":[["2015",9,29]]}}}],"schema":"https://github.com/citation-style-language/schema/raw/master/csl-citation.json"} </w:instrText>
      </w:r>
      <w:r w:rsidR="00AC7F3A" w:rsidRPr="000D0229">
        <w:fldChar w:fldCharType="separate"/>
      </w:r>
      <w:r w:rsidR="00AC7F3A" w:rsidRPr="000D0229">
        <w:rPr>
          <w:rFonts w:cs="Arial"/>
          <w:szCs w:val="24"/>
          <w:vertAlign w:val="superscript"/>
        </w:rPr>
        <w:t>56</w:t>
      </w:r>
      <w:r w:rsidR="00AC7F3A" w:rsidRPr="000D0229">
        <w:fldChar w:fldCharType="end"/>
      </w:r>
      <w:r w:rsidR="00AC7F3A" w:rsidRPr="000D0229">
        <w:t xml:space="preserve"> (h) Carried out by Chilworth Technology, (i) Assumed value, (j) This work, using N,N-diethyl-4-nitroaniline and 4-nitroaniline dyes, (k) This work, using N,N-diethyl-4-nitroaniline dye, (l) Jessop </w:t>
      </w:r>
      <w:r w:rsidR="00AC7F3A" w:rsidRPr="000D0229">
        <w:rPr>
          <w:i/>
        </w:rPr>
        <w:t>et al</w:t>
      </w:r>
      <w:r w:rsidR="00AC7F3A" w:rsidRPr="000D0229">
        <w:t>.,</w:t>
      </w:r>
      <w:r w:rsidR="00AC7F3A" w:rsidRPr="000D0229">
        <w:fldChar w:fldCharType="begin"/>
      </w:r>
      <w:r w:rsidR="00AC7F3A" w:rsidRPr="000D0229">
        <w:instrText xml:space="preserve"> ADDIN ZOTERO_ITEM CSL_CITATION {"citationID":"a92dhr6tpm","properties":{"formattedCitation":"{\\rtf \\super 41\\nosupersub{}}","plainCitation":"41"},"citationItems":[{"id":410,"uris":["http://zotero.org/users/1738524/items/8JCFTSTJ"],"uri":["http://zotero.org/users/1738524/items/8JCFTSTJ"],"itemData":{"id":410,"type":"article-journal","title":"Solvatochromic parameters for solvents of interest in green chemistry","container-title":"Green Chemistry","page":"1245-1259","volume":"14","issue":"5","source":"pubs.rsc.org","abstract":"Solvatochromic data have been collected from the literature or newly measured for 83 molecular solvents, 18 switchable solvents, and 187 ionic liquids that have been cited in the green chemistry literature. The data include the normalized Reichardt's parameter (ENT), the Nile red λmax, and the Kamlet–Taft pa","DOI":"10.1039/C2GC16670D","ISSN":"1463-9270","journalAbbreviation":"Green Chem.","language":"en","author":[{"family":"Jessop","given":"Philip G."},{"family":"Jessop","given":"David A."},{"family":"Fu","given":"Dongbao"},{"family":"Phan","given":"Lam"}],"issued":{"date-parts":[["2012",5,1]]}}}],"schema":"https://github.com/citation-style-language/schema/raw/master/csl-citation.json"} </w:instrText>
      </w:r>
      <w:r w:rsidR="00AC7F3A" w:rsidRPr="000D0229">
        <w:fldChar w:fldCharType="separate"/>
      </w:r>
      <w:r w:rsidR="00AC7F3A" w:rsidRPr="000D0229">
        <w:rPr>
          <w:rFonts w:cs="Arial"/>
          <w:szCs w:val="24"/>
          <w:vertAlign w:val="superscript"/>
        </w:rPr>
        <w:t>41</w:t>
      </w:r>
      <w:r w:rsidR="00AC7F3A" w:rsidRPr="000D0229">
        <w:fldChar w:fldCharType="end"/>
      </w:r>
      <w:r w:rsidR="00AC7F3A" w:rsidRPr="000D0229">
        <w:t xml:space="preserve"> (m) Kamlet </w:t>
      </w:r>
      <w:r w:rsidR="00AC7F3A" w:rsidRPr="000D0229">
        <w:rPr>
          <w:i/>
        </w:rPr>
        <w:t>et al</w:t>
      </w:r>
      <w:r w:rsidR="00AC7F3A" w:rsidRPr="000D0229">
        <w:t>.,</w:t>
      </w:r>
      <w:r w:rsidR="00AC7F3A" w:rsidRPr="000D0229">
        <w:fldChar w:fldCharType="begin"/>
      </w:r>
      <w:r w:rsidR="00AC7F3A" w:rsidRPr="000D0229">
        <w:instrText xml:space="preserve"> ADDIN ZOTERO_ITEM CSL_CITATION {"citationID":"a1pvbgrcc5v","properties":{"formattedCitation":"{\\rtf \\super 39\\nosupersub{}}","plainCitation":"39"},"citationItems":[{"id":1643,"uris":["http://zotero.org/users/1738524/items/RE3WE9RS"],"uri":["http://zotero.org/users/1738524/items/RE3WE9RS"],"itemData":{"id":1643,"type":"article-journal","title":"Linear solvation energy relationships. 23. A comprehensive collection of the solvatochromic parameters, .pi.*, .alpha., and .beta., and some methods for simplifying the generalized solvatochromic equation","container-title":"The Journal of Organic Chemistry","page":"2877-2887","volume":"48","issue":"17","source":"ACS Publications","DOI":"10.1021/jo00165a018","ISSN":"0022-3263","journalAbbreviation":"J. Org. Chem.","author":[{"family":"Kamlet","given":"Mortimer J."},{"family":"Abboud","given":"Jose Luis M."},{"family":"Abraham","given":"Michael H."},{"family":"Taft","given":"R. W."}],"issued":{"date-parts":[["1983",8,1]]}}}],"schema":"https://github.com/citation-style-language/schema/raw/master/csl-citation.json"} </w:instrText>
      </w:r>
      <w:r w:rsidR="00AC7F3A" w:rsidRPr="000D0229">
        <w:fldChar w:fldCharType="separate"/>
      </w:r>
      <w:r w:rsidR="00AC7F3A" w:rsidRPr="000D0229">
        <w:rPr>
          <w:rFonts w:cs="Arial"/>
          <w:szCs w:val="24"/>
          <w:vertAlign w:val="superscript"/>
        </w:rPr>
        <w:t>39</w:t>
      </w:r>
      <w:r w:rsidR="00AC7F3A" w:rsidRPr="000D0229">
        <w:fldChar w:fldCharType="end"/>
      </w:r>
      <w:r w:rsidR="00AC7F3A" w:rsidRPr="000D0229">
        <w:t xml:space="preserve"> (n) Sangster.</w:t>
      </w:r>
      <w:r w:rsidR="00AC7F3A" w:rsidRPr="000D0229">
        <w:fldChar w:fldCharType="begin"/>
      </w:r>
      <w:r w:rsidR="00AC7F3A" w:rsidRPr="000D0229">
        <w:instrText xml:space="preserve"> ADDIN ZOTERO_ITEM CSL_CITATION {"citationID":"a16jmovd24c","properties":{"formattedCitation":"{\\rtf \\super 57\\nosupersub{}}","plainCitation":"57"},"citationItems":[{"id":1168,"uris":["http://zotero.org/users/1738524/items/55ZN8SK3"],"uri":["http://zot</w:instrText>
      </w:r>
      <w:r w:rsidR="00AC7F3A" w:rsidRPr="000D0229">
        <w:rPr>
          <w:rFonts w:hint="eastAsia"/>
        </w:rPr>
        <w:instrText>ero.org/users/1738524/items/55ZN8SK3"],"itemData":{"id":1168,"type":"article-journal","title":"Octanol‐Water Partition Coefficients of Simple Organic Compounds","container-title":"Journal of Physical and Chemical Reference Data","page":"1111-1229","volume":"18","issue":"3","source":"scitation.aip.org","abstract":"Octanol‐water partition coefficients (log P) for 611 simple organic compounds representing all principal classes have been retrieved from the literature. Available experimental details of measure</w:instrText>
      </w:r>
      <w:r w:rsidR="00AC7F3A" w:rsidRPr="000D0229">
        <w:instrText xml:space="preserve">ment are documented from original articles. Pertinent thermodynamic relations are presented, with a discussion of direct and indirect methods of measurement. Reported log P data for each compound have been evaluated according to stated criteria, and recommended values (with uncertainty) are given.","DOI":"10.1063/1.555833","ISSN":"0047-2689, 1529-7845","author":[{"family":"Sangster","given":"James"}],"issued":{"date-parts":[["1989",7,1]]}}}],"schema":"https://github.com/citation-style-language/schema/raw/master/csl-citation.json"} </w:instrText>
      </w:r>
      <w:r w:rsidR="00AC7F3A" w:rsidRPr="000D0229">
        <w:fldChar w:fldCharType="separate"/>
      </w:r>
      <w:r w:rsidR="00AC7F3A" w:rsidRPr="000D0229">
        <w:rPr>
          <w:rFonts w:cs="Arial"/>
          <w:szCs w:val="24"/>
          <w:vertAlign w:val="superscript"/>
        </w:rPr>
        <w:t>57</w:t>
      </w:r>
      <w:r w:rsidR="00AC7F3A" w:rsidRPr="000D0229">
        <w:fldChar w:fldCharType="end"/>
      </w:r>
    </w:p>
    <w:p w14:paraId="425CAC0A" w14:textId="77777777" w:rsidR="00541C8E" w:rsidRDefault="00541C8E" w:rsidP="00351B17">
      <w:pPr>
        <w:pStyle w:val="RSCT05TableFootnotewithoutbottombar"/>
      </w:pPr>
    </w:p>
    <w:p w14:paraId="5EE32D46" w14:textId="77777777" w:rsidR="001752FF" w:rsidRPr="000D0229" w:rsidRDefault="001752FF" w:rsidP="00351B17">
      <w:pPr>
        <w:pStyle w:val="RSCT05TableFootnotewithoutbottombar"/>
        <w:sectPr w:rsidR="001752FF" w:rsidRPr="000D0229" w:rsidSect="00E240DB">
          <w:type w:val="continuous"/>
          <w:pgSz w:w="11907" w:h="16840" w:code="9"/>
          <w:pgMar w:top="1009" w:right="851" w:bottom="1758" w:left="851" w:header="851" w:footer="1049" w:gutter="0"/>
          <w:cols w:space="227"/>
          <w:titlePg/>
          <w:docGrid w:linePitch="360"/>
        </w:sectPr>
      </w:pPr>
    </w:p>
    <w:p w14:paraId="08B78A86" w14:textId="09CDD509" w:rsidR="004F2E57" w:rsidRPr="000D0229" w:rsidRDefault="00850001" w:rsidP="00850001">
      <w:pPr>
        <w:pStyle w:val="RSCB02ArticleText"/>
        <w:ind w:firstLine="284"/>
      </w:pPr>
      <w:r w:rsidRPr="000D0229">
        <w:t xml:space="preserve">This is demonstrated by 1,8-cineol (eucalyptol), a naturally occurring monoterpenoid ether which contains two quaternary carbons at both </w:t>
      </w:r>
      <w:r w:rsidRPr="000D0229">
        <w:rPr>
          <w:i/>
        </w:rPr>
        <w:t>alpha</w:t>
      </w:r>
      <w:r w:rsidRPr="000D0229">
        <w:t>-positions to</w:t>
      </w:r>
      <w:r>
        <w:t xml:space="preserve"> its ethereal oxygen (Figure 2).  </w:t>
      </w:r>
      <w:r w:rsidR="001027C7" w:rsidRPr="000D0229">
        <w:t>1,8-cineol has previously been shown not to form hydroperoxides upon oxidation but instead breaks down innocuously into ketones, acids and aldehydes.</w:t>
      </w:r>
      <w:r w:rsidR="001027C7" w:rsidRPr="000D0229">
        <w:fldChar w:fldCharType="begin"/>
      </w:r>
      <w:r w:rsidR="001027C7" w:rsidRPr="000D0229">
        <w:instrText xml:space="preserve"> ADDIN ZOTERO_ITEM CSL_CITATION {"citationID":"2p3j71kdem","properties":{"formattedCitation":"{\\rtf \\super 33\\nosupersub{}}","plainCitation":"33"},"citationItems":[{"id":1639,"uris":["http://zotero.org/users/1738524/items/F27PVZC3"],"uri":["http://zotero.org/users/1738524/items/F27PVZC3"],"itemData":{"id":1639,"type":"thesis","title":"Qualitätssicherung von etherischen ölen","publisher":"Technische Universität München","number-of-pages":"110","genre":"PhD Thesis","URL":"https://mediatum.ub.tum.de/doc/601471/601471.pdf","language":"German","author":[{"family":"Geier","given":"Katrin"}],"issued":{"date-parts":[["2006",8,3]]},"accessed":{"date-parts":[["2016",9,13]]}}}],"schema":"https://github.com/citation-style-language/schema/raw/master/csl-citation.json"} </w:instrText>
      </w:r>
      <w:r w:rsidR="001027C7" w:rsidRPr="000D0229">
        <w:fldChar w:fldCharType="separate"/>
      </w:r>
      <w:r w:rsidR="001027C7" w:rsidRPr="000D0229">
        <w:rPr>
          <w:rFonts w:ascii="Calibri" w:hAnsi="Calibri"/>
          <w:szCs w:val="24"/>
          <w:vertAlign w:val="superscript"/>
        </w:rPr>
        <w:t>33</w:t>
      </w:r>
      <w:r w:rsidR="001027C7" w:rsidRPr="000D0229">
        <w:fldChar w:fldCharType="end"/>
      </w:r>
      <w:r w:rsidR="001027C7" w:rsidRPr="000D0229">
        <w:t xml:space="preserve"> It can be utilized as a solvent, but its high boiling point (176-177 </w:t>
      </w:r>
      <w:r w:rsidR="001027C7" w:rsidRPr="000D0229">
        <w:rPr>
          <w:rFonts w:cs="Arial"/>
        </w:rPr>
        <w:t>°</w:t>
      </w:r>
      <w:r w:rsidR="001027C7" w:rsidRPr="000D0229">
        <w:t>C) prevents its use in applications where high volatility is essential.</w:t>
      </w:r>
      <w:r w:rsidR="001027C7">
        <w:t xml:space="preserve"> </w:t>
      </w:r>
      <w:r w:rsidR="002442B1" w:rsidRPr="000D0229">
        <w:t xml:space="preserve">Many similarly inherently non-peroxide forming ether structures which contain two quaternary </w:t>
      </w:r>
      <w:r w:rsidR="002442B1" w:rsidRPr="000D0229">
        <w:rPr>
          <w:i/>
        </w:rPr>
        <w:t>alpha</w:t>
      </w:r>
      <w:r w:rsidR="002442B1" w:rsidRPr="000D0229">
        <w:t>-carbons can be designed but only two structures, 2,2,5,5-tetramethyltetrahydrofuran (TMTHF) and di-tert-butyl ether (DTBE), boast solubility properties and a boiling point within the l</w:t>
      </w:r>
      <w:r w:rsidR="00A00166" w:rsidRPr="000D0229">
        <w:t>imits set in this work (</w:t>
      </w:r>
      <w:r w:rsidR="00BC05BE" w:rsidRPr="000D0229">
        <w:t>Figure 2, Table 1</w:t>
      </w:r>
      <w:r w:rsidR="002442B1" w:rsidRPr="000D0229">
        <w:t xml:space="preserve">). Adding further functionality to either of these molecules increases their boiling points above the threshold set, making further derivatives unsuitable for many standard applications of VNP solvents. Although both candidates look promising as non-peroxide forming ethers, DTBE cannot be synthesized by the obvious acid </w:t>
      </w:r>
      <w:r w:rsidR="00DA59E3" w:rsidRPr="000D0229">
        <w:t>catalysed</w:t>
      </w:r>
      <w:r w:rsidR="002442B1" w:rsidRPr="000D0229">
        <w:t xml:space="preserve"> route using </w:t>
      </w:r>
      <w:r w:rsidR="002442B1" w:rsidRPr="000D0229">
        <w:rPr>
          <w:i/>
        </w:rPr>
        <w:t>tert</w:t>
      </w:r>
      <w:r w:rsidR="002442B1" w:rsidRPr="000D0229">
        <w:t>-butanol and isobutene.</w:t>
      </w:r>
      <w:r w:rsidR="002442B1" w:rsidRPr="000D0229">
        <w:fldChar w:fldCharType="begin"/>
      </w:r>
      <w:r w:rsidR="00FF231A" w:rsidRPr="000D0229">
        <w:instrText xml:space="preserve"> ADDIN ZOTERO_ITEM CSL_CITATION {"citationID":"ELoQhNEh","properties":{"formattedCitation":"{\\rtf \\super 34,35\\nosupersub{}}","plainCitation":"34,35"},"citationItems":[{"id":1640,"uris":["http://zotero.org/users/1738524/items/B8T85UAQ"],"uri":["http://zotero.org/users/1738524/items/B8T85UAQ"],"itemData":{"id":1640,"type":"article-journal","title":"Di-tertiary butyl ether","container-title":"Journal of the American Chemical Society","page":"1769-1769","volume":"63","issue":"6","source":"ACS Publications","DOI":"10.1021/ja01851a512","ISSN":"0002-7863","journalAbbreviation":"J. Am. Chem. Soc.","author":[{"family":"Erickson","given":"J. L. E."},{"family":"Ashton","given":"William H."}],"issued":{"date-parts":[["1941",6,1]]}}},{"id":1634,"uris":["http://zotero.org/users/1738524/items/25WSB24Q"],"uri":["http://zotero.org/users/1738524/items/25WSB24Q"],"itemData":{"id":1634,"type":"article-journal","title":"Di-t-butyl ether: strain energy and physical properties","container-title":"The Journal of Physical Chemistry","page":"546-550","volume":"65","issue":"3","source":"ACS Publications","DOI":"10.1021/j100821a038","ISSN":"0022-3654","shortTitle":"DI-t-BUTYL ETHER","journalAbbreviation":"J. Phys. Chem.","author":[{"family":"Smutny","given":"E. J."},{"family":"Bondi","given":"A."}],"issued":{"date-parts":[["1961",3,1]]}}}],"schema":"https://github.com/citation-style-language/schema/raw/master/csl-citation.json"} </w:instrText>
      </w:r>
      <w:r w:rsidR="002442B1" w:rsidRPr="000D0229">
        <w:fldChar w:fldCharType="separate"/>
      </w:r>
      <w:r w:rsidR="00653A21" w:rsidRPr="000D0229">
        <w:rPr>
          <w:rFonts w:ascii="Calibri" w:hAnsi="Calibri"/>
          <w:szCs w:val="24"/>
          <w:vertAlign w:val="superscript"/>
        </w:rPr>
        <w:t>34,35</w:t>
      </w:r>
      <w:r w:rsidR="002442B1" w:rsidRPr="000D0229">
        <w:fldChar w:fldCharType="end"/>
      </w:r>
      <w:r w:rsidR="002442B1" w:rsidRPr="000D0229">
        <w:t xml:space="preserve"> Alternative routes produce by-products resulting in low atom economies, making the use of DTBE as a solvent less attractive and as such, it was not considered further in this work.</w:t>
      </w:r>
      <w:r w:rsidR="002442B1" w:rsidRPr="000D0229">
        <w:fldChar w:fldCharType="begin"/>
      </w:r>
      <w:r w:rsidR="00FF231A" w:rsidRPr="000D0229">
        <w:instrText xml:space="preserve"> ADDIN ZOTERO_ITEM CSL_CITATION {"citationID":"Zt4tZb3O","properties":{"formattedCitation":"{\\rtf \\super 34,36\\uc0\\u8211{}38\\nosupersub{}}","plainCitation":"34,36–38"},"citationItems":[{"id":1640,"uris":["http://zotero.org/users/1738524/items/B8T85UAQ"],"uri":["http://zotero.org/users/1738524/items/B8T85UAQ"],"itemData":{"id":1640,"type":"article-journal","title":"Di-tertiary butyl ether","container-title":"Journal of the American Chemical Society","page":"1769-1769","volume":"63","issue":"6","source":"ACS Publications","DOI":"10.1021/ja01851a512","ISSN":"0002-7863","journalAbbreviation":"J. Am. Chem. Soc.","author":[{"family":"Erickson","given":"J. L. E."},{"family":"Ashton","given":"William H."}],"issued":{"date-parts":[["1941",6,1]]}}},{"id":1143,"uris":["http://zotero.org/users/1738524/items/MKE7K5CV"],"uri":["http://zotero.org/users/1738524/items/MKE7K5CV"],"itemData":{"id":1143,"type":"article-journal","title":"Synthesis of Hindered &lt;I&gt;t&lt;/I&gt;-Alkyl Ethers","container-title":"Bulletin of the Chemical Society of Japan","page":"866-868","volume":"51","issue":"3","source":"J-Stage","abstract":"Di-t-butyl ether was prepared in 6–73% yields by the reactions of t-butyl halide with Ag2CO3, Ag2O, HgO, ZnO, ZnCO3, PbO2, Cu2(CO3)(OH)2, and Tl2O3 at 20–65 °C in hydrocarbons under nitrogen. Similar reactions gave seven new hindered di-t-alkyl ethers: di-t-pentyl ether, bis(1,1-dimethylbutyl) ether, bis(1-ethyl-1-methylpropyl) ether, bis(1,1-dimethylpentyl) ether, bis(1-ethyl-1-methylbutyl) ether, bis(1,1-diethylpropyl) ether, and bis(1,1-dimethylhexyl) ether. The yield of di-t-alkyl ether decreased as the t-alkyl group became bulky. A slight difference in the skeletal structure of the t-alkyl halide markedly influences the substitution. The reaction pathways are elucidated on the basis of the experimental results.","DOI":"10.1246/bcsj.51.866","author":[{"family":"Masada","given":"Hiromitsu"},{"family":"Sakajiri","given":"Tadahide"}],"issued":{"date-parts":[["1978"]]}}},{"id":4359,"uris":["http://zotero.org/users/1738524/items/GPDGRGJJ"],"uri":["http://zotero.org/users/1738524/items/GPDGRGJJ"],"itemData":{"id":4359,"type":"article-journal","title":"The synthesis of ethers by the desulphurisation of sulphenate esters","page":"1466a-1466a","issue":"21","source":"pubs.rsc.org","abstract":"Sulphenate esters have been synthesized in good yield by the action of alkoxides on N-t-butylthiophthalimide; desulphurisation of these esters with tri-n-butylphosphine gave the corresponding ethers.","DOI":"10.1039/C2970001466A","ISSN":"0577-6171","journalAbbreviation":"J. Chem. Soc. D","language":"en","author":[{"family":"Barton","given":"D. H. R."},{"family":"Page","given":"G."},{"family":"Widdowson","given":"D. A."}],"issued":{"date-parts":[["1970",1,1]]}}},{"id":4362,"uris":["http://zotero.org/users/1738524/items/5635B576"],"uri":["http://zotero.org/users/1738524/items/5635B576"],"itemData":{"id":4362,"type":"article-journal","title":"Preparative Carbocation Chemistry; X1. Alkylation of t-Butyl Alcohol and Di-t-butyl Carbonate with Trimethylcarbenium Fluoroantimonate in the Presence of a Hünig Base; Preparation of Di-t-butyl Ether","container-title":"Synthesis","page":"315-316","volume":"1975","issue":"05","source":"www.thieme-connect.com","abstract":"Thieme E-Books &amp; E-Journals","DOI":"10.1055/s-1975-23739","ISSN":"0039-7881","language":"en","author":[{"family":"Olah","given":"George A."},{"family":"Halpern","given":"Yuval"},{"family":"Lin","given":"Henry C."}],"issued":{"date-parts":[["1975"]]}}}],"schema":"https://github.com/citation-style-language/schema/raw/master/csl-citation.json"} </w:instrText>
      </w:r>
      <w:r w:rsidR="002442B1" w:rsidRPr="000D0229">
        <w:fldChar w:fldCharType="separate"/>
      </w:r>
      <w:r w:rsidR="00653A21" w:rsidRPr="000D0229">
        <w:rPr>
          <w:rFonts w:ascii="Calibri" w:hAnsi="Calibri"/>
          <w:szCs w:val="24"/>
          <w:vertAlign w:val="superscript"/>
        </w:rPr>
        <w:t>34,36–38</w:t>
      </w:r>
      <w:r w:rsidR="002442B1" w:rsidRPr="000D0229">
        <w:fldChar w:fldCharType="end"/>
      </w:r>
      <w:r w:rsidR="002442B1" w:rsidRPr="000D0229">
        <w:t xml:space="preserve"> </w:t>
      </w:r>
    </w:p>
    <w:p w14:paraId="074D0687" w14:textId="1D840EC4" w:rsidR="00BB4CFB" w:rsidRPr="000D0229" w:rsidRDefault="002442B1" w:rsidP="00E95C65">
      <w:pPr>
        <w:pStyle w:val="RSCB02ArticleText"/>
        <w:ind w:firstLine="284"/>
      </w:pPr>
      <w:r w:rsidRPr="000D0229">
        <w:t xml:space="preserve">As already demonstrated, TMTHF can be produced catalytically from readily accessible cheap and bio-available molecules (acetylene and acetone) via an atom economic pathway. Its resistance to peroxide formation has been shown experimentally in comparison to other common ethers, in conditions which accelerate the rate of peroxide formation. Air was bubbled through TMTHF, CPME, 2-MeTHF, THF with irradiation by UV light (254 nm) in the absence of antioxidants. </w:t>
      </w:r>
      <w:r w:rsidRPr="000D0229">
        <w:t xml:space="preserve">Peroxide formation was observed in varying amounts in CPME, 2-MeTHF and THF upon irradiation for 3 hours (Table S1, ESI). </w:t>
      </w:r>
    </w:p>
    <w:p w14:paraId="142AAA1C" w14:textId="3241250C" w:rsidR="00E30927" w:rsidRDefault="00E30927" w:rsidP="00E30927">
      <w:pPr>
        <w:pStyle w:val="Tablemolecules"/>
      </w:pPr>
      <w:r>
        <w:rPr>
          <w:noProof/>
        </w:rPr>
        <w:drawing>
          <wp:inline distT="0" distB="0" distL="0" distR="0" wp14:anchorId="0837121B" wp14:editId="05ED6481">
            <wp:extent cx="3131767" cy="41982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1090" cy="4224191"/>
                    </a:xfrm>
                    <a:prstGeom prst="rect">
                      <a:avLst/>
                    </a:prstGeom>
                  </pic:spPr>
                </pic:pic>
              </a:graphicData>
            </a:graphic>
          </wp:inline>
        </w:drawing>
      </w:r>
    </w:p>
    <w:p w14:paraId="4A882522" w14:textId="07384138" w:rsidR="002442B1" w:rsidRPr="000D0229" w:rsidRDefault="00BB4CFB" w:rsidP="00BB4CFB">
      <w:pPr>
        <w:pStyle w:val="RSCI04CaptiontoFigureSchemeChart"/>
      </w:pPr>
      <w:r w:rsidRPr="000D0229">
        <w:t>Figure 2. Argus labs picture of quaternary and traditional ethers.</w:t>
      </w:r>
    </w:p>
    <w:p w14:paraId="4634A906" w14:textId="77777777" w:rsidR="001027C7" w:rsidRDefault="001027C7" w:rsidP="001027C7">
      <w:pPr>
        <w:pStyle w:val="RSCB02ArticleText"/>
      </w:pPr>
      <w:r w:rsidRPr="000D0229">
        <w:lastRenderedPageBreak/>
        <w:t xml:space="preserve">In contrast, TMTHF did not form any detectable peroxides in the same conditions. When TMTHF was placed under the even harsher conditions of bubbling air, UV irradiation while under reflux, still no peroxide formation was observed. Furthermore, the concentration of peroxides in CPME, 2-MeTHF and THF increased over 6 months under normal storage conditions (brown chemical bottles with septum seal) whereas TMTHF did not form any detectable peroxides in the same time scale. </w:t>
      </w:r>
    </w:p>
    <w:p w14:paraId="49E17A0B" w14:textId="1DEA726E" w:rsidR="008F3050" w:rsidRPr="000D0229" w:rsidRDefault="008F3050" w:rsidP="008F3050">
      <w:pPr>
        <w:pStyle w:val="RSCB07BHeadingSub-Section-standalone"/>
      </w:pPr>
      <w:r w:rsidRPr="000D0229">
        <w:t>Physical properties of TMTHF</w:t>
      </w:r>
    </w:p>
    <w:p w14:paraId="45310D1D" w14:textId="30AE73DE" w:rsidR="004B49C9" w:rsidRPr="000D0229" w:rsidRDefault="004B49C9" w:rsidP="004B49C9">
      <w:pPr>
        <w:pStyle w:val="RSCB02ArticleText"/>
      </w:pPr>
      <w:r w:rsidRPr="000D0229">
        <w:t>The physical pr</w:t>
      </w:r>
      <w:r w:rsidR="00BC05BE" w:rsidRPr="000D0229">
        <w:t>operties of TMTHF are shown in T</w:t>
      </w:r>
      <w:r w:rsidRPr="000D0229">
        <w:t>able 1. Its boiling point (112 °C) has been determined experimentally and was found to be very close to that of toluene (111 °C). Such a similar boiling point would help ease the substitution from toluene to TMTHF in industrial processes such as in the coating industry, where the boiling point of the coating solvent is a vital consideration. TMTHF’s density has been measured experimentally at 293 K to be 0.802 g mL</w:t>
      </w:r>
      <w:r w:rsidRPr="000D0229">
        <w:rPr>
          <w:vertAlign w:val="superscript"/>
        </w:rPr>
        <w:t>-1</w:t>
      </w:r>
      <w:r w:rsidRPr="000D0229">
        <w:t xml:space="preserve">. Importantly, for use in industrial processes, its autoignition temperature is 417 °C, higher than the other ether solvents and the two aliphatic hydrocarbons, hexane (225 °C) and cyclohexane (245 °C), which are commonly used in industrial applications. Although its lower explosion limit (LEL), expressed as a volume percent with the assumption of it being an ideal gas, is below that of toluene (TMTHF = 0.9%, toluene = 1.1%), its safety threshold in terms of mass is superior to toluene due to its higher molecular weight and lower density (See ESI for example calculations). </w:t>
      </w:r>
    </w:p>
    <w:p w14:paraId="15795EA5" w14:textId="2A053EC6" w:rsidR="00BE2C22" w:rsidRPr="000D0229" w:rsidRDefault="00BE2C22" w:rsidP="00BE2C22">
      <w:pPr>
        <w:pStyle w:val="RSCB07BHeadingSub-Section-standalone"/>
      </w:pPr>
      <w:r w:rsidRPr="000D0229">
        <w:t xml:space="preserve">Solubility properties of TMTHF </w:t>
      </w:r>
    </w:p>
    <w:p w14:paraId="3FF446DE" w14:textId="5E6E14D0" w:rsidR="002442B1" w:rsidRPr="000D0229" w:rsidRDefault="002442B1" w:rsidP="00C21F68">
      <w:pPr>
        <w:pStyle w:val="RSCB02ArticleText"/>
      </w:pPr>
      <w:r w:rsidRPr="000D0229">
        <w:t>TMTHF also fulfilled the final criteria of this work: it has shown an ability to dissolve non-polar synthetic polyisoprene rubber, which only the most non-polar solvents are able to do.  Although TMTHF is an ether by definition, its solvent and physical properties are more akin to those of toluene rather than other widely used ethers such as tetrahydrofuran (THF) and diethyl ether. A comparison of its Kamlet-Abboud-Taft (KAT) parameters</w:t>
      </w:r>
      <w:r w:rsidRPr="000D0229">
        <w:fldChar w:fldCharType="begin"/>
      </w:r>
      <w:r w:rsidR="00FF231A" w:rsidRPr="000D0229">
        <w:instrText xml:space="preserve"> ADDIN ZOTERO_ITEM CSL_CITATION {"citationID":"2enc2u8hho","properties":{"formattedCitation":"{\\rtf \\super 39\\nosupersub{}}","plainCitation":"39"},"citationItems":[{"id":1643,"uris":["http://zotero.org/users/1738524/items/RE3WE9RS"],"uri":["http://zotero.org/users/1738524/items/RE3WE9RS"],"itemData":{"id":1643,"type":"article-journal","title":"Linear solvation energy relationships. 23. A comprehensive collection of the solvatochromic parameters, .pi.*, .alpha., and .beta., and some methods for simplifying the generalized solvatochromic equation","container-title":"The Journal of Organic Chemistry","page":"2877-2887","volume":"48","issue":"17","source":"ACS Publications","DOI":"10.1021/jo00165a018","ISSN":"0022-3263","journalAbbreviation":"J. Org. Chem.","author":[{"family":"Kamlet","given":"Mortimer J."},{"family":"Abboud","given":"Jose Luis M."},{"family":"Abraham","given":"Michael H."},{"family":"Taft","given":"R. W."}],"issued":{"date-parts":[["1983",8,1]]}}}],"schema":"https://github.com/citation-style-language/schema/raw/master/csl-citation.json"} </w:instrText>
      </w:r>
      <w:r w:rsidRPr="000D0229">
        <w:fldChar w:fldCharType="separate"/>
      </w:r>
      <w:r w:rsidR="00653A21" w:rsidRPr="000D0229">
        <w:rPr>
          <w:rFonts w:ascii="Calibri" w:hAnsi="Calibri"/>
          <w:szCs w:val="24"/>
          <w:vertAlign w:val="superscript"/>
        </w:rPr>
        <w:t>39</w:t>
      </w:r>
      <w:r w:rsidRPr="000D0229">
        <w:fldChar w:fldCharType="end"/>
      </w:r>
      <w:r w:rsidRPr="000D0229">
        <w:t xml:space="preserve"> and Hansen Solubility Parameters (HSP)</w:t>
      </w:r>
      <w:r w:rsidRPr="000D0229">
        <w:fldChar w:fldCharType="begin"/>
      </w:r>
      <w:r w:rsidR="00FF231A" w:rsidRPr="000D0229">
        <w:instrText xml:space="preserve"> ADDIN ZOTERO_ITEM CSL_CITATION {"citationID":"4pskk70va","properties":{"formattedCitation":"{\\rtf \\super 40\\nosupersub{}}","plainCitation":"40"},"citationItems":[{"id":550,"uris":["http://zotero.org/users/1738524/items/UXMQUM7H"],"uri":["http://zotero.org/users/1738524/items/UXMQUM7H"],"itemData":{"id":550,"type":"book","title":"Hansen Solubility Parameters: A User's Handbook, Second Edition","publisher":"CRC Press","number-of-pages":"546","source":"Google Books","abstract":"Hansen solubility parameters (HSPs) are used to predict molecular affinities, solubility, and solubility-related phenomena. Revised and updated throughout, Hansen Solubility Parameters: A User's Handbook, Second Edition features the three Hansen solubility parameters for over 1200 chemicals and correlations for over 400 materials including polymers, inorganic salts, and biological materials. To update his groundbreaking handbook with the latest advances and perspectives, Charles M. Hansen has invited five renowned experts to share their work, theories, and practical applications involving HSPs. New discussions include a new statistical thermodynamics approach for confirming existing HSPs and how they fit into other thermodynamic theories for polymer solutions. Entirely new chapters examine the prediction of environmental stress cracking as well as absorption and diffusion in polymers. Highlighting recent findings on interactions with DNA, the treatment of biological materials also includes skin tissue, proteins, natural fibers, and cholesterol. The book also covers the latest applications of HSPs, such as ozone-safe “designer” solvents, protective clothing, drug delivery systems, and petroleum applications. Presenting a comprehensive survey of the theoretical and practical aspects of HSPs, Hansen Solubility Parameters, Second Edition concludes with a detailed discussion on the necessary research, future directions, and potential applications for which HSPs can provide a useful means of prediction in areas such as biological materials, controlled release applications, nanotechnology, and self-assembly.","ISBN":"978-1-4200-0683-4","shortTitle":"Hansen Solubility Parameters","language":"en","author":[{"family":"Hansen","given":"Charles M."}],"issued":{"date-parts":[["2012",5,7]]}}}],"schema":"https://github.com/citation-style-language/schema/raw/master/csl-citation.json"} </w:instrText>
      </w:r>
      <w:r w:rsidRPr="000D0229">
        <w:fldChar w:fldCharType="separate"/>
      </w:r>
      <w:r w:rsidR="00653A21" w:rsidRPr="000D0229">
        <w:rPr>
          <w:rFonts w:ascii="Calibri" w:hAnsi="Calibri"/>
          <w:szCs w:val="24"/>
          <w:vertAlign w:val="superscript"/>
        </w:rPr>
        <w:t>40</w:t>
      </w:r>
      <w:r w:rsidRPr="000D0229">
        <w:fldChar w:fldCharType="end"/>
      </w:r>
      <w:r w:rsidRPr="000D0229">
        <w:t xml:space="preserve"> w</w:t>
      </w:r>
      <w:r w:rsidR="00BC05BE" w:rsidRPr="000D0229">
        <w:t>ith other solvents is shown in T</w:t>
      </w:r>
      <w:r w:rsidRPr="000D0229">
        <w:t>able 1.</w:t>
      </w:r>
    </w:p>
    <w:p w14:paraId="194F81B3" w14:textId="6E618B00" w:rsidR="002442B1" w:rsidRPr="000D0229" w:rsidRDefault="002442B1" w:rsidP="00BE2C22">
      <w:pPr>
        <w:pStyle w:val="RSCB02ArticleText"/>
        <w:ind w:firstLine="284"/>
      </w:pPr>
      <w:r w:rsidRPr="000D0229">
        <w:t>KAT parameters consist of three parameters which are determined by measuring the absorbance of dyes in the presence of the test solvent.</w:t>
      </w:r>
      <w:r w:rsidRPr="000D0229">
        <w:fldChar w:fldCharType="begin"/>
      </w:r>
      <w:r w:rsidR="00FF231A" w:rsidRPr="000D0229">
        <w:instrText xml:space="preserve"> ADDIN ZOTERO_ITEM CSL_CITATION {"citationID":"V8uPq8kN","properties":{"formattedCitation":"{\\rtf \\super 39,41\\nosupersub{}}","plainCitation":"39,41"},"citationItems":[{"id":1643,"uris":["http://zotero.org/users/1738524/items/RE3WE9RS"],"uri":["http://zotero.org/users/1738524/items/RE3WE9RS"],"itemData":{"id":1643,"type":"article-journal","title":"Linear solvation energy relationships. 23. A comprehensive collection of the solvatochromic parameters, .pi.*, .alpha., and .beta., and some methods for simplifying the generalized solvatochromic equation","container-title":"The Journal of Organic Chemistry","page":"2877-2887","volume":"48","issue":"17","source":"ACS Publications","DOI":"10.1021/jo00165a018","ISSN":"0022-3263","journalAbbreviation":"J. Org. Chem.","author":[{"family":"Kamlet","given":"Mortimer J."},{"family":"Abboud","given":"Jose Luis M."},{"family":"Abraham","given":"Michael H."},{"family":"Taft","given":"R. W."}],"issued":{"date-parts":[["1983",8,1]]}}},{"id":410,"uris":["http://zotero.org/users/1738524/items/8JCFTSTJ"],"uri":["http://zotero.org/users/1738524/items/8JCFTSTJ"],"itemData":{"id":410,"type":"article-journal","title":"Solvatochromic parameters for solvents of interest in green chemistry","container-title":"Green Chemistry","page":"1245-1259","volume":"14","issue":"5","source":"pubs.rsc.org","abstract":"Solvatochromic data have been collected from the literature or newly measured for 83 molecular solvents, 18 switchable solvents, and 187 ionic liquids that have been cited in the green chemistry literature. The data include the normalized Reichardt's parameter (ENT), the Nile red λmax, and the Kamlet–Taft pa","DOI":"10.1039/C2GC16670D","ISSN":"1463-9270","journalAbbreviation":"Green Chem.","language":"en","author":[{"family":"Jessop","given":"Philip G."},{"family":"Jessop","given":"David A."},{"family":"Fu","given":"Dongbao"},{"family":"Phan","given":"Lam"}],"issued":{"date-parts":[["2012",5,1]]}}}],"schema":"https://github.com/citation-style-language/schema/raw/master/csl-citation.json"} </w:instrText>
      </w:r>
      <w:r w:rsidRPr="000D0229">
        <w:fldChar w:fldCharType="separate"/>
      </w:r>
      <w:r w:rsidR="00653A21" w:rsidRPr="000D0229">
        <w:rPr>
          <w:rFonts w:ascii="Calibri" w:hAnsi="Calibri"/>
          <w:szCs w:val="24"/>
          <w:vertAlign w:val="superscript"/>
        </w:rPr>
        <w:t>39,41</w:t>
      </w:r>
      <w:r w:rsidRPr="000D0229">
        <w:fldChar w:fldCharType="end"/>
      </w:r>
      <w:r w:rsidRPr="000D0229">
        <w:t xml:space="preserve"> </w:t>
      </w:r>
      <m:oMath>
        <m:r>
          <w:rPr>
            <w:rFonts w:ascii="Cambria Math" w:hAnsi="Cambria Math" w:cs="Arial"/>
          </w:rPr>
          <m:t>α</m:t>
        </m:r>
      </m:oMath>
      <w:r w:rsidRPr="000D0229">
        <w:t xml:space="preserve"> is a measure of hydrogen-bond donating ability (acidity);</w:t>
      </w:r>
      <w:r w:rsidRPr="000D0229">
        <w:fldChar w:fldCharType="begin"/>
      </w:r>
      <w:r w:rsidR="00FF231A" w:rsidRPr="000D0229">
        <w:instrText xml:space="preserve"> ADDIN ZOTERO_ITEM CSL_CITATION {"citationID":"a1keldl2r8e","properties":{"formattedCitation":"{\\rtf \\super 42\\nosupersub{}}","plainCitation":"42"},"citationItems":[{"id":518,"uris":["http://zotero.org/users/1738524/items/IIWW7SU7"],"uri":["http://zotero.org/users/1738524/items/IIWW7SU7"],"itemData":{"id":518,"type":"article-journal","title":"The solvatochromic comparison method. 2. The .alpha.-scale of solvent hydrogen-bond donor (HBD) acidities","container-title":"Journal of the American Chemical Society","page":"2886-2894","volume":"98","issue":"10","source":"ACS Publications","DOI":"10.1021/ja00426a036","ISSN":"0002-7863","journalAbbreviation":"J. Am. Chem. Soc.","author":[{"family":"Taft","given":"R. W."},{"family":"Kamlet","given":"Mortimer J."}],"issued":{"date-parts":[["1976",5,1]]}}}],"schema":"https://github.com/citation-style-language/schema/raw/master/csl-citation.json"} </w:instrText>
      </w:r>
      <w:r w:rsidRPr="000D0229">
        <w:fldChar w:fldCharType="separate"/>
      </w:r>
      <w:r w:rsidR="00653A21" w:rsidRPr="000D0229">
        <w:rPr>
          <w:rFonts w:ascii="Calibri" w:hAnsi="Calibri"/>
          <w:szCs w:val="24"/>
          <w:vertAlign w:val="superscript"/>
        </w:rPr>
        <w:t>42</w:t>
      </w:r>
      <w:r w:rsidRPr="000D0229">
        <w:fldChar w:fldCharType="end"/>
      </w:r>
      <w:r w:rsidRPr="000D0229">
        <w:t xml:space="preserve"> </w:t>
      </w:r>
      <m:oMath>
        <m:r>
          <w:rPr>
            <w:rFonts w:ascii="Cambria Math" w:hAnsi="Cambria Math" w:cs="Arial"/>
          </w:rPr>
          <m:t>β</m:t>
        </m:r>
      </m:oMath>
      <w:r w:rsidRPr="000D0229">
        <w:t xml:space="preserve"> is a measure of hydrogen-bond accepting ability (basicity);</w:t>
      </w:r>
      <w:r w:rsidRPr="000D0229">
        <w:fldChar w:fldCharType="begin"/>
      </w:r>
      <w:r w:rsidR="00FF231A" w:rsidRPr="000D0229">
        <w:instrText xml:space="preserve"> ADDIN ZOTERO_ITEM CSL_CITATION {"citationID":"a1lpt7uj41h","properties":{"formattedCitation":"{\\rtf \\super 43\\nosupersub{}}","plainCitation":"43"},"citationItems":[{"id":517,"uris":["http://zotero.org/users/1738524/items/H9T7QJI9"],"uri":["http://zotero.org/users/1738524/items/H9T7QJI9"],"itemData":{"id":517,"type":"article-journal","title":"The solvatochromic comparison method. I. The .beta.-scale of solvent hydrogen-bond acceptor (HBA) basicities","container-title":"Journal of the American Chemical Society","page":"377-383","volume":"98","issue":"2","source":"ACS Publications","DOI":"10.1021/ja00418a009","ISSN":"0002-7863","journalAbbreviation":"J. Am. Chem. Soc.","author":[{"family":"Kamlet","given":"Mortimer J."},{"family":"Taft","given":"R. W."}],"issued":{"date-parts":[["1976",1,1]]}}}],"schema":"https://github.com/citation-style-language/schema/raw/master/csl-citation.json"} </w:instrText>
      </w:r>
      <w:r w:rsidRPr="000D0229">
        <w:fldChar w:fldCharType="separate"/>
      </w:r>
      <w:r w:rsidR="00653A21" w:rsidRPr="000D0229">
        <w:rPr>
          <w:rFonts w:ascii="Calibri" w:hAnsi="Calibri"/>
          <w:szCs w:val="24"/>
          <w:vertAlign w:val="superscript"/>
        </w:rPr>
        <w:t>43</w:t>
      </w:r>
      <w:r w:rsidRPr="000D0229">
        <w:fldChar w:fldCharType="end"/>
      </w:r>
      <w:r w:rsidRPr="000D0229">
        <w:t xml:space="preserve"> and </w:t>
      </w:r>
      <m:oMath>
        <m:sSup>
          <m:sSupPr>
            <m:ctrlPr>
              <w:rPr>
                <w:rFonts w:ascii="Cambria Math" w:hAnsi="Cambria Math" w:cs="Arial"/>
                <w:i/>
              </w:rPr>
            </m:ctrlPr>
          </m:sSupPr>
          <m:e>
            <m:r>
              <w:rPr>
                <w:rFonts w:ascii="Cambria Math" w:hAnsi="Cambria Math" w:cs="Arial"/>
              </w:rPr>
              <m:t>π</m:t>
            </m:r>
          </m:e>
          <m:sup>
            <m:r>
              <w:rPr>
                <w:rFonts w:ascii="Cambria Math" w:hAnsi="Cambria Math" w:cs="Arial"/>
              </w:rPr>
              <m:t>*</m:t>
            </m:r>
          </m:sup>
        </m:sSup>
      </m:oMath>
      <w:r w:rsidRPr="000D0229">
        <w:t xml:space="preserve"> is a combined measure of polarity and polarizability.</w:t>
      </w:r>
      <w:r w:rsidRPr="000D0229">
        <w:fldChar w:fldCharType="begin"/>
      </w:r>
      <w:r w:rsidR="00FF231A" w:rsidRPr="000D0229">
        <w:instrText xml:space="preserve"> ADDIN ZOTERO_ITEM CSL_CITATION {"citationID":"a2681jaqfga","properties":{"formattedCitation":"{\\rtf \\super 44\\nosupersub{}}","plainCitation":"44"},"citationItems":[{"id":519,"uris":["http://zotero.org/users/1738524/items/WIVX4G2D"],"uri":["http://zotero.org/users/1738524/items/WIVX4G2D"],"itemData":{"id":519,"type":"article-journal","title":"The solvatochromic comparison method. 6. The .pi.* scale of solvent polarities","container-title":"Journal of the American Chemical Society","page":"6027-6038","volume":"99","issue":"18","source":"ACS Publications","DOI":"10.1021/ja00460a031","ISSN":"0002-7863","journalAbbreviation":"J. Am. Chem. Soc.","author":[{"family":"Kamlet","given":"Mortimer J."},{"family":"Abboud","given":"Jose Luis"},{"family":"Taft","given":"R. W."}],"issued":{"date-parts":[["1977",8,1]]}}}],"schema":"https://github.com/citation-style-language/schema/raw/master/csl-citation.json"} </w:instrText>
      </w:r>
      <w:r w:rsidRPr="000D0229">
        <w:fldChar w:fldCharType="separate"/>
      </w:r>
      <w:r w:rsidR="00653A21" w:rsidRPr="000D0229">
        <w:rPr>
          <w:rFonts w:ascii="Calibri" w:hAnsi="Calibri"/>
          <w:szCs w:val="24"/>
          <w:vertAlign w:val="superscript"/>
        </w:rPr>
        <w:t>44</w:t>
      </w:r>
      <w:r w:rsidRPr="000D0229">
        <w:fldChar w:fldCharType="end"/>
      </w:r>
      <w:r w:rsidR="00BC05BE" w:rsidRPr="000D0229">
        <w:t xml:space="preserve"> All the solvents shown in T</w:t>
      </w:r>
      <w:r w:rsidRPr="000D0229">
        <w:t xml:space="preserve">able 1 are aprotic which is reflected in their </w:t>
      </w:r>
      <m:oMath>
        <m:r>
          <w:rPr>
            <w:rFonts w:ascii="Cambria Math" w:hAnsi="Cambria Math" w:cs="Arial"/>
          </w:rPr>
          <m:t>α</m:t>
        </m:r>
      </m:oMath>
      <w:r w:rsidR="00BC05BE" w:rsidRPr="000D0229">
        <w:t xml:space="preserve"> values of zero</w:t>
      </w:r>
      <w:r w:rsidRPr="000D0229">
        <w:t xml:space="preserve">. Like the other ethers, TMTHF has high </w:t>
      </w:r>
      <m:oMath>
        <m:r>
          <w:rPr>
            <w:rFonts w:ascii="Cambria Math" w:hAnsi="Cambria Math" w:cs="Arial"/>
          </w:rPr>
          <m:t>β</m:t>
        </m:r>
      </m:oMath>
      <w:r w:rsidRPr="000D0229">
        <w:t xml:space="preserve"> (0.77) due to the lone pairs of electrons on the ethereal oxygen, while the hydrocarbons in contrast have low </w:t>
      </w:r>
      <m:oMath>
        <m:r>
          <w:rPr>
            <w:rFonts w:ascii="Cambria Math" w:hAnsi="Cambria Math" w:cs="Arial"/>
          </w:rPr>
          <m:t>β</m:t>
        </m:r>
      </m:oMath>
      <w:r w:rsidRPr="000D0229">
        <w:t xml:space="preserve"> values. TMTHF has a low </w:t>
      </w:r>
      <m:oMath>
        <m:sSup>
          <m:sSupPr>
            <m:ctrlPr>
              <w:rPr>
                <w:rFonts w:ascii="Cambria Math" w:hAnsi="Cambria Math" w:cs="Arial"/>
                <w:i/>
              </w:rPr>
            </m:ctrlPr>
          </m:sSupPr>
          <m:e>
            <m:r>
              <w:rPr>
                <w:rFonts w:ascii="Cambria Math" w:hAnsi="Cambria Math" w:cs="Arial"/>
              </w:rPr>
              <m:t>π</m:t>
            </m:r>
          </m:e>
          <m:sup>
            <m:r>
              <w:rPr>
                <w:rFonts w:ascii="Cambria Math" w:hAnsi="Cambria Math" w:cs="Arial"/>
              </w:rPr>
              <m:t>*</m:t>
            </m:r>
          </m:sup>
        </m:sSup>
      </m:oMath>
      <w:r w:rsidRPr="000D0229">
        <w:t xml:space="preserve"> (0.35), similar</w:t>
      </w:r>
      <m:oMath>
        <m:r>
          <w:rPr>
            <w:rFonts w:ascii="Cambria Math" w:hAnsi="Cambria Math"/>
          </w:rPr>
          <m:t xml:space="preserve"> </m:t>
        </m:r>
      </m:oMath>
      <w:r w:rsidRPr="000D0229">
        <w:t xml:space="preserve">to diethyl ether, while toluene’s high polarizability due to its aromatic ring results in an elevated </w:t>
      </w:r>
      <m:oMath>
        <m:sSup>
          <m:sSupPr>
            <m:ctrlPr>
              <w:rPr>
                <w:rFonts w:ascii="Cambria Math" w:hAnsi="Cambria Math" w:cs="Arial"/>
                <w:i/>
              </w:rPr>
            </m:ctrlPr>
          </m:sSupPr>
          <m:e>
            <m:r>
              <w:rPr>
                <w:rFonts w:ascii="Cambria Math" w:hAnsi="Cambria Math" w:cs="Arial"/>
              </w:rPr>
              <m:t>π</m:t>
            </m:r>
          </m:e>
          <m:sup>
            <m:r>
              <w:rPr>
                <w:rFonts w:ascii="Cambria Math" w:hAnsi="Cambria Math" w:cs="Arial"/>
              </w:rPr>
              <m:t>*</m:t>
            </m:r>
          </m:sup>
        </m:sSup>
      </m:oMath>
      <w:r w:rsidRPr="000D0229">
        <w:t xml:space="preserve"> compared to the aliphatic hydrocarbons. Overall, KAT parameters suggest that TMTHF should behave like a typical ether solvent but interestingly, its HSPs and its performance in some synthetic reactions, described later, indicate that this is not the case. </w:t>
      </w:r>
    </w:p>
    <w:p w14:paraId="5395A1D3" w14:textId="6C4CE481" w:rsidR="002442B1" w:rsidRPr="000D0229" w:rsidRDefault="002442B1" w:rsidP="00E95C65">
      <w:pPr>
        <w:pStyle w:val="RSCB02ArticleText"/>
        <w:ind w:firstLine="284"/>
      </w:pPr>
      <w:r w:rsidRPr="000D0229">
        <w:t xml:space="preserve">HSPs are determined by group contribution theory and describe the characteristic solubility of a molecule using three </w:t>
      </w:r>
      <w:r w:rsidRPr="000D0229">
        <w:t xml:space="preserve">parameters in a similar way to KAT. Instead of one parameter to represent both polarity and polarizability as in KAT, the dispersion forces (from which polarizability can be calculated) and polarity are represented as two separate parameters, </w:t>
      </w:r>
      <m:oMath>
        <m:sSub>
          <m:sSubPr>
            <m:ctrlPr>
              <w:rPr>
                <w:rFonts w:ascii="Cambria Math" w:hAnsi="Cambria Math" w:cs="Arial"/>
                <w:i/>
              </w:rPr>
            </m:ctrlPr>
          </m:sSubPr>
          <m:e>
            <m:r>
              <w:rPr>
                <w:rFonts w:ascii="Cambria Math" w:hAnsi="Cambria Math" w:cs="Arial"/>
              </w:rPr>
              <m:t>δ</m:t>
            </m:r>
          </m:e>
          <m:sub>
            <m:r>
              <w:rPr>
                <w:rFonts w:ascii="Cambria Math" w:hAnsi="Cambria Math" w:cs="Arial"/>
              </w:rPr>
              <m:t>D</m:t>
            </m:r>
          </m:sub>
        </m:sSub>
      </m:oMath>
      <w:r w:rsidRPr="000D0229">
        <w:t xml:space="preserve"> and </w:t>
      </w:r>
      <m:oMath>
        <m:sSub>
          <m:sSubPr>
            <m:ctrlPr>
              <w:rPr>
                <w:rFonts w:ascii="Cambria Math" w:hAnsi="Cambria Math"/>
                <w:i/>
              </w:rPr>
            </m:ctrlPr>
          </m:sSubPr>
          <m:e>
            <m:r>
              <w:rPr>
                <w:rFonts w:ascii="Cambria Math" w:hAnsi="Cambria Math"/>
              </w:rPr>
              <m:t>δ</m:t>
            </m:r>
          </m:e>
          <m:sub>
            <m:r>
              <w:rPr>
                <w:rFonts w:ascii="Cambria Math" w:hAnsi="Cambria Math"/>
              </w:rPr>
              <m:t>P</m:t>
            </m:r>
          </m:sub>
        </m:sSub>
      </m:oMath>
      <w:r w:rsidRPr="000D0229">
        <w:t xml:space="preserve">. In addition, there is only one parameter to represent total hydrogen-bonding ability, </w:t>
      </w:r>
      <m:oMath>
        <m:sSub>
          <m:sSubPr>
            <m:ctrlPr>
              <w:rPr>
                <w:rFonts w:ascii="Cambria Math" w:hAnsi="Cambria Math"/>
                <w:i/>
              </w:rPr>
            </m:ctrlPr>
          </m:sSubPr>
          <m:e>
            <m:r>
              <w:rPr>
                <w:rFonts w:ascii="Cambria Math" w:hAnsi="Cambria Math"/>
              </w:rPr>
              <m:t>δ</m:t>
            </m:r>
          </m:e>
          <m:sub>
            <m:r>
              <w:rPr>
                <w:rFonts w:ascii="Cambria Math" w:hAnsi="Cambria Math"/>
              </w:rPr>
              <m:t>H</m:t>
            </m:r>
          </m:sub>
        </m:sSub>
      </m:oMath>
      <w:r w:rsidRPr="000D0229">
        <w:t>. By plotting a molecule’s HSPs on three axes, a three-dimensional map is generated from which solvation power can be easily visualized relative to other solvents. HSP theory follows the principle of “like dissolves like”, where solvents tend to be able to dissolve nearby solutes on the HSP map and hence, two solvents with similar HSP’s are more likely to have similar solvation power.</w:t>
      </w:r>
      <w:r w:rsidRPr="000D0229">
        <w:fldChar w:fldCharType="begin"/>
      </w:r>
      <w:r w:rsidR="00FF231A" w:rsidRPr="000D0229">
        <w:instrText xml:space="preserve"> ADDIN ZOTERO_ITEM CSL_CITATION {"citationID":"2fcp8b7tqg","properties":{"formattedCitation":"{\\rtf \\super 40\\nosupersub{}}","plainCitation":"40"},"citationItems":[{"id":550,"uris":["http://zotero.org/users/1738524/items/UXMQUM7H"],"uri":["http://zotero.org/users/1738524/items/UXMQUM7H"],"itemData":{"id":550,"type":"book","title":"Hansen Solubility Parameters: A User's Handbook, Second Edition","publisher":"CRC Press","number-of-pages":"546","source":"Google Books","abstract":"Hansen solubility parameters (HSPs) are used to predict molecular affinities, solubility, and solubility-related phenomena. Revised and updated throughout, Hansen Solubility Parameters: A User's Handbook, Second Edition features the three Hansen solubility parameters for over 1200 chemicals and correlations for over 400 materials including polymers, inorganic salts, and biological materials. To update his groundbreaking handbook with the latest advances and perspectives, Charles M. Hansen has invited five renowned experts to share their work, theories, and practical applications involving HSPs. New discussions include a new statistical thermodynamics approach for confirming existing HSPs and how they fit into other thermodynamic theories for polymer solutions. Entirely new chapters examine the prediction of environmental stress cracking as well as absorption and diffusion in polymers. Highlighting recent findings on interactions with DNA, the treatment of biological materials also includes skin tissue, proteins, natural fibers, and cholesterol. The book also covers the latest applications of HSPs, such as ozone-safe “designer” solvents, protective clothing, drug delivery systems, and petroleum applications. Presenting a comprehensive survey of the theoretical and practical aspects of HSPs, Hansen Solubility Parameters, Second Edition concludes with a detailed discussion on the necessary research, future directions, and potential applications for which HSPs can provide a useful means of prediction in areas such as biological materials, controlled release applications, nanotechnology, and self-assembly.","ISBN":"978-1-4200-0683-4","shortTitle":"Hansen Solubility Parameters","language":"en","author":[{"family":"Hansen","given":"Charles M."}],"issued":{"date-parts":[["2012",5,7]]}}}],"schema":"https://github.com/citation-style-language/schema/raw/master/csl-citation.json"} </w:instrText>
      </w:r>
      <w:r w:rsidRPr="000D0229">
        <w:fldChar w:fldCharType="separate"/>
      </w:r>
      <w:r w:rsidR="00653A21" w:rsidRPr="000D0229">
        <w:rPr>
          <w:rFonts w:ascii="Calibri" w:hAnsi="Calibri"/>
          <w:szCs w:val="24"/>
          <w:vertAlign w:val="superscript"/>
        </w:rPr>
        <w:t>40</w:t>
      </w:r>
      <w:r w:rsidRPr="000D0229">
        <w:fldChar w:fldCharType="end"/>
      </w:r>
      <w:r w:rsidRPr="000D0229">
        <w:t xml:space="preserve"> Combining the square of the three HSP’s gives the square of the Hildebrand parameter, </w:t>
      </w:r>
      <m:oMath>
        <m:r>
          <w:rPr>
            <w:rFonts w:ascii="Cambria Math" w:hAnsi="Cambria Math"/>
          </w:rPr>
          <m:t>δ</m:t>
        </m:r>
      </m:oMath>
      <w:r w:rsidRPr="000D0229">
        <w:t xml:space="preserve"> [Eq. (4)]. The Hildebrand parameter is a more primitive measure of overall polarity and is equal to the square root of cohesive energy density (CED) [Eq. (5)]. CED is a measure of a substances self-association. Increased molecular polarity and hydrogen-bonding results in increased CED and therefore, a larger Hildebrand parameter. </w:t>
      </w:r>
    </w:p>
    <w:p w14:paraId="2E6DF7BE" w14:textId="327B4BAB" w:rsidR="002442B1" w:rsidRPr="000D0229" w:rsidRDefault="00E86565" w:rsidP="004F2E57">
      <w:pPr>
        <w:pStyle w:val="RSCB03MathematicsGreeketc"/>
        <w:numPr>
          <w:ilvl w:val="0"/>
          <w:numId w:val="8"/>
        </w:numPr>
      </w:pPr>
      <m:oMath>
        <m:sSup>
          <m:sSupPr>
            <m:ctrlPr>
              <w:rPr>
                <w:rFonts w:ascii="Cambria Math" w:hAnsi="Cambria Math"/>
                <w:lang w:val="de-DE"/>
              </w:rPr>
            </m:ctrlPr>
          </m:sSupPr>
          <m:e>
            <m:r>
              <w:rPr>
                <w:rFonts w:ascii="Cambria Math" w:hAnsi="Cambria Math"/>
                <w:lang w:val="de-DE"/>
              </w:rPr>
              <m:t>δ</m:t>
            </m:r>
          </m:e>
          <m:sup>
            <m:r>
              <w:rPr>
                <w:rFonts w:ascii="Cambria Math" w:hAnsi="Cambria Math"/>
                <w:lang w:val="de-DE"/>
              </w:rPr>
              <m:t>2</m:t>
            </m:r>
          </m:sup>
        </m:sSup>
        <m:r>
          <m:rPr>
            <m:sty m:val="p"/>
          </m:rPr>
          <w:rPr>
            <w:rFonts w:ascii="Cambria Math" w:hAnsi="Cambria Math"/>
          </w:rPr>
          <m:t xml:space="preserve">= </m:t>
        </m:r>
        <m:box>
          <m:boxPr>
            <m:opEmu m:val="1"/>
            <m:ctrlPr>
              <w:rPr>
                <w:rFonts w:ascii="Cambria Math" w:hAnsi="Cambria Math"/>
              </w:rPr>
            </m:ctrlPr>
          </m:boxPr>
          <m:e>
            <m:sSubSup>
              <m:sSubSupPr>
                <m:ctrlPr>
                  <w:rPr>
                    <w:rFonts w:ascii="Cambria Math" w:hAnsi="Cambria Math"/>
                  </w:rPr>
                </m:ctrlPr>
              </m:sSubSupPr>
              <m:e>
                <m:r>
                  <w:rPr>
                    <w:rFonts w:ascii="Cambria Math" w:hAnsi="Cambria Math" w:cs="Cambria Math"/>
                  </w:rPr>
                  <m:t>δ</m:t>
                </m:r>
              </m:e>
              <m:sub>
                <m:r>
                  <w:rPr>
                    <w:rFonts w:ascii="Cambria Math" w:hAnsi="Cambria Math"/>
                  </w:rPr>
                  <m:t>D</m:t>
                </m:r>
              </m:sub>
              <m:sup>
                <m:r>
                  <m:rPr>
                    <m:sty m:val="p"/>
                  </m:rPr>
                  <w:rPr>
                    <w:rFonts w:ascii="Cambria Math" w:hAnsi="Cambria Math"/>
                  </w:rPr>
                  <m:t>2</m:t>
                </m:r>
              </m:sup>
            </m:sSubSup>
          </m:e>
        </m:box>
        <m:r>
          <m:rPr>
            <m:sty m:val="p"/>
          </m:rPr>
          <w:rPr>
            <w:rFonts w:ascii="Cambria Math" w:hAnsi="Cambria Math"/>
          </w:rPr>
          <m:t>+</m:t>
        </m:r>
        <m:sSubSup>
          <m:sSubSupPr>
            <m:ctrlPr>
              <w:rPr>
                <w:rFonts w:ascii="Cambria Math" w:hAnsi="Cambria Math"/>
                <w:lang w:val="de-DE"/>
              </w:rPr>
            </m:ctrlPr>
          </m:sSubSupPr>
          <m:e>
            <m:r>
              <w:rPr>
                <w:rFonts w:ascii="Cambria Math" w:hAnsi="Cambria Math"/>
              </w:rPr>
              <m:t>δ</m:t>
            </m:r>
          </m:e>
          <m:sub>
            <m:r>
              <w:rPr>
                <w:rFonts w:ascii="Cambria Math" w:hAnsi="Cambria Math"/>
              </w:rPr>
              <m:t>P</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lang w:val="de-DE"/>
              </w:rPr>
            </m:ctrlPr>
          </m:sSubSupPr>
          <m:e>
            <m:r>
              <w:rPr>
                <w:rFonts w:ascii="Cambria Math" w:hAnsi="Cambria Math"/>
              </w:rPr>
              <m:t>δ</m:t>
            </m:r>
          </m:e>
          <m:sub>
            <m:r>
              <w:rPr>
                <w:rFonts w:ascii="Cambria Math" w:hAnsi="Cambria Math"/>
              </w:rPr>
              <m:t>H</m:t>
            </m:r>
          </m:sub>
          <m:sup>
            <m:r>
              <m:rPr>
                <m:sty m:val="p"/>
              </m:rPr>
              <w:rPr>
                <w:rFonts w:ascii="Cambria Math" w:hAnsi="Cambria Math"/>
              </w:rPr>
              <m:t>2</m:t>
            </m:r>
          </m:sup>
        </m:sSubSup>
      </m:oMath>
    </w:p>
    <w:p w14:paraId="4BC5F091" w14:textId="777E84AF" w:rsidR="002442B1" w:rsidRPr="000D0229" w:rsidRDefault="002442B1" w:rsidP="004F2E57">
      <w:pPr>
        <w:pStyle w:val="RSCB03MathematicsGreeketc"/>
        <w:numPr>
          <w:ilvl w:val="0"/>
          <w:numId w:val="8"/>
        </w:numPr>
      </w:pPr>
      <m:oMath>
        <m:r>
          <w:rPr>
            <w:rFonts w:ascii="Cambria Math" w:hAnsi="Cambria Math"/>
          </w:rPr>
          <m:t>δ</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ΔH</m:t>
            </m:r>
            <m:r>
              <m:rPr>
                <m:sty m:val="p"/>
              </m:rPr>
              <w:rPr>
                <w:rFonts w:ascii="Cambria Math" w:hAnsi="Cambria Math"/>
              </w:rPr>
              <m:t>-</m:t>
            </m:r>
            <m:r>
              <w:rPr>
                <w:rFonts w:ascii="Cambria Math" w:hAnsi="Cambria Math"/>
              </w:rPr>
              <m:t>R</m:t>
            </m:r>
            <m:r>
              <w:rPr>
                <w:rFonts w:ascii="Cambria Math" w:hAnsi="Cambria Math"/>
              </w:rPr>
              <m:t>T</m:t>
            </m:r>
            <m:r>
              <m:rPr>
                <m:sty m:val="p"/>
              </m:rPr>
              <w:rPr>
                <w:rFonts w:ascii="Cambria Math" w:hAnsi="Cambria Math"/>
              </w:rPr>
              <m:t>)/</m:t>
            </m:r>
            <m:r>
              <w:rPr>
                <w:rFonts w:ascii="Cambria Math" w:hAnsi="Cambria Math"/>
              </w:rPr>
              <m:t>V</m:t>
            </m:r>
            <m:r>
              <m:rPr>
                <m:sty m:val="p"/>
              </m:rPr>
              <w:rPr>
                <w:rFonts w:ascii="Cambria Math" w:hAnsi="Cambria Math"/>
              </w:rPr>
              <m:t>]</m:t>
            </m:r>
          </m:e>
          <m:sup>
            <m:r>
              <m:rPr>
                <m:sty m:val="p"/>
              </m:rPr>
              <w:rPr>
                <w:rFonts w:ascii="Cambria Math" w:hAnsi="Cambria Math"/>
              </w:rPr>
              <m:t>0.5</m:t>
            </m:r>
          </m:sup>
        </m:sSup>
      </m:oMath>
    </w:p>
    <w:p w14:paraId="47E8DD25" w14:textId="7D14FBB0" w:rsidR="002442B1" w:rsidRPr="000D0229" w:rsidRDefault="00BC05BE" w:rsidP="00BB4CFB">
      <w:pPr>
        <w:pStyle w:val="RSCB02ArticleText"/>
        <w:ind w:firstLine="284"/>
      </w:pPr>
      <w:r w:rsidRPr="000D0229">
        <w:t>It can be seen in T</w:t>
      </w:r>
      <w:r w:rsidR="002442B1" w:rsidRPr="000D0229">
        <w:t>able 1 that HSP describes TMTHF’s solvation power differently to KAT. While KAT describes TMTHF to be like other ethers, HSP suggests that the solvation power of TMTHF is more like toluene, an aromatic solvent free of heteroatoms (Figure S</w:t>
      </w:r>
      <w:r w:rsidR="00D962C9" w:rsidRPr="000D0229">
        <w:t>4</w:t>
      </w:r>
      <w:r w:rsidR="002442B1" w:rsidRPr="000D0229">
        <w:t xml:space="preserve">, ESI). As expected, the hydrogen-bonding ability, </w:t>
      </w:r>
      <m:oMath>
        <m:sSub>
          <m:sSubPr>
            <m:ctrlPr>
              <w:rPr>
                <w:rFonts w:ascii="Cambria Math" w:hAnsi="Cambria Math"/>
                <w:i/>
              </w:rPr>
            </m:ctrlPr>
          </m:sSubPr>
          <m:e>
            <m:r>
              <w:rPr>
                <w:rFonts w:ascii="Cambria Math" w:hAnsi="Cambria Math"/>
              </w:rPr>
              <m:t>δ</m:t>
            </m:r>
          </m:e>
          <m:sub>
            <m:r>
              <w:rPr>
                <w:rFonts w:ascii="Cambria Math" w:hAnsi="Cambria Math"/>
              </w:rPr>
              <m:t>H</m:t>
            </m:r>
          </m:sub>
        </m:sSub>
      </m:oMath>
      <w:r w:rsidR="002442B1" w:rsidRPr="000D0229">
        <w:t xml:space="preserve">, of the traditional ethers is high, due to their basic ethereal oxygens, which is consistent with KAT. However, TMTHF has been assigned a low </w:t>
      </w:r>
      <m:oMath>
        <m:sSub>
          <m:sSubPr>
            <m:ctrlPr>
              <w:rPr>
                <w:rFonts w:ascii="Cambria Math" w:hAnsi="Cambria Math"/>
                <w:i/>
              </w:rPr>
            </m:ctrlPr>
          </m:sSubPr>
          <m:e>
            <m:r>
              <w:rPr>
                <w:rFonts w:ascii="Cambria Math" w:hAnsi="Cambria Math"/>
              </w:rPr>
              <m:t>δ</m:t>
            </m:r>
          </m:e>
          <m:sub>
            <m:r>
              <w:rPr>
                <w:rFonts w:ascii="Cambria Math" w:hAnsi="Cambria Math"/>
              </w:rPr>
              <m:t>H</m:t>
            </m:r>
          </m:sub>
        </m:sSub>
      </m:oMath>
      <w:r w:rsidR="002442B1" w:rsidRPr="000D0229">
        <w:t xml:space="preserve">, which is more characteristic of hydrocarbons. </w:t>
      </w:r>
      <w:bookmarkStart w:id="0" w:name="_GoBack"/>
      <w:bookmarkEnd w:id="0"/>
    </w:p>
    <w:p w14:paraId="3615DAE4" w14:textId="6F9EA3CE" w:rsidR="0074497B" w:rsidRPr="000D0229" w:rsidRDefault="002442B1" w:rsidP="00BE2C22">
      <w:pPr>
        <w:pStyle w:val="RSCB02ArticleText"/>
        <w:ind w:firstLine="284"/>
      </w:pPr>
      <w:r w:rsidRPr="000D0229">
        <w:t>TMTHF’s molecular structure and electrostatic potential (ESP) map can help to explain this difference between HSP and KAT (Figure 2).</w:t>
      </w:r>
      <w:r w:rsidRPr="000D0229">
        <w:fldChar w:fldCharType="begin"/>
      </w:r>
      <w:r w:rsidR="00FF231A" w:rsidRPr="000D0229">
        <w:instrText xml:space="preserve"> ADDIN ZOTERO_ITEM CSL_CITATION {"citationID":"1dbdjl6pac","properties":{"formattedCitation":"{\\rtf \\super 45\\nosupersub{}}","plainCitation":"45"},"citationItems":[{"id":1644,"uris":["http://zotero.org/users/1738524/items/NTHSQ57N"],"uri":["http://zotero.org/users/1738524/items/NTHSQ57N"],"itemData":{"id":1644,"type":"webpage","title":"ArgusLab","URL":"http://www.arguslab.com/arguslab.com/ArgusLab.html","accessed":{"date-parts":[["2016",9,13]]}}}],"schema":"https://github.com/citation-style-language/schema/raw/master/csl-citation.json"} </w:instrText>
      </w:r>
      <w:r w:rsidRPr="000D0229">
        <w:fldChar w:fldCharType="separate"/>
      </w:r>
      <w:r w:rsidR="00653A21" w:rsidRPr="000D0229">
        <w:rPr>
          <w:rFonts w:ascii="Calibri" w:hAnsi="Calibri"/>
          <w:szCs w:val="24"/>
          <w:vertAlign w:val="superscript"/>
        </w:rPr>
        <w:t>45</w:t>
      </w:r>
      <w:r w:rsidRPr="000D0229">
        <w:fldChar w:fldCharType="end"/>
      </w:r>
      <w:r w:rsidRPr="000D0229">
        <w:t xml:space="preserve"> The areas </w:t>
      </w:r>
      <w:r w:rsidR="00DA59E3" w:rsidRPr="000D0229">
        <w:t>coloured</w:t>
      </w:r>
      <w:r w:rsidRPr="000D0229">
        <w:t xml:space="preserve"> red on the ESP map are areas of high negative charge density, the areas </w:t>
      </w:r>
      <w:r w:rsidR="00DA59E3" w:rsidRPr="000D0229">
        <w:t>coloured</w:t>
      </w:r>
      <w:r w:rsidRPr="000D0229">
        <w:t xml:space="preserve"> off-white are positively charged while blue represents non-polar regions. Red areas can be seen on all the ethers shown. This is due to the lone-pairs of electrons on their ethereal oxygens, which are the source of their high </w:t>
      </w:r>
      <m:oMath>
        <m:r>
          <w:rPr>
            <w:rFonts w:ascii="Cambria Math" w:hAnsi="Cambria Math" w:cs="Arial"/>
          </w:rPr>
          <m:t>β</m:t>
        </m:r>
      </m:oMath>
      <w:r w:rsidRPr="000D0229">
        <w:t xml:space="preserve">. While red areas on TMTHF indicate the presence of hydrogen-bond accepting lone pairs (in agreement with its high </w:t>
      </w:r>
      <m:oMath>
        <m:r>
          <w:rPr>
            <w:rFonts w:ascii="Cambria Math" w:hAnsi="Cambria Math" w:cs="Arial"/>
          </w:rPr>
          <m:t>β</m:t>
        </m:r>
      </m:oMath>
      <w:r w:rsidRPr="000D0229">
        <w:t xml:space="preserve"> in KAT), it can be seen that access to the lone pairs is sterically inhibited by the four adjacent methyl groups. This results in reduced hydrogen-bond accepting ability</w:t>
      </w:r>
      <w:r w:rsidR="009F4AC7" w:rsidRPr="000D0229">
        <w:t xml:space="preserve"> which is consistent with HSP. </w:t>
      </w:r>
    </w:p>
    <w:p w14:paraId="6F1099D8" w14:textId="1F9924BB" w:rsidR="002442B1" w:rsidRPr="000D0229" w:rsidRDefault="002442B1" w:rsidP="00BE2C22">
      <w:pPr>
        <w:pStyle w:val="RSCB02ArticleText"/>
        <w:ind w:firstLine="284"/>
      </w:pPr>
      <w:r w:rsidRPr="000D0229">
        <w:t xml:space="preserve">The low Hildebrand parameter of TMTHF is as a result of both its low </w:t>
      </w:r>
      <m:oMath>
        <m:sSub>
          <m:sSubPr>
            <m:ctrlPr>
              <w:rPr>
                <w:rFonts w:ascii="Cambria Math" w:hAnsi="Cambria Math"/>
                <w:i/>
              </w:rPr>
            </m:ctrlPr>
          </m:sSubPr>
          <m:e>
            <m:r>
              <w:rPr>
                <w:rFonts w:ascii="Cambria Math" w:hAnsi="Cambria Math"/>
              </w:rPr>
              <m:t>δ</m:t>
            </m:r>
          </m:e>
          <m:sub>
            <m:r>
              <w:rPr>
                <w:rFonts w:ascii="Cambria Math" w:hAnsi="Cambria Math"/>
              </w:rPr>
              <m:t>H</m:t>
            </m:r>
          </m:sub>
        </m:sSub>
      </m:oMath>
      <w:r w:rsidRPr="000D0229">
        <w:t xml:space="preserve"> [from Eq. (4)] and its low CED [from Eq. (5)]. Although CED has not been measured, the lack of polarity and the steric hindrance to hydrogen bonding ability would be expected to be the main causes of its low value.</w:t>
      </w:r>
    </w:p>
    <w:p w14:paraId="66B3DF4C" w14:textId="0B4DA81C" w:rsidR="002442B1" w:rsidRPr="000D0229" w:rsidRDefault="002442B1" w:rsidP="00BE2C22">
      <w:pPr>
        <w:pStyle w:val="RSCB02ArticleText"/>
        <w:ind w:firstLine="284"/>
      </w:pPr>
      <w:r w:rsidRPr="000D0229">
        <w:t xml:space="preserve">Overall, while high hydrogen-bond accepting ability is present in TMTHF, shown by its high </w:t>
      </w:r>
      <m:oMath>
        <m:r>
          <w:rPr>
            <w:rFonts w:ascii="Cambria Math" w:hAnsi="Cambria Math" w:cs="Arial"/>
          </w:rPr>
          <m:t>β</m:t>
        </m:r>
      </m:oMath>
      <w:r w:rsidRPr="000D0229">
        <w:t xml:space="preserve">, steric hindrance caused by the four methyl groups inhibits this interaction. To confirm its suitability as a replacement for hydrocarbon as opposed to ether solvents, TMTHF has been tested as a solvent in several chemical reactions. Specific reactions were selected where the solvents basicity is known to contribute significantly, both </w:t>
      </w:r>
      <w:r w:rsidRPr="000D0229">
        <w:lastRenderedPageBreak/>
        <w:t>positively and negatively. It has transpired that HSP’s description of TMTHF’s solvation power is more indicative of its performance than KAT’s.</w:t>
      </w:r>
    </w:p>
    <w:p w14:paraId="385D186A" w14:textId="413ECB4B" w:rsidR="008F3050" w:rsidRPr="000D0229" w:rsidRDefault="008F3050" w:rsidP="008F3050">
      <w:pPr>
        <w:pStyle w:val="RSCB07BHeadingSub-Section-standalone"/>
      </w:pPr>
      <w:r w:rsidRPr="000D0229">
        <w:t xml:space="preserve">Fischer esterification and amidation reaction testing </w:t>
      </w:r>
    </w:p>
    <w:p w14:paraId="4960B759" w14:textId="39FA28BE" w:rsidR="0025439F" w:rsidRPr="000D0229" w:rsidRDefault="002442B1" w:rsidP="002442B1">
      <w:pPr>
        <w:pStyle w:val="RSCB02ArticleText"/>
      </w:pPr>
      <w:r w:rsidRPr="000D0229">
        <w:t>It has previously been shown that the reaction rate of the catalyst-free Fischer esterification of butanoic anhydride with 1-butanol to produce butyl butanoate (Figure 3) and the catalyst-free amidation of 4-phenylbutanoic aci</w:t>
      </w:r>
      <w:r w:rsidR="00315D86" w:rsidRPr="000D0229">
        <w:t>d with benzylamine to produce (F</w:t>
      </w:r>
      <w:r w:rsidRPr="000D0229">
        <w:t xml:space="preserve">igure 4) are enhanced by solvents with a low basicity, </w:t>
      </w:r>
      <m:oMath>
        <m:r>
          <m:rPr>
            <m:sty m:val="p"/>
          </m:rPr>
          <w:rPr>
            <w:rFonts w:ascii="Cambria Math" w:hAnsi="Cambria Math" w:cs="Arial"/>
          </w:rPr>
          <m:t>β</m:t>
        </m:r>
      </m:oMath>
      <w:r w:rsidRPr="000D0229">
        <w:t>, by the use of linear solvation energy relationships (LSER).</w:t>
      </w:r>
      <w:r w:rsidRPr="000D0229">
        <w:fldChar w:fldCharType="begin"/>
      </w:r>
      <w:r w:rsidRPr="000D0229">
        <w:instrText xml:space="preserve"> ADDIN ZOTERO_ITEM CSL_CITATION {"citationID":"2hffrjumf4","properties":{"formattedCitation":"{\\rtf \\super 11\\nosupersub{}}","plainCitation":"11"},"citationItems":[{"id":554,"uris":["http://zotero.org/users/1738524/items/NNSUP5P2"],"uri":["http://zotero.org/users/1738524/items/NNSUP5P2"],"itemData":{"id":554,"type":"article-journal","title":"A quantitative comparison between conventional and bio-derived solvents from citrus waste in esterification and amidation kinetic studies","container-title":"Green Chemistry","page":"90","volume":"14","issue":"1","source":"CrossRef","DOI":"10.1039/c1gc16299c","ISSN":"1463-9262, 1463-9270","author":[{"family":"Clark","given":"James H."},{"family":"Macquarrie","given":"Duncan J."},{"family":"Sherwood","given":"James"}],"issued":{"date-parts":[["2012"]]}}}],"schema":"https://github.com/citation-style-language/schema/raw/master/csl-citation.json"} </w:instrText>
      </w:r>
      <w:r w:rsidRPr="000D0229">
        <w:fldChar w:fldCharType="separate"/>
      </w:r>
      <w:r w:rsidR="00653A21" w:rsidRPr="000D0229">
        <w:rPr>
          <w:rFonts w:ascii="Calibri" w:hAnsi="Calibri"/>
          <w:szCs w:val="24"/>
          <w:vertAlign w:val="superscript"/>
        </w:rPr>
        <w:t>11</w:t>
      </w:r>
      <w:r w:rsidRPr="000D0229">
        <w:fldChar w:fldCharType="end"/>
      </w:r>
      <w:r w:rsidR="00BE2C22" w:rsidRPr="000D0229">
        <w:t xml:space="preserve"> </w:t>
      </w:r>
    </w:p>
    <w:p w14:paraId="1E7BB26F" w14:textId="4CF9D3BE" w:rsidR="0025439F" w:rsidRPr="000D0229" w:rsidRDefault="001027C7" w:rsidP="0025439F">
      <w:pPr>
        <w:pStyle w:val="Tablemolecules"/>
      </w:pPr>
      <w:r w:rsidRPr="000D0229">
        <w:rPr>
          <w:noProof/>
        </w:rPr>
        <w:drawing>
          <wp:anchor distT="0" distB="0" distL="114300" distR="114300" simplePos="0" relativeHeight="251688960" behindDoc="0" locked="0" layoutInCell="1" allowOverlap="1" wp14:anchorId="0A77BED6" wp14:editId="52858FB9">
            <wp:simplePos x="0" y="0"/>
            <wp:positionH relativeFrom="column">
              <wp:align>right</wp:align>
            </wp:positionH>
            <wp:positionV relativeFrom="paragraph">
              <wp:posOffset>1184690</wp:posOffset>
            </wp:positionV>
            <wp:extent cx="3168015" cy="205867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2058670"/>
                    </a:xfrm>
                    <a:prstGeom prst="rect">
                      <a:avLst/>
                    </a:prstGeom>
                  </pic:spPr>
                </pic:pic>
              </a:graphicData>
            </a:graphic>
          </wp:anchor>
        </w:drawing>
      </w:r>
      <w:r w:rsidR="0025439F" w:rsidRPr="000D0229">
        <w:object w:dxaOrig="4565" w:dyaOrig="1769" w14:anchorId="01E76563">
          <v:shape id="_x0000_i1026" type="#_x0000_t75" style="width:228.25pt;height:88.45pt" o:ole="">
            <v:imagedata r:id="rId18" o:title=""/>
          </v:shape>
          <o:OLEObject Type="Embed" ProgID="ChemDraw.Document.6.0" ShapeID="_x0000_i1026" DrawAspect="Content" ObjectID="_1560759041" r:id="rId19"/>
        </w:object>
      </w:r>
    </w:p>
    <w:p w14:paraId="647BA9BE" w14:textId="37D6023E" w:rsidR="0025439F" w:rsidRPr="000D0229" w:rsidRDefault="00BB68DE" w:rsidP="0025439F">
      <w:pPr>
        <w:pStyle w:val="RSCI04CaptiontoFigureSchemeChart"/>
      </w:pPr>
      <w:r w:rsidRPr="000D0229">
        <w:t>Figure 3</w:t>
      </w:r>
      <w:r w:rsidR="0025439F" w:rsidRPr="000D0229">
        <w:t>. Fischer esterification reaction scheme and LSER graph.</w:t>
      </w:r>
    </w:p>
    <w:p w14:paraId="260978B3" w14:textId="4CC7656D" w:rsidR="00BE2C22" w:rsidRPr="000D0229" w:rsidRDefault="002442B1" w:rsidP="002442B1">
      <w:pPr>
        <w:pStyle w:val="RSCB02ArticleText"/>
      </w:pPr>
      <w:r w:rsidRPr="000D0229">
        <w:t xml:space="preserve">The </w:t>
      </w:r>
      <m:oMath>
        <m:r>
          <w:rPr>
            <w:rFonts w:ascii="Cambria Math" w:hAnsi="Cambria Math" w:cs="Arial"/>
          </w:rPr>
          <m:t>α</m:t>
        </m:r>
      </m:oMath>
      <w:r w:rsidRPr="000D0229">
        <w:t xml:space="preserve"> and </w:t>
      </w:r>
      <m:oMath>
        <m:sSup>
          <m:sSupPr>
            <m:ctrlPr>
              <w:rPr>
                <w:rFonts w:ascii="Cambria Math" w:hAnsi="Cambria Math" w:cs="Arial"/>
                <w:i/>
              </w:rPr>
            </m:ctrlPr>
          </m:sSupPr>
          <m:e>
            <m:r>
              <w:rPr>
                <w:rFonts w:ascii="Cambria Math" w:hAnsi="Cambria Math" w:cs="Arial"/>
              </w:rPr>
              <m:t>π</m:t>
            </m:r>
          </m:e>
          <m:sup>
            <m:r>
              <w:rPr>
                <w:rFonts w:ascii="Cambria Math" w:hAnsi="Cambria Math" w:cs="Arial"/>
              </w:rPr>
              <m:t>*</m:t>
            </m:r>
          </m:sup>
        </m:sSup>
      </m:oMath>
      <w:r w:rsidRPr="000D0229">
        <w:t xml:space="preserve"> parameters were found not to be statistically significant in these reactions. The use of TMTHF as the reaction solvent breaks from the trend observed by Sherwood </w:t>
      </w:r>
      <w:r w:rsidRPr="000D0229">
        <w:rPr>
          <w:i/>
        </w:rPr>
        <w:t>et al.</w:t>
      </w:r>
      <w:r w:rsidRPr="000D0229">
        <w:t xml:space="preserve"> in both reactions. </w:t>
      </w:r>
    </w:p>
    <w:p w14:paraId="005E59F5" w14:textId="494FC1EB" w:rsidR="002442B1" w:rsidRPr="000D0229" w:rsidRDefault="004C42D7" w:rsidP="001027C7">
      <w:pPr>
        <w:pStyle w:val="RSCB02ArticleText"/>
        <w:ind w:firstLine="284"/>
      </w:pPr>
      <w:r w:rsidRPr="000D0229">
        <w:t xml:space="preserve">It can be seen in Figures 3 and 4 that the rates of both reactions when using TMTHF as the solvent were more comparable to that of high-performing toluene and </w:t>
      </w:r>
      <w:r w:rsidRPr="000D0229">
        <w:rPr>
          <w:i/>
        </w:rPr>
        <w:t>para</w:t>
      </w:r>
      <w:r w:rsidRPr="000D0229">
        <w:t xml:space="preserve">-cymene, than those of either dimethylformamide (DMF), a solvent with a similarly high </w:t>
      </w:r>
      <m:oMath>
        <m:r>
          <w:rPr>
            <w:rFonts w:ascii="Cambria Math" w:hAnsi="Cambria Math" w:cs="Arial"/>
          </w:rPr>
          <m:t>β</m:t>
        </m:r>
      </m:oMath>
      <w:r w:rsidRPr="000D0229">
        <w:t>, or 1,4-dioxane, a traditional ether. This supports the hypothesis that TMTHF’s high</w:t>
      </w:r>
      <m:oMath>
        <m:r>
          <w:rPr>
            <w:rFonts w:ascii="Cambria Math" w:hAnsi="Cambria Math" w:cs="Arial"/>
          </w:rPr>
          <m:t xml:space="preserve"> β</m:t>
        </m:r>
      </m:oMath>
      <w:r w:rsidRPr="000D0229">
        <w:t xml:space="preserve"> is, in practice, sterically impeded by the four methyl groups, resulting in a solvent which is more similar to the non-polar solvents </w:t>
      </w:r>
      <w:r w:rsidR="005D76B6" w:rsidRPr="000D0229">
        <w:t xml:space="preserve">toluene and </w:t>
      </w:r>
      <w:r w:rsidR="005D76B6" w:rsidRPr="000D0229">
        <w:rPr>
          <w:i/>
        </w:rPr>
        <w:t>para</w:t>
      </w:r>
      <w:r w:rsidR="005D76B6" w:rsidRPr="000D0229">
        <w:t xml:space="preserve">-cymene, both of which can promote Fischer </w:t>
      </w:r>
      <w:r w:rsidR="002442B1" w:rsidRPr="000D0229">
        <w:t xml:space="preserve">esterification and amidation reactions better than normal ethers. </w:t>
      </w:r>
    </w:p>
    <w:p w14:paraId="2D2E1C04" w14:textId="1F7C8E8A" w:rsidR="008F3050" w:rsidRPr="000D0229" w:rsidRDefault="008F3050" w:rsidP="008F3050">
      <w:pPr>
        <w:pStyle w:val="RSCB07BHeadingSub-Section-standalone"/>
      </w:pPr>
      <w:r w:rsidRPr="000D0229">
        <w:t xml:space="preserve">Grignard reaction testing </w:t>
      </w:r>
    </w:p>
    <w:p w14:paraId="3EADA973" w14:textId="6168EC32" w:rsidR="002442B1" w:rsidRDefault="002442B1" w:rsidP="002442B1">
      <w:pPr>
        <w:pStyle w:val="RSCB02ArticleText"/>
      </w:pPr>
      <w:r w:rsidRPr="000D0229">
        <w:t>TMTHF’s disparity from other ethers is further demonstrated by its inability to form some Grignard reagents. This is shown in the Grignard reaction between benzyl halides and 2-butanone (</w:t>
      </w:r>
      <w:r w:rsidR="00A00166" w:rsidRPr="000D0229">
        <w:t>Table 2</w:t>
      </w:r>
      <w:r w:rsidRPr="000D0229">
        <w:t>). These reaction were chosen as they are known to proceed to varying degrees using different ethers.</w:t>
      </w:r>
      <w:r w:rsidRPr="000D0229">
        <w:fldChar w:fldCharType="begin"/>
      </w:r>
      <w:r w:rsidR="00FF231A" w:rsidRPr="000D0229">
        <w:instrText xml:space="preserve"> ADDIN ZOTERO_ITEM CSL_CITATION {"citationID":"1o5aq50vv8","properties":{"formattedCitation":"{\\rtf \\super 46\\nosupersub{}}","plainCitation":"46"},"citationItems":[{"id":990,"uris":["http://zotero.org/users/1738524/items/4CIRAZQG"],"uri":["http://zotero.org/users/1738524/items/4CIRAZQG"],"itemData":{"id":990,"type":"article-journal","title":"Comparative performance evaluation and systematic screening of solvents in a range of Grignard reactions","container-title":"Green Chemistry","page":"1880-1888","volume":"15","issue":"7","source":"pubs.rsc.org","abstract":"The solvent effect on the Grignard reaction of benzyl, aryl and heteroaromatic substrates has been systematically evaluated based on reaction efficiency, ease of subsequent work-up, safety and greenness. 2-Methyltetrahydrofuran (2-MeTHF), which can be derived from renewable resources, had at least an equal if not a superior overall process most notably in suppressing the Wurtz coupling by-product from the benzyl Grignard reactions. It is therefore a recommended alternative solvent to Et2O and THF for the preparation of most Grignard reagents and their subsequent reactions.","DOI":"10.1039/C3GC40702K","ISSN":"1463-9270","journalAbbreviation":"Green Chem.","language":"en","author":[{"family":"Kadam","given":"Asha"},{"family":"Nguyen","given":"Mylinh"},{"family":"Kopach","given":"Michael"},{"family":"Richardson","given":"Paul"},{"family":"Gallou","given":"Fabrice"},{"family":"Wan","given":"Zhao-Kui"},{"family":"Zhang","given":"Wei"}],"issued":{"date-parts":[["2013",6,21]]}}}],"schema":"https://github.com/citation-style-language/schema/raw/master/csl-citation.json"} </w:instrText>
      </w:r>
      <w:r w:rsidRPr="000D0229">
        <w:fldChar w:fldCharType="separate"/>
      </w:r>
      <w:r w:rsidR="00653A21" w:rsidRPr="000D0229">
        <w:rPr>
          <w:rFonts w:ascii="Calibri" w:hAnsi="Calibri"/>
          <w:szCs w:val="24"/>
          <w:vertAlign w:val="superscript"/>
        </w:rPr>
        <w:t>46</w:t>
      </w:r>
      <w:r w:rsidRPr="000D0229">
        <w:fldChar w:fldCharType="end"/>
      </w:r>
      <w:r w:rsidRPr="000D0229">
        <w:t xml:space="preserve"> 2-MeTHF </w:t>
      </w:r>
      <w:r w:rsidRPr="000D0229">
        <w:t xml:space="preserve">was more selective for the Grignard product, </w:t>
      </w:r>
      <w:r w:rsidRPr="000D0229">
        <w:rPr>
          <w:b/>
        </w:rPr>
        <w:t>6</w:t>
      </w:r>
      <w:r w:rsidRPr="000D0229">
        <w:t xml:space="preserve">, while THF was more selective for the Wurtz product, </w:t>
      </w:r>
      <w:r w:rsidRPr="000D0229">
        <w:rPr>
          <w:b/>
        </w:rPr>
        <w:t>5</w:t>
      </w:r>
      <w:r w:rsidRPr="000D0229">
        <w:t xml:space="preserve">, in reactions A and B. </w:t>
      </w:r>
    </w:p>
    <w:p w14:paraId="61818ECD" w14:textId="7DB02339" w:rsidR="001027C7" w:rsidRDefault="001027C7" w:rsidP="002442B1">
      <w:pPr>
        <w:pStyle w:val="RSCB02ArticleText"/>
      </w:pPr>
    </w:p>
    <w:p w14:paraId="0174B490" w14:textId="13CF217A" w:rsidR="001027C7" w:rsidRPr="000D0229" w:rsidRDefault="001027C7" w:rsidP="001027C7">
      <w:pPr>
        <w:pStyle w:val="Tablemolecules"/>
      </w:pPr>
      <w:r w:rsidRPr="000D0229">
        <w:rPr>
          <w:noProof/>
        </w:rPr>
        <w:drawing>
          <wp:anchor distT="0" distB="0" distL="114300" distR="114300" simplePos="0" relativeHeight="251689984" behindDoc="0" locked="0" layoutInCell="1" allowOverlap="1" wp14:anchorId="76B39933" wp14:editId="41531A41">
            <wp:simplePos x="0" y="0"/>
            <wp:positionH relativeFrom="margin">
              <wp:posOffset>3323645</wp:posOffset>
            </wp:positionH>
            <wp:positionV relativeFrom="paragraph">
              <wp:posOffset>962108</wp:posOffset>
            </wp:positionV>
            <wp:extent cx="3168015" cy="205867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2058670"/>
                    </a:xfrm>
                    <a:prstGeom prst="rect">
                      <a:avLst/>
                    </a:prstGeom>
                  </pic:spPr>
                </pic:pic>
              </a:graphicData>
            </a:graphic>
            <wp14:sizeRelH relativeFrom="margin">
              <wp14:pctWidth>0</wp14:pctWidth>
            </wp14:sizeRelH>
            <wp14:sizeRelV relativeFrom="margin">
              <wp14:pctHeight>0</wp14:pctHeight>
            </wp14:sizeRelV>
          </wp:anchor>
        </w:drawing>
      </w:r>
      <w:r w:rsidRPr="000D0229">
        <w:object w:dxaOrig="4449" w:dyaOrig="1505" w14:anchorId="51FD6767">
          <v:shape id="_x0000_i1027" type="#_x0000_t75" style="width:222.45pt;height:75.25pt" o:ole="">
            <v:imagedata r:id="rId21" o:title=""/>
          </v:shape>
          <o:OLEObject Type="Embed" ProgID="ChemDraw.Document.6.0" ShapeID="_x0000_i1027" DrawAspect="Content" ObjectID="_1560759042" r:id="rId22"/>
        </w:object>
      </w:r>
    </w:p>
    <w:p w14:paraId="3BF58ACE" w14:textId="111E5C36" w:rsidR="001E7E1D" w:rsidRDefault="001027C7" w:rsidP="001E7E1D">
      <w:pPr>
        <w:pStyle w:val="RSCI04CaptiontoFigureSchemeChart"/>
      </w:pPr>
      <w:r w:rsidRPr="000D0229">
        <w:t>Figure 4. Amidation reaction scheme and LSER graph.</w:t>
      </w:r>
    </w:p>
    <w:p w14:paraId="32A88347" w14:textId="45C72980" w:rsidR="001E7E1D" w:rsidRDefault="001E7E1D" w:rsidP="00B02A18">
      <w:pPr>
        <w:pStyle w:val="RSCT02Tabletitlewithouttopbar"/>
      </w:pPr>
      <w:r w:rsidRPr="000D0229">
        <w:t>Table 2. Results of the Grignard reactions in THF, 2-MeTHF, TMTHF and toluene.</w:t>
      </w:r>
    </w:p>
    <w:p w14:paraId="4775ACB5" w14:textId="773481B8" w:rsidR="00B02A18" w:rsidRPr="000D0229" w:rsidRDefault="001E7E1D" w:rsidP="001E7E1D">
      <w:pPr>
        <w:pStyle w:val="Tablemolecules"/>
      </w:pPr>
      <w:r w:rsidRPr="000D0229">
        <w:object w:dxaOrig="4795" w:dyaOrig="2587" w14:anchorId="6B8F655D">
          <v:shape id="_x0000_i1028" type="#_x0000_t75" style="width:239.75pt;height:129.35pt" o:ole="">
            <v:imagedata r:id="rId23" o:title=""/>
          </v:shape>
          <o:OLEObject Type="Embed" ProgID="ChemDraw.Document.6.0" ShapeID="_x0000_i1028" DrawAspect="Content" ObjectID="_1560759043" r:id="rId24"/>
        </w:objec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015"/>
        <w:gridCol w:w="879"/>
        <w:gridCol w:w="1138"/>
        <w:gridCol w:w="847"/>
      </w:tblGrid>
      <w:tr w:rsidR="00B02A18" w:rsidRPr="000D0229" w14:paraId="0D1FB340" w14:textId="77777777" w:rsidTr="001E7E1D">
        <w:trPr>
          <w:trHeight w:val="187"/>
        </w:trPr>
        <w:tc>
          <w:tcPr>
            <w:tcW w:w="1110" w:type="dxa"/>
            <w:tcBorders>
              <w:bottom w:val="nil"/>
            </w:tcBorders>
            <w:vAlign w:val="bottom"/>
          </w:tcPr>
          <w:p w14:paraId="291B32DE" w14:textId="77777777" w:rsidR="00B02A18" w:rsidRPr="000D0229" w:rsidRDefault="00B02A18" w:rsidP="00525939">
            <w:pPr>
              <w:pStyle w:val="RSCT03TableBody"/>
            </w:pPr>
          </w:p>
        </w:tc>
        <w:tc>
          <w:tcPr>
            <w:tcW w:w="1894" w:type="dxa"/>
            <w:gridSpan w:val="2"/>
            <w:tcBorders>
              <w:bottom w:val="nil"/>
            </w:tcBorders>
            <w:vAlign w:val="bottom"/>
          </w:tcPr>
          <w:p w14:paraId="137B3F6D" w14:textId="77777777" w:rsidR="00B02A18" w:rsidRPr="000D0229" w:rsidRDefault="00B02A18" w:rsidP="00525939">
            <w:pPr>
              <w:pStyle w:val="RSCT03TableBody"/>
            </w:pPr>
            <w:r w:rsidRPr="000D0229">
              <w:t>Reaction A</w:t>
            </w:r>
          </w:p>
        </w:tc>
        <w:tc>
          <w:tcPr>
            <w:tcW w:w="1985" w:type="dxa"/>
            <w:gridSpan w:val="2"/>
            <w:tcBorders>
              <w:bottom w:val="nil"/>
            </w:tcBorders>
            <w:vAlign w:val="bottom"/>
          </w:tcPr>
          <w:p w14:paraId="7A3CE4BA" w14:textId="77777777" w:rsidR="00B02A18" w:rsidRPr="000D0229" w:rsidRDefault="00B02A18" w:rsidP="00525939">
            <w:pPr>
              <w:pStyle w:val="RSCT03TableBody"/>
            </w:pPr>
            <w:r w:rsidRPr="000D0229">
              <w:t>Reaction B</w:t>
            </w:r>
          </w:p>
        </w:tc>
      </w:tr>
      <w:tr w:rsidR="00B02A18" w:rsidRPr="000D0229" w14:paraId="06493581" w14:textId="77777777" w:rsidTr="001E7E1D">
        <w:trPr>
          <w:trHeight w:val="227"/>
        </w:trPr>
        <w:tc>
          <w:tcPr>
            <w:tcW w:w="1110" w:type="dxa"/>
            <w:tcBorders>
              <w:top w:val="nil"/>
              <w:bottom w:val="single" w:sz="4" w:space="0" w:color="auto"/>
            </w:tcBorders>
          </w:tcPr>
          <w:p w14:paraId="142C6583" w14:textId="77777777" w:rsidR="00B02A18" w:rsidRPr="000D0229" w:rsidRDefault="00B02A18" w:rsidP="00525939">
            <w:pPr>
              <w:pStyle w:val="TableHead"/>
              <w:jc w:val="center"/>
            </w:pPr>
            <w:r w:rsidRPr="000D0229">
              <w:t>Solvent</w:t>
            </w:r>
          </w:p>
        </w:tc>
        <w:tc>
          <w:tcPr>
            <w:tcW w:w="1015" w:type="dxa"/>
            <w:tcBorders>
              <w:top w:val="nil"/>
              <w:bottom w:val="single" w:sz="4" w:space="0" w:color="auto"/>
            </w:tcBorders>
          </w:tcPr>
          <w:p w14:paraId="063EFC1B" w14:textId="77777777" w:rsidR="00B02A18" w:rsidRPr="000D0229" w:rsidRDefault="00B02A18" w:rsidP="00525939">
            <w:pPr>
              <w:pStyle w:val="TableHead"/>
              <w:jc w:val="center"/>
            </w:pPr>
            <w:r w:rsidRPr="000D0229">
              <w:t>Conv. / %</w:t>
            </w:r>
          </w:p>
        </w:tc>
        <w:tc>
          <w:tcPr>
            <w:tcW w:w="879" w:type="dxa"/>
            <w:tcBorders>
              <w:top w:val="nil"/>
              <w:bottom w:val="single" w:sz="4" w:space="0" w:color="auto"/>
            </w:tcBorders>
          </w:tcPr>
          <w:p w14:paraId="395A3D0C" w14:textId="77777777" w:rsidR="00B02A18" w:rsidRPr="000D0229" w:rsidRDefault="00B02A18" w:rsidP="00525939">
            <w:pPr>
              <w:pStyle w:val="TableHead"/>
              <w:jc w:val="center"/>
            </w:pPr>
            <w:r w:rsidRPr="000D0229">
              <w:t>6:5</w:t>
            </w:r>
          </w:p>
        </w:tc>
        <w:tc>
          <w:tcPr>
            <w:tcW w:w="1138" w:type="dxa"/>
            <w:tcBorders>
              <w:top w:val="nil"/>
              <w:bottom w:val="single" w:sz="4" w:space="0" w:color="auto"/>
            </w:tcBorders>
          </w:tcPr>
          <w:p w14:paraId="55E4D9C3" w14:textId="77777777" w:rsidR="00B02A18" w:rsidRPr="000D0229" w:rsidRDefault="00B02A18" w:rsidP="00525939">
            <w:pPr>
              <w:pStyle w:val="TableHead"/>
              <w:jc w:val="center"/>
            </w:pPr>
            <w:r w:rsidRPr="000D0229">
              <w:t>Conv. / %</w:t>
            </w:r>
          </w:p>
        </w:tc>
        <w:tc>
          <w:tcPr>
            <w:tcW w:w="847" w:type="dxa"/>
            <w:tcBorders>
              <w:top w:val="nil"/>
              <w:bottom w:val="single" w:sz="4" w:space="0" w:color="auto"/>
            </w:tcBorders>
          </w:tcPr>
          <w:p w14:paraId="4782F6F7" w14:textId="77777777" w:rsidR="00B02A18" w:rsidRPr="000D0229" w:rsidRDefault="00B02A18" w:rsidP="00525939">
            <w:pPr>
              <w:pStyle w:val="TableHead"/>
              <w:jc w:val="center"/>
            </w:pPr>
            <w:r w:rsidRPr="000D0229">
              <w:t>6:5</w:t>
            </w:r>
          </w:p>
        </w:tc>
      </w:tr>
      <w:tr w:rsidR="00B02A18" w:rsidRPr="000D0229" w14:paraId="22A9ACFF" w14:textId="77777777" w:rsidTr="001E7E1D">
        <w:tc>
          <w:tcPr>
            <w:tcW w:w="1110" w:type="dxa"/>
            <w:tcBorders>
              <w:top w:val="single" w:sz="4" w:space="0" w:color="auto"/>
            </w:tcBorders>
          </w:tcPr>
          <w:p w14:paraId="41964C30" w14:textId="77777777" w:rsidR="00B02A18" w:rsidRPr="000D0229" w:rsidRDefault="00B02A18" w:rsidP="00525939">
            <w:pPr>
              <w:pStyle w:val="RSCT03TableBody"/>
            </w:pPr>
            <w:r w:rsidRPr="000D0229">
              <w:t>THF</w:t>
            </w:r>
          </w:p>
        </w:tc>
        <w:tc>
          <w:tcPr>
            <w:tcW w:w="1015" w:type="dxa"/>
            <w:tcBorders>
              <w:top w:val="single" w:sz="4" w:space="0" w:color="auto"/>
            </w:tcBorders>
          </w:tcPr>
          <w:p w14:paraId="3DF59B5D" w14:textId="77777777" w:rsidR="00B02A18" w:rsidRPr="000D0229" w:rsidRDefault="00B02A18" w:rsidP="00525939">
            <w:pPr>
              <w:pStyle w:val="RSCT03TableBody"/>
            </w:pPr>
            <w:r w:rsidRPr="000D0229">
              <w:t>99</w:t>
            </w:r>
          </w:p>
        </w:tc>
        <w:tc>
          <w:tcPr>
            <w:tcW w:w="879" w:type="dxa"/>
            <w:tcBorders>
              <w:top w:val="single" w:sz="4" w:space="0" w:color="auto"/>
            </w:tcBorders>
          </w:tcPr>
          <w:p w14:paraId="12561508" w14:textId="77777777" w:rsidR="00B02A18" w:rsidRPr="000D0229" w:rsidRDefault="00B02A18" w:rsidP="00525939">
            <w:pPr>
              <w:pStyle w:val="RSCT03TableBody"/>
            </w:pPr>
            <w:r w:rsidRPr="000D0229">
              <w:t>18:82</w:t>
            </w:r>
          </w:p>
        </w:tc>
        <w:tc>
          <w:tcPr>
            <w:tcW w:w="1138" w:type="dxa"/>
            <w:tcBorders>
              <w:top w:val="single" w:sz="4" w:space="0" w:color="auto"/>
            </w:tcBorders>
          </w:tcPr>
          <w:p w14:paraId="0B718A02" w14:textId="77777777" w:rsidR="00B02A18" w:rsidRPr="000D0229" w:rsidRDefault="00B02A18" w:rsidP="00525939">
            <w:pPr>
              <w:pStyle w:val="RSCT03TableBody"/>
            </w:pPr>
            <w:r w:rsidRPr="000D0229">
              <w:t>99</w:t>
            </w:r>
          </w:p>
        </w:tc>
        <w:tc>
          <w:tcPr>
            <w:tcW w:w="847" w:type="dxa"/>
            <w:tcBorders>
              <w:top w:val="single" w:sz="4" w:space="0" w:color="auto"/>
            </w:tcBorders>
          </w:tcPr>
          <w:p w14:paraId="1DC827C0" w14:textId="77777777" w:rsidR="00B02A18" w:rsidRPr="000D0229" w:rsidRDefault="00B02A18" w:rsidP="00525939">
            <w:pPr>
              <w:pStyle w:val="RSCT03TableBody"/>
            </w:pPr>
            <w:r w:rsidRPr="000D0229">
              <w:t>33:67</w:t>
            </w:r>
          </w:p>
        </w:tc>
      </w:tr>
      <w:tr w:rsidR="00B02A18" w:rsidRPr="000D0229" w14:paraId="2E7103FC" w14:textId="77777777" w:rsidTr="001E7E1D">
        <w:tc>
          <w:tcPr>
            <w:tcW w:w="1110" w:type="dxa"/>
          </w:tcPr>
          <w:p w14:paraId="625E679C" w14:textId="77777777" w:rsidR="00B02A18" w:rsidRPr="000D0229" w:rsidRDefault="00B02A18" w:rsidP="00525939">
            <w:pPr>
              <w:pStyle w:val="RSCT03TableBody"/>
            </w:pPr>
            <w:r w:rsidRPr="000D0229">
              <w:t>2-MeTHF</w:t>
            </w:r>
          </w:p>
        </w:tc>
        <w:tc>
          <w:tcPr>
            <w:tcW w:w="1015" w:type="dxa"/>
          </w:tcPr>
          <w:p w14:paraId="5AB9B59F" w14:textId="77777777" w:rsidR="00B02A18" w:rsidRPr="000D0229" w:rsidRDefault="00B02A18" w:rsidP="00525939">
            <w:pPr>
              <w:pStyle w:val="RSCT03TableBody"/>
            </w:pPr>
            <w:r w:rsidRPr="000D0229">
              <w:t>100</w:t>
            </w:r>
          </w:p>
        </w:tc>
        <w:tc>
          <w:tcPr>
            <w:tcW w:w="879" w:type="dxa"/>
          </w:tcPr>
          <w:p w14:paraId="21796875" w14:textId="77777777" w:rsidR="00B02A18" w:rsidRPr="000D0229" w:rsidRDefault="00B02A18" w:rsidP="00525939">
            <w:pPr>
              <w:pStyle w:val="RSCT03TableBody"/>
            </w:pPr>
            <w:r w:rsidRPr="000D0229">
              <w:t>87:13</w:t>
            </w:r>
          </w:p>
        </w:tc>
        <w:tc>
          <w:tcPr>
            <w:tcW w:w="1138" w:type="dxa"/>
          </w:tcPr>
          <w:p w14:paraId="49A92639" w14:textId="77777777" w:rsidR="00B02A18" w:rsidRPr="000D0229" w:rsidRDefault="00B02A18" w:rsidP="00525939">
            <w:pPr>
              <w:pStyle w:val="RSCT03TableBody"/>
            </w:pPr>
            <w:r w:rsidRPr="000D0229">
              <w:t>100</w:t>
            </w:r>
          </w:p>
        </w:tc>
        <w:tc>
          <w:tcPr>
            <w:tcW w:w="847" w:type="dxa"/>
          </w:tcPr>
          <w:p w14:paraId="792C2AC0" w14:textId="77777777" w:rsidR="00B02A18" w:rsidRPr="000D0229" w:rsidRDefault="00B02A18" w:rsidP="00525939">
            <w:pPr>
              <w:pStyle w:val="RSCT03TableBody"/>
            </w:pPr>
            <w:r w:rsidRPr="000D0229">
              <w:t>97:3</w:t>
            </w:r>
          </w:p>
        </w:tc>
      </w:tr>
      <w:tr w:rsidR="00B02A18" w:rsidRPr="000D0229" w14:paraId="3297CCB4" w14:textId="77777777" w:rsidTr="001E7E1D">
        <w:tc>
          <w:tcPr>
            <w:tcW w:w="1110" w:type="dxa"/>
          </w:tcPr>
          <w:p w14:paraId="40B29451" w14:textId="77777777" w:rsidR="00B02A18" w:rsidRPr="000D0229" w:rsidRDefault="00B02A18" w:rsidP="00525939">
            <w:pPr>
              <w:pStyle w:val="RSCT03TableBody"/>
            </w:pPr>
            <w:r w:rsidRPr="000D0229">
              <w:t>TMTHF</w:t>
            </w:r>
          </w:p>
        </w:tc>
        <w:tc>
          <w:tcPr>
            <w:tcW w:w="1015" w:type="dxa"/>
          </w:tcPr>
          <w:p w14:paraId="1DF0C2FE" w14:textId="77777777" w:rsidR="00B02A18" w:rsidRPr="000D0229" w:rsidRDefault="00B02A18" w:rsidP="00525939">
            <w:pPr>
              <w:pStyle w:val="RSCT03TableBody"/>
            </w:pPr>
            <w:r w:rsidRPr="000D0229">
              <w:t>0</w:t>
            </w:r>
          </w:p>
        </w:tc>
        <w:tc>
          <w:tcPr>
            <w:tcW w:w="879" w:type="dxa"/>
          </w:tcPr>
          <w:p w14:paraId="38753C67" w14:textId="77777777" w:rsidR="00B02A18" w:rsidRPr="000D0229" w:rsidRDefault="00B02A18" w:rsidP="00525939">
            <w:pPr>
              <w:pStyle w:val="RSCT03TableBody"/>
            </w:pPr>
            <w:r w:rsidRPr="000D0229">
              <w:t>-</w:t>
            </w:r>
          </w:p>
        </w:tc>
        <w:tc>
          <w:tcPr>
            <w:tcW w:w="1138" w:type="dxa"/>
          </w:tcPr>
          <w:p w14:paraId="049B02C1" w14:textId="77777777" w:rsidR="00B02A18" w:rsidRPr="000D0229" w:rsidRDefault="00B02A18" w:rsidP="00525939">
            <w:pPr>
              <w:pStyle w:val="RSCT03TableBody"/>
            </w:pPr>
            <w:r w:rsidRPr="000D0229">
              <w:t>0</w:t>
            </w:r>
          </w:p>
        </w:tc>
        <w:tc>
          <w:tcPr>
            <w:tcW w:w="847" w:type="dxa"/>
          </w:tcPr>
          <w:p w14:paraId="49C55697" w14:textId="77777777" w:rsidR="00B02A18" w:rsidRPr="000D0229" w:rsidRDefault="00B02A18" w:rsidP="00525939">
            <w:pPr>
              <w:pStyle w:val="RSCT03TableBody"/>
            </w:pPr>
            <w:r w:rsidRPr="000D0229">
              <w:t>-</w:t>
            </w:r>
          </w:p>
        </w:tc>
      </w:tr>
      <w:tr w:rsidR="00B02A18" w:rsidRPr="000D0229" w14:paraId="0DD31AE0" w14:textId="77777777" w:rsidTr="001E7E1D">
        <w:tc>
          <w:tcPr>
            <w:tcW w:w="1110" w:type="dxa"/>
          </w:tcPr>
          <w:p w14:paraId="0494D3CF" w14:textId="77777777" w:rsidR="00B02A18" w:rsidRPr="000D0229" w:rsidRDefault="00B02A18" w:rsidP="00525939">
            <w:pPr>
              <w:pStyle w:val="RSCT03TableBody"/>
            </w:pPr>
            <w:r w:rsidRPr="000D0229">
              <w:t>Toluene</w:t>
            </w:r>
          </w:p>
        </w:tc>
        <w:tc>
          <w:tcPr>
            <w:tcW w:w="1015" w:type="dxa"/>
          </w:tcPr>
          <w:p w14:paraId="5C8E6B70" w14:textId="77777777" w:rsidR="00B02A18" w:rsidRPr="000D0229" w:rsidRDefault="00B02A18" w:rsidP="00525939">
            <w:pPr>
              <w:pStyle w:val="RSCT03TableBody"/>
            </w:pPr>
            <w:r w:rsidRPr="000D0229">
              <w:t>0</w:t>
            </w:r>
          </w:p>
        </w:tc>
        <w:tc>
          <w:tcPr>
            <w:tcW w:w="879" w:type="dxa"/>
          </w:tcPr>
          <w:p w14:paraId="5EBC8D37" w14:textId="77777777" w:rsidR="00B02A18" w:rsidRPr="000D0229" w:rsidRDefault="00B02A18" w:rsidP="00525939">
            <w:pPr>
              <w:pStyle w:val="RSCT03TableBody"/>
            </w:pPr>
            <w:r w:rsidRPr="000D0229">
              <w:t>-</w:t>
            </w:r>
          </w:p>
        </w:tc>
        <w:tc>
          <w:tcPr>
            <w:tcW w:w="1138" w:type="dxa"/>
          </w:tcPr>
          <w:p w14:paraId="0282558B" w14:textId="77777777" w:rsidR="00B02A18" w:rsidRPr="000D0229" w:rsidRDefault="00B02A18" w:rsidP="00525939">
            <w:pPr>
              <w:pStyle w:val="RSCT03TableBody"/>
            </w:pPr>
            <w:r w:rsidRPr="000D0229">
              <w:t>0</w:t>
            </w:r>
          </w:p>
        </w:tc>
        <w:tc>
          <w:tcPr>
            <w:tcW w:w="847" w:type="dxa"/>
          </w:tcPr>
          <w:p w14:paraId="5D1871D0" w14:textId="77777777" w:rsidR="00B02A18" w:rsidRPr="000D0229" w:rsidRDefault="00B02A18" w:rsidP="00525939">
            <w:pPr>
              <w:pStyle w:val="RSCT03TableBody"/>
            </w:pPr>
            <w:r w:rsidRPr="000D0229">
              <w:t>-</w:t>
            </w:r>
          </w:p>
        </w:tc>
      </w:tr>
    </w:tbl>
    <w:p w14:paraId="76BAB37A" w14:textId="77777777" w:rsidR="00B02A18" w:rsidRPr="000D0229" w:rsidRDefault="00B02A18" w:rsidP="00B02A18">
      <w:pPr>
        <w:pStyle w:val="RSCB02ArticleText"/>
      </w:pPr>
    </w:p>
    <w:p w14:paraId="47BDB796" w14:textId="61A0A775" w:rsidR="004402DB" w:rsidRPr="000D0229" w:rsidRDefault="00985F65" w:rsidP="009C1482">
      <w:pPr>
        <w:pStyle w:val="RSCB02ArticleText"/>
      </w:pPr>
      <w:r w:rsidRPr="000D0229">
        <w:t>TMTHF would be expected to perform as well as the traditional ethers based on its KAT parameters. However, like toluene, it was shown to be unable to promote the reaction. Despite the strong Lewis basicity of TMTHF, the steric hindrance of its four bulky methyl groups likely inhibit the lone pair on the ethereal oxygen from solubilizing the magnesium halide of the Grignard reagent, preventing its formation and the subsequent reaction to take place. Although this is not a favourable result for a chemist who wishes to perform Grignard reactions in a new green solvent like TMTHF, it adds weight to the claim that TMTHF behaves more like arene hydrocarbons than common ether solvents.</w:t>
      </w:r>
    </w:p>
    <w:p w14:paraId="5F13A8DE" w14:textId="77777777" w:rsidR="005D76B6" w:rsidRPr="000D0229" w:rsidRDefault="005D76B6" w:rsidP="005D76B6">
      <w:pPr>
        <w:pStyle w:val="RSCB07BHeadingSub-Section-standalone"/>
      </w:pPr>
      <w:r w:rsidRPr="000D0229">
        <w:lastRenderedPageBreak/>
        <w:t>Radical-initiated vinyl polymerisation using TMTHF</w:t>
      </w:r>
    </w:p>
    <w:p w14:paraId="10422F68" w14:textId="77777777" w:rsidR="005D76B6" w:rsidRPr="000D0229" w:rsidRDefault="005D76B6" w:rsidP="005D76B6">
      <w:pPr>
        <w:pStyle w:val="RSCB02ArticleText"/>
      </w:pPr>
      <w:r w:rsidRPr="000D0229">
        <w:t>It is not only in organic synthesis that TMTHF can be applied as a solvent; TMTHF has also been successfully used in radical-initiated polymerizations of vinyl monomers. A polymerization application which would particularly benefit from the use of a greener VNP such as TMTHF is the pressure-sensitive adhesive (PSA) industry where high molecular weight (Mw) polymers (&gt;30,000 g</w:t>
      </w:r>
      <w:r w:rsidRPr="000D0229">
        <w:rPr>
          <w:rFonts w:cs="Arial"/>
        </w:rPr>
        <w:t>·</w:t>
      </w:r>
      <w:r w:rsidRPr="000D0229">
        <w:t>mol</w:t>
      </w:r>
      <w:r w:rsidRPr="000D0229">
        <w:rPr>
          <w:vertAlign w:val="superscript"/>
        </w:rPr>
        <w:t>-1</w:t>
      </w:r>
      <w:r w:rsidRPr="000D0229">
        <w:t>) are required.</w:t>
      </w:r>
      <w:r w:rsidRPr="000D0229">
        <w:fldChar w:fldCharType="begin"/>
      </w:r>
      <w:r w:rsidRPr="000D0229">
        <w:instrText xml:space="preserve"> ADDIN ZOTERO_ITEM CSL_CITATION {"citationID":"a2q5icficmr","properties":{"formattedCitation":"{\\rtf \\super 47\\nosupersub{}}","plainCitation":"47"},"citationItems":[{"id":4533,"uris":["http://zotero.org/users/1738524/items/U3D7QIVH"],"uri":["http://zotero.org/users/1738524/items/U3D7QIVH"],"itemData":{"id":4533,"type":"patent","title":"A process for the polymerization of vinyl monomers, a process for preparing an adhesive composition, an adhesive composition and a pressure-sensitive adhesive sheet","number":"P32826NL00/MKO","author":[{"family":"Byrne","given":"Fergal"},{"family":"Hunt","given":"Andrew J."},{"family":"Farmer","given":"Thomas J."},{"family":"Forier","given":"Bart"},{"family":"Bossaert","given":"Greet"}],"submitted":{"date-parts":[["2016",8,19]]}}}],"schema":"https://github.com/citation-style-language/schema/raw/master/csl-citation.json"} </w:instrText>
      </w:r>
      <w:r w:rsidRPr="000D0229">
        <w:fldChar w:fldCharType="separate"/>
      </w:r>
      <w:r w:rsidRPr="000D0229">
        <w:rPr>
          <w:rFonts w:ascii="Calibri" w:hAnsi="Calibri"/>
          <w:szCs w:val="24"/>
          <w:vertAlign w:val="superscript"/>
        </w:rPr>
        <w:t>47</w:t>
      </w:r>
      <w:r w:rsidRPr="000D0229">
        <w:fldChar w:fldCharType="end"/>
      </w:r>
    </w:p>
    <w:p w14:paraId="43D3D669" w14:textId="6A5C8D81" w:rsidR="005D76B6" w:rsidRDefault="005D76B6" w:rsidP="005D76B6">
      <w:pPr>
        <w:pStyle w:val="RSCB02ArticleText"/>
      </w:pPr>
      <w:r w:rsidRPr="000D0229">
        <w:t>Currently, VNP solvents such as toluene and hexane are used in the production of PSAs. However as already mentioned, REACH restrictions are in place for the use of toluene in adhesive and spray paints (Annex XVII),</w:t>
      </w:r>
      <w:r w:rsidRPr="000D0229">
        <w:fldChar w:fldCharType="begin"/>
      </w:r>
      <w:r w:rsidRPr="000D0229">
        <w:instrText xml:space="preserve"> ADDIN ZOTERO_ITEM CSL_CITATION {"citationID":"1n4n964a2s","properties":{"formattedCitation":"{\\rtf \\super 48\\nosupersub{}}","plainCitation":"48"},"citationItems":[{"id":4159,"uris":["http://zotero.org/users/1738524/items/6VSBN2PE"],"uri":["http://zotero.org/users/1738524/items/6VSBN2PE"],"itemData":{"id":4159,"type":"webpage","title":"Substances restricted under REACH","URL":"http://echa.europa.eu/addressing-chemicals-of-concern/restrictions/substances-restricted-under-reach","author":[{"literal":"ECHA"}],"accessed":{"date-parts":[["2017",1,28]]}}}],"schema":"https://github.com/citation-style-language/schema/raw/master/csl-citation.json"} </w:instrText>
      </w:r>
      <w:r w:rsidRPr="000D0229">
        <w:fldChar w:fldCharType="separate"/>
      </w:r>
      <w:r w:rsidRPr="000D0229">
        <w:rPr>
          <w:rFonts w:ascii="Calibri" w:hAnsi="Calibri"/>
          <w:szCs w:val="24"/>
          <w:vertAlign w:val="superscript"/>
        </w:rPr>
        <w:t>48</w:t>
      </w:r>
      <w:r w:rsidRPr="000D0229">
        <w:fldChar w:fldCharType="end"/>
      </w:r>
      <w:r w:rsidRPr="000D0229">
        <w:t xml:space="preserve"> while hexane is a suspected CMR.</w:t>
      </w:r>
      <w:r w:rsidRPr="000D0229">
        <w:fldChar w:fldCharType="begin"/>
      </w:r>
      <w:r w:rsidRPr="000D0229">
        <w:instrText xml:space="preserve"> ADDIN ZOTERO_ITEM CSL_CITATION {"citationID":"1p6boidd9g","properties":{"formattedCitation":"{\\rtf \\super 4\\nosupersub{}}","plainCitation":"4"},"citationItems":[{"id":4421,"uris":["http://zotero.org/users/1738524/items/J93GBGW7"],"uri":["http://zotero.org/users/1738524/items/J93GBGW7"],"itemData":{"id":4421,"type":"webpage","title":"n-Hexane - Substance evaluation - CoRAP - ECHA","URL":"https://echa.europa.eu/information-on-chemicals/evaluation/community-rolling-action-plan/corap-table/-/dislist/details/0b0236e1807e4bd4","accessed":{"date-parts":[["2017",3,3]]}}}],"schema":"https://github.com/citation-style-language/schema/raw/master/csl-citation.json"} </w:instrText>
      </w:r>
      <w:r w:rsidRPr="000D0229">
        <w:fldChar w:fldCharType="separate"/>
      </w:r>
      <w:r w:rsidRPr="000D0229">
        <w:rPr>
          <w:rFonts w:ascii="Calibri" w:hAnsi="Calibri"/>
          <w:szCs w:val="24"/>
          <w:vertAlign w:val="superscript"/>
        </w:rPr>
        <w:t>4</w:t>
      </w:r>
      <w:r w:rsidRPr="000D0229">
        <w:fldChar w:fldCharType="end"/>
      </w:r>
      <w:r w:rsidRPr="000D0229">
        <w:t xml:space="preserve"> 2-MeTHF has previously been used as a greener alternative to THF in the production of anhydride-containing polymers for radiation sensitive compositions by radical polymerization.</w:t>
      </w:r>
      <w:r w:rsidRPr="000D0229">
        <w:fldChar w:fldCharType="begin"/>
      </w:r>
      <w:r w:rsidRPr="000D0229">
        <w:instrText xml:space="preserve"> ADDIN ZOTERO_ITEM CSL_CITATION {"citationID":"2lmoje94mc","properties":{"formattedCitation":"{\\rtf \\super 49\\nosupersub{}}","plainCitation":"49"},"citationItems":[{"id":4423,"uris":["http://zotero.org/users/1738524/items/4NWJIM78"],"uri":["http://zotero.org/users/1738524/items/4NWJIM78"],"itemData":{"id":4423,"type":"patent","title":"Novel process for producing anhydride-containing polymers for radiation sensitive compositions","abstract":"A synthetic process comprising the following steps: providing a reaction mixture comprising: an ethylenically unsaturated anhydride monomer, at least one ethylenically unsaturated non-anhydride monomer, a free radical initiator, and an alkyl substituted THF solvent having the general structure of formula 1:\nwhere R1, R2, R3, and R4 are independently chosen from the group hydrogen and C1-C4 linear or branched alkyl with the proviso that at least one of R1, R2, R3, and R4 is not H; polymerizing the reaction mixture; and removing, by distillation, unreacted monomers, the alkyl substituted THF solvent, and any low boiling volatile reaction products.","URL":"http://www.google.com/patents/US20030225233","note":"U.S. Classification 526/297; International Classification C08F2/06, C08F230/08, G03F7/075, C08F6/00, C08F222/06, C08F122/04, C08F220/18, C08F222/04; Cooperative Classification C08F222/04, C08F6/003, C08F122/04, G03F7/0758, C08F2/06, C08F222/06; European Classification C08F6/00B2, C08F2/06, C08F222/06, G03F7/075M2, C08F122/04, C08F222/04","number":"US20030225233 A1","author":[{"family":"Dilocker","given":"Stephanie"},{"family":"Malik","given":"Sanjay"},{"family":"De","given":"Binod"},{"family":"Reddy","given":"Ashok"}],"issued":{"date-parts":[["2003",12,4]]},"accessed":{"date-parts":[["2017",3,3]]},"submitted":{"date-parts":[["2003",2,27]]}}}],"schema":"https://github.com/citation-style-language/schema/raw/master/csl-citation.json"} </w:instrText>
      </w:r>
      <w:r w:rsidRPr="000D0229">
        <w:fldChar w:fldCharType="separate"/>
      </w:r>
      <w:r w:rsidRPr="000D0229">
        <w:rPr>
          <w:rFonts w:ascii="Calibri" w:hAnsi="Calibri"/>
          <w:szCs w:val="24"/>
          <w:vertAlign w:val="superscript"/>
        </w:rPr>
        <w:t>49</w:t>
      </w:r>
      <w:r w:rsidRPr="000D0229">
        <w:fldChar w:fldCharType="end"/>
      </w:r>
      <w:r w:rsidRPr="000D0229">
        <w:t xml:space="preserve"> However, the use of such solvents produced polymers with Mw &lt; 4,000 g</w:t>
      </w:r>
      <w:r w:rsidRPr="000D0229">
        <w:rPr>
          <w:lang w:val="de-DE"/>
        </w:rPr>
        <w:t>·mol</w:t>
      </w:r>
      <w:r w:rsidRPr="000D0229">
        <w:rPr>
          <w:vertAlign w:val="superscript"/>
          <w:lang w:val="de-DE"/>
        </w:rPr>
        <w:t>-1</w:t>
      </w:r>
      <w:r w:rsidRPr="000D0229">
        <w:rPr>
          <w:lang w:val="de-DE"/>
        </w:rPr>
        <w:t xml:space="preserve">. </w:t>
      </w:r>
      <w:r w:rsidR="00E95C65">
        <w:t>Similarly</w:t>
      </w:r>
      <w:r w:rsidRPr="000D0229">
        <w:t xml:space="preserve"> low Mw’s were obtained by the same authors when using THF. While low Mw’s may be sufficient in photosensitive compositions, higher Mw’s are required for PSA compositions.  </w:t>
      </w:r>
    </w:p>
    <w:p w14:paraId="6E87E426" w14:textId="77777777" w:rsidR="00B02A18" w:rsidRPr="000D0229" w:rsidRDefault="00B02A18" w:rsidP="00B02A18">
      <w:pPr>
        <w:pStyle w:val="RSCT02Tabletitlewithouttopbar"/>
      </w:pPr>
      <w:r w:rsidRPr="000D0229">
        <w:t>Table 3. Results of radical polymerisation of butyl acrylate and acrylic acid using TMTHF, toluene and 2-MeTHF.</w:t>
      </w:r>
    </w:p>
    <w:tbl>
      <w:tblPr>
        <w:tblStyle w:val="TableGrid"/>
        <w:tblW w:w="498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675"/>
        <w:gridCol w:w="402"/>
        <w:gridCol w:w="1020"/>
        <w:gridCol w:w="1077"/>
      </w:tblGrid>
      <w:tr w:rsidR="00B02A18" w:rsidRPr="000D0229" w14:paraId="0773415B" w14:textId="77777777" w:rsidTr="00525939">
        <w:trPr>
          <w:trHeight w:val="1191"/>
        </w:trPr>
        <w:tc>
          <w:tcPr>
            <w:tcW w:w="2489" w:type="dxa"/>
            <w:gridSpan w:val="2"/>
            <w:tcBorders>
              <w:bottom w:val="nil"/>
            </w:tcBorders>
            <w:shd w:val="clear" w:color="auto" w:fill="auto"/>
            <w:vAlign w:val="bottom"/>
          </w:tcPr>
          <w:p w14:paraId="6E487645" w14:textId="77777777" w:rsidR="00B02A18" w:rsidRPr="000D0229" w:rsidRDefault="00B02A18" w:rsidP="00525939">
            <w:pPr>
              <w:pStyle w:val="Tablemolecules"/>
            </w:pPr>
            <w:r w:rsidRPr="000D0229">
              <w:object w:dxaOrig="1545" w:dyaOrig="1047" w14:anchorId="520C5028">
                <v:shape id="_x0000_i1029" type="#_x0000_t75" style="width:77.25pt;height:52.35pt" o:ole="">
                  <v:imagedata r:id="rId25" o:title=""/>
                </v:shape>
                <o:OLEObject Type="Embed" ProgID="ChemDraw.Document.6.0" ShapeID="_x0000_i1029" DrawAspect="Content" ObjectID="_1560759044" r:id="rId26"/>
              </w:object>
            </w:r>
          </w:p>
        </w:tc>
        <w:tc>
          <w:tcPr>
            <w:tcW w:w="2499" w:type="dxa"/>
            <w:gridSpan w:val="3"/>
            <w:tcBorders>
              <w:bottom w:val="nil"/>
            </w:tcBorders>
            <w:shd w:val="clear" w:color="auto" w:fill="auto"/>
            <w:vAlign w:val="bottom"/>
          </w:tcPr>
          <w:p w14:paraId="6CEE27A1" w14:textId="77777777" w:rsidR="00B02A18" w:rsidRPr="000D0229" w:rsidRDefault="00B02A18" w:rsidP="00525939">
            <w:pPr>
              <w:pStyle w:val="Tablemolecules"/>
            </w:pPr>
            <w:r w:rsidRPr="000D0229">
              <w:object w:dxaOrig="857" w:dyaOrig="1047" w14:anchorId="3D6BE047">
                <v:shape id="_x0000_i1030" type="#_x0000_t75" style="width:42.85pt;height:52.35pt" o:ole="">
                  <v:imagedata r:id="rId27" o:title=""/>
                </v:shape>
                <o:OLEObject Type="Embed" ProgID="ChemDraw.Document.6.0" ShapeID="_x0000_i1030" DrawAspect="Content" ObjectID="_1560759045" r:id="rId28"/>
              </w:object>
            </w:r>
          </w:p>
        </w:tc>
      </w:tr>
      <w:tr w:rsidR="00B02A18" w:rsidRPr="000D0229" w14:paraId="517DCA26" w14:textId="77777777" w:rsidTr="00525939">
        <w:trPr>
          <w:trHeight w:val="454"/>
        </w:trPr>
        <w:tc>
          <w:tcPr>
            <w:tcW w:w="1814" w:type="dxa"/>
            <w:tcBorders>
              <w:bottom w:val="single" w:sz="4" w:space="0" w:color="auto"/>
            </w:tcBorders>
            <w:vAlign w:val="center"/>
          </w:tcPr>
          <w:p w14:paraId="6B9EE8E4" w14:textId="77777777" w:rsidR="00B02A18" w:rsidRPr="000D0229" w:rsidRDefault="00B02A18" w:rsidP="00525939">
            <w:pPr>
              <w:pStyle w:val="TableHead"/>
              <w:jc w:val="center"/>
            </w:pPr>
            <w:r w:rsidRPr="000D0229">
              <w:t>Polymer property</w:t>
            </w:r>
          </w:p>
        </w:tc>
        <w:tc>
          <w:tcPr>
            <w:tcW w:w="1077" w:type="dxa"/>
            <w:gridSpan w:val="2"/>
            <w:tcBorders>
              <w:bottom w:val="single" w:sz="4" w:space="0" w:color="auto"/>
            </w:tcBorders>
            <w:vAlign w:val="center"/>
          </w:tcPr>
          <w:p w14:paraId="4A5972CE" w14:textId="77777777" w:rsidR="00B02A18" w:rsidRPr="000D0229" w:rsidRDefault="00B02A18" w:rsidP="00525939">
            <w:pPr>
              <w:pStyle w:val="TableHead"/>
              <w:jc w:val="center"/>
            </w:pPr>
            <w:r w:rsidRPr="000D0229">
              <w:t>TMTHF</w:t>
            </w:r>
          </w:p>
        </w:tc>
        <w:tc>
          <w:tcPr>
            <w:tcW w:w="1020" w:type="dxa"/>
            <w:tcBorders>
              <w:bottom w:val="single" w:sz="4" w:space="0" w:color="auto"/>
            </w:tcBorders>
            <w:vAlign w:val="center"/>
          </w:tcPr>
          <w:p w14:paraId="64962BF7" w14:textId="77777777" w:rsidR="00B02A18" w:rsidRPr="000D0229" w:rsidRDefault="00B02A18" w:rsidP="00525939">
            <w:pPr>
              <w:pStyle w:val="TableHead"/>
              <w:jc w:val="center"/>
            </w:pPr>
            <w:r w:rsidRPr="000D0229">
              <w:t>Toluene</w:t>
            </w:r>
          </w:p>
        </w:tc>
        <w:tc>
          <w:tcPr>
            <w:tcW w:w="1077" w:type="dxa"/>
            <w:tcBorders>
              <w:bottom w:val="single" w:sz="4" w:space="0" w:color="auto"/>
            </w:tcBorders>
            <w:vAlign w:val="center"/>
          </w:tcPr>
          <w:p w14:paraId="7021887B" w14:textId="77777777" w:rsidR="00B02A18" w:rsidRPr="000D0229" w:rsidRDefault="00B02A18" w:rsidP="00525939">
            <w:pPr>
              <w:pStyle w:val="TableHead"/>
              <w:jc w:val="center"/>
            </w:pPr>
            <w:r w:rsidRPr="000D0229">
              <w:t>2-MeTHF</w:t>
            </w:r>
          </w:p>
        </w:tc>
      </w:tr>
      <w:tr w:rsidR="00B02A18" w:rsidRPr="000D0229" w14:paraId="5CAD026E" w14:textId="77777777" w:rsidTr="00525939">
        <w:trPr>
          <w:trHeight w:val="113"/>
        </w:trPr>
        <w:tc>
          <w:tcPr>
            <w:tcW w:w="1814" w:type="dxa"/>
            <w:tcBorders>
              <w:top w:val="single" w:sz="4" w:space="0" w:color="auto"/>
            </w:tcBorders>
            <w:vAlign w:val="center"/>
          </w:tcPr>
          <w:p w14:paraId="61C0EA32" w14:textId="77777777" w:rsidR="00B02A18" w:rsidRPr="000D0229" w:rsidRDefault="00B02A18" w:rsidP="00525939">
            <w:pPr>
              <w:pStyle w:val="RSCT03TableBody"/>
              <w:rPr>
                <w:vertAlign w:val="superscript"/>
              </w:rPr>
            </w:pPr>
            <w:r w:rsidRPr="000D0229">
              <w:t>Mw / g</w:t>
            </w:r>
            <w:r w:rsidRPr="000D0229">
              <w:rPr>
                <w:rFonts w:cstheme="minorHAnsi"/>
              </w:rPr>
              <w:t>·</w:t>
            </w:r>
            <w:r w:rsidRPr="000D0229">
              <w:t>mol</w:t>
            </w:r>
            <w:r w:rsidRPr="000D0229">
              <w:rPr>
                <w:vertAlign w:val="superscript"/>
              </w:rPr>
              <w:t>-1 (a)</w:t>
            </w:r>
          </w:p>
        </w:tc>
        <w:tc>
          <w:tcPr>
            <w:tcW w:w="1077" w:type="dxa"/>
            <w:gridSpan w:val="2"/>
            <w:tcBorders>
              <w:top w:val="single" w:sz="4" w:space="0" w:color="auto"/>
            </w:tcBorders>
            <w:vAlign w:val="center"/>
          </w:tcPr>
          <w:p w14:paraId="40E56A90" w14:textId="77777777" w:rsidR="00B02A18" w:rsidRPr="000D0229" w:rsidRDefault="00B02A18" w:rsidP="00525939">
            <w:pPr>
              <w:pStyle w:val="RSCT03TableBody"/>
            </w:pPr>
            <w:r w:rsidRPr="000D0229">
              <w:t>501,000</w:t>
            </w:r>
          </w:p>
        </w:tc>
        <w:tc>
          <w:tcPr>
            <w:tcW w:w="1020" w:type="dxa"/>
            <w:tcBorders>
              <w:top w:val="single" w:sz="4" w:space="0" w:color="auto"/>
            </w:tcBorders>
            <w:vAlign w:val="center"/>
          </w:tcPr>
          <w:p w14:paraId="3C35ED74" w14:textId="77777777" w:rsidR="00B02A18" w:rsidRPr="000D0229" w:rsidRDefault="00B02A18" w:rsidP="00525939">
            <w:pPr>
              <w:pStyle w:val="RSCT03TableBody"/>
            </w:pPr>
            <w:r w:rsidRPr="000D0229">
              <w:t>509,000</w:t>
            </w:r>
          </w:p>
        </w:tc>
        <w:tc>
          <w:tcPr>
            <w:tcW w:w="1077" w:type="dxa"/>
            <w:tcBorders>
              <w:top w:val="single" w:sz="4" w:space="0" w:color="auto"/>
            </w:tcBorders>
            <w:vAlign w:val="center"/>
          </w:tcPr>
          <w:p w14:paraId="7BE35E7E" w14:textId="77777777" w:rsidR="00B02A18" w:rsidRPr="000D0229" w:rsidRDefault="00B02A18" w:rsidP="00525939">
            <w:pPr>
              <w:pStyle w:val="RSCT03TableBody"/>
            </w:pPr>
            <w:r w:rsidRPr="000D0229">
              <w:t>9,200</w:t>
            </w:r>
          </w:p>
        </w:tc>
      </w:tr>
      <w:tr w:rsidR="00B02A18" w:rsidRPr="000D0229" w14:paraId="3A656FBE" w14:textId="77777777" w:rsidTr="00525939">
        <w:trPr>
          <w:trHeight w:val="113"/>
        </w:trPr>
        <w:tc>
          <w:tcPr>
            <w:tcW w:w="1814" w:type="dxa"/>
            <w:vAlign w:val="center"/>
          </w:tcPr>
          <w:p w14:paraId="74431D22" w14:textId="77777777" w:rsidR="00B02A18" w:rsidRPr="000D0229" w:rsidRDefault="00B02A18" w:rsidP="00525939">
            <w:pPr>
              <w:pStyle w:val="RSCT03TableBody"/>
              <w:rPr>
                <w:vertAlign w:val="superscript"/>
              </w:rPr>
            </w:pPr>
            <w:r w:rsidRPr="000D0229">
              <w:t>Solid content / %</w:t>
            </w:r>
            <w:r w:rsidRPr="000D0229">
              <w:rPr>
                <w:vertAlign w:val="superscript"/>
              </w:rPr>
              <w:t>(b)</w:t>
            </w:r>
          </w:p>
        </w:tc>
        <w:tc>
          <w:tcPr>
            <w:tcW w:w="1077" w:type="dxa"/>
            <w:gridSpan w:val="2"/>
            <w:vAlign w:val="center"/>
          </w:tcPr>
          <w:p w14:paraId="4DC1A620" w14:textId="77777777" w:rsidR="00B02A18" w:rsidRPr="000D0229" w:rsidRDefault="00B02A18" w:rsidP="00525939">
            <w:pPr>
              <w:pStyle w:val="RSCT03TableBody"/>
            </w:pPr>
            <w:r w:rsidRPr="000D0229">
              <w:t>27.25</w:t>
            </w:r>
          </w:p>
        </w:tc>
        <w:tc>
          <w:tcPr>
            <w:tcW w:w="1020" w:type="dxa"/>
            <w:vAlign w:val="center"/>
          </w:tcPr>
          <w:p w14:paraId="190EEE5F" w14:textId="77777777" w:rsidR="00B02A18" w:rsidRPr="000D0229" w:rsidRDefault="00B02A18" w:rsidP="00525939">
            <w:pPr>
              <w:pStyle w:val="RSCT03TableBody"/>
            </w:pPr>
            <w:r w:rsidRPr="000D0229">
              <w:t>31.00</w:t>
            </w:r>
          </w:p>
        </w:tc>
        <w:tc>
          <w:tcPr>
            <w:tcW w:w="1077" w:type="dxa"/>
            <w:vAlign w:val="center"/>
          </w:tcPr>
          <w:p w14:paraId="6CDB76B2" w14:textId="77777777" w:rsidR="00B02A18" w:rsidRPr="000D0229" w:rsidRDefault="00B02A18" w:rsidP="00525939">
            <w:pPr>
              <w:pStyle w:val="RSCT03TableBody"/>
            </w:pPr>
            <w:r w:rsidRPr="000D0229">
              <w:t>31.00</w:t>
            </w:r>
          </w:p>
        </w:tc>
      </w:tr>
      <w:tr w:rsidR="00B02A18" w:rsidRPr="000D0229" w14:paraId="6642C7EA" w14:textId="77777777" w:rsidTr="00525939">
        <w:trPr>
          <w:trHeight w:val="113"/>
        </w:trPr>
        <w:tc>
          <w:tcPr>
            <w:tcW w:w="1814" w:type="dxa"/>
            <w:vAlign w:val="center"/>
          </w:tcPr>
          <w:p w14:paraId="607CA736" w14:textId="77777777" w:rsidR="00B02A18" w:rsidRPr="000D0229" w:rsidRDefault="00B02A18" w:rsidP="00525939">
            <w:pPr>
              <w:pStyle w:val="RSCT03TableBody"/>
              <w:rPr>
                <w:vertAlign w:val="superscript"/>
              </w:rPr>
            </w:pPr>
            <w:r w:rsidRPr="000D0229">
              <w:t>Adhesion / cN</w:t>
            </w:r>
            <w:r w:rsidRPr="000D0229">
              <w:rPr>
                <w:rFonts w:cstheme="minorHAnsi"/>
              </w:rPr>
              <w:t>·</w:t>
            </w:r>
            <w:r w:rsidRPr="000D0229">
              <w:t>20mm</w:t>
            </w:r>
            <w:r w:rsidRPr="000D0229">
              <w:rPr>
                <w:vertAlign w:val="superscript"/>
              </w:rPr>
              <w:t>-1 (c)</w:t>
            </w:r>
          </w:p>
        </w:tc>
        <w:tc>
          <w:tcPr>
            <w:tcW w:w="1077" w:type="dxa"/>
            <w:gridSpan w:val="2"/>
            <w:vAlign w:val="center"/>
          </w:tcPr>
          <w:p w14:paraId="29279EA1" w14:textId="77777777" w:rsidR="00B02A18" w:rsidRPr="000D0229" w:rsidRDefault="00B02A18" w:rsidP="00525939">
            <w:pPr>
              <w:pStyle w:val="RSCT03TableBody"/>
            </w:pPr>
            <w:r w:rsidRPr="000D0229">
              <w:t>809</w:t>
            </w:r>
          </w:p>
        </w:tc>
        <w:tc>
          <w:tcPr>
            <w:tcW w:w="1020" w:type="dxa"/>
            <w:vAlign w:val="center"/>
          </w:tcPr>
          <w:p w14:paraId="6FFD626C" w14:textId="77777777" w:rsidR="00B02A18" w:rsidRPr="000D0229" w:rsidRDefault="00B02A18" w:rsidP="00525939">
            <w:pPr>
              <w:pStyle w:val="RSCT03TableBody"/>
            </w:pPr>
            <w:r w:rsidRPr="000D0229">
              <w:t>757</w:t>
            </w:r>
          </w:p>
        </w:tc>
        <w:tc>
          <w:tcPr>
            <w:tcW w:w="1077" w:type="dxa"/>
            <w:vAlign w:val="center"/>
          </w:tcPr>
          <w:p w14:paraId="66B5C490" w14:textId="77777777" w:rsidR="00B02A18" w:rsidRPr="000D0229" w:rsidRDefault="00B02A18" w:rsidP="00525939">
            <w:pPr>
              <w:pStyle w:val="RSCT03TableBody"/>
              <w:rPr>
                <w:vertAlign w:val="superscript"/>
              </w:rPr>
            </w:pPr>
            <w:r w:rsidRPr="000D0229">
              <w:t>n/a</w:t>
            </w:r>
            <w:r w:rsidRPr="000D0229">
              <w:rPr>
                <w:vertAlign w:val="superscript"/>
              </w:rPr>
              <w:t>(f)</w:t>
            </w:r>
          </w:p>
        </w:tc>
      </w:tr>
      <w:tr w:rsidR="00B02A18" w:rsidRPr="000D0229" w14:paraId="1EF66FF5" w14:textId="77777777" w:rsidTr="00525939">
        <w:trPr>
          <w:trHeight w:val="113"/>
        </w:trPr>
        <w:tc>
          <w:tcPr>
            <w:tcW w:w="1814" w:type="dxa"/>
            <w:vAlign w:val="center"/>
          </w:tcPr>
          <w:p w14:paraId="2AFC42A9" w14:textId="77777777" w:rsidR="00B02A18" w:rsidRPr="000D0229" w:rsidRDefault="00B02A18" w:rsidP="00525939">
            <w:pPr>
              <w:pStyle w:val="RSCT03TableBody"/>
              <w:rPr>
                <w:vertAlign w:val="superscript"/>
              </w:rPr>
            </w:pPr>
            <w:r w:rsidRPr="000D0229">
              <w:t>Cohesion / days</w:t>
            </w:r>
            <w:r w:rsidRPr="000D0229">
              <w:rPr>
                <w:vertAlign w:val="superscript"/>
              </w:rPr>
              <w:t>(d)</w:t>
            </w:r>
          </w:p>
        </w:tc>
        <w:tc>
          <w:tcPr>
            <w:tcW w:w="1077" w:type="dxa"/>
            <w:gridSpan w:val="2"/>
            <w:vAlign w:val="center"/>
          </w:tcPr>
          <w:p w14:paraId="2A962164" w14:textId="77777777" w:rsidR="00B02A18" w:rsidRPr="000D0229" w:rsidRDefault="00B02A18" w:rsidP="00525939">
            <w:pPr>
              <w:pStyle w:val="RSCT03TableBody"/>
            </w:pPr>
            <w:r w:rsidRPr="000D0229">
              <w:t>&gt;10</w:t>
            </w:r>
          </w:p>
        </w:tc>
        <w:tc>
          <w:tcPr>
            <w:tcW w:w="1020" w:type="dxa"/>
            <w:vAlign w:val="center"/>
          </w:tcPr>
          <w:p w14:paraId="5C8BC48E" w14:textId="77777777" w:rsidR="00B02A18" w:rsidRPr="000D0229" w:rsidRDefault="00B02A18" w:rsidP="00525939">
            <w:pPr>
              <w:pStyle w:val="RSCT03TableBody"/>
            </w:pPr>
            <w:r w:rsidRPr="000D0229">
              <w:t>&gt;10</w:t>
            </w:r>
          </w:p>
        </w:tc>
        <w:tc>
          <w:tcPr>
            <w:tcW w:w="1077" w:type="dxa"/>
            <w:vAlign w:val="center"/>
          </w:tcPr>
          <w:p w14:paraId="79006382" w14:textId="77777777" w:rsidR="00B02A18" w:rsidRPr="000D0229" w:rsidRDefault="00B02A18" w:rsidP="00525939">
            <w:pPr>
              <w:pStyle w:val="RSCT03TableBody"/>
              <w:rPr>
                <w:vertAlign w:val="superscript"/>
              </w:rPr>
            </w:pPr>
            <w:r w:rsidRPr="000D0229">
              <w:t>n/a</w:t>
            </w:r>
            <w:r w:rsidRPr="000D0229">
              <w:rPr>
                <w:vertAlign w:val="superscript"/>
              </w:rPr>
              <w:t>(f)</w:t>
            </w:r>
          </w:p>
        </w:tc>
      </w:tr>
      <w:tr w:rsidR="00B02A18" w:rsidRPr="000D0229" w14:paraId="4CF08F72" w14:textId="77777777" w:rsidTr="00525939">
        <w:trPr>
          <w:trHeight w:val="113"/>
        </w:trPr>
        <w:tc>
          <w:tcPr>
            <w:tcW w:w="1814" w:type="dxa"/>
            <w:vAlign w:val="center"/>
          </w:tcPr>
          <w:p w14:paraId="6F31DC0C" w14:textId="77777777" w:rsidR="00B02A18" w:rsidRPr="000D0229" w:rsidRDefault="00B02A18" w:rsidP="00525939">
            <w:pPr>
              <w:pStyle w:val="RSCT03TableBody"/>
            </w:pPr>
            <w:r w:rsidRPr="000D0229">
              <w:t>Tack / g</w:t>
            </w:r>
            <w:r w:rsidRPr="000D0229">
              <w:rPr>
                <w:vertAlign w:val="superscript"/>
              </w:rPr>
              <w:t>(e)</w:t>
            </w:r>
          </w:p>
        </w:tc>
        <w:tc>
          <w:tcPr>
            <w:tcW w:w="1077" w:type="dxa"/>
            <w:gridSpan w:val="2"/>
            <w:vAlign w:val="center"/>
          </w:tcPr>
          <w:p w14:paraId="66D3B497" w14:textId="77777777" w:rsidR="00B02A18" w:rsidRPr="000D0229" w:rsidRDefault="00B02A18" w:rsidP="00525939">
            <w:pPr>
              <w:pStyle w:val="RSCT03TableBody"/>
            </w:pPr>
            <w:r w:rsidRPr="000D0229">
              <w:t>291</w:t>
            </w:r>
          </w:p>
        </w:tc>
        <w:tc>
          <w:tcPr>
            <w:tcW w:w="1020" w:type="dxa"/>
            <w:vAlign w:val="center"/>
          </w:tcPr>
          <w:p w14:paraId="62C3E4FD" w14:textId="77777777" w:rsidR="00B02A18" w:rsidRPr="000D0229" w:rsidRDefault="00B02A18" w:rsidP="00525939">
            <w:pPr>
              <w:pStyle w:val="RSCT03TableBody"/>
            </w:pPr>
            <w:r w:rsidRPr="000D0229">
              <w:t>264</w:t>
            </w:r>
          </w:p>
        </w:tc>
        <w:tc>
          <w:tcPr>
            <w:tcW w:w="1077" w:type="dxa"/>
            <w:vAlign w:val="center"/>
          </w:tcPr>
          <w:p w14:paraId="1034997A" w14:textId="77777777" w:rsidR="00B02A18" w:rsidRPr="000D0229" w:rsidRDefault="00B02A18" w:rsidP="00525939">
            <w:pPr>
              <w:pStyle w:val="RSCT03TableBody"/>
              <w:rPr>
                <w:vertAlign w:val="superscript"/>
              </w:rPr>
            </w:pPr>
            <w:r w:rsidRPr="000D0229">
              <w:t>n/a</w:t>
            </w:r>
            <w:r w:rsidRPr="000D0229">
              <w:rPr>
                <w:vertAlign w:val="superscript"/>
              </w:rPr>
              <w:t>(f)</w:t>
            </w:r>
          </w:p>
        </w:tc>
      </w:tr>
    </w:tbl>
    <w:p w14:paraId="43BBF61C" w14:textId="77777777" w:rsidR="00B02A18" w:rsidRPr="000D0229" w:rsidRDefault="00B02A18" w:rsidP="00B02A18">
      <w:pPr>
        <w:pStyle w:val="RSCT05TableFootnotewithoutbottombar"/>
      </w:pPr>
      <w:r w:rsidRPr="000D0229">
        <w:rPr>
          <w:rFonts w:eastAsiaTheme="minorEastAsia"/>
        </w:rPr>
        <w:t>(a) Measured by GPC at Nitto Europe; (b) percent of solid polymer dissolved in solvent; (c) measured by the breaking load test at Nitto Europe; (d) measured by the shear adhesion test at Nitto Europe, values shown are the time of failure in days; (e) measured by the rolling ball test at Nitto Europe; (f) Not measurable due to the low Mw obtained.</w:t>
      </w:r>
    </w:p>
    <w:p w14:paraId="00409C09" w14:textId="0BA63A7B" w:rsidR="005D76B6" w:rsidRPr="000D0229" w:rsidRDefault="005D76B6" w:rsidP="00B344C1">
      <w:pPr>
        <w:pStyle w:val="RSCB02ArticleText"/>
        <w:ind w:firstLine="284"/>
      </w:pPr>
      <w:r w:rsidRPr="000D0229">
        <w:t xml:space="preserve">The absence of </w:t>
      </w:r>
      <w:r w:rsidRPr="000D0229">
        <w:rPr>
          <w:i/>
        </w:rPr>
        <w:t>alpha</w:t>
      </w:r>
      <w:r w:rsidRPr="000D0229">
        <w:t>-protons on TMTHF means appropriately high Mw’s can be achieved. This has been demonstrated in the polymerization of butyl acrylate and acrylic acid (</w:t>
      </w:r>
      <w:r w:rsidR="00A00166" w:rsidRPr="000D0229">
        <w:t>Table 3</w:t>
      </w:r>
      <w:r w:rsidRPr="000D0229">
        <w:t xml:space="preserve">). The monomers and dibenzoyl peroxide as the radical initiator were mixed in TMTHF at 70 </w:t>
      </w:r>
      <w:r w:rsidRPr="000D0229">
        <w:rPr>
          <w:rFonts w:cs="Arial"/>
        </w:rPr>
        <w:t>°</w:t>
      </w:r>
      <w:r w:rsidRPr="000D0229">
        <w:t>C under an inert atmosphere. The use of TMTHF yielded polymers with comparable Mw’s to those obtained with toluene (501,000 and 509,000 g</w:t>
      </w:r>
      <w:r w:rsidRPr="000D0229">
        <w:rPr>
          <w:lang w:val="de-DE"/>
        </w:rPr>
        <w:t>·mol</w:t>
      </w:r>
      <w:r w:rsidRPr="000D0229">
        <w:rPr>
          <w:vertAlign w:val="superscript"/>
          <w:lang w:val="de-DE"/>
        </w:rPr>
        <w:t>-1</w:t>
      </w:r>
      <w:r w:rsidRPr="000D0229">
        <w:rPr>
          <w:lang w:val="de-DE"/>
        </w:rPr>
        <w:t xml:space="preserve"> respectively</w:t>
      </w:r>
      <w:r w:rsidRPr="000D0229">
        <w:t xml:space="preserve">) as well as comparable solid content (27.25% and 31.00% respectively). </w:t>
      </w:r>
      <w:r w:rsidR="00904ADD" w:rsidRPr="000D0229">
        <w:t>Slight differences can be seen in the Mw distribution between TMTHF and toluene, with a narrower Mw distributi</w:t>
      </w:r>
      <w:r w:rsidR="00315D86" w:rsidRPr="000D0229">
        <w:t>on obtained in TMTHF (Figure S14 and S15</w:t>
      </w:r>
      <w:r w:rsidR="00904ADD" w:rsidRPr="000D0229">
        <w:t xml:space="preserve">, ESI). </w:t>
      </w:r>
      <w:r w:rsidR="00B94565" w:rsidRPr="000D0229">
        <w:t xml:space="preserve">This demonstrates that TMTHF can influence the Radical-initiated vinyl polymerization mechanism. </w:t>
      </w:r>
      <w:r w:rsidRPr="000D0229">
        <w:t>Improved tack and adhesion compared to toluene was also observed in the final PSA. In contrast, l</w:t>
      </w:r>
      <w:r w:rsidRPr="000D0229">
        <w:rPr>
          <w:lang w:val="de-DE"/>
        </w:rPr>
        <w:t xml:space="preserve">ow Mw’s were observed when using 2-MeTHF as the solvent (9,200 </w:t>
      </w:r>
      <w:r w:rsidRPr="000D0229">
        <w:t>g</w:t>
      </w:r>
      <w:r w:rsidRPr="000D0229">
        <w:rPr>
          <w:lang w:val="de-DE"/>
        </w:rPr>
        <w:t>·mol</w:t>
      </w:r>
      <w:r w:rsidRPr="000D0229">
        <w:rPr>
          <w:vertAlign w:val="superscript"/>
          <w:lang w:val="de-DE"/>
        </w:rPr>
        <w:t>-1</w:t>
      </w:r>
      <w:r w:rsidRPr="000D0229">
        <w:rPr>
          <w:lang w:val="de-DE"/>
        </w:rPr>
        <w:t xml:space="preserve">). This is assumed to be due to </w:t>
      </w:r>
      <w:r w:rsidRPr="000D0229">
        <w:t xml:space="preserve">chain-transfer occurring between the </w:t>
      </w:r>
      <w:r w:rsidRPr="000D0229">
        <w:t xml:space="preserve">polymer and solvent by the radical abstraction of the </w:t>
      </w:r>
      <w:r w:rsidRPr="000D0229">
        <w:rPr>
          <w:i/>
        </w:rPr>
        <w:t>alpha</w:t>
      </w:r>
      <w:r w:rsidRPr="000D0229">
        <w:t>-protons of the ether solvent. Hence, the desired high molecular weights could not be obtained. This is further evidence that TMTHFs unusual ether structure behaves significantly differently to traditional ethers.</w:t>
      </w:r>
    </w:p>
    <w:p w14:paraId="7C759E4C" w14:textId="117DDA5B" w:rsidR="00BE2C22" w:rsidRPr="000D0229" w:rsidRDefault="00BE2C22" w:rsidP="005D76B6">
      <w:pPr>
        <w:pStyle w:val="RSCB07BHeadingSub-Section-standalone"/>
      </w:pPr>
      <w:r w:rsidRPr="000D0229">
        <w:t xml:space="preserve">Ames mutagenicity testing and </w:t>
      </w:r>
      <w:r w:rsidR="001829B6" w:rsidRPr="000D0229">
        <w:t xml:space="preserve">nearest neighbour </w:t>
      </w:r>
      <w:r w:rsidR="000748EB" w:rsidRPr="000D0229">
        <w:t>toxicity prediction</w:t>
      </w:r>
    </w:p>
    <w:p w14:paraId="105CEAFC" w14:textId="1B041B10" w:rsidR="00216D59" w:rsidRPr="000D0229" w:rsidRDefault="002442B1" w:rsidP="00170236">
      <w:pPr>
        <w:pStyle w:val="RSCB02ArticleText"/>
      </w:pPr>
      <w:r w:rsidRPr="000D0229">
        <w:t xml:space="preserve">The use of the Ames mutagenicity test to screen new molecules has recently been proposed as it is quick and cheap. Encouragingly, an Ames test of mutagenicity was carried out on TMTHF using two </w:t>
      </w:r>
      <w:r w:rsidRPr="000D0229">
        <w:rPr>
          <w:i/>
        </w:rPr>
        <w:t>Salmonella</w:t>
      </w:r>
      <w:r w:rsidRPr="000D0229">
        <w:t xml:space="preserve"> bacterial strains, TA98 and TA100, where it was shown not to be mutagenic at concentrations up to 5 mg/ml (Figure S</w:t>
      </w:r>
      <w:r w:rsidR="00D962C9" w:rsidRPr="000D0229">
        <w:t>5</w:t>
      </w:r>
      <w:r w:rsidRPr="000D0229">
        <w:t>, ESI).</w:t>
      </w:r>
      <w:r w:rsidRPr="000D0229">
        <w:fldChar w:fldCharType="begin"/>
      </w:r>
      <w:r w:rsidR="00FF231A" w:rsidRPr="000D0229">
        <w:instrText xml:space="preserve"> ADDIN ZOTERO_ITEM CSL_CITATION {"citationID":"WWECYyby","properties":{"formattedCitation":"{\\rtf \\super 12,50\\nosupersub{}}","plainCitation":"12,50"},"citationItems":[{"id":4219,"uris":["http://zotero.org/users/1738524/items/QDM8ISPC"],"uri":["http://zotero.org/users/1738524/items/QDM8ISPC"],"itemData":{"id":4219,"type":"article-journal","title":"Carcinogens are Mutagens: A Simple Test System Combining Liver Homogenates for Activation and Bacteria for Detection","container-title":"Proceedings of the National Academy of Sciences","page":"2281-2285","volume":"70","issue":"8","source":"www.pnas.org","abstract":"18 Carcinogens, including aflatoxin B1, benzo(a)pyrene, acetylaminofluorene, benzidine, and dimethylamino-trans-stilbene, are shown to be activated by liver homogenates to form potent frameshift mutagens. We believe that these carcinogens have in common a ring system sufficiently planar for a stacking interaction with DNA base pairs and a part of the molecule capable of being metabolized to a reactive group: these structural features are discussed in terms of the theory of frameshift mutagenesis. We propose that these carcinogens, and many others that are mutagens, cause cancer by somatic mutation. A simple, inexpensive, and extremely sensitive test for detection of carcinogens as mutagens is described. It consists of the use of a rat or human liver homogenate for carcinogen activation (thus supplying mammalian metabolism) and a set of Salmonella histidine mutants for mutagen detection. The homogenate, bacteria, and a TPNH-generating system are all incubated together on a petri plate. With the most active compounds, as little as a few nanograms can be detected.","ISSN":"0027-8424, 1091-6490","note":"PMID: 4151811","shortTitle":"Carcinogens are Mutagens","journalAbbreviation":"PNAS","language":"en","author":[{"family":"Ames","given":"Bruce N."},{"family":"Durston","given":"William E."},{"family":"Yamasaki","given":"Edith"},{"family":"Lee","given":"Frank D."}],"issued":{"date-parts":[["1973",8,1]]}}},{"id":4491,"uris":["http://zotero.org/users/1738524/items/MGTJIHVR"],"uri":["http://zotero.org/users/1738524/items/MGTJIHVR"],"itemData":{"id":4491,"type":"article-journal","title":"Challenges in the development of bio-based solvents: a case study on methyl (2,2-dimethyl-1,3-dioxolan-4-yl) methyl carbonate as an alternative aprotic solvent","container-title":"Faraday Discussions","DOI":"10.1039/c7fd00049a","author":[{"family":"Jin","given":"Saimeng"},{"family":"Byrne","given":"Fergal"},{"family":"McElroy","given":"Con Robert"},{"family":"Sherwood","given":"James"},{"family":"Clark","given":"James H."},{"family":"Hunt","given":"Andrew J."}],"issued":{"date-parts":[["2017"]]}}}],"schema":"https://github.com/citation-style-language/schema/raw/master/csl-citation.json"} </w:instrText>
      </w:r>
      <w:r w:rsidRPr="000D0229">
        <w:fldChar w:fldCharType="separate"/>
      </w:r>
      <w:r w:rsidR="00653A21" w:rsidRPr="000D0229">
        <w:rPr>
          <w:rFonts w:ascii="Calibri" w:hAnsi="Calibri"/>
          <w:szCs w:val="24"/>
          <w:vertAlign w:val="superscript"/>
        </w:rPr>
        <w:t>12,50</w:t>
      </w:r>
      <w:r w:rsidRPr="000D0229">
        <w:fldChar w:fldCharType="end"/>
      </w:r>
      <w:r w:rsidRPr="000D0229">
        <w:t xml:space="preserve"> Full toxicity testing will be required however before it can be authorized by REACH for production or use of more than 1 ton per year.</w:t>
      </w:r>
      <w:r w:rsidRPr="000D0229">
        <w:fldChar w:fldCharType="begin"/>
      </w:r>
      <w:r w:rsidR="00FF231A" w:rsidRPr="000D0229">
        <w:instrText xml:space="preserve"> ADDIN ZOTERO_ITEM CSL_CITATION {"citationID":"wDTskiIj","properties":{"formattedCitation":"{\\rtf \\super 51\\nosupersub{}}","plainCitation":"51"},"citationItems":[{"id":4486,"uris":["http://zotero.org/users/1738524/items/4FIWHWI3"],"uri":["http://zotero.org/users/1738524/items/4FIWHWI3"],"itemData":{"id":4486,"type":"webpage","title":"Regulation (EC) No 1907/2006 - REACH - Safety and health at work - EU-OSHA","URL":"https://osha.europa.eu/en/legislation/directives/regulation-ec-no-1907-2006-of-the-european-parliament-and-of-the-council","accessed":{"date-parts":[["2017",3,10]]}}}],"schema":"https://github.com/citation-style-language/schema/raw/master/csl-citation.json"} </w:instrText>
      </w:r>
      <w:r w:rsidRPr="000D0229">
        <w:fldChar w:fldCharType="separate"/>
      </w:r>
      <w:r w:rsidR="00653A21" w:rsidRPr="000D0229">
        <w:rPr>
          <w:rFonts w:ascii="Calibri" w:hAnsi="Calibri"/>
          <w:szCs w:val="24"/>
          <w:vertAlign w:val="superscript"/>
        </w:rPr>
        <w:t>51</w:t>
      </w:r>
      <w:r w:rsidRPr="000D0229">
        <w:fldChar w:fldCharType="end"/>
      </w:r>
      <w:r w:rsidRPr="000D0229">
        <w:t xml:space="preserve"> REACH encourages the use of predictive methods for initial toxicity screening of new molecules to avoid animal testing until it is necessary.</w:t>
      </w:r>
      <w:r w:rsidRPr="000D0229">
        <w:fldChar w:fldCharType="begin"/>
      </w:r>
      <w:r w:rsidR="00FF231A" w:rsidRPr="000D0229">
        <w:instrText xml:space="preserve"> ADDIN ZOTERO_ITEM CSL_CITATION {"citationID":"amse3e0eiv","properties":{"formattedCitation":"{\\rtf \\super 52\\nosupersub{}}","plainCitation":"52"},"citationItems":[{"id":4413,"uris":["http://zotero.org/users/1738524/items/4W6VT87Q"],"uri":["http://zotero.org/users/1738524/items/4W6VT87Q"],"itemData":{"id":4413,"type":"webpage","title":"What about animal testing? - ECHA","URL":"https://echa.europa.eu/chemicals-in-our-life/animal-testing-under-reach","accessed":{"date-parts":[["2017",3,2]]}}}],"schema":"https://github.com/citation-style-language/schema/raw/master/csl-citation.json"} </w:instrText>
      </w:r>
      <w:r w:rsidRPr="000D0229">
        <w:fldChar w:fldCharType="separate"/>
      </w:r>
      <w:r w:rsidR="00653A21" w:rsidRPr="000D0229">
        <w:rPr>
          <w:rFonts w:ascii="Calibri" w:hAnsi="Calibri"/>
          <w:szCs w:val="24"/>
          <w:vertAlign w:val="superscript"/>
        </w:rPr>
        <w:t>52</w:t>
      </w:r>
      <w:r w:rsidRPr="000D0229">
        <w:fldChar w:fldCharType="end"/>
      </w:r>
      <w:r w:rsidRPr="000D0229">
        <w:t xml:space="preserve"> As such, a “nearest </w:t>
      </w:r>
      <w:r w:rsidR="00DA59E3" w:rsidRPr="000D0229">
        <w:t>neighbour</w:t>
      </w:r>
      <w:r w:rsidRPr="000D0229">
        <w:t xml:space="preserve">” prediction of toxicity is promising, as the nearest </w:t>
      </w:r>
      <w:r w:rsidR="00DA59E3" w:rsidRPr="000D0229">
        <w:t>neighbour</w:t>
      </w:r>
      <w:r w:rsidRPr="000D0229">
        <w:t xml:space="preserve"> to TMTHF is 1,8-cineol. A nearest </w:t>
      </w:r>
      <w:r w:rsidR="00DA59E3" w:rsidRPr="000D0229">
        <w:t>neighbour</w:t>
      </w:r>
      <w:r w:rsidRPr="000D0229">
        <w:t xml:space="preserve"> prediction makes estimations of molecular properties by using chemicals in a training set that are most structurally similar to the test chemical.</w:t>
      </w:r>
      <w:r w:rsidRPr="000D0229">
        <w:fldChar w:fldCharType="begin"/>
      </w:r>
      <w:r w:rsidR="00FF231A" w:rsidRPr="000D0229">
        <w:instrText xml:space="preserve"> ADDIN ZOTERO_ITEM CSL_CITATION {"citationID":"a132iq8h03l","properties":{"formattedCitation":"{\\rtf \\super 53\\nosupersub{}}","plainCitation":"53"},"citationItems":[{"id":4411,"uris":["http://zotero.org/users/1738524/items/M4JVETTW"],"uri":["http://zotero.org/users/1738524/items/M4JVETTW"],"itemData":{"id":4411,"type":"webpage","title":"Toxicity Estimation Software Tool (TEST)","genre":"Data and Tools","abstract":"Information about the Toxicity Estimation Software Tool and download instructions.","URL":"https://www.epa.gov/chemical-research/toxicity-estimation-software-tool-test","language":"en","author":[{"family":"US EPA","given":"ORD"}],"accessed":{"date-parts":[["2017",3,2]]}}}],"schema":"https://github.com/citation-style-language/schema/raw/master/csl-citation.json"} </w:instrText>
      </w:r>
      <w:r w:rsidRPr="000D0229">
        <w:fldChar w:fldCharType="separate"/>
      </w:r>
      <w:r w:rsidR="00653A21" w:rsidRPr="000D0229">
        <w:rPr>
          <w:rFonts w:ascii="Calibri" w:hAnsi="Calibri"/>
          <w:szCs w:val="24"/>
          <w:vertAlign w:val="superscript"/>
        </w:rPr>
        <w:t>53</w:t>
      </w:r>
      <w:r w:rsidRPr="000D0229">
        <w:fldChar w:fldCharType="end"/>
      </w:r>
      <w:r w:rsidRPr="000D0229">
        <w:t xml:space="preserve"> 1,8-cineol is a terpene and is often used in fragrances and flavorings,</w:t>
      </w:r>
      <w:r w:rsidRPr="000D0229">
        <w:fldChar w:fldCharType="begin"/>
      </w:r>
      <w:r w:rsidR="00FF231A" w:rsidRPr="000D0229">
        <w:instrText xml:space="preserve"> ADDIN ZOTERO_ITEM CSL_CITATION {"citationID":"aqtoarcri9","properties":{"formattedCitation":"{\\rtf \\super 54\\nosupersub{}}","plainCitation":"54"},"citationItems":[{"id":4431,"uris":["http://zotero.org/users/1738524/items/G4ZU3RN3"],"uri":["http://zotero.org/users/1738524/items/G4ZU3RN3"],"itemData":{"id":4431,"type":"webpage","title":"WHO | JECFA","URL":"http://apps.who.int/food-additives-contaminants-jecfa-database/chemical.aspx?chemID=4037","accessed":{"date-parts":[["2017",3,5]]}}}],"schema":"https://github.com/citation-style-language/schema/raw/master/csl-citation.json"} </w:instrText>
      </w:r>
      <w:r w:rsidRPr="000D0229">
        <w:fldChar w:fldCharType="separate"/>
      </w:r>
      <w:r w:rsidR="00653A21" w:rsidRPr="000D0229">
        <w:rPr>
          <w:rFonts w:ascii="Calibri" w:hAnsi="Calibri"/>
          <w:szCs w:val="24"/>
          <w:vertAlign w:val="superscript"/>
        </w:rPr>
        <w:t>54</w:t>
      </w:r>
      <w:r w:rsidRPr="000D0229">
        <w:fldChar w:fldCharType="end"/>
      </w:r>
      <w:r w:rsidRPr="000D0229">
        <w:t xml:space="preserve"> two applications where human exposure is high and where low toxicity is vital, making it an excellent comparison for a potential VNP solvent.</w:t>
      </w:r>
      <w:r w:rsidRPr="000D0229">
        <w:fldChar w:fldCharType="begin"/>
      </w:r>
      <w:r w:rsidR="00FF231A" w:rsidRPr="000D0229">
        <w:instrText xml:space="preserve"> ADDIN ZOTERO_ITEM CSL_CITATION {"citationID":"ZLto5Xj5","properties":{"formattedCitation":"{\\rtf \\super 55\\nosupersub{}}","plainCitation":"55"},"citationItems":[{"id":4398,"uris":["http://zotero.org/users/1738524/items/XPK3ZPAE"],"uri":["http://zotero.org/users/1738524/items/XPK3ZPAE"],"itemData":{"id":4398,"type":"article","title":"Cineole","publisher":"US National Library of Medicine","URL":"http://toxnet.nlm.nih.gov/cgi-bin/sis/search2/r?dbs+hsdb:@term+@DOCNO+991","author":[{"literal":"TOXNET"}],"accessed":{"date-parts":[["2017",2,26]]}}}],"schema":"https://github.com/citation-style-language/schema/raw/master/csl-citation.json"} </w:instrText>
      </w:r>
      <w:r w:rsidRPr="000D0229">
        <w:fldChar w:fldCharType="separate"/>
      </w:r>
      <w:r w:rsidR="00653A21" w:rsidRPr="000D0229">
        <w:rPr>
          <w:rFonts w:ascii="Calibri" w:hAnsi="Calibri"/>
          <w:szCs w:val="24"/>
          <w:vertAlign w:val="superscript"/>
        </w:rPr>
        <w:t>55</w:t>
      </w:r>
      <w:r w:rsidRPr="000D0229">
        <w:fldChar w:fldCharType="end"/>
      </w:r>
      <w:r w:rsidRPr="000D0229">
        <w:t>. It has previously been suggested as a green solvent, but only due to its source from biomass and not in the context of its resistance to peroxide formation.</w:t>
      </w:r>
      <w:r w:rsidRPr="000D0229">
        <w:fldChar w:fldCharType="begin"/>
      </w:r>
      <w:r w:rsidR="00FF231A" w:rsidRPr="000D0229">
        <w:instrText xml:space="preserve"> ADDIN ZOTERO_ITEM CSL_CITATION {"citationID":"2epecdd743","properties":{"formattedCitation":"{\\rtf \\super 41\\nosupersub{}}","plainCitation":"41"},"citationItems":[{"id":410,"uris":["http://zotero.org/users/1738524/items/8JCFTSTJ"],"uri":["http://zotero.org/users/1738524/items/8JCFTSTJ"],"itemData":{"id":410,"type":"article-journal","title":"Solvatochromic parameters for solvents of interest in green chemistry","container-title":"Green Chemistry","page":"1245-1259","volume":"14","issue":"5","source":"pubs.rsc.org","abstract":"Solvatochromic data have been collected from the literature or newly measured for 83 molecular solvents, 18 switchable solvents, and 187 ionic liquids that have been cited in the green chemistry literature. The data include the normalized Reichardt's parameter (ENT), the Nile red λmax, and the Kamlet–Taft pa","DOI":"10.1039/C2GC16670D","ISSN":"1463-9270","journalAbbreviation":"Green Chem.","language":"en","author":[{"family":"Jessop","given":"Philip G."},{"family":"Jessop","given":"David A."},{"family":"Fu","given":"Dongbao"},{"family":"Phan","given":"Lam"}],"issued":{"date-parts":[["2012",5,1]]}}}],"schema":"https://github.com/citation-style-language/schema/raw/master/csl-citation.json"} </w:instrText>
      </w:r>
      <w:r w:rsidRPr="000D0229">
        <w:fldChar w:fldCharType="separate"/>
      </w:r>
      <w:r w:rsidR="00653A21" w:rsidRPr="000D0229">
        <w:rPr>
          <w:rFonts w:ascii="Calibri" w:hAnsi="Calibri"/>
          <w:szCs w:val="24"/>
          <w:vertAlign w:val="superscript"/>
        </w:rPr>
        <w:t>41</w:t>
      </w:r>
      <w:r w:rsidRPr="000D0229">
        <w:fldChar w:fldCharType="end"/>
      </w:r>
      <w:r w:rsidRPr="000D0229">
        <w:t xml:space="preserve"> TMTHF and 1,8-cineol share several molecular properties: two quaternary </w:t>
      </w:r>
      <w:r w:rsidRPr="000D0229">
        <w:rPr>
          <w:i/>
        </w:rPr>
        <w:t>alpha</w:t>
      </w:r>
      <w:r w:rsidRPr="000D0229">
        <w:t>-carbons resulting in resistance to peroxidation; low octanol/water partition coefficients (log P</w:t>
      </w:r>
      <w:r w:rsidRPr="000D0229">
        <w:rPr>
          <w:vertAlign w:val="subscript"/>
        </w:rPr>
        <w:t>(o/w)</w:t>
      </w:r>
      <w:r w:rsidR="002E1952" w:rsidRPr="000D0229">
        <w:t>) of 1.92 and 2.28</w:t>
      </w:r>
      <w:r w:rsidRPr="000D0229">
        <w:t xml:space="preserve"> respectively; similar KAT parameters; and similar molecular volumes of 151.1 cm</w:t>
      </w:r>
      <w:r w:rsidRPr="000D0229">
        <w:rPr>
          <w:vertAlign w:val="superscript"/>
        </w:rPr>
        <w:t>3</w:t>
      </w:r>
      <w:r w:rsidRPr="000D0229">
        <w:t xml:space="preserve"> mol</w:t>
      </w:r>
      <w:r w:rsidRPr="000D0229">
        <w:rPr>
          <w:vertAlign w:val="superscript"/>
        </w:rPr>
        <w:t>-1</w:t>
      </w:r>
      <w:r w:rsidRPr="000D0229">
        <w:t xml:space="preserve"> and 167.5 cm</w:t>
      </w:r>
      <w:r w:rsidRPr="000D0229">
        <w:rPr>
          <w:vertAlign w:val="superscript"/>
        </w:rPr>
        <w:t>3</w:t>
      </w:r>
      <w:r w:rsidRPr="000D0229">
        <w:t xml:space="preserve"> mol</w:t>
      </w:r>
      <w:r w:rsidRPr="000D0229">
        <w:rPr>
          <w:vertAlign w:val="superscript"/>
        </w:rPr>
        <w:t>-1</w:t>
      </w:r>
      <w:r w:rsidRPr="000D0229">
        <w:t xml:space="preserve"> respectively (predicted by HSPiP), all of which are shown in Table 1. The low log P</w:t>
      </w:r>
      <w:r w:rsidRPr="000D0229">
        <w:rPr>
          <w:vertAlign w:val="subscript"/>
        </w:rPr>
        <w:t>(o/w)</w:t>
      </w:r>
      <w:r w:rsidRPr="000D0229">
        <w:t xml:space="preserve"> of both 1,8-cineol and TMTHF compared to the alkanes and aromatics suggests a reduced likelihood of bioaccumulation in living organisms. In contrast, the significantly more chemically active </w:t>
      </w:r>
      <w:r w:rsidRPr="000D0229">
        <w:rPr>
          <w:i/>
        </w:rPr>
        <w:t>alpha</w:t>
      </w:r>
      <w:r w:rsidRPr="000D0229">
        <w:t>-protons in traditional ethers, demonstrated by their ability to form peroxides, means they will not give an accurate nearest neighbour toxicity prediction for TMTHF.</w:t>
      </w:r>
    </w:p>
    <w:p w14:paraId="54C248C5" w14:textId="77777777" w:rsidR="003A73FE" w:rsidRPr="000D0229" w:rsidRDefault="003A73FE" w:rsidP="00BE2C22">
      <w:pPr>
        <w:pStyle w:val="RSCB07BHeadingSub-Section-standalone"/>
      </w:pPr>
      <w:r w:rsidRPr="000D0229">
        <w:t xml:space="preserve">Acid stability </w:t>
      </w:r>
    </w:p>
    <w:p w14:paraId="6FD55A35" w14:textId="36C41F6B" w:rsidR="000E3EE5" w:rsidRPr="000D0229" w:rsidRDefault="000E3EE5" w:rsidP="000E3EE5">
      <w:pPr>
        <w:pStyle w:val="RSCB02ArticleText"/>
      </w:pPr>
      <w:r w:rsidRPr="000D0229">
        <w:t xml:space="preserve">Acid stability tests were carried out on TMTHF using a range of acids with varying pKa including glacial acetic acid, trifluoroacetic acid (TFA), para-toluenesulfonic acid monohydrate (PTSA), sulfuric acid (98%) and hydrochloric acid (37%). In these tests, TMTHF was stirred with a 1 mol% of the selected acid for 24 hours at room temperature or under reflux. The TMTHF used in the tests was &gt;99% pure by 1H NMR spectroscopy. </w:t>
      </w:r>
    </w:p>
    <w:p w14:paraId="66F2A27B" w14:textId="4BFFA325" w:rsidR="000E3EE5" w:rsidRPr="000D0229" w:rsidRDefault="000E3EE5" w:rsidP="000E3EE5">
      <w:pPr>
        <w:pStyle w:val="RSCB02ArticleText"/>
      </w:pPr>
      <w:r w:rsidRPr="000D0229">
        <w:t xml:space="preserve">No noticeable colour change was observed after 24 hours at room temperature and no change could be detected by 1H NMR spectroscopy (Figure S6, ESI). When stirred under reflux, minor colour change from a clear colourless solution to a pale gold solution was observed in samples mixed with PTSA, sulfuric acid </w:t>
      </w:r>
      <w:r w:rsidRPr="000D0229">
        <w:lastRenderedPageBreak/>
        <w:t>and hydrochloric acid. However, it is not certain that the colour change was a result of degradation of TMTHF or of some of the impurities which were initially present in the test solvent. 1H NMR spectroscopy suggests the presence of some alkene impurities (~0.5%) in the test solvent prior to addition of acid, which would also be susceptible acid catalysed polymerisation via a carbocation intermediate and could result in colour change (Figure S7, ESI). Work is underway to further test ultrapure TMTHF to give a better understanding of its stability in acidic conditions, but early results are nevertheless promising.</w:t>
      </w:r>
    </w:p>
    <w:p w14:paraId="40B86947" w14:textId="77777777" w:rsidR="000E3EE5" w:rsidRPr="000D0229" w:rsidRDefault="000E3EE5" w:rsidP="000E3EE5">
      <w:pPr>
        <w:pStyle w:val="RSCB02ArticleText"/>
        <w:rPr>
          <w:b/>
        </w:rPr>
      </w:pPr>
      <w:r w:rsidRPr="000D0229">
        <w:t xml:space="preserve">These encouraging results suggest that TMTHF is suitable for reactions in acidic conditions at room temperature and that no significant degradation occurred when mixed with acid under reflux for 24 hours, which opens up potential applications as a medium in acid catalysis. In addition, the dangers associated with mixing acids with peroxides which form in traditional ethers are not present in TMTHF due to its inability to form peroxides. However, precautions must always be taken and so a peroxide test prior to the addition of any acid would always be advisable. </w:t>
      </w:r>
    </w:p>
    <w:p w14:paraId="5536089B" w14:textId="32389BA9" w:rsidR="00BE2C22" w:rsidRPr="000D0229" w:rsidRDefault="00BE2C22" w:rsidP="000E3EE5">
      <w:pPr>
        <w:pStyle w:val="RSCB07BHeadingSub-Section-standalone"/>
      </w:pPr>
      <w:r w:rsidRPr="000D0229">
        <w:t>Green credentials</w:t>
      </w:r>
    </w:p>
    <w:p w14:paraId="6BD4D558" w14:textId="3E58DDA5" w:rsidR="002442B1" w:rsidRPr="000D0229" w:rsidRDefault="002442B1" w:rsidP="002442B1">
      <w:pPr>
        <w:pStyle w:val="RSCB02ArticleText"/>
      </w:pPr>
      <w:r w:rsidRPr="000D0229">
        <w:t xml:space="preserve">To date a solvent that is collectively green, volatile, non-polar and safe has eluded the chemical industry. Our initial study shows that TMTHF adheres to these criteria and is an ideal candidate to fill this important gap in the solvent space. TMTHF has a boiling point of 112 </w:t>
      </w:r>
      <w:r w:rsidRPr="000D0229">
        <w:rPr>
          <w:rFonts w:cs="Arial"/>
        </w:rPr>
        <w:t>°</w:t>
      </w:r>
      <w:r w:rsidRPr="000D0229">
        <w:t xml:space="preserve">C, a melting point below -90 </w:t>
      </w:r>
      <w:r w:rsidRPr="000D0229">
        <w:rPr>
          <w:rFonts w:cs="Arial"/>
        </w:rPr>
        <w:t>°</w:t>
      </w:r>
      <w:r w:rsidRPr="000D0229">
        <w:t>C, a very useful low polarity and is resistant to peroxide formation. The potentially renewable route to this molecule that utilizes clean synthetic methodologies (including catalysis and flow chemistry) make this a solvent with strong green credentials. This is further strengthened by the high AE of 96% and RME of 93% for its synthesis. TMTHF has passed an initial Ames test for mutagenicity, and nearest neighbo</w:t>
      </w:r>
      <w:r w:rsidR="00DA59E3" w:rsidRPr="000D0229">
        <w:t>u</w:t>
      </w:r>
      <w:r w:rsidRPr="000D0229">
        <w:t>r predictions of toxicity are promising due its structural similarity to 1,8-cineol, a component of many fragrances and flavorings.</w:t>
      </w:r>
      <w:r w:rsidRPr="000D0229">
        <w:fldChar w:fldCharType="begin"/>
      </w:r>
      <w:r w:rsidR="00FF231A" w:rsidRPr="000D0229">
        <w:instrText xml:space="preserve"> ADDIN ZOTERO_ITEM CSL_CITATION {"citationID":"achhi3u5ok","properties":{"formattedCitation":"{\\rtf \\super 54\\nosupersub{}}","plainCitation":"54"},"citationItems":[{"id":4431,"uris":["http://zotero.org/users/1738524/items/G4ZU3RN3"],"uri":["http://zotero.org/users/1738524/items/G4ZU3RN3"],"itemData":{"id":4431,"type":"webpage","title":"WHO | JECFA","URL":"http://apps.who.int/food-additives-contaminants-jecfa-database/chemical.aspx?chemID=4037","accessed":{"date-parts":[["2017",3,5]]}}}],"schema":"https://github.com/citation-style-language/schema/raw/master/csl-citation.json"} </w:instrText>
      </w:r>
      <w:r w:rsidRPr="000D0229">
        <w:fldChar w:fldCharType="separate"/>
      </w:r>
      <w:r w:rsidR="00653A21" w:rsidRPr="000D0229">
        <w:rPr>
          <w:rFonts w:ascii="Calibri" w:hAnsi="Calibri"/>
          <w:szCs w:val="24"/>
          <w:vertAlign w:val="superscript"/>
        </w:rPr>
        <w:t>54</w:t>
      </w:r>
      <w:r w:rsidRPr="000D0229">
        <w:fldChar w:fldCharType="end"/>
      </w:r>
      <w:r w:rsidRPr="000D0229">
        <w:t xml:space="preserve"> However, full toxicity testing would need to be conducted before this solvent could be produced or used on a commercial scale. TMTHF’s boiling point of 112 </w:t>
      </w:r>
      <w:r w:rsidRPr="000D0229">
        <w:rPr>
          <w:rFonts w:cs="Arial"/>
        </w:rPr>
        <w:t>°</w:t>
      </w:r>
      <w:r w:rsidRPr="000D0229">
        <w:t>C means it can be removed by evaporation with relative ease, a property which scores well in the recyclability segment of the GSK solvent guide.</w:t>
      </w:r>
      <w:r w:rsidRPr="000D0229">
        <w:fldChar w:fldCharType="begin"/>
      </w:r>
      <w:r w:rsidR="00FF231A" w:rsidRPr="000D0229">
        <w:instrText xml:space="preserve"> ADDIN ZOTERO_ITEM CSL_CITATION {"citationID":"5K9nRBo3","properties":{"formattedCitation":"{\\rtf \\super 7\\nosupersub{}}","plainCitation":"7"},"citationItems":[{"id":4487,"uris":["http://zotero.org/users/1738524/items/XZP7IHHC"],"uri":["http://zotero.org/users/1738524/items/XZP7IHHC"],"itemData":{"id":4487,"type":"article-journal","title":"Updating and further expanding GSK's solvent sustainability guide","page":"3879-3890","volume":"18","issue":"13","source":"pubs.rsc.org","abstract":"GlaxoSmithKline (GSK) has previously reported on the development of a GSK solvent guide, the incorporation of lifecycle impact and the expansion of the guide including a customisable version intended for posting in different business areas. This guide has recently been enhanced by: (1) adding 44 additional solvents, many of which have literature claims to be “green”; (2) adjusting the way in which multiple health, environment, safety, and waste categories are combined to reach a single composite score and colour assignment; (3) updating the data behind all scores, especially toxicology and health hazard assessment, and revising the methodology to reflect current guidelines and data. The full methodology behind this work is hereby shared. The new GSK Solvent Sustainability Guide enables GSK scientists to objectively assess solvents. It facilitates both comparison of individual sustainability criteria, and a composite score and colour for rank ordering, incorporating multiple facets of sustainability.","DOI":"10.1039/C6GC00611F","ISSN":"1463-9270","journalAbbreviation":"Green Chem.","language":"en","author":[{"family":"Alder","given":"Catherine M."},{"family":"Hayler","given":"John D."},{"family":"Henderson","given":"Richard K."},{"family":"Redman","given":"Anikó M."},{"family":"Shukla","given":"Lena"},{"family":"Shuster","given":"Leanna E."},{"family":"Sneddon","given":"Helen F."}],"issued":{"date-parts":[["2016",6,27]]}}}],"schema":"https://github.com/citation-style-language/schema/raw/master/csl-citation.json"} </w:instrText>
      </w:r>
      <w:r w:rsidRPr="000D0229">
        <w:fldChar w:fldCharType="separate"/>
      </w:r>
      <w:r w:rsidR="00653A21" w:rsidRPr="000D0229">
        <w:rPr>
          <w:rFonts w:ascii="Calibri" w:hAnsi="Calibri"/>
          <w:szCs w:val="24"/>
          <w:vertAlign w:val="superscript"/>
        </w:rPr>
        <w:t>7</w:t>
      </w:r>
      <w:r w:rsidRPr="000D0229">
        <w:fldChar w:fldCharType="end"/>
      </w:r>
      <w:r w:rsidRPr="000D0229">
        <w:t xml:space="preserve"> It is immiscible with water, glycerol, dimethyl sulfoxide (DMSO) ethylene carbonate and propylene carbonate, thus opening up applications in liquid-liquid extraction. TMTHF therefore has the potential to further improve some processes in which a greener workup solvent is required. </w:t>
      </w:r>
    </w:p>
    <w:p w14:paraId="45AC8003" w14:textId="37F3CC2F" w:rsidR="00E61949" w:rsidRPr="000D0229" w:rsidRDefault="00180ABE" w:rsidP="00AF4737">
      <w:pPr>
        <w:pStyle w:val="RSCB04AHeadingSection"/>
      </w:pPr>
      <w:r w:rsidRPr="000D0229">
        <w:t>Conclusions</w:t>
      </w:r>
    </w:p>
    <w:p w14:paraId="0161F607" w14:textId="5FB47582" w:rsidR="00D82A1D" w:rsidRPr="000D0229" w:rsidRDefault="00D82A1D" w:rsidP="00D82A1D">
      <w:pPr>
        <w:pStyle w:val="RSCB02ArticleText"/>
      </w:pPr>
      <w:r w:rsidRPr="000D0229">
        <w:t xml:space="preserve">TMTHF can be produced catalytically in a highly atom economical process by the ring closure of DMHDL, a diol which is currently produced industrially from acetylene and acetone. The process can be made sustainable with the use of renewable acetylene and acetone as drop-in replacements. Based on its structure, TMTHF is classed as an ether and its Kamlet-Abboud-Taft parameters demonstrate high hydrogen-bond accepting ability like traditional ethers. However, its Hansen solubility </w:t>
      </w:r>
      <w:r w:rsidRPr="000D0229">
        <w:t xml:space="preserve">parameters are more like those of toluene. These similarities to toluene and disparities to traditional ethers have been confirmed by its performance in model Fischer esterification, amidation and Grignard reactions. Furthermore, TMTHF was shown to be a suitable solvent for radical-initiated polymerizations. It is inherently resistant to peroxide formation without the assistance of antioxidants, unlike other ethers such as THF, 2-MeTHF and CPME, allowing it to be used safely in the chemical industry. Finally, an Ames test using TA98 and TA100 </w:t>
      </w:r>
      <w:r w:rsidRPr="000D0229">
        <w:rPr>
          <w:i/>
        </w:rPr>
        <w:t>Salmonella</w:t>
      </w:r>
      <w:r w:rsidRPr="000D0229">
        <w:t xml:space="preserve"> bacterial strains found TMTHF not to be mutagenic, further evidence of it being a safer solvent compared those it would replace. </w:t>
      </w:r>
      <w:r w:rsidR="00BB68DE" w:rsidRPr="000D0229">
        <w:t xml:space="preserve">Preliminary acid stability tests suggest TMTHF can resist acid attack at room temperature and results are promising even under reflux. </w:t>
      </w:r>
      <w:r w:rsidRPr="000D0229">
        <w:t>Such a solvent will create new opportunities for industry to improve the green credentials of a process with a safer renewable replacement for toluene and other widely used VNP solvents.</w:t>
      </w:r>
    </w:p>
    <w:p w14:paraId="74638FFB" w14:textId="31074E39" w:rsidR="00FA2DA2" w:rsidRPr="000D0229" w:rsidRDefault="00FA2DA2" w:rsidP="00FA2DA2">
      <w:pPr>
        <w:pStyle w:val="RSCB04AHeadingSection"/>
      </w:pPr>
      <w:r w:rsidRPr="000D0229">
        <w:t>Acknowledgements</w:t>
      </w:r>
    </w:p>
    <w:p w14:paraId="532B4D11" w14:textId="056A794F" w:rsidR="00DA59E3" w:rsidRPr="000D0229" w:rsidRDefault="00DA59E3" w:rsidP="00DA59E3">
      <w:pPr>
        <w:pStyle w:val="RSCB02ArticleText"/>
      </w:pPr>
      <w:r w:rsidRPr="000D0229">
        <w:t>The authors would like to thank Nitto Belgium NV for funding the project; Dr. James Sherwood and Dr. Con Robert McElroy for discussions throughout this work; the Biorenewable Developments Centre (BDC) for the use of their lab where Ames testing was carried out; Ang</w:t>
      </w:r>
      <w:r w:rsidRPr="000D0229">
        <w:rPr>
          <w:rFonts w:cs="Arial"/>
        </w:rPr>
        <w:t>é</w:t>
      </w:r>
      <w:r w:rsidRPr="000D0229">
        <w:t xml:space="preserve">lique Rat for work carried out during a summer internship; and Clariant for the HBEA zeolite samples which were used throughout this work. </w:t>
      </w:r>
    </w:p>
    <w:p w14:paraId="407CB8C8" w14:textId="41216879" w:rsidR="009419AA" w:rsidRPr="000D0229" w:rsidRDefault="00E61949" w:rsidP="00653A21">
      <w:pPr>
        <w:pStyle w:val="RSCB04AHeadingSection"/>
      </w:pPr>
      <w:r w:rsidRPr="000D0229">
        <w:t>Notes and references</w:t>
      </w:r>
    </w:p>
    <w:p w14:paraId="75D8799E" w14:textId="7A5D42CF" w:rsidR="00653A21" w:rsidRPr="000D0229" w:rsidRDefault="00653A21" w:rsidP="00C56693">
      <w:pPr>
        <w:pStyle w:val="RSCR02References"/>
      </w:pPr>
      <w:r w:rsidRPr="000D0229">
        <w:rPr>
          <w:sz w:val="22"/>
        </w:rPr>
        <w:fldChar w:fldCharType="begin"/>
      </w:r>
      <w:r w:rsidRPr="000D0229">
        <w:instrText xml:space="preserve"> ADDIN ZOTERO_BIBL {"custom":[]} CSL_BIBLIOGRAPHY </w:instrText>
      </w:r>
      <w:r w:rsidRPr="000D0229">
        <w:rPr>
          <w:sz w:val="22"/>
        </w:rPr>
        <w:fldChar w:fldCharType="separate"/>
      </w:r>
      <w:r w:rsidRPr="000D0229">
        <w:t>US EPA</w:t>
      </w:r>
      <w:r w:rsidR="00EA56B3" w:rsidRPr="000D0229">
        <w:t xml:space="preserve"> - Initial List of Hazardous Air Pollutants with Modifications</w:t>
      </w:r>
      <w:r w:rsidRPr="000D0229">
        <w:t xml:space="preserve">, </w:t>
      </w:r>
      <w:r w:rsidR="00EA56B3" w:rsidRPr="000D0229">
        <w:t>https://www.epa.gov/haps/initial-list-hazardous-air-pollutants-modifications</w:t>
      </w:r>
      <w:r w:rsidR="00286D35" w:rsidRPr="000D0229">
        <w:t xml:space="preserve"> (accessed March 2017)</w:t>
      </w:r>
      <w:r w:rsidRPr="000D0229">
        <w:t>.</w:t>
      </w:r>
    </w:p>
    <w:p w14:paraId="0CBEA9F2" w14:textId="56A1EAD6" w:rsidR="00653A21" w:rsidRPr="000D0229" w:rsidRDefault="00EA56B3" w:rsidP="00C56693">
      <w:pPr>
        <w:pStyle w:val="RSCR02References"/>
      </w:pPr>
      <w:r w:rsidRPr="000D0229">
        <w:t>n-Hexane - Substance Information - ECHA, https://echa.europa.eu/substance-information</w:t>
      </w:r>
      <w:r w:rsidR="00286D35" w:rsidRPr="000D0229">
        <w:t xml:space="preserve"> (accessed March 2017).</w:t>
      </w:r>
      <w:r w:rsidRPr="000D0229">
        <w:t xml:space="preserve">  </w:t>
      </w:r>
    </w:p>
    <w:p w14:paraId="098A7306" w14:textId="363AFCBD" w:rsidR="00653A21" w:rsidRPr="000D0229" w:rsidRDefault="00EA56B3" w:rsidP="00C56693">
      <w:pPr>
        <w:pStyle w:val="RSCR02References"/>
      </w:pPr>
      <w:r w:rsidRPr="000D0229">
        <w:t>Toluene - Substance Information - ECHA, https://echa.europa.eu/substance-information/-/substanceinfo/100.003.297</w:t>
      </w:r>
      <w:r w:rsidR="00286D35" w:rsidRPr="000D0229">
        <w:t xml:space="preserve"> (accessed March 2017).</w:t>
      </w:r>
    </w:p>
    <w:p w14:paraId="1F6B52F2" w14:textId="76622929" w:rsidR="00653A21" w:rsidRPr="000D0229" w:rsidRDefault="00EA56B3" w:rsidP="00C56693">
      <w:pPr>
        <w:pStyle w:val="RSCR02References"/>
      </w:pPr>
      <w:r w:rsidRPr="000D0229">
        <w:t>n-Hexane - Substance evaluation - CoRAP - ECHA, https://echa.europa.eu/information-on-chemicals/evaluation/community-rolling-action-plan/corap-table/-/dislist/details/0b0236e1807e4bd4</w:t>
      </w:r>
      <w:r w:rsidR="00286D35" w:rsidRPr="000D0229">
        <w:t xml:space="preserve"> (accessed March 2017).</w:t>
      </w:r>
    </w:p>
    <w:p w14:paraId="7359D65E" w14:textId="362DC7BE" w:rsidR="00653A21" w:rsidRPr="000D0229" w:rsidRDefault="00653A21" w:rsidP="00C56693">
      <w:pPr>
        <w:pStyle w:val="RSCR02References"/>
      </w:pPr>
      <w:r w:rsidRPr="000D0229">
        <w:t xml:space="preserve">P. G. Jessop, </w:t>
      </w:r>
      <w:r w:rsidRPr="000D0229">
        <w:rPr>
          <w:i/>
          <w:iCs/>
        </w:rPr>
        <w:t>Green Chem.</w:t>
      </w:r>
      <w:r w:rsidRPr="000D0229">
        <w:t xml:space="preserve">, 2011, </w:t>
      </w:r>
      <w:r w:rsidRPr="000D0229">
        <w:rPr>
          <w:b/>
          <w:bCs/>
        </w:rPr>
        <w:t>13</w:t>
      </w:r>
      <w:r w:rsidRPr="000D0229">
        <w:t>, 1391–1398.</w:t>
      </w:r>
    </w:p>
    <w:p w14:paraId="5881C6CA" w14:textId="74D81849" w:rsidR="00653A21" w:rsidRPr="000D0229" w:rsidRDefault="00653A21" w:rsidP="00C56693">
      <w:pPr>
        <w:pStyle w:val="RSCR02References"/>
      </w:pPr>
      <w:r w:rsidRPr="000D0229">
        <w:t xml:space="preserve">D. Prat, A. Wells, J. Hayler, H. Sneddon, C. R. McElroy, S. Abou-Shehada and P. J. Dunn, </w:t>
      </w:r>
      <w:r w:rsidRPr="000D0229">
        <w:rPr>
          <w:i/>
          <w:iCs/>
        </w:rPr>
        <w:t>Green Chem.</w:t>
      </w:r>
      <w:r w:rsidRPr="000D0229">
        <w:t xml:space="preserve">, 2015, </w:t>
      </w:r>
      <w:r w:rsidRPr="000D0229">
        <w:rPr>
          <w:b/>
          <w:bCs/>
        </w:rPr>
        <w:t>18</w:t>
      </w:r>
      <w:r w:rsidRPr="000D0229">
        <w:t>, 288–296.</w:t>
      </w:r>
    </w:p>
    <w:p w14:paraId="05B409EE" w14:textId="4150E62B" w:rsidR="00653A21" w:rsidRPr="000D0229" w:rsidRDefault="00653A21" w:rsidP="00C56693">
      <w:pPr>
        <w:pStyle w:val="RSCR02References"/>
      </w:pPr>
      <w:r w:rsidRPr="000D0229">
        <w:t xml:space="preserve">C. M. Alder, J. D. Hayler, R. K. Henderson, A. M. Redman, L. Shukla, L. E. Shuster and H. F. Sneddon, </w:t>
      </w:r>
      <w:r w:rsidRPr="000D0229">
        <w:rPr>
          <w:i/>
          <w:iCs/>
        </w:rPr>
        <w:t>Green Chem.</w:t>
      </w:r>
      <w:r w:rsidRPr="000D0229">
        <w:t xml:space="preserve">, 2016, </w:t>
      </w:r>
      <w:r w:rsidRPr="000D0229">
        <w:rPr>
          <w:b/>
          <w:bCs/>
        </w:rPr>
        <w:t>18</w:t>
      </w:r>
      <w:r w:rsidRPr="000D0229">
        <w:t>, 3879–3890.</w:t>
      </w:r>
    </w:p>
    <w:p w14:paraId="66ED9B11" w14:textId="6844749A" w:rsidR="00653A21" w:rsidRPr="000D0229" w:rsidRDefault="00653A21" w:rsidP="00C56693">
      <w:pPr>
        <w:pStyle w:val="RSCR02References"/>
      </w:pPr>
      <w:r w:rsidRPr="000D0229">
        <w:t xml:space="preserve">E. R. Sacia, M. H. Deaner, Y. “Lin” Louie and A. T. Bell, </w:t>
      </w:r>
      <w:r w:rsidRPr="000D0229">
        <w:rPr>
          <w:i/>
          <w:iCs/>
        </w:rPr>
        <w:t>Green Chem.</w:t>
      </w:r>
      <w:r w:rsidRPr="000D0229">
        <w:t xml:space="preserve">, 2015, </w:t>
      </w:r>
      <w:r w:rsidRPr="000D0229">
        <w:rPr>
          <w:b/>
          <w:bCs/>
        </w:rPr>
        <w:t>17</w:t>
      </w:r>
      <w:r w:rsidRPr="000D0229">
        <w:t>, 2393–2397.</w:t>
      </w:r>
    </w:p>
    <w:p w14:paraId="4462D070" w14:textId="361679A2" w:rsidR="00653A21" w:rsidRPr="000D0229" w:rsidRDefault="00653A21" w:rsidP="00C56693">
      <w:pPr>
        <w:pStyle w:val="RSCR02References"/>
      </w:pPr>
      <w:r w:rsidRPr="000D0229">
        <w:t xml:space="preserve">B. O. de Beeck, M. Dusselier, J. Geboers, J. Holsbeek, E. Morré, S. Oswald, L. Giebeler and B. F. Sels, </w:t>
      </w:r>
      <w:r w:rsidRPr="000D0229">
        <w:rPr>
          <w:i/>
          <w:iCs/>
        </w:rPr>
        <w:t>Energy Environ. Sci.</w:t>
      </w:r>
      <w:r w:rsidRPr="000D0229">
        <w:t xml:space="preserve">, 2014, </w:t>
      </w:r>
      <w:r w:rsidRPr="000D0229">
        <w:rPr>
          <w:b/>
          <w:bCs/>
        </w:rPr>
        <w:t>8</w:t>
      </w:r>
      <w:r w:rsidRPr="000D0229">
        <w:t>, 230–240.</w:t>
      </w:r>
    </w:p>
    <w:p w14:paraId="1DE33CCB" w14:textId="2336660E" w:rsidR="00653A21" w:rsidRPr="000D0229" w:rsidRDefault="00EA56B3" w:rsidP="00C56693">
      <w:pPr>
        <w:pStyle w:val="RSCR02References"/>
      </w:pPr>
      <w:r w:rsidRPr="000D0229">
        <w:t>Methylcyclopentane - Substance Information - ECHA, https://echa.europa.eu/substance-information/-/substanceinfo/100.002.277</w:t>
      </w:r>
      <w:r w:rsidR="00286D35" w:rsidRPr="000D0229">
        <w:t xml:space="preserve"> (accessed March 2017).</w:t>
      </w:r>
    </w:p>
    <w:p w14:paraId="31A00500" w14:textId="71497665" w:rsidR="00653A21" w:rsidRPr="000D0229" w:rsidRDefault="00653A21" w:rsidP="00C56693">
      <w:pPr>
        <w:pStyle w:val="RSCR02References"/>
      </w:pPr>
      <w:r w:rsidRPr="000D0229">
        <w:t xml:space="preserve">J. H. Clark, D. J. Macquarrie and J. Sherwood, </w:t>
      </w:r>
      <w:r w:rsidRPr="000D0229">
        <w:rPr>
          <w:i/>
          <w:iCs/>
        </w:rPr>
        <w:t>Green Chem.</w:t>
      </w:r>
      <w:r w:rsidRPr="000D0229">
        <w:t xml:space="preserve">, 2012, </w:t>
      </w:r>
      <w:r w:rsidRPr="000D0229">
        <w:rPr>
          <w:b/>
          <w:bCs/>
        </w:rPr>
        <w:t>14</w:t>
      </w:r>
      <w:r w:rsidRPr="000D0229">
        <w:t>, 90.</w:t>
      </w:r>
    </w:p>
    <w:p w14:paraId="62EC8EE4" w14:textId="3CEF4731" w:rsidR="00653A21" w:rsidRPr="000D0229" w:rsidRDefault="00653A21" w:rsidP="00C56693">
      <w:pPr>
        <w:pStyle w:val="RSCR02References"/>
      </w:pPr>
      <w:r w:rsidRPr="000D0229">
        <w:lastRenderedPageBreak/>
        <w:t xml:space="preserve">S. Jin, F. Byrne, C. R. McElroy, J. Sherwood, J. H. Clark and A. J. Hunt, </w:t>
      </w:r>
      <w:r w:rsidRPr="000D0229">
        <w:rPr>
          <w:i/>
          <w:iCs/>
        </w:rPr>
        <w:t>Faraday Discuss.</w:t>
      </w:r>
      <w:r w:rsidRPr="000D0229">
        <w:t>, 2017</w:t>
      </w:r>
      <w:r w:rsidR="00105E95" w:rsidRPr="000D0229">
        <w:t>, DOI 10.1039/c7fd00049a</w:t>
      </w:r>
      <w:r w:rsidRPr="000D0229">
        <w:t>.</w:t>
      </w:r>
    </w:p>
    <w:p w14:paraId="28329C05" w14:textId="1A84DED3" w:rsidR="00653A21" w:rsidRPr="000D0229" w:rsidRDefault="00653A21" w:rsidP="00C56693">
      <w:pPr>
        <w:pStyle w:val="RSCR02References"/>
      </w:pPr>
      <w:r w:rsidRPr="000D0229">
        <w:t xml:space="preserve">R. K. Henderson, C. Jiménez-González, D. J. C. Constable, S. R. Alston, G. G. A. Inglis, G. Fisher, J. Sherwood, S. P. Binks and A. D. Curzons, </w:t>
      </w:r>
      <w:r w:rsidRPr="000D0229">
        <w:rPr>
          <w:i/>
          <w:iCs/>
        </w:rPr>
        <w:t>Green Chem.</w:t>
      </w:r>
      <w:r w:rsidRPr="000D0229">
        <w:t xml:space="preserve">, 2011, </w:t>
      </w:r>
      <w:r w:rsidRPr="000D0229">
        <w:rPr>
          <w:b/>
          <w:bCs/>
        </w:rPr>
        <w:t>13</w:t>
      </w:r>
      <w:r w:rsidRPr="000D0229">
        <w:t>, 854–862.</w:t>
      </w:r>
    </w:p>
    <w:p w14:paraId="38982177" w14:textId="76302245" w:rsidR="00653A21" w:rsidRPr="000D0229" w:rsidRDefault="00653A21" w:rsidP="00C56693">
      <w:pPr>
        <w:pStyle w:val="RSCR02References"/>
      </w:pPr>
      <w:r w:rsidRPr="000D0229">
        <w:t>J. Sherwood, PhD Thesis, University of York, 2013.</w:t>
      </w:r>
    </w:p>
    <w:p w14:paraId="3F48AE2B" w14:textId="79715F5A" w:rsidR="00653A21" w:rsidRPr="000D0229" w:rsidRDefault="00653A21" w:rsidP="00C56693">
      <w:pPr>
        <w:pStyle w:val="RSCR02References"/>
      </w:pPr>
      <w:r w:rsidRPr="000D0229">
        <w:t xml:space="preserve">M. Bandres, P. de Caro, S. Thiebaud-Roux and M.-E. Borredon, </w:t>
      </w:r>
      <w:r w:rsidRPr="000D0229">
        <w:rPr>
          <w:i/>
          <w:iCs/>
        </w:rPr>
        <w:t>Comptes Rendus Chim.</w:t>
      </w:r>
      <w:r w:rsidRPr="000D0229">
        <w:t xml:space="preserve">, 2011, </w:t>
      </w:r>
      <w:r w:rsidRPr="000D0229">
        <w:rPr>
          <w:b/>
          <w:bCs/>
        </w:rPr>
        <w:t>14</w:t>
      </w:r>
      <w:r w:rsidRPr="000D0229">
        <w:t>, 636–646.</w:t>
      </w:r>
    </w:p>
    <w:p w14:paraId="624E7C97" w14:textId="78735B7A" w:rsidR="00653A21" w:rsidRPr="000D0229" w:rsidRDefault="00653A21" w:rsidP="00C56693">
      <w:pPr>
        <w:pStyle w:val="RSCR02References"/>
      </w:pPr>
      <w:r w:rsidRPr="000D0229">
        <w:t xml:space="preserve">K. Watanabe, N. Yamagiwa and Y. Torisawa, </w:t>
      </w:r>
      <w:r w:rsidRPr="000D0229">
        <w:rPr>
          <w:i/>
          <w:iCs/>
        </w:rPr>
        <w:t>Org. Process Res. Dev.</w:t>
      </w:r>
      <w:r w:rsidRPr="000D0229">
        <w:t xml:space="preserve">, 2007, </w:t>
      </w:r>
      <w:r w:rsidRPr="000D0229">
        <w:rPr>
          <w:b/>
          <w:bCs/>
        </w:rPr>
        <w:t>11</w:t>
      </w:r>
      <w:r w:rsidRPr="000D0229">
        <w:t>, 251–258.</w:t>
      </w:r>
    </w:p>
    <w:p w14:paraId="780E85F1" w14:textId="16F3E67A" w:rsidR="00653A21" w:rsidRPr="000D0229" w:rsidRDefault="00653A21" w:rsidP="00C56693">
      <w:pPr>
        <w:pStyle w:val="RSCR02References"/>
      </w:pPr>
      <w:r w:rsidRPr="000D0229">
        <w:t xml:space="preserve">D. F. Aycock, </w:t>
      </w:r>
      <w:r w:rsidRPr="000D0229">
        <w:rPr>
          <w:i/>
          <w:iCs/>
        </w:rPr>
        <w:t>Org. Process Res. Dev.</w:t>
      </w:r>
      <w:r w:rsidRPr="000D0229">
        <w:t xml:space="preserve">, 2006, </w:t>
      </w:r>
      <w:r w:rsidRPr="000D0229">
        <w:rPr>
          <w:b/>
          <w:bCs/>
        </w:rPr>
        <w:t>11</w:t>
      </w:r>
      <w:r w:rsidRPr="000D0229">
        <w:t>, 156–159.</w:t>
      </w:r>
    </w:p>
    <w:p w14:paraId="60356DA1" w14:textId="5DCE5700" w:rsidR="00653A21" w:rsidRPr="000D0229" w:rsidRDefault="00653A21" w:rsidP="00C56693">
      <w:pPr>
        <w:pStyle w:val="RSCR02References"/>
      </w:pPr>
      <w:r w:rsidRPr="000D0229">
        <w:t xml:space="preserve">E. A. Youngman, F. F. Rust, G. M. Coppinger and H. E. D. L. Mare, </w:t>
      </w:r>
      <w:r w:rsidRPr="000D0229">
        <w:rPr>
          <w:i/>
          <w:iCs/>
        </w:rPr>
        <w:t>J. Org. Chem.</w:t>
      </w:r>
      <w:r w:rsidRPr="000D0229">
        <w:t xml:space="preserve">, 1963, </w:t>
      </w:r>
      <w:r w:rsidRPr="000D0229">
        <w:rPr>
          <w:b/>
          <w:bCs/>
        </w:rPr>
        <w:t>28</w:t>
      </w:r>
      <w:r w:rsidRPr="000D0229">
        <w:t>, 144–148.</w:t>
      </w:r>
    </w:p>
    <w:p w14:paraId="7CBB95B9" w14:textId="72ED8AC5" w:rsidR="00653A21" w:rsidRPr="000D0229" w:rsidRDefault="00105E95" w:rsidP="00C56693">
      <w:pPr>
        <w:pStyle w:val="RSCR02References"/>
      </w:pPr>
      <w:r w:rsidRPr="000D0229">
        <w:t>Cyclopentyl methyl ether (CPME) - Zeon Corporation, http://www.zeon.co.jp/business_e/enterprise/spechemi/spechemi5-13.html</w:t>
      </w:r>
      <w:r w:rsidR="00286D35" w:rsidRPr="000D0229">
        <w:t xml:space="preserve"> (accessed March 2017).</w:t>
      </w:r>
    </w:p>
    <w:p w14:paraId="436BCB0D" w14:textId="0829DA95" w:rsidR="00653A21" w:rsidRPr="000D0229" w:rsidRDefault="00105E95" w:rsidP="00C56693">
      <w:pPr>
        <w:pStyle w:val="RSCR02References"/>
      </w:pPr>
      <w:r w:rsidRPr="000D0229">
        <w:t xml:space="preserve">F. Byrne, A. J. Hunt, T. J. Farmer, J. H. Clark, B. Forier, G. Bossaert, </w:t>
      </w:r>
      <w:r w:rsidR="00196C99" w:rsidRPr="000D0229">
        <w:t>NL Pat.</w:t>
      </w:r>
      <w:r w:rsidR="00286D35" w:rsidRPr="000D0229">
        <w:t>,</w:t>
      </w:r>
      <w:r w:rsidR="00196C99" w:rsidRPr="000D0229">
        <w:t xml:space="preserve"> </w:t>
      </w:r>
      <w:r w:rsidRPr="000D0229">
        <w:t>App</w:t>
      </w:r>
      <w:r w:rsidR="00196C99" w:rsidRPr="000D0229">
        <w:t>n.</w:t>
      </w:r>
      <w:r w:rsidRPr="000D0229">
        <w:t xml:space="preserve"> No. P32827NL00/WZO, 2016 (patent pending)</w:t>
      </w:r>
      <w:r w:rsidR="00653A21" w:rsidRPr="000D0229">
        <w:t>.</w:t>
      </w:r>
    </w:p>
    <w:p w14:paraId="19597A7B" w14:textId="0C523517" w:rsidR="00653A21" w:rsidRPr="000D0229" w:rsidRDefault="00196C99" w:rsidP="00C56693">
      <w:pPr>
        <w:pStyle w:val="RSCR02References"/>
      </w:pPr>
      <w:r w:rsidRPr="000D0229">
        <w:t>Dimethylhexanediol - BASF, http://www.windenergy.basf.com/group/corporate/wind-energy/en/brand/2_5_DIMETHYL_2_5_HEXANEDIOL</w:t>
      </w:r>
      <w:r w:rsidR="00286D35" w:rsidRPr="000D0229">
        <w:t xml:space="preserve"> (accessed March 2017).</w:t>
      </w:r>
    </w:p>
    <w:p w14:paraId="18BC8279" w14:textId="6DA57C68" w:rsidR="00653A21" w:rsidRPr="000D0229" w:rsidRDefault="00196C99" w:rsidP="00C56693">
      <w:pPr>
        <w:pStyle w:val="RSCR02References"/>
      </w:pPr>
      <w:r w:rsidRPr="000D0229">
        <w:t xml:space="preserve">M. Maas-Brunner, J. Henkelmann, G. Kaibel, A. Kindler, C. Knoll, H. Rust, C. Tragut, M. Stroezel, U. Rheude, R. E. Lorenz, </w:t>
      </w:r>
      <w:r w:rsidR="00653A21" w:rsidRPr="000D0229">
        <w:t>US</w:t>
      </w:r>
      <w:r w:rsidR="00286D35" w:rsidRPr="000D0229">
        <w:t xml:space="preserve"> Pat., 6956141</w:t>
      </w:r>
      <w:r w:rsidR="00653A21" w:rsidRPr="000D0229">
        <w:t>B1, 2005.</w:t>
      </w:r>
    </w:p>
    <w:p w14:paraId="12E621DE" w14:textId="1BC9CB72" w:rsidR="00653A21" w:rsidRPr="000D0229" w:rsidRDefault="00653A21" w:rsidP="00C56693">
      <w:pPr>
        <w:pStyle w:val="RSCR02References"/>
      </w:pPr>
      <w:r w:rsidRPr="000D0229">
        <w:t xml:space="preserve">G. Esposito, L. Frunzo, A. Panico and F. Pirozzi, </w:t>
      </w:r>
      <w:r w:rsidRPr="000D0229">
        <w:rPr>
          <w:i/>
          <w:iCs/>
        </w:rPr>
        <w:t>Environ. Technol.</w:t>
      </w:r>
      <w:r w:rsidRPr="000D0229">
        <w:t xml:space="preserve">, 2012, </w:t>
      </w:r>
      <w:r w:rsidRPr="000D0229">
        <w:rPr>
          <w:b/>
          <w:bCs/>
        </w:rPr>
        <w:t>33</w:t>
      </w:r>
      <w:r w:rsidRPr="000D0229">
        <w:t>, 2733–2740.</w:t>
      </w:r>
    </w:p>
    <w:p w14:paraId="21AE072F" w14:textId="5D497C45" w:rsidR="00653A21" w:rsidRPr="000D0229" w:rsidRDefault="00653A21" w:rsidP="00C56693">
      <w:pPr>
        <w:pStyle w:val="RSCR02References"/>
      </w:pPr>
      <w:r w:rsidRPr="000D0229">
        <w:t xml:space="preserve">M. Görling, M. Larsson and P. Alvfors, </w:t>
      </w:r>
      <w:r w:rsidRPr="000D0229">
        <w:rPr>
          <w:i/>
          <w:iCs/>
        </w:rPr>
        <w:t>Appl. Energy</w:t>
      </w:r>
      <w:r w:rsidRPr="000D0229">
        <w:t xml:space="preserve">, 2013, </w:t>
      </w:r>
      <w:r w:rsidRPr="000D0229">
        <w:rPr>
          <w:b/>
          <w:bCs/>
        </w:rPr>
        <w:t>112</w:t>
      </w:r>
      <w:r w:rsidRPr="000D0229">
        <w:t>, 440–447.</w:t>
      </w:r>
    </w:p>
    <w:p w14:paraId="2C565F21" w14:textId="30F01DCF" w:rsidR="00653A21" w:rsidRPr="000D0229" w:rsidRDefault="00286D35" w:rsidP="00C56693">
      <w:pPr>
        <w:pStyle w:val="RSCR02References"/>
      </w:pPr>
      <w:r w:rsidRPr="000D0229">
        <w:t xml:space="preserve">D. Stapf, P. Pässler, M. Bachtler, O. Scheidsteger, B. Bartenbach, </w:t>
      </w:r>
      <w:r w:rsidR="00653A21" w:rsidRPr="000D0229">
        <w:t>US</w:t>
      </w:r>
      <w:r w:rsidRPr="000D0229">
        <w:t xml:space="preserve"> Pat., 6365792</w:t>
      </w:r>
      <w:r w:rsidR="00653A21" w:rsidRPr="000D0229">
        <w:t>B1, 2002.</w:t>
      </w:r>
    </w:p>
    <w:p w14:paraId="088C52A7" w14:textId="0F301147" w:rsidR="00653A21" w:rsidRPr="000D0229" w:rsidRDefault="00286D35" w:rsidP="00C56693">
      <w:pPr>
        <w:pStyle w:val="RSCR02References"/>
      </w:pPr>
      <w:r w:rsidRPr="000D0229">
        <w:t>Renewable, Bio-based Acetone, http://www.greenbiologics.com/acetone.php (accessed March 2017).</w:t>
      </w:r>
    </w:p>
    <w:p w14:paraId="0A4B8618" w14:textId="09933F2B" w:rsidR="00653A21" w:rsidRPr="000D0229" w:rsidRDefault="00653A21" w:rsidP="00C56693">
      <w:pPr>
        <w:pStyle w:val="RSCR02References"/>
      </w:pPr>
      <w:r w:rsidRPr="000D0229">
        <w:t xml:space="preserve">D. E. Clark, </w:t>
      </w:r>
      <w:r w:rsidRPr="000D0229">
        <w:rPr>
          <w:i/>
          <w:iCs/>
        </w:rPr>
        <w:t>Chem. Health Saf.</w:t>
      </w:r>
      <w:r w:rsidRPr="000D0229">
        <w:t xml:space="preserve">, 2001, </w:t>
      </w:r>
      <w:r w:rsidRPr="000D0229">
        <w:rPr>
          <w:b/>
          <w:bCs/>
        </w:rPr>
        <w:t>8</w:t>
      </w:r>
      <w:r w:rsidRPr="000D0229">
        <w:t>, 12–22.</w:t>
      </w:r>
    </w:p>
    <w:p w14:paraId="0E640DC1" w14:textId="29325F0E" w:rsidR="00653A21" w:rsidRPr="000D0229" w:rsidRDefault="00653A21" w:rsidP="00C56693">
      <w:pPr>
        <w:pStyle w:val="RSCR02References"/>
      </w:pPr>
      <w:r w:rsidRPr="000D0229">
        <w:t xml:space="preserve">C. E. Frank, </w:t>
      </w:r>
      <w:r w:rsidRPr="000D0229">
        <w:rPr>
          <w:i/>
          <w:iCs/>
        </w:rPr>
        <w:t>Chem. Rev.</w:t>
      </w:r>
      <w:r w:rsidRPr="000D0229">
        <w:t xml:space="preserve">, 1950, </w:t>
      </w:r>
      <w:r w:rsidRPr="000D0229">
        <w:rPr>
          <w:b/>
          <w:bCs/>
        </w:rPr>
        <w:t>46</w:t>
      </w:r>
      <w:r w:rsidRPr="000D0229">
        <w:t>, 155–169.</w:t>
      </w:r>
    </w:p>
    <w:p w14:paraId="2F706015" w14:textId="2C08C0F6" w:rsidR="00653A21" w:rsidRPr="000D0229" w:rsidRDefault="00653A21" w:rsidP="00C56693">
      <w:pPr>
        <w:pStyle w:val="RSCR02References"/>
      </w:pPr>
      <w:r w:rsidRPr="000D0229">
        <w:t xml:space="preserve">C. E. Redemann, </w:t>
      </w:r>
      <w:r w:rsidRPr="000D0229">
        <w:rPr>
          <w:i/>
          <w:iCs/>
        </w:rPr>
        <w:t>J. Am. Chem. Soc.</w:t>
      </w:r>
      <w:r w:rsidRPr="000D0229">
        <w:t xml:space="preserve">, 1942, </w:t>
      </w:r>
      <w:r w:rsidRPr="000D0229">
        <w:rPr>
          <w:b/>
          <w:bCs/>
        </w:rPr>
        <w:t>64</w:t>
      </w:r>
      <w:r w:rsidRPr="000D0229">
        <w:t>, 3049–3050.</w:t>
      </w:r>
    </w:p>
    <w:p w14:paraId="0522DD99" w14:textId="3CBA5BC3" w:rsidR="00653A21" w:rsidRPr="000D0229" w:rsidRDefault="00653A21" w:rsidP="00C56693">
      <w:pPr>
        <w:pStyle w:val="RSCR02References"/>
      </w:pPr>
      <w:r w:rsidRPr="000D0229">
        <w:t xml:space="preserve">D. B. Sharp, L. W. Patton and S. E. Whitcomb, </w:t>
      </w:r>
      <w:r w:rsidRPr="000D0229">
        <w:rPr>
          <w:i/>
          <w:iCs/>
        </w:rPr>
        <w:t>J. Am. Chem. Soc.</w:t>
      </w:r>
      <w:r w:rsidRPr="000D0229">
        <w:t xml:space="preserve">, 1951, </w:t>
      </w:r>
      <w:r w:rsidRPr="000D0229">
        <w:rPr>
          <w:b/>
          <w:bCs/>
        </w:rPr>
        <w:t>73</w:t>
      </w:r>
      <w:r w:rsidRPr="000D0229">
        <w:t>, 5600–5603.</w:t>
      </w:r>
    </w:p>
    <w:p w14:paraId="259BF380" w14:textId="762DC83D" w:rsidR="00653A21" w:rsidRPr="000D0229" w:rsidRDefault="00653A21" w:rsidP="00C56693">
      <w:pPr>
        <w:pStyle w:val="RSCR02References"/>
      </w:pPr>
      <w:r w:rsidRPr="000D0229">
        <w:t xml:space="preserve">V. Fábos, G. Koczó, H. Mehdi, L. Boda and I. T. Horváth, </w:t>
      </w:r>
      <w:r w:rsidRPr="000D0229">
        <w:rPr>
          <w:i/>
          <w:iCs/>
        </w:rPr>
        <w:t>Energy Environ. Sci.</w:t>
      </w:r>
      <w:r w:rsidRPr="000D0229">
        <w:t xml:space="preserve">, 2009, </w:t>
      </w:r>
      <w:r w:rsidRPr="000D0229">
        <w:rPr>
          <w:b/>
          <w:bCs/>
        </w:rPr>
        <w:t>2</w:t>
      </w:r>
      <w:r w:rsidRPr="000D0229">
        <w:t>, 767.</w:t>
      </w:r>
    </w:p>
    <w:p w14:paraId="6AD942D3" w14:textId="6A5BB678" w:rsidR="00653A21" w:rsidRPr="000D0229" w:rsidRDefault="00653A21" w:rsidP="00C56693">
      <w:pPr>
        <w:pStyle w:val="RSCR02References"/>
      </w:pPr>
      <w:r w:rsidRPr="000D0229">
        <w:t xml:space="preserve">R. J. Kelly, </w:t>
      </w:r>
      <w:r w:rsidRPr="000D0229">
        <w:rPr>
          <w:i/>
          <w:iCs/>
        </w:rPr>
        <w:t>Chem. Health Saf.</w:t>
      </w:r>
      <w:r w:rsidRPr="000D0229">
        <w:t xml:space="preserve">, 1996, </w:t>
      </w:r>
      <w:r w:rsidRPr="000D0229">
        <w:rPr>
          <w:b/>
          <w:bCs/>
        </w:rPr>
        <w:t>3</w:t>
      </w:r>
      <w:r w:rsidRPr="000D0229">
        <w:t>, 28–36.</w:t>
      </w:r>
    </w:p>
    <w:p w14:paraId="2BE583E0" w14:textId="160DE907" w:rsidR="00653A21" w:rsidRPr="000D0229" w:rsidRDefault="00653A21" w:rsidP="00C56693">
      <w:pPr>
        <w:pStyle w:val="RSCR02References"/>
      </w:pPr>
      <w:r w:rsidRPr="000D0229">
        <w:t>K. Geier, PhD Thesis, Technische Universität München, 2006.</w:t>
      </w:r>
    </w:p>
    <w:p w14:paraId="1F00FF85" w14:textId="5657F42B" w:rsidR="00653A21" w:rsidRPr="000D0229" w:rsidRDefault="00653A21" w:rsidP="00C56693">
      <w:pPr>
        <w:pStyle w:val="RSCR02References"/>
      </w:pPr>
      <w:r w:rsidRPr="000D0229">
        <w:t xml:space="preserve">J. L. E. Erickson and W. H. Ashton, </w:t>
      </w:r>
      <w:r w:rsidRPr="000D0229">
        <w:rPr>
          <w:i/>
          <w:iCs/>
        </w:rPr>
        <w:t>J. Am. Chem. Soc.</w:t>
      </w:r>
      <w:r w:rsidRPr="000D0229">
        <w:t xml:space="preserve">, 1941, </w:t>
      </w:r>
      <w:r w:rsidRPr="000D0229">
        <w:rPr>
          <w:b/>
          <w:bCs/>
        </w:rPr>
        <w:t>63</w:t>
      </w:r>
      <w:r w:rsidRPr="000D0229">
        <w:t>, 1769–1769.</w:t>
      </w:r>
    </w:p>
    <w:p w14:paraId="04574E50" w14:textId="46BD5CA4" w:rsidR="00653A21" w:rsidRPr="000D0229" w:rsidRDefault="00653A21" w:rsidP="00C56693">
      <w:pPr>
        <w:pStyle w:val="RSCR02References"/>
      </w:pPr>
      <w:r w:rsidRPr="000D0229">
        <w:t xml:space="preserve">E. J. Smutny and A. Bondi, </w:t>
      </w:r>
      <w:r w:rsidRPr="000D0229">
        <w:rPr>
          <w:i/>
          <w:iCs/>
        </w:rPr>
        <w:t>J. Phys. Chem.</w:t>
      </w:r>
      <w:r w:rsidRPr="000D0229">
        <w:t xml:space="preserve">, 1961, </w:t>
      </w:r>
      <w:r w:rsidRPr="000D0229">
        <w:rPr>
          <w:b/>
          <w:bCs/>
        </w:rPr>
        <w:t>65</w:t>
      </w:r>
      <w:r w:rsidRPr="000D0229">
        <w:t>, 546–550.</w:t>
      </w:r>
    </w:p>
    <w:p w14:paraId="246400FF" w14:textId="024ECFE7" w:rsidR="00653A21" w:rsidRPr="000D0229" w:rsidRDefault="00653A21" w:rsidP="00C56693">
      <w:pPr>
        <w:pStyle w:val="RSCR02References"/>
      </w:pPr>
      <w:r w:rsidRPr="000D0229">
        <w:t xml:space="preserve">H. Masada and T. Sakajiri, </w:t>
      </w:r>
      <w:r w:rsidRPr="000D0229">
        <w:rPr>
          <w:i/>
          <w:iCs/>
        </w:rPr>
        <w:t>Bull. Chem. Soc. Jpn.</w:t>
      </w:r>
      <w:r w:rsidRPr="000D0229">
        <w:t xml:space="preserve">, 1978, </w:t>
      </w:r>
      <w:r w:rsidRPr="000D0229">
        <w:rPr>
          <w:b/>
          <w:bCs/>
        </w:rPr>
        <w:t>51</w:t>
      </w:r>
      <w:r w:rsidRPr="000D0229">
        <w:t>, 866–868.</w:t>
      </w:r>
    </w:p>
    <w:p w14:paraId="2B86F760" w14:textId="1109E81B" w:rsidR="00653A21" w:rsidRPr="000D0229" w:rsidRDefault="00653A21" w:rsidP="00C56693">
      <w:pPr>
        <w:pStyle w:val="RSCR02References"/>
      </w:pPr>
      <w:r w:rsidRPr="000D0229">
        <w:t xml:space="preserve">D. H. R. Barton, G. Page and D. A. Widdowson, </w:t>
      </w:r>
      <w:r w:rsidRPr="000D0229">
        <w:rPr>
          <w:i/>
          <w:iCs/>
        </w:rPr>
        <w:t>J. Chem. Soc. D</w:t>
      </w:r>
      <w:r w:rsidRPr="000D0229">
        <w:t>, 1970, 1466a–1466a.</w:t>
      </w:r>
    </w:p>
    <w:p w14:paraId="73CCF550" w14:textId="283B2408" w:rsidR="00653A21" w:rsidRPr="000D0229" w:rsidRDefault="00653A21" w:rsidP="00C56693">
      <w:pPr>
        <w:pStyle w:val="RSCR02References"/>
      </w:pPr>
      <w:r w:rsidRPr="000D0229">
        <w:t xml:space="preserve">G. A. Olah, Y. Halpern and H. C. Lin, </w:t>
      </w:r>
      <w:r w:rsidRPr="000D0229">
        <w:rPr>
          <w:i/>
          <w:iCs/>
        </w:rPr>
        <w:t>Synthesis</w:t>
      </w:r>
      <w:r w:rsidRPr="000D0229">
        <w:t xml:space="preserve">, 1975, </w:t>
      </w:r>
      <w:r w:rsidRPr="000D0229">
        <w:rPr>
          <w:b/>
          <w:bCs/>
        </w:rPr>
        <w:t>1975</w:t>
      </w:r>
      <w:r w:rsidRPr="000D0229">
        <w:t>, 315–316.</w:t>
      </w:r>
    </w:p>
    <w:p w14:paraId="18EBFD4B" w14:textId="7DB6CE1F" w:rsidR="00653A21" w:rsidRPr="000D0229" w:rsidRDefault="00653A21" w:rsidP="00C56693">
      <w:pPr>
        <w:pStyle w:val="RSCR02References"/>
      </w:pPr>
      <w:r w:rsidRPr="000D0229">
        <w:t xml:space="preserve">M. J. Kamlet, J. L. M. Abboud, M. H. Abraham and R. W. Taft, </w:t>
      </w:r>
      <w:r w:rsidRPr="000D0229">
        <w:rPr>
          <w:i/>
          <w:iCs/>
        </w:rPr>
        <w:t>J. Org. Chem.</w:t>
      </w:r>
      <w:r w:rsidRPr="000D0229">
        <w:t xml:space="preserve">, 1983, </w:t>
      </w:r>
      <w:r w:rsidRPr="000D0229">
        <w:rPr>
          <w:b/>
          <w:bCs/>
        </w:rPr>
        <w:t>48</w:t>
      </w:r>
      <w:r w:rsidRPr="000D0229">
        <w:t>, 2877–2887.</w:t>
      </w:r>
    </w:p>
    <w:p w14:paraId="3060EA35" w14:textId="12B73141" w:rsidR="00653A21" w:rsidRPr="000D0229" w:rsidRDefault="00653A21" w:rsidP="00C56693">
      <w:pPr>
        <w:pStyle w:val="RSCR02References"/>
      </w:pPr>
      <w:r w:rsidRPr="000D0229">
        <w:t xml:space="preserve">C. M. Hansen, </w:t>
      </w:r>
      <w:r w:rsidRPr="000D0229">
        <w:rPr>
          <w:i/>
          <w:iCs/>
        </w:rPr>
        <w:t>Hansen Solubility Parameters: A User’s Handbook, Second Edition</w:t>
      </w:r>
      <w:r w:rsidRPr="000D0229">
        <w:t>, CRC Press, 2012.</w:t>
      </w:r>
    </w:p>
    <w:p w14:paraId="1105C36E" w14:textId="7AC67129" w:rsidR="00653A21" w:rsidRPr="000D0229" w:rsidRDefault="00653A21" w:rsidP="00C56693">
      <w:pPr>
        <w:pStyle w:val="RSCR02References"/>
      </w:pPr>
      <w:r w:rsidRPr="000D0229">
        <w:t xml:space="preserve">P. G. Jessop, D. A. Jessop, D. Fu and L. Phan, </w:t>
      </w:r>
      <w:r w:rsidRPr="000D0229">
        <w:rPr>
          <w:i/>
          <w:iCs/>
        </w:rPr>
        <w:t>Green Chem.</w:t>
      </w:r>
      <w:r w:rsidRPr="000D0229">
        <w:t xml:space="preserve">, 2012, </w:t>
      </w:r>
      <w:r w:rsidRPr="000D0229">
        <w:rPr>
          <w:b/>
          <w:bCs/>
        </w:rPr>
        <w:t>14</w:t>
      </w:r>
      <w:r w:rsidRPr="000D0229">
        <w:t>, 1245–1259.</w:t>
      </w:r>
    </w:p>
    <w:p w14:paraId="25271413" w14:textId="2C3013EB" w:rsidR="00653A21" w:rsidRPr="000D0229" w:rsidRDefault="00653A21" w:rsidP="00C56693">
      <w:pPr>
        <w:pStyle w:val="RSCR02References"/>
      </w:pPr>
      <w:r w:rsidRPr="000D0229">
        <w:t xml:space="preserve">R. W. Taft and M. J. Kamlet, </w:t>
      </w:r>
      <w:r w:rsidRPr="000D0229">
        <w:rPr>
          <w:i/>
          <w:iCs/>
        </w:rPr>
        <w:t>J. Am. Chem. Soc.</w:t>
      </w:r>
      <w:r w:rsidRPr="000D0229">
        <w:t xml:space="preserve">, 1976, </w:t>
      </w:r>
      <w:r w:rsidRPr="000D0229">
        <w:rPr>
          <w:b/>
          <w:bCs/>
        </w:rPr>
        <w:t>98</w:t>
      </w:r>
      <w:r w:rsidRPr="000D0229">
        <w:t>, 2886–2894.</w:t>
      </w:r>
    </w:p>
    <w:p w14:paraId="6739F0D2" w14:textId="40474CBC" w:rsidR="00653A21" w:rsidRPr="000D0229" w:rsidRDefault="00653A21" w:rsidP="00C56693">
      <w:pPr>
        <w:pStyle w:val="RSCR02References"/>
      </w:pPr>
      <w:r w:rsidRPr="000D0229">
        <w:t xml:space="preserve">M. J. Kamlet and R. W. Taft, </w:t>
      </w:r>
      <w:r w:rsidRPr="000D0229">
        <w:rPr>
          <w:i/>
          <w:iCs/>
        </w:rPr>
        <w:t>J. Am. Chem. Soc.</w:t>
      </w:r>
      <w:r w:rsidRPr="000D0229">
        <w:t xml:space="preserve">, 1976, </w:t>
      </w:r>
      <w:r w:rsidRPr="000D0229">
        <w:rPr>
          <w:b/>
          <w:bCs/>
        </w:rPr>
        <w:t>98</w:t>
      </w:r>
      <w:r w:rsidRPr="000D0229">
        <w:t>, 377–383.</w:t>
      </w:r>
    </w:p>
    <w:p w14:paraId="34D892EA" w14:textId="0650E7FE" w:rsidR="00653A21" w:rsidRPr="000D0229" w:rsidRDefault="00653A21" w:rsidP="00C56693">
      <w:pPr>
        <w:pStyle w:val="RSCR02References"/>
      </w:pPr>
      <w:r w:rsidRPr="000D0229">
        <w:t xml:space="preserve">M. J. Kamlet, J. L. Abboud and R. W. Taft, </w:t>
      </w:r>
      <w:r w:rsidRPr="000D0229">
        <w:rPr>
          <w:i/>
          <w:iCs/>
        </w:rPr>
        <w:t>J. Am. Chem. Soc.</w:t>
      </w:r>
      <w:r w:rsidRPr="000D0229">
        <w:t xml:space="preserve">, 1977, </w:t>
      </w:r>
      <w:r w:rsidRPr="000D0229">
        <w:rPr>
          <w:b/>
          <w:bCs/>
        </w:rPr>
        <w:t>99</w:t>
      </w:r>
      <w:r w:rsidRPr="000D0229">
        <w:t>, 6027–6038.</w:t>
      </w:r>
    </w:p>
    <w:p w14:paraId="7388E0B0" w14:textId="7CFC515D" w:rsidR="00653A21" w:rsidRPr="000D0229" w:rsidRDefault="00286D35" w:rsidP="00C56693">
      <w:pPr>
        <w:pStyle w:val="RSCR02References"/>
      </w:pPr>
      <w:r w:rsidRPr="000D0229">
        <w:t>ArgusLab, http://www.arguslab.com/arguslab.com/ArgusLab.html (accessed March 2017).</w:t>
      </w:r>
    </w:p>
    <w:p w14:paraId="6520BD4A" w14:textId="55076F2D" w:rsidR="00653A21" w:rsidRPr="000D0229" w:rsidRDefault="00653A21" w:rsidP="00C56693">
      <w:pPr>
        <w:pStyle w:val="RSCR02References"/>
      </w:pPr>
      <w:r w:rsidRPr="000D0229">
        <w:t xml:space="preserve">A. Kadam, M. Nguyen, M. Kopach, P. Richardson, F. Gallou, Z.-K. Wan and W. Zhang, </w:t>
      </w:r>
      <w:r w:rsidRPr="000D0229">
        <w:rPr>
          <w:i/>
          <w:iCs/>
        </w:rPr>
        <w:t>Green Chem.</w:t>
      </w:r>
      <w:r w:rsidRPr="000D0229">
        <w:t xml:space="preserve">, 2013, </w:t>
      </w:r>
      <w:r w:rsidRPr="000D0229">
        <w:rPr>
          <w:b/>
          <w:bCs/>
        </w:rPr>
        <w:t>15</w:t>
      </w:r>
      <w:r w:rsidRPr="000D0229">
        <w:t>, 1880–1888.</w:t>
      </w:r>
    </w:p>
    <w:p w14:paraId="340ABBBE" w14:textId="700D6D43" w:rsidR="00653A21" w:rsidRPr="000D0229" w:rsidRDefault="00286D35" w:rsidP="00C56693">
      <w:pPr>
        <w:pStyle w:val="RSCR02References"/>
      </w:pPr>
      <w:r w:rsidRPr="000D0229">
        <w:t xml:space="preserve">F. Byrne, A. J. Hunt, T. J. Farmer, B. Forier, G. Bossaert, NL Pat., Appn. No. </w:t>
      </w:r>
      <w:r w:rsidR="00653A21" w:rsidRPr="000D0229">
        <w:t xml:space="preserve">P32826NL00/MKO, </w:t>
      </w:r>
      <w:r w:rsidRPr="000D0229">
        <w:t xml:space="preserve"> 2016 (patent pending)</w:t>
      </w:r>
      <w:r w:rsidR="00653A21" w:rsidRPr="000D0229">
        <w:t>.</w:t>
      </w:r>
    </w:p>
    <w:p w14:paraId="1AD1252B" w14:textId="470F34A2" w:rsidR="00653A21" w:rsidRPr="000D0229" w:rsidRDefault="00286D35" w:rsidP="00C56693">
      <w:pPr>
        <w:pStyle w:val="RSCR02References"/>
      </w:pPr>
      <w:r w:rsidRPr="000D0229">
        <w:t xml:space="preserve">Substances restricted under REACH - </w:t>
      </w:r>
      <w:r w:rsidR="00653A21" w:rsidRPr="000D0229">
        <w:t xml:space="preserve">ECHA, </w:t>
      </w:r>
      <w:r w:rsidRPr="000D0229">
        <w:t>http://echa.europa.eu/addressing-chemicals-of-concern/restrictions/substances-restricted-under-reach, (accessed March 2017)</w:t>
      </w:r>
      <w:r w:rsidR="00653A21" w:rsidRPr="000D0229">
        <w:t>.</w:t>
      </w:r>
    </w:p>
    <w:p w14:paraId="648B9E7D" w14:textId="7CFEA2D7" w:rsidR="00653A21" w:rsidRPr="000D0229" w:rsidRDefault="00286D35" w:rsidP="00C56693">
      <w:pPr>
        <w:pStyle w:val="RSCR02References"/>
      </w:pPr>
      <w:r w:rsidRPr="000D0229">
        <w:t xml:space="preserve">S. Dilocker, S. Malik, B. De, A. Reddy, </w:t>
      </w:r>
      <w:r w:rsidR="00653A21" w:rsidRPr="000D0229">
        <w:t>US</w:t>
      </w:r>
      <w:r w:rsidRPr="000D0229">
        <w:t xml:space="preserve"> Pat., 20030225233</w:t>
      </w:r>
      <w:r w:rsidR="00653A21" w:rsidRPr="000D0229">
        <w:t>A1, 2003.</w:t>
      </w:r>
    </w:p>
    <w:p w14:paraId="5B4C0045" w14:textId="35F82D1C" w:rsidR="00653A21" w:rsidRPr="000D0229" w:rsidRDefault="00653A21" w:rsidP="00C56693">
      <w:pPr>
        <w:pStyle w:val="RSCR02References"/>
      </w:pPr>
      <w:r w:rsidRPr="000D0229">
        <w:t xml:space="preserve">B. N. Ames, W. E. Durston, E. Yamasaki and F. D. Lee, </w:t>
      </w:r>
      <w:r w:rsidRPr="000D0229">
        <w:rPr>
          <w:i/>
          <w:iCs/>
        </w:rPr>
        <w:t>Proc. Natl. Acad. Sci.</w:t>
      </w:r>
      <w:r w:rsidRPr="000D0229">
        <w:t xml:space="preserve">, 1973, </w:t>
      </w:r>
      <w:r w:rsidRPr="000D0229">
        <w:rPr>
          <w:b/>
          <w:bCs/>
        </w:rPr>
        <w:t>70</w:t>
      </w:r>
      <w:r w:rsidRPr="000D0229">
        <w:t>, 2281–2285.</w:t>
      </w:r>
    </w:p>
    <w:p w14:paraId="0DB32F43" w14:textId="196D002D" w:rsidR="00653A21" w:rsidRPr="000D0229" w:rsidRDefault="00286D35" w:rsidP="00C56693">
      <w:pPr>
        <w:pStyle w:val="RSCR02References"/>
      </w:pPr>
      <w:r w:rsidRPr="000D0229">
        <w:t>Regulation (EC) No 1907/2006 - REACH, https://osha.europa.eu/en/legislation/directives/regulation-ec-no-1907-2006-of-the-european-parliament-and-of-the-council</w:t>
      </w:r>
    </w:p>
    <w:p w14:paraId="2E28C8CD" w14:textId="0F41DD9B" w:rsidR="00653A21" w:rsidRPr="000D0229" w:rsidRDefault="00286D35" w:rsidP="00C56693">
      <w:pPr>
        <w:pStyle w:val="RSCR02References"/>
      </w:pPr>
      <w:r w:rsidRPr="000D0229">
        <w:t>What about animal testing? - ECHA, https://echa.europa.eu/chemicals-in-our-life/animal-testing-under-reach</w:t>
      </w:r>
    </w:p>
    <w:p w14:paraId="6DAC216F" w14:textId="5B79E035" w:rsidR="00653A21" w:rsidRPr="000D0229" w:rsidRDefault="003B7EC6" w:rsidP="00C56693">
      <w:pPr>
        <w:pStyle w:val="RSCR02References"/>
      </w:pPr>
      <w:r w:rsidRPr="000D0229">
        <w:t>US EPA, Toxicity Estimation Software Tool (TEST)</w:t>
      </w:r>
      <w:r w:rsidR="00653A21" w:rsidRPr="000D0229">
        <w:t xml:space="preserve"> </w:t>
      </w:r>
      <w:r w:rsidRPr="000D0229">
        <w:t>(Version 4.2.1</w:t>
      </w:r>
      <w:r w:rsidR="00653A21" w:rsidRPr="000D0229">
        <w:t>.</w:t>
      </w:r>
      <w:r w:rsidRPr="000D0229">
        <w:t>)</w:t>
      </w:r>
    </w:p>
    <w:p w14:paraId="7F8B8BAB" w14:textId="4A9EFE06" w:rsidR="00653A21" w:rsidRPr="000D0229" w:rsidRDefault="003B7EC6" w:rsidP="00C56693">
      <w:pPr>
        <w:pStyle w:val="RSCR02References"/>
      </w:pPr>
      <w:r w:rsidRPr="000D0229">
        <w:t xml:space="preserve">Eucalyptol - WHO, http://apps.who.int/food-additives-contaminants-jecfa-database/chemical.aspx?chemID=4037 (accessed March 2017). </w:t>
      </w:r>
    </w:p>
    <w:p w14:paraId="277A1223" w14:textId="16759DE4" w:rsidR="00653A21" w:rsidRPr="000D0229" w:rsidRDefault="003B7EC6" w:rsidP="00C56693">
      <w:pPr>
        <w:pStyle w:val="RSCR02References"/>
      </w:pPr>
      <w:r w:rsidRPr="000D0229">
        <w:t>1,8-Cineole - TOXNET</w:t>
      </w:r>
      <w:r w:rsidR="00653A21" w:rsidRPr="000D0229">
        <w:t xml:space="preserve">, </w:t>
      </w:r>
      <w:r w:rsidRPr="000D0229">
        <w:t>https://toxnet.nlm.nih.gov/cgi-bin/sis/search2/r?dbs+hsdb:@term+@DOCNO+991 (accessed March 2017)</w:t>
      </w:r>
      <w:r w:rsidR="00653A21" w:rsidRPr="000D0229">
        <w:t>.</w:t>
      </w:r>
    </w:p>
    <w:p w14:paraId="11169BAA" w14:textId="2465EE9F" w:rsidR="00653A21" w:rsidRPr="000D0229" w:rsidRDefault="003B7EC6" w:rsidP="00C56693">
      <w:pPr>
        <w:pStyle w:val="RSCR02References"/>
      </w:pPr>
      <w:r w:rsidRPr="000D0229">
        <w:t xml:space="preserve">2-Methyltetrahydrofuran - </w:t>
      </w:r>
      <w:r w:rsidR="00653A21" w:rsidRPr="000D0229">
        <w:t xml:space="preserve">Penn Speciality Chemicals, </w:t>
      </w:r>
      <w:r w:rsidRPr="000D0229">
        <w:t>http://www.pennakem.com/pdfs/methf5.pdf</w:t>
      </w:r>
      <w:r w:rsidR="00653A21" w:rsidRPr="000D0229">
        <w:t>.</w:t>
      </w:r>
    </w:p>
    <w:p w14:paraId="2B5E7F28" w14:textId="788CD8A9" w:rsidR="00653A21" w:rsidRPr="000D0229" w:rsidRDefault="00653A21" w:rsidP="00C56693">
      <w:pPr>
        <w:pStyle w:val="RSCR02References"/>
      </w:pPr>
      <w:r w:rsidRPr="000D0229">
        <w:t xml:space="preserve">J. Sangster, </w:t>
      </w:r>
      <w:r w:rsidRPr="000D0229">
        <w:rPr>
          <w:i/>
          <w:iCs/>
        </w:rPr>
        <w:t>J. Phys. Chem. Ref. Data</w:t>
      </w:r>
      <w:r w:rsidRPr="000D0229">
        <w:t xml:space="preserve">, 1989, </w:t>
      </w:r>
      <w:r w:rsidRPr="000D0229">
        <w:rPr>
          <w:b/>
          <w:bCs/>
        </w:rPr>
        <w:t>18</w:t>
      </w:r>
      <w:r w:rsidRPr="000D0229">
        <w:t>, 1111–1229.</w:t>
      </w:r>
    </w:p>
    <w:p w14:paraId="0D5EE75D" w14:textId="6C57DF8F" w:rsidR="008A26BB" w:rsidRPr="000D0229" w:rsidRDefault="00653A21" w:rsidP="00591424">
      <w:pPr>
        <w:pStyle w:val="RSCB02ArticleText"/>
      </w:pPr>
      <w:r w:rsidRPr="000D0229">
        <w:fldChar w:fldCharType="end"/>
      </w:r>
    </w:p>
    <w:p w14:paraId="44B803E5" w14:textId="242228A8" w:rsidR="00E240DB" w:rsidRPr="000D0229" w:rsidRDefault="00E240DB" w:rsidP="00E240DB">
      <w:pPr>
        <w:rPr>
          <w:rFonts w:cs="Times New Roman"/>
          <w:w w:val="105"/>
          <w:sz w:val="18"/>
          <w:szCs w:val="18"/>
        </w:rPr>
        <w:sectPr w:rsidR="00E240DB" w:rsidRPr="000D0229" w:rsidSect="00514CBA">
          <w:type w:val="continuous"/>
          <w:pgSz w:w="11907" w:h="16840" w:code="9"/>
          <w:pgMar w:top="1009" w:right="851" w:bottom="1758" w:left="851" w:header="851" w:footer="1049" w:gutter="0"/>
          <w:cols w:num="2" w:space="227"/>
          <w:titlePg/>
          <w:docGrid w:linePitch="360"/>
        </w:sectPr>
      </w:pPr>
    </w:p>
    <w:p w14:paraId="738F4944" w14:textId="3C377C7B" w:rsidR="008A26BB" w:rsidRPr="00241ACD" w:rsidRDefault="008A26BB" w:rsidP="00591424">
      <w:pPr>
        <w:pStyle w:val="RSCB02ArticleText"/>
      </w:pPr>
    </w:p>
    <w:sectPr w:rsidR="008A26BB" w:rsidRPr="00241ACD" w:rsidSect="008A26BB">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6F2A3" w14:textId="77777777" w:rsidR="005F3E89" w:rsidRDefault="005F3E89" w:rsidP="00E547DB">
      <w:pPr>
        <w:spacing w:after="0" w:line="240" w:lineRule="auto"/>
      </w:pPr>
      <w:r>
        <w:separator/>
      </w:r>
    </w:p>
    <w:p w14:paraId="4A2742D0" w14:textId="77777777" w:rsidR="005F3E89" w:rsidRDefault="005F3E89"/>
    <w:p w14:paraId="5F3AF91B" w14:textId="77777777" w:rsidR="005F3E89" w:rsidRDefault="005F3E89"/>
    <w:p w14:paraId="74736EF3" w14:textId="77777777" w:rsidR="005F3E89" w:rsidRDefault="005F3E89"/>
    <w:p w14:paraId="0B7460EF" w14:textId="77777777" w:rsidR="005F3E89" w:rsidRDefault="005F3E89"/>
    <w:p w14:paraId="0AB75FA8" w14:textId="77777777" w:rsidR="005F3E89" w:rsidRDefault="005F3E89"/>
  </w:endnote>
  <w:endnote w:type="continuationSeparator" w:id="0">
    <w:p w14:paraId="4644811C" w14:textId="77777777" w:rsidR="005F3E89" w:rsidRDefault="005F3E89" w:rsidP="00E547DB">
      <w:pPr>
        <w:spacing w:after="0" w:line="240" w:lineRule="auto"/>
      </w:pPr>
      <w:r>
        <w:continuationSeparator/>
      </w:r>
    </w:p>
    <w:p w14:paraId="4D19EC88" w14:textId="77777777" w:rsidR="005F3E89" w:rsidRDefault="005F3E89"/>
    <w:p w14:paraId="769403AE" w14:textId="77777777" w:rsidR="005F3E89" w:rsidRDefault="005F3E89"/>
    <w:p w14:paraId="275E2818" w14:textId="77777777" w:rsidR="005F3E89" w:rsidRDefault="005F3E89"/>
    <w:p w14:paraId="6234DA30" w14:textId="77777777" w:rsidR="005F3E89" w:rsidRDefault="005F3E89"/>
    <w:p w14:paraId="20A3497E" w14:textId="77777777" w:rsidR="005F3E89" w:rsidRDefault="005F3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8C83C7D-2968-415F-8BC5-CE302705B0D0}"/>
    <w:embedBold r:id="rId2" w:fontKey="{333F7EE9-645D-49F2-B24B-5B720A628504}"/>
    <w:embedItalic r:id="rId3" w:fontKey="{E7BD1278-E06B-4391-91CB-840A7155E5BC}"/>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559D091-E962-451D-ADB6-2426F93DF371}"/>
  </w:font>
  <w:font w:name="MS Gothic">
    <w:altName w:val="ＭＳ ゴシック"/>
    <w:panose1 w:val="020B0609070205080204"/>
    <w:charset w:val="80"/>
    <w:family w:val="modern"/>
    <w:pitch w:val="fixed"/>
    <w:sig w:usb0="E00002FF" w:usb1="6AC7FDFB" w:usb2="08000012" w:usb3="00000000" w:csb0="0002009F" w:csb1="00000000"/>
    <w:embedRegular r:id="rId5" w:subsetted="1" w:fontKey="{EAA0404C-BF7C-48FE-B514-E6757D6B4B64}"/>
  </w:font>
  <w:font w:name="Cambria Math">
    <w:panose1 w:val="02040503050406030204"/>
    <w:charset w:val="00"/>
    <w:family w:val="roman"/>
    <w:pitch w:val="variable"/>
    <w:sig w:usb0="E00002FF" w:usb1="420024FF" w:usb2="00000000" w:usb3="00000000" w:csb0="0000019F" w:csb1="00000000"/>
    <w:embedRegular r:id="rId6" w:fontKey="{E19FD417-98B7-4C63-A33A-0E28067DE13A}"/>
    <w:embedItalic r:id="rId7" w:fontKey="{099E6432-15B6-4DAC-8AA7-F829B61ADBF5}"/>
  </w:font>
  <w:font w:name="Cambria">
    <w:panose1 w:val="02040503050406030204"/>
    <w:charset w:val="00"/>
    <w:family w:val="roman"/>
    <w:pitch w:val="variable"/>
    <w:sig w:usb0="E00002FF" w:usb1="400004FF" w:usb2="00000000" w:usb3="00000000" w:csb0="0000019F" w:csb1="00000000"/>
    <w:embedRegular r:id="rId8" w:fontKey="{7636CBC8-585C-40CE-BCDD-F6610658A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CCD19" w14:textId="6CD9F3C2" w:rsidR="005F3E89" w:rsidRPr="006602F1" w:rsidRDefault="005F3E8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86565">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2788" w14:textId="2DEB7602" w:rsidR="005F3E89" w:rsidRPr="006602F1" w:rsidRDefault="005F3E8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86565">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FB03" w14:textId="68B1657C" w:rsidR="005F3E89" w:rsidRPr="006602F1" w:rsidRDefault="005F3E89"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1AB8366" wp14:editId="0BDCC0D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7A2FA9" w14:textId="77777777" w:rsidR="005F3E89" w:rsidRPr="00F20A7C" w:rsidRDefault="005F3E8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AB8366"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A7A2FA9" w14:textId="77777777" w:rsidR="005F3E89" w:rsidRPr="00F20A7C" w:rsidRDefault="005F3E8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8656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1113A" w14:textId="77777777" w:rsidR="005F3E89" w:rsidRDefault="005F3E89" w:rsidP="00E547DB">
      <w:pPr>
        <w:spacing w:after="0" w:line="240" w:lineRule="auto"/>
      </w:pPr>
      <w:r>
        <w:separator/>
      </w:r>
    </w:p>
    <w:p w14:paraId="014EBE48" w14:textId="77777777" w:rsidR="005F3E89" w:rsidRDefault="005F3E89"/>
    <w:p w14:paraId="44E68C53" w14:textId="77777777" w:rsidR="005F3E89" w:rsidRDefault="005F3E89"/>
    <w:p w14:paraId="5BA22085" w14:textId="77777777" w:rsidR="005F3E89" w:rsidRDefault="005F3E89"/>
    <w:p w14:paraId="75C687D9" w14:textId="77777777" w:rsidR="005F3E89" w:rsidRDefault="005F3E89"/>
    <w:p w14:paraId="5C56817F" w14:textId="77777777" w:rsidR="005F3E89" w:rsidRDefault="005F3E89"/>
  </w:footnote>
  <w:footnote w:type="continuationSeparator" w:id="0">
    <w:p w14:paraId="507FEA06" w14:textId="77777777" w:rsidR="005F3E89" w:rsidRDefault="005F3E89" w:rsidP="00E547DB">
      <w:pPr>
        <w:spacing w:after="0" w:line="240" w:lineRule="auto"/>
      </w:pPr>
      <w:r>
        <w:continuationSeparator/>
      </w:r>
    </w:p>
    <w:p w14:paraId="5641B654" w14:textId="77777777" w:rsidR="005F3E89" w:rsidRDefault="005F3E89"/>
    <w:p w14:paraId="31FC9FAA" w14:textId="77777777" w:rsidR="005F3E89" w:rsidRDefault="005F3E89"/>
    <w:p w14:paraId="43860CDB" w14:textId="77777777" w:rsidR="005F3E89" w:rsidRDefault="005F3E89"/>
    <w:p w14:paraId="08A80E12" w14:textId="77777777" w:rsidR="005F3E89" w:rsidRDefault="005F3E89"/>
    <w:p w14:paraId="32307A38" w14:textId="77777777" w:rsidR="005F3E89" w:rsidRDefault="005F3E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B80CC" w14:textId="77777777" w:rsidR="005F3E89" w:rsidRPr="00E70DCE" w:rsidRDefault="005F3E89"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5C98F86" wp14:editId="3093FE4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3B83993"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C98F86"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3B83993"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88DDB6E" wp14:editId="3527E04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B937B3C"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8DDB6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0B937B3C"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07D0" w14:textId="77777777" w:rsidR="005F3E89" w:rsidRPr="009316A6" w:rsidRDefault="005F3E89"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5D4E5E7" wp14:editId="6384B96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A18153C"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D4E5E7"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A18153C"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5C90F6F" wp14:editId="3D621AEC">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24D7585"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90F6F"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24D7585"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03C5" w14:textId="77777777" w:rsidR="005F3E89" w:rsidRDefault="005F3E89"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7AFA47A" wp14:editId="2845C6DF">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6FC32D"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AFA47A"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E6FC32D" w14:textId="77777777" w:rsidR="005F3E89" w:rsidRPr="00F20A7C" w:rsidRDefault="005F3E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17EB17E1" wp14:editId="30FFD56D">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D658AA3" w14:textId="77777777" w:rsidR="005F3E89" w:rsidRPr="00180ABE" w:rsidRDefault="005F3E8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0F3B82"/>
    <w:multiLevelType w:val="hybridMultilevel"/>
    <w:tmpl w:val="CEC4CBAE"/>
    <w:lvl w:ilvl="0" w:tplc="B2B2046A">
      <w:start w:val="1"/>
      <w:numFmt w:val="decimal"/>
      <w:lvlText w:val="(%1)"/>
      <w:lvlJc w:val="left"/>
      <w:pPr>
        <w:ind w:left="720" w:hanging="360"/>
      </w:pPr>
      <w:rPr>
        <w:rFonts w:ascii="Arial" w:eastAsia="MS Mincho" w:hAnsi="Arial"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13F99"/>
    <w:multiLevelType w:val="hybridMultilevel"/>
    <w:tmpl w:val="451221C4"/>
    <w:lvl w:ilvl="0" w:tplc="F60CBA82">
      <w:start w:val="1"/>
      <w:numFmt w:val="decimal"/>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SortMethod w:val="0000"/>
  <w:defaultTabStop w:val="284"/>
  <w:evenAndOddHeaders/>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00"/>
    <w:rsid w:val="00005B8A"/>
    <w:rsid w:val="00022D8A"/>
    <w:rsid w:val="00047B81"/>
    <w:rsid w:val="000622D1"/>
    <w:rsid w:val="00071E41"/>
    <w:rsid w:val="00073639"/>
    <w:rsid w:val="000748EB"/>
    <w:rsid w:val="00075EB7"/>
    <w:rsid w:val="000924B6"/>
    <w:rsid w:val="000A1714"/>
    <w:rsid w:val="000A2670"/>
    <w:rsid w:val="000C0A9D"/>
    <w:rsid w:val="000C47EA"/>
    <w:rsid w:val="000D0229"/>
    <w:rsid w:val="000D2FAC"/>
    <w:rsid w:val="000D5891"/>
    <w:rsid w:val="000D6963"/>
    <w:rsid w:val="000D69C4"/>
    <w:rsid w:val="000E3EE5"/>
    <w:rsid w:val="000E7A32"/>
    <w:rsid w:val="000F0959"/>
    <w:rsid w:val="000F27BD"/>
    <w:rsid w:val="000F3A41"/>
    <w:rsid w:val="001027C7"/>
    <w:rsid w:val="00105E95"/>
    <w:rsid w:val="00120227"/>
    <w:rsid w:val="00126027"/>
    <w:rsid w:val="001508E9"/>
    <w:rsid w:val="001633D9"/>
    <w:rsid w:val="00166DC1"/>
    <w:rsid w:val="00170236"/>
    <w:rsid w:val="001752FF"/>
    <w:rsid w:val="00180ABE"/>
    <w:rsid w:val="001829B6"/>
    <w:rsid w:val="001923AB"/>
    <w:rsid w:val="00196C99"/>
    <w:rsid w:val="00197F89"/>
    <w:rsid w:val="001C1EB8"/>
    <w:rsid w:val="001D6316"/>
    <w:rsid w:val="001D6C50"/>
    <w:rsid w:val="001E7E1D"/>
    <w:rsid w:val="001F6643"/>
    <w:rsid w:val="00205963"/>
    <w:rsid w:val="00206A82"/>
    <w:rsid w:val="00214BEC"/>
    <w:rsid w:val="00216D59"/>
    <w:rsid w:val="00237C8A"/>
    <w:rsid w:val="0024022C"/>
    <w:rsid w:val="00240BE2"/>
    <w:rsid w:val="00241ACD"/>
    <w:rsid w:val="002442B1"/>
    <w:rsid w:val="00253551"/>
    <w:rsid w:val="0025439F"/>
    <w:rsid w:val="002554A6"/>
    <w:rsid w:val="00270DD5"/>
    <w:rsid w:val="00271235"/>
    <w:rsid w:val="00272D6F"/>
    <w:rsid w:val="00286D35"/>
    <w:rsid w:val="002A5421"/>
    <w:rsid w:val="002A569A"/>
    <w:rsid w:val="002C0803"/>
    <w:rsid w:val="002C251C"/>
    <w:rsid w:val="002C3D7C"/>
    <w:rsid w:val="002E1952"/>
    <w:rsid w:val="002E5B1D"/>
    <w:rsid w:val="002F52C3"/>
    <w:rsid w:val="00315D86"/>
    <w:rsid w:val="00335C5D"/>
    <w:rsid w:val="003428FE"/>
    <w:rsid w:val="003514FC"/>
    <w:rsid w:val="00351B17"/>
    <w:rsid w:val="00352029"/>
    <w:rsid w:val="00352AA4"/>
    <w:rsid w:val="00354579"/>
    <w:rsid w:val="00356B17"/>
    <w:rsid w:val="00356F00"/>
    <w:rsid w:val="003636F8"/>
    <w:rsid w:val="00377481"/>
    <w:rsid w:val="00385965"/>
    <w:rsid w:val="003A73FE"/>
    <w:rsid w:val="003A7E95"/>
    <w:rsid w:val="003B739C"/>
    <w:rsid w:val="003B7EC6"/>
    <w:rsid w:val="003C6313"/>
    <w:rsid w:val="003D0DE9"/>
    <w:rsid w:val="003D4ECA"/>
    <w:rsid w:val="003D6715"/>
    <w:rsid w:val="003E0694"/>
    <w:rsid w:val="003E55B2"/>
    <w:rsid w:val="003E7D6E"/>
    <w:rsid w:val="00400E9A"/>
    <w:rsid w:val="0043180D"/>
    <w:rsid w:val="004402DB"/>
    <w:rsid w:val="004414A5"/>
    <w:rsid w:val="004430D8"/>
    <w:rsid w:val="0044700B"/>
    <w:rsid w:val="00467171"/>
    <w:rsid w:val="00467C80"/>
    <w:rsid w:val="00474052"/>
    <w:rsid w:val="00474402"/>
    <w:rsid w:val="004877C8"/>
    <w:rsid w:val="004901D3"/>
    <w:rsid w:val="004A68C8"/>
    <w:rsid w:val="004B49C9"/>
    <w:rsid w:val="004B5EA4"/>
    <w:rsid w:val="004C42D7"/>
    <w:rsid w:val="004C531E"/>
    <w:rsid w:val="004C6C90"/>
    <w:rsid w:val="004E2F2E"/>
    <w:rsid w:val="004F2E57"/>
    <w:rsid w:val="0050126A"/>
    <w:rsid w:val="005037CD"/>
    <w:rsid w:val="00504795"/>
    <w:rsid w:val="00514CBA"/>
    <w:rsid w:val="0052630A"/>
    <w:rsid w:val="0053177A"/>
    <w:rsid w:val="00533EA1"/>
    <w:rsid w:val="005376ED"/>
    <w:rsid w:val="00541C8E"/>
    <w:rsid w:val="005771C3"/>
    <w:rsid w:val="00577B54"/>
    <w:rsid w:val="00590F6D"/>
    <w:rsid w:val="00591424"/>
    <w:rsid w:val="005A5A6D"/>
    <w:rsid w:val="005A5ED7"/>
    <w:rsid w:val="005C1A41"/>
    <w:rsid w:val="005C2501"/>
    <w:rsid w:val="005C4565"/>
    <w:rsid w:val="005D76B6"/>
    <w:rsid w:val="005E05CD"/>
    <w:rsid w:val="005F3E89"/>
    <w:rsid w:val="0061572F"/>
    <w:rsid w:val="00631441"/>
    <w:rsid w:val="00641030"/>
    <w:rsid w:val="00645D52"/>
    <w:rsid w:val="0065133B"/>
    <w:rsid w:val="00653A21"/>
    <w:rsid w:val="006556AC"/>
    <w:rsid w:val="0065680C"/>
    <w:rsid w:val="006602F1"/>
    <w:rsid w:val="0066030C"/>
    <w:rsid w:val="00670ED4"/>
    <w:rsid w:val="006721AE"/>
    <w:rsid w:val="00672928"/>
    <w:rsid w:val="00674A86"/>
    <w:rsid w:val="006A69C8"/>
    <w:rsid w:val="006C51CA"/>
    <w:rsid w:val="006D4130"/>
    <w:rsid w:val="006D6163"/>
    <w:rsid w:val="006E58B1"/>
    <w:rsid w:val="006F01C4"/>
    <w:rsid w:val="006F487B"/>
    <w:rsid w:val="006F740B"/>
    <w:rsid w:val="00727550"/>
    <w:rsid w:val="0074497B"/>
    <w:rsid w:val="00744A41"/>
    <w:rsid w:val="007569DD"/>
    <w:rsid w:val="00757DA5"/>
    <w:rsid w:val="00773334"/>
    <w:rsid w:val="00780A41"/>
    <w:rsid w:val="00794787"/>
    <w:rsid w:val="007A37D8"/>
    <w:rsid w:val="007B68B4"/>
    <w:rsid w:val="007C3D03"/>
    <w:rsid w:val="007D1EFA"/>
    <w:rsid w:val="007D5FE4"/>
    <w:rsid w:val="00803A4D"/>
    <w:rsid w:val="00850001"/>
    <w:rsid w:val="008560DE"/>
    <w:rsid w:val="00875ACC"/>
    <w:rsid w:val="0088525A"/>
    <w:rsid w:val="008A0D60"/>
    <w:rsid w:val="008A26BB"/>
    <w:rsid w:val="008C1387"/>
    <w:rsid w:val="008C682F"/>
    <w:rsid w:val="008E509B"/>
    <w:rsid w:val="008F3050"/>
    <w:rsid w:val="008F4811"/>
    <w:rsid w:val="008F525A"/>
    <w:rsid w:val="00902209"/>
    <w:rsid w:val="009026D4"/>
    <w:rsid w:val="009039FB"/>
    <w:rsid w:val="00904ADD"/>
    <w:rsid w:val="009079BA"/>
    <w:rsid w:val="0092636D"/>
    <w:rsid w:val="0092763E"/>
    <w:rsid w:val="009316A6"/>
    <w:rsid w:val="00936114"/>
    <w:rsid w:val="009400E9"/>
    <w:rsid w:val="009419AA"/>
    <w:rsid w:val="00946830"/>
    <w:rsid w:val="00957695"/>
    <w:rsid w:val="00962779"/>
    <w:rsid w:val="009654EC"/>
    <w:rsid w:val="00985F65"/>
    <w:rsid w:val="009918D9"/>
    <w:rsid w:val="009A392D"/>
    <w:rsid w:val="009C1482"/>
    <w:rsid w:val="009D17C3"/>
    <w:rsid w:val="009D3D75"/>
    <w:rsid w:val="009D47C2"/>
    <w:rsid w:val="009E2F77"/>
    <w:rsid w:val="009E51F8"/>
    <w:rsid w:val="009F2649"/>
    <w:rsid w:val="009F4AC7"/>
    <w:rsid w:val="00A00166"/>
    <w:rsid w:val="00A074D7"/>
    <w:rsid w:val="00A17D23"/>
    <w:rsid w:val="00A208E1"/>
    <w:rsid w:val="00A4323F"/>
    <w:rsid w:val="00A469A7"/>
    <w:rsid w:val="00A521AB"/>
    <w:rsid w:val="00A56CD0"/>
    <w:rsid w:val="00A61D3E"/>
    <w:rsid w:val="00A7643E"/>
    <w:rsid w:val="00A9649E"/>
    <w:rsid w:val="00AA1341"/>
    <w:rsid w:val="00AB16D0"/>
    <w:rsid w:val="00AB2C1B"/>
    <w:rsid w:val="00AC3BF2"/>
    <w:rsid w:val="00AC7F3A"/>
    <w:rsid w:val="00AD5483"/>
    <w:rsid w:val="00AF0249"/>
    <w:rsid w:val="00AF150F"/>
    <w:rsid w:val="00AF4737"/>
    <w:rsid w:val="00AF799B"/>
    <w:rsid w:val="00B01838"/>
    <w:rsid w:val="00B02A18"/>
    <w:rsid w:val="00B0470A"/>
    <w:rsid w:val="00B139CD"/>
    <w:rsid w:val="00B2364D"/>
    <w:rsid w:val="00B30DDB"/>
    <w:rsid w:val="00B344C1"/>
    <w:rsid w:val="00B53582"/>
    <w:rsid w:val="00B6239D"/>
    <w:rsid w:val="00B67630"/>
    <w:rsid w:val="00B70B18"/>
    <w:rsid w:val="00B722DE"/>
    <w:rsid w:val="00B80DDB"/>
    <w:rsid w:val="00B81EE1"/>
    <w:rsid w:val="00B91958"/>
    <w:rsid w:val="00B9392D"/>
    <w:rsid w:val="00B94565"/>
    <w:rsid w:val="00BA761E"/>
    <w:rsid w:val="00BB3FBE"/>
    <w:rsid w:val="00BB4CFB"/>
    <w:rsid w:val="00BB68DE"/>
    <w:rsid w:val="00BC05BE"/>
    <w:rsid w:val="00BC603D"/>
    <w:rsid w:val="00BD76E9"/>
    <w:rsid w:val="00BE2C22"/>
    <w:rsid w:val="00BF6E16"/>
    <w:rsid w:val="00C03CE1"/>
    <w:rsid w:val="00C21F68"/>
    <w:rsid w:val="00C3016F"/>
    <w:rsid w:val="00C31922"/>
    <w:rsid w:val="00C32EDF"/>
    <w:rsid w:val="00C402C2"/>
    <w:rsid w:val="00C405FD"/>
    <w:rsid w:val="00C42573"/>
    <w:rsid w:val="00C5024A"/>
    <w:rsid w:val="00C56693"/>
    <w:rsid w:val="00C57107"/>
    <w:rsid w:val="00C62C2D"/>
    <w:rsid w:val="00C6799D"/>
    <w:rsid w:val="00C9227C"/>
    <w:rsid w:val="00C95ADE"/>
    <w:rsid w:val="00CA2740"/>
    <w:rsid w:val="00CC12E6"/>
    <w:rsid w:val="00CC2E25"/>
    <w:rsid w:val="00CC7C64"/>
    <w:rsid w:val="00CD0B47"/>
    <w:rsid w:val="00CD2EF2"/>
    <w:rsid w:val="00CE63D0"/>
    <w:rsid w:val="00CF5F1A"/>
    <w:rsid w:val="00CF7700"/>
    <w:rsid w:val="00D010E8"/>
    <w:rsid w:val="00D02C04"/>
    <w:rsid w:val="00D138E8"/>
    <w:rsid w:val="00D20259"/>
    <w:rsid w:val="00D208BA"/>
    <w:rsid w:val="00D21668"/>
    <w:rsid w:val="00D216BC"/>
    <w:rsid w:val="00D42F8F"/>
    <w:rsid w:val="00D45ADF"/>
    <w:rsid w:val="00D82592"/>
    <w:rsid w:val="00D82A1D"/>
    <w:rsid w:val="00D962C9"/>
    <w:rsid w:val="00DA07F1"/>
    <w:rsid w:val="00DA59E3"/>
    <w:rsid w:val="00DA68B6"/>
    <w:rsid w:val="00DC3DAE"/>
    <w:rsid w:val="00DC5BC0"/>
    <w:rsid w:val="00DC5F77"/>
    <w:rsid w:val="00DD06F4"/>
    <w:rsid w:val="00DD500F"/>
    <w:rsid w:val="00DD7AF3"/>
    <w:rsid w:val="00DF53E4"/>
    <w:rsid w:val="00E2136E"/>
    <w:rsid w:val="00E240DB"/>
    <w:rsid w:val="00E25AF8"/>
    <w:rsid w:val="00E30927"/>
    <w:rsid w:val="00E31A6A"/>
    <w:rsid w:val="00E46BDF"/>
    <w:rsid w:val="00E547DB"/>
    <w:rsid w:val="00E555BF"/>
    <w:rsid w:val="00E61949"/>
    <w:rsid w:val="00E70DCE"/>
    <w:rsid w:val="00E81F74"/>
    <w:rsid w:val="00E86565"/>
    <w:rsid w:val="00E95C65"/>
    <w:rsid w:val="00EA446A"/>
    <w:rsid w:val="00EA56B3"/>
    <w:rsid w:val="00EA7DC1"/>
    <w:rsid w:val="00EB53C5"/>
    <w:rsid w:val="00EB5BA2"/>
    <w:rsid w:val="00EB5C28"/>
    <w:rsid w:val="00ED7D4C"/>
    <w:rsid w:val="00EE3AFB"/>
    <w:rsid w:val="00EE4ABC"/>
    <w:rsid w:val="00EF0D19"/>
    <w:rsid w:val="00EF1577"/>
    <w:rsid w:val="00EF6BD4"/>
    <w:rsid w:val="00F157DD"/>
    <w:rsid w:val="00F15F90"/>
    <w:rsid w:val="00F21465"/>
    <w:rsid w:val="00F2168F"/>
    <w:rsid w:val="00F6065C"/>
    <w:rsid w:val="00F61EB1"/>
    <w:rsid w:val="00F62C8B"/>
    <w:rsid w:val="00F802D4"/>
    <w:rsid w:val="00F91982"/>
    <w:rsid w:val="00FA2DA2"/>
    <w:rsid w:val="00FA311A"/>
    <w:rsid w:val="00FC0721"/>
    <w:rsid w:val="00FC1AAD"/>
    <w:rsid w:val="00FE0FE8"/>
    <w:rsid w:val="00FE7191"/>
    <w:rsid w:val="00FF231A"/>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0E243521"/>
  <w15:docId w15:val="{55838693-48F5-45F8-B89F-CD0F3DA2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P1">
    <w:name w:val="P1"/>
    <w:basedOn w:val="Normal"/>
    <w:qFormat/>
    <w:rsid w:val="00CF7700"/>
    <w:pPr>
      <w:spacing w:after="0" w:line="225" w:lineRule="exact"/>
      <w:jc w:val="both"/>
    </w:pPr>
    <w:rPr>
      <w:rFonts w:ascii="Arial" w:eastAsia="MS Mincho" w:hAnsi="Arial" w:cs="Times New Roman"/>
      <w:sz w:val="17"/>
      <w:szCs w:val="24"/>
      <w:lang w:val="en-US" w:eastAsia="ja-JP"/>
    </w:rPr>
  </w:style>
  <w:style w:type="paragraph" w:styleId="Bibliography">
    <w:name w:val="Bibliography"/>
    <w:basedOn w:val="Normal"/>
    <w:next w:val="Normal"/>
    <w:uiPriority w:val="37"/>
    <w:unhideWhenUsed/>
    <w:rsid w:val="00216D59"/>
    <w:pPr>
      <w:tabs>
        <w:tab w:val="left" w:pos="264"/>
      </w:tabs>
      <w:spacing w:after="0" w:line="240" w:lineRule="auto"/>
      <w:ind w:left="264" w:hanging="264"/>
    </w:pPr>
  </w:style>
  <w:style w:type="paragraph" w:customStyle="1" w:styleId="SchemeCaption">
    <w:name w:val="SchemeCaption"/>
    <w:basedOn w:val="Normal"/>
    <w:rsid w:val="00216D59"/>
    <w:pPr>
      <w:spacing w:before="230" w:after="460" w:line="180" w:lineRule="exact"/>
      <w:jc w:val="both"/>
    </w:pPr>
    <w:rPr>
      <w:rFonts w:ascii="Arial" w:eastAsia="MS Mincho" w:hAnsi="Arial" w:cs="Times New Roman"/>
      <w:sz w:val="14"/>
      <w:szCs w:val="14"/>
      <w:lang w:eastAsia="ja-JP"/>
    </w:rPr>
  </w:style>
  <w:style w:type="paragraph" w:customStyle="1" w:styleId="TableCaption">
    <w:name w:val="TableCaption"/>
    <w:basedOn w:val="Normal"/>
    <w:qFormat/>
    <w:rsid w:val="00E240DB"/>
    <w:pPr>
      <w:spacing w:after="120" w:line="180" w:lineRule="exact"/>
      <w:jc w:val="both"/>
    </w:pPr>
    <w:rPr>
      <w:rFonts w:ascii="Arial" w:eastAsia="MS Mincho" w:hAnsi="Arial" w:cs="Times New Roman"/>
      <w:sz w:val="14"/>
      <w:szCs w:val="14"/>
      <w:lang w:eastAsia="ja-JP"/>
    </w:rPr>
  </w:style>
  <w:style w:type="paragraph" w:customStyle="1" w:styleId="TableHead">
    <w:name w:val="TableHead"/>
    <w:basedOn w:val="TableCaption"/>
    <w:qFormat/>
    <w:rsid w:val="00E240DB"/>
    <w:pPr>
      <w:pBdr>
        <w:top w:val="single" w:sz="4" w:space="4" w:color="FFFFFF"/>
        <w:left w:val="single" w:sz="4" w:space="4" w:color="FFFFFF"/>
        <w:bottom w:val="single" w:sz="4" w:space="4" w:color="FFFFFF"/>
        <w:right w:val="single" w:sz="4" w:space="4" w:color="FFFFFF"/>
      </w:pBdr>
      <w:spacing w:after="0"/>
    </w:pPr>
  </w:style>
  <w:style w:type="paragraph" w:customStyle="1" w:styleId="Tablemolecules">
    <w:name w:val="Table molecules"/>
    <w:basedOn w:val="RSCH01PaperTitle"/>
    <w:link w:val="TablemoleculesChar"/>
    <w:qFormat/>
    <w:rsid w:val="00F2168F"/>
    <w:pPr>
      <w:keepLines/>
      <w:spacing w:before="0" w:after="0"/>
      <w:contextualSpacing/>
      <w:jc w:val="center"/>
    </w:pPr>
    <w:rPr>
      <w:b w:val="0"/>
      <w:sz w:val="36"/>
    </w:rPr>
  </w:style>
  <w:style w:type="character" w:customStyle="1" w:styleId="TablemoleculesChar">
    <w:name w:val="Table molecules Char"/>
    <w:basedOn w:val="RSCH01PaperTitleChar"/>
    <w:link w:val="Tablemolecules"/>
    <w:rsid w:val="00F2168F"/>
    <w:rPr>
      <w:rFonts w:cs="Times New Roman"/>
      <w:b w:val="0"/>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839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6E921-8598-403C-894F-FAC04CBA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17975</Words>
  <Characters>102462</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Fergal Byrne</dc:creator>
  <cp:keywords/>
  <dc:description/>
  <cp:lastModifiedBy>Fergal Byrne</cp:lastModifiedBy>
  <cp:revision>16</cp:revision>
  <cp:lastPrinted>2017-07-03T15:58:00Z</cp:lastPrinted>
  <dcterms:created xsi:type="dcterms:W3CDTF">2017-07-03T16:13:00Z</dcterms:created>
  <dcterms:modified xsi:type="dcterms:W3CDTF">2017-07-05T10:24:00Z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id="rEVtDIw9"/&gt;&lt;style id="http://www.zotero.org/styles/chemical-science"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