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94" w:rsidRPr="009735EB" w:rsidRDefault="00E65694" w:rsidP="00E65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b/>
          <w:color w:val="333333"/>
          <w:sz w:val="24"/>
          <w:szCs w:val="24"/>
          <w:lang w:eastAsia="en-GB"/>
        </w:rPr>
      </w:pPr>
      <w:bookmarkStart w:id="0" w:name="_GoBack"/>
      <w:bookmarkEnd w:id="0"/>
      <w:r w:rsidRPr="009735EB">
        <w:rPr>
          <w:rFonts w:ascii="Times New Roman" w:hAnsi="Times New Roman"/>
          <w:b/>
          <w:color w:val="333333"/>
          <w:sz w:val="24"/>
          <w:szCs w:val="24"/>
          <w:lang w:eastAsia="en-GB"/>
        </w:rPr>
        <w:t>Manuscript title:</w:t>
      </w:r>
    </w:p>
    <w:p w:rsidR="00E65694" w:rsidRPr="009735EB" w:rsidRDefault="00826E4F" w:rsidP="00E65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olor w:val="333333"/>
          <w:sz w:val="24"/>
          <w:szCs w:val="24"/>
          <w:lang w:eastAsia="en-GB"/>
        </w:rPr>
      </w:pPr>
      <w:r>
        <w:rPr>
          <w:rFonts w:ascii="Times New Roman" w:hAnsi="Times New Roman"/>
          <w:color w:val="333333"/>
          <w:sz w:val="24"/>
          <w:szCs w:val="24"/>
          <w:lang w:eastAsia="en-GB"/>
        </w:rPr>
        <w:t xml:space="preserve">Did </w:t>
      </w:r>
      <w:r w:rsidR="00E65694" w:rsidRPr="009735EB">
        <w:rPr>
          <w:rFonts w:ascii="Times New Roman" w:hAnsi="Times New Roman"/>
          <w:color w:val="333333"/>
          <w:sz w:val="24"/>
          <w:szCs w:val="24"/>
          <w:lang w:eastAsia="en-GB"/>
        </w:rPr>
        <w:t xml:space="preserve">the “croaky voice” </w:t>
      </w:r>
      <w:r w:rsidR="00AE766B" w:rsidRPr="009735EB">
        <w:rPr>
          <w:rFonts w:ascii="Times New Roman" w:hAnsi="Times New Roman"/>
          <w:color w:val="333333"/>
          <w:sz w:val="24"/>
          <w:szCs w:val="24"/>
          <w:lang w:eastAsia="en-GB"/>
        </w:rPr>
        <w:t xml:space="preserve">public health </w:t>
      </w:r>
      <w:r w:rsidR="00E65694" w:rsidRPr="009735EB">
        <w:rPr>
          <w:rFonts w:ascii="Times New Roman" w:hAnsi="Times New Roman"/>
          <w:color w:val="333333"/>
          <w:sz w:val="24"/>
          <w:szCs w:val="24"/>
          <w:lang w:eastAsia="en-GB"/>
        </w:rPr>
        <w:t xml:space="preserve">campaign </w:t>
      </w:r>
      <w:r>
        <w:rPr>
          <w:rFonts w:ascii="Times New Roman" w:hAnsi="Times New Roman"/>
          <w:color w:val="333333"/>
          <w:sz w:val="24"/>
          <w:szCs w:val="24"/>
          <w:lang w:eastAsia="en-GB"/>
        </w:rPr>
        <w:t xml:space="preserve">have any impact </w:t>
      </w:r>
      <w:r w:rsidR="00E65694" w:rsidRPr="009735EB">
        <w:rPr>
          <w:rFonts w:ascii="Times New Roman" w:hAnsi="Times New Roman"/>
          <w:color w:val="333333"/>
          <w:sz w:val="24"/>
          <w:szCs w:val="24"/>
          <w:lang w:eastAsia="en-GB"/>
        </w:rPr>
        <w:t xml:space="preserve">on the stage of presentation of </w:t>
      </w:r>
      <w:r w:rsidR="00D109B9" w:rsidRPr="009735EB">
        <w:rPr>
          <w:rFonts w:ascii="Times New Roman" w:hAnsi="Times New Roman"/>
          <w:color w:val="333333"/>
          <w:sz w:val="24"/>
          <w:szCs w:val="24"/>
          <w:lang w:eastAsia="en-GB"/>
        </w:rPr>
        <w:t xml:space="preserve">84 cases of </w:t>
      </w:r>
      <w:r w:rsidR="00E65694" w:rsidRPr="009735EB">
        <w:rPr>
          <w:rFonts w:ascii="Times New Roman" w:hAnsi="Times New Roman"/>
          <w:color w:val="333333"/>
          <w:sz w:val="24"/>
          <w:szCs w:val="24"/>
          <w:lang w:eastAsia="en-GB"/>
        </w:rPr>
        <w:t>laryngeal cancer in the Humber and Yorkshire Coast Cancer Network</w:t>
      </w:r>
    </w:p>
    <w:p w:rsidR="00E65694" w:rsidRPr="009735EB" w:rsidRDefault="00E65694" w:rsidP="00E65694">
      <w:pPr>
        <w:spacing w:line="480" w:lineRule="auto"/>
        <w:rPr>
          <w:rFonts w:ascii="Times New Roman" w:hAnsi="Times New Roman"/>
          <w:sz w:val="24"/>
          <w:szCs w:val="24"/>
        </w:rPr>
      </w:pPr>
    </w:p>
    <w:p w:rsidR="00E65694" w:rsidRPr="009735EB" w:rsidRDefault="00E65694" w:rsidP="00E65694">
      <w:pPr>
        <w:spacing w:line="480" w:lineRule="auto"/>
        <w:rPr>
          <w:rFonts w:ascii="Times New Roman" w:hAnsi="Times New Roman"/>
          <w:b/>
          <w:sz w:val="24"/>
          <w:szCs w:val="24"/>
        </w:rPr>
      </w:pPr>
      <w:r w:rsidRPr="009735EB">
        <w:rPr>
          <w:rFonts w:ascii="Times New Roman" w:hAnsi="Times New Roman"/>
          <w:b/>
          <w:sz w:val="24"/>
          <w:szCs w:val="24"/>
        </w:rPr>
        <w:t>Authors:</w:t>
      </w:r>
    </w:p>
    <w:p w:rsidR="00E65694" w:rsidRPr="009735EB" w:rsidRDefault="00E65694" w:rsidP="00E65694">
      <w:pPr>
        <w:spacing w:line="480" w:lineRule="auto"/>
        <w:rPr>
          <w:rFonts w:ascii="Times New Roman" w:hAnsi="Times New Roman"/>
          <w:sz w:val="24"/>
          <w:szCs w:val="24"/>
        </w:rPr>
      </w:pPr>
      <w:r w:rsidRPr="009735EB">
        <w:rPr>
          <w:rFonts w:ascii="Times New Roman" w:hAnsi="Times New Roman"/>
          <w:sz w:val="24"/>
          <w:szCs w:val="24"/>
        </w:rPr>
        <w:t>Sandeep G Mistry</w:t>
      </w:r>
      <w:r w:rsidRPr="009735EB">
        <w:rPr>
          <w:rFonts w:ascii="Times New Roman" w:hAnsi="Times New Roman"/>
          <w:sz w:val="24"/>
          <w:szCs w:val="24"/>
          <w:vertAlign w:val="superscript"/>
        </w:rPr>
        <w:t>1</w:t>
      </w:r>
      <w:r w:rsidRPr="009735EB">
        <w:rPr>
          <w:rFonts w:ascii="Times New Roman" w:hAnsi="Times New Roman"/>
          <w:sz w:val="24"/>
          <w:szCs w:val="24"/>
        </w:rPr>
        <w:t>, Jemy Jose</w:t>
      </w:r>
      <w:r w:rsidRPr="009735EB">
        <w:rPr>
          <w:rFonts w:ascii="Times New Roman" w:hAnsi="Times New Roman"/>
          <w:sz w:val="24"/>
          <w:szCs w:val="24"/>
          <w:vertAlign w:val="superscript"/>
        </w:rPr>
        <w:t>1</w:t>
      </w:r>
      <w:r w:rsidRPr="009735EB">
        <w:rPr>
          <w:rFonts w:ascii="Times New Roman" w:hAnsi="Times New Roman"/>
          <w:sz w:val="24"/>
          <w:szCs w:val="24"/>
        </w:rPr>
        <w:t>, Victoria Allgar</w:t>
      </w:r>
      <w:r w:rsidRPr="009735EB">
        <w:rPr>
          <w:rFonts w:ascii="Times New Roman" w:hAnsi="Times New Roman"/>
          <w:sz w:val="24"/>
          <w:szCs w:val="24"/>
          <w:vertAlign w:val="superscript"/>
        </w:rPr>
        <w:t>2</w:t>
      </w:r>
    </w:p>
    <w:p w:rsidR="00E65694" w:rsidRPr="009735EB" w:rsidRDefault="00E65694" w:rsidP="00E65694">
      <w:pPr>
        <w:spacing w:line="480" w:lineRule="auto"/>
        <w:rPr>
          <w:rFonts w:ascii="Times New Roman" w:hAnsi="Times New Roman"/>
          <w:sz w:val="24"/>
          <w:szCs w:val="24"/>
        </w:rPr>
      </w:pPr>
    </w:p>
    <w:p w:rsidR="00E65694" w:rsidRPr="009735EB" w:rsidRDefault="00E65694" w:rsidP="00E65694">
      <w:pPr>
        <w:spacing w:line="480" w:lineRule="auto"/>
        <w:rPr>
          <w:rFonts w:ascii="Times New Roman" w:hAnsi="Times New Roman"/>
          <w:b/>
          <w:sz w:val="24"/>
          <w:szCs w:val="24"/>
        </w:rPr>
      </w:pPr>
      <w:r w:rsidRPr="009735EB">
        <w:rPr>
          <w:rFonts w:ascii="Times New Roman" w:hAnsi="Times New Roman"/>
          <w:b/>
          <w:sz w:val="24"/>
          <w:szCs w:val="24"/>
        </w:rPr>
        <w:t>Affiliations:</w:t>
      </w:r>
    </w:p>
    <w:p w:rsidR="00E65694" w:rsidRPr="009735EB" w:rsidRDefault="00E65694" w:rsidP="00E65694">
      <w:pPr>
        <w:spacing w:line="480" w:lineRule="auto"/>
        <w:rPr>
          <w:rFonts w:ascii="Times New Roman" w:hAnsi="Times New Roman"/>
          <w:sz w:val="24"/>
          <w:szCs w:val="24"/>
        </w:rPr>
      </w:pPr>
      <w:r w:rsidRPr="009735EB">
        <w:rPr>
          <w:rFonts w:ascii="Times New Roman" w:hAnsi="Times New Roman"/>
          <w:sz w:val="24"/>
          <w:szCs w:val="24"/>
          <w:vertAlign w:val="superscript"/>
        </w:rPr>
        <w:t>1</w:t>
      </w:r>
      <w:r w:rsidRPr="009735EB">
        <w:rPr>
          <w:rFonts w:ascii="Times New Roman" w:hAnsi="Times New Roman"/>
          <w:sz w:val="24"/>
          <w:szCs w:val="24"/>
        </w:rPr>
        <w:t xml:space="preserve"> Department of Otolaryngology, Castle Hill Hospital, Cottingham</w:t>
      </w:r>
    </w:p>
    <w:p w:rsidR="00E65694" w:rsidRPr="009735EB" w:rsidRDefault="00E65694" w:rsidP="00E65694">
      <w:pPr>
        <w:spacing w:line="480" w:lineRule="auto"/>
        <w:rPr>
          <w:rFonts w:ascii="Times New Roman" w:hAnsi="Times New Roman"/>
          <w:sz w:val="24"/>
          <w:szCs w:val="24"/>
        </w:rPr>
      </w:pPr>
      <w:r w:rsidRPr="009735EB">
        <w:rPr>
          <w:rFonts w:ascii="Times New Roman" w:hAnsi="Times New Roman"/>
          <w:sz w:val="24"/>
          <w:szCs w:val="24"/>
          <w:vertAlign w:val="superscript"/>
        </w:rPr>
        <w:t>2</w:t>
      </w:r>
      <w:r w:rsidRPr="009735EB">
        <w:rPr>
          <w:rFonts w:ascii="Times New Roman" w:hAnsi="Times New Roman"/>
          <w:sz w:val="24"/>
          <w:szCs w:val="24"/>
        </w:rPr>
        <w:t xml:space="preserve"> Department of Health Sciences, University of York</w:t>
      </w:r>
    </w:p>
    <w:p w:rsidR="00E65694" w:rsidRPr="009735EB" w:rsidRDefault="00E65694" w:rsidP="00E65694">
      <w:pPr>
        <w:spacing w:line="480" w:lineRule="auto"/>
        <w:rPr>
          <w:rFonts w:ascii="Times New Roman" w:hAnsi="Times New Roman"/>
          <w:sz w:val="24"/>
          <w:szCs w:val="24"/>
        </w:rPr>
      </w:pPr>
    </w:p>
    <w:p w:rsidR="00E65694" w:rsidRPr="009735EB" w:rsidRDefault="00E65694" w:rsidP="00E65694">
      <w:pPr>
        <w:spacing w:line="480" w:lineRule="auto"/>
        <w:rPr>
          <w:rFonts w:ascii="Times New Roman" w:hAnsi="Times New Roman"/>
          <w:b/>
          <w:sz w:val="24"/>
          <w:szCs w:val="24"/>
        </w:rPr>
      </w:pPr>
      <w:r w:rsidRPr="009735EB">
        <w:rPr>
          <w:rFonts w:ascii="Times New Roman" w:hAnsi="Times New Roman"/>
          <w:b/>
          <w:sz w:val="24"/>
          <w:szCs w:val="24"/>
        </w:rPr>
        <w:t>Corresponding author:</w:t>
      </w:r>
    </w:p>
    <w:p w:rsidR="00E65694" w:rsidRPr="009735EB" w:rsidRDefault="00E65694" w:rsidP="00E65694">
      <w:pPr>
        <w:spacing w:line="480" w:lineRule="auto"/>
        <w:rPr>
          <w:rFonts w:ascii="Times New Roman" w:hAnsi="Times New Roman"/>
          <w:sz w:val="24"/>
          <w:szCs w:val="24"/>
        </w:rPr>
      </w:pPr>
      <w:r w:rsidRPr="009735EB">
        <w:rPr>
          <w:rFonts w:ascii="Times New Roman" w:hAnsi="Times New Roman"/>
          <w:sz w:val="24"/>
          <w:szCs w:val="24"/>
        </w:rPr>
        <w:t>Sandeep G Mistry</w:t>
      </w:r>
    </w:p>
    <w:p w:rsidR="00E65694" w:rsidRPr="009735EB" w:rsidRDefault="00E65694" w:rsidP="00E65694">
      <w:pPr>
        <w:spacing w:line="480" w:lineRule="auto"/>
        <w:rPr>
          <w:rFonts w:ascii="Times New Roman" w:hAnsi="Times New Roman"/>
          <w:sz w:val="24"/>
          <w:szCs w:val="24"/>
        </w:rPr>
      </w:pPr>
      <w:r w:rsidRPr="009735EB">
        <w:rPr>
          <w:rFonts w:ascii="Times New Roman" w:hAnsi="Times New Roman"/>
          <w:sz w:val="24"/>
          <w:szCs w:val="24"/>
        </w:rPr>
        <w:t>smis83@doctors.org.uk</w:t>
      </w:r>
    </w:p>
    <w:p w:rsidR="00E65694" w:rsidRPr="009735EB" w:rsidRDefault="00E65694" w:rsidP="00E65694">
      <w:pPr>
        <w:spacing w:line="480" w:lineRule="auto"/>
        <w:rPr>
          <w:rFonts w:ascii="Times New Roman" w:hAnsi="Times New Roman"/>
          <w:sz w:val="24"/>
          <w:szCs w:val="24"/>
        </w:rPr>
      </w:pPr>
      <w:r w:rsidRPr="009735EB">
        <w:rPr>
          <w:rFonts w:ascii="Times New Roman" w:hAnsi="Times New Roman"/>
          <w:sz w:val="24"/>
          <w:szCs w:val="24"/>
        </w:rPr>
        <w:t>Castle Hill Hospital</w:t>
      </w:r>
    </w:p>
    <w:p w:rsidR="00E65694" w:rsidRPr="009735EB" w:rsidRDefault="00E65694" w:rsidP="00E65694">
      <w:pPr>
        <w:spacing w:line="480" w:lineRule="auto"/>
        <w:rPr>
          <w:rFonts w:ascii="Times New Roman" w:hAnsi="Times New Roman"/>
          <w:sz w:val="24"/>
          <w:szCs w:val="24"/>
        </w:rPr>
      </w:pPr>
      <w:r w:rsidRPr="009735EB">
        <w:rPr>
          <w:rFonts w:ascii="Times New Roman" w:hAnsi="Times New Roman"/>
          <w:sz w:val="24"/>
          <w:szCs w:val="24"/>
        </w:rPr>
        <w:t>Cottingham</w:t>
      </w:r>
    </w:p>
    <w:p w:rsidR="00E65694" w:rsidRPr="009735EB" w:rsidRDefault="00E65694" w:rsidP="00E65694">
      <w:pPr>
        <w:spacing w:line="480" w:lineRule="auto"/>
        <w:rPr>
          <w:rFonts w:ascii="Times New Roman" w:hAnsi="Times New Roman"/>
          <w:sz w:val="24"/>
          <w:szCs w:val="24"/>
        </w:rPr>
      </w:pPr>
      <w:r w:rsidRPr="009735EB">
        <w:rPr>
          <w:rFonts w:ascii="Times New Roman" w:hAnsi="Times New Roman"/>
          <w:sz w:val="24"/>
          <w:szCs w:val="24"/>
        </w:rPr>
        <w:t>HU165JQ</w:t>
      </w:r>
    </w:p>
    <w:p w:rsidR="00E65694" w:rsidRPr="009735EB" w:rsidRDefault="009735EB" w:rsidP="00B43D1B">
      <w:pPr>
        <w:spacing w:line="480" w:lineRule="auto"/>
        <w:rPr>
          <w:rFonts w:ascii="Times New Roman" w:hAnsi="Times New Roman"/>
          <w:sz w:val="24"/>
          <w:szCs w:val="24"/>
        </w:rPr>
      </w:pPr>
      <w:r w:rsidRPr="009735EB">
        <w:rPr>
          <w:rFonts w:ascii="Times New Roman" w:hAnsi="Times New Roman"/>
          <w:sz w:val="24"/>
          <w:szCs w:val="24"/>
        </w:rPr>
        <w:t xml:space="preserve">Tel: +441482875875 </w:t>
      </w:r>
      <w:r w:rsidRPr="009735EB">
        <w:rPr>
          <w:rFonts w:ascii="Times New Roman" w:hAnsi="Times New Roman"/>
          <w:sz w:val="24"/>
          <w:szCs w:val="24"/>
        </w:rPr>
        <w:tab/>
        <w:t>Fax: +441482875456</w:t>
      </w:r>
    </w:p>
    <w:p w:rsidR="009735EB" w:rsidRDefault="009735EB" w:rsidP="009735EB">
      <w:pPr>
        <w:spacing w:line="480" w:lineRule="auto"/>
        <w:rPr>
          <w:rFonts w:ascii="Times New Roman" w:hAnsi="Times New Roman"/>
          <w:b/>
          <w:sz w:val="24"/>
          <w:szCs w:val="24"/>
        </w:rPr>
      </w:pPr>
    </w:p>
    <w:p w:rsidR="009735EB" w:rsidRPr="009735EB" w:rsidRDefault="009735EB" w:rsidP="009735EB">
      <w:pPr>
        <w:spacing w:line="480" w:lineRule="auto"/>
        <w:rPr>
          <w:rFonts w:ascii="Times New Roman" w:hAnsi="Times New Roman"/>
          <w:b/>
          <w:sz w:val="24"/>
          <w:szCs w:val="24"/>
        </w:rPr>
      </w:pPr>
      <w:r w:rsidRPr="009735EB">
        <w:rPr>
          <w:rFonts w:ascii="Times New Roman" w:hAnsi="Times New Roman"/>
          <w:b/>
          <w:sz w:val="24"/>
          <w:szCs w:val="24"/>
        </w:rPr>
        <w:lastRenderedPageBreak/>
        <w:t>Abstract</w:t>
      </w:r>
    </w:p>
    <w:p w:rsidR="009735EB" w:rsidRPr="009735EB" w:rsidRDefault="009735EB" w:rsidP="009735EB">
      <w:pPr>
        <w:spacing w:line="480" w:lineRule="auto"/>
        <w:rPr>
          <w:rFonts w:ascii="Times New Roman" w:hAnsi="Times New Roman"/>
          <w:b/>
          <w:sz w:val="24"/>
          <w:szCs w:val="24"/>
        </w:rPr>
      </w:pPr>
      <w:r w:rsidRPr="009735EB">
        <w:rPr>
          <w:rFonts w:ascii="Times New Roman" w:hAnsi="Times New Roman"/>
          <w:b/>
          <w:sz w:val="24"/>
          <w:szCs w:val="24"/>
        </w:rPr>
        <w:t>Introduction</w:t>
      </w:r>
    </w:p>
    <w:p w:rsidR="009735EB" w:rsidRPr="009735EB" w:rsidRDefault="009735EB" w:rsidP="009735EB">
      <w:pPr>
        <w:spacing w:line="480" w:lineRule="auto"/>
        <w:rPr>
          <w:rFonts w:ascii="Times New Roman" w:hAnsi="Times New Roman"/>
          <w:sz w:val="24"/>
          <w:szCs w:val="24"/>
        </w:rPr>
      </w:pPr>
      <w:r w:rsidRPr="009735EB">
        <w:rPr>
          <w:rFonts w:ascii="Times New Roman" w:hAnsi="Times New Roman"/>
          <w:sz w:val="24"/>
          <w:szCs w:val="24"/>
        </w:rPr>
        <w:t>A public health campaign on laryngeal cancer was conducted in 2011 in the Humber and Yorkshire Coast Cancer Network (HYCCN).  This study evaluated for subsequent impact (if any) upon the stage of presentation of laryngeal cancer.</w:t>
      </w:r>
    </w:p>
    <w:p w:rsidR="009735EB" w:rsidRPr="009735EB" w:rsidRDefault="009735EB" w:rsidP="009735EB">
      <w:pPr>
        <w:spacing w:line="480" w:lineRule="auto"/>
        <w:rPr>
          <w:rFonts w:ascii="Times New Roman" w:hAnsi="Times New Roman"/>
          <w:b/>
          <w:sz w:val="24"/>
          <w:szCs w:val="24"/>
        </w:rPr>
      </w:pPr>
      <w:r w:rsidRPr="009735EB">
        <w:rPr>
          <w:rFonts w:ascii="Times New Roman" w:hAnsi="Times New Roman"/>
          <w:b/>
          <w:sz w:val="24"/>
          <w:szCs w:val="24"/>
        </w:rPr>
        <w:t xml:space="preserve">Materials and Methods  </w:t>
      </w:r>
    </w:p>
    <w:p w:rsidR="009735EB" w:rsidRPr="009735EB" w:rsidRDefault="009735EB" w:rsidP="009735EB">
      <w:pPr>
        <w:spacing w:line="480" w:lineRule="auto"/>
        <w:rPr>
          <w:rFonts w:ascii="Times New Roman" w:hAnsi="Times New Roman"/>
          <w:sz w:val="24"/>
          <w:szCs w:val="24"/>
        </w:rPr>
      </w:pPr>
      <w:r w:rsidRPr="009735EB">
        <w:rPr>
          <w:rFonts w:ascii="Times New Roman" w:hAnsi="Times New Roman"/>
          <w:sz w:val="24"/>
          <w:szCs w:val="24"/>
        </w:rPr>
        <w:t>Laryngeal cancers diagnosed in the HYCCN from January 2009 to July 2014 were identified from cancer registries and were dichotomised into early (T1-T2) and late (T3-T4) disease.  Statistical analysis using segmented regression analysis of interrupted time series data was performed.</w:t>
      </w:r>
    </w:p>
    <w:p w:rsidR="009735EB" w:rsidRPr="009735EB" w:rsidRDefault="009735EB" w:rsidP="009735EB">
      <w:pPr>
        <w:spacing w:line="480" w:lineRule="auto"/>
        <w:rPr>
          <w:rFonts w:ascii="Times New Roman" w:hAnsi="Times New Roman"/>
          <w:b/>
          <w:sz w:val="24"/>
          <w:szCs w:val="24"/>
        </w:rPr>
      </w:pPr>
      <w:r w:rsidRPr="009735EB">
        <w:rPr>
          <w:rFonts w:ascii="Times New Roman" w:hAnsi="Times New Roman"/>
          <w:b/>
          <w:sz w:val="24"/>
          <w:szCs w:val="24"/>
        </w:rPr>
        <w:t>Results</w:t>
      </w:r>
    </w:p>
    <w:p w:rsidR="009735EB" w:rsidRPr="009735EB" w:rsidRDefault="009735EB" w:rsidP="009735EB">
      <w:pPr>
        <w:spacing w:line="480" w:lineRule="auto"/>
        <w:rPr>
          <w:rFonts w:ascii="Times New Roman" w:hAnsi="Times New Roman"/>
          <w:sz w:val="24"/>
          <w:szCs w:val="24"/>
        </w:rPr>
      </w:pPr>
      <w:r w:rsidRPr="009735EB">
        <w:rPr>
          <w:rFonts w:ascii="Times New Roman" w:hAnsi="Times New Roman"/>
          <w:sz w:val="24"/>
          <w:szCs w:val="24"/>
        </w:rPr>
        <w:t xml:space="preserve">There were no statistically significant changes in laryngeal cancer cases immediately after the intervention for both early (p=0.191) and late (p=0.680) laryngeal cancers.  There were also no significant changes to monthly rates of detection in both groups </w:t>
      </w:r>
      <w:r w:rsidR="00FC3FD9">
        <w:rPr>
          <w:rFonts w:ascii="Times New Roman" w:hAnsi="Times New Roman"/>
          <w:sz w:val="24"/>
          <w:szCs w:val="24"/>
        </w:rPr>
        <w:t xml:space="preserve">on </w:t>
      </w:r>
      <w:r w:rsidRPr="009735EB">
        <w:rPr>
          <w:rFonts w:ascii="Times New Roman" w:hAnsi="Times New Roman"/>
          <w:sz w:val="24"/>
          <w:szCs w:val="24"/>
        </w:rPr>
        <w:t xml:space="preserve">follow-up.  </w:t>
      </w:r>
    </w:p>
    <w:p w:rsidR="009735EB" w:rsidRPr="009735EB" w:rsidRDefault="009735EB" w:rsidP="009735EB">
      <w:pPr>
        <w:spacing w:line="480" w:lineRule="auto"/>
        <w:rPr>
          <w:rFonts w:ascii="Times New Roman" w:hAnsi="Times New Roman"/>
          <w:b/>
          <w:sz w:val="24"/>
          <w:szCs w:val="24"/>
        </w:rPr>
      </w:pPr>
      <w:r w:rsidRPr="009735EB">
        <w:rPr>
          <w:rFonts w:ascii="Times New Roman" w:hAnsi="Times New Roman"/>
          <w:b/>
          <w:sz w:val="24"/>
          <w:szCs w:val="24"/>
        </w:rPr>
        <w:t>Conclusion</w:t>
      </w:r>
    </w:p>
    <w:p w:rsidR="009735EB" w:rsidRPr="009735EB" w:rsidRDefault="009735EB" w:rsidP="009735EB">
      <w:pPr>
        <w:spacing w:line="480" w:lineRule="auto"/>
        <w:rPr>
          <w:rFonts w:ascii="Times New Roman" w:hAnsi="Times New Roman"/>
          <w:sz w:val="24"/>
          <w:szCs w:val="24"/>
        </w:rPr>
      </w:pPr>
      <w:r w:rsidRPr="009735EB">
        <w:rPr>
          <w:rFonts w:ascii="Times New Roman" w:hAnsi="Times New Roman"/>
          <w:sz w:val="24"/>
          <w:szCs w:val="24"/>
        </w:rPr>
        <w:t xml:space="preserve">We describe findings of the first </w:t>
      </w:r>
      <w:r w:rsidR="00FC3FD9">
        <w:rPr>
          <w:rFonts w:ascii="Times New Roman" w:hAnsi="Times New Roman"/>
          <w:sz w:val="24"/>
          <w:szCs w:val="24"/>
        </w:rPr>
        <w:t>p</w:t>
      </w:r>
      <w:r w:rsidRPr="009735EB">
        <w:rPr>
          <w:rFonts w:ascii="Times New Roman" w:hAnsi="Times New Roman"/>
          <w:sz w:val="24"/>
          <w:szCs w:val="24"/>
        </w:rPr>
        <w:t xml:space="preserve">ublic health campaign on laryngeal cancer in the UK.  </w:t>
      </w:r>
      <w:r w:rsidR="00FC3FD9">
        <w:rPr>
          <w:rFonts w:ascii="Times New Roman" w:hAnsi="Times New Roman"/>
          <w:sz w:val="24"/>
          <w:szCs w:val="24"/>
        </w:rPr>
        <w:t>S</w:t>
      </w:r>
      <w:r w:rsidRPr="009735EB">
        <w:rPr>
          <w:rFonts w:ascii="Times New Roman" w:hAnsi="Times New Roman"/>
          <w:sz w:val="24"/>
          <w:szCs w:val="24"/>
        </w:rPr>
        <w:t>uch processes are complex and we subsequently discuss implications for future study.</w:t>
      </w:r>
    </w:p>
    <w:p w:rsidR="009735EB" w:rsidRDefault="009735EB" w:rsidP="00B43D1B">
      <w:pPr>
        <w:spacing w:line="480" w:lineRule="auto"/>
        <w:rPr>
          <w:rFonts w:ascii="Times New Roman" w:hAnsi="Times New Roman"/>
          <w:sz w:val="24"/>
          <w:szCs w:val="24"/>
        </w:rPr>
      </w:pPr>
    </w:p>
    <w:p w:rsidR="009735EB" w:rsidRPr="009735EB" w:rsidRDefault="009735EB" w:rsidP="00B43D1B">
      <w:pPr>
        <w:spacing w:line="480" w:lineRule="auto"/>
        <w:rPr>
          <w:rFonts w:ascii="Times New Roman" w:hAnsi="Times New Roman"/>
          <w:sz w:val="24"/>
          <w:szCs w:val="24"/>
        </w:rPr>
      </w:pPr>
      <w:r w:rsidRPr="009735EB">
        <w:rPr>
          <w:rFonts w:ascii="Times New Roman" w:hAnsi="Times New Roman"/>
          <w:sz w:val="24"/>
          <w:szCs w:val="24"/>
        </w:rPr>
        <w:t>Keywords: Laryngeal cancer, cancer, public health, health campaign, health promotion</w:t>
      </w:r>
    </w:p>
    <w:p w:rsidR="009735EB" w:rsidRPr="009735EB" w:rsidRDefault="009735EB" w:rsidP="00B43D1B">
      <w:pPr>
        <w:spacing w:line="480" w:lineRule="auto"/>
        <w:rPr>
          <w:rFonts w:ascii="Times New Roman" w:hAnsi="Times New Roman"/>
          <w:b/>
          <w:sz w:val="24"/>
          <w:szCs w:val="24"/>
        </w:rPr>
      </w:pPr>
    </w:p>
    <w:p w:rsidR="00FC3FD9" w:rsidRDefault="00FC3FD9" w:rsidP="00B43D1B">
      <w:pPr>
        <w:spacing w:line="480" w:lineRule="auto"/>
        <w:rPr>
          <w:rFonts w:ascii="Times New Roman" w:hAnsi="Times New Roman"/>
          <w:b/>
          <w:sz w:val="24"/>
          <w:szCs w:val="24"/>
        </w:rPr>
      </w:pPr>
    </w:p>
    <w:p w:rsidR="00B43D1B" w:rsidRPr="009735EB" w:rsidRDefault="00B43D1B" w:rsidP="00B43D1B">
      <w:pPr>
        <w:spacing w:line="480" w:lineRule="auto"/>
        <w:rPr>
          <w:rFonts w:ascii="Times New Roman" w:hAnsi="Times New Roman"/>
          <w:b/>
          <w:sz w:val="24"/>
          <w:szCs w:val="24"/>
        </w:rPr>
      </w:pPr>
      <w:r w:rsidRPr="009735EB">
        <w:rPr>
          <w:rFonts w:ascii="Times New Roman" w:hAnsi="Times New Roman"/>
          <w:b/>
          <w:sz w:val="24"/>
          <w:szCs w:val="24"/>
        </w:rPr>
        <w:lastRenderedPageBreak/>
        <w:t>Introduction</w:t>
      </w:r>
    </w:p>
    <w:p w:rsidR="00B43D1B" w:rsidRPr="009735EB" w:rsidRDefault="00C459AB" w:rsidP="00B43D1B">
      <w:pPr>
        <w:spacing w:line="480" w:lineRule="auto"/>
        <w:rPr>
          <w:rFonts w:ascii="Times New Roman" w:hAnsi="Times New Roman"/>
          <w:sz w:val="24"/>
          <w:szCs w:val="24"/>
        </w:rPr>
      </w:pPr>
      <w:r w:rsidRPr="009735EB">
        <w:rPr>
          <w:rFonts w:ascii="Times New Roman" w:hAnsi="Times New Roman"/>
          <w:sz w:val="24"/>
          <w:szCs w:val="24"/>
        </w:rPr>
        <w:t>A</w:t>
      </w:r>
      <w:r w:rsidR="00B43D1B" w:rsidRPr="009735EB">
        <w:rPr>
          <w:rFonts w:ascii="Times New Roman" w:hAnsi="Times New Roman"/>
          <w:sz w:val="24"/>
          <w:szCs w:val="24"/>
        </w:rPr>
        <w:t xml:space="preserve">nalysis of former cancer networks throughout the UK has shown </w:t>
      </w:r>
      <w:r w:rsidRPr="009735EB">
        <w:rPr>
          <w:rFonts w:ascii="Times New Roman" w:hAnsi="Times New Roman"/>
          <w:sz w:val="24"/>
          <w:szCs w:val="24"/>
        </w:rPr>
        <w:t xml:space="preserve">the </w:t>
      </w:r>
      <w:r w:rsidR="00B43D1B" w:rsidRPr="009735EB">
        <w:rPr>
          <w:rFonts w:ascii="Times New Roman" w:hAnsi="Times New Roman"/>
          <w:sz w:val="24"/>
          <w:szCs w:val="24"/>
        </w:rPr>
        <w:t>highest incidence of laryngeal cancer</w:t>
      </w:r>
      <w:r w:rsidRPr="009735EB">
        <w:rPr>
          <w:rFonts w:ascii="Times New Roman" w:hAnsi="Times New Roman"/>
          <w:sz w:val="24"/>
          <w:szCs w:val="24"/>
        </w:rPr>
        <w:t xml:space="preserve"> to be</w:t>
      </w:r>
      <w:r w:rsidR="00B43D1B" w:rsidRPr="009735EB">
        <w:rPr>
          <w:rFonts w:ascii="Times New Roman" w:hAnsi="Times New Roman"/>
          <w:sz w:val="24"/>
          <w:szCs w:val="24"/>
        </w:rPr>
        <w:t xml:space="preserve"> in parts of Scotland and Northern England; with lowest rates being recorded in the South of England</w:t>
      </w:r>
      <w:r w:rsidR="00B43D1B" w:rsidRPr="009735EB">
        <w:rPr>
          <w:rFonts w:ascii="Times New Roman" w:hAnsi="Times New Roman"/>
          <w:sz w:val="24"/>
          <w:szCs w:val="24"/>
          <w:vertAlign w:val="superscript"/>
        </w:rPr>
        <w:t>1</w:t>
      </w:r>
      <w:r w:rsidR="00B43D1B" w:rsidRPr="009735EB">
        <w:rPr>
          <w:rFonts w:ascii="Times New Roman" w:hAnsi="Times New Roman"/>
          <w:sz w:val="24"/>
          <w:szCs w:val="24"/>
        </w:rPr>
        <w:t>.   The population served by the Humber and Yorkshire Coast Cancer Network (HYCCN) has one of the highest incidence of laryngeal cancer in the country amongst older males (age 50-74 years)</w:t>
      </w:r>
      <w:r w:rsidR="001518CE" w:rsidRPr="009735EB">
        <w:rPr>
          <w:rFonts w:ascii="Times New Roman" w:hAnsi="Times New Roman"/>
          <w:sz w:val="24"/>
          <w:szCs w:val="24"/>
          <w:vertAlign w:val="superscript"/>
        </w:rPr>
        <w:t>2</w:t>
      </w:r>
      <w:r w:rsidR="00B43D1B" w:rsidRPr="009735EB">
        <w:rPr>
          <w:rFonts w:ascii="Times New Roman" w:hAnsi="Times New Roman"/>
          <w:sz w:val="24"/>
          <w:szCs w:val="24"/>
        </w:rPr>
        <w:t>.  A</w:t>
      </w:r>
      <w:r w:rsidR="00C6432D" w:rsidRPr="009735EB">
        <w:rPr>
          <w:rFonts w:ascii="Times New Roman" w:hAnsi="Times New Roman"/>
          <w:sz w:val="24"/>
          <w:szCs w:val="24"/>
        </w:rPr>
        <w:t xml:space="preserve"> five-year epidemiological</w:t>
      </w:r>
      <w:r w:rsidR="00B43D1B" w:rsidRPr="009735EB">
        <w:rPr>
          <w:rFonts w:ascii="Times New Roman" w:hAnsi="Times New Roman"/>
          <w:sz w:val="24"/>
          <w:szCs w:val="24"/>
        </w:rPr>
        <w:t xml:space="preserve"> study </w:t>
      </w:r>
      <w:r w:rsidR="00666259" w:rsidRPr="009735EB">
        <w:rPr>
          <w:rFonts w:ascii="Times New Roman" w:hAnsi="Times New Roman"/>
          <w:sz w:val="24"/>
          <w:szCs w:val="24"/>
        </w:rPr>
        <w:t xml:space="preserve">performed </w:t>
      </w:r>
      <w:r w:rsidR="00B43D1B" w:rsidRPr="009735EB">
        <w:rPr>
          <w:rFonts w:ascii="Times New Roman" w:hAnsi="Times New Roman"/>
          <w:sz w:val="24"/>
          <w:szCs w:val="24"/>
        </w:rPr>
        <w:t xml:space="preserve">by the local health authority identified up to a ten-fold difference in incidence of laryngeal cancers between </w:t>
      </w:r>
      <w:r w:rsidR="00C6432D" w:rsidRPr="009735EB">
        <w:rPr>
          <w:rFonts w:ascii="Times New Roman" w:hAnsi="Times New Roman"/>
          <w:sz w:val="24"/>
          <w:szCs w:val="24"/>
        </w:rPr>
        <w:t xml:space="preserve">106 </w:t>
      </w:r>
      <w:r w:rsidR="00B43D1B" w:rsidRPr="009735EB">
        <w:rPr>
          <w:rFonts w:ascii="Times New Roman" w:hAnsi="Times New Roman"/>
          <w:sz w:val="24"/>
          <w:szCs w:val="24"/>
        </w:rPr>
        <w:t>electoral wards within the HYCCN</w:t>
      </w:r>
      <w:r w:rsidRPr="009735EB">
        <w:rPr>
          <w:rFonts w:ascii="Times New Roman" w:hAnsi="Times New Roman"/>
          <w:sz w:val="24"/>
          <w:szCs w:val="24"/>
          <w:vertAlign w:val="superscript"/>
        </w:rPr>
        <w:t>3</w:t>
      </w:r>
      <w:r w:rsidR="00B43D1B" w:rsidRPr="009735EB">
        <w:rPr>
          <w:rFonts w:ascii="Times New Roman" w:hAnsi="Times New Roman"/>
          <w:sz w:val="24"/>
          <w:szCs w:val="24"/>
        </w:rPr>
        <w:t xml:space="preserve">.  The </w:t>
      </w:r>
      <w:r w:rsidRPr="009735EB">
        <w:rPr>
          <w:rFonts w:ascii="Times New Roman" w:hAnsi="Times New Roman"/>
          <w:sz w:val="24"/>
          <w:szCs w:val="24"/>
        </w:rPr>
        <w:t>electoral W</w:t>
      </w:r>
      <w:r w:rsidR="00B43D1B" w:rsidRPr="009735EB">
        <w:rPr>
          <w:rFonts w:ascii="Times New Roman" w:hAnsi="Times New Roman"/>
          <w:sz w:val="24"/>
          <w:szCs w:val="24"/>
        </w:rPr>
        <w:t>ards with the lowest incidence reported rates of 3 per 100,000, whereas incidences of 25-30 per 100,000 were recorded for the wards of Myton and Marfleet in Hull</w:t>
      </w:r>
      <w:r w:rsidR="00526C5D" w:rsidRPr="009735EB">
        <w:rPr>
          <w:rFonts w:ascii="Times New Roman" w:hAnsi="Times New Roman"/>
          <w:sz w:val="24"/>
          <w:szCs w:val="24"/>
          <w:vertAlign w:val="superscript"/>
        </w:rPr>
        <w:t>2-</w:t>
      </w:r>
      <w:r w:rsidR="00B43D1B" w:rsidRPr="009735EB">
        <w:rPr>
          <w:rFonts w:ascii="Times New Roman" w:hAnsi="Times New Roman"/>
          <w:sz w:val="24"/>
          <w:szCs w:val="24"/>
          <w:vertAlign w:val="superscript"/>
        </w:rPr>
        <w:t>3</w:t>
      </w:r>
      <w:r w:rsidR="00B43D1B" w:rsidRPr="009735EB">
        <w:rPr>
          <w:rFonts w:ascii="Times New Roman" w:hAnsi="Times New Roman"/>
          <w:sz w:val="24"/>
          <w:szCs w:val="24"/>
        </w:rPr>
        <w:t>.  Public health data indicate</w:t>
      </w:r>
      <w:r w:rsidR="008059C6" w:rsidRPr="009735EB">
        <w:rPr>
          <w:rFonts w:ascii="Times New Roman" w:hAnsi="Times New Roman"/>
          <w:sz w:val="24"/>
          <w:szCs w:val="24"/>
        </w:rPr>
        <w:t>d that Myton ranked in the top five</w:t>
      </w:r>
      <w:r w:rsidR="00B43D1B" w:rsidRPr="009735EB">
        <w:rPr>
          <w:rFonts w:ascii="Times New Roman" w:hAnsi="Times New Roman"/>
          <w:sz w:val="24"/>
          <w:szCs w:val="24"/>
        </w:rPr>
        <w:t xml:space="preserve"> electoral wards for </w:t>
      </w:r>
      <w:r w:rsidRPr="009735EB">
        <w:rPr>
          <w:rFonts w:ascii="Times New Roman" w:hAnsi="Times New Roman"/>
          <w:sz w:val="24"/>
          <w:szCs w:val="24"/>
        </w:rPr>
        <w:t xml:space="preserve">risk </w:t>
      </w:r>
      <w:r w:rsidR="001518CE" w:rsidRPr="009735EB">
        <w:rPr>
          <w:rFonts w:ascii="Times New Roman" w:hAnsi="Times New Roman"/>
          <w:sz w:val="24"/>
          <w:szCs w:val="24"/>
        </w:rPr>
        <w:t xml:space="preserve">factors associated with </w:t>
      </w:r>
      <w:r w:rsidR="008D4060" w:rsidRPr="009735EB">
        <w:rPr>
          <w:rFonts w:ascii="Times New Roman" w:hAnsi="Times New Roman"/>
          <w:sz w:val="24"/>
          <w:szCs w:val="24"/>
        </w:rPr>
        <w:t>l</w:t>
      </w:r>
      <w:r w:rsidR="001518CE" w:rsidRPr="009735EB">
        <w:rPr>
          <w:rFonts w:ascii="Times New Roman" w:hAnsi="Times New Roman"/>
          <w:sz w:val="24"/>
          <w:szCs w:val="24"/>
        </w:rPr>
        <w:t xml:space="preserve">aryngeal </w:t>
      </w:r>
      <w:r w:rsidR="008D4060" w:rsidRPr="009735EB">
        <w:rPr>
          <w:rFonts w:ascii="Times New Roman" w:hAnsi="Times New Roman"/>
          <w:sz w:val="24"/>
          <w:szCs w:val="24"/>
        </w:rPr>
        <w:t>c</w:t>
      </w:r>
      <w:r w:rsidR="001518CE" w:rsidRPr="009735EB">
        <w:rPr>
          <w:rFonts w:ascii="Times New Roman" w:hAnsi="Times New Roman"/>
          <w:sz w:val="24"/>
          <w:szCs w:val="24"/>
        </w:rPr>
        <w:t xml:space="preserve">ancer to include </w:t>
      </w:r>
      <w:r w:rsidR="00B43D1B" w:rsidRPr="009735EB">
        <w:rPr>
          <w:rFonts w:ascii="Times New Roman" w:hAnsi="Times New Roman"/>
          <w:sz w:val="24"/>
          <w:szCs w:val="24"/>
        </w:rPr>
        <w:t>binge drinking levels, smoking prevalence and social deprivation.</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 xml:space="preserve">A public health campaign targeting specific high-risk electoral wards in </w:t>
      </w:r>
      <w:r w:rsidR="008059C6" w:rsidRPr="009735EB">
        <w:rPr>
          <w:rFonts w:ascii="Times New Roman" w:hAnsi="Times New Roman"/>
          <w:sz w:val="24"/>
          <w:szCs w:val="24"/>
        </w:rPr>
        <w:t xml:space="preserve">the </w:t>
      </w:r>
      <w:r w:rsidRPr="009735EB">
        <w:rPr>
          <w:rFonts w:ascii="Times New Roman" w:hAnsi="Times New Roman"/>
          <w:sz w:val="24"/>
          <w:szCs w:val="24"/>
        </w:rPr>
        <w:t>Hull and Grimsby area</w:t>
      </w:r>
      <w:r w:rsidR="008059C6" w:rsidRPr="009735EB">
        <w:rPr>
          <w:rFonts w:ascii="Times New Roman" w:hAnsi="Times New Roman"/>
          <w:sz w:val="24"/>
          <w:szCs w:val="24"/>
        </w:rPr>
        <w:t>s</w:t>
      </w:r>
      <w:r w:rsidRPr="009735EB">
        <w:rPr>
          <w:rFonts w:ascii="Times New Roman" w:hAnsi="Times New Roman"/>
          <w:sz w:val="24"/>
          <w:szCs w:val="24"/>
        </w:rPr>
        <w:t xml:space="preserve"> was launched in September 2011 and lasted for three months.</w:t>
      </w:r>
      <w:r w:rsidR="008D4060" w:rsidRPr="009735EB">
        <w:rPr>
          <w:rFonts w:ascii="Times New Roman" w:hAnsi="Times New Roman"/>
          <w:sz w:val="24"/>
          <w:szCs w:val="24"/>
        </w:rPr>
        <w:t xml:space="preserve">  </w:t>
      </w:r>
      <w:r w:rsidR="00D94C9D" w:rsidRPr="009735EB">
        <w:rPr>
          <w:rFonts w:ascii="Times New Roman" w:hAnsi="Times New Roman"/>
          <w:sz w:val="24"/>
          <w:szCs w:val="24"/>
        </w:rPr>
        <w:t xml:space="preserve">The campaign used a multi-modal approach to public engagement which included radio, television, internet and poster media coverage.  </w:t>
      </w:r>
      <w:r w:rsidR="00C459AB" w:rsidRPr="009735EB">
        <w:rPr>
          <w:rFonts w:ascii="Times New Roman" w:hAnsi="Times New Roman"/>
          <w:sz w:val="24"/>
          <w:szCs w:val="24"/>
        </w:rPr>
        <w:t>Further d</w:t>
      </w:r>
      <w:r w:rsidR="008D4060" w:rsidRPr="009735EB">
        <w:rPr>
          <w:rFonts w:ascii="Times New Roman" w:hAnsi="Times New Roman"/>
          <w:sz w:val="24"/>
          <w:szCs w:val="24"/>
        </w:rPr>
        <w:t>etails</w:t>
      </w:r>
      <w:r w:rsidR="00C459AB" w:rsidRPr="009735EB">
        <w:rPr>
          <w:rFonts w:ascii="Times New Roman" w:hAnsi="Times New Roman"/>
          <w:sz w:val="24"/>
          <w:szCs w:val="24"/>
        </w:rPr>
        <w:t xml:space="preserve"> of the campaign</w:t>
      </w:r>
      <w:r w:rsidR="008D4060" w:rsidRPr="009735EB">
        <w:rPr>
          <w:rFonts w:ascii="Times New Roman" w:hAnsi="Times New Roman"/>
          <w:sz w:val="24"/>
          <w:szCs w:val="24"/>
        </w:rPr>
        <w:t xml:space="preserve"> can be found at </w:t>
      </w:r>
      <w:hyperlink r:id="rId6" w:history="1">
        <w:r w:rsidR="00C459AB" w:rsidRPr="009735EB">
          <w:rPr>
            <w:rStyle w:val="Hyperlink"/>
            <w:rFonts w:ascii="Times New Roman" w:hAnsi="Times New Roman"/>
            <w:sz w:val="24"/>
            <w:szCs w:val="24"/>
          </w:rPr>
          <w:t>www.getitchecked.co.uk</w:t>
        </w:r>
      </w:hyperlink>
      <w:r w:rsidR="00526C5D" w:rsidRPr="009735EB">
        <w:rPr>
          <w:rStyle w:val="Hyperlink"/>
          <w:rFonts w:ascii="Times New Roman" w:hAnsi="Times New Roman"/>
          <w:sz w:val="24"/>
          <w:szCs w:val="24"/>
          <w:vertAlign w:val="superscript"/>
        </w:rPr>
        <w:t>4</w:t>
      </w:r>
      <w:r w:rsidR="008D4060" w:rsidRPr="009735EB">
        <w:rPr>
          <w:rFonts w:ascii="Times New Roman" w:hAnsi="Times New Roman"/>
          <w:sz w:val="24"/>
          <w:szCs w:val="24"/>
        </w:rPr>
        <w:t>.</w:t>
      </w:r>
      <w:r w:rsidR="00C459AB" w:rsidRPr="009735EB">
        <w:rPr>
          <w:rFonts w:ascii="Times New Roman" w:hAnsi="Times New Roman"/>
          <w:sz w:val="24"/>
          <w:szCs w:val="24"/>
        </w:rPr>
        <w:t xml:space="preserve"> </w:t>
      </w:r>
      <w:r w:rsidRPr="009735EB">
        <w:rPr>
          <w:rFonts w:ascii="Times New Roman" w:hAnsi="Times New Roman"/>
          <w:sz w:val="24"/>
          <w:szCs w:val="24"/>
        </w:rPr>
        <w:t xml:space="preserve"> It was considered that </w:t>
      </w:r>
      <w:r w:rsidR="001518CE" w:rsidRPr="009735EB">
        <w:rPr>
          <w:rFonts w:ascii="Times New Roman" w:hAnsi="Times New Roman"/>
          <w:sz w:val="24"/>
          <w:szCs w:val="24"/>
        </w:rPr>
        <w:t>th</w:t>
      </w:r>
      <w:r w:rsidR="00C459AB" w:rsidRPr="009735EB">
        <w:rPr>
          <w:rFonts w:ascii="Times New Roman" w:hAnsi="Times New Roman"/>
          <w:sz w:val="24"/>
          <w:szCs w:val="24"/>
        </w:rPr>
        <w:t>e</w:t>
      </w:r>
      <w:r w:rsidR="001518CE" w:rsidRPr="009735EB">
        <w:rPr>
          <w:rFonts w:ascii="Times New Roman" w:hAnsi="Times New Roman"/>
          <w:sz w:val="24"/>
          <w:szCs w:val="24"/>
        </w:rPr>
        <w:t xml:space="preserve"> </w:t>
      </w:r>
      <w:r w:rsidRPr="009735EB">
        <w:rPr>
          <w:rFonts w:ascii="Times New Roman" w:hAnsi="Times New Roman"/>
          <w:sz w:val="24"/>
          <w:szCs w:val="24"/>
        </w:rPr>
        <w:t>public health</w:t>
      </w:r>
      <w:r w:rsidR="001518CE" w:rsidRPr="009735EB">
        <w:rPr>
          <w:rFonts w:ascii="Times New Roman" w:hAnsi="Times New Roman"/>
          <w:sz w:val="24"/>
          <w:szCs w:val="24"/>
        </w:rPr>
        <w:t xml:space="preserve"> campaign would</w:t>
      </w:r>
      <w:r w:rsidRPr="009735EB">
        <w:rPr>
          <w:rFonts w:ascii="Times New Roman" w:hAnsi="Times New Roman"/>
          <w:sz w:val="24"/>
          <w:szCs w:val="24"/>
        </w:rPr>
        <w:t xml:space="preserve"> </w:t>
      </w:r>
      <w:r w:rsidR="00666259" w:rsidRPr="009735EB">
        <w:rPr>
          <w:rFonts w:ascii="Times New Roman" w:hAnsi="Times New Roman"/>
          <w:sz w:val="24"/>
          <w:szCs w:val="24"/>
        </w:rPr>
        <w:t>improve knowledge, health-seeking behaviour and</w:t>
      </w:r>
      <w:r w:rsidRPr="009735EB">
        <w:rPr>
          <w:rFonts w:ascii="Times New Roman" w:hAnsi="Times New Roman"/>
          <w:sz w:val="24"/>
          <w:szCs w:val="24"/>
        </w:rPr>
        <w:t xml:space="preserve"> prompt earlier presentation and diagnosis of laryngeal cancer</w:t>
      </w:r>
      <w:r w:rsidR="001518CE" w:rsidRPr="009735EB">
        <w:rPr>
          <w:rFonts w:ascii="Times New Roman" w:hAnsi="Times New Roman"/>
          <w:sz w:val="24"/>
          <w:szCs w:val="24"/>
        </w:rPr>
        <w:t xml:space="preserve"> thus improving survival outcomes</w:t>
      </w:r>
      <w:r w:rsidRPr="009735EB">
        <w:rPr>
          <w:rFonts w:ascii="Times New Roman" w:hAnsi="Times New Roman"/>
          <w:sz w:val="24"/>
          <w:szCs w:val="24"/>
        </w:rPr>
        <w:t xml:space="preserve">.  </w:t>
      </w:r>
      <w:r w:rsidR="00D94C9D" w:rsidRPr="009735EB">
        <w:rPr>
          <w:rFonts w:ascii="Times New Roman" w:hAnsi="Times New Roman"/>
          <w:sz w:val="24"/>
          <w:szCs w:val="24"/>
        </w:rPr>
        <w:t xml:space="preserve">Existing </w:t>
      </w:r>
      <w:r w:rsidR="00215A15" w:rsidRPr="009735EB">
        <w:rPr>
          <w:rFonts w:ascii="Times New Roman" w:hAnsi="Times New Roman"/>
          <w:sz w:val="24"/>
          <w:szCs w:val="24"/>
        </w:rPr>
        <w:t xml:space="preserve">publicised </w:t>
      </w:r>
      <w:r w:rsidR="00D94C9D" w:rsidRPr="009735EB">
        <w:rPr>
          <w:rFonts w:ascii="Times New Roman" w:hAnsi="Times New Roman"/>
          <w:sz w:val="24"/>
          <w:szCs w:val="24"/>
        </w:rPr>
        <w:t>analysis upon the effectiveness of the campaign (cancer awareness measure and recall) has shown a limited effect</w:t>
      </w:r>
      <w:r w:rsidR="00D94C9D" w:rsidRPr="009735EB">
        <w:rPr>
          <w:rFonts w:ascii="Times New Roman" w:hAnsi="Times New Roman"/>
          <w:sz w:val="24"/>
          <w:szCs w:val="24"/>
          <w:vertAlign w:val="superscript"/>
        </w:rPr>
        <w:t>3</w:t>
      </w:r>
      <w:r w:rsidR="00D94C9D" w:rsidRPr="009735EB">
        <w:rPr>
          <w:rFonts w:ascii="Times New Roman" w:hAnsi="Times New Roman"/>
          <w:sz w:val="24"/>
          <w:szCs w:val="24"/>
        </w:rPr>
        <w:t xml:space="preserve">.  </w:t>
      </w:r>
      <w:r w:rsidRPr="009735EB">
        <w:rPr>
          <w:rFonts w:ascii="Times New Roman" w:hAnsi="Times New Roman"/>
          <w:sz w:val="24"/>
          <w:szCs w:val="24"/>
        </w:rPr>
        <w:t xml:space="preserve">This study </w:t>
      </w:r>
      <w:r w:rsidR="00D94C9D" w:rsidRPr="009735EB">
        <w:rPr>
          <w:rFonts w:ascii="Times New Roman" w:hAnsi="Times New Roman"/>
          <w:sz w:val="24"/>
          <w:szCs w:val="24"/>
        </w:rPr>
        <w:t xml:space="preserve">specifically </w:t>
      </w:r>
      <w:r w:rsidRPr="009735EB">
        <w:rPr>
          <w:rFonts w:ascii="Times New Roman" w:hAnsi="Times New Roman"/>
          <w:sz w:val="24"/>
          <w:szCs w:val="24"/>
        </w:rPr>
        <w:t xml:space="preserve">assesses the </w:t>
      </w:r>
      <w:r w:rsidR="00D109B9" w:rsidRPr="009735EB">
        <w:rPr>
          <w:rFonts w:ascii="Times New Roman" w:hAnsi="Times New Roman"/>
          <w:sz w:val="24"/>
          <w:szCs w:val="24"/>
        </w:rPr>
        <w:t xml:space="preserve">early </w:t>
      </w:r>
      <w:r w:rsidRPr="009735EB">
        <w:rPr>
          <w:rFonts w:ascii="Times New Roman" w:hAnsi="Times New Roman"/>
          <w:sz w:val="24"/>
          <w:szCs w:val="24"/>
        </w:rPr>
        <w:t xml:space="preserve">impact of the public health campaign upon the stage of presentation of laryngeal cancer in HYCCN after September 2011 to present date. </w:t>
      </w:r>
    </w:p>
    <w:p w:rsidR="00B43D1B" w:rsidRPr="009735EB" w:rsidRDefault="00B43D1B" w:rsidP="00B43D1B">
      <w:pPr>
        <w:spacing w:line="480" w:lineRule="auto"/>
        <w:rPr>
          <w:rFonts w:ascii="Times New Roman" w:hAnsi="Times New Roman"/>
          <w:b/>
          <w:sz w:val="24"/>
          <w:szCs w:val="24"/>
        </w:rPr>
      </w:pPr>
    </w:p>
    <w:p w:rsidR="00B43D1B" w:rsidRPr="009735EB" w:rsidRDefault="00B43D1B" w:rsidP="00B43D1B">
      <w:pPr>
        <w:spacing w:line="480" w:lineRule="auto"/>
        <w:rPr>
          <w:rFonts w:ascii="Times New Roman" w:hAnsi="Times New Roman"/>
          <w:b/>
          <w:sz w:val="24"/>
          <w:szCs w:val="24"/>
        </w:rPr>
      </w:pPr>
      <w:r w:rsidRPr="009735EB">
        <w:rPr>
          <w:rFonts w:ascii="Times New Roman" w:hAnsi="Times New Roman"/>
          <w:b/>
          <w:sz w:val="24"/>
          <w:szCs w:val="24"/>
        </w:rPr>
        <w:t xml:space="preserve">Materials and Methods    </w:t>
      </w:r>
    </w:p>
    <w:p w:rsidR="008D4060" w:rsidRPr="009735EB" w:rsidRDefault="008D4060" w:rsidP="00B43D1B">
      <w:pPr>
        <w:spacing w:line="480" w:lineRule="auto"/>
        <w:rPr>
          <w:rFonts w:ascii="Times New Roman" w:hAnsi="Times New Roman"/>
          <w:sz w:val="24"/>
          <w:szCs w:val="24"/>
        </w:rPr>
      </w:pPr>
    </w:p>
    <w:p w:rsidR="00663AB5" w:rsidRPr="009735EB" w:rsidRDefault="00663AB5" w:rsidP="00B43D1B">
      <w:pPr>
        <w:spacing w:line="480" w:lineRule="auto"/>
        <w:rPr>
          <w:rFonts w:ascii="Times New Roman" w:hAnsi="Times New Roman"/>
          <w:i/>
          <w:sz w:val="24"/>
          <w:szCs w:val="24"/>
        </w:rPr>
      </w:pPr>
      <w:r w:rsidRPr="009735EB">
        <w:rPr>
          <w:rFonts w:ascii="Times New Roman" w:hAnsi="Times New Roman"/>
          <w:i/>
          <w:sz w:val="24"/>
          <w:szCs w:val="24"/>
        </w:rPr>
        <w:t>Data collection</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Details of patients presenting with laryngeal carcinoma within the HYCCN were obtained from the regional cancer database and DAHNO (Data for Head and Neck Oncologists) registry for the dates inclusive of January 2009 to July 2014 (67 months total).  This included the dates of the public health campaign which was cond</w:t>
      </w:r>
      <w:r w:rsidR="008059C6" w:rsidRPr="009735EB">
        <w:rPr>
          <w:rFonts w:ascii="Times New Roman" w:hAnsi="Times New Roman"/>
          <w:sz w:val="24"/>
          <w:szCs w:val="24"/>
        </w:rPr>
        <w:t>ucted from September 2011 for three</w:t>
      </w:r>
      <w:r w:rsidRPr="009735EB">
        <w:rPr>
          <w:rFonts w:ascii="Times New Roman" w:hAnsi="Times New Roman"/>
          <w:sz w:val="24"/>
          <w:szCs w:val="24"/>
        </w:rPr>
        <w:t xml:space="preserve"> months.  </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Stage of laryngeal cancer presentation was dichotomised into either, early (T1 and T2) or late (T3 and T4) disease.  Staging of laryngeal cancer followed the standardised consensus technique for Head and Neck S</w:t>
      </w:r>
      <w:r w:rsidR="00AE766B" w:rsidRPr="009735EB">
        <w:rPr>
          <w:rFonts w:ascii="Times New Roman" w:hAnsi="Times New Roman"/>
          <w:sz w:val="24"/>
          <w:szCs w:val="24"/>
        </w:rPr>
        <w:t xml:space="preserve">quamous </w:t>
      </w:r>
      <w:r w:rsidRPr="009735EB">
        <w:rPr>
          <w:rFonts w:ascii="Times New Roman" w:hAnsi="Times New Roman"/>
          <w:sz w:val="24"/>
          <w:szCs w:val="24"/>
        </w:rPr>
        <w:t>C</w:t>
      </w:r>
      <w:r w:rsidR="00AE766B" w:rsidRPr="009735EB">
        <w:rPr>
          <w:rFonts w:ascii="Times New Roman" w:hAnsi="Times New Roman"/>
          <w:sz w:val="24"/>
          <w:szCs w:val="24"/>
        </w:rPr>
        <w:t xml:space="preserve">ell </w:t>
      </w:r>
      <w:r w:rsidRPr="009735EB">
        <w:rPr>
          <w:rFonts w:ascii="Times New Roman" w:hAnsi="Times New Roman"/>
          <w:sz w:val="24"/>
          <w:szCs w:val="24"/>
        </w:rPr>
        <w:t>C</w:t>
      </w:r>
      <w:r w:rsidR="00AE766B" w:rsidRPr="009735EB">
        <w:rPr>
          <w:rFonts w:ascii="Times New Roman" w:hAnsi="Times New Roman"/>
          <w:sz w:val="24"/>
          <w:szCs w:val="24"/>
        </w:rPr>
        <w:t>arcinoma</w:t>
      </w:r>
      <w:r w:rsidR="00526C5D" w:rsidRPr="009735EB">
        <w:rPr>
          <w:rFonts w:ascii="Times New Roman" w:hAnsi="Times New Roman"/>
          <w:sz w:val="24"/>
          <w:szCs w:val="24"/>
          <w:vertAlign w:val="superscript"/>
        </w:rPr>
        <w:t>5</w:t>
      </w:r>
      <w:r w:rsidRPr="009735EB">
        <w:rPr>
          <w:rFonts w:ascii="Times New Roman" w:hAnsi="Times New Roman"/>
          <w:sz w:val="24"/>
          <w:szCs w:val="24"/>
        </w:rPr>
        <w:t xml:space="preserve">.  Trends related to stage of presentation were evaluated, particularly in relation to the public health campaign.  The findings were statistically analysed using segmented regression analysis of interrupted time series.  </w:t>
      </w:r>
    </w:p>
    <w:p w:rsidR="00B43D1B" w:rsidRPr="009735EB" w:rsidRDefault="00B43D1B" w:rsidP="00B43D1B">
      <w:pPr>
        <w:autoSpaceDE w:val="0"/>
        <w:autoSpaceDN w:val="0"/>
        <w:adjustRightInd w:val="0"/>
        <w:spacing w:after="0" w:line="480" w:lineRule="auto"/>
        <w:rPr>
          <w:rFonts w:ascii="Times New Roman" w:hAnsi="Times New Roman"/>
          <w:sz w:val="24"/>
          <w:szCs w:val="24"/>
        </w:rPr>
      </w:pPr>
    </w:p>
    <w:p w:rsidR="00684744" w:rsidRPr="009735EB" w:rsidRDefault="00684744" w:rsidP="00B43D1B">
      <w:pPr>
        <w:autoSpaceDE w:val="0"/>
        <w:autoSpaceDN w:val="0"/>
        <w:adjustRightInd w:val="0"/>
        <w:spacing w:after="0" w:line="480" w:lineRule="auto"/>
        <w:rPr>
          <w:rFonts w:ascii="Times New Roman" w:hAnsi="Times New Roman"/>
          <w:i/>
          <w:sz w:val="24"/>
          <w:szCs w:val="24"/>
        </w:rPr>
      </w:pPr>
      <w:r w:rsidRPr="009735EB">
        <w:rPr>
          <w:rFonts w:ascii="Times New Roman" w:hAnsi="Times New Roman"/>
          <w:i/>
          <w:sz w:val="24"/>
          <w:szCs w:val="24"/>
        </w:rPr>
        <w:t>Statistical</w:t>
      </w:r>
      <w:r w:rsidR="00B43D1B" w:rsidRPr="009735EB">
        <w:rPr>
          <w:rFonts w:ascii="Times New Roman" w:hAnsi="Times New Roman"/>
          <w:i/>
          <w:sz w:val="24"/>
          <w:szCs w:val="24"/>
        </w:rPr>
        <w:t xml:space="preserve"> analysis </w:t>
      </w:r>
    </w:p>
    <w:p w:rsidR="00B43D1B" w:rsidRPr="009735EB" w:rsidRDefault="00B43D1B" w:rsidP="00B43D1B">
      <w:pPr>
        <w:autoSpaceDE w:val="0"/>
        <w:autoSpaceDN w:val="0"/>
        <w:adjustRightInd w:val="0"/>
        <w:spacing w:after="0" w:line="480" w:lineRule="auto"/>
        <w:rPr>
          <w:rFonts w:ascii="Times New Roman" w:hAnsi="Times New Roman"/>
          <w:i/>
          <w:sz w:val="24"/>
          <w:szCs w:val="24"/>
        </w:rPr>
      </w:pPr>
    </w:p>
    <w:p w:rsidR="00B43D1B" w:rsidRPr="009735EB" w:rsidRDefault="00B43D1B" w:rsidP="00B43D1B">
      <w:pPr>
        <w:autoSpaceDE w:val="0"/>
        <w:autoSpaceDN w:val="0"/>
        <w:adjustRightInd w:val="0"/>
        <w:spacing w:after="0" w:line="480" w:lineRule="auto"/>
        <w:rPr>
          <w:rFonts w:ascii="Times New Roman" w:hAnsi="Times New Roman"/>
          <w:sz w:val="24"/>
          <w:szCs w:val="24"/>
        </w:rPr>
      </w:pPr>
      <w:r w:rsidRPr="009735EB">
        <w:rPr>
          <w:rFonts w:ascii="Times New Roman" w:hAnsi="Times New Roman"/>
          <w:sz w:val="24"/>
          <w:szCs w:val="24"/>
        </w:rPr>
        <w:t>Segmented regression analysis of interrupted time series data allows assessment, in statistical terms, of how much an intervention changed an outcome of interest, immediately and over time</w:t>
      </w:r>
      <w:r w:rsidR="00526C5D" w:rsidRPr="009735EB">
        <w:rPr>
          <w:rFonts w:ascii="Times New Roman" w:hAnsi="Times New Roman"/>
          <w:sz w:val="24"/>
          <w:szCs w:val="24"/>
        </w:rPr>
        <w:t xml:space="preserve"> (Figure 1)</w:t>
      </w:r>
      <w:r w:rsidRPr="009735EB">
        <w:rPr>
          <w:rFonts w:ascii="Times New Roman" w:hAnsi="Times New Roman"/>
          <w:sz w:val="24"/>
          <w:szCs w:val="24"/>
        </w:rPr>
        <w:t xml:space="preserve">. </w:t>
      </w:r>
    </w:p>
    <w:p w:rsidR="00160283" w:rsidRPr="009735EB" w:rsidRDefault="00160283" w:rsidP="00B43D1B">
      <w:pPr>
        <w:autoSpaceDE w:val="0"/>
        <w:autoSpaceDN w:val="0"/>
        <w:adjustRightInd w:val="0"/>
        <w:spacing w:after="0"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To assess the fit of the final model, we examined residuals around the predicted regression lines.  The partial autocorrelation function (PACF) and autocorrelation function (ACF) residual plots were examined.  The Durbin-Watson statistic is used to assess remaining auto-correlation. The Durbin–Watson statistic, reported by most least squares regression programs, tests for serial autocorrelation of the error terms in the regression model. Values close to 2 indicate no serious autocorrelation.</w:t>
      </w:r>
      <w:r w:rsidR="00684744" w:rsidRPr="009735EB">
        <w:rPr>
          <w:rFonts w:ascii="Times New Roman" w:hAnsi="Times New Roman"/>
          <w:sz w:val="24"/>
          <w:szCs w:val="24"/>
        </w:rPr>
        <w:t xml:space="preserve">  </w:t>
      </w:r>
      <w:r w:rsidRPr="009735EB">
        <w:rPr>
          <w:rFonts w:ascii="Times New Roman" w:hAnsi="Times New Roman"/>
          <w:sz w:val="24"/>
          <w:szCs w:val="24"/>
        </w:rPr>
        <w:t>Statistical significance was set at (p &lt; 0.05).</w:t>
      </w:r>
    </w:p>
    <w:p w:rsidR="005555A3" w:rsidRPr="009735EB" w:rsidRDefault="005555A3" w:rsidP="005555A3">
      <w:pPr>
        <w:spacing w:line="480" w:lineRule="auto"/>
        <w:rPr>
          <w:rFonts w:ascii="Times New Roman" w:hAnsi="Times New Roman"/>
          <w:i/>
          <w:sz w:val="24"/>
          <w:szCs w:val="24"/>
        </w:rPr>
      </w:pPr>
    </w:p>
    <w:p w:rsidR="005D2A66" w:rsidRPr="009735EB" w:rsidRDefault="005D2A66" w:rsidP="005D2A66">
      <w:pPr>
        <w:spacing w:line="480" w:lineRule="auto"/>
        <w:rPr>
          <w:rFonts w:ascii="Times New Roman" w:hAnsi="Times New Roman"/>
          <w:i/>
          <w:sz w:val="24"/>
          <w:szCs w:val="24"/>
        </w:rPr>
      </w:pPr>
      <w:r w:rsidRPr="009735EB">
        <w:rPr>
          <w:rFonts w:ascii="Times New Roman" w:hAnsi="Times New Roman"/>
          <w:i/>
          <w:sz w:val="24"/>
          <w:szCs w:val="24"/>
        </w:rPr>
        <w:t>Ethical considerations</w:t>
      </w:r>
    </w:p>
    <w:p w:rsidR="005D2A66" w:rsidRPr="009735EB" w:rsidRDefault="005D2A66" w:rsidP="005D2A66">
      <w:pPr>
        <w:spacing w:line="480" w:lineRule="auto"/>
        <w:rPr>
          <w:rFonts w:ascii="Times New Roman" w:hAnsi="Times New Roman"/>
          <w:sz w:val="24"/>
          <w:szCs w:val="24"/>
        </w:rPr>
      </w:pPr>
      <w:r w:rsidRPr="009735EB">
        <w:rPr>
          <w:rFonts w:ascii="Times New Roman" w:hAnsi="Times New Roman"/>
          <w:sz w:val="24"/>
          <w:szCs w:val="24"/>
        </w:rPr>
        <w:t xml:space="preserve">The public health campaign was registered with the Hull and East Yorkshire Research and Development committee.  </w:t>
      </w: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b/>
          <w:sz w:val="24"/>
          <w:szCs w:val="24"/>
        </w:rPr>
      </w:pPr>
    </w:p>
    <w:p w:rsidR="00B43D1B" w:rsidRPr="009735EB" w:rsidRDefault="00B43D1B" w:rsidP="00B43D1B">
      <w:pPr>
        <w:spacing w:line="480" w:lineRule="auto"/>
        <w:rPr>
          <w:rFonts w:ascii="Times New Roman" w:hAnsi="Times New Roman"/>
          <w:b/>
          <w:sz w:val="24"/>
          <w:szCs w:val="24"/>
        </w:rPr>
      </w:pPr>
    </w:p>
    <w:p w:rsidR="00B43D1B" w:rsidRPr="009735EB" w:rsidRDefault="00B43D1B" w:rsidP="00B43D1B">
      <w:pPr>
        <w:spacing w:line="480" w:lineRule="auto"/>
        <w:rPr>
          <w:rFonts w:ascii="Times New Roman" w:hAnsi="Times New Roman"/>
          <w:b/>
          <w:sz w:val="24"/>
          <w:szCs w:val="24"/>
        </w:rPr>
      </w:pPr>
    </w:p>
    <w:p w:rsidR="00B43D1B" w:rsidRPr="009735EB" w:rsidRDefault="00B43D1B" w:rsidP="00B43D1B">
      <w:pPr>
        <w:spacing w:line="480" w:lineRule="auto"/>
        <w:rPr>
          <w:rFonts w:ascii="Times New Roman" w:hAnsi="Times New Roman"/>
          <w:b/>
          <w:sz w:val="24"/>
          <w:szCs w:val="24"/>
        </w:rPr>
      </w:pPr>
    </w:p>
    <w:p w:rsidR="00B43D1B" w:rsidRPr="009735EB" w:rsidRDefault="00B43D1B" w:rsidP="00B43D1B">
      <w:pPr>
        <w:spacing w:line="480" w:lineRule="auto"/>
        <w:rPr>
          <w:rFonts w:ascii="Times New Roman" w:hAnsi="Times New Roman"/>
          <w:b/>
          <w:sz w:val="24"/>
          <w:szCs w:val="24"/>
        </w:rPr>
      </w:pPr>
    </w:p>
    <w:p w:rsidR="00B43D1B" w:rsidRPr="009735EB" w:rsidRDefault="00B43D1B" w:rsidP="00B43D1B">
      <w:pPr>
        <w:spacing w:line="480" w:lineRule="auto"/>
        <w:rPr>
          <w:rFonts w:ascii="Times New Roman" w:hAnsi="Times New Roman"/>
          <w:b/>
          <w:sz w:val="24"/>
          <w:szCs w:val="24"/>
        </w:rPr>
      </w:pPr>
    </w:p>
    <w:p w:rsidR="00C54202" w:rsidRPr="009735EB" w:rsidRDefault="00C54202" w:rsidP="00B43D1B">
      <w:pPr>
        <w:spacing w:after="0" w:line="480" w:lineRule="auto"/>
        <w:rPr>
          <w:rFonts w:ascii="Times New Roman" w:hAnsi="Times New Roman"/>
          <w:b/>
          <w:sz w:val="24"/>
          <w:szCs w:val="24"/>
        </w:rPr>
      </w:pPr>
    </w:p>
    <w:p w:rsidR="00C54202" w:rsidRPr="009735EB" w:rsidRDefault="00C54202" w:rsidP="00B43D1B">
      <w:pPr>
        <w:spacing w:after="0" w:line="480" w:lineRule="auto"/>
        <w:rPr>
          <w:rFonts w:ascii="Times New Roman" w:hAnsi="Times New Roman"/>
          <w:b/>
          <w:sz w:val="24"/>
          <w:szCs w:val="24"/>
        </w:rPr>
      </w:pPr>
    </w:p>
    <w:p w:rsidR="00160283" w:rsidRPr="009735EB" w:rsidRDefault="00160283" w:rsidP="00B43D1B">
      <w:pPr>
        <w:spacing w:after="0" w:line="480" w:lineRule="auto"/>
        <w:rPr>
          <w:rFonts w:ascii="Times New Roman" w:hAnsi="Times New Roman"/>
          <w:b/>
          <w:sz w:val="24"/>
          <w:szCs w:val="24"/>
        </w:rPr>
      </w:pPr>
    </w:p>
    <w:p w:rsidR="00160283" w:rsidRPr="009735EB" w:rsidRDefault="00160283" w:rsidP="00B43D1B">
      <w:pPr>
        <w:spacing w:after="0" w:line="480" w:lineRule="auto"/>
        <w:rPr>
          <w:rFonts w:ascii="Times New Roman" w:hAnsi="Times New Roman"/>
          <w:b/>
          <w:sz w:val="24"/>
          <w:szCs w:val="24"/>
        </w:rPr>
      </w:pPr>
    </w:p>
    <w:p w:rsidR="00160283" w:rsidRPr="009735EB" w:rsidRDefault="00160283" w:rsidP="00B43D1B">
      <w:pPr>
        <w:spacing w:after="0" w:line="480" w:lineRule="auto"/>
        <w:rPr>
          <w:rFonts w:ascii="Times New Roman" w:hAnsi="Times New Roman"/>
          <w:b/>
          <w:sz w:val="24"/>
          <w:szCs w:val="24"/>
        </w:rPr>
      </w:pPr>
    </w:p>
    <w:p w:rsidR="00160283" w:rsidRPr="009735EB" w:rsidRDefault="00160283" w:rsidP="00B43D1B">
      <w:pPr>
        <w:spacing w:after="0" w:line="480" w:lineRule="auto"/>
        <w:rPr>
          <w:rFonts w:ascii="Times New Roman" w:hAnsi="Times New Roman"/>
          <w:b/>
          <w:sz w:val="24"/>
          <w:szCs w:val="24"/>
        </w:rPr>
      </w:pPr>
    </w:p>
    <w:p w:rsidR="00B43D1B" w:rsidRPr="009735EB" w:rsidRDefault="00B43D1B" w:rsidP="00B43D1B">
      <w:pPr>
        <w:spacing w:after="0" w:line="480" w:lineRule="auto"/>
        <w:rPr>
          <w:rFonts w:ascii="Times New Roman" w:hAnsi="Times New Roman"/>
          <w:b/>
          <w:sz w:val="24"/>
          <w:szCs w:val="24"/>
        </w:rPr>
      </w:pPr>
      <w:r w:rsidRPr="009735EB">
        <w:rPr>
          <w:rFonts w:ascii="Times New Roman" w:hAnsi="Times New Roman"/>
          <w:b/>
          <w:sz w:val="24"/>
          <w:szCs w:val="24"/>
        </w:rPr>
        <w:t>Results</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A total 198 laryngeal cancers were diagnosed in the HYCCN during the study period (January 2009 to July 2014).  Prior to the public health campaign, 114 laryngeal cancers were diagnosed whereas 84 laryngeal cancers were diagnosed following (and inclusive) of the campaign.   The number of early (T1-T2) laryngeal cancers diagnosed totalled 46 pre-campaign, and 46 post-campaign.  For late (T3-T4) laryngeal cancers, there were a total of 68 and 38 diagnosed pre- and post-campaign respectively.</w:t>
      </w:r>
    </w:p>
    <w:p w:rsidR="00B43D1B" w:rsidRPr="009735EB" w:rsidRDefault="00B43D1B" w:rsidP="00B43D1B">
      <w:pPr>
        <w:spacing w:line="480" w:lineRule="auto"/>
        <w:rPr>
          <w:rFonts w:ascii="Times New Roman" w:hAnsi="Times New Roman"/>
          <w:b/>
          <w:sz w:val="24"/>
          <w:szCs w:val="24"/>
        </w:rPr>
      </w:pPr>
    </w:p>
    <w:p w:rsidR="00B43D1B" w:rsidRPr="009735EB" w:rsidRDefault="00B43D1B" w:rsidP="00B43D1B">
      <w:pPr>
        <w:spacing w:line="480" w:lineRule="auto"/>
        <w:rPr>
          <w:rFonts w:ascii="Times New Roman" w:hAnsi="Times New Roman"/>
          <w:i/>
          <w:sz w:val="24"/>
          <w:szCs w:val="24"/>
        </w:rPr>
      </w:pPr>
      <w:r w:rsidRPr="009735EB">
        <w:rPr>
          <w:rFonts w:ascii="Times New Roman" w:hAnsi="Times New Roman"/>
          <w:i/>
          <w:sz w:val="24"/>
          <w:szCs w:val="24"/>
        </w:rPr>
        <w:t>Early (T1-T2) laryngeal cancer</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 xml:space="preserve">Findings from the regression analysis for early stage (T1-T2) patients can be found in Table 1 and Figure </w:t>
      </w:r>
      <w:r w:rsidR="00160283" w:rsidRPr="009735EB">
        <w:rPr>
          <w:rFonts w:ascii="Times New Roman" w:hAnsi="Times New Roman"/>
          <w:sz w:val="24"/>
          <w:szCs w:val="24"/>
        </w:rPr>
        <w:t>2</w:t>
      </w:r>
      <w:r w:rsidRPr="009735EB">
        <w:rPr>
          <w:rFonts w:ascii="Times New Roman" w:hAnsi="Times New Roman"/>
          <w:sz w:val="24"/>
          <w:szCs w:val="24"/>
        </w:rPr>
        <w:t>.  Prior to the intervention there was an annual rise of 0.039 in the number of cases, but this was not statistically significant (p=0.115). There was no statistically significant change in the number of cases immedi</w:t>
      </w:r>
      <w:r w:rsidR="008059C6" w:rsidRPr="009735EB">
        <w:rPr>
          <w:rFonts w:ascii="Times New Roman" w:hAnsi="Times New Roman"/>
          <w:sz w:val="24"/>
          <w:szCs w:val="24"/>
        </w:rPr>
        <w:t>ately after the intervention (p=</w:t>
      </w:r>
      <w:r w:rsidRPr="009735EB">
        <w:rPr>
          <w:rFonts w:ascii="Times New Roman" w:hAnsi="Times New Roman"/>
          <w:sz w:val="24"/>
          <w:szCs w:val="24"/>
        </w:rPr>
        <w:t xml:space="preserve">0.191). </w:t>
      </w:r>
    </w:p>
    <w:p w:rsidR="00057E15" w:rsidRPr="009735EB" w:rsidRDefault="00057E15" w:rsidP="00057E15">
      <w:pPr>
        <w:autoSpaceDE w:val="0"/>
        <w:autoSpaceDN w:val="0"/>
        <w:adjustRightInd w:val="0"/>
        <w:spacing w:after="0" w:line="480" w:lineRule="auto"/>
        <w:ind w:right="60"/>
        <w:rPr>
          <w:rFonts w:ascii="Times New Roman" w:hAnsi="Times New Roman"/>
          <w:sz w:val="24"/>
          <w:szCs w:val="24"/>
        </w:rPr>
      </w:pPr>
      <w:r w:rsidRPr="009735EB">
        <w:rPr>
          <w:rFonts w:ascii="Times New Roman" w:hAnsi="Times New Roman"/>
          <w:sz w:val="24"/>
          <w:szCs w:val="24"/>
        </w:rPr>
        <w:t xml:space="preserve">Following the intervention there was a rise of 0.013 (0.039-0.026) in the number of rate of cases per month. These trends were not statistically significant (p=0.443). </w:t>
      </w:r>
    </w:p>
    <w:p w:rsidR="00057E15" w:rsidRPr="009735EB" w:rsidRDefault="00057E15" w:rsidP="00057E15">
      <w:pPr>
        <w:autoSpaceDE w:val="0"/>
        <w:autoSpaceDN w:val="0"/>
        <w:adjustRightInd w:val="0"/>
        <w:spacing w:after="0" w:line="480" w:lineRule="auto"/>
        <w:ind w:right="60"/>
        <w:rPr>
          <w:rFonts w:ascii="Times New Roman" w:hAnsi="Times New Roman"/>
          <w:sz w:val="24"/>
          <w:szCs w:val="24"/>
        </w:rPr>
      </w:pP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32"/>
      </w:tblGrid>
      <w:tr w:rsidR="00B43D1B" w:rsidRPr="009735EB" w:rsidTr="00694B07">
        <w:trPr>
          <w:cantSplit/>
        </w:trPr>
        <w:tc>
          <w:tcPr>
            <w:tcW w:w="8132" w:type="dxa"/>
            <w:tcBorders>
              <w:top w:val="nil"/>
              <w:left w:val="nil"/>
              <w:bottom w:val="nil"/>
              <w:right w:val="nil"/>
            </w:tcBorders>
            <w:shd w:val="clear" w:color="auto" w:fill="FFFFFF"/>
            <w:vAlign w:val="center"/>
          </w:tcPr>
          <w:p w:rsidR="00B43D1B" w:rsidRPr="009735EB" w:rsidRDefault="00B43D1B" w:rsidP="00057E15">
            <w:pPr>
              <w:autoSpaceDE w:val="0"/>
              <w:autoSpaceDN w:val="0"/>
              <w:adjustRightInd w:val="0"/>
              <w:spacing w:after="0" w:line="480" w:lineRule="auto"/>
              <w:ind w:right="60"/>
              <w:rPr>
                <w:rFonts w:ascii="Times New Roman" w:hAnsi="Times New Roman"/>
                <w:color w:val="000000"/>
                <w:sz w:val="24"/>
                <w:szCs w:val="24"/>
              </w:rPr>
            </w:pPr>
          </w:p>
        </w:tc>
      </w:tr>
    </w:tbl>
    <w:p w:rsidR="00B43D1B" w:rsidRPr="009735EB" w:rsidRDefault="00B43D1B" w:rsidP="00B43D1B">
      <w:pPr>
        <w:spacing w:line="480" w:lineRule="auto"/>
        <w:rPr>
          <w:rFonts w:ascii="Times New Roman" w:hAnsi="Times New Roman"/>
          <w:i/>
          <w:sz w:val="24"/>
          <w:szCs w:val="24"/>
        </w:rPr>
      </w:pPr>
      <w:r w:rsidRPr="009735EB">
        <w:rPr>
          <w:rFonts w:ascii="Times New Roman" w:hAnsi="Times New Roman"/>
          <w:i/>
          <w:sz w:val="24"/>
          <w:szCs w:val="24"/>
        </w:rPr>
        <w:t xml:space="preserve">Late </w:t>
      </w:r>
      <w:r w:rsidR="00B311AE" w:rsidRPr="009735EB">
        <w:rPr>
          <w:rFonts w:ascii="Times New Roman" w:hAnsi="Times New Roman"/>
          <w:i/>
          <w:sz w:val="24"/>
          <w:szCs w:val="24"/>
        </w:rPr>
        <w:t>(</w:t>
      </w:r>
      <w:r w:rsidRPr="009735EB">
        <w:rPr>
          <w:rFonts w:ascii="Times New Roman" w:hAnsi="Times New Roman"/>
          <w:i/>
          <w:sz w:val="24"/>
          <w:szCs w:val="24"/>
        </w:rPr>
        <w:t>T3-T4</w:t>
      </w:r>
      <w:r w:rsidR="00B311AE" w:rsidRPr="009735EB">
        <w:rPr>
          <w:rFonts w:ascii="Times New Roman" w:hAnsi="Times New Roman"/>
          <w:i/>
          <w:sz w:val="24"/>
          <w:szCs w:val="24"/>
        </w:rPr>
        <w:t>)</w:t>
      </w:r>
      <w:r w:rsidRPr="009735EB">
        <w:rPr>
          <w:rFonts w:ascii="Times New Roman" w:hAnsi="Times New Roman"/>
          <w:i/>
          <w:sz w:val="24"/>
          <w:szCs w:val="24"/>
        </w:rPr>
        <w:t xml:space="preserve"> laryngeal cancer</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 xml:space="preserve">Findings from the regression analysis for late stage (T3-T4) patients can be found in Table 1 and Figure </w:t>
      </w:r>
      <w:r w:rsidR="00160283" w:rsidRPr="009735EB">
        <w:rPr>
          <w:rFonts w:ascii="Times New Roman" w:hAnsi="Times New Roman"/>
          <w:sz w:val="24"/>
          <w:szCs w:val="24"/>
        </w:rPr>
        <w:t>3</w:t>
      </w:r>
      <w:r w:rsidRPr="009735EB">
        <w:rPr>
          <w:rFonts w:ascii="Times New Roman" w:hAnsi="Times New Roman"/>
          <w:sz w:val="24"/>
          <w:szCs w:val="24"/>
        </w:rPr>
        <w:t>.  Prior to the intervention there was an annual fall of -0.036 in the number of cases, but this was not statistically significant (p=0.052).</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There was no statistically significant change in the number of cases immedi</w:t>
      </w:r>
      <w:r w:rsidR="00057E15" w:rsidRPr="009735EB">
        <w:rPr>
          <w:rFonts w:ascii="Times New Roman" w:hAnsi="Times New Roman"/>
          <w:sz w:val="24"/>
          <w:szCs w:val="24"/>
        </w:rPr>
        <w:t>ately after the intervention (p=</w:t>
      </w:r>
      <w:r w:rsidRPr="009735EB">
        <w:rPr>
          <w:rFonts w:ascii="Times New Roman" w:hAnsi="Times New Roman"/>
          <w:sz w:val="24"/>
          <w:szCs w:val="24"/>
        </w:rPr>
        <w:t xml:space="preserve">0.680). </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 xml:space="preserve">Following the intervention there was a decrease of -0.028 (-0.036+0.008) in the number of rate of cases per month. These trends were not statistically significant (p=0.767). </w:t>
      </w: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9735EB" w:rsidRDefault="009735EB" w:rsidP="00760DB6">
      <w:pPr>
        <w:spacing w:after="0" w:line="480" w:lineRule="auto"/>
        <w:rPr>
          <w:rFonts w:ascii="Times New Roman" w:hAnsi="Times New Roman"/>
          <w:b/>
          <w:sz w:val="24"/>
          <w:szCs w:val="24"/>
        </w:rPr>
      </w:pPr>
    </w:p>
    <w:p w:rsidR="00B43D1B" w:rsidRPr="009735EB" w:rsidRDefault="00B43D1B" w:rsidP="00760DB6">
      <w:pPr>
        <w:spacing w:after="0" w:line="480" w:lineRule="auto"/>
        <w:rPr>
          <w:rFonts w:ascii="Times New Roman" w:hAnsi="Times New Roman"/>
          <w:sz w:val="24"/>
          <w:szCs w:val="24"/>
        </w:rPr>
      </w:pPr>
      <w:r w:rsidRPr="009735EB">
        <w:rPr>
          <w:rFonts w:ascii="Times New Roman" w:hAnsi="Times New Roman"/>
          <w:b/>
          <w:sz w:val="24"/>
          <w:szCs w:val="24"/>
        </w:rPr>
        <w:t>Discussion</w:t>
      </w: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i/>
          <w:sz w:val="24"/>
          <w:szCs w:val="24"/>
        </w:rPr>
      </w:pPr>
      <w:r w:rsidRPr="009735EB">
        <w:rPr>
          <w:rFonts w:ascii="Times New Roman" w:hAnsi="Times New Roman"/>
          <w:i/>
          <w:sz w:val="24"/>
          <w:szCs w:val="24"/>
        </w:rPr>
        <w:t>Summary of</w:t>
      </w:r>
      <w:r w:rsidR="00D2741C" w:rsidRPr="009735EB">
        <w:rPr>
          <w:rFonts w:ascii="Times New Roman" w:hAnsi="Times New Roman"/>
          <w:i/>
          <w:sz w:val="24"/>
          <w:szCs w:val="24"/>
        </w:rPr>
        <w:t xml:space="preserve"> main</w:t>
      </w:r>
      <w:r w:rsidRPr="009735EB">
        <w:rPr>
          <w:rFonts w:ascii="Times New Roman" w:hAnsi="Times New Roman"/>
          <w:i/>
          <w:sz w:val="24"/>
          <w:szCs w:val="24"/>
        </w:rPr>
        <w:t xml:space="preserve"> </w:t>
      </w:r>
      <w:r w:rsidR="00663AB5" w:rsidRPr="009735EB">
        <w:rPr>
          <w:rFonts w:ascii="Times New Roman" w:hAnsi="Times New Roman"/>
          <w:i/>
          <w:sz w:val="24"/>
          <w:szCs w:val="24"/>
        </w:rPr>
        <w:t>findings</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 xml:space="preserve">Results show no statistically significant differences in the stage of presentation of early (T1-T2) and late (T3-T4) laryngeal cancers following the public health campaign.  Prior to the campaign, the annual number of early (T1-T2) laryngeal cancer presentations were steadily increasing (+0.039), whereas the number of late (T3-T4) were falling (-0.036).  These numbers were not affected (statistically) by the campaign.      </w:t>
      </w:r>
    </w:p>
    <w:p w:rsidR="00B311AE"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Monthly rates of early (T1-T2) and late (T3-T4) laryngeal cancers increased (+0.013) and decreased (-0.028) respectively in re</w:t>
      </w:r>
      <w:r w:rsidR="00BD4411" w:rsidRPr="009735EB">
        <w:rPr>
          <w:rFonts w:ascii="Times New Roman" w:hAnsi="Times New Roman"/>
          <w:sz w:val="24"/>
          <w:szCs w:val="24"/>
        </w:rPr>
        <w:t>lation</w:t>
      </w:r>
      <w:r w:rsidRPr="009735EB">
        <w:rPr>
          <w:rFonts w:ascii="Times New Roman" w:hAnsi="Times New Roman"/>
          <w:sz w:val="24"/>
          <w:szCs w:val="24"/>
        </w:rPr>
        <w:t xml:space="preserve"> to the public health campaign</w:t>
      </w:r>
      <w:r w:rsidR="00583E5D">
        <w:rPr>
          <w:rFonts w:ascii="Times New Roman" w:hAnsi="Times New Roman"/>
          <w:sz w:val="24"/>
          <w:szCs w:val="24"/>
        </w:rPr>
        <w:t>, however, were not statistically correlated with the intervention</w:t>
      </w:r>
      <w:r w:rsidRPr="009735EB">
        <w:rPr>
          <w:rFonts w:ascii="Times New Roman" w:hAnsi="Times New Roman"/>
          <w:sz w:val="24"/>
          <w:szCs w:val="24"/>
        </w:rPr>
        <w:t xml:space="preserve">.  </w:t>
      </w:r>
    </w:p>
    <w:p w:rsidR="00AE1BF8" w:rsidRPr="009735EB" w:rsidRDefault="003D222B" w:rsidP="00B43D1B">
      <w:pPr>
        <w:spacing w:line="480" w:lineRule="auto"/>
        <w:rPr>
          <w:rFonts w:ascii="Times New Roman" w:hAnsi="Times New Roman"/>
          <w:sz w:val="24"/>
          <w:szCs w:val="24"/>
        </w:rPr>
      </w:pPr>
      <w:r>
        <w:rPr>
          <w:rFonts w:ascii="Times New Roman" w:hAnsi="Times New Roman"/>
          <w:sz w:val="24"/>
          <w:szCs w:val="24"/>
        </w:rPr>
        <w:t xml:space="preserve">Although our study did not identify any significant correlation, it is interesting and useful to highlight the current trends in laryngeal cancer for the region.  </w:t>
      </w:r>
      <w:r w:rsidR="00583E5D">
        <w:rPr>
          <w:rFonts w:ascii="Times New Roman" w:hAnsi="Times New Roman"/>
          <w:sz w:val="24"/>
          <w:szCs w:val="24"/>
        </w:rPr>
        <w:t>Our analysis may serve as a useful barometer into the ongoing trend in stage of presentation of laryngeal cancer (on a larger scale) and may help reflect the current status of public health</w:t>
      </w:r>
      <w:r w:rsidR="00583E5D" w:rsidRPr="009735EB">
        <w:rPr>
          <w:rFonts w:ascii="Times New Roman" w:hAnsi="Times New Roman"/>
          <w:sz w:val="24"/>
          <w:szCs w:val="24"/>
        </w:rPr>
        <w:t xml:space="preserve"> </w:t>
      </w:r>
      <w:r w:rsidR="00583E5D">
        <w:rPr>
          <w:rFonts w:ascii="Times New Roman" w:hAnsi="Times New Roman"/>
          <w:sz w:val="24"/>
          <w:szCs w:val="24"/>
        </w:rPr>
        <w:t xml:space="preserve">awareness.  </w:t>
      </w:r>
      <w:r w:rsidR="00B311AE" w:rsidRPr="009735EB">
        <w:rPr>
          <w:rFonts w:ascii="Times New Roman" w:hAnsi="Times New Roman"/>
          <w:sz w:val="24"/>
          <w:szCs w:val="24"/>
        </w:rPr>
        <w:t xml:space="preserve">These trends may be associated with evolving awareness from </w:t>
      </w:r>
      <w:r w:rsidR="00873E59" w:rsidRPr="009735EB">
        <w:rPr>
          <w:rFonts w:ascii="Times New Roman" w:hAnsi="Times New Roman"/>
          <w:sz w:val="24"/>
          <w:szCs w:val="24"/>
        </w:rPr>
        <w:t>growing local, regional national</w:t>
      </w:r>
      <w:r w:rsidR="00B311AE" w:rsidRPr="009735EB">
        <w:rPr>
          <w:rFonts w:ascii="Times New Roman" w:hAnsi="Times New Roman"/>
          <w:sz w:val="24"/>
          <w:szCs w:val="24"/>
        </w:rPr>
        <w:t xml:space="preserve"> media coverage, access to social media and existing public health campaigns for detecting cancer. </w:t>
      </w:r>
      <w:r w:rsidR="00B43D1B" w:rsidRPr="009735EB">
        <w:rPr>
          <w:rFonts w:ascii="Times New Roman" w:hAnsi="Times New Roman"/>
          <w:sz w:val="24"/>
          <w:szCs w:val="24"/>
        </w:rPr>
        <w:t xml:space="preserve"> </w:t>
      </w:r>
      <w:r>
        <w:rPr>
          <w:rFonts w:ascii="Times New Roman" w:hAnsi="Times New Roman"/>
          <w:sz w:val="24"/>
          <w:szCs w:val="24"/>
        </w:rPr>
        <w:t>Some of the f</w:t>
      </w:r>
      <w:r w:rsidR="00B43D1B" w:rsidRPr="009735EB">
        <w:rPr>
          <w:rFonts w:ascii="Times New Roman" w:hAnsi="Times New Roman"/>
          <w:sz w:val="24"/>
          <w:szCs w:val="24"/>
        </w:rPr>
        <w:t>inding</w:t>
      </w:r>
      <w:r w:rsidR="00B311AE" w:rsidRPr="009735EB">
        <w:rPr>
          <w:rFonts w:ascii="Times New Roman" w:hAnsi="Times New Roman"/>
          <w:sz w:val="24"/>
          <w:szCs w:val="24"/>
        </w:rPr>
        <w:t>s that were observed from our study</w:t>
      </w:r>
      <w:r w:rsidR="00B43D1B" w:rsidRPr="009735EB">
        <w:rPr>
          <w:rFonts w:ascii="Times New Roman" w:hAnsi="Times New Roman"/>
          <w:sz w:val="24"/>
          <w:szCs w:val="24"/>
        </w:rPr>
        <w:t xml:space="preserve"> may be expected following a public awareness campaign particularly in the early period, where participants would be expected to seek medical attention for key symptoms highlighted in the media.  Theoretically, rates of detection of early cancers would be expected to rise as was the case with the findings observed in our study.</w:t>
      </w:r>
      <w:r w:rsidR="00AE1BF8" w:rsidRPr="009735EB">
        <w:rPr>
          <w:rFonts w:ascii="Times New Roman" w:hAnsi="Times New Roman"/>
          <w:sz w:val="24"/>
          <w:szCs w:val="24"/>
        </w:rPr>
        <w:t xml:space="preserve">  However, due to the pre-existing trend in cancer detection rates </w:t>
      </w:r>
      <w:r w:rsidR="00CE2D95" w:rsidRPr="009735EB">
        <w:rPr>
          <w:rFonts w:ascii="Times New Roman" w:hAnsi="Times New Roman"/>
          <w:sz w:val="24"/>
          <w:szCs w:val="24"/>
        </w:rPr>
        <w:t>(early and late cancers</w:t>
      </w:r>
      <w:r w:rsidR="00583E5D">
        <w:rPr>
          <w:rFonts w:ascii="Times New Roman" w:hAnsi="Times New Roman"/>
          <w:sz w:val="24"/>
          <w:szCs w:val="24"/>
        </w:rPr>
        <w:t xml:space="preserve"> as shown by Figures 2 and 3</w:t>
      </w:r>
      <w:r w:rsidR="00CE2D95" w:rsidRPr="009735EB">
        <w:rPr>
          <w:rFonts w:ascii="Times New Roman" w:hAnsi="Times New Roman"/>
          <w:sz w:val="24"/>
          <w:szCs w:val="24"/>
        </w:rPr>
        <w:t xml:space="preserve">) </w:t>
      </w:r>
      <w:r w:rsidR="00AE1BF8" w:rsidRPr="009735EB">
        <w:rPr>
          <w:rFonts w:ascii="Times New Roman" w:hAnsi="Times New Roman"/>
          <w:sz w:val="24"/>
          <w:szCs w:val="24"/>
        </w:rPr>
        <w:t xml:space="preserve">it would be difficult to comment on the role of such a </w:t>
      </w:r>
      <w:r w:rsidR="00CE2D95" w:rsidRPr="009735EB">
        <w:rPr>
          <w:rFonts w:ascii="Times New Roman" w:hAnsi="Times New Roman"/>
          <w:sz w:val="24"/>
          <w:szCs w:val="24"/>
        </w:rPr>
        <w:t xml:space="preserve">short lived </w:t>
      </w:r>
      <w:r w:rsidR="00AE1BF8" w:rsidRPr="009735EB">
        <w:rPr>
          <w:rFonts w:ascii="Times New Roman" w:hAnsi="Times New Roman"/>
          <w:sz w:val="24"/>
          <w:szCs w:val="24"/>
        </w:rPr>
        <w:t>campaign</w:t>
      </w:r>
      <w:r>
        <w:rPr>
          <w:rFonts w:ascii="Times New Roman" w:hAnsi="Times New Roman"/>
          <w:sz w:val="24"/>
          <w:szCs w:val="24"/>
        </w:rPr>
        <w:t xml:space="preserve"> to the findings</w:t>
      </w:r>
      <w:r w:rsidR="00AE1BF8" w:rsidRPr="009735EB">
        <w:rPr>
          <w:rFonts w:ascii="Times New Roman" w:hAnsi="Times New Roman"/>
          <w:sz w:val="24"/>
          <w:szCs w:val="24"/>
        </w:rPr>
        <w:t xml:space="preserve"> at this current stage.</w:t>
      </w:r>
      <w:r w:rsidR="00B43D1B" w:rsidRPr="009735EB">
        <w:rPr>
          <w:rFonts w:ascii="Times New Roman" w:hAnsi="Times New Roman"/>
          <w:sz w:val="24"/>
          <w:szCs w:val="24"/>
        </w:rPr>
        <w:t xml:space="preserve">  </w:t>
      </w:r>
      <w:r w:rsidR="00AE1BF8" w:rsidRPr="009735EB">
        <w:rPr>
          <w:rFonts w:ascii="Times New Roman" w:hAnsi="Times New Roman"/>
          <w:sz w:val="24"/>
          <w:szCs w:val="24"/>
        </w:rPr>
        <w:t xml:space="preserve">It is more likely that </w:t>
      </w:r>
      <w:r w:rsidR="00CE2D95" w:rsidRPr="009735EB">
        <w:rPr>
          <w:rFonts w:ascii="Times New Roman" w:hAnsi="Times New Roman"/>
          <w:sz w:val="24"/>
          <w:szCs w:val="24"/>
        </w:rPr>
        <w:t>such a limited public health campaign would lead to</w:t>
      </w:r>
      <w:r w:rsidR="00AE1BF8" w:rsidRPr="009735EB">
        <w:rPr>
          <w:rFonts w:ascii="Times New Roman" w:hAnsi="Times New Roman"/>
          <w:sz w:val="24"/>
          <w:szCs w:val="24"/>
        </w:rPr>
        <w:t xml:space="preserve"> change</w:t>
      </w:r>
      <w:r>
        <w:rPr>
          <w:rFonts w:ascii="Times New Roman" w:hAnsi="Times New Roman"/>
          <w:sz w:val="24"/>
          <w:szCs w:val="24"/>
        </w:rPr>
        <w:t>s</w:t>
      </w:r>
      <w:r w:rsidR="00AE1BF8" w:rsidRPr="009735EB">
        <w:rPr>
          <w:rFonts w:ascii="Times New Roman" w:hAnsi="Times New Roman"/>
          <w:sz w:val="24"/>
          <w:szCs w:val="24"/>
        </w:rPr>
        <w:t xml:space="preserve"> in presentation </w:t>
      </w:r>
      <w:r w:rsidR="00AD0278" w:rsidRPr="009735EB">
        <w:rPr>
          <w:rFonts w:ascii="Times New Roman" w:hAnsi="Times New Roman"/>
          <w:sz w:val="24"/>
          <w:szCs w:val="24"/>
        </w:rPr>
        <w:t xml:space="preserve">of patients </w:t>
      </w:r>
      <w:r w:rsidR="00AE1BF8" w:rsidRPr="009735EB">
        <w:rPr>
          <w:rFonts w:ascii="Times New Roman" w:hAnsi="Times New Roman"/>
          <w:sz w:val="24"/>
          <w:szCs w:val="24"/>
        </w:rPr>
        <w:t xml:space="preserve">to General </w:t>
      </w:r>
      <w:r w:rsidR="00873E59" w:rsidRPr="009735EB">
        <w:rPr>
          <w:rFonts w:ascii="Times New Roman" w:hAnsi="Times New Roman"/>
          <w:sz w:val="24"/>
          <w:szCs w:val="24"/>
        </w:rPr>
        <w:t>Practitioner’s</w:t>
      </w:r>
      <w:r w:rsidR="00AE1BF8" w:rsidRPr="009735EB">
        <w:rPr>
          <w:rFonts w:ascii="Times New Roman" w:hAnsi="Times New Roman"/>
          <w:sz w:val="24"/>
          <w:szCs w:val="24"/>
        </w:rPr>
        <w:t xml:space="preserve"> (GP) and </w:t>
      </w:r>
      <w:r w:rsidR="00873E59" w:rsidRPr="009735EB">
        <w:rPr>
          <w:rFonts w:ascii="Times New Roman" w:hAnsi="Times New Roman"/>
          <w:sz w:val="24"/>
          <w:szCs w:val="24"/>
        </w:rPr>
        <w:t xml:space="preserve">urgent </w:t>
      </w:r>
      <w:r w:rsidR="00AE1BF8" w:rsidRPr="009735EB">
        <w:rPr>
          <w:rFonts w:ascii="Times New Roman" w:hAnsi="Times New Roman"/>
          <w:sz w:val="24"/>
          <w:szCs w:val="24"/>
        </w:rPr>
        <w:t xml:space="preserve">2-week wait referrals to </w:t>
      </w:r>
      <w:r w:rsidR="00CE2D95" w:rsidRPr="009735EB">
        <w:rPr>
          <w:rFonts w:ascii="Times New Roman" w:hAnsi="Times New Roman"/>
          <w:sz w:val="24"/>
          <w:szCs w:val="24"/>
        </w:rPr>
        <w:t>specialists</w:t>
      </w:r>
      <w:r w:rsidR="00AE1BF8" w:rsidRPr="009735EB">
        <w:rPr>
          <w:rFonts w:ascii="Times New Roman" w:hAnsi="Times New Roman"/>
          <w:sz w:val="24"/>
          <w:szCs w:val="24"/>
        </w:rPr>
        <w:t>.  Previous</w:t>
      </w:r>
      <w:r w:rsidR="00873E59" w:rsidRPr="009735EB">
        <w:rPr>
          <w:rFonts w:ascii="Times New Roman" w:hAnsi="Times New Roman"/>
          <w:sz w:val="24"/>
          <w:szCs w:val="24"/>
        </w:rPr>
        <w:t>ly</w:t>
      </w:r>
      <w:r w:rsidR="00AE1BF8" w:rsidRPr="009735EB">
        <w:rPr>
          <w:rFonts w:ascii="Times New Roman" w:hAnsi="Times New Roman"/>
          <w:sz w:val="24"/>
          <w:szCs w:val="24"/>
        </w:rPr>
        <w:t xml:space="preserve"> </w:t>
      </w:r>
      <w:r w:rsidR="00873E59" w:rsidRPr="009735EB">
        <w:rPr>
          <w:rFonts w:ascii="Times New Roman" w:hAnsi="Times New Roman"/>
          <w:sz w:val="24"/>
          <w:szCs w:val="24"/>
        </w:rPr>
        <w:t xml:space="preserve">published </w:t>
      </w:r>
      <w:r w:rsidR="00AE1BF8" w:rsidRPr="009735EB">
        <w:rPr>
          <w:rFonts w:ascii="Times New Roman" w:hAnsi="Times New Roman"/>
          <w:sz w:val="24"/>
          <w:szCs w:val="24"/>
        </w:rPr>
        <w:t>work performed upon this campaign (Sethi et al</w:t>
      </w:r>
      <w:r w:rsidR="00AE1BF8" w:rsidRPr="009735EB">
        <w:rPr>
          <w:rFonts w:ascii="Times New Roman" w:hAnsi="Times New Roman"/>
          <w:sz w:val="24"/>
          <w:szCs w:val="24"/>
          <w:vertAlign w:val="superscript"/>
        </w:rPr>
        <w:t>3</w:t>
      </w:r>
      <w:r w:rsidR="00AE1BF8" w:rsidRPr="009735EB">
        <w:rPr>
          <w:rFonts w:ascii="Times New Roman" w:hAnsi="Times New Roman"/>
          <w:sz w:val="24"/>
          <w:szCs w:val="24"/>
        </w:rPr>
        <w:t>) has shown that there to be an increase in numbers of those presenting to the GP with symptoms of throat cancer (activity peak and post campaign), however did not show any significance when compared to the control group</w:t>
      </w:r>
      <w:r w:rsidR="00AD0278" w:rsidRPr="009735EB">
        <w:rPr>
          <w:rFonts w:ascii="Times New Roman" w:hAnsi="Times New Roman"/>
          <w:sz w:val="24"/>
          <w:szCs w:val="24"/>
        </w:rPr>
        <w:t xml:space="preserve"> (appropriately matched</w:t>
      </w:r>
      <w:r w:rsidR="00873E59" w:rsidRPr="009735EB">
        <w:rPr>
          <w:rFonts w:ascii="Times New Roman" w:hAnsi="Times New Roman"/>
          <w:sz w:val="24"/>
          <w:szCs w:val="24"/>
        </w:rPr>
        <w:t xml:space="preserve"> electoral</w:t>
      </w:r>
      <w:r w:rsidR="00AD0278" w:rsidRPr="009735EB">
        <w:rPr>
          <w:rFonts w:ascii="Times New Roman" w:hAnsi="Times New Roman"/>
          <w:sz w:val="24"/>
          <w:szCs w:val="24"/>
        </w:rPr>
        <w:t xml:space="preserve"> Ward)</w:t>
      </w:r>
      <w:r w:rsidR="00AE1BF8" w:rsidRPr="009735EB">
        <w:rPr>
          <w:rFonts w:ascii="Times New Roman" w:hAnsi="Times New Roman"/>
          <w:sz w:val="24"/>
          <w:szCs w:val="24"/>
        </w:rPr>
        <w:t>.  Despite an apparent increase in 2</w:t>
      </w:r>
      <w:r w:rsidR="00873E59" w:rsidRPr="009735EB">
        <w:rPr>
          <w:rFonts w:ascii="Times New Roman" w:hAnsi="Times New Roman"/>
          <w:sz w:val="24"/>
          <w:szCs w:val="24"/>
        </w:rPr>
        <w:t>-</w:t>
      </w:r>
      <w:r w:rsidR="00AE1BF8" w:rsidRPr="009735EB">
        <w:rPr>
          <w:rFonts w:ascii="Times New Roman" w:hAnsi="Times New Roman"/>
          <w:sz w:val="24"/>
          <w:szCs w:val="24"/>
        </w:rPr>
        <w:t>week wait referrals with relation to the campaign, the authors concluded that due to the pre-existing trend of year-on-year increase in referrals</w:t>
      </w:r>
      <w:r w:rsidR="00873E59" w:rsidRPr="009735EB">
        <w:rPr>
          <w:rFonts w:ascii="Times New Roman" w:hAnsi="Times New Roman"/>
          <w:sz w:val="24"/>
          <w:szCs w:val="24"/>
        </w:rPr>
        <w:t>,</w:t>
      </w:r>
      <w:r w:rsidR="00AE1BF8" w:rsidRPr="009735EB">
        <w:rPr>
          <w:rFonts w:ascii="Times New Roman" w:hAnsi="Times New Roman"/>
          <w:sz w:val="24"/>
          <w:szCs w:val="24"/>
        </w:rPr>
        <w:t xml:space="preserve"> it would be difficult to fully attribute the changes seen to the public health campaign.         </w:t>
      </w:r>
    </w:p>
    <w:p w:rsidR="00AE1BF8" w:rsidRPr="009735EB" w:rsidRDefault="00AE1BF8" w:rsidP="00B43D1B">
      <w:pPr>
        <w:spacing w:line="480" w:lineRule="auto"/>
        <w:rPr>
          <w:rFonts w:ascii="Times New Roman" w:hAnsi="Times New Roman"/>
          <w:sz w:val="24"/>
          <w:szCs w:val="24"/>
        </w:rPr>
      </w:pPr>
    </w:p>
    <w:p w:rsidR="00DD4F02" w:rsidRPr="009735EB" w:rsidRDefault="00663AB5" w:rsidP="00B43D1B">
      <w:pPr>
        <w:spacing w:line="480" w:lineRule="auto"/>
        <w:rPr>
          <w:rFonts w:ascii="Times New Roman" w:hAnsi="Times New Roman"/>
          <w:i/>
          <w:sz w:val="24"/>
          <w:szCs w:val="24"/>
        </w:rPr>
      </w:pPr>
      <w:r w:rsidRPr="009735EB">
        <w:rPr>
          <w:rFonts w:ascii="Times New Roman" w:hAnsi="Times New Roman"/>
          <w:i/>
          <w:sz w:val="24"/>
          <w:szCs w:val="24"/>
        </w:rPr>
        <w:t>Implications for future study</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Due to the complexity of public health campaigns, evaluation of their effectiveness is often difficult.  It is considered that to fully evaluate the impact of the public health evaluation, that the “credibility, completeness and transferability” of the evidence should be examined</w:t>
      </w:r>
      <w:r w:rsidR="00C54202" w:rsidRPr="009735EB">
        <w:rPr>
          <w:rFonts w:ascii="Times New Roman" w:hAnsi="Times New Roman"/>
          <w:sz w:val="24"/>
          <w:szCs w:val="24"/>
          <w:vertAlign w:val="superscript"/>
        </w:rPr>
        <w:t>6</w:t>
      </w:r>
      <w:r w:rsidRPr="009735EB">
        <w:rPr>
          <w:rFonts w:ascii="Times New Roman" w:hAnsi="Times New Roman"/>
          <w:sz w:val="24"/>
          <w:szCs w:val="24"/>
        </w:rPr>
        <w:t xml:space="preserve">.       </w:t>
      </w:r>
    </w:p>
    <w:p w:rsidR="00566F7E"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Although, it is not in the scope of this article to discuss the effectiveness and limitations of this public health campaign, it is evident that there are several factors which directly or indirectly effect interpretation of the data derived from it.</w:t>
      </w:r>
      <w:r w:rsidR="00653853" w:rsidRPr="009735EB">
        <w:rPr>
          <w:rFonts w:ascii="Times New Roman" w:hAnsi="Times New Roman"/>
          <w:sz w:val="24"/>
          <w:szCs w:val="24"/>
        </w:rPr>
        <w:t xml:space="preserve">  </w:t>
      </w:r>
      <w:r w:rsidRPr="009735EB">
        <w:rPr>
          <w:rFonts w:ascii="Times New Roman" w:hAnsi="Times New Roman"/>
          <w:sz w:val="24"/>
          <w:szCs w:val="24"/>
        </w:rPr>
        <w:t>The occurrence of negative findings within our study (i.e. no statistical significance) must raise several questions.  Has the research failed to identify an effect when one truly exists? (failure in evaluation) or is there truly no effect? (program failure)</w:t>
      </w:r>
      <w:r w:rsidR="00C54202" w:rsidRPr="009735EB">
        <w:rPr>
          <w:rFonts w:ascii="Times New Roman" w:hAnsi="Times New Roman"/>
          <w:sz w:val="24"/>
          <w:szCs w:val="24"/>
          <w:vertAlign w:val="superscript"/>
        </w:rPr>
        <w:t>7</w:t>
      </w:r>
      <w:r w:rsidRPr="009735EB">
        <w:rPr>
          <w:rFonts w:ascii="Times New Roman" w:hAnsi="Times New Roman"/>
          <w:sz w:val="24"/>
          <w:szCs w:val="24"/>
        </w:rPr>
        <w:t xml:space="preserve">.  </w:t>
      </w:r>
      <w:r w:rsidR="00855A55" w:rsidRPr="009735EB">
        <w:rPr>
          <w:rFonts w:ascii="Times New Roman" w:hAnsi="Times New Roman"/>
          <w:sz w:val="24"/>
          <w:szCs w:val="24"/>
        </w:rPr>
        <w:t>I</w:t>
      </w:r>
      <w:r w:rsidRPr="009735EB">
        <w:rPr>
          <w:rFonts w:ascii="Times New Roman" w:hAnsi="Times New Roman"/>
          <w:sz w:val="24"/>
          <w:szCs w:val="24"/>
        </w:rPr>
        <w:t xml:space="preserve">ncreasing the follow-up period may help further </w:t>
      </w:r>
      <w:r w:rsidR="00E65694" w:rsidRPr="009735EB">
        <w:rPr>
          <w:rFonts w:ascii="Times New Roman" w:hAnsi="Times New Roman"/>
          <w:sz w:val="24"/>
          <w:szCs w:val="24"/>
        </w:rPr>
        <w:t>evaluate</w:t>
      </w:r>
      <w:r w:rsidRPr="009735EB">
        <w:rPr>
          <w:rFonts w:ascii="Times New Roman" w:hAnsi="Times New Roman"/>
          <w:sz w:val="24"/>
          <w:szCs w:val="24"/>
        </w:rPr>
        <w:t xml:space="preserve"> </w:t>
      </w:r>
      <w:r w:rsidR="00855A55" w:rsidRPr="009735EB">
        <w:rPr>
          <w:rFonts w:ascii="Times New Roman" w:hAnsi="Times New Roman"/>
          <w:sz w:val="24"/>
          <w:szCs w:val="24"/>
        </w:rPr>
        <w:t>latent (post-campaign) responses.</w:t>
      </w:r>
      <w:r w:rsidRPr="009735EB">
        <w:rPr>
          <w:rFonts w:ascii="Times New Roman" w:hAnsi="Times New Roman"/>
          <w:sz w:val="24"/>
          <w:szCs w:val="24"/>
        </w:rPr>
        <w:t xml:space="preserve">  However, programme failure may be further dichotomised by considering it as an inadequacy of the campaign itself or its implementation.  The public health campaign was </w:t>
      </w:r>
      <w:r w:rsidR="001A1DDC" w:rsidRPr="009735EB">
        <w:rPr>
          <w:rFonts w:ascii="Times New Roman" w:hAnsi="Times New Roman"/>
          <w:sz w:val="24"/>
          <w:szCs w:val="24"/>
        </w:rPr>
        <w:t xml:space="preserve">targeted towards </w:t>
      </w:r>
      <w:r w:rsidRPr="009735EB">
        <w:rPr>
          <w:rFonts w:ascii="Times New Roman" w:hAnsi="Times New Roman"/>
          <w:sz w:val="24"/>
          <w:szCs w:val="24"/>
        </w:rPr>
        <w:t>high</w:t>
      </w:r>
      <w:r w:rsidR="001A1DDC" w:rsidRPr="009735EB">
        <w:rPr>
          <w:rFonts w:ascii="Times New Roman" w:hAnsi="Times New Roman"/>
          <w:sz w:val="24"/>
          <w:szCs w:val="24"/>
        </w:rPr>
        <w:t>-</w:t>
      </w:r>
      <w:r w:rsidRPr="009735EB">
        <w:rPr>
          <w:rFonts w:ascii="Times New Roman" w:hAnsi="Times New Roman"/>
          <w:sz w:val="24"/>
          <w:szCs w:val="24"/>
        </w:rPr>
        <w:t xml:space="preserve">risk </w:t>
      </w:r>
      <w:r w:rsidR="00653853" w:rsidRPr="009735EB">
        <w:rPr>
          <w:rFonts w:ascii="Times New Roman" w:hAnsi="Times New Roman"/>
          <w:sz w:val="24"/>
          <w:szCs w:val="24"/>
        </w:rPr>
        <w:t xml:space="preserve">electoral </w:t>
      </w:r>
      <w:r w:rsidR="001A1DDC" w:rsidRPr="009735EB">
        <w:rPr>
          <w:rFonts w:ascii="Times New Roman" w:hAnsi="Times New Roman"/>
          <w:sz w:val="24"/>
          <w:szCs w:val="24"/>
        </w:rPr>
        <w:t>Wards</w:t>
      </w:r>
      <w:r w:rsidRPr="009735EB">
        <w:rPr>
          <w:rFonts w:ascii="Times New Roman" w:hAnsi="Times New Roman"/>
          <w:sz w:val="24"/>
          <w:szCs w:val="24"/>
        </w:rPr>
        <w:t xml:space="preserve"> in the HYCCN </w:t>
      </w:r>
      <w:r w:rsidR="001A1DDC" w:rsidRPr="009735EB">
        <w:rPr>
          <w:rFonts w:ascii="Times New Roman" w:hAnsi="Times New Roman"/>
          <w:sz w:val="24"/>
          <w:szCs w:val="24"/>
        </w:rPr>
        <w:t>identified from preliminary epidemiological data.</w:t>
      </w:r>
      <w:r w:rsidRPr="009735EB">
        <w:rPr>
          <w:rFonts w:ascii="Times New Roman" w:hAnsi="Times New Roman"/>
          <w:sz w:val="24"/>
          <w:szCs w:val="24"/>
        </w:rPr>
        <w:t xml:space="preserve"> </w:t>
      </w:r>
      <w:r w:rsidR="00653853" w:rsidRPr="009735EB">
        <w:rPr>
          <w:rFonts w:ascii="Times New Roman" w:hAnsi="Times New Roman"/>
          <w:sz w:val="24"/>
          <w:szCs w:val="24"/>
        </w:rPr>
        <w:t xml:space="preserve"> </w:t>
      </w:r>
      <w:r w:rsidRPr="009735EB">
        <w:rPr>
          <w:rFonts w:ascii="Times New Roman" w:hAnsi="Times New Roman"/>
          <w:sz w:val="24"/>
          <w:szCs w:val="24"/>
        </w:rPr>
        <w:t xml:space="preserve">As </w:t>
      </w:r>
      <w:r w:rsidR="001A1DDC" w:rsidRPr="009735EB">
        <w:rPr>
          <w:rFonts w:ascii="Times New Roman" w:hAnsi="Times New Roman"/>
          <w:sz w:val="24"/>
          <w:szCs w:val="24"/>
        </w:rPr>
        <w:t>our</w:t>
      </w:r>
      <w:r w:rsidRPr="009735EB">
        <w:rPr>
          <w:rFonts w:ascii="Times New Roman" w:hAnsi="Times New Roman"/>
          <w:sz w:val="24"/>
          <w:szCs w:val="24"/>
        </w:rPr>
        <w:t xml:space="preserve"> study looked retrospectively at the total number of laryngeal cancers presenting to the HYCCN, and not by electoral </w:t>
      </w:r>
      <w:r w:rsidR="00653853" w:rsidRPr="009735EB">
        <w:rPr>
          <w:rFonts w:ascii="Times New Roman" w:hAnsi="Times New Roman"/>
          <w:sz w:val="24"/>
          <w:szCs w:val="24"/>
        </w:rPr>
        <w:t>W</w:t>
      </w:r>
      <w:r w:rsidRPr="009735EB">
        <w:rPr>
          <w:rFonts w:ascii="Times New Roman" w:hAnsi="Times New Roman"/>
          <w:sz w:val="24"/>
          <w:szCs w:val="24"/>
        </w:rPr>
        <w:t xml:space="preserve">ard, a true reflection of the effectiveness of the campaign may not have been identified from </w:t>
      </w:r>
      <w:r w:rsidR="001A1DDC" w:rsidRPr="009735EB">
        <w:rPr>
          <w:rFonts w:ascii="Times New Roman" w:hAnsi="Times New Roman"/>
          <w:sz w:val="24"/>
          <w:szCs w:val="24"/>
        </w:rPr>
        <w:t xml:space="preserve">our analysis </w:t>
      </w:r>
      <w:r w:rsidR="00DD4F02" w:rsidRPr="009735EB">
        <w:rPr>
          <w:rFonts w:ascii="Times New Roman" w:hAnsi="Times New Roman"/>
          <w:sz w:val="24"/>
          <w:szCs w:val="24"/>
        </w:rPr>
        <w:t xml:space="preserve">as results may have become “diluted” by the regions not exposed to the intervention.  A more accurate picture could be seen if stage of presentation </w:t>
      </w:r>
      <w:r w:rsidR="00810626" w:rsidRPr="009735EB">
        <w:rPr>
          <w:rFonts w:ascii="Times New Roman" w:hAnsi="Times New Roman"/>
          <w:sz w:val="24"/>
          <w:szCs w:val="24"/>
        </w:rPr>
        <w:t>of laryngeal c</w:t>
      </w:r>
      <w:r w:rsidR="00DD4F02" w:rsidRPr="009735EB">
        <w:rPr>
          <w:rFonts w:ascii="Times New Roman" w:hAnsi="Times New Roman"/>
          <w:sz w:val="24"/>
          <w:szCs w:val="24"/>
        </w:rPr>
        <w:t>ancer by</w:t>
      </w:r>
      <w:r w:rsidR="00810626" w:rsidRPr="009735EB">
        <w:rPr>
          <w:rFonts w:ascii="Times New Roman" w:hAnsi="Times New Roman"/>
          <w:sz w:val="24"/>
          <w:szCs w:val="24"/>
        </w:rPr>
        <w:t xml:space="preserve"> electoral</w:t>
      </w:r>
      <w:r w:rsidR="00DD4F02" w:rsidRPr="009735EB">
        <w:rPr>
          <w:rFonts w:ascii="Times New Roman" w:hAnsi="Times New Roman"/>
          <w:sz w:val="24"/>
          <w:szCs w:val="24"/>
        </w:rPr>
        <w:t xml:space="preserve"> Ward was assessed</w:t>
      </w:r>
      <w:r w:rsidR="001A1DDC" w:rsidRPr="009735EB">
        <w:rPr>
          <w:rFonts w:ascii="Times New Roman" w:hAnsi="Times New Roman"/>
          <w:sz w:val="24"/>
          <w:szCs w:val="24"/>
        </w:rPr>
        <w:t xml:space="preserve"> following the intervention</w:t>
      </w:r>
      <w:r w:rsidR="00DD4F02" w:rsidRPr="009735EB">
        <w:rPr>
          <w:rFonts w:ascii="Times New Roman" w:hAnsi="Times New Roman"/>
          <w:sz w:val="24"/>
          <w:szCs w:val="24"/>
        </w:rPr>
        <w:t>.</w:t>
      </w:r>
      <w:r w:rsidR="00AD0278" w:rsidRPr="009735EB">
        <w:rPr>
          <w:rFonts w:ascii="Times New Roman" w:hAnsi="Times New Roman"/>
          <w:sz w:val="24"/>
          <w:szCs w:val="24"/>
        </w:rPr>
        <w:t xml:space="preserve">  However, a counter-argument may suggest that the study would expect to detect a significant change in cancer diagnosis as it would be expected that a larger number of </w:t>
      </w:r>
      <w:r w:rsidR="00873E59" w:rsidRPr="009735EB">
        <w:rPr>
          <w:rFonts w:ascii="Times New Roman" w:hAnsi="Times New Roman"/>
          <w:sz w:val="24"/>
          <w:szCs w:val="24"/>
        </w:rPr>
        <w:t>l</w:t>
      </w:r>
      <w:r w:rsidR="00AD0278" w:rsidRPr="009735EB">
        <w:rPr>
          <w:rFonts w:ascii="Times New Roman" w:hAnsi="Times New Roman"/>
          <w:sz w:val="24"/>
          <w:szCs w:val="24"/>
        </w:rPr>
        <w:t>aryngeal cancers would arise from those geographical areas at highest risk</w:t>
      </w:r>
      <w:r w:rsidR="00873E59" w:rsidRPr="009735EB">
        <w:rPr>
          <w:rFonts w:ascii="Times New Roman" w:hAnsi="Times New Roman"/>
          <w:sz w:val="24"/>
          <w:szCs w:val="24"/>
        </w:rPr>
        <w:t>, thus increasing overall cancer detection numbers</w:t>
      </w:r>
      <w:r w:rsidR="00AD0278" w:rsidRPr="009735EB">
        <w:rPr>
          <w:rFonts w:ascii="Times New Roman" w:hAnsi="Times New Roman"/>
          <w:sz w:val="24"/>
          <w:szCs w:val="24"/>
        </w:rPr>
        <w:t xml:space="preserve">.  In addition, it may also be postulated that the effect of the campaign may not truly </w:t>
      </w:r>
      <w:r w:rsidR="00566F7E" w:rsidRPr="009735EB">
        <w:rPr>
          <w:rFonts w:ascii="Times New Roman" w:hAnsi="Times New Roman"/>
          <w:sz w:val="24"/>
          <w:szCs w:val="24"/>
        </w:rPr>
        <w:t>be localised to the electoral</w:t>
      </w:r>
      <w:r w:rsidR="00AD0278" w:rsidRPr="009735EB">
        <w:rPr>
          <w:rFonts w:ascii="Times New Roman" w:hAnsi="Times New Roman"/>
          <w:sz w:val="24"/>
          <w:szCs w:val="24"/>
        </w:rPr>
        <w:t xml:space="preserve"> Ward, due to the </w:t>
      </w:r>
      <w:r w:rsidR="00566F7E" w:rsidRPr="009735EB">
        <w:rPr>
          <w:rFonts w:ascii="Times New Roman" w:hAnsi="Times New Roman"/>
          <w:sz w:val="24"/>
          <w:szCs w:val="24"/>
        </w:rPr>
        <w:t xml:space="preserve">wider reaching </w:t>
      </w:r>
      <w:r w:rsidR="00AD0278" w:rsidRPr="009735EB">
        <w:rPr>
          <w:rFonts w:ascii="Times New Roman" w:hAnsi="Times New Roman"/>
          <w:sz w:val="24"/>
          <w:szCs w:val="24"/>
        </w:rPr>
        <w:t>effects of media coverage (e.g. radio, sports events</w:t>
      </w:r>
      <w:r w:rsidR="00873E59" w:rsidRPr="009735EB">
        <w:rPr>
          <w:rFonts w:ascii="Times New Roman" w:hAnsi="Times New Roman"/>
          <w:sz w:val="24"/>
          <w:szCs w:val="24"/>
        </w:rPr>
        <w:t xml:space="preserve"> and </w:t>
      </w:r>
      <w:r w:rsidR="00AD0278" w:rsidRPr="009735EB">
        <w:rPr>
          <w:rFonts w:ascii="Times New Roman" w:hAnsi="Times New Roman"/>
          <w:sz w:val="24"/>
          <w:szCs w:val="24"/>
        </w:rPr>
        <w:t>internet advertisement) and local migration.</w:t>
      </w:r>
      <w:r w:rsidR="00566F7E" w:rsidRPr="009735EB">
        <w:rPr>
          <w:rFonts w:ascii="Times New Roman" w:hAnsi="Times New Roman"/>
          <w:sz w:val="24"/>
          <w:szCs w:val="24"/>
        </w:rPr>
        <w:t xml:space="preserve">  These issues</w:t>
      </w:r>
      <w:r w:rsidR="00AD0278" w:rsidRPr="009735EB">
        <w:rPr>
          <w:rFonts w:ascii="Times New Roman" w:hAnsi="Times New Roman"/>
          <w:sz w:val="24"/>
          <w:szCs w:val="24"/>
        </w:rPr>
        <w:t xml:space="preserve"> make assessment of the effectiveness of </w:t>
      </w:r>
      <w:r w:rsidR="00566F7E" w:rsidRPr="009735EB">
        <w:rPr>
          <w:rFonts w:ascii="Times New Roman" w:hAnsi="Times New Roman"/>
          <w:sz w:val="24"/>
          <w:szCs w:val="24"/>
        </w:rPr>
        <w:t>public health campaigns</w:t>
      </w:r>
      <w:r w:rsidR="00AD0278" w:rsidRPr="009735EB">
        <w:rPr>
          <w:rFonts w:ascii="Times New Roman" w:hAnsi="Times New Roman"/>
          <w:sz w:val="24"/>
          <w:szCs w:val="24"/>
        </w:rPr>
        <w:t xml:space="preserve"> difficult to interpret.</w:t>
      </w:r>
      <w:r w:rsidR="00873E59" w:rsidRPr="009735EB">
        <w:rPr>
          <w:rFonts w:ascii="Times New Roman" w:hAnsi="Times New Roman"/>
          <w:sz w:val="24"/>
          <w:szCs w:val="24"/>
        </w:rPr>
        <w:t xml:space="preserve">  </w:t>
      </w:r>
      <w:r w:rsidR="008D25AC" w:rsidRPr="009735EB">
        <w:rPr>
          <w:rFonts w:ascii="Times New Roman" w:hAnsi="Times New Roman"/>
          <w:sz w:val="24"/>
          <w:szCs w:val="24"/>
        </w:rPr>
        <w:t>Sethi et al</w:t>
      </w:r>
      <w:r w:rsidR="00C54202" w:rsidRPr="009735EB">
        <w:rPr>
          <w:rFonts w:ascii="Times New Roman" w:hAnsi="Times New Roman"/>
          <w:sz w:val="24"/>
          <w:szCs w:val="24"/>
          <w:vertAlign w:val="superscript"/>
        </w:rPr>
        <w:t>3</w:t>
      </w:r>
      <w:r w:rsidR="008D25AC" w:rsidRPr="009735EB">
        <w:rPr>
          <w:rFonts w:ascii="Times New Roman" w:hAnsi="Times New Roman"/>
          <w:sz w:val="24"/>
          <w:szCs w:val="24"/>
        </w:rPr>
        <w:t xml:space="preserve"> suggested that i</w:t>
      </w:r>
      <w:r w:rsidRPr="009735EB">
        <w:rPr>
          <w:rFonts w:ascii="Times New Roman" w:hAnsi="Times New Roman"/>
          <w:sz w:val="24"/>
          <w:szCs w:val="24"/>
        </w:rPr>
        <w:t>nadequate implementation could be related to</w:t>
      </w:r>
      <w:r w:rsidR="008D25AC" w:rsidRPr="009735EB">
        <w:rPr>
          <w:rFonts w:ascii="Times New Roman" w:hAnsi="Times New Roman"/>
          <w:sz w:val="24"/>
          <w:szCs w:val="24"/>
        </w:rPr>
        <w:t xml:space="preserve"> several</w:t>
      </w:r>
      <w:r w:rsidRPr="009735EB">
        <w:rPr>
          <w:rFonts w:ascii="Times New Roman" w:hAnsi="Times New Roman"/>
          <w:sz w:val="24"/>
          <w:szCs w:val="24"/>
        </w:rPr>
        <w:t xml:space="preserve"> </w:t>
      </w:r>
      <w:r w:rsidR="008D25AC" w:rsidRPr="009735EB">
        <w:rPr>
          <w:rFonts w:ascii="Times New Roman" w:hAnsi="Times New Roman"/>
          <w:sz w:val="24"/>
          <w:szCs w:val="24"/>
        </w:rPr>
        <w:t xml:space="preserve">factors to include </w:t>
      </w:r>
      <w:r w:rsidRPr="009735EB">
        <w:rPr>
          <w:rFonts w:ascii="Times New Roman" w:hAnsi="Times New Roman"/>
          <w:sz w:val="24"/>
          <w:szCs w:val="24"/>
        </w:rPr>
        <w:t>the length</w:t>
      </w:r>
      <w:r w:rsidR="008D25AC" w:rsidRPr="009735EB">
        <w:rPr>
          <w:rFonts w:ascii="Times New Roman" w:hAnsi="Times New Roman"/>
          <w:sz w:val="24"/>
          <w:szCs w:val="24"/>
        </w:rPr>
        <w:t xml:space="preserve"> of campaign</w:t>
      </w:r>
      <w:r w:rsidRPr="009735EB">
        <w:rPr>
          <w:rFonts w:ascii="Times New Roman" w:hAnsi="Times New Roman"/>
          <w:sz w:val="24"/>
          <w:szCs w:val="24"/>
        </w:rPr>
        <w:t xml:space="preserve"> </w:t>
      </w:r>
      <w:r w:rsidR="008D25AC" w:rsidRPr="009735EB">
        <w:rPr>
          <w:rFonts w:ascii="Times New Roman" w:hAnsi="Times New Roman"/>
          <w:sz w:val="24"/>
          <w:szCs w:val="24"/>
        </w:rPr>
        <w:t xml:space="preserve">and </w:t>
      </w:r>
      <w:r w:rsidR="00810626" w:rsidRPr="009735EB">
        <w:rPr>
          <w:rFonts w:ascii="Times New Roman" w:hAnsi="Times New Roman"/>
          <w:sz w:val="24"/>
          <w:szCs w:val="24"/>
        </w:rPr>
        <w:t xml:space="preserve">limited </w:t>
      </w:r>
      <w:r w:rsidR="008D25AC" w:rsidRPr="009735EB">
        <w:rPr>
          <w:rFonts w:ascii="Times New Roman" w:hAnsi="Times New Roman"/>
          <w:sz w:val="24"/>
          <w:szCs w:val="24"/>
        </w:rPr>
        <w:t xml:space="preserve">use of </w:t>
      </w:r>
      <w:r w:rsidR="00C54202" w:rsidRPr="009735EB">
        <w:rPr>
          <w:rFonts w:ascii="Times New Roman" w:hAnsi="Times New Roman"/>
          <w:sz w:val="24"/>
          <w:szCs w:val="24"/>
        </w:rPr>
        <w:t xml:space="preserve">the most </w:t>
      </w:r>
      <w:r w:rsidR="008D25AC" w:rsidRPr="009735EB">
        <w:rPr>
          <w:rFonts w:ascii="Times New Roman" w:hAnsi="Times New Roman"/>
          <w:sz w:val="24"/>
          <w:szCs w:val="24"/>
        </w:rPr>
        <w:t>effective medium</w:t>
      </w:r>
      <w:r w:rsidR="00810626" w:rsidRPr="009735EB">
        <w:rPr>
          <w:rFonts w:ascii="Times New Roman" w:hAnsi="Times New Roman"/>
          <w:sz w:val="24"/>
          <w:szCs w:val="24"/>
        </w:rPr>
        <w:t xml:space="preserve"> (Television)</w:t>
      </w:r>
      <w:r w:rsidR="008D25AC" w:rsidRPr="009735EB">
        <w:rPr>
          <w:rFonts w:ascii="Times New Roman" w:hAnsi="Times New Roman"/>
          <w:sz w:val="24"/>
          <w:szCs w:val="24"/>
        </w:rPr>
        <w:t>.</w:t>
      </w:r>
      <w:r w:rsidR="00653853" w:rsidRPr="009735EB">
        <w:rPr>
          <w:rFonts w:ascii="Times New Roman" w:hAnsi="Times New Roman"/>
          <w:sz w:val="24"/>
          <w:szCs w:val="24"/>
        </w:rPr>
        <w:t xml:space="preserve">  </w:t>
      </w:r>
      <w:r w:rsidRPr="009735EB">
        <w:rPr>
          <w:rFonts w:ascii="Times New Roman" w:hAnsi="Times New Roman"/>
          <w:sz w:val="24"/>
          <w:szCs w:val="24"/>
        </w:rPr>
        <w:t xml:space="preserve">It is </w:t>
      </w:r>
      <w:r w:rsidR="00810626" w:rsidRPr="009735EB">
        <w:rPr>
          <w:rFonts w:ascii="Times New Roman" w:hAnsi="Times New Roman"/>
          <w:sz w:val="24"/>
          <w:szCs w:val="24"/>
        </w:rPr>
        <w:t>more than</w:t>
      </w:r>
      <w:r w:rsidRPr="009735EB">
        <w:rPr>
          <w:rFonts w:ascii="Times New Roman" w:hAnsi="Times New Roman"/>
          <w:sz w:val="24"/>
          <w:szCs w:val="24"/>
        </w:rPr>
        <w:t xml:space="preserve"> likely that </w:t>
      </w:r>
      <w:r w:rsidR="00873E59" w:rsidRPr="009735EB">
        <w:rPr>
          <w:rFonts w:ascii="Times New Roman" w:hAnsi="Times New Roman"/>
          <w:sz w:val="24"/>
          <w:szCs w:val="24"/>
        </w:rPr>
        <w:t>a single</w:t>
      </w:r>
      <w:r w:rsidRPr="009735EB">
        <w:rPr>
          <w:rFonts w:ascii="Times New Roman" w:hAnsi="Times New Roman"/>
          <w:sz w:val="24"/>
          <w:szCs w:val="24"/>
        </w:rPr>
        <w:t xml:space="preserve"> 3-month period represented too short </w:t>
      </w:r>
      <w:r w:rsidR="00873E59" w:rsidRPr="009735EB">
        <w:rPr>
          <w:rFonts w:ascii="Times New Roman" w:hAnsi="Times New Roman"/>
          <w:sz w:val="24"/>
          <w:szCs w:val="24"/>
        </w:rPr>
        <w:t>and infrequent</w:t>
      </w:r>
      <w:r w:rsidRPr="009735EB">
        <w:rPr>
          <w:rFonts w:ascii="Times New Roman" w:hAnsi="Times New Roman"/>
          <w:sz w:val="24"/>
          <w:szCs w:val="24"/>
        </w:rPr>
        <w:t xml:space="preserve"> time-frame to influence </w:t>
      </w:r>
      <w:r w:rsidR="001A1DDC" w:rsidRPr="009735EB">
        <w:rPr>
          <w:rFonts w:ascii="Times New Roman" w:hAnsi="Times New Roman"/>
          <w:sz w:val="24"/>
          <w:szCs w:val="24"/>
        </w:rPr>
        <w:t xml:space="preserve">a significant </w:t>
      </w:r>
      <w:r w:rsidRPr="009735EB">
        <w:rPr>
          <w:rFonts w:ascii="Times New Roman" w:hAnsi="Times New Roman"/>
          <w:sz w:val="24"/>
          <w:szCs w:val="24"/>
        </w:rPr>
        <w:t>change in</w:t>
      </w:r>
      <w:r w:rsidR="001A1DDC" w:rsidRPr="009735EB">
        <w:rPr>
          <w:rFonts w:ascii="Times New Roman" w:hAnsi="Times New Roman"/>
          <w:sz w:val="24"/>
          <w:szCs w:val="24"/>
        </w:rPr>
        <w:t xml:space="preserve"> behaviour and ultimately</w:t>
      </w:r>
      <w:r w:rsidRPr="009735EB">
        <w:rPr>
          <w:rFonts w:ascii="Times New Roman" w:hAnsi="Times New Roman"/>
          <w:sz w:val="24"/>
          <w:szCs w:val="24"/>
        </w:rPr>
        <w:t xml:space="preserve"> stage of presentation of laryngeal cancer for the region.  </w:t>
      </w:r>
      <w:r w:rsidR="00810626" w:rsidRPr="009735EB">
        <w:rPr>
          <w:rFonts w:ascii="Times New Roman" w:hAnsi="Times New Roman"/>
          <w:sz w:val="24"/>
          <w:szCs w:val="24"/>
        </w:rPr>
        <w:t>This theory may be supported by</w:t>
      </w:r>
      <w:r w:rsidR="00566F7E" w:rsidRPr="009735EB">
        <w:rPr>
          <w:rFonts w:ascii="Times New Roman" w:hAnsi="Times New Roman"/>
          <w:sz w:val="24"/>
          <w:szCs w:val="24"/>
        </w:rPr>
        <w:t xml:space="preserve"> previously published findings from</w:t>
      </w:r>
      <w:r w:rsidR="00810626" w:rsidRPr="009735EB">
        <w:rPr>
          <w:rFonts w:ascii="Times New Roman" w:hAnsi="Times New Roman"/>
          <w:sz w:val="24"/>
          <w:szCs w:val="24"/>
        </w:rPr>
        <w:t xml:space="preserve"> </w:t>
      </w:r>
      <w:r w:rsidR="00653853" w:rsidRPr="009735EB">
        <w:rPr>
          <w:rFonts w:ascii="Times New Roman" w:hAnsi="Times New Roman"/>
          <w:sz w:val="24"/>
          <w:szCs w:val="24"/>
        </w:rPr>
        <w:t xml:space="preserve">the </w:t>
      </w:r>
      <w:r w:rsidR="00810626" w:rsidRPr="009735EB">
        <w:rPr>
          <w:rFonts w:ascii="Times New Roman" w:hAnsi="Times New Roman"/>
          <w:sz w:val="24"/>
          <w:szCs w:val="24"/>
        </w:rPr>
        <w:t>p</w:t>
      </w:r>
      <w:r w:rsidR="008D25AC" w:rsidRPr="009735EB">
        <w:rPr>
          <w:rFonts w:ascii="Times New Roman" w:hAnsi="Times New Roman"/>
          <w:sz w:val="24"/>
          <w:szCs w:val="24"/>
        </w:rPr>
        <w:t xml:space="preserve">ost-campaign survey </w:t>
      </w:r>
      <w:r w:rsidR="00810626" w:rsidRPr="009735EB">
        <w:rPr>
          <w:rFonts w:ascii="Times New Roman" w:hAnsi="Times New Roman"/>
          <w:sz w:val="24"/>
          <w:szCs w:val="24"/>
        </w:rPr>
        <w:t xml:space="preserve">which </w:t>
      </w:r>
      <w:r w:rsidR="008D25AC" w:rsidRPr="009735EB">
        <w:rPr>
          <w:rFonts w:ascii="Times New Roman" w:hAnsi="Times New Roman"/>
          <w:sz w:val="24"/>
          <w:szCs w:val="24"/>
        </w:rPr>
        <w:t>showed limited improvement in awareness and a rapid decline in recall</w:t>
      </w:r>
      <w:r w:rsidR="00C54202" w:rsidRPr="009735EB">
        <w:rPr>
          <w:rFonts w:ascii="Times New Roman" w:hAnsi="Times New Roman"/>
          <w:sz w:val="24"/>
          <w:szCs w:val="24"/>
          <w:vertAlign w:val="superscript"/>
        </w:rPr>
        <w:t>3</w:t>
      </w:r>
      <w:r w:rsidR="008D25AC" w:rsidRPr="009735EB">
        <w:rPr>
          <w:rFonts w:ascii="Times New Roman" w:hAnsi="Times New Roman"/>
          <w:sz w:val="24"/>
          <w:szCs w:val="24"/>
        </w:rPr>
        <w:t>.</w:t>
      </w:r>
    </w:p>
    <w:p w:rsidR="00566F7E" w:rsidRPr="009735EB" w:rsidRDefault="00566F7E" w:rsidP="00B43D1B">
      <w:pPr>
        <w:spacing w:line="480" w:lineRule="auto"/>
        <w:rPr>
          <w:rFonts w:ascii="Times New Roman" w:hAnsi="Times New Roman"/>
          <w:sz w:val="24"/>
          <w:szCs w:val="24"/>
        </w:rPr>
      </w:pPr>
    </w:p>
    <w:p w:rsidR="00B43D1B" w:rsidRPr="009735EB" w:rsidRDefault="00566F7E" w:rsidP="00B43D1B">
      <w:pPr>
        <w:spacing w:line="480" w:lineRule="auto"/>
        <w:rPr>
          <w:rFonts w:ascii="Times New Roman" w:hAnsi="Times New Roman"/>
          <w:sz w:val="24"/>
          <w:szCs w:val="24"/>
        </w:rPr>
      </w:pPr>
      <w:r w:rsidRPr="009735EB">
        <w:rPr>
          <w:rFonts w:ascii="Times New Roman" w:hAnsi="Times New Roman"/>
          <w:sz w:val="24"/>
          <w:szCs w:val="24"/>
        </w:rPr>
        <w:t xml:space="preserve">Our findings suggest that the “croaky voice” public health campaign had a limited effect upon the number of presentations of </w:t>
      </w:r>
      <w:r w:rsidR="00873E59" w:rsidRPr="009735EB">
        <w:rPr>
          <w:rFonts w:ascii="Times New Roman" w:hAnsi="Times New Roman"/>
          <w:sz w:val="24"/>
          <w:szCs w:val="24"/>
        </w:rPr>
        <w:t>l</w:t>
      </w:r>
      <w:r w:rsidRPr="009735EB">
        <w:rPr>
          <w:rFonts w:ascii="Times New Roman" w:hAnsi="Times New Roman"/>
          <w:sz w:val="24"/>
          <w:szCs w:val="24"/>
        </w:rPr>
        <w:t xml:space="preserve">aryngeal cancer in HYCCN.  </w:t>
      </w:r>
      <w:r w:rsidR="00873E59" w:rsidRPr="009735EB">
        <w:rPr>
          <w:rFonts w:ascii="Times New Roman" w:hAnsi="Times New Roman"/>
          <w:sz w:val="24"/>
          <w:szCs w:val="24"/>
        </w:rPr>
        <w:t>I</w:t>
      </w:r>
      <w:r w:rsidR="00215A15" w:rsidRPr="009735EB">
        <w:rPr>
          <w:rFonts w:ascii="Times New Roman" w:hAnsi="Times New Roman"/>
          <w:sz w:val="24"/>
          <w:szCs w:val="24"/>
        </w:rPr>
        <w:t xml:space="preserve">t is difficult to currently attribute any of the changes seen in our analysis to the campaign </w:t>
      </w:r>
      <w:r w:rsidRPr="009735EB">
        <w:rPr>
          <w:rFonts w:ascii="Times New Roman" w:hAnsi="Times New Roman"/>
          <w:sz w:val="24"/>
          <w:szCs w:val="24"/>
        </w:rPr>
        <w:t>due to the complexities within the design and assess</w:t>
      </w:r>
      <w:r w:rsidR="00215A15" w:rsidRPr="009735EB">
        <w:rPr>
          <w:rFonts w:ascii="Times New Roman" w:hAnsi="Times New Roman"/>
          <w:sz w:val="24"/>
          <w:szCs w:val="24"/>
        </w:rPr>
        <w:t>ment of public health interventions.</w:t>
      </w:r>
      <w:r w:rsidRPr="009735EB">
        <w:rPr>
          <w:rFonts w:ascii="Times New Roman" w:hAnsi="Times New Roman"/>
          <w:sz w:val="24"/>
          <w:szCs w:val="24"/>
        </w:rPr>
        <w:t xml:space="preserve">  </w:t>
      </w:r>
      <w:r w:rsidR="00215A15" w:rsidRPr="009735EB">
        <w:rPr>
          <w:rFonts w:ascii="Times New Roman" w:hAnsi="Times New Roman"/>
          <w:sz w:val="24"/>
          <w:szCs w:val="24"/>
        </w:rPr>
        <w:t>For this reason, the several</w:t>
      </w:r>
      <w:r w:rsidR="00B43D1B" w:rsidRPr="009735EB">
        <w:rPr>
          <w:rFonts w:ascii="Times New Roman" w:hAnsi="Times New Roman"/>
          <w:sz w:val="24"/>
          <w:szCs w:val="24"/>
        </w:rPr>
        <w:t xml:space="preserve"> factors</w:t>
      </w:r>
      <w:r w:rsidR="00215A15" w:rsidRPr="009735EB">
        <w:rPr>
          <w:rFonts w:ascii="Times New Roman" w:hAnsi="Times New Roman"/>
          <w:sz w:val="24"/>
          <w:szCs w:val="24"/>
        </w:rPr>
        <w:t xml:space="preserve"> discussed</w:t>
      </w:r>
      <w:r w:rsidR="00B43D1B" w:rsidRPr="009735EB">
        <w:rPr>
          <w:rFonts w:ascii="Times New Roman" w:hAnsi="Times New Roman"/>
          <w:sz w:val="24"/>
          <w:szCs w:val="24"/>
        </w:rPr>
        <w:t xml:space="preserve"> must be taken into account in any future public health campaign</w:t>
      </w:r>
      <w:r w:rsidR="007363C8" w:rsidRPr="009735EB">
        <w:rPr>
          <w:rFonts w:ascii="Times New Roman" w:hAnsi="Times New Roman"/>
          <w:sz w:val="24"/>
          <w:szCs w:val="24"/>
        </w:rPr>
        <w:t xml:space="preserve"> targeting populations with Head and Neck cancer.</w:t>
      </w:r>
      <w:r w:rsidR="00583E5D">
        <w:rPr>
          <w:rFonts w:ascii="Times New Roman" w:hAnsi="Times New Roman"/>
          <w:sz w:val="24"/>
          <w:szCs w:val="24"/>
        </w:rPr>
        <w:t xml:space="preserve">  </w:t>
      </w:r>
    </w:p>
    <w:p w:rsidR="00B43D1B" w:rsidRPr="009735EB" w:rsidRDefault="00B43D1B" w:rsidP="00B43D1B">
      <w:pPr>
        <w:spacing w:line="480" w:lineRule="auto"/>
        <w:rPr>
          <w:rFonts w:ascii="Times New Roman" w:hAnsi="Times New Roman"/>
          <w:b/>
          <w:sz w:val="24"/>
          <w:szCs w:val="24"/>
        </w:rPr>
      </w:pPr>
      <w:r w:rsidRPr="009735EB">
        <w:rPr>
          <w:rFonts w:ascii="Times New Roman" w:hAnsi="Times New Roman"/>
          <w:b/>
          <w:sz w:val="24"/>
          <w:szCs w:val="24"/>
        </w:rPr>
        <w:t>Conclusion</w:t>
      </w: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 xml:space="preserve">The “croaky voice campaign” was the first of its kind to address laryngeal cancer in the UK.  </w:t>
      </w:r>
      <w:r w:rsidR="007363C8" w:rsidRPr="009735EB">
        <w:rPr>
          <w:rFonts w:ascii="Times New Roman" w:hAnsi="Times New Roman"/>
          <w:sz w:val="24"/>
          <w:szCs w:val="24"/>
        </w:rPr>
        <w:t>Our evaluation of the</w:t>
      </w:r>
      <w:r w:rsidR="00653853" w:rsidRPr="009735EB">
        <w:rPr>
          <w:rFonts w:ascii="Times New Roman" w:hAnsi="Times New Roman"/>
          <w:sz w:val="24"/>
          <w:szCs w:val="24"/>
        </w:rPr>
        <w:t xml:space="preserve"> initial </w:t>
      </w:r>
      <w:r w:rsidRPr="009735EB">
        <w:rPr>
          <w:rFonts w:ascii="Times New Roman" w:hAnsi="Times New Roman"/>
          <w:sz w:val="24"/>
          <w:szCs w:val="24"/>
        </w:rPr>
        <w:t>results ha</w:t>
      </w:r>
      <w:r w:rsidR="00653853" w:rsidRPr="009735EB">
        <w:rPr>
          <w:rFonts w:ascii="Times New Roman" w:hAnsi="Times New Roman"/>
          <w:sz w:val="24"/>
          <w:szCs w:val="24"/>
        </w:rPr>
        <w:t>s</w:t>
      </w:r>
      <w:r w:rsidRPr="009735EB">
        <w:rPr>
          <w:rFonts w:ascii="Times New Roman" w:hAnsi="Times New Roman"/>
          <w:sz w:val="24"/>
          <w:szCs w:val="24"/>
        </w:rPr>
        <w:t xml:space="preserve"> shown trends to suggest </w:t>
      </w:r>
      <w:r w:rsidR="00215A15" w:rsidRPr="009735EB">
        <w:rPr>
          <w:rFonts w:ascii="Times New Roman" w:hAnsi="Times New Roman"/>
          <w:sz w:val="24"/>
          <w:szCs w:val="24"/>
        </w:rPr>
        <w:t xml:space="preserve">limited </w:t>
      </w:r>
      <w:r w:rsidRPr="009735EB">
        <w:rPr>
          <w:rFonts w:ascii="Times New Roman" w:hAnsi="Times New Roman"/>
          <w:sz w:val="24"/>
          <w:szCs w:val="24"/>
        </w:rPr>
        <w:t xml:space="preserve">alterations in the rates of early (T1-T2) and late (T3-T4) laryngeal cancers </w:t>
      </w:r>
      <w:r w:rsidR="007363C8" w:rsidRPr="009735EB">
        <w:rPr>
          <w:rFonts w:ascii="Times New Roman" w:hAnsi="Times New Roman"/>
          <w:sz w:val="24"/>
          <w:szCs w:val="24"/>
        </w:rPr>
        <w:t>relative to</w:t>
      </w:r>
      <w:r w:rsidRPr="009735EB">
        <w:rPr>
          <w:rFonts w:ascii="Times New Roman" w:hAnsi="Times New Roman"/>
          <w:sz w:val="24"/>
          <w:szCs w:val="24"/>
        </w:rPr>
        <w:t xml:space="preserve"> the </w:t>
      </w:r>
      <w:r w:rsidR="007363C8" w:rsidRPr="009735EB">
        <w:rPr>
          <w:rFonts w:ascii="Times New Roman" w:hAnsi="Times New Roman"/>
          <w:sz w:val="24"/>
          <w:szCs w:val="24"/>
        </w:rPr>
        <w:t>campaign</w:t>
      </w:r>
      <w:r w:rsidR="00653853" w:rsidRPr="009735EB">
        <w:rPr>
          <w:rFonts w:ascii="Times New Roman" w:hAnsi="Times New Roman"/>
          <w:sz w:val="24"/>
          <w:szCs w:val="24"/>
        </w:rPr>
        <w:t>.</w:t>
      </w:r>
      <w:r w:rsidR="007363C8" w:rsidRPr="009735EB">
        <w:rPr>
          <w:rFonts w:ascii="Times New Roman" w:hAnsi="Times New Roman"/>
          <w:sz w:val="24"/>
          <w:szCs w:val="24"/>
        </w:rPr>
        <w:t xml:space="preserve"> </w:t>
      </w:r>
      <w:r w:rsidR="00653853" w:rsidRPr="009735EB">
        <w:rPr>
          <w:rFonts w:ascii="Times New Roman" w:hAnsi="Times New Roman"/>
          <w:sz w:val="24"/>
          <w:szCs w:val="24"/>
        </w:rPr>
        <w:t xml:space="preserve"> H</w:t>
      </w:r>
      <w:r w:rsidR="007363C8" w:rsidRPr="009735EB">
        <w:rPr>
          <w:rFonts w:ascii="Times New Roman" w:hAnsi="Times New Roman"/>
          <w:sz w:val="24"/>
          <w:szCs w:val="24"/>
        </w:rPr>
        <w:t xml:space="preserve">owever, </w:t>
      </w:r>
      <w:r w:rsidR="00CE2D95" w:rsidRPr="009735EB">
        <w:rPr>
          <w:rFonts w:ascii="Times New Roman" w:hAnsi="Times New Roman"/>
          <w:sz w:val="24"/>
          <w:szCs w:val="24"/>
        </w:rPr>
        <w:t xml:space="preserve">at </w:t>
      </w:r>
      <w:r w:rsidR="007363C8" w:rsidRPr="009735EB">
        <w:rPr>
          <w:rFonts w:ascii="Times New Roman" w:hAnsi="Times New Roman"/>
          <w:sz w:val="24"/>
          <w:szCs w:val="24"/>
        </w:rPr>
        <w:t>this</w:t>
      </w:r>
      <w:r w:rsidR="00CE2D95" w:rsidRPr="009735EB">
        <w:rPr>
          <w:rFonts w:ascii="Times New Roman" w:hAnsi="Times New Roman"/>
          <w:sz w:val="24"/>
          <w:szCs w:val="24"/>
        </w:rPr>
        <w:t xml:space="preserve"> stage the</w:t>
      </w:r>
      <w:r w:rsidR="007363C8" w:rsidRPr="009735EB">
        <w:rPr>
          <w:rFonts w:ascii="Times New Roman" w:hAnsi="Times New Roman"/>
          <w:sz w:val="24"/>
          <w:szCs w:val="24"/>
        </w:rPr>
        <w:t xml:space="preserve"> </w:t>
      </w:r>
      <w:r w:rsidR="008D4060" w:rsidRPr="009735EB">
        <w:rPr>
          <w:rFonts w:ascii="Times New Roman" w:hAnsi="Times New Roman"/>
          <w:sz w:val="24"/>
          <w:szCs w:val="24"/>
        </w:rPr>
        <w:t>relationship</w:t>
      </w:r>
      <w:r w:rsidR="007363C8" w:rsidRPr="009735EB">
        <w:rPr>
          <w:rFonts w:ascii="Times New Roman" w:hAnsi="Times New Roman"/>
          <w:sz w:val="24"/>
          <w:szCs w:val="24"/>
        </w:rPr>
        <w:t xml:space="preserve"> remains unclear.</w:t>
      </w:r>
      <w:r w:rsidRPr="009735EB">
        <w:rPr>
          <w:rFonts w:ascii="Times New Roman" w:hAnsi="Times New Roman"/>
          <w:sz w:val="24"/>
          <w:szCs w:val="24"/>
        </w:rPr>
        <w:t xml:space="preserve"> Several key factors have been described in the setting of performing public health campaigns and evaluating the results which must be considered when planning future study.  These include </w:t>
      </w:r>
      <w:r w:rsidR="008D4060" w:rsidRPr="009735EB">
        <w:rPr>
          <w:rFonts w:ascii="Times New Roman" w:hAnsi="Times New Roman"/>
          <w:sz w:val="24"/>
          <w:szCs w:val="24"/>
        </w:rPr>
        <w:t>use of more effective media channels,</w:t>
      </w:r>
      <w:r w:rsidRPr="009735EB">
        <w:rPr>
          <w:rFonts w:ascii="Times New Roman" w:hAnsi="Times New Roman"/>
          <w:sz w:val="24"/>
          <w:szCs w:val="24"/>
        </w:rPr>
        <w:t xml:space="preserve"> longer implementation</w:t>
      </w:r>
      <w:r w:rsidR="008D4060" w:rsidRPr="009735EB">
        <w:rPr>
          <w:rFonts w:ascii="Times New Roman" w:hAnsi="Times New Roman"/>
          <w:sz w:val="24"/>
          <w:szCs w:val="24"/>
        </w:rPr>
        <w:t xml:space="preserve"> of intervention</w:t>
      </w:r>
      <w:r w:rsidRPr="009735EB">
        <w:rPr>
          <w:rFonts w:ascii="Times New Roman" w:hAnsi="Times New Roman"/>
          <w:sz w:val="24"/>
          <w:szCs w:val="24"/>
        </w:rPr>
        <w:t xml:space="preserve"> </w:t>
      </w:r>
      <w:r w:rsidR="008D4060" w:rsidRPr="009735EB">
        <w:rPr>
          <w:rFonts w:ascii="Times New Roman" w:hAnsi="Times New Roman"/>
          <w:sz w:val="24"/>
          <w:szCs w:val="24"/>
        </w:rPr>
        <w:t>and</w:t>
      </w:r>
      <w:r w:rsidRPr="009735EB">
        <w:rPr>
          <w:rFonts w:ascii="Times New Roman" w:hAnsi="Times New Roman"/>
          <w:sz w:val="24"/>
          <w:szCs w:val="24"/>
        </w:rPr>
        <w:t xml:space="preserve"> a prolonged follow-up period.   </w:t>
      </w: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r w:rsidRPr="009735EB">
        <w:rPr>
          <w:rFonts w:ascii="Times New Roman" w:hAnsi="Times New Roman"/>
          <w:sz w:val="24"/>
          <w:szCs w:val="24"/>
        </w:rPr>
        <w:t>Conflict of interest: none declared</w:t>
      </w: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p>
    <w:p w:rsidR="00B43D1B" w:rsidRPr="009735EB" w:rsidRDefault="00B43D1B" w:rsidP="00B43D1B">
      <w:pPr>
        <w:spacing w:line="480" w:lineRule="auto"/>
        <w:rPr>
          <w:rFonts w:ascii="Times New Roman" w:hAnsi="Times New Roman"/>
          <w:sz w:val="24"/>
          <w:szCs w:val="24"/>
        </w:rPr>
      </w:pPr>
    </w:p>
    <w:p w:rsidR="009735EB" w:rsidRDefault="009735EB" w:rsidP="00B43D1B">
      <w:pPr>
        <w:spacing w:line="480" w:lineRule="auto"/>
        <w:rPr>
          <w:rFonts w:ascii="Times New Roman" w:hAnsi="Times New Roman"/>
          <w:b/>
          <w:sz w:val="24"/>
          <w:szCs w:val="24"/>
        </w:rPr>
      </w:pPr>
      <w:r>
        <w:rPr>
          <w:rFonts w:ascii="Times New Roman" w:hAnsi="Times New Roman"/>
          <w:b/>
          <w:sz w:val="24"/>
          <w:szCs w:val="24"/>
        </w:rPr>
        <w:t>Summary</w:t>
      </w:r>
    </w:p>
    <w:p w:rsidR="009735EB" w:rsidRPr="00826E4F" w:rsidRDefault="00826E4F" w:rsidP="00826E4F">
      <w:pPr>
        <w:pStyle w:val="ListParagraph"/>
        <w:numPr>
          <w:ilvl w:val="0"/>
          <w:numId w:val="2"/>
        </w:numPr>
        <w:spacing w:line="480" w:lineRule="auto"/>
        <w:rPr>
          <w:rFonts w:ascii="Times New Roman" w:hAnsi="Times New Roman"/>
          <w:sz w:val="24"/>
          <w:szCs w:val="24"/>
        </w:rPr>
      </w:pPr>
      <w:r w:rsidRPr="00826E4F">
        <w:rPr>
          <w:rFonts w:ascii="Times New Roman" w:hAnsi="Times New Roman"/>
          <w:sz w:val="24"/>
          <w:szCs w:val="24"/>
        </w:rPr>
        <w:t>This was the first public health campaign for laryngeal cancer performed in the UK</w:t>
      </w:r>
    </w:p>
    <w:p w:rsidR="00826E4F" w:rsidRPr="00826E4F" w:rsidRDefault="00826E4F" w:rsidP="00826E4F">
      <w:pPr>
        <w:pStyle w:val="ListParagraph"/>
        <w:numPr>
          <w:ilvl w:val="0"/>
          <w:numId w:val="2"/>
        </w:numPr>
        <w:spacing w:line="480" w:lineRule="auto"/>
        <w:rPr>
          <w:rFonts w:ascii="Times New Roman" w:hAnsi="Times New Roman"/>
          <w:sz w:val="24"/>
          <w:szCs w:val="24"/>
        </w:rPr>
      </w:pPr>
      <w:r w:rsidRPr="00826E4F">
        <w:rPr>
          <w:rFonts w:ascii="Times New Roman" w:hAnsi="Times New Roman"/>
          <w:sz w:val="24"/>
          <w:szCs w:val="24"/>
        </w:rPr>
        <w:t>Findings suggest limited changes in stage of presentation of laryngeal cancer in relation to campaign</w:t>
      </w:r>
    </w:p>
    <w:p w:rsidR="00826E4F" w:rsidRPr="00826E4F" w:rsidRDefault="00826E4F" w:rsidP="00826E4F">
      <w:pPr>
        <w:pStyle w:val="ListParagraph"/>
        <w:numPr>
          <w:ilvl w:val="0"/>
          <w:numId w:val="2"/>
        </w:numPr>
        <w:spacing w:line="480" w:lineRule="auto"/>
        <w:rPr>
          <w:rFonts w:ascii="Times New Roman" w:hAnsi="Times New Roman"/>
          <w:sz w:val="24"/>
          <w:szCs w:val="24"/>
        </w:rPr>
      </w:pPr>
      <w:r w:rsidRPr="00826E4F">
        <w:rPr>
          <w:rFonts w:ascii="Times New Roman" w:hAnsi="Times New Roman"/>
          <w:sz w:val="24"/>
          <w:szCs w:val="24"/>
        </w:rPr>
        <w:t>Public health campaigns are complex processes</w:t>
      </w:r>
    </w:p>
    <w:p w:rsidR="00826E4F" w:rsidRPr="00826E4F" w:rsidRDefault="00826E4F" w:rsidP="00826E4F">
      <w:pPr>
        <w:pStyle w:val="ListParagraph"/>
        <w:numPr>
          <w:ilvl w:val="0"/>
          <w:numId w:val="2"/>
        </w:numPr>
        <w:spacing w:line="480" w:lineRule="auto"/>
        <w:rPr>
          <w:rFonts w:ascii="Times New Roman" w:hAnsi="Times New Roman"/>
          <w:sz w:val="24"/>
          <w:szCs w:val="24"/>
        </w:rPr>
      </w:pPr>
      <w:r w:rsidRPr="00826E4F">
        <w:rPr>
          <w:rFonts w:ascii="Times New Roman" w:hAnsi="Times New Roman"/>
          <w:sz w:val="24"/>
          <w:szCs w:val="24"/>
        </w:rPr>
        <w:t xml:space="preserve">more effective media channels, longer implementation of intervention and a prolonged follow-up period are required for future study   </w:t>
      </w:r>
    </w:p>
    <w:p w:rsidR="009735EB" w:rsidRDefault="009735EB"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826E4F" w:rsidRDefault="00826E4F" w:rsidP="00B43D1B">
      <w:pPr>
        <w:spacing w:line="480" w:lineRule="auto"/>
        <w:rPr>
          <w:rFonts w:ascii="Times New Roman" w:hAnsi="Times New Roman"/>
          <w:b/>
          <w:sz w:val="24"/>
          <w:szCs w:val="24"/>
        </w:rPr>
      </w:pPr>
    </w:p>
    <w:p w:rsidR="00B43D1B" w:rsidRPr="009735EB" w:rsidRDefault="00B43D1B" w:rsidP="00B43D1B">
      <w:pPr>
        <w:spacing w:line="480" w:lineRule="auto"/>
        <w:rPr>
          <w:rFonts w:ascii="Times New Roman" w:hAnsi="Times New Roman"/>
          <w:b/>
          <w:sz w:val="24"/>
          <w:szCs w:val="24"/>
        </w:rPr>
      </w:pPr>
      <w:r w:rsidRPr="009735EB">
        <w:rPr>
          <w:rFonts w:ascii="Times New Roman" w:hAnsi="Times New Roman"/>
          <w:b/>
          <w:sz w:val="24"/>
          <w:szCs w:val="24"/>
        </w:rPr>
        <w:t>References</w:t>
      </w:r>
    </w:p>
    <w:p w:rsidR="00B43D1B" w:rsidRPr="009735EB" w:rsidRDefault="00B43D1B" w:rsidP="00B43D1B">
      <w:pPr>
        <w:pStyle w:val="ListParagraph"/>
        <w:numPr>
          <w:ilvl w:val="0"/>
          <w:numId w:val="1"/>
        </w:numPr>
        <w:spacing w:line="480" w:lineRule="auto"/>
        <w:rPr>
          <w:rFonts w:ascii="Times New Roman" w:hAnsi="Times New Roman"/>
          <w:sz w:val="24"/>
          <w:szCs w:val="24"/>
        </w:rPr>
      </w:pPr>
      <w:r w:rsidRPr="009735EB">
        <w:rPr>
          <w:rFonts w:ascii="Times New Roman" w:hAnsi="Times New Roman"/>
          <w:sz w:val="24"/>
          <w:szCs w:val="24"/>
        </w:rPr>
        <w:t xml:space="preserve">Cancer research UK. Laryngeal Cancer. Available from </w:t>
      </w:r>
      <w:hyperlink r:id="rId7" w:history="1">
        <w:r w:rsidRPr="009735EB">
          <w:rPr>
            <w:rStyle w:val="Hyperlink"/>
            <w:rFonts w:ascii="Times New Roman" w:hAnsi="Times New Roman"/>
            <w:sz w:val="24"/>
            <w:szCs w:val="24"/>
          </w:rPr>
          <w:t>http://www.cancerresearchuk.org</w:t>
        </w:r>
      </w:hyperlink>
      <w:r w:rsidR="00826E4F">
        <w:rPr>
          <w:rStyle w:val="Hyperlink"/>
          <w:rFonts w:ascii="Times New Roman" w:hAnsi="Times New Roman"/>
          <w:sz w:val="24"/>
          <w:szCs w:val="24"/>
        </w:rPr>
        <w:t>. Accessed 6 July 2016</w:t>
      </w:r>
    </w:p>
    <w:p w:rsidR="00A834F8" w:rsidRPr="009735EB" w:rsidRDefault="00A834F8" w:rsidP="00A834F8">
      <w:pPr>
        <w:pStyle w:val="ListParagraph"/>
        <w:numPr>
          <w:ilvl w:val="0"/>
          <w:numId w:val="1"/>
        </w:numPr>
        <w:spacing w:line="480" w:lineRule="auto"/>
        <w:rPr>
          <w:rFonts w:ascii="Times New Roman" w:hAnsi="Times New Roman"/>
          <w:sz w:val="24"/>
          <w:szCs w:val="24"/>
        </w:rPr>
      </w:pPr>
      <w:r w:rsidRPr="009735EB">
        <w:rPr>
          <w:rFonts w:ascii="Times New Roman" w:hAnsi="Times New Roman"/>
          <w:sz w:val="24"/>
          <w:szCs w:val="24"/>
        </w:rPr>
        <w:t>Humber and Coast Cancer Network. Statistical data in relation to Humber and Yorkshire Coast Cancer Network – improving early diagnosis and awareness project. Humber and Coast Cancer Network</w:t>
      </w:r>
      <w:r w:rsidR="00826E4F">
        <w:rPr>
          <w:rFonts w:ascii="Times New Roman" w:hAnsi="Times New Roman"/>
          <w:sz w:val="24"/>
          <w:szCs w:val="24"/>
        </w:rPr>
        <w:t>. 2011</w:t>
      </w:r>
      <w:r w:rsidRPr="009735EB">
        <w:rPr>
          <w:rFonts w:ascii="Times New Roman" w:hAnsi="Times New Roman"/>
          <w:sz w:val="24"/>
          <w:szCs w:val="24"/>
        </w:rPr>
        <w:t xml:space="preserve"> </w:t>
      </w:r>
    </w:p>
    <w:p w:rsidR="00526C5D" w:rsidRPr="009735EB" w:rsidRDefault="00526C5D" w:rsidP="00A834F8">
      <w:pPr>
        <w:pStyle w:val="ListParagraph"/>
        <w:numPr>
          <w:ilvl w:val="0"/>
          <w:numId w:val="1"/>
        </w:numPr>
        <w:spacing w:line="480" w:lineRule="auto"/>
        <w:rPr>
          <w:rFonts w:ascii="Times New Roman" w:hAnsi="Times New Roman"/>
          <w:sz w:val="24"/>
          <w:szCs w:val="24"/>
        </w:rPr>
      </w:pPr>
      <w:r w:rsidRPr="009735EB">
        <w:rPr>
          <w:rFonts w:ascii="Times New Roman" w:hAnsi="Times New Roman"/>
          <w:sz w:val="24"/>
          <w:szCs w:val="24"/>
        </w:rPr>
        <w:t>Sethi N, Rafferty A, Rawnsley T</w:t>
      </w:r>
      <w:r w:rsidR="00826E4F">
        <w:rPr>
          <w:rFonts w:ascii="Times New Roman" w:hAnsi="Times New Roman"/>
          <w:sz w:val="24"/>
          <w:szCs w:val="24"/>
        </w:rPr>
        <w:t>,</w:t>
      </w:r>
      <w:r w:rsidRPr="009735EB">
        <w:rPr>
          <w:rFonts w:ascii="Times New Roman" w:hAnsi="Times New Roman"/>
          <w:sz w:val="24"/>
          <w:szCs w:val="24"/>
        </w:rPr>
        <w:t xml:space="preserve"> Jose J. Short, sharp shock public health campaign had limited impact on raising awareness of laryngeal cancer. Eur Arch Otorhinolaryngol 201</w:t>
      </w:r>
      <w:r w:rsidR="00826E4F">
        <w:rPr>
          <w:rFonts w:ascii="Times New Roman" w:hAnsi="Times New Roman"/>
          <w:sz w:val="24"/>
          <w:szCs w:val="24"/>
        </w:rPr>
        <w:t>6; 273: 2747-2754</w:t>
      </w:r>
    </w:p>
    <w:p w:rsidR="00526C5D" w:rsidRPr="009735EB" w:rsidRDefault="00526C5D" w:rsidP="00526C5D">
      <w:pPr>
        <w:pStyle w:val="ListParagraph"/>
        <w:numPr>
          <w:ilvl w:val="0"/>
          <w:numId w:val="1"/>
        </w:numPr>
        <w:spacing w:line="480" w:lineRule="auto"/>
        <w:rPr>
          <w:rFonts w:ascii="Times New Roman" w:hAnsi="Times New Roman"/>
          <w:sz w:val="24"/>
          <w:szCs w:val="24"/>
        </w:rPr>
      </w:pPr>
      <w:r w:rsidRPr="009735EB">
        <w:rPr>
          <w:rFonts w:ascii="Times New Roman" w:hAnsi="Times New Roman"/>
          <w:sz w:val="24"/>
          <w:szCs w:val="24"/>
        </w:rPr>
        <w:t xml:space="preserve">Humber and Yorkshire Coast Cancer Network. Croaky voice campaign. Available at </w:t>
      </w:r>
      <w:hyperlink r:id="rId8" w:history="1">
        <w:r w:rsidRPr="009735EB">
          <w:rPr>
            <w:rStyle w:val="Hyperlink"/>
            <w:rFonts w:ascii="Times New Roman" w:hAnsi="Times New Roman"/>
            <w:sz w:val="24"/>
            <w:szCs w:val="24"/>
          </w:rPr>
          <w:t>www.getitchecked.co.uk</w:t>
        </w:r>
      </w:hyperlink>
      <w:r w:rsidR="00826E4F">
        <w:rPr>
          <w:rFonts w:ascii="Times New Roman" w:hAnsi="Times New Roman"/>
          <w:sz w:val="24"/>
          <w:szCs w:val="24"/>
        </w:rPr>
        <w:t xml:space="preserve">. Accessed 6 July 2016 </w:t>
      </w:r>
    </w:p>
    <w:p w:rsidR="00B43D1B" w:rsidRPr="009735EB" w:rsidRDefault="00BD4411" w:rsidP="00A834F8">
      <w:pPr>
        <w:pStyle w:val="ListParagraph"/>
        <w:numPr>
          <w:ilvl w:val="0"/>
          <w:numId w:val="1"/>
        </w:numPr>
        <w:spacing w:line="480" w:lineRule="auto"/>
        <w:rPr>
          <w:rFonts w:ascii="Times New Roman" w:hAnsi="Times New Roman"/>
          <w:sz w:val="24"/>
          <w:szCs w:val="24"/>
        </w:rPr>
      </w:pPr>
      <w:r w:rsidRPr="009735EB">
        <w:rPr>
          <w:rFonts w:ascii="Times New Roman" w:hAnsi="Times New Roman"/>
          <w:sz w:val="24"/>
          <w:szCs w:val="24"/>
        </w:rPr>
        <w:t>American Joint Committee on Cancer.  AJCC cancer staging manual (6th Edition). Lippincott Raven. Philadelphia.</w:t>
      </w:r>
      <w:r w:rsidR="00826E4F">
        <w:rPr>
          <w:rFonts w:ascii="Times New Roman" w:hAnsi="Times New Roman"/>
          <w:sz w:val="24"/>
          <w:szCs w:val="24"/>
        </w:rPr>
        <w:t xml:space="preserve"> 2002</w:t>
      </w:r>
    </w:p>
    <w:p w:rsidR="00B43D1B" w:rsidRPr="009735EB" w:rsidRDefault="00B43D1B" w:rsidP="00B43D1B">
      <w:pPr>
        <w:pStyle w:val="ListParagraph"/>
        <w:numPr>
          <w:ilvl w:val="0"/>
          <w:numId w:val="1"/>
        </w:numPr>
        <w:spacing w:line="480" w:lineRule="auto"/>
        <w:rPr>
          <w:rFonts w:ascii="Times New Roman" w:hAnsi="Times New Roman"/>
          <w:sz w:val="24"/>
          <w:szCs w:val="24"/>
        </w:rPr>
      </w:pPr>
      <w:r w:rsidRPr="009735EB">
        <w:rPr>
          <w:rFonts w:ascii="Times New Roman" w:hAnsi="Times New Roman"/>
          <w:sz w:val="24"/>
          <w:szCs w:val="24"/>
        </w:rPr>
        <w:t>Rychetnik L, Frommer M, Hawe P</w:t>
      </w:r>
      <w:r w:rsidR="00826E4F">
        <w:rPr>
          <w:rFonts w:ascii="Times New Roman" w:hAnsi="Times New Roman"/>
          <w:sz w:val="24"/>
          <w:szCs w:val="24"/>
        </w:rPr>
        <w:t>,</w:t>
      </w:r>
      <w:r w:rsidRPr="009735EB">
        <w:rPr>
          <w:rFonts w:ascii="Times New Roman" w:hAnsi="Times New Roman"/>
          <w:sz w:val="24"/>
          <w:szCs w:val="24"/>
        </w:rPr>
        <w:t xml:space="preserve"> Sheill A (2002). Criteria for evaluating evidence on public health interventions. J Epidemiol Community Health</w:t>
      </w:r>
      <w:r w:rsidR="00826E4F">
        <w:rPr>
          <w:rFonts w:ascii="Times New Roman" w:hAnsi="Times New Roman"/>
          <w:sz w:val="24"/>
          <w:szCs w:val="24"/>
        </w:rPr>
        <w:t xml:space="preserve"> 2002;</w:t>
      </w:r>
      <w:r w:rsidRPr="009735EB">
        <w:rPr>
          <w:rFonts w:ascii="Times New Roman" w:hAnsi="Times New Roman"/>
          <w:sz w:val="24"/>
          <w:szCs w:val="24"/>
        </w:rPr>
        <w:t xml:space="preserve"> 56</w:t>
      </w:r>
      <w:r w:rsidR="00826E4F">
        <w:rPr>
          <w:rFonts w:ascii="Times New Roman" w:hAnsi="Times New Roman"/>
          <w:sz w:val="24"/>
          <w:szCs w:val="24"/>
        </w:rPr>
        <w:t>:</w:t>
      </w:r>
      <w:r w:rsidRPr="009735EB">
        <w:rPr>
          <w:rFonts w:ascii="Times New Roman" w:hAnsi="Times New Roman"/>
          <w:sz w:val="24"/>
          <w:szCs w:val="24"/>
        </w:rPr>
        <w:t xml:space="preserve"> 119-127.</w:t>
      </w:r>
    </w:p>
    <w:p w:rsidR="00B43D1B" w:rsidRPr="009735EB" w:rsidRDefault="00B43D1B" w:rsidP="00B43D1B">
      <w:pPr>
        <w:pStyle w:val="ListParagraph"/>
        <w:numPr>
          <w:ilvl w:val="0"/>
          <w:numId w:val="1"/>
        </w:numPr>
        <w:spacing w:line="480" w:lineRule="auto"/>
        <w:rPr>
          <w:rFonts w:ascii="Times New Roman" w:hAnsi="Times New Roman"/>
          <w:sz w:val="24"/>
          <w:szCs w:val="24"/>
        </w:rPr>
      </w:pPr>
      <w:r w:rsidRPr="009735EB">
        <w:rPr>
          <w:rFonts w:ascii="Times New Roman" w:hAnsi="Times New Roman"/>
          <w:sz w:val="24"/>
          <w:szCs w:val="24"/>
        </w:rPr>
        <w:t>Hawe P. How much trial and error should we tolerate in community trials? [letter]. BMJ</w:t>
      </w:r>
      <w:r w:rsidR="00826E4F">
        <w:rPr>
          <w:rFonts w:ascii="Times New Roman" w:hAnsi="Times New Roman"/>
          <w:sz w:val="24"/>
          <w:szCs w:val="24"/>
        </w:rPr>
        <w:t xml:space="preserve"> 2000;</w:t>
      </w:r>
      <w:r w:rsidRPr="009735EB">
        <w:rPr>
          <w:rFonts w:ascii="Times New Roman" w:hAnsi="Times New Roman"/>
          <w:sz w:val="24"/>
          <w:szCs w:val="24"/>
        </w:rPr>
        <w:t xml:space="preserve"> 320</w:t>
      </w:r>
      <w:r w:rsidR="00826E4F">
        <w:rPr>
          <w:rFonts w:ascii="Times New Roman" w:hAnsi="Times New Roman"/>
          <w:sz w:val="24"/>
          <w:szCs w:val="24"/>
        </w:rPr>
        <w:t>:</w:t>
      </w:r>
      <w:r w:rsidRPr="009735EB">
        <w:rPr>
          <w:rFonts w:ascii="Times New Roman" w:hAnsi="Times New Roman"/>
          <w:sz w:val="24"/>
          <w:szCs w:val="24"/>
        </w:rPr>
        <w:t xml:space="preserve"> 119.</w:t>
      </w:r>
    </w:p>
    <w:p w:rsidR="00D30DAD" w:rsidRDefault="00D30DAD">
      <w:pPr>
        <w:rPr>
          <w:rFonts w:ascii="Times New Roman" w:hAnsi="Times New Roman"/>
          <w:sz w:val="24"/>
          <w:szCs w:val="24"/>
        </w:rPr>
      </w:pPr>
    </w:p>
    <w:p w:rsidR="00AF3212" w:rsidRDefault="00AF3212">
      <w:pPr>
        <w:rPr>
          <w:rFonts w:ascii="Times New Roman" w:hAnsi="Times New Roman"/>
          <w:sz w:val="24"/>
          <w:szCs w:val="24"/>
        </w:rPr>
      </w:pPr>
    </w:p>
    <w:p w:rsidR="00AF3212" w:rsidRDefault="00AF3212">
      <w:pPr>
        <w:rPr>
          <w:rFonts w:ascii="Times New Roman" w:hAnsi="Times New Roman"/>
          <w:sz w:val="24"/>
          <w:szCs w:val="24"/>
        </w:rPr>
      </w:pPr>
    </w:p>
    <w:p w:rsidR="00AF3212" w:rsidRDefault="00AF3212">
      <w:pPr>
        <w:rPr>
          <w:rFonts w:ascii="Times New Roman" w:hAnsi="Times New Roman"/>
          <w:sz w:val="24"/>
          <w:szCs w:val="24"/>
        </w:rPr>
      </w:pPr>
    </w:p>
    <w:p w:rsidR="00AF3212" w:rsidRDefault="00AF3212">
      <w:pPr>
        <w:rPr>
          <w:rFonts w:ascii="Times New Roman" w:hAnsi="Times New Roman"/>
          <w:sz w:val="24"/>
          <w:szCs w:val="24"/>
        </w:rPr>
      </w:pPr>
    </w:p>
    <w:p w:rsidR="00AF3212" w:rsidRDefault="00AF3212">
      <w:pPr>
        <w:rPr>
          <w:rFonts w:ascii="Times New Roman" w:hAnsi="Times New Roman"/>
          <w:sz w:val="24"/>
          <w:szCs w:val="24"/>
        </w:rPr>
      </w:pPr>
    </w:p>
    <w:p w:rsidR="00AF3212" w:rsidRDefault="00AF3212">
      <w:pPr>
        <w:rPr>
          <w:rFonts w:ascii="Times New Roman" w:hAnsi="Times New Roman"/>
          <w:sz w:val="24"/>
          <w:szCs w:val="24"/>
        </w:rPr>
      </w:pPr>
    </w:p>
    <w:p w:rsidR="00AF3212" w:rsidRDefault="00AF3212">
      <w:pPr>
        <w:rPr>
          <w:rFonts w:ascii="Times New Roman" w:hAnsi="Times New Roman"/>
          <w:sz w:val="24"/>
          <w:szCs w:val="24"/>
        </w:rPr>
      </w:pPr>
    </w:p>
    <w:p w:rsidR="00AF3212" w:rsidRDefault="00AF3212">
      <w:pPr>
        <w:rPr>
          <w:rFonts w:ascii="Times New Roman" w:hAnsi="Times New Roman"/>
          <w:b/>
          <w:sz w:val="24"/>
          <w:szCs w:val="24"/>
        </w:rPr>
      </w:pPr>
      <w:r w:rsidRPr="00AF3212">
        <w:rPr>
          <w:rFonts w:ascii="Times New Roman" w:hAnsi="Times New Roman"/>
          <w:b/>
          <w:sz w:val="24"/>
          <w:szCs w:val="24"/>
        </w:rPr>
        <w:t>Tables</w:t>
      </w:r>
    </w:p>
    <w:p w:rsidR="00AF3212" w:rsidRDefault="00AF3212">
      <w:pPr>
        <w:rPr>
          <w:rFonts w:ascii="Times New Roman" w:hAnsi="Times New Roman"/>
          <w:b/>
          <w:sz w:val="24"/>
          <w:szCs w:val="24"/>
        </w:rPr>
      </w:pPr>
    </w:p>
    <w:p w:rsidR="00AF3212" w:rsidRPr="00B23932" w:rsidRDefault="00AF3212" w:rsidP="00AF3212">
      <w:pPr>
        <w:spacing w:line="480" w:lineRule="auto"/>
        <w:rPr>
          <w:rFonts w:ascii="Arial" w:hAnsi="Arial" w:cs="Arial"/>
        </w:rPr>
      </w:pPr>
      <w:r w:rsidRPr="00B23932">
        <w:rPr>
          <w:rFonts w:ascii="Arial" w:hAnsi="Arial" w:cs="Arial"/>
          <w:b/>
        </w:rPr>
        <w:t>Table 1 – Parameter estimated from the Segmented Regression analysis for early stage (T1-T2) and late stage (T3-T4) laryngeal cancer patients with relation to the public health campaign</w:t>
      </w: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76"/>
        <w:gridCol w:w="3402"/>
        <w:gridCol w:w="1293"/>
        <w:gridCol w:w="833"/>
        <w:gridCol w:w="851"/>
        <w:gridCol w:w="1175"/>
        <w:gridCol w:w="1028"/>
      </w:tblGrid>
      <w:tr w:rsidR="00AF3212" w:rsidRPr="00B23932" w:rsidTr="00C04E5B">
        <w:trPr>
          <w:trHeight w:val="240"/>
        </w:trPr>
        <w:tc>
          <w:tcPr>
            <w:tcW w:w="1276" w:type="dxa"/>
            <w:shd w:val="clear" w:color="auto" w:fill="FFFFFF" w:themeFill="background1"/>
            <w:noWrap/>
            <w:hideMark/>
          </w:tcPr>
          <w:p w:rsidR="00AF3212" w:rsidRPr="00B23932" w:rsidRDefault="00AF3212" w:rsidP="00C04E5B">
            <w:pPr>
              <w:spacing w:after="0" w:line="480" w:lineRule="auto"/>
              <w:rPr>
                <w:rFonts w:ascii="Arial" w:hAnsi="Arial" w:cs="Arial"/>
                <w:b/>
                <w:bCs/>
                <w:color w:val="000000"/>
                <w:sz w:val="20"/>
                <w:szCs w:val="20"/>
                <w:lang w:eastAsia="en-GB"/>
              </w:rPr>
            </w:pPr>
            <w:r w:rsidRPr="00B23932">
              <w:rPr>
                <w:rFonts w:ascii="Arial" w:hAnsi="Arial" w:cs="Arial"/>
                <w:b/>
                <w:bCs/>
                <w:color w:val="000000"/>
                <w:sz w:val="20"/>
                <w:szCs w:val="20"/>
                <w:lang w:eastAsia="en-GB"/>
              </w:rPr>
              <w:t> </w:t>
            </w:r>
          </w:p>
        </w:tc>
        <w:tc>
          <w:tcPr>
            <w:tcW w:w="3402" w:type="dxa"/>
            <w:shd w:val="clear" w:color="auto" w:fill="FFFFFF" w:themeFill="background1"/>
            <w:noWrap/>
            <w:vAlign w:val="bottom"/>
            <w:hideMark/>
          </w:tcPr>
          <w:p w:rsidR="00AF3212" w:rsidRPr="00B23932" w:rsidRDefault="00AF3212" w:rsidP="00C04E5B">
            <w:pPr>
              <w:spacing w:after="0" w:line="480" w:lineRule="auto"/>
              <w:rPr>
                <w:rFonts w:ascii="Arial" w:hAnsi="Arial" w:cs="Arial"/>
                <w:color w:val="000000"/>
                <w:sz w:val="20"/>
                <w:szCs w:val="20"/>
                <w:lang w:eastAsia="en-GB"/>
              </w:rPr>
            </w:pPr>
            <w:r w:rsidRPr="00B23932">
              <w:rPr>
                <w:rFonts w:ascii="Arial" w:hAnsi="Arial" w:cs="Arial"/>
                <w:color w:val="000000"/>
                <w:sz w:val="20"/>
                <w:szCs w:val="20"/>
                <w:lang w:eastAsia="en-GB"/>
              </w:rPr>
              <w:t> </w:t>
            </w:r>
          </w:p>
        </w:tc>
        <w:tc>
          <w:tcPr>
            <w:tcW w:w="1293" w:type="dxa"/>
            <w:shd w:val="clear" w:color="auto" w:fill="FFFFFF" w:themeFill="background1"/>
            <w:noWrap/>
            <w:vAlign w:val="bottom"/>
            <w:hideMark/>
          </w:tcPr>
          <w:p w:rsidR="00AF3212" w:rsidRPr="00B23932" w:rsidRDefault="00AF3212" w:rsidP="00C04E5B">
            <w:pPr>
              <w:spacing w:after="0" w:line="480" w:lineRule="auto"/>
              <w:jc w:val="center"/>
              <w:rPr>
                <w:rFonts w:ascii="Arial" w:hAnsi="Arial" w:cs="Arial"/>
                <w:b/>
                <w:bCs/>
                <w:color w:val="000000"/>
                <w:sz w:val="20"/>
                <w:szCs w:val="20"/>
                <w:lang w:eastAsia="en-GB"/>
              </w:rPr>
            </w:pPr>
            <w:r w:rsidRPr="00B23932">
              <w:rPr>
                <w:rFonts w:ascii="Arial" w:hAnsi="Arial" w:cs="Arial"/>
                <w:b/>
                <w:bCs/>
                <w:color w:val="000000"/>
                <w:sz w:val="20"/>
                <w:szCs w:val="20"/>
                <w:lang w:eastAsia="en-GB"/>
              </w:rPr>
              <w:t>Coefficient</w:t>
            </w:r>
          </w:p>
        </w:tc>
        <w:tc>
          <w:tcPr>
            <w:tcW w:w="833" w:type="dxa"/>
            <w:shd w:val="clear" w:color="auto" w:fill="FFFFFF" w:themeFill="background1"/>
            <w:noWrap/>
            <w:vAlign w:val="bottom"/>
            <w:hideMark/>
          </w:tcPr>
          <w:p w:rsidR="00AF3212" w:rsidRPr="00B23932" w:rsidRDefault="00AF3212" w:rsidP="00C04E5B">
            <w:pPr>
              <w:spacing w:after="0" w:line="480" w:lineRule="auto"/>
              <w:jc w:val="center"/>
              <w:rPr>
                <w:rFonts w:ascii="Arial" w:hAnsi="Arial" w:cs="Arial"/>
                <w:b/>
                <w:bCs/>
                <w:color w:val="000000"/>
                <w:sz w:val="20"/>
                <w:szCs w:val="20"/>
                <w:lang w:eastAsia="en-GB"/>
              </w:rPr>
            </w:pPr>
            <w:r w:rsidRPr="00B23932">
              <w:rPr>
                <w:rFonts w:ascii="Arial" w:hAnsi="Arial" w:cs="Arial"/>
                <w:b/>
                <w:bCs/>
                <w:color w:val="000000"/>
                <w:sz w:val="20"/>
                <w:szCs w:val="20"/>
                <w:lang w:eastAsia="en-GB"/>
              </w:rPr>
              <w:t>SE</w:t>
            </w:r>
          </w:p>
        </w:tc>
        <w:tc>
          <w:tcPr>
            <w:tcW w:w="851" w:type="dxa"/>
            <w:shd w:val="clear" w:color="auto" w:fill="FFFFFF" w:themeFill="background1"/>
            <w:noWrap/>
            <w:vAlign w:val="bottom"/>
            <w:hideMark/>
          </w:tcPr>
          <w:p w:rsidR="00AF3212" w:rsidRPr="00B23932" w:rsidRDefault="00AF3212" w:rsidP="00C04E5B">
            <w:pPr>
              <w:spacing w:after="0" w:line="480" w:lineRule="auto"/>
              <w:jc w:val="center"/>
              <w:rPr>
                <w:rFonts w:ascii="Arial" w:hAnsi="Arial" w:cs="Arial"/>
                <w:b/>
                <w:bCs/>
                <w:color w:val="000000"/>
                <w:sz w:val="20"/>
                <w:szCs w:val="20"/>
                <w:lang w:eastAsia="en-GB"/>
              </w:rPr>
            </w:pPr>
            <w:r w:rsidRPr="00B23932">
              <w:rPr>
                <w:rFonts w:ascii="Arial" w:hAnsi="Arial" w:cs="Arial"/>
                <w:b/>
                <w:bCs/>
                <w:color w:val="000000"/>
                <w:sz w:val="20"/>
                <w:szCs w:val="20"/>
                <w:lang w:eastAsia="en-GB"/>
              </w:rPr>
              <w:t>Beta</w:t>
            </w:r>
          </w:p>
        </w:tc>
        <w:tc>
          <w:tcPr>
            <w:tcW w:w="1175" w:type="dxa"/>
            <w:shd w:val="clear" w:color="auto" w:fill="FFFFFF" w:themeFill="background1"/>
            <w:noWrap/>
            <w:vAlign w:val="bottom"/>
            <w:hideMark/>
          </w:tcPr>
          <w:p w:rsidR="00AF3212" w:rsidRPr="00B23932" w:rsidRDefault="00AF3212" w:rsidP="00C04E5B">
            <w:pPr>
              <w:spacing w:after="0" w:line="480" w:lineRule="auto"/>
              <w:jc w:val="center"/>
              <w:rPr>
                <w:rFonts w:ascii="Arial" w:hAnsi="Arial" w:cs="Arial"/>
                <w:b/>
                <w:bCs/>
                <w:color w:val="000000"/>
                <w:sz w:val="20"/>
                <w:szCs w:val="20"/>
                <w:lang w:eastAsia="en-GB"/>
              </w:rPr>
            </w:pPr>
            <w:r w:rsidRPr="00B23932">
              <w:rPr>
                <w:rFonts w:ascii="Arial" w:hAnsi="Arial" w:cs="Arial"/>
                <w:b/>
                <w:bCs/>
                <w:color w:val="000000"/>
                <w:sz w:val="20"/>
                <w:szCs w:val="20"/>
                <w:lang w:eastAsia="en-GB"/>
              </w:rPr>
              <w:t>t-statistic</w:t>
            </w:r>
          </w:p>
        </w:tc>
        <w:tc>
          <w:tcPr>
            <w:tcW w:w="1028" w:type="dxa"/>
            <w:shd w:val="clear" w:color="auto" w:fill="FFFFFF" w:themeFill="background1"/>
            <w:noWrap/>
            <w:vAlign w:val="bottom"/>
            <w:hideMark/>
          </w:tcPr>
          <w:p w:rsidR="00AF3212" w:rsidRPr="00B23932" w:rsidRDefault="00AF3212" w:rsidP="00C04E5B">
            <w:pPr>
              <w:spacing w:after="0" w:line="480" w:lineRule="auto"/>
              <w:jc w:val="center"/>
              <w:rPr>
                <w:rFonts w:ascii="Arial" w:hAnsi="Arial" w:cs="Arial"/>
                <w:b/>
                <w:bCs/>
                <w:color w:val="000000"/>
                <w:sz w:val="20"/>
                <w:szCs w:val="20"/>
                <w:lang w:eastAsia="en-GB"/>
              </w:rPr>
            </w:pPr>
            <w:r w:rsidRPr="00B23932">
              <w:rPr>
                <w:rFonts w:ascii="Arial" w:hAnsi="Arial" w:cs="Arial"/>
                <w:b/>
                <w:bCs/>
                <w:color w:val="000000"/>
                <w:sz w:val="20"/>
                <w:szCs w:val="20"/>
                <w:lang w:eastAsia="en-GB"/>
              </w:rPr>
              <w:t>p-value</w:t>
            </w:r>
          </w:p>
        </w:tc>
      </w:tr>
      <w:tr w:rsidR="00AF3212" w:rsidRPr="00B23932" w:rsidTr="00C04E5B">
        <w:trPr>
          <w:trHeight w:val="295"/>
        </w:trPr>
        <w:tc>
          <w:tcPr>
            <w:tcW w:w="1276" w:type="dxa"/>
            <w:vMerge w:val="restart"/>
            <w:shd w:val="clear" w:color="auto" w:fill="FFFFFF" w:themeFill="background1"/>
            <w:noWrap/>
            <w:hideMark/>
          </w:tcPr>
          <w:p w:rsidR="00AF3212" w:rsidRPr="00B23932" w:rsidRDefault="00AF3212" w:rsidP="00C04E5B">
            <w:pPr>
              <w:spacing w:line="480" w:lineRule="auto"/>
              <w:rPr>
                <w:rFonts w:ascii="Arial" w:hAnsi="Arial" w:cs="Arial"/>
                <w:b/>
                <w:bCs/>
                <w:color w:val="000000"/>
                <w:sz w:val="20"/>
                <w:szCs w:val="20"/>
              </w:rPr>
            </w:pPr>
            <w:r w:rsidRPr="00B23932">
              <w:rPr>
                <w:rFonts w:ascii="Arial" w:hAnsi="Arial" w:cs="Arial"/>
                <w:b/>
                <w:sz w:val="20"/>
                <w:szCs w:val="20"/>
              </w:rPr>
              <w:t>Early stage (T1-T2) laryngeal cancer</w:t>
            </w:r>
          </w:p>
        </w:tc>
        <w:tc>
          <w:tcPr>
            <w:tcW w:w="3402" w:type="dxa"/>
            <w:shd w:val="clear" w:color="auto" w:fill="FFFFFF" w:themeFill="background1"/>
            <w:noWrap/>
            <w:vAlign w:val="center"/>
            <w:hideMark/>
          </w:tcPr>
          <w:p w:rsidR="00AF3212" w:rsidRPr="00B23932" w:rsidRDefault="00AF3212" w:rsidP="00C04E5B">
            <w:pPr>
              <w:spacing w:line="480" w:lineRule="auto"/>
              <w:rPr>
                <w:rFonts w:ascii="Arial" w:hAnsi="Arial" w:cs="Arial"/>
                <w:color w:val="000000"/>
                <w:sz w:val="20"/>
                <w:szCs w:val="20"/>
              </w:rPr>
            </w:pPr>
            <w:r w:rsidRPr="00B23932">
              <w:rPr>
                <w:rFonts w:ascii="Arial" w:hAnsi="Arial" w:cs="Arial"/>
                <w:color w:val="000000"/>
                <w:sz w:val="20"/>
                <w:szCs w:val="20"/>
              </w:rPr>
              <w:t>DW=2.1</w:t>
            </w:r>
          </w:p>
        </w:tc>
        <w:tc>
          <w:tcPr>
            <w:tcW w:w="1293" w:type="dxa"/>
            <w:shd w:val="clear" w:color="auto" w:fill="FFFFFF" w:themeFill="background1"/>
            <w:noWrap/>
            <w:vAlign w:val="bottom"/>
          </w:tcPr>
          <w:p w:rsidR="00AF3212" w:rsidRPr="00B23932" w:rsidRDefault="00AF3212" w:rsidP="00C04E5B">
            <w:pPr>
              <w:spacing w:after="0" w:line="480" w:lineRule="auto"/>
              <w:jc w:val="right"/>
              <w:rPr>
                <w:rFonts w:ascii="Arial" w:hAnsi="Arial" w:cs="Arial"/>
                <w:sz w:val="20"/>
                <w:szCs w:val="20"/>
              </w:rPr>
            </w:pPr>
          </w:p>
        </w:tc>
        <w:tc>
          <w:tcPr>
            <w:tcW w:w="833" w:type="dxa"/>
            <w:shd w:val="clear" w:color="auto" w:fill="FFFFFF" w:themeFill="background1"/>
            <w:noWrap/>
            <w:vAlign w:val="bottom"/>
          </w:tcPr>
          <w:p w:rsidR="00AF3212" w:rsidRPr="00B23932" w:rsidRDefault="00AF3212" w:rsidP="00C04E5B">
            <w:pPr>
              <w:spacing w:after="0" w:line="480" w:lineRule="auto"/>
              <w:jc w:val="right"/>
              <w:rPr>
                <w:rFonts w:ascii="Arial" w:hAnsi="Arial" w:cs="Arial"/>
                <w:sz w:val="20"/>
                <w:szCs w:val="20"/>
              </w:rPr>
            </w:pPr>
          </w:p>
        </w:tc>
        <w:tc>
          <w:tcPr>
            <w:tcW w:w="851" w:type="dxa"/>
            <w:shd w:val="clear" w:color="auto" w:fill="FFFFFF" w:themeFill="background1"/>
            <w:noWrap/>
            <w:vAlign w:val="bottom"/>
          </w:tcPr>
          <w:p w:rsidR="00AF3212" w:rsidRPr="00B23932" w:rsidRDefault="00AF3212" w:rsidP="00C04E5B">
            <w:pPr>
              <w:spacing w:after="0" w:line="480" w:lineRule="auto"/>
              <w:jc w:val="right"/>
              <w:rPr>
                <w:rFonts w:ascii="Arial" w:hAnsi="Arial" w:cs="Arial"/>
                <w:sz w:val="20"/>
                <w:szCs w:val="20"/>
              </w:rPr>
            </w:pPr>
          </w:p>
        </w:tc>
        <w:tc>
          <w:tcPr>
            <w:tcW w:w="1175" w:type="dxa"/>
            <w:shd w:val="clear" w:color="auto" w:fill="FFFFFF" w:themeFill="background1"/>
            <w:noWrap/>
            <w:vAlign w:val="bottom"/>
          </w:tcPr>
          <w:p w:rsidR="00AF3212" w:rsidRPr="00B23932" w:rsidRDefault="00AF3212" w:rsidP="00C04E5B">
            <w:pPr>
              <w:spacing w:after="0" w:line="480" w:lineRule="auto"/>
              <w:jc w:val="right"/>
              <w:rPr>
                <w:rFonts w:ascii="Arial" w:hAnsi="Arial" w:cs="Arial"/>
                <w:sz w:val="20"/>
                <w:szCs w:val="20"/>
              </w:rPr>
            </w:pPr>
          </w:p>
        </w:tc>
        <w:tc>
          <w:tcPr>
            <w:tcW w:w="1028" w:type="dxa"/>
            <w:shd w:val="clear" w:color="auto" w:fill="FFFFFF" w:themeFill="background1"/>
            <w:noWrap/>
            <w:vAlign w:val="bottom"/>
          </w:tcPr>
          <w:p w:rsidR="00AF3212" w:rsidRPr="00B23932" w:rsidRDefault="00AF3212" w:rsidP="00C04E5B">
            <w:pPr>
              <w:spacing w:after="0" w:line="480" w:lineRule="auto"/>
              <w:jc w:val="right"/>
              <w:rPr>
                <w:rFonts w:ascii="Arial" w:hAnsi="Arial" w:cs="Arial"/>
                <w:sz w:val="20"/>
                <w:szCs w:val="20"/>
              </w:rPr>
            </w:pPr>
          </w:p>
        </w:tc>
      </w:tr>
      <w:tr w:rsidR="00AF3212" w:rsidRPr="00B23932" w:rsidTr="00C04E5B">
        <w:trPr>
          <w:trHeight w:val="240"/>
        </w:trPr>
        <w:tc>
          <w:tcPr>
            <w:tcW w:w="1276" w:type="dxa"/>
            <w:vMerge/>
            <w:shd w:val="clear" w:color="auto" w:fill="FFFFFF" w:themeFill="background1"/>
            <w:vAlign w:val="center"/>
            <w:hideMark/>
          </w:tcPr>
          <w:p w:rsidR="00AF3212" w:rsidRPr="00B23932" w:rsidRDefault="00AF3212" w:rsidP="00C04E5B">
            <w:pPr>
              <w:spacing w:after="0" w:line="480" w:lineRule="auto"/>
              <w:rPr>
                <w:rFonts w:ascii="Arial" w:hAnsi="Arial" w:cs="Arial"/>
                <w:b/>
                <w:bCs/>
                <w:color w:val="000000"/>
                <w:sz w:val="20"/>
                <w:szCs w:val="20"/>
                <w:lang w:eastAsia="en-GB"/>
              </w:rPr>
            </w:pPr>
          </w:p>
        </w:tc>
        <w:tc>
          <w:tcPr>
            <w:tcW w:w="3402" w:type="dxa"/>
            <w:shd w:val="clear" w:color="auto" w:fill="FFFFFF" w:themeFill="background1"/>
            <w:noWrap/>
            <w:vAlign w:val="bottom"/>
            <w:hideMark/>
          </w:tcPr>
          <w:p w:rsidR="00AF3212" w:rsidRPr="00B23932" w:rsidRDefault="00AF3212" w:rsidP="00C04E5B">
            <w:pPr>
              <w:spacing w:after="0" w:line="480" w:lineRule="auto"/>
              <w:rPr>
                <w:rFonts w:ascii="Arial" w:hAnsi="Arial" w:cs="Arial"/>
                <w:color w:val="000000"/>
                <w:sz w:val="20"/>
                <w:szCs w:val="20"/>
                <w:lang w:eastAsia="en-GB"/>
              </w:rPr>
            </w:pPr>
            <w:r w:rsidRPr="00B23932">
              <w:rPr>
                <w:rFonts w:ascii="Arial" w:hAnsi="Arial" w:cs="Arial"/>
                <w:color w:val="000000"/>
                <w:sz w:val="20"/>
                <w:szCs w:val="20"/>
              </w:rPr>
              <w:t>Intercept</w:t>
            </w:r>
          </w:p>
        </w:tc>
        <w:tc>
          <w:tcPr>
            <w:tcW w:w="129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0.729</w:t>
            </w:r>
          </w:p>
        </w:tc>
        <w:tc>
          <w:tcPr>
            <w:tcW w:w="83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0.477</w:t>
            </w:r>
          </w:p>
        </w:tc>
        <w:tc>
          <w:tcPr>
            <w:tcW w:w="851" w:type="dxa"/>
            <w:shd w:val="clear" w:color="auto" w:fill="FFFFFF" w:themeFill="background1"/>
            <w:noWrap/>
            <w:vAlign w:val="center"/>
            <w:hideMark/>
          </w:tcPr>
          <w:p w:rsidR="00AF3212" w:rsidRPr="00B23932" w:rsidRDefault="00AF3212" w:rsidP="00C04E5B">
            <w:pPr>
              <w:spacing w:after="0" w:line="480" w:lineRule="auto"/>
              <w:rPr>
                <w:rFonts w:ascii="Arial" w:hAnsi="Arial" w:cs="Arial"/>
                <w:sz w:val="20"/>
                <w:szCs w:val="20"/>
              </w:rPr>
            </w:pPr>
          </w:p>
        </w:tc>
        <w:tc>
          <w:tcPr>
            <w:tcW w:w="1175"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1.530</w:t>
            </w:r>
          </w:p>
        </w:tc>
        <w:tc>
          <w:tcPr>
            <w:tcW w:w="1028"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0.131</w:t>
            </w:r>
          </w:p>
        </w:tc>
      </w:tr>
      <w:tr w:rsidR="00AF3212" w:rsidRPr="00B23932" w:rsidTr="00C04E5B">
        <w:trPr>
          <w:trHeight w:val="240"/>
        </w:trPr>
        <w:tc>
          <w:tcPr>
            <w:tcW w:w="1276" w:type="dxa"/>
            <w:vMerge/>
            <w:shd w:val="clear" w:color="auto" w:fill="FFFFFF" w:themeFill="background1"/>
            <w:vAlign w:val="center"/>
            <w:hideMark/>
          </w:tcPr>
          <w:p w:rsidR="00AF3212" w:rsidRPr="00B23932" w:rsidRDefault="00AF3212" w:rsidP="00C04E5B">
            <w:pPr>
              <w:spacing w:after="0" w:line="480" w:lineRule="auto"/>
              <w:rPr>
                <w:rFonts w:ascii="Arial" w:hAnsi="Arial" w:cs="Arial"/>
                <w:b/>
                <w:bCs/>
                <w:color w:val="000000"/>
                <w:sz w:val="20"/>
                <w:szCs w:val="20"/>
                <w:lang w:eastAsia="en-GB"/>
              </w:rPr>
            </w:pPr>
          </w:p>
        </w:tc>
        <w:tc>
          <w:tcPr>
            <w:tcW w:w="3402" w:type="dxa"/>
            <w:shd w:val="clear" w:color="auto" w:fill="FFFFFF" w:themeFill="background1"/>
            <w:noWrap/>
            <w:vAlign w:val="bottom"/>
            <w:hideMark/>
          </w:tcPr>
          <w:p w:rsidR="00AF3212" w:rsidRPr="00B23932" w:rsidRDefault="00AF3212" w:rsidP="00C04E5B">
            <w:pPr>
              <w:spacing w:after="0" w:line="480" w:lineRule="auto"/>
              <w:rPr>
                <w:rFonts w:ascii="Arial" w:hAnsi="Arial" w:cs="Arial"/>
                <w:color w:val="000000"/>
                <w:sz w:val="20"/>
                <w:szCs w:val="20"/>
                <w:lang w:eastAsia="en-GB"/>
              </w:rPr>
            </w:pPr>
            <w:r w:rsidRPr="00B23932">
              <w:rPr>
                <w:rFonts w:ascii="Arial" w:hAnsi="Arial" w:cs="Arial"/>
                <w:color w:val="000000"/>
                <w:sz w:val="20"/>
                <w:szCs w:val="20"/>
              </w:rPr>
              <w:t>Baseline Trend</w:t>
            </w:r>
          </w:p>
        </w:tc>
        <w:tc>
          <w:tcPr>
            <w:tcW w:w="129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0.039</w:t>
            </w:r>
          </w:p>
        </w:tc>
        <w:tc>
          <w:tcPr>
            <w:tcW w:w="83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0.024</w:t>
            </w:r>
          </w:p>
        </w:tc>
        <w:tc>
          <w:tcPr>
            <w:tcW w:w="851"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0.570</w:t>
            </w:r>
          </w:p>
        </w:tc>
        <w:tc>
          <w:tcPr>
            <w:tcW w:w="1175"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1.599</w:t>
            </w:r>
          </w:p>
        </w:tc>
        <w:tc>
          <w:tcPr>
            <w:tcW w:w="1028"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0.115</w:t>
            </w:r>
          </w:p>
        </w:tc>
      </w:tr>
      <w:tr w:rsidR="00AF3212" w:rsidRPr="00B23932" w:rsidTr="00C04E5B">
        <w:trPr>
          <w:trHeight w:val="240"/>
        </w:trPr>
        <w:tc>
          <w:tcPr>
            <w:tcW w:w="1276" w:type="dxa"/>
            <w:vMerge/>
            <w:shd w:val="clear" w:color="auto" w:fill="FFFFFF" w:themeFill="background1"/>
            <w:vAlign w:val="center"/>
            <w:hideMark/>
          </w:tcPr>
          <w:p w:rsidR="00AF3212" w:rsidRPr="00B23932" w:rsidRDefault="00AF3212" w:rsidP="00C04E5B">
            <w:pPr>
              <w:spacing w:after="0" w:line="480" w:lineRule="auto"/>
              <w:rPr>
                <w:rFonts w:ascii="Arial" w:hAnsi="Arial" w:cs="Arial"/>
                <w:b/>
                <w:bCs/>
                <w:color w:val="000000"/>
                <w:sz w:val="20"/>
                <w:szCs w:val="20"/>
                <w:lang w:eastAsia="en-GB"/>
              </w:rPr>
            </w:pPr>
          </w:p>
        </w:tc>
        <w:tc>
          <w:tcPr>
            <w:tcW w:w="3402" w:type="dxa"/>
            <w:shd w:val="clear" w:color="auto" w:fill="FFFFFF" w:themeFill="background1"/>
            <w:noWrap/>
            <w:vAlign w:val="bottom"/>
            <w:hideMark/>
          </w:tcPr>
          <w:p w:rsidR="00AF3212" w:rsidRPr="00B23932" w:rsidRDefault="00AF3212" w:rsidP="00C04E5B">
            <w:pPr>
              <w:spacing w:after="0" w:line="480" w:lineRule="auto"/>
              <w:rPr>
                <w:rFonts w:ascii="Arial" w:hAnsi="Arial" w:cs="Arial"/>
                <w:color w:val="000000"/>
                <w:sz w:val="20"/>
                <w:szCs w:val="20"/>
                <w:lang w:eastAsia="en-GB"/>
              </w:rPr>
            </w:pPr>
            <w:r w:rsidRPr="00B23932">
              <w:rPr>
                <w:rFonts w:ascii="Arial" w:hAnsi="Arial" w:cs="Arial"/>
                <w:color w:val="000000"/>
                <w:sz w:val="20"/>
                <w:szCs w:val="20"/>
              </w:rPr>
              <w:t>Level change after intervention</w:t>
            </w:r>
          </w:p>
        </w:tc>
        <w:tc>
          <w:tcPr>
            <w:tcW w:w="129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-0.865</w:t>
            </w:r>
          </w:p>
        </w:tc>
        <w:tc>
          <w:tcPr>
            <w:tcW w:w="83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0.654</w:t>
            </w:r>
          </w:p>
        </w:tc>
        <w:tc>
          <w:tcPr>
            <w:tcW w:w="851"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-0.326</w:t>
            </w:r>
          </w:p>
        </w:tc>
        <w:tc>
          <w:tcPr>
            <w:tcW w:w="1175"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-1.322</w:t>
            </w:r>
          </w:p>
        </w:tc>
        <w:tc>
          <w:tcPr>
            <w:tcW w:w="1028"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0.191</w:t>
            </w:r>
          </w:p>
        </w:tc>
      </w:tr>
      <w:tr w:rsidR="00AF3212" w:rsidRPr="00B23932" w:rsidTr="00C04E5B">
        <w:trPr>
          <w:trHeight w:val="240"/>
        </w:trPr>
        <w:tc>
          <w:tcPr>
            <w:tcW w:w="1276" w:type="dxa"/>
            <w:vMerge/>
            <w:shd w:val="clear" w:color="auto" w:fill="FFFFFF" w:themeFill="background1"/>
            <w:vAlign w:val="center"/>
            <w:hideMark/>
          </w:tcPr>
          <w:p w:rsidR="00AF3212" w:rsidRPr="00B23932" w:rsidRDefault="00AF3212" w:rsidP="00C04E5B">
            <w:pPr>
              <w:spacing w:after="0" w:line="480" w:lineRule="auto"/>
              <w:rPr>
                <w:rFonts w:ascii="Arial" w:hAnsi="Arial" w:cs="Arial"/>
                <w:b/>
                <w:bCs/>
                <w:color w:val="000000"/>
                <w:sz w:val="20"/>
                <w:szCs w:val="20"/>
                <w:lang w:eastAsia="en-GB"/>
              </w:rPr>
            </w:pPr>
          </w:p>
        </w:tc>
        <w:tc>
          <w:tcPr>
            <w:tcW w:w="3402" w:type="dxa"/>
            <w:shd w:val="clear" w:color="auto" w:fill="FFFFFF" w:themeFill="background1"/>
            <w:noWrap/>
            <w:vAlign w:val="bottom"/>
            <w:hideMark/>
          </w:tcPr>
          <w:p w:rsidR="00AF3212" w:rsidRPr="00B23932" w:rsidRDefault="00AF3212" w:rsidP="00C04E5B">
            <w:pPr>
              <w:spacing w:after="0" w:line="480" w:lineRule="auto"/>
              <w:rPr>
                <w:rFonts w:ascii="Arial" w:hAnsi="Arial" w:cs="Arial"/>
                <w:color w:val="000000"/>
                <w:sz w:val="20"/>
                <w:szCs w:val="20"/>
                <w:lang w:eastAsia="en-GB"/>
              </w:rPr>
            </w:pPr>
            <w:r w:rsidRPr="00B23932">
              <w:rPr>
                <w:rFonts w:ascii="Arial" w:hAnsi="Arial" w:cs="Arial"/>
                <w:color w:val="000000"/>
                <w:sz w:val="20"/>
                <w:szCs w:val="20"/>
              </w:rPr>
              <w:t>Trend after intervention</w:t>
            </w:r>
          </w:p>
        </w:tc>
        <w:tc>
          <w:tcPr>
            <w:tcW w:w="129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-0.026</w:t>
            </w:r>
          </w:p>
        </w:tc>
        <w:tc>
          <w:tcPr>
            <w:tcW w:w="83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0.034</w:t>
            </w:r>
          </w:p>
        </w:tc>
        <w:tc>
          <w:tcPr>
            <w:tcW w:w="851"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-0.220</w:t>
            </w:r>
          </w:p>
        </w:tc>
        <w:tc>
          <w:tcPr>
            <w:tcW w:w="1175"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-0.772</w:t>
            </w:r>
          </w:p>
        </w:tc>
        <w:tc>
          <w:tcPr>
            <w:tcW w:w="1028"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sz w:val="20"/>
                <w:szCs w:val="20"/>
              </w:rPr>
            </w:pPr>
            <w:r w:rsidRPr="00B23932">
              <w:rPr>
                <w:rFonts w:ascii="Arial" w:hAnsi="Arial" w:cs="Arial"/>
                <w:sz w:val="20"/>
                <w:szCs w:val="20"/>
              </w:rPr>
              <w:t>0.443</w:t>
            </w:r>
          </w:p>
        </w:tc>
      </w:tr>
      <w:tr w:rsidR="00AF3212" w:rsidRPr="00B23932" w:rsidTr="00C04E5B">
        <w:trPr>
          <w:trHeight w:val="311"/>
        </w:trPr>
        <w:tc>
          <w:tcPr>
            <w:tcW w:w="1276" w:type="dxa"/>
            <w:vMerge w:val="restart"/>
            <w:shd w:val="clear" w:color="auto" w:fill="FFFFFF" w:themeFill="background1"/>
            <w:noWrap/>
            <w:hideMark/>
          </w:tcPr>
          <w:p w:rsidR="00AF3212" w:rsidRPr="00B23932" w:rsidRDefault="00AF3212" w:rsidP="00C04E5B">
            <w:pPr>
              <w:spacing w:line="480" w:lineRule="auto"/>
              <w:rPr>
                <w:rFonts w:ascii="Arial" w:hAnsi="Arial" w:cs="Arial"/>
                <w:b/>
                <w:bCs/>
                <w:color w:val="000000"/>
                <w:sz w:val="20"/>
                <w:szCs w:val="20"/>
              </w:rPr>
            </w:pPr>
            <w:r w:rsidRPr="00B23932">
              <w:rPr>
                <w:rFonts w:ascii="Arial" w:hAnsi="Arial" w:cs="Arial"/>
                <w:b/>
                <w:sz w:val="20"/>
                <w:szCs w:val="20"/>
              </w:rPr>
              <w:t>Late stage (T3-T4) laryngeal cancer</w:t>
            </w:r>
          </w:p>
        </w:tc>
        <w:tc>
          <w:tcPr>
            <w:tcW w:w="3402" w:type="dxa"/>
            <w:shd w:val="clear" w:color="auto" w:fill="FFFFFF" w:themeFill="background1"/>
            <w:noWrap/>
            <w:vAlign w:val="bottom"/>
            <w:hideMark/>
          </w:tcPr>
          <w:p w:rsidR="00AF3212" w:rsidRPr="00B23932" w:rsidRDefault="00AF3212" w:rsidP="00C04E5B">
            <w:pPr>
              <w:spacing w:line="480" w:lineRule="auto"/>
              <w:rPr>
                <w:rFonts w:ascii="Arial" w:hAnsi="Arial" w:cs="Arial"/>
                <w:color w:val="000000"/>
                <w:sz w:val="20"/>
                <w:szCs w:val="20"/>
              </w:rPr>
            </w:pPr>
            <w:r w:rsidRPr="00B23932">
              <w:rPr>
                <w:rFonts w:ascii="Arial" w:hAnsi="Arial" w:cs="Arial"/>
                <w:color w:val="000000"/>
                <w:sz w:val="20"/>
                <w:szCs w:val="20"/>
              </w:rPr>
              <w:t>DW=1.5</w:t>
            </w:r>
          </w:p>
        </w:tc>
        <w:tc>
          <w:tcPr>
            <w:tcW w:w="1293" w:type="dxa"/>
            <w:shd w:val="clear" w:color="auto" w:fill="FFFFFF" w:themeFill="background1"/>
            <w:noWrap/>
            <w:vAlign w:val="bottom"/>
          </w:tcPr>
          <w:p w:rsidR="00AF3212" w:rsidRPr="00B23932" w:rsidRDefault="00AF3212" w:rsidP="00C04E5B">
            <w:pPr>
              <w:spacing w:line="480" w:lineRule="auto"/>
              <w:rPr>
                <w:rFonts w:ascii="Arial" w:hAnsi="Arial" w:cs="Arial"/>
                <w:color w:val="000000"/>
                <w:sz w:val="20"/>
                <w:szCs w:val="20"/>
              </w:rPr>
            </w:pPr>
          </w:p>
        </w:tc>
        <w:tc>
          <w:tcPr>
            <w:tcW w:w="833" w:type="dxa"/>
            <w:shd w:val="clear" w:color="auto" w:fill="FFFFFF" w:themeFill="background1"/>
            <w:noWrap/>
            <w:vAlign w:val="bottom"/>
          </w:tcPr>
          <w:p w:rsidR="00AF3212" w:rsidRPr="00B23932" w:rsidRDefault="00AF3212" w:rsidP="00C04E5B">
            <w:pPr>
              <w:spacing w:line="480" w:lineRule="auto"/>
              <w:rPr>
                <w:rFonts w:ascii="Arial" w:hAnsi="Arial" w:cs="Arial"/>
                <w:color w:val="000000"/>
                <w:sz w:val="20"/>
                <w:szCs w:val="20"/>
              </w:rPr>
            </w:pPr>
          </w:p>
        </w:tc>
        <w:tc>
          <w:tcPr>
            <w:tcW w:w="851" w:type="dxa"/>
            <w:shd w:val="clear" w:color="auto" w:fill="FFFFFF" w:themeFill="background1"/>
            <w:noWrap/>
            <w:vAlign w:val="bottom"/>
          </w:tcPr>
          <w:p w:rsidR="00AF3212" w:rsidRPr="00B23932" w:rsidRDefault="00AF3212" w:rsidP="00C04E5B">
            <w:pPr>
              <w:spacing w:line="480" w:lineRule="auto"/>
              <w:rPr>
                <w:rFonts w:ascii="Arial" w:hAnsi="Arial" w:cs="Arial"/>
                <w:color w:val="000000"/>
                <w:sz w:val="20"/>
                <w:szCs w:val="20"/>
              </w:rPr>
            </w:pPr>
          </w:p>
        </w:tc>
        <w:tc>
          <w:tcPr>
            <w:tcW w:w="1175" w:type="dxa"/>
            <w:shd w:val="clear" w:color="auto" w:fill="FFFFFF" w:themeFill="background1"/>
            <w:noWrap/>
            <w:vAlign w:val="bottom"/>
          </w:tcPr>
          <w:p w:rsidR="00AF3212" w:rsidRPr="00B23932" w:rsidRDefault="00AF3212" w:rsidP="00C04E5B">
            <w:pPr>
              <w:spacing w:line="480" w:lineRule="auto"/>
              <w:rPr>
                <w:rFonts w:ascii="Arial" w:hAnsi="Arial" w:cs="Arial"/>
                <w:color w:val="000000"/>
                <w:sz w:val="20"/>
                <w:szCs w:val="20"/>
              </w:rPr>
            </w:pPr>
          </w:p>
        </w:tc>
        <w:tc>
          <w:tcPr>
            <w:tcW w:w="1028" w:type="dxa"/>
            <w:shd w:val="clear" w:color="auto" w:fill="FFFFFF" w:themeFill="background1"/>
            <w:noWrap/>
            <w:vAlign w:val="bottom"/>
          </w:tcPr>
          <w:p w:rsidR="00AF3212" w:rsidRPr="00B23932" w:rsidRDefault="00AF3212" w:rsidP="00C04E5B">
            <w:pPr>
              <w:spacing w:line="480" w:lineRule="auto"/>
              <w:rPr>
                <w:rFonts w:ascii="Arial" w:hAnsi="Arial" w:cs="Arial"/>
                <w:color w:val="000000"/>
                <w:sz w:val="20"/>
                <w:szCs w:val="20"/>
              </w:rPr>
            </w:pPr>
          </w:p>
        </w:tc>
      </w:tr>
      <w:tr w:rsidR="00AF3212" w:rsidRPr="00B23932" w:rsidTr="00C04E5B">
        <w:trPr>
          <w:trHeight w:val="240"/>
        </w:trPr>
        <w:tc>
          <w:tcPr>
            <w:tcW w:w="1276" w:type="dxa"/>
            <w:vMerge/>
            <w:shd w:val="clear" w:color="auto" w:fill="FFFFFF" w:themeFill="background1"/>
            <w:vAlign w:val="center"/>
            <w:hideMark/>
          </w:tcPr>
          <w:p w:rsidR="00AF3212" w:rsidRPr="00B23932" w:rsidRDefault="00AF3212" w:rsidP="00C04E5B">
            <w:pPr>
              <w:spacing w:after="0" w:line="480" w:lineRule="auto"/>
              <w:rPr>
                <w:rFonts w:ascii="Arial" w:hAnsi="Arial" w:cs="Arial"/>
                <w:b/>
                <w:bCs/>
                <w:color w:val="000000"/>
                <w:sz w:val="20"/>
                <w:szCs w:val="20"/>
                <w:lang w:eastAsia="en-GB"/>
              </w:rPr>
            </w:pPr>
          </w:p>
        </w:tc>
        <w:tc>
          <w:tcPr>
            <w:tcW w:w="3402" w:type="dxa"/>
            <w:shd w:val="clear" w:color="auto" w:fill="FFFFFF" w:themeFill="background1"/>
            <w:noWrap/>
            <w:vAlign w:val="bottom"/>
            <w:hideMark/>
          </w:tcPr>
          <w:p w:rsidR="00AF3212" w:rsidRPr="00B23932" w:rsidRDefault="00AF3212" w:rsidP="00C04E5B">
            <w:pPr>
              <w:spacing w:after="0" w:line="480" w:lineRule="auto"/>
              <w:rPr>
                <w:rFonts w:ascii="Arial" w:hAnsi="Arial" w:cs="Arial"/>
                <w:color w:val="000000"/>
                <w:sz w:val="20"/>
                <w:szCs w:val="20"/>
                <w:lang w:eastAsia="en-GB"/>
              </w:rPr>
            </w:pPr>
            <w:r w:rsidRPr="00B23932">
              <w:rPr>
                <w:rFonts w:ascii="Arial" w:hAnsi="Arial" w:cs="Arial"/>
                <w:color w:val="000000"/>
                <w:sz w:val="20"/>
                <w:szCs w:val="20"/>
              </w:rPr>
              <w:t>Intercept</w:t>
            </w:r>
          </w:p>
        </w:tc>
        <w:tc>
          <w:tcPr>
            <w:tcW w:w="129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2.710</w:t>
            </w:r>
          </w:p>
        </w:tc>
        <w:tc>
          <w:tcPr>
            <w:tcW w:w="83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0.358</w:t>
            </w:r>
          </w:p>
        </w:tc>
        <w:tc>
          <w:tcPr>
            <w:tcW w:w="851" w:type="dxa"/>
            <w:shd w:val="clear" w:color="auto" w:fill="FFFFFF" w:themeFill="background1"/>
            <w:noWrap/>
            <w:vAlign w:val="center"/>
            <w:hideMark/>
          </w:tcPr>
          <w:p w:rsidR="00AF3212" w:rsidRPr="00B23932" w:rsidRDefault="00AF3212" w:rsidP="00C04E5B">
            <w:pPr>
              <w:spacing w:after="0" w:line="480" w:lineRule="auto"/>
              <w:rPr>
                <w:rFonts w:ascii="Arial" w:hAnsi="Arial" w:cs="Arial"/>
                <w:color w:val="000000"/>
                <w:sz w:val="20"/>
                <w:szCs w:val="20"/>
                <w:lang w:eastAsia="en-GB"/>
              </w:rPr>
            </w:pPr>
          </w:p>
        </w:tc>
        <w:tc>
          <w:tcPr>
            <w:tcW w:w="1175"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7.573</w:t>
            </w:r>
          </w:p>
        </w:tc>
        <w:tc>
          <w:tcPr>
            <w:tcW w:w="1028"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0.000</w:t>
            </w:r>
          </w:p>
        </w:tc>
      </w:tr>
      <w:tr w:rsidR="00AF3212" w:rsidRPr="00B23932" w:rsidTr="00C04E5B">
        <w:trPr>
          <w:trHeight w:val="240"/>
        </w:trPr>
        <w:tc>
          <w:tcPr>
            <w:tcW w:w="1276" w:type="dxa"/>
            <w:vMerge/>
            <w:shd w:val="clear" w:color="auto" w:fill="FFFFFF" w:themeFill="background1"/>
            <w:vAlign w:val="center"/>
            <w:hideMark/>
          </w:tcPr>
          <w:p w:rsidR="00AF3212" w:rsidRPr="00B23932" w:rsidRDefault="00AF3212" w:rsidP="00C04E5B">
            <w:pPr>
              <w:spacing w:after="0" w:line="480" w:lineRule="auto"/>
              <w:rPr>
                <w:rFonts w:ascii="Arial" w:hAnsi="Arial" w:cs="Arial"/>
                <w:b/>
                <w:bCs/>
                <w:color w:val="000000"/>
                <w:sz w:val="20"/>
                <w:szCs w:val="20"/>
                <w:lang w:eastAsia="en-GB"/>
              </w:rPr>
            </w:pPr>
          </w:p>
        </w:tc>
        <w:tc>
          <w:tcPr>
            <w:tcW w:w="3402" w:type="dxa"/>
            <w:shd w:val="clear" w:color="auto" w:fill="FFFFFF" w:themeFill="background1"/>
            <w:noWrap/>
            <w:vAlign w:val="bottom"/>
            <w:hideMark/>
          </w:tcPr>
          <w:p w:rsidR="00AF3212" w:rsidRPr="00B23932" w:rsidRDefault="00AF3212" w:rsidP="00C04E5B">
            <w:pPr>
              <w:spacing w:after="0" w:line="480" w:lineRule="auto"/>
              <w:rPr>
                <w:rFonts w:ascii="Arial" w:hAnsi="Arial" w:cs="Arial"/>
                <w:color w:val="000000"/>
                <w:sz w:val="20"/>
                <w:szCs w:val="20"/>
                <w:lang w:eastAsia="en-GB"/>
              </w:rPr>
            </w:pPr>
            <w:r w:rsidRPr="00B23932">
              <w:rPr>
                <w:rFonts w:ascii="Arial" w:hAnsi="Arial" w:cs="Arial"/>
                <w:color w:val="000000"/>
                <w:sz w:val="20"/>
                <w:szCs w:val="20"/>
              </w:rPr>
              <w:t>Baseline Trend</w:t>
            </w:r>
          </w:p>
        </w:tc>
        <w:tc>
          <w:tcPr>
            <w:tcW w:w="129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-0.036</w:t>
            </w:r>
          </w:p>
        </w:tc>
        <w:tc>
          <w:tcPr>
            <w:tcW w:w="83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0.018</w:t>
            </w:r>
          </w:p>
        </w:tc>
        <w:tc>
          <w:tcPr>
            <w:tcW w:w="851"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-0.631</w:t>
            </w:r>
          </w:p>
        </w:tc>
        <w:tc>
          <w:tcPr>
            <w:tcW w:w="1175"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-1.984</w:t>
            </w:r>
          </w:p>
        </w:tc>
        <w:tc>
          <w:tcPr>
            <w:tcW w:w="1028"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0.052</w:t>
            </w:r>
          </w:p>
        </w:tc>
      </w:tr>
      <w:tr w:rsidR="00AF3212" w:rsidRPr="00B23932" w:rsidTr="00C04E5B">
        <w:trPr>
          <w:trHeight w:val="240"/>
        </w:trPr>
        <w:tc>
          <w:tcPr>
            <w:tcW w:w="1276" w:type="dxa"/>
            <w:vMerge/>
            <w:shd w:val="clear" w:color="auto" w:fill="FFFFFF" w:themeFill="background1"/>
            <w:vAlign w:val="center"/>
            <w:hideMark/>
          </w:tcPr>
          <w:p w:rsidR="00AF3212" w:rsidRPr="00B23932" w:rsidRDefault="00AF3212" w:rsidP="00C04E5B">
            <w:pPr>
              <w:spacing w:after="0" w:line="480" w:lineRule="auto"/>
              <w:rPr>
                <w:rFonts w:ascii="Arial" w:hAnsi="Arial" w:cs="Arial"/>
                <w:b/>
                <w:bCs/>
                <w:color w:val="000000"/>
                <w:sz w:val="20"/>
                <w:szCs w:val="20"/>
                <w:lang w:eastAsia="en-GB"/>
              </w:rPr>
            </w:pPr>
          </w:p>
        </w:tc>
        <w:tc>
          <w:tcPr>
            <w:tcW w:w="3402" w:type="dxa"/>
            <w:shd w:val="clear" w:color="auto" w:fill="FFFFFF" w:themeFill="background1"/>
            <w:noWrap/>
            <w:vAlign w:val="bottom"/>
            <w:hideMark/>
          </w:tcPr>
          <w:p w:rsidR="00AF3212" w:rsidRPr="00B23932" w:rsidRDefault="00AF3212" w:rsidP="00C04E5B">
            <w:pPr>
              <w:spacing w:after="0" w:line="480" w:lineRule="auto"/>
              <w:rPr>
                <w:rFonts w:ascii="Arial" w:hAnsi="Arial" w:cs="Arial"/>
                <w:color w:val="000000"/>
                <w:sz w:val="20"/>
                <w:szCs w:val="20"/>
                <w:lang w:eastAsia="en-GB"/>
              </w:rPr>
            </w:pPr>
            <w:r w:rsidRPr="00B23932">
              <w:rPr>
                <w:rFonts w:ascii="Arial" w:hAnsi="Arial" w:cs="Arial"/>
                <w:color w:val="000000"/>
                <w:sz w:val="20"/>
                <w:szCs w:val="20"/>
              </w:rPr>
              <w:t>Level change after intervention</w:t>
            </w:r>
          </w:p>
        </w:tc>
        <w:tc>
          <w:tcPr>
            <w:tcW w:w="129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0.203</w:t>
            </w:r>
          </w:p>
        </w:tc>
        <w:tc>
          <w:tcPr>
            <w:tcW w:w="83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0.491</w:t>
            </w:r>
          </w:p>
        </w:tc>
        <w:tc>
          <w:tcPr>
            <w:tcW w:w="851"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0.091</w:t>
            </w:r>
          </w:p>
        </w:tc>
        <w:tc>
          <w:tcPr>
            <w:tcW w:w="1175"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0.414</w:t>
            </w:r>
          </w:p>
        </w:tc>
        <w:tc>
          <w:tcPr>
            <w:tcW w:w="1028"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0.680</w:t>
            </w:r>
          </w:p>
        </w:tc>
      </w:tr>
      <w:tr w:rsidR="00AF3212" w:rsidRPr="00B23932" w:rsidTr="00C04E5B">
        <w:trPr>
          <w:trHeight w:val="240"/>
        </w:trPr>
        <w:tc>
          <w:tcPr>
            <w:tcW w:w="1276" w:type="dxa"/>
            <w:vMerge/>
            <w:shd w:val="clear" w:color="auto" w:fill="FFFFFF" w:themeFill="background1"/>
            <w:vAlign w:val="center"/>
            <w:hideMark/>
          </w:tcPr>
          <w:p w:rsidR="00AF3212" w:rsidRPr="00B23932" w:rsidRDefault="00AF3212" w:rsidP="00C04E5B">
            <w:pPr>
              <w:spacing w:after="0" w:line="480" w:lineRule="auto"/>
              <w:rPr>
                <w:rFonts w:ascii="Arial" w:hAnsi="Arial" w:cs="Arial"/>
                <w:b/>
                <w:bCs/>
                <w:color w:val="000000"/>
                <w:sz w:val="20"/>
                <w:szCs w:val="20"/>
                <w:lang w:eastAsia="en-GB"/>
              </w:rPr>
            </w:pPr>
          </w:p>
        </w:tc>
        <w:tc>
          <w:tcPr>
            <w:tcW w:w="3402" w:type="dxa"/>
            <w:shd w:val="clear" w:color="auto" w:fill="FFFFFF" w:themeFill="background1"/>
            <w:noWrap/>
            <w:vAlign w:val="bottom"/>
            <w:hideMark/>
          </w:tcPr>
          <w:p w:rsidR="00AF3212" w:rsidRPr="00B23932" w:rsidRDefault="00AF3212" w:rsidP="00C04E5B">
            <w:pPr>
              <w:spacing w:after="0" w:line="480" w:lineRule="auto"/>
              <w:rPr>
                <w:rFonts w:ascii="Arial" w:hAnsi="Arial" w:cs="Arial"/>
                <w:color w:val="000000"/>
                <w:sz w:val="20"/>
                <w:szCs w:val="20"/>
                <w:lang w:eastAsia="en-GB"/>
              </w:rPr>
            </w:pPr>
            <w:r w:rsidRPr="00B23932">
              <w:rPr>
                <w:rFonts w:ascii="Arial" w:hAnsi="Arial" w:cs="Arial"/>
                <w:color w:val="000000"/>
                <w:sz w:val="20"/>
                <w:szCs w:val="20"/>
              </w:rPr>
              <w:t>Trend after intervention</w:t>
            </w:r>
          </w:p>
        </w:tc>
        <w:tc>
          <w:tcPr>
            <w:tcW w:w="129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0.008</w:t>
            </w:r>
          </w:p>
        </w:tc>
        <w:tc>
          <w:tcPr>
            <w:tcW w:w="833"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0.025</w:t>
            </w:r>
          </w:p>
        </w:tc>
        <w:tc>
          <w:tcPr>
            <w:tcW w:w="851"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0.076</w:t>
            </w:r>
          </w:p>
        </w:tc>
        <w:tc>
          <w:tcPr>
            <w:tcW w:w="1175"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0.297</w:t>
            </w:r>
          </w:p>
        </w:tc>
        <w:tc>
          <w:tcPr>
            <w:tcW w:w="1028" w:type="dxa"/>
            <w:shd w:val="clear" w:color="auto" w:fill="FFFFFF" w:themeFill="background1"/>
            <w:noWrap/>
            <w:vAlign w:val="center"/>
            <w:hideMark/>
          </w:tcPr>
          <w:p w:rsidR="00AF3212" w:rsidRPr="00B23932" w:rsidRDefault="00AF3212" w:rsidP="00C04E5B">
            <w:pPr>
              <w:spacing w:after="0" w:line="480" w:lineRule="auto"/>
              <w:jc w:val="right"/>
              <w:rPr>
                <w:rFonts w:ascii="Arial" w:hAnsi="Arial" w:cs="Arial"/>
                <w:color w:val="000000"/>
                <w:sz w:val="20"/>
                <w:szCs w:val="20"/>
                <w:lang w:eastAsia="en-GB"/>
              </w:rPr>
            </w:pPr>
            <w:r w:rsidRPr="00B23932">
              <w:rPr>
                <w:rFonts w:ascii="Arial" w:hAnsi="Arial" w:cs="Arial"/>
                <w:sz w:val="20"/>
                <w:szCs w:val="20"/>
              </w:rPr>
              <w:t>0.767</w:t>
            </w:r>
          </w:p>
        </w:tc>
      </w:tr>
    </w:tbl>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r>
        <w:rPr>
          <w:rFonts w:ascii="Times New Roman" w:hAnsi="Times New Roman"/>
          <w:b/>
          <w:sz w:val="24"/>
          <w:szCs w:val="24"/>
        </w:rPr>
        <w:t>Figures</w:t>
      </w:r>
    </w:p>
    <w:p w:rsidR="00AF3212" w:rsidRDefault="00AF3212">
      <w:pPr>
        <w:rPr>
          <w:rFonts w:ascii="Times New Roman" w:hAnsi="Times New Roman"/>
          <w:b/>
          <w:sz w:val="24"/>
          <w:szCs w:val="24"/>
        </w:rPr>
      </w:pPr>
    </w:p>
    <w:tbl>
      <w:tblPr>
        <w:tblStyle w:val="TableGrid"/>
        <w:tblW w:w="0" w:type="auto"/>
        <w:tblLook w:val="04A0" w:firstRow="1" w:lastRow="0" w:firstColumn="1" w:lastColumn="0" w:noHBand="0" w:noVBand="1"/>
      </w:tblPr>
      <w:tblGrid>
        <w:gridCol w:w="9242"/>
      </w:tblGrid>
      <w:tr w:rsidR="00AF3212" w:rsidRPr="00B23932" w:rsidTr="00C04E5B">
        <w:tc>
          <w:tcPr>
            <w:tcW w:w="9242" w:type="dxa"/>
          </w:tcPr>
          <w:p w:rsidR="00AF3212" w:rsidRPr="00B23932" w:rsidRDefault="00AF3212" w:rsidP="00C04E5B">
            <w:pPr>
              <w:autoSpaceDE w:val="0"/>
              <w:autoSpaceDN w:val="0"/>
              <w:adjustRightInd w:val="0"/>
              <w:spacing w:line="480" w:lineRule="auto"/>
              <w:rPr>
                <w:rFonts w:ascii="Arial" w:eastAsiaTheme="majorEastAsia" w:hAnsi="Arial" w:cs="Arial"/>
                <w:b/>
                <w:bCs/>
                <w:color w:val="365F91" w:themeColor="accent1" w:themeShade="BF"/>
              </w:rPr>
            </w:pPr>
            <w:r w:rsidRPr="00B23932">
              <w:rPr>
                <w:rFonts w:ascii="Arial" w:hAnsi="Arial" w:cs="Arial"/>
              </w:rPr>
              <w:t xml:space="preserve">Y </w:t>
            </w:r>
            <w:r w:rsidRPr="00B23932">
              <w:rPr>
                <w:rFonts w:ascii="Arial" w:hAnsi="Arial" w:cs="Arial"/>
                <w:i/>
                <w:vertAlign w:val="subscript"/>
              </w:rPr>
              <w:t>t</w:t>
            </w:r>
            <w:r w:rsidRPr="00B23932">
              <w:rPr>
                <w:rFonts w:ascii="Arial" w:hAnsi="Arial" w:cs="Arial"/>
              </w:rPr>
              <w:t xml:space="preserve"> = β</w:t>
            </w:r>
            <w:r w:rsidRPr="00B23932">
              <w:rPr>
                <w:rFonts w:ascii="Arial" w:hAnsi="Arial" w:cs="Arial"/>
                <w:vertAlign w:val="subscript"/>
              </w:rPr>
              <w:t>0</w:t>
            </w:r>
            <w:r w:rsidRPr="00B23932">
              <w:rPr>
                <w:rFonts w:ascii="Arial" w:hAnsi="Arial" w:cs="Arial"/>
              </w:rPr>
              <w:t xml:space="preserve"> + β</w:t>
            </w:r>
            <w:r w:rsidRPr="00B23932">
              <w:rPr>
                <w:rFonts w:ascii="Arial" w:hAnsi="Arial" w:cs="Arial"/>
                <w:vertAlign w:val="subscript"/>
              </w:rPr>
              <w:t xml:space="preserve"> 1</w:t>
            </w:r>
            <w:r w:rsidRPr="00B23932">
              <w:rPr>
                <w:rFonts w:ascii="Arial" w:hAnsi="Arial" w:cs="Arial"/>
              </w:rPr>
              <w:t xml:space="preserve"> x time</w:t>
            </w:r>
            <w:r w:rsidRPr="00B23932">
              <w:rPr>
                <w:rFonts w:ascii="Arial" w:hAnsi="Arial" w:cs="Arial"/>
                <w:i/>
                <w:vertAlign w:val="subscript"/>
              </w:rPr>
              <w:t xml:space="preserve"> t</w:t>
            </w:r>
            <w:r w:rsidRPr="00B23932">
              <w:rPr>
                <w:rFonts w:ascii="Arial" w:hAnsi="Arial" w:cs="Arial"/>
              </w:rPr>
              <w:t xml:space="preserve"> + β</w:t>
            </w:r>
            <w:r w:rsidRPr="00B23932">
              <w:rPr>
                <w:rFonts w:ascii="Arial" w:hAnsi="Arial" w:cs="Arial"/>
                <w:vertAlign w:val="subscript"/>
              </w:rPr>
              <w:t xml:space="preserve"> 2</w:t>
            </w:r>
            <w:r w:rsidRPr="00B23932">
              <w:rPr>
                <w:rFonts w:ascii="Arial" w:hAnsi="Arial" w:cs="Arial"/>
              </w:rPr>
              <w:t>*intervention + β</w:t>
            </w:r>
            <w:r w:rsidRPr="00B23932">
              <w:rPr>
                <w:rFonts w:ascii="Arial" w:hAnsi="Arial" w:cs="Arial"/>
                <w:vertAlign w:val="subscript"/>
              </w:rPr>
              <w:t xml:space="preserve"> 3</w:t>
            </w:r>
            <w:r w:rsidRPr="00B23932">
              <w:rPr>
                <w:rFonts w:ascii="Arial" w:hAnsi="Arial" w:cs="Arial"/>
              </w:rPr>
              <w:t>*time after intervention</w:t>
            </w:r>
            <w:r w:rsidRPr="00B23932">
              <w:rPr>
                <w:rFonts w:ascii="Arial" w:hAnsi="Arial" w:cs="Arial"/>
                <w:i/>
                <w:vertAlign w:val="subscript"/>
              </w:rPr>
              <w:t xml:space="preserve"> t</w:t>
            </w:r>
            <w:r w:rsidRPr="00B23932">
              <w:rPr>
                <w:rFonts w:ascii="Arial" w:hAnsi="Arial" w:cs="Arial"/>
              </w:rPr>
              <w:t xml:space="preserve"> + et</w:t>
            </w:r>
          </w:p>
        </w:tc>
      </w:tr>
    </w:tbl>
    <w:p w:rsidR="00AF3212" w:rsidRDefault="00AF3212" w:rsidP="00AF3212">
      <w:pPr>
        <w:pStyle w:val="Caption"/>
        <w:keepNext/>
        <w:spacing w:line="480" w:lineRule="auto"/>
        <w:rPr>
          <w:rFonts w:ascii="Arial" w:hAnsi="Arial" w:cs="Arial"/>
          <w:color w:val="000000" w:themeColor="text1"/>
          <w:sz w:val="20"/>
          <w:szCs w:val="20"/>
        </w:rPr>
      </w:pPr>
    </w:p>
    <w:p w:rsidR="00AF3212" w:rsidRPr="007E49C4" w:rsidRDefault="00AF3212" w:rsidP="00AF3212">
      <w:pPr>
        <w:pStyle w:val="Caption"/>
        <w:keepNext/>
        <w:spacing w:line="480" w:lineRule="auto"/>
        <w:rPr>
          <w:rFonts w:ascii="Arial" w:hAnsi="Arial" w:cs="Arial"/>
          <w:color w:val="000000" w:themeColor="text1"/>
          <w:sz w:val="16"/>
          <w:szCs w:val="16"/>
        </w:rPr>
      </w:pPr>
      <w:r w:rsidRPr="004A38AE">
        <w:rPr>
          <w:rFonts w:ascii="Arial" w:hAnsi="Arial" w:cs="Arial"/>
          <w:color w:val="000000" w:themeColor="text1"/>
          <w:sz w:val="20"/>
          <w:szCs w:val="20"/>
        </w:rPr>
        <w:t xml:space="preserve">Figure </w:t>
      </w:r>
      <w:r w:rsidRPr="004A38AE">
        <w:rPr>
          <w:rFonts w:ascii="Arial" w:hAnsi="Arial" w:cs="Arial"/>
          <w:color w:val="000000" w:themeColor="text1"/>
          <w:sz w:val="20"/>
          <w:szCs w:val="20"/>
        </w:rPr>
        <w:fldChar w:fldCharType="begin"/>
      </w:r>
      <w:r w:rsidRPr="004A38AE">
        <w:rPr>
          <w:rFonts w:ascii="Arial" w:hAnsi="Arial" w:cs="Arial"/>
          <w:color w:val="000000" w:themeColor="text1"/>
          <w:sz w:val="20"/>
          <w:szCs w:val="20"/>
        </w:rPr>
        <w:instrText xml:space="preserve"> SEQ Equation \* ARABIC </w:instrText>
      </w:r>
      <w:r w:rsidRPr="004A38AE">
        <w:rPr>
          <w:rFonts w:ascii="Arial" w:hAnsi="Arial" w:cs="Arial"/>
          <w:color w:val="000000" w:themeColor="text1"/>
          <w:sz w:val="20"/>
          <w:szCs w:val="20"/>
        </w:rPr>
        <w:fldChar w:fldCharType="separate"/>
      </w:r>
      <w:r w:rsidRPr="004A38AE">
        <w:rPr>
          <w:rFonts w:ascii="Arial" w:hAnsi="Arial" w:cs="Arial"/>
          <w:noProof/>
          <w:color w:val="000000" w:themeColor="text1"/>
          <w:sz w:val="20"/>
          <w:szCs w:val="20"/>
        </w:rPr>
        <w:t>1</w:t>
      </w:r>
      <w:r w:rsidRPr="004A38AE">
        <w:rPr>
          <w:rFonts w:ascii="Arial" w:hAnsi="Arial" w:cs="Arial"/>
          <w:noProof/>
          <w:color w:val="000000" w:themeColor="text1"/>
          <w:sz w:val="20"/>
          <w:szCs w:val="20"/>
        </w:rPr>
        <w:fldChar w:fldCharType="end"/>
      </w:r>
      <w:r w:rsidRPr="004A38AE">
        <w:rPr>
          <w:rFonts w:ascii="Arial" w:hAnsi="Arial" w:cs="Arial"/>
          <w:color w:val="000000" w:themeColor="text1"/>
          <w:sz w:val="20"/>
          <w:szCs w:val="20"/>
        </w:rPr>
        <w:t>:</w:t>
      </w:r>
      <w:r w:rsidRPr="007E49C4">
        <w:rPr>
          <w:rFonts w:ascii="Arial" w:hAnsi="Arial" w:cs="Arial"/>
          <w:color w:val="000000" w:themeColor="text1"/>
          <w:sz w:val="16"/>
          <w:szCs w:val="16"/>
        </w:rPr>
        <w:t xml:space="preserve"> Segmented regression model - Yt is the outcome in month t; β0 estimates the baseline level of the outcome at time zero; β1 estimates the change in the outcome that occurs with each month before the intervention (i.e. the baseline trend); β2 estimates the level change in the outcome immediately after the intervention, that is, from the end of the preceding segment; and β3 estimates the change in the trend in outcome after the intervention, compared with the monthly trend before the intervention; The error term </w:t>
      </w:r>
      <w:r>
        <w:rPr>
          <w:rFonts w:ascii="Arial" w:hAnsi="Arial" w:cs="Arial"/>
          <w:color w:val="000000" w:themeColor="text1"/>
          <w:sz w:val="16"/>
          <w:szCs w:val="16"/>
        </w:rPr>
        <w:t>(</w:t>
      </w:r>
      <w:r w:rsidRPr="007E49C4">
        <w:rPr>
          <w:rFonts w:ascii="Arial" w:hAnsi="Arial" w:cs="Arial"/>
          <w:color w:val="000000" w:themeColor="text1"/>
          <w:sz w:val="16"/>
          <w:szCs w:val="16"/>
        </w:rPr>
        <w:t>et</w:t>
      </w:r>
      <w:r>
        <w:rPr>
          <w:rFonts w:ascii="Arial" w:hAnsi="Arial" w:cs="Arial"/>
          <w:color w:val="000000" w:themeColor="text1"/>
          <w:sz w:val="16"/>
          <w:szCs w:val="16"/>
        </w:rPr>
        <w:t>)</w:t>
      </w:r>
      <w:r w:rsidRPr="007E49C4">
        <w:rPr>
          <w:rFonts w:ascii="Arial" w:hAnsi="Arial" w:cs="Arial"/>
          <w:color w:val="000000" w:themeColor="text1"/>
          <w:sz w:val="16"/>
          <w:szCs w:val="16"/>
        </w:rPr>
        <w:t xml:space="preserve"> at time t represents the random variability not explained by the model</w:t>
      </w:r>
    </w:p>
    <w:p w:rsidR="00AF3212" w:rsidRDefault="00AF3212">
      <w:pPr>
        <w:rPr>
          <w:rFonts w:ascii="Times New Roman" w:hAnsi="Times New Roman"/>
          <w:b/>
          <w:sz w:val="24"/>
          <w:szCs w:val="24"/>
        </w:rPr>
      </w:pPr>
    </w:p>
    <w:p w:rsidR="00AF3212" w:rsidRDefault="00AF3212">
      <w:pPr>
        <w:rPr>
          <w:rFonts w:ascii="Times New Roman" w:hAnsi="Times New Roman"/>
          <w:b/>
          <w:sz w:val="24"/>
          <w:szCs w:val="24"/>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Pr="00B23932" w:rsidRDefault="00AF3212" w:rsidP="00AF3212">
      <w:pPr>
        <w:pStyle w:val="NoSpacing"/>
        <w:spacing w:line="480" w:lineRule="auto"/>
        <w:rPr>
          <w:rFonts w:ascii="Arial" w:hAnsi="Arial" w:cs="Arial"/>
          <w:b/>
        </w:rPr>
      </w:pPr>
      <w:r>
        <w:rPr>
          <w:rFonts w:ascii="Arial" w:hAnsi="Arial" w:cs="Arial"/>
          <w:b/>
        </w:rPr>
        <w:t>Figure 2</w:t>
      </w:r>
      <w:r w:rsidRPr="00B23932">
        <w:rPr>
          <w:rFonts w:ascii="Arial" w:hAnsi="Arial" w:cs="Arial"/>
          <w:b/>
        </w:rPr>
        <w:t xml:space="preserve"> – Regression analysis for early stage (T1-T2) patients</w:t>
      </w:r>
    </w:p>
    <w:p w:rsidR="00AF3212" w:rsidRPr="00B23932" w:rsidRDefault="00AF3212" w:rsidP="00AF3212">
      <w:pPr>
        <w:spacing w:line="480" w:lineRule="auto"/>
        <w:rPr>
          <w:rFonts w:ascii="Arial" w:hAnsi="Arial" w:cs="Arial"/>
        </w:rPr>
      </w:pPr>
    </w:p>
    <w:p w:rsidR="00AF3212" w:rsidRPr="00B23932" w:rsidRDefault="00AF3212" w:rsidP="00AF3212">
      <w:pPr>
        <w:autoSpaceDE w:val="0"/>
        <w:autoSpaceDN w:val="0"/>
        <w:adjustRightInd w:val="0"/>
        <w:spacing w:after="0" w:line="480" w:lineRule="auto"/>
        <w:rPr>
          <w:rFonts w:ascii="Arial" w:hAnsi="Arial" w:cs="Arial"/>
          <w:sz w:val="24"/>
          <w:szCs w:val="24"/>
          <w:lang w:eastAsia="en-GB"/>
        </w:rPr>
      </w:pPr>
      <w:r w:rsidRPr="00B23932">
        <w:rPr>
          <w:rFonts w:ascii="Arial" w:hAnsi="Arial" w:cs="Arial"/>
          <w:noProof/>
          <w:sz w:val="24"/>
          <w:szCs w:val="24"/>
          <w:lang w:eastAsia="en-GB"/>
        </w:rPr>
        <w:drawing>
          <wp:inline distT="0" distB="0" distL="0" distR="0" wp14:anchorId="0729E718" wp14:editId="6D933086">
            <wp:extent cx="5972175" cy="47815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rsidR="00AF3212" w:rsidRDefault="00AF3212" w:rsidP="00AF3212"/>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Default="00AF3212" w:rsidP="00AF3212">
      <w:pPr>
        <w:pStyle w:val="NoSpacing"/>
        <w:spacing w:line="480" w:lineRule="auto"/>
        <w:rPr>
          <w:rFonts w:ascii="Arial" w:hAnsi="Arial" w:cs="Arial"/>
          <w:b/>
        </w:rPr>
      </w:pPr>
    </w:p>
    <w:p w:rsidR="00AF3212" w:rsidRPr="00B23932" w:rsidRDefault="00AF3212" w:rsidP="00AF3212">
      <w:pPr>
        <w:pStyle w:val="NoSpacing"/>
        <w:spacing w:line="480" w:lineRule="auto"/>
        <w:rPr>
          <w:rFonts w:ascii="Arial" w:hAnsi="Arial" w:cs="Arial"/>
          <w:b/>
        </w:rPr>
      </w:pPr>
      <w:r>
        <w:rPr>
          <w:rFonts w:ascii="Arial" w:hAnsi="Arial" w:cs="Arial"/>
          <w:b/>
        </w:rPr>
        <w:t>Figure 3</w:t>
      </w:r>
      <w:r w:rsidRPr="00B23932">
        <w:rPr>
          <w:rFonts w:ascii="Arial" w:hAnsi="Arial" w:cs="Arial"/>
          <w:b/>
        </w:rPr>
        <w:t xml:space="preserve"> – Regression analysis for late stage (T3-T4) patients</w:t>
      </w:r>
    </w:p>
    <w:p w:rsidR="00AF3212" w:rsidRPr="00B23932" w:rsidRDefault="00AF3212" w:rsidP="00AF3212">
      <w:pPr>
        <w:pStyle w:val="NoSpacing"/>
        <w:spacing w:line="480" w:lineRule="auto"/>
        <w:rPr>
          <w:rFonts w:ascii="Arial" w:hAnsi="Arial" w:cs="Arial"/>
          <w:b/>
        </w:rPr>
      </w:pPr>
    </w:p>
    <w:p w:rsidR="00AF3212" w:rsidRPr="00B23932" w:rsidRDefault="00AF3212" w:rsidP="00AF3212">
      <w:pPr>
        <w:autoSpaceDE w:val="0"/>
        <w:autoSpaceDN w:val="0"/>
        <w:adjustRightInd w:val="0"/>
        <w:spacing w:after="0" w:line="480" w:lineRule="auto"/>
        <w:rPr>
          <w:rFonts w:ascii="Arial" w:hAnsi="Arial" w:cs="Arial"/>
          <w:sz w:val="24"/>
          <w:szCs w:val="24"/>
          <w:lang w:eastAsia="en-GB"/>
        </w:rPr>
      </w:pPr>
      <w:r w:rsidRPr="00B23932">
        <w:rPr>
          <w:rFonts w:ascii="Arial" w:hAnsi="Arial" w:cs="Arial"/>
          <w:noProof/>
          <w:sz w:val="24"/>
          <w:szCs w:val="24"/>
          <w:lang w:eastAsia="en-GB"/>
        </w:rPr>
        <w:drawing>
          <wp:inline distT="0" distB="0" distL="0" distR="0" wp14:anchorId="49596853" wp14:editId="060404CF">
            <wp:extent cx="5970270" cy="478282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0270" cy="4782820"/>
                    </a:xfrm>
                    <a:prstGeom prst="rect">
                      <a:avLst/>
                    </a:prstGeom>
                    <a:noFill/>
                    <a:ln>
                      <a:noFill/>
                    </a:ln>
                  </pic:spPr>
                </pic:pic>
              </a:graphicData>
            </a:graphic>
          </wp:inline>
        </w:drawing>
      </w:r>
    </w:p>
    <w:p w:rsidR="00AF3212" w:rsidRPr="00B23932" w:rsidRDefault="00AF3212" w:rsidP="00AF3212">
      <w:pPr>
        <w:spacing w:line="480" w:lineRule="auto"/>
        <w:rPr>
          <w:rFonts w:ascii="Arial" w:hAnsi="Arial" w:cs="Arial"/>
        </w:rPr>
      </w:pPr>
    </w:p>
    <w:p w:rsidR="00AF3212" w:rsidRPr="00AF3212" w:rsidRDefault="00AF3212">
      <w:pPr>
        <w:rPr>
          <w:rFonts w:ascii="Times New Roman" w:hAnsi="Times New Roman"/>
          <w:b/>
          <w:sz w:val="24"/>
          <w:szCs w:val="24"/>
        </w:rPr>
      </w:pPr>
    </w:p>
    <w:sectPr w:rsidR="00AF3212" w:rsidRPr="00AF3212" w:rsidSect="00973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63953"/>
    <w:multiLevelType w:val="hybridMultilevel"/>
    <w:tmpl w:val="AE4E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512FFB"/>
    <w:multiLevelType w:val="hybridMultilevel"/>
    <w:tmpl w:val="F79E1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1B"/>
    <w:rsid w:val="00005F58"/>
    <w:rsid w:val="00015C88"/>
    <w:rsid w:val="00015D3F"/>
    <w:rsid w:val="00020B02"/>
    <w:rsid w:val="00057E15"/>
    <w:rsid w:val="00073878"/>
    <w:rsid w:val="00082733"/>
    <w:rsid w:val="00097E2A"/>
    <w:rsid w:val="000F4EC3"/>
    <w:rsid w:val="000F727A"/>
    <w:rsid w:val="00112FEF"/>
    <w:rsid w:val="00117C43"/>
    <w:rsid w:val="0012146C"/>
    <w:rsid w:val="00133F77"/>
    <w:rsid w:val="001431A3"/>
    <w:rsid w:val="001518CE"/>
    <w:rsid w:val="00160283"/>
    <w:rsid w:val="001716C1"/>
    <w:rsid w:val="001A1DDC"/>
    <w:rsid w:val="001C5A4C"/>
    <w:rsid w:val="001D6B17"/>
    <w:rsid w:val="001D7B25"/>
    <w:rsid w:val="001E06D7"/>
    <w:rsid w:val="001E1D8C"/>
    <w:rsid w:val="001E60D5"/>
    <w:rsid w:val="00202CAF"/>
    <w:rsid w:val="002052FF"/>
    <w:rsid w:val="00215A15"/>
    <w:rsid w:val="00215FE1"/>
    <w:rsid w:val="00225AB7"/>
    <w:rsid w:val="0023288E"/>
    <w:rsid w:val="00233116"/>
    <w:rsid w:val="002564BC"/>
    <w:rsid w:val="00271DCF"/>
    <w:rsid w:val="002803F3"/>
    <w:rsid w:val="00284363"/>
    <w:rsid w:val="00292C16"/>
    <w:rsid w:val="00292D78"/>
    <w:rsid w:val="002A4FC2"/>
    <w:rsid w:val="002C12B6"/>
    <w:rsid w:val="002D6E43"/>
    <w:rsid w:val="002E3EBB"/>
    <w:rsid w:val="00313E26"/>
    <w:rsid w:val="003170FE"/>
    <w:rsid w:val="00336E78"/>
    <w:rsid w:val="003535FA"/>
    <w:rsid w:val="00355E7D"/>
    <w:rsid w:val="00356C2F"/>
    <w:rsid w:val="003653B9"/>
    <w:rsid w:val="00375829"/>
    <w:rsid w:val="00375B56"/>
    <w:rsid w:val="003825E2"/>
    <w:rsid w:val="00383F95"/>
    <w:rsid w:val="003841BA"/>
    <w:rsid w:val="00386FC1"/>
    <w:rsid w:val="00396C65"/>
    <w:rsid w:val="00397982"/>
    <w:rsid w:val="003A1C9D"/>
    <w:rsid w:val="003B165D"/>
    <w:rsid w:val="003B79FC"/>
    <w:rsid w:val="003D222B"/>
    <w:rsid w:val="003E4218"/>
    <w:rsid w:val="003E43CA"/>
    <w:rsid w:val="003F6B7D"/>
    <w:rsid w:val="0040489A"/>
    <w:rsid w:val="00422E31"/>
    <w:rsid w:val="00432C41"/>
    <w:rsid w:val="00436CF8"/>
    <w:rsid w:val="004379D4"/>
    <w:rsid w:val="00444631"/>
    <w:rsid w:val="00445EF0"/>
    <w:rsid w:val="004630A8"/>
    <w:rsid w:val="0047379D"/>
    <w:rsid w:val="00476A99"/>
    <w:rsid w:val="00480CF0"/>
    <w:rsid w:val="00483B8A"/>
    <w:rsid w:val="004B0887"/>
    <w:rsid w:val="004C3444"/>
    <w:rsid w:val="004C57BC"/>
    <w:rsid w:val="004C5DE9"/>
    <w:rsid w:val="004E51F3"/>
    <w:rsid w:val="004F1F05"/>
    <w:rsid w:val="00501E87"/>
    <w:rsid w:val="00503304"/>
    <w:rsid w:val="00505688"/>
    <w:rsid w:val="00516ECD"/>
    <w:rsid w:val="005255C1"/>
    <w:rsid w:val="00526C5D"/>
    <w:rsid w:val="0053194C"/>
    <w:rsid w:val="00532163"/>
    <w:rsid w:val="005555A3"/>
    <w:rsid w:val="00566F7E"/>
    <w:rsid w:val="00583E5D"/>
    <w:rsid w:val="00587780"/>
    <w:rsid w:val="00596390"/>
    <w:rsid w:val="005A0978"/>
    <w:rsid w:val="005A2CE4"/>
    <w:rsid w:val="005C2AB5"/>
    <w:rsid w:val="005C7C66"/>
    <w:rsid w:val="005D2A66"/>
    <w:rsid w:val="005E1C64"/>
    <w:rsid w:val="005F293A"/>
    <w:rsid w:val="005F3169"/>
    <w:rsid w:val="006120C0"/>
    <w:rsid w:val="00620363"/>
    <w:rsid w:val="006340D4"/>
    <w:rsid w:val="00634A84"/>
    <w:rsid w:val="006372D7"/>
    <w:rsid w:val="00643450"/>
    <w:rsid w:val="006451F6"/>
    <w:rsid w:val="00646947"/>
    <w:rsid w:val="00653853"/>
    <w:rsid w:val="0065549C"/>
    <w:rsid w:val="00655F9D"/>
    <w:rsid w:val="00657046"/>
    <w:rsid w:val="00663AB5"/>
    <w:rsid w:val="00666259"/>
    <w:rsid w:val="00684744"/>
    <w:rsid w:val="006A389A"/>
    <w:rsid w:val="006A5314"/>
    <w:rsid w:val="006B4BCF"/>
    <w:rsid w:val="006B760D"/>
    <w:rsid w:val="006F609A"/>
    <w:rsid w:val="007069FE"/>
    <w:rsid w:val="007124BC"/>
    <w:rsid w:val="00717D81"/>
    <w:rsid w:val="00721265"/>
    <w:rsid w:val="00724756"/>
    <w:rsid w:val="007363C8"/>
    <w:rsid w:val="00750CE7"/>
    <w:rsid w:val="00755556"/>
    <w:rsid w:val="00760DB6"/>
    <w:rsid w:val="007754AD"/>
    <w:rsid w:val="00787404"/>
    <w:rsid w:val="0079148F"/>
    <w:rsid w:val="0079370C"/>
    <w:rsid w:val="007C0A2A"/>
    <w:rsid w:val="007E0BC2"/>
    <w:rsid w:val="007E49C4"/>
    <w:rsid w:val="007E6FA7"/>
    <w:rsid w:val="007F1E91"/>
    <w:rsid w:val="007F77CE"/>
    <w:rsid w:val="00803807"/>
    <w:rsid w:val="008059C6"/>
    <w:rsid w:val="00805DEB"/>
    <w:rsid w:val="00810626"/>
    <w:rsid w:val="00817D4E"/>
    <w:rsid w:val="008212EC"/>
    <w:rsid w:val="0082497E"/>
    <w:rsid w:val="00826E4F"/>
    <w:rsid w:val="008270B3"/>
    <w:rsid w:val="00837CAE"/>
    <w:rsid w:val="00837E42"/>
    <w:rsid w:val="00840A6B"/>
    <w:rsid w:val="00842A56"/>
    <w:rsid w:val="00853D9F"/>
    <w:rsid w:val="00855A55"/>
    <w:rsid w:val="00861890"/>
    <w:rsid w:val="008636CB"/>
    <w:rsid w:val="00873E59"/>
    <w:rsid w:val="008827EB"/>
    <w:rsid w:val="00882C0B"/>
    <w:rsid w:val="00895402"/>
    <w:rsid w:val="00897C51"/>
    <w:rsid w:val="008C5932"/>
    <w:rsid w:val="008D117B"/>
    <w:rsid w:val="008D25AC"/>
    <w:rsid w:val="008D4060"/>
    <w:rsid w:val="008D4873"/>
    <w:rsid w:val="008D518E"/>
    <w:rsid w:val="008D63AB"/>
    <w:rsid w:val="008F0D3B"/>
    <w:rsid w:val="00907701"/>
    <w:rsid w:val="00924BED"/>
    <w:rsid w:val="0095056B"/>
    <w:rsid w:val="00960775"/>
    <w:rsid w:val="0096542C"/>
    <w:rsid w:val="009663D3"/>
    <w:rsid w:val="009735EB"/>
    <w:rsid w:val="00977B6F"/>
    <w:rsid w:val="00996C00"/>
    <w:rsid w:val="009A0607"/>
    <w:rsid w:val="009A2C34"/>
    <w:rsid w:val="009B1DB0"/>
    <w:rsid w:val="009C097D"/>
    <w:rsid w:val="009D5856"/>
    <w:rsid w:val="009D780E"/>
    <w:rsid w:val="00A14BEE"/>
    <w:rsid w:val="00A16880"/>
    <w:rsid w:val="00A17734"/>
    <w:rsid w:val="00A21241"/>
    <w:rsid w:val="00A26D12"/>
    <w:rsid w:val="00A42CAE"/>
    <w:rsid w:val="00A519AC"/>
    <w:rsid w:val="00A65074"/>
    <w:rsid w:val="00A834F8"/>
    <w:rsid w:val="00A853AC"/>
    <w:rsid w:val="00A9572C"/>
    <w:rsid w:val="00AA0711"/>
    <w:rsid w:val="00AA2FBA"/>
    <w:rsid w:val="00AC40DC"/>
    <w:rsid w:val="00AC61BE"/>
    <w:rsid w:val="00AD0278"/>
    <w:rsid w:val="00AD46BE"/>
    <w:rsid w:val="00AE1BF8"/>
    <w:rsid w:val="00AE6CD8"/>
    <w:rsid w:val="00AE766B"/>
    <w:rsid w:val="00AF0768"/>
    <w:rsid w:val="00AF3212"/>
    <w:rsid w:val="00B0088E"/>
    <w:rsid w:val="00B024E9"/>
    <w:rsid w:val="00B036BC"/>
    <w:rsid w:val="00B101F0"/>
    <w:rsid w:val="00B16939"/>
    <w:rsid w:val="00B311AE"/>
    <w:rsid w:val="00B43D1B"/>
    <w:rsid w:val="00B600D4"/>
    <w:rsid w:val="00B90E02"/>
    <w:rsid w:val="00B915AA"/>
    <w:rsid w:val="00BA1EB5"/>
    <w:rsid w:val="00BA564B"/>
    <w:rsid w:val="00BB4C9B"/>
    <w:rsid w:val="00BB5E30"/>
    <w:rsid w:val="00BC3A14"/>
    <w:rsid w:val="00BD0863"/>
    <w:rsid w:val="00BD21BC"/>
    <w:rsid w:val="00BD4411"/>
    <w:rsid w:val="00BD47AC"/>
    <w:rsid w:val="00BE3C29"/>
    <w:rsid w:val="00BE3C37"/>
    <w:rsid w:val="00BE5EF2"/>
    <w:rsid w:val="00C00E1D"/>
    <w:rsid w:val="00C01844"/>
    <w:rsid w:val="00C03DCA"/>
    <w:rsid w:val="00C05ADB"/>
    <w:rsid w:val="00C10997"/>
    <w:rsid w:val="00C11A4E"/>
    <w:rsid w:val="00C178AC"/>
    <w:rsid w:val="00C24ED0"/>
    <w:rsid w:val="00C459AB"/>
    <w:rsid w:val="00C54202"/>
    <w:rsid w:val="00C6432D"/>
    <w:rsid w:val="00C81825"/>
    <w:rsid w:val="00C90114"/>
    <w:rsid w:val="00C91C50"/>
    <w:rsid w:val="00C96E53"/>
    <w:rsid w:val="00C9796B"/>
    <w:rsid w:val="00CA1D10"/>
    <w:rsid w:val="00CA5987"/>
    <w:rsid w:val="00CC1C59"/>
    <w:rsid w:val="00CC5504"/>
    <w:rsid w:val="00CD1969"/>
    <w:rsid w:val="00CD2EA4"/>
    <w:rsid w:val="00CE2D95"/>
    <w:rsid w:val="00CF0E88"/>
    <w:rsid w:val="00CF7003"/>
    <w:rsid w:val="00D067E5"/>
    <w:rsid w:val="00D104CF"/>
    <w:rsid w:val="00D109B9"/>
    <w:rsid w:val="00D22735"/>
    <w:rsid w:val="00D25164"/>
    <w:rsid w:val="00D2741C"/>
    <w:rsid w:val="00D30DAD"/>
    <w:rsid w:val="00D43A25"/>
    <w:rsid w:val="00D44363"/>
    <w:rsid w:val="00D46E42"/>
    <w:rsid w:val="00D86970"/>
    <w:rsid w:val="00D94C9D"/>
    <w:rsid w:val="00DB04D9"/>
    <w:rsid w:val="00DC4AB0"/>
    <w:rsid w:val="00DC69A5"/>
    <w:rsid w:val="00DD4F02"/>
    <w:rsid w:val="00DE6FF5"/>
    <w:rsid w:val="00DF2EBB"/>
    <w:rsid w:val="00DF457A"/>
    <w:rsid w:val="00E15C14"/>
    <w:rsid w:val="00E233FC"/>
    <w:rsid w:val="00E3520A"/>
    <w:rsid w:val="00E46E07"/>
    <w:rsid w:val="00E53DC0"/>
    <w:rsid w:val="00E54F50"/>
    <w:rsid w:val="00E610A1"/>
    <w:rsid w:val="00E61795"/>
    <w:rsid w:val="00E65694"/>
    <w:rsid w:val="00E778AB"/>
    <w:rsid w:val="00E82549"/>
    <w:rsid w:val="00E829BC"/>
    <w:rsid w:val="00E9282C"/>
    <w:rsid w:val="00E969D3"/>
    <w:rsid w:val="00EB17FA"/>
    <w:rsid w:val="00EB2EF6"/>
    <w:rsid w:val="00EB5763"/>
    <w:rsid w:val="00EB70BA"/>
    <w:rsid w:val="00ED7201"/>
    <w:rsid w:val="00EF18FC"/>
    <w:rsid w:val="00F03674"/>
    <w:rsid w:val="00F50A3E"/>
    <w:rsid w:val="00F53CA1"/>
    <w:rsid w:val="00F60285"/>
    <w:rsid w:val="00F643CA"/>
    <w:rsid w:val="00F71F7E"/>
    <w:rsid w:val="00F93FAD"/>
    <w:rsid w:val="00FB02E3"/>
    <w:rsid w:val="00FB2EB1"/>
    <w:rsid w:val="00FC33BC"/>
    <w:rsid w:val="00FC3FD9"/>
    <w:rsid w:val="00FE436E"/>
    <w:rsid w:val="00FE4866"/>
    <w:rsid w:val="00FE6C5C"/>
    <w:rsid w:val="00FF02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D1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D1B"/>
    <w:pPr>
      <w:ind w:left="720"/>
      <w:contextualSpacing/>
    </w:pPr>
  </w:style>
  <w:style w:type="paragraph" w:styleId="NoSpacing">
    <w:name w:val="No Spacing"/>
    <w:uiPriority w:val="1"/>
    <w:qFormat/>
    <w:rsid w:val="00B43D1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B43D1B"/>
    <w:rPr>
      <w:color w:val="0000FF" w:themeColor="hyperlink"/>
      <w:u w:val="single"/>
    </w:rPr>
  </w:style>
  <w:style w:type="paragraph" w:styleId="Caption">
    <w:name w:val="caption"/>
    <w:basedOn w:val="Normal"/>
    <w:next w:val="Normal"/>
    <w:uiPriority w:val="35"/>
    <w:unhideWhenUsed/>
    <w:qFormat/>
    <w:rsid w:val="00B43D1B"/>
    <w:pPr>
      <w:spacing w:line="240" w:lineRule="auto"/>
    </w:pPr>
    <w:rPr>
      <w:rFonts w:ascii="Tahoma" w:eastAsiaTheme="minorHAnsi" w:hAnsi="Tahoma" w:cs="Tahoma"/>
      <w:b/>
      <w:bCs/>
      <w:color w:val="4F81BD" w:themeColor="accent1"/>
      <w:sz w:val="24"/>
      <w:szCs w:val="24"/>
    </w:rPr>
  </w:style>
  <w:style w:type="table" w:styleId="TableGrid">
    <w:name w:val="Table Grid"/>
    <w:basedOn w:val="TableNormal"/>
    <w:uiPriority w:val="59"/>
    <w:rsid w:val="00B43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43D1B"/>
  </w:style>
  <w:style w:type="paragraph" w:styleId="BalloonText">
    <w:name w:val="Balloon Text"/>
    <w:basedOn w:val="Normal"/>
    <w:link w:val="BalloonTextChar"/>
    <w:uiPriority w:val="99"/>
    <w:semiHidden/>
    <w:unhideWhenUsed/>
    <w:rsid w:val="00B43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D1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D1B"/>
    <w:pPr>
      <w:ind w:left="720"/>
      <w:contextualSpacing/>
    </w:pPr>
  </w:style>
  <w:style w:type="paragraph" w:styleId="NoSpacing">
    <w:name w:val="No Spacing"/>
    <w:uiPriority w:val="1"/>
    <w:qFormat/>
    <w:rsid w:val="00B43D1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B43D1B"/>
    <w:rPr>
      <w:color w:val="0000FF" w:themeColor="hyperlink"/>
      <w:u w:val="single"/>
    </w:rPr>
  </w:style>
  <w:style w:type="paragraph" w:styleId="Caption">
    <w:name w:val="caption"/>
    <w:basedOn w:val="Normal"/>
    <w:next w:val="Normal"/>
    <w:uiPriority w:val="35"/>
    <w:unhideWhenUsed/>
    <w:qFormat/>
    <w:rsid w:val="00B43D1B"/>
    <w:pPr>
      <w:spacing w:line="240" w:lineRule="auto"/>
    </w:pPr>
    <w:rPr>
      <w:rFonts w:ascii="Tahoma" w:eastAsiaTheme="minorHAnsi" w:hAnsi="Tahoma" w:cs="Tahoma"/>
      <w:b/>
      <w:bCs/>
      <w:color w:val="4F81BD" w:themeColor="accent1"/>
      <w:sz w:val="24"/>
      <w:szCs w:val="24"/>
    </w:rPr>
  </w:style>
  <w:style w:type="table" w:styleId="TableGrid">
    <w:name w:val="Table Grid"/>
    <w:basedOn w:val="TableNormal"/>
    <w:uiPriority w:val="59"/>
    <w:rsid w:val="00B43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43D1B"/>
  </w:style>
  <w:style w:type="paragraph" w:styleId="BalloonText">
    <w:name w:val="Balloon Text"/>
    <w:basedOn w:val="Normal"/>
    <w:link w:val="BalloonTextChar"/>
    <w:uiPriority w:val="99"/>
    <w:semiHidden/>
    <w:unhideWhenUsed/>
    <w:rsid w:val="00B43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titchecked.co.uk" TargetMode="External"/><Relationship Id="rId3" Type="http://schemas.microsoft.com/office/2007/relationships/stylesWithEffects" Target="stylesWithEffects.xml"/><Relationship Id="rId7" Type="http://schemas.openxmlformats.org/officeDocument/2006/relationships/hyperlink" Target="http://www.cancerresearchu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titchecked.co.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va507</cp:lastModifiedBy>
  <cp:revision>2</cp:revision>
  <dcterms:created xsi:type="dcterms:W3CDTF">2017-06-19T09:36:00Z</dcterms:created>
  <dcterms:modified xsi:type="dcterms:W3CDTF">2017-06-19T09:36:00Z</dcterms:modified>
</cp:coreProperties>
</file>