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BA" w:rsidRPr="00C178BA" w:rsidRDefault="00C178BA" w:rsidP="007C6B10">
      <w:pPr>
        <w:spacing w:after="0"/>
        <w:ind w:left="567" w:right="567"/>
        <w:jc w:val="center"/>
        <w:rPr>
          <w:b/>
          <w:sz w:val="36"/>
          <w:szCs w:val="20"/>
        </w:rPr>
      </w:pPr>
      <w:r>
        <w:rPr>
          <w:b/>
          <w:sz w:val="36"/>
          <w:szCs w:val="20"/>
        </w:rPr>
        <w:t>Hedge Fund Index Engineering</w:t>
      </w:r>
      <w:r w:rsidR="008842B5">
        <w:rPr>
          <w:b/>
          <w:sz w:val="36"/>
          <w:szCs w:val="20"/>
        </w:rPr>
        <w:t xml:space="preserve"> Methodologies</w:t>
      </w:r>
      <w:r>
        <w:rPr>
          <w:b/>
          <w:sz w:val="36"/>
          <w:szCs w:val="20"/>
        </w:rPr>
        <w:t xml:space="preserve">: </w:t>
      </w:r>
      <w:r w:rsidRPr="00C178BA">
        <w:rPr>
          <w:b/>
          <w:sz w:val="36"/>
          <w:szCs w:val="20"/>
        </w:rPr>
        <w:t>A Comparison and Demonstration</w:t>
      </w:r>
    </w:p>
    <w:p w:rsidR="001D0001" w:rsidRDefault="001D0001" w:rsidP="001D0001">
      <w:pPr>
        <w:spacing w:after="0" w:line="240" w:lineRule="auto"/>
        <w:jc w:val="center"/>
        <w:rPr>
          <w:szCs w:val="24"/>
        </w:rPr>
      </w:pPr>
    </w:p>
    <w:p w:rsidR="001D0001" w:rsidRPr="00571757" w:rsidRDefault="001D0001" w:rsidP="001D0001">
      <w:pPr>
        <w:spacing w:after="0" w:line="240" w:lineRule="auto"/>
        <w:jc w:val="center"/>
        <w:rPr>
          <w:szCs w:val="24"/>
        </w:rPr>
      </w:pPr>
      <w:proofErr w:type="spellStart"/>
      <w:r>
        <w:rPr>
          <w:szCs w:val="24"/>
        </w:rPr>
        <w:t>Dimitrios</w:t>
      </w:r>
      <w:proofErr w:type="spellEnd"/>
      <w:r>
        <w:rPr>
          <w:szCs w:val="24"/>
        </w:rPr>
        <w:t xml:space="preserve"> </w:t>
      </w:r>
      <w:proofErr w:type="spellStart"/>
      <w:r>
        <w:rPr>
          <w:szCs w:val="24"/>
        </w:rPr>
        <w:t>Stafylas</w:t>
      </w:r>
      <w:proofErr w:type="spellEnd"/>
      <w:r w:rsidR="002F516E">
        <w:rPr>
          <w:rStyle w:val="FootnoteReference"/>
          <w:szCs w:val="24"/>
        </w:rPr>
        <w:footnoteReference w:id="1"/>
      </w:r>
    </w:p>
    <w:p w:rsidR="001D0001" w:rsidRPr="00571757" w:rsidRDefault="001D0001" w:rsidP="001D0001">
      <w:pPr>
        <w:pStyle w:val="BodyText"/>
        <w:spacing w:after="0" w:line="240" w:lineRule="auto"/>
        <w:jc w:val="center"/>
        <w:rPr>
          <w:sz w:val="24"/>
          <w:szCs w:val="24"/>
        </w:rPr>
      </w:pPr>
    </w:p>
    <w:p w:rsidR="001D0001" w:rsidRPr="00571757" w:rsidRDefault="001D0001" w:rsidP="001D0001">
      <w:pPr>
        <w:spacing w:after="0" w:line="240" w:lineRule="auto"/>
        <w:jc w:val="center"/>
        <w:rPr>
          <w:szCs w:val="24"/>
        </w:rPr>
      </w:pPr>
      <w:r w:rsidRPr="00571757">
        <w:rPr>
          <w:szCs w:val="24"/>
        </w:rPr>
        <w:t>Keith Anderson</w:t>
      </w:r>
      <w:r>
        <w:rPr>
          <w:rStyle w:val="FootnoteReference"/>
          <w:szCs w:val="24"/>
        </w:rPr>
        <w:footnoteReference w:id="2"/>
      </w:r>
      <w:r w:rsidRPr="00571757">
        <w:rPr>
          <w:szCs w:val="24"/>
        </w:rPr>
        <w:t xml:space="preserve">* </w:t>
      </w:r>
    </w:p>
    <w:p w:rsidR="001D0001" w:rsidRPr="00571757" w:rsidRDefault="001D0001" w:rsidP="001D0001">
      <w:pPr>
        <w:spacing w:after="0" w:line="240" w:lineRule="auto"/>
        <w:jc w:val="center"/>
        <w:rPr>
          <w:szCs w:val="24"/>
        </w:rPr>
      </w:pPr>
    </w:p>
    <w:p w:rsidR="001D0001" w:rsidRDefault="001D0001" w:rsidP="001D0001">
      <w:pPr>
        <w:spacing w:after="0" w:line="240" w:lineRule="auto"/>
        <w:jc w:val="center"/>
        <w:rPr>
          <w:szCs w:val="24"/>
        </w:rPr>
      </w:pPr>
      <w:proofErr w:type="spellStart"/>
      <w:r>
        <w:rPr>
          <w:szCs w:val="24"/>
        </w:rPr>
        <w:t>Moshfique</w:t>
      </w:r>
      <w:proofErr w:type="spellEnd"/>
      <w:r>
        <w:rPr>
          <w:szCs w:val="24"/>
        </w:rPr>
        <w:t xml:space="preserve"> Uddin</w:t>
      </w:r>
      <w:r>
        <w:rPr>
          <w:rStyle w:val="FootnoteReference"/>
          <w:szCs w:val="24"/>
        </w:rPr>
        <w:footnoteReference w:id="3"/>
      </w:r>
    </w:p>
    <w:p w:rsidR="001D0001" w:rsidRDefault="001D0001" w:rsidP="000A09EF">
      <w:pPr>
        <w:ind w:left="567" w:right="567"/>
        <w:jc w:val="both"/>
        <w:rPr>
          <w:sz w:val="20"/>
          <w:szCs w:val="20"/>
        </w:rPr>
      </w:pPr>
    </w:p>
    <w:p w:rsidR="000A09EF" w:rsidRPr="005F68F4" w:rsidRDefault="000A09EF" w:rsidP="000A09EF">
      <w:pPr>
        <w:ind w:left="567" w:right="567"/>
        <w:jc w:val="both"/>
        <w:rPr>
          <w:sz w:val="20"/>
          <w:szCs w:val="20"/>
        </w:rPr>
      </w:pPr>
      <w:r>
        <w:rPr>
          <w:sz w:val="20"/>
          <w:szCs w:val="20"/>
        </w:rPr>
        <w:t xml:space="preserve">We </w:t>
      </w:r>
      <w:r w:rsidRPr="005F68F4">
        <w:rPr>
          <w:sz w:val="20"/>
          <w:szCs w:val="20"/>
        </w:rPr>
        <w:t xml:space="preserve">examine </w:t>
      </w:r>
      <w:r>
        <w:rPr>
          <w:sz w:val="20"/>
          <w:szCs w:val="20"/>
        </w:rPr>
        <w:t>hedge fund</w:t>
      </w:r>
      <w:r w:rsidRPr="005F68F4">
        <w:rPr>
          <w:sz w:val="20"/>
          <w:szCs w:val="20"/>
        </w:rPr>
        <w:t xml:space="preserve"> </w:t>
      </w:r>
      <w:r w:rsidR="00BF5703">
        <w:rPr>
          <w:sz w:val="20"/>
          <w:szCs w:val="20"/>
        </w:rPr>
        <w:t xml:space="preserve">(HF) </w:t>
      </w:r>
      <w:r w:rsidRPr="005F68F4">
        <w:rPr>
          <w:sz w:val="20"/>
          <w:szCs w:val="20"/>
        </w:rPr>
        <w:t>index construction methodologies</w:t>
      </w:r>
      <w:r>
        <w:rPr>
          <w:sz w:val="20"/>
          <w:szCs w:val="20"/>
        </w:rPr>
        <w:t>, by describing</w:t>
      </w:r>
      <w:r w:rsidRPr="005F68F4">
        <w:rPr>
          <w:sz w:val="20"/>
          <w:szCs w:val="20"/>
        </w:rPr>
        <w:t xml:space="preserve"> </w:t>
      </w:r>
      <w:r>
        <w:rPr>
          <w:sz w:val="20"/>
          <w:szCs w:val="20"/>
        </w:rPr>
        <w:t xml:space="preserve">and </w:t>
      </w:r>
      <w:proofErr w:type="spellStart"/>
      <w:r>
        <w:rPr>
          <w:sz w:val="20"/>
          <w:szCs w:val="20"/>
        </w:rPr>
        <w:t>analy</w:t>
      </w:r>
      <w:r w:rsidR="002E2A9F">
        <w:rPr>
          <w:sz w:val="20"/>
          <w:szCs w:val="20"/>
        </w:rPr>
        <w:t>z</w:t>
      </w:r>
      <w:r>
        <w:rPr>
          <w:sz w:val="20"/>
          <w:szCs w:val="20"/>
        </w:rPr>
        <w:t>ing</w:t>
      </w:r>
      <w:proofErr w:type="spellEnd"/>
      <w:r>
        <w:rPr>
          <w:sz w:val="20"/>
          <w:szCs w:val="20"/>
        </w:rPr>
        <w:t xml:space="preserve"> </w:t>
      </w:r>
      <w:r w:rsidRPr="005F68F4">
        <w:rPr>
          <w:sz w:val="20"/>
          <w:szCs w:val="20"/>
        </w:rPr>
        <w:t>case studies from t</w:t>
      </w:r>
      <w:r>
        <w:rPr>
          <w:sz w:val="20"/>
          <w:szCs w:val="20"/>
        </w:rPr>
        <w:t xml:space="preserve">wo well-known database vendors and </w:t>
      </w:r>
      <w:r w:rsidRPr="005F68F4">
        <w:rPr>
          <w:sz w:val="20"/>
          <w:szCs w:val="20"/>
        </w:rPr>
        <w:t>evaluat</w:t>
      </w:r>
      <w:r w:rsidR="008842B5">
        <w:rPr>
          <w:sz w:val="20"/>
          <w:szCs w:val="20"/>
        </w:rPr>
        <w:t>ing</w:t>
      </w:r>
      <w:r>
        <w:rPr>
          <w:sz w:val="20"/>
          <w:szCs w:val="20"/>
        </w:rPr>
        <w:t xml:space="preserve"> </w:t>
      </w:r>
      <w:proofErr w:type="gramStart"/>
      <w:r>
        <w:rPr>
          <w:sz w:val="20"/>
          <w:szCs w:val="20"/>
        </w:rPr>
        <w:t>them</w:t>
      </w:r>
      <w:proofErr w:type="gramEnd"/>
      <w:r>
        <w:rPr>
          <w:sz w:val="20"/>
          <w:szCs w:val="20"/>
        </w:rPr>
        <w:t xml:space="preserve"> using numerical examples on the same dataset</w:t>
      </w:r>
      <w:r w:rsidRPr="005F68F4">
        <w:rPr>
          <w:sz w:val="20"/>
          <w:szCs w:val="20"/>
        </w:rPr>
        <w:t xml:space="preserve">. </w:t>
      </w:r>
      <w:r>
        <w:rPr>
          <w:sz w:val="20"/>
          <w:szCs w:val="20"/>
        </w:rPr>
        <w:t>D</w:t>
      </w:r>
      <w:r w:rsidRPr="005F68F4">
        <w:rPr>
          <w:sz w:val="20"/>
          <w:szCs w:val="20"/>
        </w:rPr>
        <w:t xml:space="preserve">espite the fact that they follow </w:t>
      </w:r>
      <w:r>
        <w:rPr>
          <w:sz w:val="20"/>
          <w:szCs w:val="20"/>
        </w:rPr>
        <w:t>a similar</w:t>
      </w:r>
      <w:r w:rsidRPr="005F68F4">
        <w:rPr>
          <w:sz w:val="20"/>
          <w:szCs w:val="20"/>
        </w:rPr>
        <w:t xml:space="preserve"> due diligence process, there are great differences </w:t>
      </w:r>
      <w:r>
        <w:rPr>
          <w:sz w:val="20"/>
          <w:szCs w:val="20"/>
        </w:rPr>
        <w:t>in</w:t>
      </w:r>
      <w:r w:rsidRPr="005F68F4">
        <w:rPr>
          <w:sz w:val="20"/>
          <w:szCs w:val="20"/>
        </w:rPr>
        <w:t xml:space="preserve"> the index engineering practices </w:t>
      </w:r>
      <w:r>
        <w:rPr>
          <w:sz w:val="20"/>
          <w:szCs w:val="20"/>
        </w:rPr>
        <w:t>arising from</w:t>
      </w:r>
      <w:r w:rsidRPr="005F68F4">
        <w:rPr>
          <w:sz w:val="20"/>
          <w:szCs w:val="20"/>
        </w:rPr>
        <w:t xml:space="preserve"> different quantitative techniques, even for indices </w:t>
      </w:r>
      <w:r>
        <w:rPr>
          <w:sz w:val="20"/>
          <w:szCs w:val="20"/>
        </w:rPr>
        <w:t xml:space="preserve">in the </w:t>
      </w:r>
      <w:r w:rsidRPr="005F68F4">
        <w:rPr>
          <w:sz w:val="20"/>
          <w:szCs w:val="20"/>
        </w:rPr>
        <w:t xml:space="preserve">same </w:t>
      </w:r>
      <w:r w:rsidR="00BF5703" w:rsidRPr="00BF5703">
        <w:rPr>
          <w:sz w:val="20"/>
          <w:szCs w:val="20"/>
        </w:rPr>
        <w:t>HF</w:t>
      </w:r>
      <w:r>
        <w:rPr>
          <w:sz w:val="20"/>
          <w:szCs w:val="20"/>
        </w:rPr>
        <w:t xml:space="preserve"> </w:t>
      </w:r>
      <w:r w:rsidRPr="005F68F4">
        <w:rPr>
          <w:sz w:val="20"/>
          <w:szCs w:val="20"/>
        </w:rPr>
        <w:t xml:space="preserve">category. </w:t>
      </w:r>
      <w:r>
        <w:rPr>
          <w:sz w:val="20"/>
          <w:szCs w:val="20"/>
        </w:rPr>
        <w:t xml:space="preserve">However, those quantitative techniques provide similar results. The differences are rather due to the use of different </w:t>
      </w:r>
      <w:r w:rsidR="00BF5703" w:rsidRPr="00BF5703">
        <w:rPr>
          <w:sz w:val="20"/>
          <w:szCs w:val="20"/>
        </w:rPr>
        <w:t>HF</w:t>
      </w:r>
      <w:r>
        <w:rPr>
          <w:sz w:val="20"/>
          <w:szCs w:val="20"/>
        </w:rPr>
        <w:t xml:space="preserve"> universes and different inclusion criteria. </w:t>
      </w:r>
      <w:r w:rsidR="00E10B33">
        <w:rPr>
          <w:sz w:val="20"/>
          <w:szCs w:val="20"/>
        </w:rPr>
        <w:t xml:space="preserve">This paper is </w:t>
      </w:r>
      <w:r w:rsidR="00AB7E35">
        <w:rPr>
          <w:sz w:val="20"/>
          <w:szCs w:val="20"/>
        </w:rPr>
        <w:t xml:space="preserve">the first to use actual numerical </w:t>
      </w:r>
      <w:r>
        <w:rPr>
          <w:sz w:val="20"/>
          <w:szCs w:val="20"/>
        </w:rPr>
        <w:t xml:space="preserve">case studies </w:t>
      </w:r>
      <w:r w:rsidR="00AB7E35">
        <w:rPr>
          <w:sz w:val="20"/>
          <w:szCs w:val="20"/>
        </w:rPr>
        <w:t xml:space="preserve">to illustrate </w:t>
      </w:r>
      <w:r>
        <w:rPr>
          <w:sz w:val="20"/>
          <w:szCs w:val="20"/>
        </w:rPr>
        <w:t xml:space="preserve">and compare </w:t>
      </w:r>
      <w:r w:rsidR="00AB7E35">
        <w:rPr>
          <w:sz w:val="20"/>
          <w:szCs w:val="20"/>
        </w:rPr>
        <w:t xml:space="preserve">how </w:t>
      </w:r>
      <w:r w:rsidR="00BF5703" w:rsidRPr="00BF5703">
        <w:rPr>
          <w:sz w:val="20"/>
          <w:szCs w:val="20"/>
        </w:rPr>
        <w:t>HF</w:t>
      </w:r>
      <w:r w:rsidR="00AB7E35">
        <w:rPr>
          <w:sz w:val="20"/>
          <w:szCs w:val="20"/>
        </w:rPr>
        <w:t xml:space="preserve"> index engineering works</w:t>
      </w:r>
      <w:r>
        <w:rPr>
          <w:sz w:val="20"/>
          <w:szCs w:val="20"/>
        </w:rPr>
        <w:t>.</w:t>
      </w:r>
      <w:r w:rsidR="00AB7E35">
        <w:rPr>
          <w:sz w:val="20"/>
          <w:szCs w:val="20"/>
        </w:rPr>
        <w:t xml:space="preserve"> Having read </w:t>
      </w:r>
      <w:r w:rsidR="00E10B33">
        <w:rPr>
          <w:sz w:val="20"/>
          <w:szCs w:val="20"/>
        </w:rPr>
        <w:t>i</w:t>
      </w:r>
      <w:r w:rsidR="00AB7E35">
        <w:rPr>
          <w:sz w:val="20"/>
          <w:szCs w:val="20"/>
        </w:rPr>
        <w:t xml:space="preserve">t the reader will have a good understanding of how </w:t>
      </w:r>
      <w:r w:rsidR="00BF5703" w:rsidRPr="00BF5703">
        <w:rPr>
          <w:sz w:val="20"/>
          <w:szCs w:val="20"/>
        </w:rPr>
        <w:t>HF</w:t>
      </w:r>
      <w:r w:rsidR="00AB7E35">
        <w:rPr>
          <w:sz w:val="20"/>
          <w:szCs w:val="20"/>
        </w:rPr>
        <w:t xml:space="preserve"> indices are formed.</w:t>
      </w:r>
    </w:p>
    <w:p w:rsidR="000A09EF" w:rsidRDefault="000A09EF" w:rsidP="000A09EF">
      <w:pPr>
        <w:jc w:val="both"/>
        <w:rPr>
          <w:i/>
          <w:lang w:val="en-US"/>
        </w:rPr>
      </w:pPr>
      <w:r>
        <w:rPr>
          <w:lang w:val="en-US"/>
        </w:rPr>
        <w:t xml:space="preserve">Keywords: </w:t>
      </w:r>
      <w:r w:rsidRPr="008D0C19">
        <w:rPr>
          <w:i/>
          <w:lang w:val="en-US"/>
        </w:rPr>
        <w:t xml:space="preserve">hedge funds, </w:t>
      </w:r>
      <w:r>
        <w:rPr>
          <w:i/>
          <w:lang w:val="en-US"/>
        </w:rPr>
        <w:t>indices, indexes</w:t>
      </w:r>
      <w:r w:rsidRPr="008D0C19">
        <w:rPr>
          <w:i/>
          <w:lang w:val="en-US"/>
        </w:rPr>
        <w:t xml:space="preserve">, </w:t>
      </w:r>
      <w:r w:rsidR="00EF6CAB">
        <w:rPr>
          <w:i/>
          <w:lang w:val="en-US"/>
        </w:rPr>
        <w:t>classification</w:t>
      </w:r>
      <w:r>
        <w:rPr>
          <w:i/>
          <w:lang w:val="en-US"/>
        </w:rPr>
        <w:t>, construction metho</w:t>
      </w:r>
      <w:r w:rsidR="001D0001">
        <w:rPr>
          <w:i/>
          <w:lang w:val="en-US"/>
        </w:rPr>
        <w:t>dology</w:t>
      </w:r>
    </w:p>
    <w:p w:rsidR="00265A1E" w:rsidRDefault="00265A1E" w:rsidP="000A09EF">
      <w:pPr>
        <w:jc w:val="both"/>
        <w:rPr>
          <w:lang w:val="en-US"/>
        </w:rPr>
      </w:pPr>
      <w:r>
        <w:rPr>
          <w:lang w:val="en-US"/>
        </w:rPr>
        <w:t>JEL code</w:t>
      </w:r>
      <w:r w:rsidR="002E2A9F">
        <w:rPr>
          <w:lang w:val="en-US"/>
        </w:rPr>
        <w:t>s</w:t>
      </w:r>
      <w:r>
        <w:rPr>
          <w:lang w:val="en-US"/>
        </w:rPr>
        <w:t xml:space="preserve">: </w:t>
      </w:r>
      <w:r w:rsidR="00AB6D9D">
        <w:rPr>
          <w:lang w:val="en-US"/>
        </w:rPr>
        <w:t>G12</w:t>
      </w:r>
      <w:r w:rsidR="002E2A9F">
        <w:rPr>
          <w:lang w:val="en-US"/>
        </w:rPr>
        <w:t>, G14</w:t>
      </w:r>
    </w:p>
    <w:p w:rsidR="00557374" w:rsidRDefault="00557374" w:rsidP="00444537">
      <w:pPr>
        <w:jc w:val="both"/>
        <w:rPr>
          <w:lang w:val="en-US"/>
        </w:rPr>
      </w:pPr>
    </w:p>
    <w:p w:rsidR="00444537" w:rsidRPr="00444537" w:rsidRDefault="00444537" w:rsidP="00444537">
      <w:pPr>
        <w:jc w:val="both"/>
        <w:rPr>
          <w:lang w:val="en-US"/>
        </w:rPr>
      </w:pPr>
      <w:bookmarkStart w:id="0" w:name="_GoBack"/>
      <w:bookmarkEnd w:id="0"/>
      <w:r w:rsidRPr="00444537">
        <w:rPr>
          <w:lang w:val="en-US"/>
        </w:rPr>
        <w:t>*</w:t>
      </w:r>
      <w:r>
        <w:rPr>
          <w:lang w:val="en-US"/>
        </w:rPr>
        <w:t xml:space="preserve"> </w:t>
      </w:r>
      <w:r w:rsidRPr="00444537">
        <w:rPr>
          <w:lang w:val="en-US"/>
        </w:rPr>
        <w:t>Corresponding author</w:t>
      </w:r>
    </w:p>
    <w:p w:rsidR="00444537" w:rsidRDefault="00444537" w:rsidP="00003F00">
      <w:pPr>
        <w:jc w:val="both"/>
        <w:rPr>
          <w:lang w:val="en-US"/>
        </w:rPr>
      </w:pPr>
    </w:p>
    <w:p w:rsidR="00444537" w:rsidRPr="00C87C68" w:rsidRDefault="00444537" w:rsidP="00003F00">
      <w:pPr>
        <w:jc w:val="both"/>
        <w:rPr>
          <w:lang w:val="en-US"/>
        </w:rPr>
        <w:sectPr w:rsidR="00444537" w:rsidRPr="00C87C68" w:rsidSect="00BC57B9">
          <w:footerReference w:type="default" r:id="rId9"/>
          <w:pgSz w:w="11906" w:h="16838" w:code="9"/>
          <w:pgMar w:top="1440" w:right="1797" w:bottom="1440" w:left="1797" w:header="709" w:footer="709" w:gutter="0"/>
          <w:cols w:space="708"/>
          <w:docGrid w:linePitch="360"/>
        </w:sectPr>
      </w:pPr>
    </w:p>
    <w:p w:rsidR="001D0001" w:rsidRDefault="001D0001" w:rsidP="001D0001">
      <w:pPr>
        <w:pStyle w:val="Heading1"/>
        <w:rPr>
          <w:shd w:val="clear" w:color="auto" w:fill="FFFFFF"/>
        </w:rPr>
      </w:pPr>
      <w:r>
        <w:rPr>
          <w:shd w:val="clear" w:color="auto" w:fill="FFFFFF"/>
        </w:rPr>
        <w:lastRenderedPageBreak/>
        <w:t>Introduction</w:t>
      </w:r>
    </w:p>
    <w:p w:rsidR="00003F00" w:rsidRDefault="00003F00" w:rsidP="00003F00">
      <w:pPr>
        <w:jc w:val="both"/>
        <w:rPr>
          <w:rFonts w:cs="Times New Roman"/>
          <w:color w:val="222222"/>
          <w:szCs w:val="24"/>
          <w:shd w:val="clear" w:color="auto" w:fill="FFFFFF"/>
        </w:rPr>
      </w:pPr>
      <w:r>
        <w:rPr>
          <w:rFonts w:cs="Times New Roman"/>
          <w:color w:val="222222"/>
          <w:szCs w:val="24"/>
          <w:shd w:val="clear" w:color="auto" w:fill="FFFFFF"/>
        </w:rPr>
        <w:t xml:space="preserve">In this paper we shed light on hedge fund </w:t>
      </w:r>
      <w:r w:rsidR="00DE2A7D">
        <w:rPr>
          <w:rFonts w:cs="Times New Roman"/>
          <w:color w:val="222222"/>
          <w:szCs w:val="24"/>
          <w:shd w:val="clear" w:color="auto" w:fill="FFFFFF"/>
        </w:rPr>
        <w:t xml:space="preserve">(HF) </w:t>
      </w:r>
      <w:r>
        <w:rPr>
          <w:rFonts w:cs="Times New Roman"/>
          <w:color w:val="222222"/>
          <w:szCs w:val="24"/>
          <w:shd w:val="clear" w:color="auto" w:fill="FFFFFF"/>
        </w:rPr>
        <w:t xml:space="preserve">index construction methodologies and in particular on the classification processes. </w:t>
      </w:r>
      <w:r w:rsidR="0045164B">
        <w:rPr>
          <w:rFonts w:cs="Times New Roman"/>
          <w:color w:val="222222"/>
          <w:szCs w:val="24"/>
          <w:shd w:val="clear" w:color="auto" w:fill="FFFFFF"/>
        </w:rPr>
        <w:t>W</w:t>
      </w:r>
      <w:r>
        <w:rPr>
          <w:rFonts w:cs="Times New Roman"/>
          <w:color w:val="222222"/>
          <w:szCs w:val="24"/>
          <w:shd w:val="clear" w:color="auto" w:fill="FFFFFF"/>
        </w:rPr>
        <w:t xml:space="preserve">e are the first to compare different methodologies using the same dataset and demonstrate using real data how </w:t>
      </w:r>
      <w:r w:rsidR="00BF5703">
        <w:rPr>
          <w:rFonts w:cs="Times New Roman"/>
          <w:color w:val="222222"/>
          <w:szCs w:val="24"/>
          <w:shd w:val="clear" w:color="auto" w:fill="FFFFFF"/>
        </w:rPr>
        <w:t>HF</w:t>
      </w:r>
      <w:r>
        <w:rPr>
          <w:rFonts w:cs="Times New Roman"/>
          <w:color w:val="222222"/>
          <w:szCs w:val="24"/>
          <w:shd w:val="clear" w:color="auto" w:fill="FFFFFF"/>
        </w:rPr>
        <w:t xml:space="preserve"> indices can end up with very </w:t>
      </w:r>
      <w:r w:rsidRPr="00B70998">
        <w:rPr>
          <w:rFonts w:cs="Times New Roman"/>
          <w:color w:val="222222"/>
          <w:szCs w:val="24"/>
          <w:shd w:val="clear" w:color="auto" w:fill="FFFFFF"/>
        </w:rPr>
        <w:t>different constituents.</w:t>
      </w:r>
      <w:r w:rsidR="0045164B">
        <w:rPr>
          <w:rFonts w:cs="Times New Roman"/>
          <w:color w:val="222222"/>
          <w:szCs w:val="24"/>
          <w:shd w:val="clear" w:color="auto" w:fill="FFFFFF"/>
        </w:rPr>
        <w:t xml:space="preserve"> </w:t>
      </w:r>
      <w:r w:rsidR="006A5E9F">
        <w:rPr>
          <w:rFonts w:cs="Times New Roman"/>
          <w:color w:val="222222"/>
          <w:szCs w:val="24"/>
          <w:shd w:val="clear" w:color="auto" w:fill="FFFFFF"/>
        </w:rPr>
        <w:t xml:space="preserve">Our research objective is to close the gap </w:t>
      </w:r>
      <w:r>
        <w:rPr>
          <w:rFonts w:cs="Times New Roman"/>
          <w:color w:val="222222"/>
          <w:szCs w:val="24"/>
          <w:shd w:val="clear" w:color="auto" w:fill="FFFFFF"/>
        </w:rPr>
        <w:t xml:space="preserve">in the literature concerning </w:t>
      </w:r>
      <w:r w:rsidR="00DE2A7D">
        <w:rPr>
          <w:rFonts w:cs="Times New Roman"/>
          <w:color w:val="222222"/>
          <w:szCs w:val="24"/>
          <w:shd w:val="clear" w:color="auto" w:fill="FFFFFF"/>
        </w:rPr>
        <w:t>HF</w:t>
      </w:r>
      <w:r>
        <w:rPr>
          <w:rFonts w:cs="Times New Roman"/>
          <w:color w:val="222222"/>
          <w:szCs w:val="24"/>
          <w:shd w:val="clear" w:color="auto" w:fill="FFFFFF"/>
        </w:rPr>
        <w:t xml:space="preserve"> index construction methodologies</w:t>
      </w:r>
      <w:r w:rsidR="00E36E67">
        <w:rPr>
          <w:rFonts w:cs="Times New Roman"/>
          <w:color w:val="222222"/>
          <w:szCs w:val="24"/>
          <w:shd w:val="clear" w:color="auto" w:fill="FFFFFF"/>
        </w:rPr>
        <w:t xml:space="preserve">, </w:t>
      </w:r>
      <w:r>
        <w:rPr>
          <w:rFonts w:cs="Times New Roman"/>
          <w:color w:val="222222"/>
          <w:szCs w:val="24"/>
          <w:shd w:val="clear" w:color="auto" w:fill="FFFFFF"/>
        </w:rPr>
        <w:t>particularly when dealing with classification issues</w:t>
      </w:r>
      <w:r w:rsidR="00E36E67">
        <w:rPr>
          <w:rFonts w:cs="Times New Roman"/>
          <w:color w:val="222222"/>
          <w:szCs w:val="24"/>
          <w:shd w:val="clear" w:color="auto" w:fill="FFFFFF"/>
        </w:rPr>
        <w:t>. To this end we</w:t>
      </w:r>
      <w:r w:rsidR="006A5E9F">
        <w:rPr>
          <w:rFonts w:cs="Times New Roman"/>
          <w:color w:val="222222"/>
          <w:szCs w:val="24"/>
          <w:shd w:val="clear" w:color="auto" w:fill="FFFFFF"/>
        </w:rPr>
        <w:t xml:space="preserve"> examin</w:t>
      </w:r>
      <w:r w:rsidR="00E36E67">
        <w:rPr>
          <w:rFonts w:cs="Times New Roman"/>
          <w:color w:val="222222"/>
          <w:szCs w:val="24"/>
          <w:shd w:val="clear" w:color="auto" w:fill="FFFFFF"/>
        </w:rPr>
        <w:t>e</w:t>
      </w:r>
      <w:r w:rsidR="006A5E9F">
        <w:rPr>
          <w:rFonts w:cs="Times New Roman"/>
          <w:color w:val="222222"/>
          <w:szCs w:val="24"/>
          <w:shd w:val="clear" w:color="auto" w:fill="FFFFFF"/>
        </w:rPr>
        <w:t xml:space="preserve"> two ex</w:t>
      </w:r>
      <w:r w:rsidR="00E10B33">
        <w:rPr>
          <w:rFonts w:cs="Times New Roman"/>
          <w:color w:val="222222"/>
          <w:szCs w:val="24"/>
          <w:shd w:val="clear" w:color="auto" w:fill="FFFFFF"/>
        </w:rPr>
        <w:t>isting</w:t>
      </w:r>
      <w:r w:rsidR="006A5E9F">
        <w:rPr>
          <w:rFonts w:cs="Times New Roman"/>
          <w:color w:val="222222"/>
          <w:szCs w:val="24"/>
          <w:shd w:val="clear" w:color="auto" w:fill="FFFFFF"/>
        </w:rPr>
        <w:t xml:space="preserve"> </w:t>
      </w:r>
      <w:r w:rsidR="00DE2A7D">
        <w:rPr>
          <w:rFonts w:cs="Times New Roman"/>
          <w:color w:val="222222"/>
          <w:szCs w:val="24"/>
          <w:shd w:val="clear" w:color="auto" w:fill="FFFFFF"/>
        </w:rPr>
        <w:t>HF</w:t>
      </w:r>
      <w:r>
        <w:rPr>
          <w:rFonts w:cs="Times New Roman"/>
          <w:color w:val="222222"/>
          <w:szCs w:val="24"/>
          <w:shd w:val="clear" w:color="auto" w:fill="FFFFFF"/>
        </w:rPr>
        <w:t xml:space="preserve"> index engineering methodologies</w:t>
      </w:r>
      <w:r w:rsidR="00E36E67">
        <w:rPr>
          <w:rFonts w:cs="Times New Roman"/>
          <w:color w:val="222222"/>
          <w:szCs w:val="24"/>
          <w:shd w:val="clear" w:color="auto" w:fill="FFFFFF"/>
        </w:rPr>
        <w:t xml:space="preserve"> and</w:t>
      </w:r>
      <w:r w:rsidR="006A5E9F">
        <w:rPr>
          <w:rFonts w:cs="Times New Roman"/>
          <w:color w:val="222222"/>
          <w:szCs w:val="24"/>
          <w:shd w:val="clear" w:color="auto" w:fill="FFFFFF"/>
        </w:rPr>
        <w:t xml:space="preserve"> compar</w:t>
      </w:r>
      <w:r w:rsidR="00E36E67">
        <w:rPr>
          <w:rFonts w:cs="Times New Roman"/>
          <w:color w:val="222222"/>
          <w:szCs w:val="24"/>
          <w:shd w:val="clear" w:color="auto" w:fill="FFFFFF"/>
        </w:rPr>
        <w:t>e</w:t>
      </w:r>
      <w:r w:rsidR="006A5E9F">
        <w:rPr>
          <w:rFonts w:cs="Times New Roman"/>
          <w:color w:val="222222"/>
          <w:szCs w:val="24"/>
          <w:shd w:val="clear" w:color="auto" w:fill="FFFFFF"/>
        </w:rPr>
        <w:t xml:space="preserve"> them using a common database with practical examples,</w:t>
      </w:r>
      <w:r>
        <w:rPr>
          <w:rFonts w:cs="Times New Roman"/>
          <w:color w:val="222222"/>
          <w:szCs w:val="24"/>
          <w:shd w:val="clear" w:color="auto" w:fill="FFFFFF"/>
        </w:rPr>
        <w:t xml:space="preserve"> </w:t>
      </w:r>
      <w:r w:rsidR="006A5E9F">
        <w:rPr>
          <w:rFonts w:cs="Times New Roman"/>
          <w:color w:val="222222"/>
          <w:szCs w:val="24"/>
          <w:shd w:val="clear" w:color="auto" w:fill="FFFFFF"/>
        </w:rPr>
        <w:t xml:space="preserve">thereby </w:t>
      </w:r>
      <w:r>
        <w:rPr>
          <w:rFonts w:cs="Times New Roman"/>
          <w:color w:val="222222"/>
          <w:szCs w:val="24"/>
          <w:shd w:val="clear" w:color="auto" w:fill="FFFFFF"/>
        </w:rPr>
        <w:t>provid</w:t>
      </w:r>
      <w:r w:rsidR="00E36E67">
        <w:rPr>
          <w:rFonts w:cs="Times New Roman"/>
          <w:color w:val="222222"/>
          <w:szCs w:val="24"/>
          <w:shd w:val="clear" w:color="auto" w:fill="FFFFFF"/>
        </w:rPr>
        <w:t>ing</w:t>
      </w:r>
      <w:r>
        <w:rPr>
          <w:rFonts w:cs="Times New Roman"/>
          <w:color w:val="222222"/>
          <w:szCs w:val="24"/>
          <w:shd w:val="clear" w:color="auto" w:fill="FFFFFF"/>
        </w:rPr>
        <w:t xml:space="preserve"> a better understanding of </w:t>
      </w:r>
      <w:r w:rsidR="006A5E9F">
        <w:rPr>
          <w:rFonts w:cs="Times New Roman"/>
          <w:color w:val="222222"/>
          <w:szCs w:val="24"/>
          <w:shd w:val="clear" w:color="auto" w:fill="FFFFFF"/>
        </w:rPr>
        <w:t xml:space="preserve">how all </w:t>
      </w:r>
      <w:r w:rsidR="00DE2A7D">
        <w:rPr>
          <w:rFonts w:cs="Times New Roman"/>
          <w:color w:val="222222"/>
          <w:szCs w:val="24"/>
          <w:shd w:val="clear" w:color="auto" w:fill="FFFFFF"/>
        </w:rPr>
        <w:t>HF</w:t>
      </w:r>
      <w:r w:rsidR="006A5E9F">
        <w:rPr>
          <w:rFonts w:cs="Times New Roman"/>
          <w:color w:val="222222"/>
          <w:szCs w:val="24"/>
          <w:shd w:val="clear" w:color="auto" w:fill="FFFFFF"/>
        </w:rPr>
        <w:t xml:space="preserve"> indices are constructed</w:t>
      </w:r>
      <w:r w:rsidR="006D331C">
        <w:rPr>
          <w:rFonts w:cs="Times New Roman"/>
          <w:color w:val="222222"/>
          <w:szCs w:val="24"/>
          <w:shd w:val="clear" w:color="auto" w:fill="FFFFFF"/>
        </w:rPr>
        <w:t xml:space="preserve">. </w:t>
      </w:r>
      <w:r w:rsidR="006A5E9F">
        <w:rPr>
          <w:rFonts w:cs="Times New Roman"/>
          <w:color w:val="222222"/>
          <w:szCs w:val="24"/>
          <w:shd w:val="clear" w:color="auto" w:fill="FFFFFF"/>
        </w:rPr>
        <w:t>Through this investigation w</w:t>
      </w:r>
      <w:r>
        <w:rPr>
          <w:rFonts w:cs="Times New Roman"/>
          <w:color w:val="222222"/>
          <w:szCs w:val="24"/>
          <w:shd w:val="clear" w:color="auto" w:fill="FFFFFF"/>
        </w:rPr>
        <w:t xml:space="preserve">e answer the research question of why there are </w:t>
      </w:r>
      <w:r w:rsidR="006A5E9F">
        <w:rPr>
          <w:rFonts w:cs="Times New Roman"/>
          <w:color w:val="222222"/>
          <w:szCs w:val="24"/>
          <w:shd w:val="clear" w:color="auto" w:fill="FFFFFF"/>
        </w:rPr>
        <w:t xml:space="preserve">such large </w:t>
      </w:r>
      <w:r>
        <w:rPr>
          <w:rFonts w:cs="Times New Roman"/>
          <w:color w:val="222222"/>
          <w:szCs w:val="24"/>
          <w:shd w:val="clear" w:color="auto" w:fill="FFFFFF"/>
        </w:rPr>
        <w:t xml:space="preserve">differences between </w:t>
      </w:r>
      <w:r w:rsidR="00DE2A7D">
        <w:rPr>
          <w:rFonts w:cs="Times New Roman"/>
          <w:color w:val="222222"/>
          <w:szCs w:val="24"/>
          <w:shd w:val="clear" w:color="auto" w:fill="FFFFFF"/>
        </w:rPr>
        <w:t xml:space="preserve">HF </w:t>
      </w:r>
      <w:r>
        <w:rPr>
          <w:rFonts w:cs="Times New Roman"/>
          <w:color w:val="222222"/>
          <w:szCs w:val="24"/>
          <w:shd w:val="clear" w:color="auto" w:fill="FFFFFF"/>
        </w:rPr>
        <w:t xml:space="preserve">indices </w:t>
      </w:r>
      <w:r w:rsidR="00E10B33">
        <w:rPr>
          <w:rFonts w:cs="Times New Roman"/>
          <w:color w:val="222222"/>
          <w:szCs w:val="24"/>
          <w:shd w:val="clear" w:color="auto" w:fill="FFFFFF"/>
        </w:rPr>
        <w:t xml:space="preserve">from different vendors, </w:t>
      </w:r>
      <w:r>
        <w:rPr>
          <w:rFonts w:cs="Times New Roman"/>
          <w:color w:val="222222"/>
          <w:szCs w:val="24"/>
          <w:shd w:val="clear" w:color="auto" w:fill="FFFFFF"/>
        </w:rPr>
        <w:t xml:space="preserve">even </w:t>
      </w:r>
      <w:r w:rsidR="00E10B33">
        <w:rPr>
          <w:rFonts w:cs="Times New Roman"/>
          <w:color w:val="222222"/>
          <w:szCs w:val="24"/>
          <w:shd w:val="clear" w:color="auto" w:fill="FFFFFF"/>
        </w:rPr>
        <w:t>when they are supposed to represent</w:t>
      </w:r>
      <w:r>
        <w:rPr>
          <w:rFonts w:cs="Times New Roman"/>
          <w:color w:val="222222"/>
          <w:szCs w:val="24"/>
          <w:shd w:val="clear" w:color="auto" w:fill="FFFFFF"/>
        </w:rPr>
        <w:t xml:space="preserve"> the same st</w:t>
      </w:r>
      <w:r w:rsidR="00E10B33">
        <w:rPr>
          <w:rFonts w:cs="Times New Roman"/>
          <w:color w:val="222222"/>
          <w:szCs w:val="24"/>
          <w:shd w:val="clear" w:color="auto" w:fill="FFFFFF"/>
        </w:rPr>
        <w:t>rategy.</w:t>
      </w:r>
    </w:p>
    <w:p w:rsidR="004C04EF" w:rsidRPr="007D4CC4" w:rsidRDefault="004C04EF" w:rsidP="004C04EF">
      <w:pPr>
        <w:jc w:val="both"/>
      </w:pPr>
      <w:r w:rsidRPr="007D4CC4">
        <w:t xml:space="preserve">Many authors such as </w:t>
      </w:r>
      <w:proofErr w:type="spellStart"/>
      <w:r w:rsidRPr="007D4CC4">
        <w:t>Harri</w:t>
      </w:r>
      <w:proofErr w:type="spellEnd"/>
      <w:r w:rsidRPr="007D4CC4">
        <w:t xml:space="preserve"> and </w:t>
      </w:r>
      <w:proofErr w:type="spellStart"/>
      <w:r w:rsidRPr="007D4CC4">
        <w:t>Brorsen</w:t>
      </w:r>
      <w:proofErr w:type="spellEnd"/>
      <w:r w:rsidRPr="007D4CC4">
        <w:t xml:space="preserve"> (2004), </w:t>
      </w:r>
      <w:proofErr w:type="spellStart"/>
      <w:r w:rsidRPr="007D4CC4">
        <w:t>Getmansky</w:t>
      </w:r>
      <w:proofErr w:type="spellEnd"/>
      <w:r w:rsidRPr="007D4CC4">
        <w:t xml:space="preserve"> (2004), </w:t>
      </w:r>
      <w:proofErr w:type="spellStart"/>
      <w:r w:rsidRPr="007D4CC4">
        <w:t>Ammann</w:t>
      </w:r>
      <w:proofErr w:type="spellEnd"/>
      <w:r w:rsidRPr="007D4CC4">
        <w:t xml:space="preserve"> and </w:t>
      </w:r>
      <w:proofErr w:type="spellStart"/>
      <w:r w:rsidRPr="007D4CC4">
        <w:t>Moerth</w:t>
      </w:r>
      <w:proofErr w:type="spellEnd"/>
      <w:r w:rsidRPr="007D4CC4">
        <w:t xml:space="preserve"> (2005) and Bali, Brown and </w:t>
      </w:r>
      <w:proofErr w:type="spellStart"/>
      <w:r w:rsidRPr="007D4CC4">
        <w:t>Caglayan</w:t>
      </w:r>
      <w:proofErr w:type="spellEnd"/>
      <w:r w:rsidRPr="007D4CC4">
        <w:t xml:space="preserve"> (2011) </w:t>
      </w:r>
      <w:r w:rsidR="00E718C7">
        <w:t xml:space="preserve">simply </w:t>
      </w:r>
      <w:r w:rsidRPr="007D4CC4">
        <w:t xml:space="preserve">used the classification scheme provided by the database vendors. Other authors such as Agarwal and </w:t>
      </w:r>
      <w:proofErr w:type="spellStart"/>
      <w:r w:rsidRPr="007D4CC4">
        <w:t>Naik</w:t>
      </w:r>
      <w:proofErr w:type="spellEnd"/>
      <w:r w:rsidRPr="007D4CC4">
        <w:t xml:space="preserve"> (2000)</w:t>
      </w:r>
      <w:r w:rsidR="00E10B33">
        <w:t>,</w:t>
      </w:r>
      <w:r w:rsidRPr="007D4CC4">
        <w:t xml:space="preserve"> </w:t>
      </w:r>
      <w:proofErr w:type="spellStart"/>
      <w:r w:rsidRPr="007D4CC4">
        <w:t>Jawadi</w:t>
      </w:r>
      <w:proofErr w:type="spellEnd"/>
      <w:r w:rsidRPr="007D4CC4">
        <w:t xml:space="preserve"> and </w:t>
      </w:r>
      <w:proofErr w:type="spellStart"/>
      <w:r w:rsidRPr="007D4CC4">
        <w:t>Khanniche</w:t>
      </w:r>
      <w:proofErr w:type="spellEnd"/>
      <w:r w:rsidRPr="007D4CC4">
        <w:t xml:space="preserve"> (2012) and </w:t>
      </w:r>
      <w:proofErr w:type="spellStart"/>
      <w:r w:rsidRPr="007D4CC4">
        <w:t>Meligkotsidou</w:t>
      </w:r>
      <w:proofErr w:type="spellEnd"/>
      <w:r w:rsidRPr="007D4CC4">
        <w:t xml:space="preserve"> and </w:t>
      </w:r>
      <w:proofErr w:type="spellStart"/>
      <w:r w:rsidRPr="007D4CC4">
        <w:t>Vrontos</w:t>
      </w:r>
      <w:proofErr w:type="spellEnd"/>
      <w:r w:rsidRPr="007D4CC4">
        <w:t xml:space="preserve"> (2014) used </w:t>
      </w:r>
      <w:r w:rsidR="00BF5703">
        <w:rPr>
          <w:rFonts w:cs="Times New Roman"/>
          <w:color w:val="222222"/>
          <w:szCs w:val="24"/>
          <w:shd w:val="clear" w:color="auto" w:fill="FFFFFF"/>
        </w:rPr>
        <w:t>HF</w:t>
      </w:r>
      <w:r w:rsidR="00BF5703" w:rsidRPr="007D4CC4">
        <w:t xml:space="preserve"> </w:t>
      </w:r>
      <w:r w:rsidRPr="007D4CC4">
        <w:t>indices provided by the database vendors</w:t>
      </w:r>
      <w:r w:rsidR="00E718C7">
        <w:t>,</w:t>
      </w:r>
      <w:r w:rsidRPr="007D4CC4">
        <w:t xml:space="preserve"> thus working on a strategy index level</w:t>
      </w:r>
      <w:r w:rsidR="00E718C7">
        <w:t xml:space="preserve"> and obviating the need to consider whether those indices really were representative</w:t>
      </w:r>
      <w:r w:rsidRPr="007D4CC4">
        <w:t xml:space="preserve">. </w:t>
      </w:r>
      <w:r w:rsidR="00E718C7">
        <w:t xml:space="preserve">Most papers use more than one database, due to the fact that inclusion on every database is a voluntary decision made by the fund </w:t>
      </w:r>
      <w:r w:rsidR="0058613B">
        <w:t>managers</w:t>
      </w:r>
      <w:r w:rsidR="00E718C7">
        <w:t>. A</w:t>
      </w:r>
      <w:r w:rsidRPr="007D4CC4">
        <w:t xml:space="preserve">uthors </w:t>
      </w:r>
      <w:r w:rsidR="00E718C7">
        <w:t xml:space="preserve">who used </w:t>
      </w:r>
      <w:r w:rsidRPr="007D4CC4">
        <w:t xml:space="preserve">more than one database such as Ackerman, </w:t>
      </w:r>
      <w:proofErr w:type="spellStart"/>
      <w:r w:rsidRPr="007D4CC4">
        <w:t>McEnnally</w:t>
      </w:r>
      <w:proofErr w:type="spellEnd"/>
      <w:r w:rsidRPr="007D4CC4">
        <w:t xml:space="preserve">, and </w:t>
      </w:r>
      <w:proofErr w:type="spellStart"/>
      <w:r w:rsidRPr="007D4CC4">
        <w:t>Ravenscraft</w:t>
      </w:r>
      <w:proofErr w:type="spellEnd"/>
      <w:r w:rsidRPr="007D4CC4">
        <w:t xml:space="preserve"> (1999), </w:t>
      </w:r>
      <w:proofErr w:type="spellStart"/>
      <w:r w:rsidRPr="007D4CC4">
        <w:t>Capocci</w:t>
      </w:r>
      <w:proofErr w:type="spellEnd"/>
      <w:r w:rsidRPr="007D4CC4">
        <w:t xml:space="preserve"> and </w:t>
      </w:r>
      <w:proofErr w:type="spellStart"/>
      <w:r w:rsidRPr="007D4CC4">
        <w:t>Hubner</w:t>
      </w:r>
      <w:proofErr w:type="spellEnd"/>
      <w:r w:rsidRPr="007D4CC4">
        <w:t xml:space="preserve"> (2004), </w:t>
      </w:r>
      <w:proofErr w:type="spellStart"/>
      <w:r w:rsidRPr="007D4CC4">
        <w:t>Joenvaara</w:t>
      </w:r>
      <w:proofErr w:type="spellEnd"/>
      <w:r w:rsidRPr="007D4CC4">
        <w:t xml:space="preserve">, </w:t>
      </w:r>
      <w:proofErr w:type="spellStart"/>
      <w:r w:rsidRPr="007D4CC4">
        <w:t>Kosowski</w:t>
      </w:r>
      <w:proofErr w:type="spellEnd"/>
      <w:r w:rsidRPr="007D4CC4">
        <w:t xml:space="preserve">, and </w:t>
      </w:r>
      <w:proofErr w:type="spellStart"/>
      <w:r w:rsidRPr="007D4CC4">
        <w:t>Tolonen</w:t>
      </w:r>
      <w:proofErr w:type="spellEnd"/>
      <w:r w:rsidRPr="007D4CC4">
        <w:t xml:space="preserve"> (2012), and Patton</w:t>
      </w:r>
      <w:r w:rsidR="00F05D86">
        <w:t xml:space="preserve"> and</w:t>
      </w:r>
      <w:r w:rsidRPr="007D4CC4">
        <w:t xml:space="preserve"> </w:t>
      </w:r>
      <w:proofErr w:type="spellStart"/>
      <w:r w:rsidRPr="007D4CC4">
        <w:t>Ramadorai</w:t>
      </w:r>
      <w:proofErr w:type="spellEnd"/>
      <w:r w:rsidRPr="007D4CC4">
        <w:t xml:space="preserve"> (2013) </w:t>
      </w:r>
      <w:r w:rsidR="00E718C7">
        <w:t xml:space="preserve">usually implemented </w:t>
      </w:r>
      <w:r w:rsidRPr="007D4CC4">
        <w:t>a mapping between the strategies provided by the database vendors, whereas other</w:t>
      </w:r>
      <w:r w:rsidR="002C285D" w:rsidRPr="0045164B">
        <w:t>s</w:t>
      </w:r>
      <w:r w:rsidRPr="007D4CC4">
        <w:t xml:space="preserve"> such as Agarwal, Daniel and </w:t>
      </w:r>
      <w:proofErr w:type="spellStart"/>
      <w:r w:rsidRPr="007D4CC4">
        <w:t>Naik</w:t>
      </w:r>
      <w:proofErr w:type="spellEnd"/>
      <w:r w:rsidRPr="007D4CC4">
        <w:t xml:space="preserve"> (200</w:t>
      </w:r>
      <w:r w:rsidR="00F05D86">
        <w:t>4</w:t>
      </w:r>
      <w:r w:rsidRPr="007D4CC4">
        <w:t xml:space="preserve">) and </w:t>
      </w:r>
      <w:proofErr w:type="spellStart"/>
      <w:r w:rsidRPr="007D4CC4">
        <w:t>Kosowski</w:t>
      </w:r>
      <w:proofErr w:type="spellEnd"/>
      <w:r w:rsidRPr="007D4CC4">
        <w:t xml:space="preserve">, </w:t>
      </w:r>
      <w:proofErr w:type="spellStart"/>
      <w:r w:rsidRPr="007D4CC4">
        <w:t>Naik</w:t>
      </w:r>
      <w:proofErr w:type="spellEnd"/>
      <w:r w:rsidRPr="007D4CC4">
        <w:t xml:space="preserve"> and </w:t>
      </w:r>
      <w:proofErr w:type="spellStart"/>
      <w:r w:rsidRPr="007D4CC4">
        <w:t>Teo</w:t>
      </w:r>
      <w:proofErr w:type="spellEnd"/>
      <w:r w:rsidRPr="007D4CC4">
        <w:t xml:space="preserve"> (2007) made a broader classification of the database strategies provided by the database vendors. This classification consisted of mapping strategies into </w:t>
      </w:r>
      <w:r w:rsidR="00685A09">
        <w:t>four</w:t>
      </w:r>
      <w:r w:rsidRPr="007D4CC4">
        <w:t xml:space="preserve"> groups; directional, relative value, security selection, and multi-process funds. </w:t>
      </w:r>
      <w:r w:rsidR="00E718C7">
        <w:t>Yet o</w:t>
      </w:r>
      <w:r w:rsidRPr="007D4CC4">
        <w:t>ther</w:t>
      </w:r>
      <w:r w:rsidR="00E718C7">
        <w:t>s</w:t>
      </w:r>
      <w:r w:rsidRPr="007D4CC4">
        <w:t xml:space="preserve"> such as Bares, Gibson, and </w:t>
      </w:r>
      <w:proofErr w:type="spellStart"/>
      <w:r w:rsidRPr="007D4CC4">
        <w:t>Gyger</w:t>
      </w:r>
      <w:proofErr w:type="spellEnd"/>
      <w:r w:rsidRPr="007D4CC4">
        <w:t xml:space="preserve"> (2003) used classification systems based on the investment process, the asset class, and the geographical period provided by the vendor. Last</w:t>
      </w:r>
      <w:r w:rsidR="00DE7FD3">
        <w:t xml:space="preserve">ly, </w:t>
      </w:r>
      <w:r w:rsidRPr="007D4CC4">
        <w:t xml:space="preserve">Das (2003) </w:t>
      </w:r>
      <w:r w:rsidR="0045164B">
        <w:t>examined</w:t>
      </w:r>
      <w:r w:rsidRPr="007D4CC4">
        <w:t xml:space="preserve"> a non-hierarchical clustering algorithm</w:t>
      </w:r>
      <w:r w:rsidR="0045164B">
        <w:t xml:space="preserve"> using</w:t>
      </w:r>
      <w:r w:rsidRPr="0051411F">
        <w:rPr>
          <w:color w:val="FF0000"/>
        </w:rPr>
        <w:t xml:space="preserve"> </w:t>
      </w:r>
      <w:r w:rsidRPr="007D4CC4">
        <w:t xml:space="preserve">the </w:t>
      </w:r>
      <w:r w:rsidR="00E20884">
        <w:t xml:space="preserve">(disclosed) </w:t>
      </w:r>
      <w:r w:rsidRPr="007D4CC4">
        <w:t>asset class, size, fees, leverage, and liquidity</w:t>
      </w:r>
      <w:r>
        <w:t>. However,</w:t>
      </w:r>
      <w:r w:rsidRPr="007D4CC4">
        <w:t xml:space="preserve"> </w:t>
      </w:r>
      <w:r>
        <w:t>this</w:t>
      </w:r>
      <w:r w:rsidRPr="007D4CC4">
        <w:t xml:space="preserve"> classification </w:t>
      </w:r>
      <w:r>
        <w:t xml:space="preserve">scheme does </w:t>
      </w:r>
      <w:r w:rsidRPr="007D4CC4">
        <w:t>not focus on funds’ strategy or style.</w:t>
      </w:r>
    </w:p>
    <w:p w:rsidR="004C04EF" w:rsidRPr="007D4CC4" w:rsidRDefault="00A25821" w:rsidP="004C04EF">
      <w:pPr>
        <w:jc w:val="both"/>
      </w:pPr>
      <w:r w:rsidRPr="005A01FE">
        <w:rPr>
          <w:rFonts w:cs="Times New Roman"/>
          <w:szCs w:val="24"/>
          <w:lang w:val="en-US"/>
        </w:rPr>
        <w:lastRenderedPageBreak/>
        <w:t xml:space="preserve">Overall it seems that the majority of authors have used the predefined classification schemes from the database vendors. Subsequently, some authors grouped HFs into broader styles or categories. However, none of those who did use the predefined classification schemes focused on the vendors’ classification process itself. </w:t>
      </w:r>
      <w:r w:rsidRPr="00D40861">
        <w:rPr>
          <w:rFonts w:cs="Times New Roman"/>
          <w:szCs w:val="24"/>
          <w:lang w:val="en-US"/>
        </w:rPr>
        <w:t xml:space="preserve">Our research motivation lies </w:t>
      </w:r>
      <w:r>
        <w:rPr>
          <w:rFonts w:cs="Times New Roman"/>
          <w:szCs w:val="24"/>
          <w:lang w:val="en-US"/>
        </w:rPr>
        <w:t>in</w:t>
      </w:r>
      <w:r w:rsidRPr="00D40861">
        <w:rPr>
          <w:rFonts w:cs="Times New Roman"/>
          <w:szCs w:val="24"/>
          <w:lang w:val="en-US"/>
        </w:rPr>
        <w:t xml:space="preserve"> the fact that although most authors use HF strategies and HF classification</w:t>
      </w:r>
      <w:r>
        <w:rPr>
          <w:rFonts w:cs="Times New Roman"/>
          <w:szCs w:val="24"/>
          <w:lang w:val="en-US"/>
        </w:rPr>
        <w:t>s</w:t>
      </w:r>
      <w:r w:rsidRPr="00D40861">
        <w:rPr>
          <w:rFonts w:cs="Times New Roman"/>
          <w:szCs w:val="24"/>
          <w:lang w:val="en-US"/>
        </w:rPr>
        <w:t xml:space="preserve"> that can have a significant impact on their research output, there is little or no examination in the extant literature of the issues arising from the various vendors’ different HF classification processes. In other words, authors do not pay attention </w:t>
      </w:r>
      <w:r>
        <w:rPr>
          <w:rFonts w:cs="Times New Roman"/>
          <w:szCs w:val="24"/>
          <w:lang w:val="en-US"/>
        </w:rPr>
        <w:t>to</w:t>
      </w:r>
      <w:r w:rsidRPr="00D40861">
        <w:rPr>
          <w:rFonts w:cs="Times New Roman"/>
          <w:szCs w:val="24"/>
          <w:lang w:val="en-US"/>
        </w:rPr>
        <w:t xml:space="preserve"> the quantitative techniques used by these vendors when classifying </w:t>
      </w:r>
      <w:r>
        <w:rPr>
          <w:rFonts w:cs="Times New Roman"/>
          <w:szCs w:val="24"/>
          <w:lang w:val="en-US"/>
        </w:rPr>
        <w:t>HFs</w:t>
      </w:r>
      <w:r w:rsidRPr="00D40861">
        <w:rPr>
          <w:rFonts w:cs="Times New Roman"/>
          <w:szCs w:val="24"/>
          <w:lang w:val="en-US"/>
        </w:rPr>
        <w:t xml:space="preserve">. This issue is important because HF classification can have a significant impact on the HF research </w:t>
      </w:r>
      <w:r>
        <w:rPr>
          <w:rFonts w:cs="Times New Roman"/>
          <w:szCs w:val="24"/>
          <w:lang w:val="en-US"/>
        </w:rPr>
        <w:t>results</w:t>
      </w:r>
      <w:r w:rsidRPr="00D40861">
        <w:rPr>
          <w:rFonts w:cs="Times New Roman"/>
          <w:szCs w:val="24"/>
          <w:lang w:val="en-US"/>
        </w:rPr>
        <w:t xml:space="preserve">. In the literature there is a significant gap regarding HF index construction methods which is a fundamental element in HF </w:t>
      </w:r>
      <w:r>
        <w:rPr>
          <w:rFonts w:cs="Times New Roman"/>
          <w:szCs w:val="24"/>
          <w:lang w:val="en-US"/>
        </w:rPr>
        <w:t xml:space="preserve">studies. </w:t>
      </w:r>
      <w:r w:rsidRPr="00BC1AAF">
        <w:rPr>
          <w:rFonts w:cs="Times New Roman"/>
          <w:szCs w:val="24"/>
          <w:lang w:val="en-US"/>
        </w:rPr>
        <w:t xml:space="preserve">In order to fill this gap, we focus on two studies (Hedge Fund Research </w:t>
      </w:r>
      <w:proofErr w:type="spellStart"/>
      <w:r w:rsidRPr="00BC1AAF">
        <w:rPr>
          <w:rFonts w:cs="Times New Roman"/>
          <w:szCs w:val="24"/>
          <w:lang w:val="en-US"/>
        </w:rPr>
        <w:t>Inc</w:t>
      </w:r>
      <w:proofErr w:type="spellEnd"/>
      <w:r w:rsidRPr="00BC1AAF">
        <w:rPr>
          <w:rFonts w:cs="Times New Roman"/>
          <w:szCs w:val="24"/>
          <w:lang w:val="en-US"/>
        </w:rPr>
        <w:t xml:space="preserve">, 2012 and Patel, </w:t>
      </w:r>
      <w:proofErr w:type="spellStart"/>
      <w:r w:rsidRPr="00BC1AAF">
        <w:rPr>
          <w:rFonts w:cs="Times New Roman"/>
          <w:szCs w:val="24"/>
          <w:lang w:val="en-US"/>
        </w:rPr>
        <w:t>Roffman</w:t>
      </w:r>
      <w:proofErr w:type="spellEnd"/>
      <w:r w:rsidRPr="00BC1AAF">
        <w:rPr>
          <w:rFonts w:cs="Times New Roman"/>
          <w:szCs w:val="24"/>
          <w:lang w:val="en-US"/>
        </w:rPr>
        <w:t xml:space="preserve">, and </w:t>
      </w:r>
      <w:proofErr w:type="spellStart"/>
      <w:r w:rsidRPr="00BC1AAF">
        <w:rPr>
          <w:rFonts w:cs="Times New Roman"/>
          <w:szCs w:val="24"/>
          <w:lang w:val="en-US"/>
        </w:rPr>
        <w:t>Meziani</w:t>
      </w:r>
      <w:proofErr w:type="spellEnd"/>
      <w:r w:rsidRPr="00BC1AAF">
        <w:rPr>
          <w:rFonts w:cs="Times New Roman"/>
          <w:szCs w:val="24"/>
          <w:lang w:val="en-US"/>
        </w:rPr>
        <w:t>, 2003) from two well-known database vendors, Hedge Fund Resear</w:t>
      </w:r>
      <w:r>
        <w:rPr>
          <w:rFonts w:cs="Times New Roman"/>
          <w:szCs w:val="24"/>
          <w:lang w:val="en-US"/>
        </w:rPr>
        <w:t xml:space="preserve">ch Inc. and Standard and Poor’s. </w:t>
      </w:r>
      <w:r w:rsidRPr="005A01FE">
        <w:rPr>
          <w:rFonts w:cs="Times New Roman"/>
          <w:szCs w:val="24"/>
          <w:lang w:val="en-US"/>
        </w:rPr>
        <w:t xml:space="preserve">These studies describe the processes and algorithms of their respective index construction methodology and form the basis of our study. They present their vendor’s selection criteria, the classification method and the index construction process. Nevertheless, neither study provides any practical examples of their techniques, nor do they address that fact that other database vendors adopt different quantitative techniques that must end up giving different results. These issues are covered by this paper. We focus on HF classification processes using the same dataset because the index construction part (calculating NAV, GAV etc.) is similar between the </w:t>
      </w:r>
      <w:r>
        <w:rPr>
          <w:rFonts w:cs="Times New Roman"/>
          <w:szCs w:val="24"/>
          <w:lang w:val="en-US"/>
        </w:rPr>
        <w:t>vendors.</w:t>
      </w:r>
      <w:r w:rsidR="004C04EF" w:rsidRPr="007D4CC4">
        <w:t xml:space="preserve">  </w:t>
      </w:r>
    </w:p>
    <w:p w:rsidR="003960ED" w:rsidRPr="00CF58D9" w:rsidRDefault="00A25821" w:rsidP="003960ED">
      <w:pPr>
        <w:jc w:val="both"/>
        <w:rPr>
          <w:rFonts w:cs="Times New Roman"/>
          <w:color w:val="0070C0"/>
          <w:szCs w:val="24"/>
          <w:shd w:val="clear" w:color="auto" w:fill="FFFFFF"/>
        </w:rPr>
      </w:pPr>
      <w:r w:rsidRPr="006B1221">
        <w:rPr>
          <w:rFonts w:cs="Times New Roman"/>
          <w:szCs w:val="24"/>
          <w:lang w:val="en-US"/>
        </w:rPr>
        <w:t>We report two new findings. First, both vendors use rigorous quantitative techniques, combined with qualitative processes through due diligence so as to ensure that they produce high quality representative indices. Nevertheless, these database vendors use different quantitative techniques, particularly when dealing with the classification process. Second, we show that these different quantitative techniques end up classifying HFs in a fairly similar way.</w:t>
      </w:r>
      <w:r w:rsidRPr="006B1221">
        <w:rPr>
          <w:rFonts w:cs="Times New Roman"/>
          <w:szCs w:val="24"/>
          <w:shd w:val="clear" w:color="auto" w:fill="FFFFFF"/>
        </w:rPr>
        <w:t xml:space="preserve"> </w:t>
      </w:r>
      <w:r w:rsidRPr="00D40861">
        <w:rPr>
          <w:rFonts w:cs="Times New Roman"/>
          <w:szCs w:val="24"/>
          <w:lang w:val="en-US"/>
        </w:rPr>
        <w:t xml:space="preserve">The differences between indices’ reported returns are instead mainly due to the different datasets used and the different inclusion criteria adopted by the database vendors. Hence, investors should worry more about different universes that database vendors use than the index construction </w:t>
      </w:r>
      <w:r>
        <w:rPr>
          <w:rFonts w:cs="Times New Roman"/>
          <w:szCs w:val="24"/>
          <w:lang w:val="en-US"/>
        </w:rPr>
        <w:t xml:space="preserve">process </w:t>
      </w:r>
      <w:r w:rsidRPr="00D40861">
        <w:rPr>
          <w:rFonts w:cs="Times New Roman"/>
          <w:szCs w:val="24"/>
          <w:lang w:val="en-US"/>
        </w:rPr>
        <w:t xml:space="preserve">itself. Concerning our findings, </w:t>
      </w:r>
      <w:r>
        <w:rPr>
          <w:rFonts w:cs="Times New Roman"/>
          <w:szCs w:val="24"/>
          <w:lang w:val="en-US"/>
        </w:rPr>
        <w:t xml:space="preserve">it is </w:t>
      </w:r>
      <w:r w:rsidRPr="00D40861">
        <w:rPr>
          <w:rFonts w:cs="Times New Roman"/>
          <w:szCs w:val="24"/>
          <w:lang w:val="en-US"/>
        </w:rPr>
        <w:t>surprising</w:t>
      </w:r>
      <w:r>
        <w:rPr>
          <w:rFonts w:cs="Times New Roman"/>
          <w:szCs w:val="24"/>
          <w:lang w:val="en-US"/>
        </w:rPr>
        <w:t xml:space="preserve"> that</w:t>
      </w:r>
      <w:r w:rsidRPr="00D40861">
        <w:rPr>
          <w:rFonts w:cs="Times New Roman"/>
          <w:szCs w:val="24"/>
          <w:lang w:val="en-US"/>
        </w:rPr>
        <w:t xml:space="preserve"> little </w:t>
      </w:r>
      <w:r>
        <w:rPr>
          <w:rFonts w:cs="Times New Roman"/>
          <w:szCs w:val="24"/>
          <w:lang w:val="en-US"/>
        </w:rPr>
        <w:t xml:space="preserve">or no </w:t>
      </w:r>
      <w:r w:rsidRPr="00D40861">
        <w:rPr>
          <w:rFonts w:cs="Times New Roman"/>
          <w:szCs w:val="24"/>
          <w:lang w:val="en-US"/>
        </w:rPr>
        <w:t xml:space="preserve">academic work has </w:t>
      </w:r>
      <w:r w:rsidRPr="00D40861">
        <w:rPr>
          <w:rFonts w:cs="Times New Roman"/>
          <w:szCs w:val="24"/>
          <w:lang w:val="en-US"/>
        </w:rPr>
        <w:lastRenderedPageBreak/>
        <w:t xml:space="preserve">been done </w:t>
      </w:r>
      <w:r>
        <w:rPr>
          <w:rFonts w:cs="Times New Roman"/>
          <w:szCs w:val="24"/>
          <w:lang w:val="en-US"/>
        </w:rPr>
        <w:t>on</w:t>
      </w:r>
      <w:r w:rsidRPr="00D40861">
        <w:rPr>
          <w:rFonts w:cs="Times New Roman"/>
          <w:szCs w:val="24"/>
          <w:lang w:val="en-US"/>
        </w:rPr>
        <w:t xml:space="preserve"> the differences in similar HF strategy indices from different database vendors. </w:t>
      </w:r>
      <w:proofErr w:type="spellStart"/>
      <w:r w:rsidRPr="00D40861">
        <w:rPr>
          <w:rFonts w:cs="Times New Roman"/>
          <w:szCs w:val="24"/>
          <w:lang w:val="en-US"/>
        </w:rPr>
        <w:t>Amenc</w:t>
      </w:r>
      <w:proofErr w:type="spellEnd"/>
      <w:r w:rsidRPr="00D40861">
        <w:rPr>
          <w:rFonts w:cs="Times New Roman"/>
          <w:szCs w:val="24"/>
          <w:lang w:val="en-US"/>
        </w:rPr>
        <w:t xml:space="preserve"> and </w:t>
      </w:r>
      <w:proofErr w:type="spellStart"/>
      <w:r w:rsidRPr="00D40861">
        <w:rPr>
          <w:rFonts w:cs="Times New Roman"/>
          <w:szCs w:val="24"/>
          <w:lang w:val="en-US"/>
        </w:rPr>
        <w:t>Martellini</w:t>
      </w:r>
      <w:proofErr w:type="spellEnd"/>
      <w:r w:rsidRPr="00D40861">
        <w:rPr>
          <w:rFonts w:cs="Times New Roman"/>
          <w:szCs w:val="24"/>
          <w:lang w:val="en-US"/>
        </w:rPr>
        <w:t xml:space="preserve"> (2003) were the first who examined in a systematic way the differences between HF indices and their lack of success in accurate measuring. There are studies that dealt with the problems of measuring and interpreting indices (e.g. </w:t>
      </w:r>
      <w:proofErr w:type="spellStart"/>
      <w:r w:rsidRPr="00D40861">
        <w:rPr>
          <w:rFonts w:cs="Times New Roman"/>
          <w:szCs w:val="24"/>
          <w:lang w:val="en-US"/>
        </w:rPr>
        <w:t>Brittain</w:t>
      </w:r>
      <w:proofErr w:type="spellEnd"/>
      <w:r w:rsidRPr="00D40861">
        <w:rPr>
          <w:rFonts w:cs="Times New Roman"/>
          <w:szCs w:val="24"/>
          <w:lang w:val="en-US"/>
        </w:rPr>
        <w:t xml:space="preserve">, 2001, </w:t>
      </w:r>
      <w:proofErr w:type="spellStart"/>
      <w:r w:rsidRPr="00D40861">
        <w:rPr>
          <w:rFonts w:cs="Times New Roman"/>
          <w:szCs w:val="24"/>
          <w:lang w:val="en-US"/>
        </w:rPr>
        <w:t>Schneeweis</w:t>
      </w:r>
      <w:proofErr w:type="spellEnd"/>
      <w:r w:rsidRPr="00D40861">
        <w:rPr>
          <w:rFonts w:cs="Times New Roman"/>
          <w:szCs w:val="24"/>
          <w:lang w:val="en-US"/>
        </w:rPr>
        <w:t xml:space="preserve">, </w:t>
      </w:r>
      <w:proofErr w:type="spellStart"/>
      <w:r w:rsidRPr="00D40861">
        <w:rPr>
          <w:rFonts w:cs="Times New Roman"/>
          <w:szCs w:val="24"/>
          <w:lang w:val="en-US"/>
        </w:rPr>
        <w:t>Kazemi</w:t>
      </w:r>
      <w:proofErr w:type="spellEnd"/>
      <w:r w:rsidRPr="00D40861">
        <w:rPr>
          <w:rFonts w:cs="Times New Roman"/>
          <w:szCs w:val="24"/>
          <w:lang w:val="en-US"/>
        </w:rPr>
        <w:t xml:space="preserve"> and Martin, 2002), the attractiveness of investing in hedge fund indices (e.g. Brooks and Kat, 2002) or survivorship and selection biases in these indices (Fung and Hsieh, 2002) but none of the</w:t>
      </w:r>
      <w:r>
        <w:rPr>
          <w:rFonts w:cs="Times New Roman"/>
          <w:szCs w:val="24"/>
          <w:lang w:val="en-US"/>
        </w:rPr>
        <w:t>se</w:t>
      </w:r>
      <w:r w:rsidRPr="00D40861">
        <w:rPr>
          <w:rFonts w:cs="Times New Roman"/>
          <w:szCs w:val="24"/>
          <w:lang w:val="en-US"/>
        </w:rPr>
        <w:t xml:space="preserve"> dealt with the differences </w:t>
      </w:r>
      <w:r>
        <w:rPr>
          <w:rFonts w:cs="Times New Roman"/>
          <w:szCs w:val="24"/>
          <w:lang w:val="en-US"/>
        </w:rPr>
        <w:t>between</w:t>
      </w:r>
      <w:r w:rsidRPr="00D40861">
        <w:rPr>
          <w:rFonts w:cs="Times New Roman"/>
          <w:szCs w:val="24"/>
          <w:lang w:val="en-US"/>
        </w:rPr>
        <w:t xml:space="preserve"> indices representing the same strategy with regard to the index construction process. </w:t>
      </w:r>
      <w:r>
        <w:rPr>
          <w:rFonts w:cs="Times New Roman"/>
          <w:szCs w:val="24"/>
          <w:lang w:val="en-US"/>
        </w:rPr>
        <w:t>O</w:t>
      </w:r>
      <w:r w:rsidRPr="00D40861">
        <w:rPr>
          <w:rFonts w:cs="Times New Roman"/>
          <w:szCs w:val="24"/>
          <w:lang w:val="en-US"/>
        </w:rPr>
        <w:t xml:space="preserve">ur study is complementary to the above studies </w:t>
      </w:r>
      <w:r>
        <w:rPr>
          <w:rFonts w:cs="Times New Roman"/>
          <w:szCs w:val="24"/>
          <w:lang w:val="en-US"/>
        </w:rPr>
        <w:t xml:space="preserve">as it </w:t>
      </w:r>
      <w:r w:rsidRPr="00D40861">
        <w:rPr>
          <w:rFonts w:cs="Times New Roman"/>
          <w:szCs w:val="24"/>
          <w:lang w:val="en-US"/>
        </w:rPr>
        <w:t>examin</w:t>
      </w:r>
      <w:r>
        <w:rPr>
          <w:rFonts w:cs="Times New Roman"/>
          <w:szCs w:val="24"/>
          <w:lang w:val="en-US"/>
        </w:rPr>
        <w:t>es</w:t>
      </w:r>
      <w:r w:rsidRPr="00D40861">
        <w:rPr>
          <w:rFonts w:cs="Times New Roman"/>
          <w:szCs w:val="24"/>
          <w:lang w:val="en-US"/>
        </w:rPr>
        <w:t xml:space="preserve"> HF indexing from </w:t>
      </w:r>
      <w:r>
        <w:rPr>
          <w:rFonts w:cs="Times New Roman"/>
          <w:szCs w:val="24"/>
          <w:lang w:val="en-US"/>
        </w:rPr>
        <w:t xml:space="preserve">a </w:t>
      </w:r>
      <w:r w:rsidRPr="00D40861">
        <w:rPr>
          <w:rFonts w:cs="Times New Roman"/>
          <w:szCs w:val="24"/>
          <w:lang w:val="en-US"/>
        </w:rPr>
        <w:t>different perspective</w:t>
      </w:r>
      <w:r w:rsidR="00351622">
        <w:rPr>
          <w:rFonts w:cs="Times New Roman"/>
          <w:color w:val="0070C0"/>
          <w:szCs w:val="24"/>
          <w:shd w:val="clear" w:color="auto" w:fill="FFFFFF"/>
        </w:rPr>
        <w:t xml:space="preserve">. </w:t>
      </w:r>
    </w:p>
    <w:p w:rsidR="00D8768F" w:rsidRPr="0045164B" w:rsidRDefault="00A25821" w:rsidP="003960ED">
      <w:pPr>
        <w:jc w:val="both"/>
        <w:rPr>
          <w:rFonts w:cs="Times New Roman"/>
          <w:szCs w:val="24"/>
          <w:shd w:val="clear" w:color="auto" w:fill="FFFFFF"/>
        </w:rPr>
      </w:pPr>
      <w:r w:rsidRPr="002E20FF">
        <w:rPr>
          <w:rFonts w:cs="Times New Roman"/>
          <w:szCs w:val="24"/>
          <w:lang w:val="en-US"/>
        </w:rPr>
        <w:t xml:space="preserve">Our paper contributes to the literature </w:t>
      </w:r>
      <w:r>
        <w:rPr>
          <w:rFonts w:cs="Times New Roman"/>
          <w:szCs w:val="24"/>
          <w:lang w:val="en-US"/>
        </w:rPr>
        <w:t xml:space="preserve">by </w:t>
      </w:r>
      <w:r w:rsidRPr="002E20FF">
        <w:rPr>
          <w:rFonts w:cs="Times New Roman"/>
          <w:szCs w:val="24"/>
          <w:lang w:val="en-US"/>
        </w:rPr>
        <w:t>being the first to examine and explain the main principles and quantitative techniques used to build HF indices</w:t>
      </w:r>
      <w:r>
        <w:rPr>
          <w:rFonts w:cs="Times New Roman"/>
          <w:szCs w:val="24"/>
          <w:lang w:val="en-US"/>
        </w:rPr>
        <w:t>,</w:t>
      </w:r>
      <w:r w:rsidRPr="002E20FF">
        <w:rPr>
          <w:rFonts w:cs="Times New Roman"/>
          <w:szCs w:val="24"/>
          <w:lang w:val="en-US"/>
        </w:rPr>
        <w:t xml:space="preserve"> through the use of real vendor cases explaining why there are differences in indices representing </w:t>
      </w:r>
      <w:r>
        <w:rPr>
          <w:rFonts w:cs="Times New Roman"/>
          <w:szCs w:val="24"/>
          <w:lang w:val="en-US"/>
        </w:rPr>
        <w:t xml:space="preserve">the </w:t>
      </w:r>
      <w:r w:rsidRPr="002E20FF">
        <w:rPr>
          <w:rFonts w:cs="Times New Roman"/>
          <w:szCs w:val="24"/>
          <w:lang w:val="en-US"/>
        </w:rPr>
        <w:t>same strategies. The usefulness of the insights developed in our paper allow investors to better understand the nature of the HF indices on offer rather than treating them as a “black box”</w:t>
      </w:r>
      <w:r>
        <w:rPr>
          <w:rFonts w:cs="Times New Roman"/>
          <w:szCs w:val="24"/>
          <w:lang w:val="en-US"/>
        </w:rPr>
        <w:t>, helping them to f</w:t>
      </w:r>
      <w:r w:rsidRPr="002E20FF">
        <w:rPr>
          <w:rFonts w:cs="Times New Roman"/>
          <w:szCs w:val="24"/>
          <w:lang w:val="en-US"/>
        </w:rPr>
        <w:t xml:space="preserve">eel more confident about choosing the right index benchmark for their investments (e.g. knowing their needs, </w:t>
      </w:r>
      <w:r>
        <w:rPr>
          <w:rFonts w:cs="Times New Roman"/>
          <w:szCs w:val="24"/>
          <w:lang w:val="en-US"/>
        </w:rPr>
        <w:t xml:space="preserve">understanding </w:t>
      </w:r>
      <w:r w:rsidRPr="002E20FF">
        <w:rPr>
          <w:rFonts w:cs="Times New Roman"/>
          <w:szCs w:val="24"/>
          <w:lang w:val="en-US"/>
        </w:rPr>
        <w:t xml:space="preserve">how each index is constructed and what exactly </w:t>
      </w:r>
      <w:r>
        <w:rPr>
          <w:rFonts w:cs="Times New Roman"/>
          <w:szCs w:val="24"/>
          <w:lang w:val="en-US"/>
        </w:rPr>
        <w:t xml:space="preserve">it </w:t>
      </w:r>
      <w:r w:rsidRPr="002E20FF">
        <w:rPr>
          <w:rFonts w:cs="Times New Roman"/>
          <w:szCs w:val="24"/>
          <w:lang w:val="en-US"/>
        </w:rPr>
        <w:t>shows</w:t>
      </w:r>
      <w:r>
        <w:rPr>
          <w:rFonts w:cs="Times New Roman"/>
          <w:szCs w:val="24"/>
          <w:lang w:val="en-US"/>
        </w:rPr>
        <w:t>,</w:t>
      </w:r>
      <w:r w:rsidRPr="002E20FF">
        <w:rPr>
          <w:rFonts w:cs="Times New Roman"/>
          <w:szCs w:val="24"/>
          <w:lang w:val="en-US"/>
        </w:rPr>
        <w:t xml:space="preserve"> </w:t>
      </w:r>
      <w:r>
        <w:rPr>
          <w:rFonts w:cs="Times New Roman"/>
          <w:szCs w:val="24"/>
          <w:lang w:val="en-US"/>
        </w:rPr>
        <w:t xml:space="preserve">and </w:t>
      </w:r>
      <w:r w:rsidRPr="002E20FF">
        <w:rPr>
          <w:rFonts w:cs="Times New Roman"/>
          <w:szCs w:val="24"/>
          <w:lang w:val="en-US"/>
        </w:rPr>
        <w:t>assist</w:t>
      </w:r>
      <w:r>
        <w:rPr>
          <w:rFonts w:cs="Times New Roman"/>
          <w:szCs w:val="24"/>
          <w:lang w:val="en-US"/>
        </w:rPr>
        <w:t>ing</w:t>
      </w:r>
      <w:r w:rsidRPr="002E20FF">
        <w:rPr>
          <w:rFonts w:cs="Times New Roman"/>
          <w:szCs w:val="24"/>
          <w:lang w:val="en-US"/>
        </w:rPr>
        <w:t xml:space="preserve"> them </w:t>
      </w:r>
      <w:r>
        <w:rPr>
          <w:rFonts w:cs="Times New Roman"/>
          <w:szCs w:val="24"/>
          <w:lang w:val="en-US"/>
        </w:rPr>
        <w:t>in</w:t>
      </w:r>
      <w:r w:rsidRPr="002E20FF">
        <w:rPr>
          <w:rFonts w:cs="Times New Roman"/>
          <w:szCs w:val="24"/>
          <w:lang w:val="en-US"/>
        </w:rPr>
        <w:t xml:space="preserve"> the </w:t>
      </w:r>
      <w:r>
        <w:rPr>
          <w:rFonts w:cs="Times New Roman"/>
          <w:szCs w:val="24"/>
          <w:lang w:val="en-US"/>
        </w:rPr>
        <w:t>‘</w:t>
      </w:r>
      <w:r w:rsidRPr="002E20FF">
        <w:rPr>
          <w:rFonts w:cs="Times New Roman"/>
          <w:szCs w:val="24"/>
          <w:lang w:val="en-US"/>
        </w:rPr>
        <w:t>right</w:t>
      </w:r>
      <w:r>
        <w:rPr>
          <w:rFonts w:cs="Times New Roman"/>
          <w:szCs w:val="24"/>
          <w:lang w:val="en-US"/>
        </w:rPr>
        <w:t>’</w:t>
      </w:r>
      <w:r w:rsidRPr="002E20FF">
        <w:rPr>
          <w:rFonts w:cs="Times New Roman"/>
          <w:szCs w:val="24"/>
          <w:lang w:val="en-US"/>
        </w:rPr>
        <w:t xml:space="preserve"> decision). This is important as the selection of the right index benchmark is not a trivial process and may affect their investment decisions. Database vendors are helped to construct better indices, by understanding the methods of their rivals and combining new </w:t>
      </w:r>
      <w:r>
        <w:rPr>
          <w:rFonts w:cs="Times New Roman"/>
          <w:szCs w:val="24"/>
          <w:lang w:val="en-US"/>
        </w:rPr>
        <w:t>techniques</w:t>
      </w:r>
      <w:r w:rsidRPr="002E20FF">
        <w:rPr>
          <w:rFonts w:cs="Times New Roman"/>
          <w:szCs w:val="24"/>
          <w:lang w:val="en-US"/>
        </w:rPr>
        <w:t xml:space="preserve"> in their index construction methodology, by collaborating with other vendors or even specializing in certain indices. Researchers can </w:t>
      </w:r>
      <w:r>
        <w:rPr>
          <w:rFonts w:cs="Times New Roman"/>
          <w:szCs w:val="24"/>
          <w:lang w:val="en-US"/>
        </w:rPr>
        <w:t>gain</w:t>
      </w:r>
      <w:r w:rsidRPr="002E20FF">
        <w:rPr>
          <w:rFonts w:cs="Times New Roman"/>
          <w:szCs w:val="24"/>
          <w:lang w:val="en-US"/>
        </w:rPr>
        <w:t xml:space="preserve"> deeper knowledge of the HF indices that </w:t>
      </w:r>
      <w:r>
        <w:rPr>
          <w:rFonts w:cs="Times New Roman"/>
          <w:szCs w:val="24"/>
          <w:lang w:val="en-US"/>
        </w:rPr>
        <w:t xml:space="preserve">they </w:t>
      </w:r>
      <w:r w:rsidRPr="002E20FF">
        <w:rPr>
          <w:rFonts w:cs="Times New Roman"/>
          <w:szCs w:val="24"/>
          <w:lang w:val="en-US"/>
        </w:rPr>
        <w:t>use in</w:t>
      </w:r>
      <w:r>
        <w:rPr>
          <w:rFonts w:cs="Times New Roman"/>
          <w:szCs w:val="24"/>
          <w:lang w:val="en-US"/>
        </w:rPr>
        <w:t xml:space="preserve"> their research. Finally</w:t>
      </w:r>
      <w:r w:rsidRPr="002E20FF">
        <w:rPr>
          <w:rFonts w:cs="Times New Roman"/>
          <w:szCs w:val="24"/>
          <w:lang w:val="en-US"/>
        </w:rPr>
        <w:t>, financial governance authorities could</w:t>
      </w:r>
      <w:r>
        <w:rPr>
          <w:rFonts w:cs="Times New Roman"/>
          <w:szCs w:val="24"/>
          <w:lang w:val="en-US"/>
        </w:rPr>
        <w:t>,</w:t>
      </w:r>
      <w:r w:rsidRPr="002E20FF">
        <w:rPr>
          <w:rFonts w:cs="Times New Roman"/>
          <w:szCs w:val="24"/>
          <w:lang w:val="en-US"/>
        </w:rPr>
        <w:t xml:space="preserve"> through collaboration with database vendors</w:t>
      </w:r>
      <w:r>
        <w:rPr>
          <w:rFonts w:cs="Times New Roman"/>
          <w:szCs w:val="24"/>
          <w:lang w:val="en-US"/>
        </w:rPr>
        <w:t>,</w:t>
      </w:r>
      <w:r w:rsidRPr="002E20FF">
        <w:rPr>
          <w:rFonts w:cs="Times New Roman"/>
          <w:szCs w:val="24"/>
          <w:lang w:val="en-US"/>
        </w:rPr>
        <w:t xml:space="preserve"> create a common HF pool to help investors, as the differences in indices are mainly due to the different HF universe</w:t>
      </w:r>
      <w:r>
        <w:rPr>
          <w:rFonts w:cs="Times New Roman"/>
          <w:szCs w:val="24"/>
          <w:lang w:val="en-US"/>
        </w:rPr>
        <w:t>s used by the database vendors</w:t>
      </w:r>
      <w:r w:rsidR="00D8768F" w:rsidRPr="0045164B">
        <w:rPr>
          <w:rFonts w:cs="Times New Roman"/>
          <w:szCs w:val="24"/>
          <w:shd w:val="clear" w:color="auto" w:fill="FFFFFF"/>
        </w:rPr>
        <w:t xml:space="preserve">. </w:t>
      </w:r>
    </w:p>
    <w:p w:rsidR="003960ED" w:rsidRPr="0045164B" w:rsidRDefault="00F657FC" w:rsidP="003960ED">
      <w:pPr>
        <w:jc w:val="both"/>
        <w:rPr>
          <w:rFonts w:cs="Times New Roman"/>
          <w:szCs w:val="24"/>
          <w:shd w:val="clear" w:color="auto" w:fill="FFFFFF"/>
        </w:rPr>
      </w:pPr>
      <w:r>
        <w:rPr>
          <w:rFonts w:cs="Times New Roman"/>
          <w:color w:val="222222"/>
          <w:szCs w:val="24"/>
          <w:shd w:val="clear" w:color="auto" w:fill="FFFFFF"/>
        </w:rPr>
        <w:t xml:space="preserve">Following this </w:t>
      </w:r>
      <w:r w:rsidR="003960ED">
        <w:rPr>
          <w:rFonts w:cs="Times New Roman"/>
          <w:color w:val="222222"/>
          <w:szCs w:val="24"/>
          <w:shd w:val="clear" w:color="auto" w:fill="FFFFFF"/>
        </w:rPr>
        <w:t>introduction, we proceed to the HFR case and in the third section to the S&amp;P case</w:t>
      </w:r>
      <w:r w:rsidR="003960ED" w:rsidRPr="0045164B">
        <w:rPr>
          <w:rFonts w:cs="Times New Roman"/>
          <w:szCs w:val="24"/>
          <w:shd w:val="clear" w:color="auto" w:fill="FFFFFF"/>
        </w:rPr>
        <w:t xml:space="preserve">. </w:t>
      </w:r>
      <w:r w:rsidR="00AD1045" w:rsidRPr="0045164B">
        <w:rPr>
          <w:rFonts w:cs="Times New Roman"/>
          <w:szCs w:val="24"/>
          <w:shd w:val="clear" w:color="auto" w:fill="FFFFFF"/>
        </w:rPr>
        <w:t xml:space="preserve">Afterwards, we proceed to numerical calculations – demonstration of the two classification methods. </w:t>
      </w:r>
      <w:r w:rsidR="00AC3415" w:rsidRPr="0045164B">
        <w:rPr>
          <w:rFonts w:cs="Times New Roman"/>
          <w:szCs w:val="24"/>
          <w:shd w:val="clear" w:color="auto" w:fill="FFFFFF"/>
        </w:rPr>
        <w:t>W</w:t>
      </w:r>
      <w:r w:rsidR="003960ED" w:rsidRPr="0045164B">
        <w:rPr>
          <w:rFonts w:cs="Times New Roman"/>
          <w:szCs w:val="24"/>
          <w:shd w:val="clear" w:color="auto" w:fill="FFFFFF"/>
        </w:rPr>
        <w:t xml:space="preserve">e </w:t>
      </w:r>
      <w:r w:rsidR="00AC3415" w:rsidRPr="0045164B">
        <w:rPr>
          <w:rFonts w:cs="Times New Roman"/>
          <w:szCs w:val="24"/>
          <w:shd w:val="clear" w:color="auto" w:fill="FFFFFF"/>
        </w:rPr>
        <w:t xml:space="preserve">then </w:t>
      </w:r>
      <w:r w:rsidR="003960ED" w:rsidRPr="0045164B">
        <w:rPr>
          <w:rFonts w:cs="Times New Roman"/>
          <w:szCs w:val="24"/>
          <w:shd w:val="clear" w:color="auto" w:fill="FFFFFF"/>
        </w:rPr>
        <w:t xml:space="preserve">compare and evaluate the two cases on </w:t>
      </w:r>
      <w:r w:rsidR="00AC3415" w:rsidRPr="0045164B">
        <w:rPr>
          <w:rFonts w:cs="Times New Roman"/>
          <w:szCs w:val="24"/>
          <w:shd w:val="clear" w:color="auto" w:fill="FFFFFF"/>
        </w:rPr>
        <w:t xml:space="preserve">a </w:t>
      </w:r>
      <w:r w:rsidR="003960ED" w:rsidRPr="0045164B">
        <w:rPr>
          <w:rFonts w:cs="Times New Roman"/>
          <w:szCs w:val="24"/>
          <w:shd w:val="clear" w:color="auto" w:fill="FFFFFF"/>
        </w:rPr>
        <w:t xml:space="preserve">quantitative and qualitative basis. </w:t>
      </w:r>
      <w:r w:rsidR="00AC3415" w:rsidRPr="0045164B">
        <w:rPr>
          <w:rFonts w:cs="Times New Roman"/>
          <w:szCs w:val="24"/>
          <w:shd w:val="clear" w:color="auto" w:fill="FFFFFF"/>
        </w:rPr>
        <w:t xml:space="preserve">We conclude </w:t>
      </w:r>
      <w:r w:rsidR="003960ED" w:rsidRPr="0045164B">
        <w:rPr>
          <w:rFonts w:cs="Times New Roman"/>
          <w:szCs w:val="24"/>
          <w:shd w:val="clear" w:color="auto" w:fill="FFFFFF"/>
        </w:rPr>
        <w:t xml:space="preserve">concerning index construction methods in the </w:t>
      </w:r>
      <w:r w:rsidR="00BF5703">
        <w:rPr>
          <w:rFonts w:cs="Times New Roman"/>
          <w:color w:val="222222"/>
          <w:szCs w:val="24"/>
          <w:shd w:val="clear" w:color="auto" w:fill="FFFFFF"/>
        </w:rPr>
        <w:t>HF</w:t>
      </w:r>
      <w:r w:rsidR="00BF5703" w:rsidRPr="0045164B">
        <w:rPr>
          <w:rFonts w:cs="Times New Roman"/>
          <w:szCs w:val="24"/>
          <w:shd w:val="clear" w:color="auto" w:fill="FFFFFF"/>
        </w:rPr>
        <w:t xml:space="preserve"> </w:t>
      </w:r>
      <w:r w:rsidR="003960ED" w:rsidRPr="0045164B">
        <w:rPr>
          <w:rFonts w:cs="Times New Roman"/>
          <w:szCs w:val="24"/>
          <w:shd w:val="clear" w:color="auto" w:fill="FFFFFF"/>
        </w:rPr>
        <w:t xml:space="preserve">industry. </w:t>
      </w:r>
    </w:p>
    <w:p w:rsidR="000A09EF" w:rsidRPr="001D0001" w:rsidRDefault="00613C6B" w:rsidP="001D0001">
      <w:pPr>
        <w:pStyle w:val="Heading1"/>
      </w:pPr>
      <w:bookmarkStart w:id="1" w:name="_Toc345402475"/>
      <w:bookmarkStart w:id="2" w:name="_Toc421638701"/>
      <w:r w:rsidRPr="001D0001">
        <w:lastRenderedPageBreak/>
        <w:t xml:space="preserve">Hedge Fund </w:t>
      </w:r>
      <w:r w:rsidR="000A09EF" w:rsidRPr="001D0001">
        <w:t>Ind</w:t>
      </w:r>
      <w:r w:rsidRPr="001D0001">
        <w:t xml:space="preserve">ex </w:t>
      </w:r>
      <w:r w:rsidR="000A09EF" w:rsidRPr="001D0001">
        <w:t>Construct</w:t>
      </w:r>
      <w:bookmarkEnd w:id="1"/>
      <w:bookmarkEnd w:id="2"/>
      <w:r w:rsidRPr="001D0001">
        <w:t>ion: HFR Case</w:t>
      </w:r>
    </w:p>
    <w:p w:rsidR="000A09EF" w:rsidRPr="002A7570" w:rsidRDefault="000A09EF" w:rsidP="000A09EF">
      <w:pPr>
        <w:jc w:val="both"/>
      </w:pPr>
      <w:r w:rsidRPr="002A7570">
        <w:t xml:space="preserve">In this section </w:t>
      </w:r>
      <w:r w:rsidR="00E10B33">
        <w:t xml:space="preserve">we present </w:t>
      </w:r>
      <w:r w:rsidRPr="002A7570">
        <w:t>a</w:t>
      </w:r>
      <w:r w:rsidR="0086729F">
        <w:t>n</w:t>
      </w:r>
      <w:r w:rsidRPr="002A7570">
        <w:t xml:space="preserve"> analysis of </w:t>
      </w:r>
      <w:r w:rsidR="00613C6B" w:rsidRPr="002A7570">
        <w:t xml:space="preserve">the </w:t>
      </w:r>
      <w:r w:rsidR="00BF5703">
        <w:rPr>
          <w:rFonts w:cs="Times New Roman"/>
          <w:color w:val="222222"/>
          <w:szCs w:val="24"/>
          <w:shd w:val="clear" w:color="auto" w:fill="FFFFFF"/>
        </w:rPr>
        <w:t>HF</w:t>
      </w:r>
      <w:r w:rsidR="00BF5703" w:rsidRPr="002A7570">
        <w:t xml:space="preserve"> </w:t>
      </w:r>
      <w:r w:rsidRPr="002A7570">
        <w:t xml:space="preserve">indexing methodology that is followed by Hedge Fund Research </w:t>
      </w:r>
      <w:r w:rsidR="0086729F">
        <w:t>Inc. (2012). Later we present a</w:t>
      </w:r>
      <w:r w:rsidRPr="002A7570">
        <w:t xml:space="preserve"> case from S&amp;P’s Hedge Fund Indexing methodology (Patel, </w:t>
      </w:r>
      <w:proofErr w:type="spellStart"/>
      <w:r w:rsidRPr="002A7570">
        <w:t>Roffman</w:t>
      </w:r>
      <w:proofErr w:type="spellEnd"/>
      <w:r w:rsidRPr="002A7570">
        <w:t xml:space="preserve">, and </w:t>
      </w:r>
      <w:proofErr w:type="spellStart"/>
      <w:r w:rsidRPr="002A7570">
        <w:t>Meziani</w:t>
      </w:r>
      <w:proofErr w:type="spellEnd"/>
      <w:r w:rsidRPr="002A7570">
        <w:t xml:space="preserve"> 2003), following the</w:t>
      </w:r>
      <w:r w:rsidR="00E10B33">
        <w:t xml:space="preserve"> index engineering</w:t>
      </w:r>
      <w:r w:rsidRPr="002A7570">
        <w:t xml:space="preserve"> methodology step by step. As a result, the reader will see the differences in practical terms through these comparisons.</w:t>
      </w:r>
    </w:p>
    <w:p w:rsidR="000A09EF" w:rsidRPr="002A7570" w:rsidRDefault="000A09EF" w:rsidP="000A09EF">
      <w:pPr>
        <w:jc w:val="both"/>
      </w:pPr>
      <w:r w:rsidRPr="002A7570">
        <w:t>Hedge Fund Research, Inc. (HFR) contains more than 6800 funds and funds of funds worldwide. It constructs two main types of indices</w:t>
      </w:r>
      <w:r w:rsidR="00613C6B" w:rsidRPr="002A7570">
        <w:t xml:space="preserve">: the </w:t>
      </w:r>
      <w:r w:rsidRPr="002A7570">
        <w:rPr>
          <w:i/>
        </w:rPr>
        <w:t>HFRX</w:t>
      </w:r>
      <w:r w:rsidRPr="002A7570">
        <w:t xml:space="preserve"> and </w:t>
      </w:r>
      <w:r w:rsidRPr="002A7570">
        <w:rPr>
          <w:i/>
        </w:rPr>
        <w:t>HFRI</w:t>
      </w:r>
      <w:r w:rsidRPr="002A7570">
        <w:t xml:space="preserve"> indices (HFR, 2012). </w:t>
      </w:r>
      <w:r w:rsidR="0086729F">
        <w:t>In</w:t>
      </w:r>
      <w:r w:rsidRPr="002A7570">
        <w:t xml:space="preserve"> February 2013 the firm </w:t>
      </w:r>
      <w:r w:rsidR="00613C6B" w:rsidRPr="002A7570">
        <w:t xml:space="preserve">also </w:t>
      </w:r>
      <w:r w:rsidRPr="002A7570">
        <w:t xml:space="preserve">introduced the </w:t>
      </w:r>
      <w:r w:rsidRPr="002A7570">
        <w:rPr>
          <w:i/>
        </w:rPr>
        <w:t>HFRU</w:t>
      </w:r>
      <w:r w:rsidRPr="002A7570">
        <w:t xml:space="preserve"> indices.</w:t>
      </w:r>
    </w:p>
    <w:p w:rsidR="000A09EF" w:rsidRPr="00545494" w:rsidRDefault="000A09EF" w:rsidP="0045164B">
      <w:pPr>
        <w:jc w:val="both"/>
        <w:rPr>
          <w:color w:val="FF0000"/>
          <w:lang w:val="en-US"/>
        </w:rPr>
      </w:pPr>
      <w:r w:rsidRPr="002A7570">
        <w:t>The HFRI Monthly indices are a range of benchmarks constructed so that they are able to represent the</w:t>
      </w:r>
      <w:r w:rsidR="00322441">
        <w:t xml:space="preserve"> </w:t>
      </w:r>
      <w:r w:rsidR="00BF5703">
        <w:rPr>
          <w:rFonts w:cs="Times New Roman"/>
          <w:color w:val="222222"/>
          <w:szCs w:val="24"/>
          <w:shd w:val="clear" w:color="auto" w:fill="FFFFFF"/>
        </w:rPr>
        <w:t>HF</w:t>
      </w:r>
      <w:r w:rsidR="00BF5703">
        <w:t xml:space="preserve"> </w:t>
      </w:r>
      <w:r w:rsidR="00322441">
        <w:t>industry</w:t>
      </w:r>
      <w:r w:rsidRPr="002A7570">
        <w:t xml:space="preserve"> by equally weighted components of funds that are being reported by their managers to the HFR database. The HFRI index category ranges from the HFRI Fund Weighted Composite index that consists of 2</w:t>
      </w:r>
      <w:r w:rsidR="00322441">
        <w:t>,</w:t>
      </w:r>
      <w:r w:rsidRPr="002A7570">
        <w:t>200 funds to particular sub-strategy classified indices</w:t>
      </w:r>
      <w:r w:rsidR="00613C6B" w:rsidRPr="002A7570">
        <w:t>. It</w:t>
      </w:r>
      <w:r w:rsidRPr="002A7570">
        <w:t xml:space="preserve"> is non-investable.</w:t>
      </w:r>
      <w:r w:rsidR="0045164B">
        <w:t xml:space="preserve"> </w:t>
      </w:r>
      <w:r w:rsidRPr="002A7570">
        <w:t xml:space="preserve">The HFRX indices have various index-weighting methods (depending on each index), have different characteristics from HFRI and HFRU indices, and are investable. The newest HFRU (Euros) index category that is denominated in euros is equally-weighted, and is not investable. The HFRU composite index consists of over 600 funds. </w:t>
      </w:r>
    </w:p>
    <w:p w:rsidR="000A09EF" w:rsidRDefault="002776F0" w:rsidP="000A09EF">
      <w:pPr>
        <w:jc w:val="both"/>
        <w:rPr>
          <w:lang w:val="en-US"/>
        </w:rPr>
      </w:pPr>
      <w:r w:rsidRPr="00513FC0">
        <w:rPr>
          <w:lang w:val="en-US"/>
        </w:rPr>
        <w:t xml:space="preserve">The HFRX Global Hedge Fund Index is composed of four main strategy indices that consist of other sub-indices representing various sub-strategies. </w:t>
      </w:r>
      <w:r w:rsidR="000A09EF">
        <w:rPr>
          <w:lang w:val="en-US"/>
        </w:rPr>
        <w:t xml:space="preserve">The HFRX methodology (that is similar to HFRU) includes highly quantitative classification, cluster analysis, correlation analysis, cutting-edge optimization, and Monte Carlo simulations. This approach uses both quantitative and qualitative analysis in order to first, define whether the </w:t>
      </w:r>
      <w:r w:rsidR="00BF5703">
        <w:rPr>
          <w:rFonts w:cs="Times New Roman"/>
          <w:color w:val="222222"/>
          <w:szCs w:val="24"/>
          <w:shd w:val="clear" w:color="auto" w:fill="FFFFFF"/>
        </w:rPr>
        <w:t>HF</w:t>
      </w:r>
      <w:r w:rsidR="00BF5703">
        <w:rPr>
          <w:lang w:val="en-US"/>
        </w:rPr>
        <w:t xml:space="preserve"> </w:t>
      </w:r>
      <w:r w:rsidR="000A09EF">
        <w:rPr>
          <w:lang w:val="en-US"/>
        </w:rPr>
        <w:t xml:space="preserve">is being managed with transparency and second, check whether the manager complies with the requirements of the due diligence process that is followed by the Hedge Fund Research Inc. Using appropriate aggregated and weighted techniques this HFRX methodology produces the highest statistical probability that the return series would be adequately representative of the </w:t>
      </w:r>
      <w:r w:rsidR="00BF5703">
        <w:rPr>
          <w:rFonts w:cs="Times New Roman"/>
          <w:color w:val="222222"/>
          <w:szCs w:val="24"/>
          <w:shd w:val="clear" w:color="auto" w:fill="FFFFFF"/>
        </w:rPr>
        <w:t>HF</w:t>
      </w:r>
      <w:r w:rsidR="00BF5703">
        <w:rPr>
          <w:lang w:val="en-US"/>
        </w:rPr>
        <w:t xml:space="preserve"> </w:t>
      </w:r>
      <w:r w:rsidR="000A09EF">
        <w:rPr>
          <w:lang w:val="en-US"/>
        </w:rPr>
        <w:t>industry. The gene</w:t>
      </w:r>
      <w:r w:rsidR="009712AA">
        <w:rPr>
          <w:lang w:val="en-US"/>
        </w:rPr>
        <w:t xml:space="preserve">ral processes </w:t>
      </w:r>
      <w:r w:rsidR="000A09EF">
        <w:rPr>
          <w:lang w:val="en-US"/>
        </w:rPr>
        <w:t>are:</w:t>
      </w:r>
    </w:p>
    <w:p w:rsidR="000A09EF" w:rsidRDefault="000A09EF" w:rsidP="000A09EF">
      <w:pPr>
        <w:pStyle w:val="ListParagraph"/>
        <w:numPr>
          <w:ilvl w:val="0"/>
          <w:numId w:val="4"/>
        </w:numPr>
        <w:jc w:val="both"/>
        <w:rPr>
          <w:lang w:val="en-US"/>
        </w:rPr>
      </w:pPr>
      <w:r w:rsidRPr="00201935">
        <w:rPr>
          <w:i/>
          <w:lang w:val="en-US"/>
        </w:rPr>
        <w:lastRenderedPageBreak/>
        <w:t>Cluster Analysis</w:t>
      </w:r>
      <w:r>
        <w:rPr>
          <w:lang w:val="en-US"/>
        </w:rPr>
        <w:t>: HFR screens approximately 7000 funds in its database. Funds with at least $50M assets under management are included. Also, they must have at least two years’ track record, consent to trade on a transparent basis and be open for new investment.</w:t>
      </w:r>
    </w:p>
    <w:p w:rsidR="000A09EF" w:rsidRDefault="000A09EF" w:rsidP="000A09EF">
      <w:pPr>
        <w:pStyle w:val="ListParagraph"/>
        <w:numPr>
          <w:ilvl w:val="0"/>
          <w:numId w:val="4"/>
        </w:numPr>
        <w:jc w:val="both"/>
        <w:rPr>
          <w:lang w:val="en-US"/>
        </w:rPr>
      </w:pPr>
      <w:r w:rsidRPr="00201935">
        <w:rPr>
          <w:i/>
          <w:lang w:val="en-US"/>
        </w:rPr>
        <w:t>Correlation Analysis</w:t>
      </w:r>
      <w:r>
        <w:rPr>
          <w:lang w:val="en-US"/>
        </w:rPr>
        <w:t>: used for grouping funds by appropriate strategies and to eliminate outliers.</w:t>
      </w:r>
    </w:p>
    <w:p w:rsidR="000A09EF" w:rsidRDefault="000A09EF" w:rsidP="000A09EF">
      <w:pPr>
        <w:pStyle w:val="ListParagraph"/>
        <w:numPr>
          <w:ilvl w:val="0"/>
          <w:numId w:val="4"/>
        </w:numPr>
        <w:jc w:val="both"/>
        <w:rPr>
          <w:lang w:val="en-US"/>
        </w:rPr>
      </w:pPr>
      <w:r w:rsidRPr="00201935">
        <w:rPr>
          <w:i/>
          <w:lang w:val="en-US"/>
        </w:rPr>
        <w:t>Monte Carlo Simulation</w:t>
      </w:r>
      <w:r>
        <w:rPr>
          <w:lang w:val="en-US"/>
        </w:rPr>
        <w:t>: also used for grouping funds by the most relevant strategies and to eliminate outliers.</w:t>
      </w:r>
    </w:p>
    <w:p w:rsidR="000A09EF" w:rsidRDefault="000A09EF" w:rsidP="000A09EF">
      <w:pPr>
        <w:pStyle w:val="ListParagraph"/>
        <w:numPr>
          <w:ilvl w:val="0"/>
          <w:numId w:val="4"/>
        </w:numPr>
        <w:jc w:val="both"/>
        <w:rPr>
          <w:lang w:val="en-US"/>
        </w:rPr>
      </w:pPr>
      <w:r w:rsidRPr="00201935">
        <w:rPr>
          <w:i/>
          <w:lang w:val="en-US"/>
        </w:rPr>
        <w:t>Due Diligence Analysis</w:t>
      </w:r>
      <w:r>
        <w:rPr>
          <w:lang w:val="en-US"/>
        </w:rPr>
        <w:t>: Selected funds from the initial screening must be transparent and pass the rigorous qualitative screening.</w:t>
      </w:r>
    </w:p>
    <w:p w:rsidR="000A09EF" w:rsidRDefault="000A09EF" w:rsidP="000A09EF">
      <w:pPr>
        <w:pStyle w:val="ListParagraph"/>
        <w:numPr>
          <w:ilvl w:val="0"/>
          <w:numId w:val="4"/>
        </w:numPr>
        <w:jc w:val="both"/>
        <w:rPr>
          <w:lang w:val="en-US"/>
        </w:rPr>
      </w:pPr>
      <w:r w:rsidRPr="00201935">
        <w:rPr>
          <w:i/>
          <w:lang w:val="en-US"/>
        </w:rPr>
        <w:t>Strategy Weighting</w:t>
      </w:r>
      <w:r>
        <w:rPr>
          <w:lang w:val="en-US"/>
        </w:rPr>
        <w:t xml:space="preserve">: funds are weighted appropriately to maximize correlation with their group. </w:t>
      </w:r>
    </w:p>
    <w:p w:rsidR="006F7BA8" w:rsidRPr="00690776" w:rsidRDefault="006F7BA8" w:rsidP="000A09EF">
      <w:pPr>
        <w:jc w:val="both"/>
        <w:rPr>
          <w:lang w:val="en-US"/>
        </w:rPr>
      </w:pPr>
      <w:r w:rsidRPr="00690776">
        <w:rPr>
          <w:lang w:val="en-US"/>
        </w:rPr>
        <w:t>We cover each of these steps in more detail below.</w:t>
      </w:r>
    </w:p>
    <w:p w:rsidR="000A09EF" w:rsidRPr="00690776" w:rsidRDefault="000A09EF" w:rsidP="000A09EF">
      <w:pPr>
        <w:jc w:val="both"/>
        <w:rPr>
          <w:lang w:val="en-US"/>
        </w:rPr>
      </w:pPr>
      <w:r w:rsidRPr="00690776">
        <w:rPr>
          <w:lang w:val="en-US"/>
        </w:rPr>
        <w:t xml:space="preserve">The first step is the construction through </w:t>
      </w:r>
      <w:r w:rsidRPr="00690776">
        <w:rPr>
          <w:i/>
          <w:lang w:val="en-US"/>
        </w:rPr>
        <w:t>initial</w:t>
      </w:r>
      <w:r w:rsidRPr="00690776">
        <w:rPr>
          <w:lang w:val="en-US"/>
        </w:rPr>
        <w:t xml:space="preserve"> </w:t>
      </w:r>
      <w:r w:rsidRPr="00690776">
        <w:rPr>
          <w:i/>
          <w:lang w:val="en-US"/>
        </w:rPr>
        <w:t>database screening</w:t>
      </w:r>
      <w:r w:rsidRPr="00690776">
        <w:rPr>
          <w:lang w:val="en-US"/>
        </w:rPr>
        <w:t xml:space="preserve"> of pure clusters that are represented by specific strategies. Each cluster is </w:t>
      </w:r>
      <w:r w:rsidR="006F7BA8" w:rsidRPr="00690776">
        <w:rPr>
          <w:lang w:val="en-US"/>
        </w:rPr>
        <w:t xml:space="preserve">for funds using </w:t>
      </w:r>
      <w:r w:rsidRPr="00690776">
        <w:rPr>
          <w:lang w:val="en-US"/>
        </w:rPr>
        <w:t xml:space="preserve">a certain strategy and will be the base for the creation of </w:t>
      </w:r>
      <w:r w:rsidR="00BF5703">
        <w:rPr>
          <w:rFonts w:cs="Times New Roman"/>
          <w:color w:val="222222"/>
          <w:szCs w:val="24"/>
          <w:shd w:val="clear" w:color="auto" w:fill="FFFFFF"/>
        </w:rPr>
        <w:t>HF</w:t>
      </w:r>
      <w:r w:rsidR="00BF5703" w:rsidRPr="00690776">
        <w:rPr>
          <w:lang w:val="en-US"/>
        </w:rPr>
        <w:t xml:space="preserve"> </w:t>
      </w:r>
      <w:r w:rsidRPr="00690776">
        <w:rPr>
          <w:lang w:val="en-US"/>
        </w:rPr>
        <w:t xml:space="preserve">sub-indices. So, there is an initial screening of the HFR database of open funds that (at least claim to) belong to a particular strategy class and comply with </w:t>
      </w:r>
      <w:r w:rsidR="006F7BA8" w:rsidRPr="00690776">
        <w:rPr>
          <w:lang w:val="en-US"/>
        </w:rPr>
        <w:t xml:space="preserve">the </w:t>
      </w:r>
      <w:r w:rsidRPr="00690776">
        <w:rPr>
          <w:lang w:val="en-US"/>
        </w:rPr>
        <w:t>criteria</w:t>
      </w:r>
      <w:r w:rsidR="006F7BA8" w:rsidRPr="00690776">
        <w:rPr>
          <w:lang w:val="en-US"/>
        </w:rPr>
        <w:t xml:space="preserve"> mentioned </w:t>
      </w:r>
      <w:r w:rsidRPr="00690776">
        <w:rPr>
          <w:lang w:val="en-US"/>
        </w:rPr>
        <w:t xml:space="preserve">in </w:t>
      </w:r>
      <w:r w:rsidR="006F7BA8" w:rsidRPr="00690776">
        <w:rPr>
          <w:lang w:val="en-US"/>
        </w:rPr>
        <w:t xml:space="preserve">the first </w:t>
      </w:r>
      <w:r w:rsidRPr="00690776">
        <w:rPr>
          <w:lang w:val="en-US"/>
        </w:rPr>
        <w:t xml:space="preserve">section. </w:t>
      </w:r>
    </w:p>
    <w:p w:rsidR="000A09EF" w:rsidRDefault="000A09EF" w:rsidP="00D2013B">
      <w:pPr>
        <w:jc w:val="both"/>
        <w:rPr>
          <w:lang w:val="en-US"/>
        </w:rPr>
      </w:pPr>
      <w:r w:rsidRPr="00690776">
        <w:rPr>
          <w:lang w:val="en-US"/>
        </w:rPr>
        <w:t>HFR choose</w:t>
      </w:r>
      <w:r w:rsidR="0045164B">
        <w:rPr>
          <w:lang w:val="en-US"/>
        </w:rPr>
        <w:t>s</w:t>
      </w:r>
      <w:r w:rsidRPr="00690776">
        <w:rPr>
          <w:lang w:val="en-US"/>
        </w:rPr>
        <w:t xml:space="preserve"> one representative </w:t>
      </w:r>
      <w:r w:rsidR="00BF5703">
        <w:rPr>
          <w:rFonts w:cs="Times New Roman"/>
          <w:color w:val="222222"/>
          <w:szCs w:val="24"/>
          <w:shd w:val="clear" w:color="auto" w:fill="FFFFFF"/>
        </w:rPr>
        <w:t>HF</w:t>
      </w:r>
      <w:r w:rsidR="00BF5703" w:rsidRPr="00690776">
        <w:rPr>
          <w:lang w:val="en-US"/>
        </w:rPr>
        <w:t xml:space="preserve"> </w:t>
      </w:r>
      <w:r w:rsidRPr="00690776">
        <w:rPr>
          <w:lang w:val="en-US"/>
        </w:rPr>
        <w:t xml:space="preserve">in each strategy for </w:t>
      </w:r>
      <w:r w:rsidRPr="00690776">
        <w:rPr>
          <w:i/>
          <w:lang w:val="en-US"/>
        </w:rPr>
        <w:t>each</w:t>
      </w:r>
      <w:r w:rsidRPr="00690776">
        <w:rPr>
          <w:lang w:val="en-US"/>
        </w:rPr>
        <w:t xml:space="preserve"> manager. It is common for successful and well-known </w:t>
      </w:r>
      <w:r w:rsidR="0045164B">
        <w:rPr>
          <w:lang w:val="en-US"/>
        </w:rPr>
        <w:t xml:space="preserve">fund </w:t>
      </w:r>
      <w:r w:rsidRPr="0045164B">
        <w:rPr>
          <w:lang w:val="en-US"/>
        </w:rPr>
        <w:t>m</w:t>
      </w:r>
      <w:r w:rsidRPr="00690776">
        <w:rPr>
          <w:lang w:val="en-US"/>
        </w:rPr>
        <w:t>anagers to manage two or more separate funds that belong to the same strategy. Therefore, if there is such a situation an</w:t>
      </w:r>
      <w:r w:rsidR="00322441">
        <w:rPr>
          <w:lang w:val="en-US"/>
        </w:rPr>
        <w:t xml:space="preserve">d the most representative </w:t>
      </w:r>
      <w:r w:rsidRPr="00690776">
        <w:rPr>
          <w:lang w:val="en-US"/>
        </w:rPr>
        <w:t xml:space="preserve">fund cannot determined then: (a) the fund having the longest track record will be regarded as representative (b) if the funds have the same time track record then the one with the larger assets under management is used. </w:t>
      </w:r>
    </w:p>
    <w:p w:rsidR="00D2013B" w:rsidRPr="00D2013B" w:rsidRDefault="00D2013B" w:rsidP="00D2013B">
      <w:pPr>
        <w:jc w:val="both"/>
        <w:rPr>
          <w:lang w:val="en-US"/>
        </w:rPr>
      </w:pPr>
      <w:r w:rsidRPr="00D2013B">
        <w:rPr>
          <w:lang w:val="en-US"/>
        </w:rPr>
        <w:t xml:space="preserve">The representative Hedge Fund Strategy Universe (also called the Strategy Universe-HFS) is obtained from the Global Hedge Fund Universe (HFU) that is contained in the HFR database. The funds that constitute the pure HFS are then filtered and passed only if they satisfy specific criteria such as having a minimum value of assets under management, net of fees reporting, a minimum reporting frequency, fund transparency, being open to new investments etc. If even one of these criteria is not </w:t>
      </w:r>
      <w:r w:rsidRPr="00D2013B">
        <w:rPr>
          <w:lang w:val="en-US"/>
        </w:rPr>
        <w:lastRenderedPageBreak/>
        <w:t xml:space="preserve">met then the relevant formula used is equal to zero and the </w:t>
      </w:r>
      <w:r w:rsidR="00C67338">
        <w:rPr>
          <w:lang w:val="en-US"/>
        </w:rPr>
        <w:t>HF</w:t>
      </w:r>
      <w:r w:rsidRPr="00D2013B">
        <w:rPr>
          <w:lang w:val="en-US"/>
        </w:rPr>
        <w:t xml:space="preserve"> does not pass on to the next stage. This process is robust, objective and all criteria must be met by each fund for inclusion. Besides this, in the due diligence process (transparency screening) HFR examine other qualitative factors through fund manager interviews, examination of financial statements and organizational structure and other important elements. This qualitative process is complementary to the quantitative process in the database screening.</w:t>
      </w:r>
    </w:p>
    <w:p w:rsidR="000A09EF" w:rsidRPr="00690776" w:rsidRDefault="000A09EF" w:rsidP="000A09EF">
      <w:pPr>
        <w:jc w:val="both"/>
        <w:rPr>
          <w:rFonts w:eastAsiaTheme="minorEastAsia"/>
          <w:lang w:val="en-US"/>
        </w:rPr>
      </w:pPr>
      <w:r w:rsidRPr="00690776">
        <w:rPr>
          <w:rFonts w:eastAsiaTheme="minorEastAsia"/>
          <w:lang w:val="en-US"/>
        </w:rPr>
        <w:t xml:space="preserve">At the initial database screening the self-reported strategies and sub-strategies are used. However, there are </w:t>
      </w:r>
      <w:r w:rsidR="006F7BA8" w:rsidRPr="00690776">
        <w:rPr>
          <w:rFonts w:eastAsiaTheme="minorEastAsia"/>
          <w:lang w:val="en-US"/>
        </w:rPr>
        <w:t xml:space="preserve">biases in </w:t>
      </w:r>
      <w:r w:rsidRPr="00690776">
        <w:rPr>
          <w:rFonts w:eastAsiaTheme="minorEastAsia"/>
          <w:lang w:val="en-US"/>
        </w:rPr>
        <w:t xml:space="preserve">self-reported </w:t>
      </w:r>
      <w:r w:rsidR="006F7BA8" w:rsidRPr="00690776">
        <w:rPr>
          <w:rFonts w:eastAsiaTheme="minorEastAsia"/>
          <w:lang w:val="en-US"/>
        </w:rPr>
        <w:t>data</w:t>
      </w:r>
      <w:r w:rsidRPr="00690776">
        <w:rPr>
          <w:rFonts w:eastAsiaTheme="minorEastAsia"/>
          <w:lang w:val="en-US"/>
        </w:rPr>
        <w:t xml:space="preserve"> that must be eliminated. Therefore, in order to verify style purity, cluster analysis is implemented at the sub-strategy level. If a fund belongs to outliers then it is excluded or reclassified. </w:t>
      </w:r>
      <w:r w:rsidR="00C67338">
        <w:rPr>
          <w:rFonts w:eastAsiaTheme="minorEastAsia"/>
          <w:lang w:val="en-US"/>
        </w:rPr>
        <w:t xml:space="preserve"> </w:t>
      </w:r>
    </w:p>
    <w:p w:rsidR="00D2013B" w:rsidRPr="00C67338" w:rsidRDefault="00C67338" w:rsidP="000A09EF">
      <w:pPr>
        <w:jc w:val="both"/>
        <w:rPr>
          <w:rFonts w:eastAsiaTheme="minorEastAsia"/>
          <w:color w:val="FF0000"/>
          <w:lang w:val="en-US"/>
        </w:rPr>
      </w:pPr>
      <w:r>
        <w:rPr>
          <w:rFonts w:eastAsiaTheme="minorEastAsia"/>
          <w:lang w:val="en-US"/>
        </w:rPr>
        <w:t>The c</w:t>
      </w:r>
      <w:r w:rsidR="000A09EF" w:rsidRPr="00690776">
        <w:rPr>
          <w:rFonts w:eastAsiaTheme="minorEastAsia"/>
          <w:lang w:val="en-US"/>
        </w:rPr>
        <w:t xml:space="preserve">luster analysis is implemented at a sub-strategy level using 24 consecutive monthly returns at the end of a prior quarter. HFR use the Euclidian </w:t>
      </w:r>
      <w:r w:rsidR="000A09EF" w:rsidRPr="00690776">
        <w:rPr>
          <w:rFonts w:eastAsiaTheme="minorEastAsia"/>
          <w:i/>
          <w:lang w:val="en-US"/>
        </w:rPr>
        <w:t>distance</w:t>
      </w:r>
      <w:r w:rsidR="000A09EF" w:rsidRPr="00690776">
        <w:rPr>
          <w:rFonts w:eastAsiaTheme="minorEastAsia"/>
          <w:lang w:val="en-US"/>
        </w:rPr>
        <w:t xml:space="preserve"> in the space of </w:t>
      </w:r>
      <w:r w:rsidR="000A09EF" w:rsidRPr="00690776">
        <w:rPr>
          <w:rFonts w:eastAsiaTheme="minorEastAsia"/>
          <w:i/>
          <w:lang w:val="en-US"/>
        </w:rPr>
        <w:t>monthly returns</w:t>
      </w:r>
      <w:r w:rsidR="000A09EF" w:rsidRPr="00690776">
        <w:rPr>
          <w:rFonts w:eastAsiaTheme="minorEastAsia"/>
          <w:lang w:val="en-US"/>
        </w:rPr>
        <w:t xml:space="preserve"> as the distance or distinction measure of </w:t>
      </w:r>
      <w:r w:rsidR="00BF5703">
        <w:rPr>
          <w:rFonts w:eastAsiaTheme="minorEastAsia"/>
          <w:lang w:val="en-US"/>
        </w:rPr>
        <w:t>HFs</w:t>
      </w:r>
      <w:r w:rsidR="000A09EF" w:rsidRPr="00690776">
        <w:rPr>
          <w:rFonts w:eastAsiaTheme="minorEastAsia"/>
          <w:lang w:val="en-US"/>
        </w:rPr>
        <w:t xml:space="preserve">. They also use Ward’s (1963) linkage rule. This rule minimizes the variance </w:t>
      </w:r>
      <w:r w:rsidR="000A09EF" w:rsidRPr="00690776">
        <w:rPr>
          <w:rFonts w:eastAsiaTheme="minorEastAsia"/>
          <w:i/>
          <w:lang w:val="en-US"/>
        </w:rPr>
        <w:t>within</w:t>
      </w:r>
      <w:r w:rsidR="000A09EF" w:rsidRPr="00690776">
        <w:rPr>
          <w:rFonts w:eastAsiaTheme="minorEastAsia"/>
          <w:lang w:val="en-US"/>
        </w:rPr>
        <w:t xml:space="preserve"> clusters and maximizes it </w:t>
      </w:r>
      <w:r w:rsidR="000A09EF" w:rsidRPr="00690776">
        <w:rPr>
          <w:rFonts w:eastAsiaTheme="minorEastAsia"/>
          <w:i/>
          <w:lang w:val="en-US"/>
        </w:rPr>
        <w:t>between</w:t>
      </w:r>
      <w:r w:rsidR="000A09EF" w:rsidRPr="00690776">
        <w:rPr>
          <w:rFonts w:eastAsiaTheme="minorEastAsia"/>
          <w:lang w:val="en-US"/>
        </w:rPr>
        <w:t xml:space="preserve"> the clusters at every move of the process. </w:t>
      </w:r>
      <w:r w:rsidR="00D2013B">
        <w:rPr>
          <w:sz w:val="23"/>
          <w:szCs w:val="23"/>
        </w:rPr>
        <w:t xml:space="preserve">Using Euclidian distances or Ward’s (1963) linkage rule is a type of cluster analysis instead of ANOVA that </w:t>
      </w:r>
      <w:r>
        <w:rPr>
          <w:sz w:val="23"/>
          <w:szCs w:val="23"/>
        </w:rPr>
        <w:t xml:space="preserve">we present in </w:t>
      </w:r>
      <w:r w:rsidR="00D2013B">
        <w:rPr>
          <w:sz w:val="23"/>
          <w:szCs w:val="23"/>
        </w:rPr>
        <w:t>section 4.</w:t>
      </w:r>
    </w:p>
    <w:p w:rsidR="000A09EF" w:rsidRPr="00690776" w:rsidRDefault="000A09EF" w:rsidP="000A09EF">
      <w:pPr>
        <w:jc w:val="both"/>
        <w:rPr>
          <w:rFonts w:eastAsiaTheme="minorEastAsia"/>
          <w:lang w:val="en-US"/>
        </w:rPr>
      </w:pPr>
      <w:r w:rsidRPr="00690776">
        <w:rPr>
          <w:rFonts w:eastAsiaTheme="minorEastAsia"/>
          <w:lang w:val="en-US"/>
        </w:rPr>
        <w:t xml:space="preserve">We mentioned above that funds that belong to outliers may be excluded or reclassified. For that reason HFR uses the </w:t>
      </w:r>
      <w:r w:rsidRPr="00690776">
        <w:rPr>
          <w:rFonts w:eastAsiaTheme="minorEastAsia"/>
          <w:i/>
          <w:lang w:val="en-US"/>
        </w:rPr>
        <w:t>trim parameter</w:t>
      </w:r>
      <w:r w:rsidRPr="00690776">
        <w:rPr>
          <w:rFonts w:eastAsiaTheme="minorEastAsia"/>
          <w:lang w:val="en-US"/>
        </w:rPr>
        <w:t xml:space="preserve"> within the cluster analysis that eliminates some funds, for example the six percent that are least close to the rest of the group. The remaining funds constitute the strategy pure cluster</w:t>
      </w:r>
      <w:r w:rsidR="00D2013B">
        <w:rPr>
          <w:rFonts w:eastAsiaTheme="minorEastAsia"/>
          <w:lang w:val="en-US"/>
        </w:rPr>
        <w:t xml:space="preserve">, in other words, the pure strategy index as the remaining funds after the initial classification (through distance rules and Ward’s linkage rule) minus the outliers.   </w:t>
      </w:r>
      <w:r w:rsidRPr="00690776">
        <w:rPr>
          <w:rFonts w:eastAsiaTheme="minorEastAsia"/>
          <w:lang w:val="en-US"/>
        </w:rPr>
        <w:t xml:space="preserve"> </w:t>
      </w:r>
    </w:p>
    <w:p w:rsidR="000A09EF" w:rsidRPr="00690776" w:rsidRDefault="000A09EF" w:rsidP="000A09EF">
      <w:pPr>
        <w:jc w:val="both"/>
        <w:rPr>
          <w:rFonts w:eastAsiaTheme="minorEastAsia"/>
          <w:lang w:val="en-US"/>
        </w:rPr>
      </w:pPr>
      <w:r w:rsidRPr="00690776">
        <w:rPr>
          <w:rFonts w:eastAsiaTheme="minorEastAsia"/>
          <w:lang w:val="en-US"/>
        </w:rPr>
        <w:t xml:space="preserve">The next process is to perform an additional screening called </w:t>
      </w:r>
      <w:r w:rsidRPr="00690776">
        <w:rPr>
          <w:rFonts w:eastAsiaTheme="minorEastAsia"/>
          <w:i/>
          <w:lang w:val="en-US"/>
        </w:rPr>
        <w:t>representation analysis.</w:t>
      </w:r>
      <w:r w:rsidRPr="00690776">
        <w:rPr>
          <w:rFonts w:eastAsiaTheme="minorEastAsia"/>
          <w:lang w:val="en-US"/>
        </w:rPr>
        <w:t xml:space="preserve"> This denotes how dissimilar the returns of each fund are to the respective strategy’s returns (sub-strategy or region). The analysis is based on monthly returns for the last twenty four months </w:t>
      </w:r>
      <w:r w:rsidR="00573387">
        <w:rPr>
          <w:rFonts w:eastAsiaTheme="minorEastAsia"/>
          <w:lang w:val="en-US"/>
        </w:rPr>
        <w:t>so as</w:t>
      </w:r>
      <w:r w:rsidRPr="00690776">
        <w:rPr>
          <w:rFonts w:eastAsiaTheme="minorEastAsia"/>
          <w:lang w:val="en-US"/>
        </w:rPr>
        <w:t xml:space="preserve"> all funds have a complete available dataset. Those funds that have passed successfully </w:t>
      </w:r>
      <w:r w:rsidRPr="00690776">
        <w:rPr>
          <w:rFonts w:eastAsiaTheme="minorEastAsia"/>
          <w:i/>
          <w:lang w:val="en-US"/>
        </w:rPr>
        <w:t>cluster analysis</w:t>
      </w:r>
      <w:r w:rsidRPr="00690776">
        <w:rPr>
          <w:rFonts w:eastAsiaTheme="minorEastAsia"/>
          <w:lang w:val="en-US"/>
        </w:rPr>
        <w:t xml:space="preserve"> and </w:t>
      </w:r>
      <w:r w:rsidRPr="00690776">
        <w:rPr>
          <w:rFonts w:eastAsiaTheme="minorEastAsia"/>
          <w:i/>
          <w:lang w:val="en-US"/>
        </w:rPr>
        <w:t>representation analysis</w:t>
      </w:r>
      <w:r w:rsidRPr="00690776">
        <w:rPr>
          <w:rFonts w:eastAsiaTheme="minorEastAsia"/>
          <w:lang w:val="en-US"/>
        </w:rPr>
        <w:t xml:space="preserve"> are called the final</w:t>
      </w:r>
      <w:r w:rsidRPr="00690776">
        <w:rPr>
          <w:rFonts w:eastAsiaTheme="minorEastAsia"/>
          <w:i/>
          <w:lang w:val="en-US"/>
        </w:rPr>
        <w:t xml:space="preserve"> strategy pure cluster</w:t>
      </w:r>
      <w:r w:rsidRPr="00690776">
        <w:rPr>
          <w:rFonts w:eastAsiaTheme="minorEastAsia"/>
          <w:lang w:val="en-US"/>
        </w:rPr>
        <w:t xml:space="preserve">. </w:t>
      </w:r>
      <w:r w:rsidR="00E10B33" w:rsidRPr="00690776">
        <w:rPr>
          <w:rFonts w:eastAsiaTheme="minorEastAsia"/>
          <w:lang w:val="en-US"/>
        </w:rPr>
        <w:t>I</w:t>
      </w:r>
      <w:r w:rsidRPr="00690776">
        <w:rPr>
          <w:rFonts w:eastAsiaTheme="minorEastAsia"/>
          <w:lang w:val="en-US"/>
        </w:rPr>
        <w:t>n each cluster all funds have equal weight</w:t>
      </w:r>
      <w:r w:rsidR="00E10B33" w:rsidRPr="00690776">
        <w:rPr>
          <w:rFonts w:eastAsiaTheme="minorEastAsia"/>
          <w:lang w:val="en-US"/>
        </w:rPr>
        <w:t>.</w:t>
      </w:r>
      <w:r w:rsidRPr="00690776">
        <w:rPr>
          <w:rFonts w:eastAsiaTheme="minorEastAsia"/>
          <w:lang w:val="en-US"/>
        </w:rPr>
        <w:t xml:space="preserve"> </w:t>
      </w:r>
    </w:p>
    <w:p w:rsidR="000A09EF" w:rsidRPr="00690776" w:rsidRDefault="000A09EF" w:rsidP="000A09EF">
      <w:pPr>
        <w:jc w:val="both"/>
        <w:rPr>
          <w:rFonts w:eastAsiaTheme="minorEastAsia"/>
          <w:lang w:val="en-US"/>
        </w:rPr>
      </w:pPr>
      <w:r w:rsidRPr="00690776">
        <w:rPr>
          <w:rFonts w:eastAsiaTheme="minorEastAsia"/>
          <w:lang w:val="en-US"/>
        </w:rPr>
        <w:lastRenderedPageBreak/>
        <w:t>H</w:t>
      </w:r>
      <w:r w:rsidR="00E50CC2">
        <w:rPr>
          <w:rFonts w:eastAsiaTheme="minorEastAsia"/>
          <w:lang w:val="en-US"/>
        </w:rPr>
        <w:t>FR</w:t>
      </w:r>
      <w:r w:rsidRPr="00690776">
        <w:rPr>
          <w:rFonts w:eastAsiaTheme="minorEastAsia"/>
          <w:lang w:val="en-US"/>
        </w:rPr>
        <w:t xml:space="preserve"> applies multiple representation analysis in order to calculate and rank (in ascending order) the Divergence Score (DS) for each fund. The Divergence Score measures the </w:t>
      </w:r>
      <w:r w:rsidRPr="00690776">
        <w:rPr>
          <w:rFonts w:eastAsiaTheme="minorEastAsia"/>
          <w:i/>
          <w:lang w:val="en-US"/>
        </w:rPr>
        <w:t>dissimilarity</w:t>
      </w:r>
      <w:r w:rsidRPr="00690776">
        <w:rPr>
          <w:rFonts w:eastAsiaTheme="minorEastAsia"/>
          <w:lang w:val="en-US"/>
        </w:rPr>
        <w:t xml:space="preserve"> of a fund in relation to the cluster. Each fund is ranked </w:t>
      </w:r>
      <w:r w:rsidR="006F7BA8" w:rsidRPr="00690776">
        <w:rPr>
          <w:rFonts w:eastAsiaTheme="minorEastAsia"/>
          <w:lang w:val="en-US"/>
        </w:rPr>
        <w:t>by</w:t>
      </w:r>
      <w:r w:rsidRPr="00690776">
        <w:rPr>
          <w:rFonts w:eastAsiaTheme="minorEastAsia"/>
          <w:lang w:val="en-US"/>
        </w:rPr>
        <w:t xml:space="preserve"> its return </w:t>
      </w:r>
      <w:r w:rsidR="00B513BC" w:rsidRPr="00690776">
        <w:rPr>
          <w:rFonts w:eastAsiaTheme="minorEastAsia"/>
          <w:lang w:val="en-US"/>
        </w:rPr>
        <w:t>DS score</w:t>
      </w:r>
      <w:r w:rsidR="00826571">
        <w:rPr>
          <w:rFonts w:eastAsiaTheme="minorEastAsia"/>
          <w:lang w:val="en-US"/>
        </w:rPr>
        <w:t xml:space="preserve"> according to specific </w:t>
      </w:r>
      <w:r w:rsidRPr="00690776">
        <w:rPr>
          <w:rFonts w:eastAsiaTheme="minorEastAsia"/>
          <w:lang w:val="en-US"/>
        </w:rPr>
        <w:t>measures</w:t>
      </w:r>
      <w:r w:rsidR="00826571">
        <w:rPr>
          <w:rFonts w:eastAsiaTheme="minorEastAsia"/>
          <w:lang w:val="en-US"/>
        </w:rPr>
        <w:t xml:space="preserve"> mentioned below</w:t>
      </w:r>
      <w:r w:rsidRPr="00690776">
        <w:rPr>
          <w:rFonts w:eastAsiaTheme="minorEastAsia"/>
          <w:lang w:val="en-US"/>
        </w:rPr>
        <w:t>:</w:t>
      </w:r>
    </w:p>
    <w:p w:rsidR="000A09EF" w:rsidRPr="00690776" w:rsidRDefault="000A09EF" w:rsidP="000A09EF">
      <w:pPr>
        <w:jc w:val="both"/>
        <w:rPr>
          <w:lang w:val="en-US"/>
        </w:rPr>
      </w:pPr>
      <w:r w:rsidRPr="00690776">
        <w:rPr>
          <w:lang w:val="en-US"/>
        </w:rPr>
        <w:t>The smaller the DS of a fund, the smaller its difference compared to the underlying cluster, hence the higher its ranking. The general formula for the Divergence Score is:</w:t>
      </w:r>
    </w:p>
    <w:p w:rsidR="000A09EF" w:rsidRPr="00690776" w:rsidRDefault="00557374" w:rsidP="000A09EF">
      <w:pPr>
        <w:jc w:val="both"/>
        <w:rPr>
          <w:lang w:val="en-US"/>
        </w:rPr>
      </w:pPr>
      <m:oMath>
        <m:sSub>
          <m:sSubPr>
            <m:ctrlPr>
              <w:rPr>
                <w:rFonts w:ascii="Cambria Math" w:hAnsi="Cambria Math"/>
                <w:i/>
                <w:lang w:val="en-US"/>
              </w:rPr>
            </m:ctrlPr>
          </m:sSubPr>
          <m:e>
            <m:r>
              <w:rPr>
                <w:rFonts w:ascii="Cambria Math" w:hAnsi="Cambria Math"/>
                <w:lang w:val="en-US"/>
              </w:rPr>
              <m:t>DS</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Information Ratio Score</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Beta Score</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Volatility Score</m:t>
            </m:r>
          </m:e>
          <m:sub>
            <m:r>
              <w:rPr>
                <w:rFonts w:ascii="Cambria Math" w:hAnsi="Cambria Math"/>
                <w:lang w:val="en-US"/>
              </w:rPr>
              <m:t>i</m:t>
            </m:r>
          </m:sub>
        </m:sSub>
      </m:oMath>
      <w:r w:rsidR="000A09EF" w:rsidRPr="00690776">
        <w:rPr>
          <w:lang w:val="en-US"/>
        </w:rPr>
        <w:t xml:space="preserve">       </w:t>
      </w:r>
      <w:r w:rsidR="00326FB6" w:rsidRPr="00690776">
        <w:rPr>
          <w:lang w:val="en-US"/>
        </w:rPr>
        <w:t xml:space="preserve">   </w:t>
      </w:r>
      <w:r w:rsidR="00D501C1">
        <w:rPr>
          <w:lang w:val="en-US"/>
        </w:rPr>
        <w:t xml:space="preserve">  </w:t>
      </w:r>
      <w:r w:rsidR="00326FB6" w:rsidRPr="00690776">
        <w:rPr>
          <w:lang w:val="en-US"/>
        </w:rPr>
        <w:t xml:space="preserve">   </w:t>
      </w:r>
      <w:r w:rsidR="000A09EF" w:rsidRPr="00690776">
        <w:rPr>
          <w:lang w:val="en-US"/>
        </w:rPr>
        <w:t xml:space="preserve">  (</w:t>
      </w:r>
      <w:r w:rsidR="00212FC8" w:rsidRPr="00690776">
        <w:rPr>
          <w:lang w:val="en-US"/>
        </w:rPr>
        <w:t>1</w:t>
      </w:r>
      <w:r w:rsidR="000A09EF" w:rsidRPr="00690776">
        <w:rPr>
          <w:lang w:val="en-US"/>
        </w:rPr>
        <w:t>)</w:t>
      </w:r>
    </w:p>
    <w:p w:rsidR="000A09EF" w:rsidRPr="00690776" w:rsidRDefault="00212FC8" w:rsidP="00C67338">
      <w:pPr>
        <w:rPr>
          <w:rFonts w:eastAsiaTheme="minorEastAsia"/>
          <w:sz w:val="20"/>
          <w:szCs w:val="20"/>
          <w:lang w:val="en-US"/>
        </w:rPr>
      </w:pPr>
      <w:r w:rsidRPr="00690776">
        <w:rPr>
          <w:rFonts w:eastAsiaTheme="minorEastAsia"/>
          <w:lang w:val="en-US"/>
        </w:rPr>
        <w:t>W</w:t>
      </w:r>
      <w:r w:rsidR="009E48F2">
        <w:rPr>
          <w:rFonts w:eastAsiaTheme="minorEastAsia"/>
          <w:lang w:val="en-US"/>
        </w:rPr>
        <w:t xml:space="preserve">here </w:t>
      </w:r>
      <m:oMath>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IRS</m:t>
            </m:r>
          </m:e>
          <m:sub>
            <m:r>
              <w:rPr>
                <w:rFonts w:ascii="Cambria Math" w:eastAsiaTheme="minorEastAsia" w:hAnsi="Cambria Math"/>
                <w:sz w:val="20"/>
                <w:szCs w:val="20"/>
                <w:lang w:val="en-US"/>
              </w:rPr>
              <m:t>i</m:t>
            </m:r>
          </m:sub>
        </m:sSub>
        <m:r>
          <w:rPr>
            <w:rFonts w:ascii="Cambria Math" w:eastAsiaTheme="minorEastAsia" w:hAnsi="Cambria Math"/>
            <w:sz w:val="20"/>
            <w:szCs w:val="20"/>
            <w:lang w:val="en-US"/>
          </w:rPr>
          <m:t>=</m:t>
        </m:r>
        <m:d>
          <m:dPr>
            <m:ctrlPr>
              <w:rPr>
                <w:rFonts w:ascii="Cambria Math" w:eastAsiaTheme="minorEastAsia" w:hAnsi="Cambria Math"/>
                <w:i/>
                <w:sz w:val="20"/>
                <w:szCs w:val="20"/>
                <w:lang w:val="en-US"/>
              </w:rPr>
            </m:ctrlPr>
          </m:dPr>
          <m:e>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InfoRatio</m:t>
                </m:r>
              </m:e>
              <m:sub>
                <m:r>
                  <w:rPr>
                    <w:rFonts w:ascii="Cambria Math" w:eastAsiaTheme="minorEastAsia" w:hAnsi="Cambria Math"/>
                    <w:sz w:val="20"/>
                    <w:szCs w:val="20"/>
                    <w:lang w:val="en-US"/>
                  </w:rPr>
                  <m:t>Cluster/Strategy</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InfoRatio</m:t>
                </m:r>
              </m:e>
              <m:sub>
                <m:r>
                  <w:rPr>
                    <w:rFonts w:ascii="Cambria Math" w:eastAsiaTheme="minorEastAsia" w:hAnsi="Cambria Math"/>
                    <w:sz w:val="20"/>
                    <w:szCs w:val="20"/>
                    <w:lang w:val="en-US"/>
                  </w:rPr>
                  <m:t>i/Strategy</m:t>
                </m:r>
              </m:sub>
            </m:sSub>
          </m:e>
        </m:d>
        <m:r>
          <w:rPr>
            <w:rFonts w:ascii="Cambria Math" w:eastAsiaTheme="minorEastAsia" w:hAnsi="Cambria Math"/>
            <w:sz w:val="20"/>
            <w:szCs w:val="20"/>
            <w:lang w:val="en-US"/>
          </w:rPr>
          <m:t>+</m:t>
        </m:r>
        <m:d>
          <m:dPr>
            <m:ctrlPr>
              <w:rPr>
                <w:rFonts w:ascii="Cambria Math" w:eastAsiaTheme="minorEastAsia" w:hAnsi="Cambria Math"/>
                <w:i/>
                <w:sz w:val="20"/>
                <w:szCs w:val="20"/>
                <w:lang w:val="en-US"/>
              </w:rPr>
            </m:ctrlPr>
          </m:dPr>
          <m:e>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InfoRatio</m:t>
                </m:r>
              </m:e>
              <m:sub>
                <m:r>
                  <w:rPr>
                    <w:rFonts w:ascii="Cambria Math" w:eastAsiaTheme="minorEastAsia" w:hAnsi="Cambria Math"/>
                    <w:sz w:val="20"/>
                    <w:szCs w:val="20"/>
                    <w:lang w:val="en-US"/>
                  </w:rPr>
                  <m:t>Cluster/Substrategy</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InfoRatio</m:t>
                </m:r>
              </m:e>
              <m:sub>
                <m:r>
                  <w:rPr>
                    <w:rFonts w:ascii="Cambria Math" w:eastAsiaTheme="minorEastAsia" w:hAnsi="Cambria Math"/>
                    <w:sz w:val="20"/>
                    <w:szCs w:val="20"/>
                    <w:lang w:val="en-US"/>
                  </w:rPr>
                  <m:t>i/Substrategy</m:t>
                </m:r>
              </m:sub>
            </m:sSub>
          </m:e>
        </m:d>
        <m:r>
          <w:rPr>
            <w:rFonts w:ascii="Cambria Math" w:eastAsiaTheme="minorEastAsia" w:hAnsi="Cambria Math"/>
            <w:sz w:val="20"/>
            <w:szCs w:val="20"/>
            <w:lang w:val="en-US"/>
          </w:rPr>
          <m:t>+</m:t>
        </m:r>
        <m:d>
          <m:dPr>
            <m:ctrlPr>
              <w:rPr>
                <w:rFonts w:ascii="Cambria Math" w:eastAsiaTheme="minorEastAsia" w:hAnsi="Cambria Math"/>
                <w:i/>
                <w:sz w:val="20"/>
                <w:szCs w:val="20"/>
                <w:lang w:val="en-US"/>
              </w:rPr>
            </m:ctrlPr>
          </m:dPr>
          <m:e>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InfoR</m:t>
                </m:r>
                <m:r>
                  <w:rPr>
                    <w:rFonts w:ascii="Cambria Math" w:eastAsiaTheme="minorEastAsia" w:hAnsi="Cambria Math"/>
                    <w:sz w:val="20"/>
                    <w:szCs w:val="20"/>
                    <w:lang w:val="en-US"/>
                  </w:rPr>
                  <m:t>atio</m:t>
                </m:r>
              </m:e>
              <m:sub>
                <m:r>
                  <w:rPr>
                    <w:rFonts w:ascii="Cambria Math" w:eastAsiaTheme="minorEastAsia" w:hAnsi="Cambria Math"/>
                    <w:sz w:val="20"/>
                    <w:szCs w:val="20"/>
                    <w:lang w:val="en-US"/>
                  </w:rPr>
                  <m:t>Cluster/Region</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InfoRatio</m:t>
                </m:r>
              </m:e>
              <m:sub>
                <m:r>
                  <w:rPr>
                    <w:rFonts w:ascii="Cambria Math" w:eastAsiaTheme="minorEastAsia" w:hAnsi="Cambria Math"/>
                    <w:sz w:val="20"/>
                    <w:szCs w:val="20"/>
                    <w:lang w:val="en-US"/>
                  </w:rPr>
                  <m:t>i/Region</m:t>
                </m:r>
              </m:sub>
            </m:sSub>
          </m:e>
        </m:d>
      </m:oMath>
      <w:r w:rsidR="000A09EF" w:rsidRPr="00690776">
        <w:rPr>
          <w:rFonts w:eastAsiaTheme="minorEastAsia"/>
          <w:sz w:val="20"/>
          <w:szCs w:val="20"/>
          <w:lang w:val="en-US"/>
        </w:rPr>
        <w:t xml:space="preserve">             </w:t>
      </w:r>
      <w:r w:rsidR="00C67338">
        <w:rPr>
          <w:rFonts w:eastAsiaTheme="minorEastAsia"/>
          <w:sz w:val="20"/>
          <w:szCs w:val="20"/>
          <w:lang w:val="en-US"/>
        </w:rPr>
        <w:tab/>
      </w:r>
      <w:r w:rsidR="00C67338">
        <w:rPr>
          <w:rFonts w:eastAsiaTheme="minorEastAsia"/>
          <w:sz w:val="20"/>
          <w:szCs w:val="20"/>
          <w:lang w:val="en-US"/>
        </w:rPr>
        <w:tab/>
      </w:r>
      <w:r w:rsidR="00C67338">
        <w:rPr>
          <w:rFonts w:eastAsiaTheme="minorEastAsia"/>
          <w:sz w:val="20"/>
          <w:szCs w:val="20"/>
          <w:lang w:val="en-US"/>
        </w:rPr>
        <w:tab/>
      </w:r>
      <w:r w:rsidR="00C67338">
        <w:rPr>
          <w:rFonts w:eastAsiaTheme="minorEastAsia"/>
          <w:sz w:val="20"/>
          <w:szCs w:val="20"/>
          <w:lang w:val="en-US"/>
        </w:rPr>
        <w:tab/>
      </w:r>
      <w:r w:rsidR="00C67338">
        <w:rPr>
          <w:rFonts w:eastAsiaTheme="minorEastAsia"/>
          <w:sz w:val="20"/>
          <w:szCs w:val="20"/>
          <w:lang w:val="en-US"/>
        </w:rPr>
        <w:tab/>
      </w:r>
      <w:r w:rsidR="00C67338">
        <w:rPr>
          <w:rFonts w:eastAsiaTheme="minorEastAsia"/>
          <w:sz w:val="20"/>
          <w:szCs w:val="20"/>
          <w:lang w:val="en-US"/>
        </w:rPr>
        <w:tab/>
      </w:r>
      <w:r w:rsidR="00C67338">
        <w:rPr>
          <w:rFonts w:eastAsiaTheme="minorEastAsia"/>
          <w:sz w:val="20"/>
          <w:szCs w:val="20"/>
          <w:lang w:val="en-US"/>
        </w:rPr>
        <w:tab/>
      </w:r>
      <w:r w:rsidR="00C67338">
        <w:rPr>
          <w:rFonts w:eastAsiaTheme="minorEastAsia"/>
          <w:sz w:val="20"/>
          <w:szCs w:val="20"/>
          <w:lang w:val="en-US"/>
        </w:rPr>
        <w:tab/>
      </w:r>
      <w:r w:rsidR="00D501C1">
        <w:rPr>
          <w:rFonts w:eastAsiaTheme="minorEastAsia"/>
          <w:sz w:val="20"/>
          <w:szCs w:val="20"/>
          <w:lang w:val="en-US"/>
        </w:rPr>
        <w:t xml:space="preserve">  </w:t>
      </w:r>
      <w:r w:rsidR="000A09EF" w:rsidRPr="00690776">
        <w:rPr>
          <w:rFonts w:eastAsiaTheme="minorEastAsia"/>
          <w:szCs w:val="24"/>
          <w:lang w:val="en-US"/>
        </w:rPr>
        <w:t>(</w:t>
      </w:r>
      <w:r w:rsidR="00496438">
        <w:rPr>
          <w:rFonts w:eastAsiaTheme="minorEastAsia"/>
          <w:szCs w:val="24"/>
          <w:lang w:val="en-US"/>
        </w:rPr>
        <w:t>2</w:t>
      </w:r>
      <w:r w:rsidR="000A09EF" w:rsidRPr="00690776">
        <w:rPr>
          <w:rFonts w:eastAsiaTheme="minorEastAsia"/>
          <w:szCs w:val="24"/>
          <w:lang w:val="en-US"/>
        </w:rPr>
        <w:t>)</w:t>
      </w:r>
    </w:p>
    <w:p w:rsidR="000A09EF" w:rsidRPr="00690776" w:rsidRDefault="000A09EF" w:rsidP="000A09EF">
      <w:pPr>
        <w:jc w:val="both"/>
        <w:rPr>
          <w:lang w:val="en-US"/>
        </w:rPr>
      </w:pPr>
      <w:r w:rsidRPr="00690776">
        <w:rPr>
          <w:lang w:val="en-US"/>
        </w:rPr>
        <w:t xml:space="preserve">The Information Ratio of fund </w:t>
      </w:r>
      <w:proofErr w:type="spellStart"/>
      <w:r w:rsidRPr="00690776">
        <w:rPr>
          <w:i/>
          <w:lang w:val="en-US"/>
        </w:rPr>
        <w:t>i</w:t>
      </w:r>
      <w:proofErr w:type="spellEnd"/>
      <w:r w:rsidRPr="00690776">
        <w:rPr>
          <w:lang w:val="en-US"/>
        </w:rPr>
        <w:t xml:space="preserve"> versus benchmark B is expressed by:</w:t>
      </w:r>
    </w:p>
    <w:p w:rsidR="000A09EF" w:rsidRPr="00690776" w:rsidRDefault="00557374" w:rsidP="000A09EF">
      <w:pPr>
        <w:jc w:val="both"/>
        <w:rPr>
          <w:rFonts w:eastAsiaTheme="minorEastAsia"/>
          <w:lang w:val="en-US"/>
        </w:rPr>
      </w:pPr>
      <m:oMath>
        <m:sSub>
          <m:sSubPr>
            <m:ctrlPr>
              <w:rPr>
                <w:rFonts w:ascii="Cambria Math" w:hAnsi="Cambria Math"/>
                <w:i/>
                <w:lang w:val="en-US"/>
              </w:rPr>
            </m:ctrlPr>
          </m:sSubPr>
          <m:e>
            <m:r>
              <w:rPr>
                <w:rFonts w:ascii="Cambria Math" w:hAnsi="Cambria Math"/>
                <w:lang w:val="en-US"/>
              </w:rPr>
              <m:t>InfoRatio</m:t>
            </m:r>
          </m:e>
          <m:sub>
            <m:r>
              <w:rPr>
                <w:rFonts w:ascii="Cambria Math" w:hAnsi="Cambria Math"/>
                <w:lang w:val="en-US"/>
              </w:rPr>
              <m:t>i/B</m:t>
            </m:r>
          </m:sub>
        </m:sSub>
        <m:r>
          <w:rPr>
            <w:rFonts w:ascii="Cambria Math" w:hAnsi="Cambria Math"/>
            <w:lang w:val="en-US"/>
          </w:rPr>
          <m:t>=</m:t>
        </m:r>
        <m:f>
          <m:fPr>
            <m:ctrlPr>
              <w:rPr>
                <w:rFonts w:ascii="Cambria Math" w:hAnsi="Cambria Math"/>
                <w:i/>
                <w:lang w:val="en-US"/>
              </w:rPr>
            </m:ctrlPr>
          </m:fPr>
          <m:num>
            <m:bar>
              <m:barPr>
                <m:pos m:val="top"/>
                <m:ctrlPr>
                  <w:rPr>
                    <w:rFonts w:ascii="Cambria Math" w:hAnsi="Cambria Math"/>
                    <w:i/>
                    <w:lang w:val="en-US"/>
                  </w:rPr>
                </m:ctrlPr>
              </m:barPr>
              <m:e>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B</m:t>
                    </m:r>
                  </m:sub>
                </m:sSub>
              </m:e>
            </m:bar>
            <m:r>
              <w:rPr>
                <w:rFonts w:ascii="Cambria Math" w:hAnsi="Cambria Math"/>
                <w:lang w:val="en-US"/>
              </w:rPr>
              <m:t>)</m:t>
            </m:r>
          </m:num>
          <m:den>
            <m:r>
              <w:rPr>
                <w:rFonts w:ascii="Cambria Math" w:hAnsi="Cambria Math"/>
                <w:lang w:val="en-US"/>
              </w:rPr>
              <m:t>σ(</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B</m:t>
                </m:r>
              </m:sub>
            </m:sSub>
            <m:r>
              <w:rPr>
                <w:rFonts w:ascii="Cambria Math" w:hAnsi="Cambria Math"/>
                <w:lang w:val="en-US"/>
              </w:rPr>
              <m:t>)</m:t>
            </m:r>
          </m:den>
        </m:f>
      </m:oMath>
      <w:r w:rsidR="000A09EF" w:rsidRPr="00690776">
        <w:rPr>
          <w:rFonts w:eastAsiaTheme="minorEastAsia"/>
          <w:lang w:val="en-US"/>
        </w:rPr>
        <w:t xml:space="preserve">                                                         </w:t>
      </w:r>
      <w:r w:rsidR="00ED70AE" w:rsidRPr="00690776">
        <w:rPr>
          <w:rFonts w:eastAsiaTheme="minorEastAsia"/>
          <w:lang w:val="en-US"/>
        </w:rPr>
        <w:tab/>
      </w:r>
      <w:r w:rsidR="00ED70AE" w:rsidRPr="00690776">
        <w:rPr>
          <w:rFonts w:eastAsiaTheme="minorEastAsia"/>
          <w:lang w:val="en-US"/>
        </w:rPr>
        <w:tab/>
      </w:r>
      <w:r w:rsidR="000A09EF" w:rsidRPr="00690776">
        <w:rPr>
          <w:rFonts w:eastAsiaTheme="minorEastAsia"/>
          <w:lang w:val="en-US"/>
        </w:rPr>
        <w:t xml:space="preserve">  </w:t>
      </w:r>
      <w:r w:rsidR="00326FB6" w:rsidRPr="00690776">
        <w:rPr>
          <w:rFonts w:eastAsiaTheme="minorEastAsia"/>
          <w:lang w:val="en-US"/>
        </w:rPr>
        <w:t xml:space="preserve">    </w:t>
      </w:r>
      <w:r w:rsidR="00F3728A">
        <w:rPr>
          <w:rFonts w:eastAsiaTheme="minorEastAsia"/>
          <w:lang w:val="en-US"/>
        </w:rPr>
        <w:t xml:space="preserve">  </w:t>
      </w:r>
      <w:r w:rsidR="00496438">
        <w:rPr>
          <w:rFonts w:eastAsiaTheme="minorEastAsia"/>
          <w:lang w:val="en-US"/>
        </w:rPr>
        <w:t xml:space="preserve">  </w:t>
      </w:r>
      <w:r w:rsidR="00F3728A">
        <w:rPr>
          <w:rFonts w:eastAsiaTheme="minorEastAsia"/>
          <w:lang w:val="en-US"/>
        </w:rPr>
        <w:t xml:space="preserve">  </w:t>
      </w:r>
      <w:r w:rsidR="000A09EF" w:rsidRPr="00690776">
        <w:rPr>
          <w:rFonts w:eastAsiaTheme="minorEastAsia"/>
          <w:lang w:val="en-US"/>
        </w:rPr>
        <w:t xml:space="preserve"> (</w:t>
      </w:r>
      <w:r w:rsidR="00496438">
        <w:rPr>
          <w:rFonts w:eastAsiaTheme="minorEastAsia"/>
          <w:lang w:val="en-US"/>
        </w:rPr>
        <w:t>3</w:t>
      </w:r>
      <w:r w:rsidR="000A09EF" w:rsidRPr="00690776">
        <w:rPr>
          <w:rFonts w:eastAsiaTheme="minorEastAsia"/>
          <w:lang w:val="en-US"/>
        </w:rPr>
        <w:t>)</w:t>
      </w:r>
    </w:p>
    <w:p w:rsidR="000A09EF" w:rsidRPr="00690776" w:rsidRDefault="00557374" w:rsidP="000A09EF">
      <w:pPr>
        <w:jc w:val="both"/>
        <w:rPr>
          <w:rFonts w:eastAsiaTheme="minorEastAsia"/>
          <w:lang w:val="en-US"/>
        </w:rPr>
      </w:pPr>
      <m:oMath>
        <m:bar>
          <m:barPr>
            <m:pos m:val="top"/>
            <m:ctrlPr>
              <w:rPr>
                <w:rFonts w:ascii="Cambria Math" w:hAnsi="Cambria Math"/>
                <w:i/>
                <w:lang w:val="en-US"/>
              </w:rPr>
            </m:ctrlPr>
          </m:barPr>
          <m:e>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B</m:t>
                </m:r>
              </m:sub>
            </m:sSub>
          </m:e>
        </m:bar>
        <m:r>
          <w:rPr>
            <w:rFonts w:ascii="Cambria Math" w:hAnsi="Cambria Math"/>
            <w:lang w:val="en-US"/>
          </w:rPr>
          <m:t>)</m:t>
        </m:r>
      </m:oMath>
      <w:r w:rsidR="000A09EF" w:rsidRPr="00690776">
        <w:rPr>
          <w:rFonts w:eastAsiaTheme="minorEastAsia"/>
          <w:lang w:val="en-US"/>
        </w:rPr>
        <w:t xml:space="preserve"> </w:t>
      </w:r>
      <w:proofErr w:type="gramStart"/>
      <w:r w:rsidR="000A09EF" w:rsidRPr="00690776">
        <w:rPr>
          <w:rFonts w:eastAsiaTheme="minorEastAsia"/>
          <w:lang w:val="en-US"/>
        </w:rPr>
        <w:t>is</w:t>
      </w:r>
      <w:proofErr w:type="gramEnd"/>
      <w:r w:rsidR="000A09EF" w:rsidRPr="00690776">
        <w:rPr>
          <w:rFonts w:eastAsiaTheme="minorEastAsia"/>
          <w:lang w:val="en-US"/>
        </w:rPr>
        <w:t xml:space="preserve"> the average monthly difference in returns between the fund and the benchmark for twenty four month period. </w:t>
      </w:r>
      <w:proofErr w:type="gramStart"/>
      <w:r w:rsidR="000A09EF" w:rsidRPr="00690776">
        <w:rPr>
          <w:rFonts w:eastAsiaTheme="minorEastAsia"/>
          <w:lang w:val="en-US"/>
        </w:rPr>
        <w:t xml:space="preserve">The </w:t>
      </w:r>
      <m:oMath>
        <m:r>
          <w:rPr>
            <w:rFonts w:ascii="Cambria Math" w:hAnsi="Cambria Math"/>
            <w:lang w:val="en-US"/>
          </w:rPr>
          <m:t>σ(</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B</m:t>
            </m:r>
          </m:sub>
        </m:sSub>
        <m:r>
          <w:rPr>
            <w:rFonts w:ascii="Cambria Math" w:hAnsi="Cambria Math"/>
            <w:lang w:val="en-US"/>
          </w:rPr>
          <m:t>)</m:t>
        </m:r>
      </m:oMath>
      <w:r w:rsidR="000A09EF" w:rsidRPr="00690776">
        <w:rPr>
          <w:rFonts w:eastAsiaTheme="minorEastAsia"/>
          <w:lang w:val="en-US"/>
        </w:rPr>
        <w:t xml:space="preserve"> is</w:t>
      </w:r>
      <w:proofErr w:type="gramEnd"/>
      <w:r w:rsidR="000A09EF" w:rsidRPr="00690776">
        <w:rPr>
          <w:rFonts w:eastAsiaTheme="minorEastAsia"/>
          <w:lang w:val="en-US"/>
        </w:rPr>
        <w:t xml:space="preserve"> the standard deviation of the difference in returns. The benchmarks that are used are:</w:t>
      </w:r>
    </w:p>
    <w:p w:rsidR="000A09EF" w:rsidRPr="00690776" w:rsidRDefault="000A09EF" w:rsidP="000A09EF">
      <w:pPr>
        <w:jc w:val="both"/>
        <w:rPr>
          <w:rFonts w:eastAsiaTheme="minorEastAsia"/>
          <w:lang w:val="en-US"/>
        </w:rPr>
      </w:pPr>
      <w:r w:rsidRPr="00690776">
        <w:rPr>
          <w:rFonts w:eastAsiaTheme="minorEastAsia"/>
          <w:lang w:val="en-US"/>
        </w:rPr>
        <w:t xml:space="preserve">Strategy = Hedge fund strategy benchmark specific to fund’s </w:t>
      </w:r>
      <w:r w:rsidR="0045164B" w:rsidRPr="00690776">
        <w:rPr>
          <w:rFonts w:eastAsiaTheme="minorEastAsia"/>
          <w:lang w:val="en-US"/>
        </w:rPr>
        <w:t>strategy</w:t>
      </w:r>
      <w:r w:rsidR="00826571">
        <w:rPr>
          <w:rFonts w:eastAsiaTheme="minorEastAsia"/>
          <w:lang w:val="en-US"/>
        </w:rPr>
        <w:t xml:space="preserve"> (i.e. Event Driven).</w:t>
      </w:r>
      <w:r w:rsidR="0045164B" w:rsidRPr="00690776">
        <w:rPr>
          <w:rFonts w:eastAsiaTheme="minorEastAsia"/>
          <w:lang w:val="en-US"/>
        </w:rPr>
        <w:t xml:space="preserve"> Sub</w:t>
      </w:r>
      <w:r w:rsidRPr="00690776">
        <w:rPr>
          <w:rFonts w:eastAsiaTheme="minorEastAsia"/>
          <w:lang w:val="en-US"/>
        </w:rPr>
        <w:t>-strategy = Hedge fund sub-strategy benchm</w:t>
      </w:r>
      <w:r w:rsidR="0045164B">
        <w:rPr>
          <w:rFonts w:eastAsiaTheme="minorEastAsia"/>
          <w:lang w:val="en-US"/>
        </w:rPr>
        <w:t>ark specific to fund’s strategy</w:t>
      </w:r>
      <w:r w:rsidR="00826571">
        <w:rPr>
          <w:rFonts w:eastAsiaTheme="minorEastAsia"/>
          <w:lang w:val="en-US"/>
        </w:rPr>
        <w:t xml:space="preserve"> (e.g. Merger Arbitrage)</w:t>
      </w:r>
      <w:r w:rsidR="0045164B">
        <w:rPr>
          <w:rFonts w:eastAsiaTheme="minorEastAsia"/>
          <w:lang w:val="en-US"/>
        </w:rPr>
        <w:t>.</w:t>
      </w:r>
      <w:r w:rsidRPr="001109A1">
        <w:rPr>
          <w:rFonts w:eastAsiaTheme="minorEastAsia"/>
          <w:color w:val="FF0000"/>
          <w:lang w:val="en-US"/>
        </w:rPr>
        <w:t xml:space="preserve"> </w:t>
      </w:r>
      <w:r w:rsidRPr="00690776">
        <w:rPr>
          <w:rFonts w:eastAsiaTheme="minorEastAsia"/>
          <w:lang w:val="en-US"/>
        </w:rPr>
        <w:t>Region = Regional equity benchmark partic</w:t>
      </w:r>
      <w:r w:rsidR="0045164B">
        <w:rPr>
          <w:rFonts w:eastAsiaTheme="minorEastAsia"/>
          <w:lang w:val="en-US"/>
        </w:rPr>
        <w:t>ular to fund’s investment focus</w:t>
      </w:r>
      <w:r w:rsidR="00826571">
        <w:rPr>
          <w:rFonts w:eastAsiaTheme="minorEastAsia"/>
          <w:lang w:val="en-US"/>
        </w:rPr>
        <w:t xml:space="preserve"> (i.e. Europe)</w:t>
      </w:r>
      <w:r w:rsidRPr="0045164B">
        <w:rPr>
          <w:rFonts w:eastAsiaTheme="minorEastAsia"/>
          <w:lang w:val="en-US"/>
        </w:rPr>
        <w:t>.</w:t>
      </w:r>
    </w:p>
    <w:p w:rsidR="000A09EF" w:rsidRPr="00690776" w:rsidRDefault="00212FC8" w:rsidP="000A09EF">
      <w:pPr>
        <w:jc w:val="both"/>
        <w:rPr>
          <w:rFonts w:eastAsiaTheme="minorEastAsia"/>
          <w:lang w:val="en-US"/>
        </w:rPr>
      </w:pPr>
      <w:proofErr w:type="spellStart"/>
      <w:r w:rsidRPr="00690776">
        <w:rPr>
          <w:rFonts w:eastAsiaTheme="minorEastAsia"/>
          <w:i/>
          <w:lang w:val="en-US"/>
        </w:rPr>
        <w:t>B</w:t>
      </w:r>
      <w:r w:rsidR="00ED70AE" w:rsidRPr="00690776">
        <w:rPr>
          <w:rFonts w:eastAsiaTheme="minorEastAsia"/>
          <w:i/>
          <w:lang w:val="en-US"/>
        </w:rPr>
        <w:t>eta</w:t>
      </w:r>
      <w:r w:rsidRPr="00690776">
        <w:rPr>
          <w:rFonts w:eastAsiaTheme="minorEastAsia"/>
          <w:i/>
          <w:lang w:val="en-US"/>
        </w:rPr>
        <w:t>S</w:t>
      </w:r>
      <w:r w:rsidR="00ED70AE" w:rsidRPr="00690776">
        <w:rPr>
          <w:rFonts w:eastAsiaTheme="minorEastAsia"/>
          <w:i/>
          <w:lang w:val="en-US"/>
        </w:rPr>
        <w:t>core</w:t>
      </w:r>
      <w:r w:rsidRPr="00690776">
        <w:rPr>
          <w:rFonts w:eastAsiaTheme="minorEastAsia"/>
          <w:i/>
          <w:vertAlign w:val="subscript"/>
          <w:lang w:val="en-US"/>
        </w:rPr>
        <w:t>i</w:t>
      </w:r>
      <w:proofErr w:type="spellEnd"/>
      <w:r w:rsidRPr="00690776">
        <w:rPr>
          <w:rFonts w:eastAsiaTheme="minorEastAsia"/>
          <w:i/>
          <w:lang w:val="en-US"/>
        </w:rPr>
        <w:t xml:space="preserve"> </w:t>
      </w:r>
      <w:r w:rsidRPr="00690776">
        <w:rPr>
          <w:rFonts w:eastAsiaTheme="minorEastAsia"/>
          <w:lang w:val="en-US"/>
        </w:rPr>
        <w:t xml:space="preserve">in equation </w:t>
      </w:r>
      <w:r w:rsidR="00496438" w:rsidRPr="00496438">
        <w:rPr>
          <w:rFonts w:eastAsiaTheme="minorEastAsia"/>
          <w:lang w:val="en-US"/>
        </w:rPr>
        <w:t>1</w:t>
      </w:r>
      <w:r w:rsidRPr="00690776">
        <w:rPr>
          <w:rFonts w:eastAsiaTheme="minorEastAsia"/>
          <w:lang w:val="en-US"/>
        </w:rPr>
        <w:t xml:space="preserve"> is defined as</w:t>
      </w:r>
    </w:p>
    <w:p w:rsidR="000A09EF" w:rsidRPr="00690776" w:rsidRDefault="00557374" w:rsidP="000A09EF">
      <w:pPr>
        <w:jc w:val="both"/>
        <w:rPr>
          <w:rFonts w:eastAsiaTheme="minorEastAsia"/>
          <w:sz w:val="22"/>
          <w:lang w:val="en-US"/>
        </w:rPr>
      </w:pPr>
      <m:oMath>
        <m:sSub>
          <m:sSubPr>
            <m:ctrlPr>
              <w:rPr>
                <w:rFonts w:ascii="Cambria Math" w:eastAsiaTheme="minorEastAsia" w:hAnsi="Cambria Math"/>
                <w:i/>
                <w:sz w:val="22"/>
                <w:lang w:val="en-US"/>
              </w:rPr>
            </m:ctrlPr>
          </m:sSubPr>
          <m:e>
            <m:r>
              <w:rPr>
                <w:rFonts w:ascii="Cambria Math" w:eastAsiaTheme="minorEastAsia" w:hAnsi="Cambria Math"/>
                <w:sz w:val="22"/>
                <w:lang w:val="en-US"/>
              </w:rPr>
              <m:t>BetaScore</m:t>
            </m:r>
          </m:e>
          <m:sub>
            <m:r>
              <w:rPr>
                <w:rFonts w:ascii="Cambria Math" w:eastAsiaTheme="minorEastAsia" w:hAnsi="Cambria Math"/>
                <w:sz w:val="22"/>
                <w:lang w:val="en-US"/>
              </w:rPr>
              <m:t>i</m:t>
            </m:r>
          </m:sub>
        </m:sSub>
        <m:r>
          <w:rPr>
            <w:rFonts w:ascii="Cambria Math" w:eastAsiaTheme="minorEastAsia" w:hAnsi="Cambria Math"/>
            <w:sz w:val="22"/>
            <w:lang w:val="en-US"/>
          </w:rPr>
          <m:t>=</m:t>
        </m:r>
        <m:d>
          <m:dPr>
            <m:begChr m:val="|"/>
            <m:endChr m:val="|"/>
            <m:ctrlPr>
              <w:rPr>
                <w:rFonts w:ascii="Cambria Math" w:eastAsiaTheme="minorEastAsia" w:hAnsi="Cambria Math"/>
                <w:i/>
                <w:sz w:val="22"/>
                <w:lang w:val="en-US"/>
              </w:rPr>
            </m:ctrlPr>
          </m:dPr>
          <m:e>
            <m:sSub>
              <m:sSubPr>
                <m:ctrlPr>
                  <w:rPr>
                    <w:rFonts w:ascii="Cambria Math" w:eastAsiaTheme="minorEastAsia" w:hAnsi="Cambria Math"/>
                    <w:i/>
                    <w:sz w:val="22"/>
                    <w:lang w:val="en-US"/>
                  </w:rPr>
                </m:ctrlPr>
              </m:sSubPr>
              <m:e>
                <m:r>
                  <w:rPr>
                    <w:rFonts w:ascii="Cambria Math" w:eastAsiaTheme="minorEastAsia" w:hAnsi="Cambria Math"/>
                    <w:sz w:val="22"/>
                    <w:lang w:val="en-US"/>
                  </w:rPr>
                  <m:t>β</m:t>
                </m:r>
              </m:e>
              <m:sub>
                <m:r>
                  <w:rPr>
                    <w:rFonts w:ascii="Cambria Math" w:eastAsiaTheme="minorEastAsia" w:hAnsi="Cambria Math"/>
                    <w:sz w:val="22"/>
                    <w:lang w:val="en-US"/>
                  </w:rPr>
                  <m:t>Cluster/Strategy</m:t>
                </m:r>
              </m:sub>
            </m:sSub>
            <m:r>
              <w:rPr>
                <w:rFonts w:ascii="Cambria Math" w:eastAsiaTheme="minorEastAsia" w:hAnsi="Cambria Math"/>
                <w:sz w:val="22"/>
                <w:lang w:val="en-US"/>
              </w:rPr>
              <m:t>-</m:t>
            </m:r>
            <m:sSub>
              <m:sSubPr>
                <m:ctrlPr>
                  <w:rPr>
                    <w:rFonts w:ascii="Cambria Math" w:eastAsiaTheme="minorEastAsia" w:hAnsi="Cambria Math"/>
                    <w:i/>
                    <w:sz w:val="22"/>
                    <w:lang w:val="en-US"/>
                  </w:rPr>
                </m:ctrlPr>
              </m:sSubPr>
              <m:e>
                <m:r>
                  <w:rPr>
                    <w:rFonts w:ascii="Cambria Math" w:eastAsiaTheme="minorEastAsia" w:hAnsi="Cambria Math"/>
                    <w:sz w:val="22"/>
                    <w:lang w:val="en-US"/>
                  </w:rPr>
                  <m:t>β</m:t>
                </m:r>
              </m:e>
              <m:sub>
                <m:r>
                  <w:rPr>
                    <w:rFonts w:ascii="Cambria Math" w:eastAsiaTheme="minorEastAsia" w:hAnsi="Cambria Math"/>
                    <w:sz w:val="22"/>
                    <w:lang w:val="en-US"/>
                  </w:rPr>
                  <m:t>i/Strategy</m:t>
                </m:r>
              </m:sub>
            </m:sSub>
          </m:e>
        </m:d>
        <m:r>
          <w:rPr>
            <w:rFonts w:ascii="Cambria Math" w:eastAsiaTheme="minorEastAsia" w:hAnsi="Cambria Math"/>
            <w:sz w:val="22"/>
            <w:lang w:val="en-US"/>
          </w:rPr>
          <m:t>+</m:t>
        </m:r>
        <m:d>
          <m:dPr>
            <m:begChr m:val="|"/>
            <m:endChr m:val="|"/>
            <m:ctrlPr>
              <w:rPr>
                <w:rFonts w:ascii="Cambria Math" w:eastAsiaTheme="minorEastAsia" w:hAnsi="Cambria Math"/>
                <w:i/>
                <w:sz w:val="22"/>
                <w:lang w:val="en-US"/>
              </w:rPr>
            </m:ctrlPr>
          </m:dPr>
          <m:e>
            <m:sSub>
              <m:sSubPr>
                <m:ctrlPr>
                  <w:rPr>
                    <w:rFonts w:ascii="Cambria Math" w:eastAsiaTheme="minorEastAsia" w:hAnsi="Cambria Math"/>
                    <w:i/>
                    <w:sz w:val="22"/>
                    <w:lang w:val="en-US"/>
                  </w:rPr>
                </m:ctrlPr>
              </m:sSubPr>
              <m:e>
                <m:r>
                  <w:rPr>
                    <w:rFonts w:ascii="Cambria Math" w:eastAsiaTheme="minorEastAsia" w:hAnsi="Cambria Math"/>
                    <w:sz w:val="22"/>
                    <w:lang w:val="en-US"/>
                  </w:rPr>
                  <m:t>β</m:t>
                </m:r>
              </m:e>
              <m:sub>
                <m:r>
                  <w:rPr>
                    <w:rFonts w:ascii="Cambria Math" w:eastAsiaTheme="minorEastAsia" w:hAnsi="Cambria Math"/>
                    <w:sz w:val="22"/>
                    <w:lang w:val="en-US"/>
                  </w:rPr>
                  <m:t>Cluster/Sustrategy</m:t>
                </m:r>
              </m:sub>
            </m:sSub>
            <m:r>
              <w:rPr>
                <w:rFonts w:ascii="Cambria Math" w:eastAsiaTheme="minorEastAsia" w:hAnsi="Cambria Math"/>
                <w:sz w:val="22"/>
                <w:lang w:val="en-US"/>
              </w:rPr>
              <m:t>-</m:t>
            </m:r>
            <m:sSub>
              <m:sSubPr>
                <m:ctrlPr>
                  <w:rPr>
                    <w:rFonts w:ascii="Cambria Math" w:eastAsiaTheme="minorEastAsia" w:hAnsi="Cambria Math"/>
                    <w:i/>
                    <w:sz w:val="22"/>
                    <w:lang w:val="en-US"/>
                  </w:rPr>
                </m:ctrlPr>
              </m:sSubPr>
              <m:e>
                <m:r>
                  <w:rPr>
                    <w:rFonts w:ascii="Cambria Math" w:eastAsiaTheme="minorEastAsia" w:hAnsi="Cambria Math"/>
                    <w:sz w:val="22"/>
                    <w:lang w:val="en-US"/>
                  </w:rPr>
                  <m:t>β</m:t>
                </m:r>
              </m:e>
              <m:sub>
                <m:r>
                  <w:rPr>
                    <w:rFonts w:ascii="Cambria Math" w:eastAsiaTheme="minorEastAsia" w:hAnsi="Cambria Math"/>
                    <w:sz w:val="22"/>
                    <w:lang w:val="en-US"/>
                  </w:rPr>
                  <m:t>i/Substrategy</m:t>
                </m:r>
              </m:sub>
            </m:sSub>
          </m:e>
        </m:d>
        <m:r>
          <w:rPr>
            <w:rFonts w:ascii="Cambria Math" w:eastAsiaTheme="minorEastAsia" w:hAnsi="Cambria Math"/>
            <w:sz w:val="22"/>
            <w:lang w:val="en-US"/>
          </w:rPr>
          <m:t>+</m:t>
        </m:r>
        <m:d>
          <m:dPr>
            <m:begChr m:val="|"/>
            <m:endChr m:val="|"/>
            <m:ctrlPr>
              <w:rPr>
                <w:rFonts w:ascii="Cambria Math" w:eastAsiaTheme="minorEastAsia" w:hAnsi="Cambria Math"/>
                <w:i/>
                <w:sz w:val="22"/>
                <w:lang w:val="en-US"/>
              </w:rPr>
            </m:ctrlPr>
          </m:dPr>
          <m:e>
            <m:sSub>
              <m:sSubPr>
                <m:ctrlPr>
                  <w:rPr>
                    <w:rFonts w:ascii="Cambria Math" w:eastAsiaTheme="minorEastAsia" w:hAnsi="Cambria Math"/>
                    <w:i/>
                    <w:sz w:val="22"/>
                    <w:lang w:val="en-US"/>
                  </w:rPr>
                </m:ctrlPr>
              </m:sSubPr>
              <m:e>
                <m:r>
                  <w:rPr>
                    <w:rFonts w:ascii="Cambria Math" w:eastAsiaTheme="minorEastAsia" w:hAnsi="Cambria Math"/>
                    <w:sz w:val="22"/>
                    <w:lang w:val="en-US"/>
                  </w:rPr>
                  <m:t>β</m:t>
                </m:r>
              </m:e>
              <m:sub>
                <m:r>
                  <w:rPr>
                    <w:rFonts w:ascii="Cambria Math" w:eastAsiaTheme="minorEastAsia" w:hAnsi="Cambria Math"/>
                    <w:sz w:val="22"/>
                    <w:lang w:val="en-US"/>
                  </w:rPr>
                  <m:t>Cluster/Region</m:t>
                </m:r>
              </m:sub>
            </m:sSub>
            <m:r>
              <w:rPr>
                <w:rFonts w:ascii="Cambria Math" w:eastAsiaTheme="minorEastAsia" w:hAnsi="Cambria Math"/>
                <w:sz w:val="22"/>
                <w:lang w:val="en-US"/>
              </w:rPr>
              <m:t>-</m:t>
            </m:r>
            <m:sSub>
              <m:sSubPr>
                <m:ctrlPr>
                  <w:rPr>
                    <w:rFonts w:ascii="Cambria Math" w:eastAsiaTheme="minorEastAsia" w:hAnsi="Cambria Math"/>
                    <w:i/>
                    <w:sz w:val="22"/>
                    <w:lang w:val="en-US"/>
                  </w:rPr>
                </m:ctrlPr>
              </m:sSubPr>
              <m:e>
                <m:r>
                  <w:rPr>
                    <w:rFonts w:ascii="Cambria Math" w:eastAsiaTheme="minorEastAsia" w:hAnsi="Cambria Math"/>
                    <w:sz w:val="22"/>
                    <w:lang w:val="en-US"/>
                  </w:rPr>
                  <m:t>β</m:t>
                </m:r>
              </m:e>
              <m:sub>
                <m:r>
                  <w:rPr>
                    <w:rFonts w:ascii="Cambria Math" w:eastAsiaTheme="minorEastAsia" w:hAnsi="Cambria Math"/>
                    <w:sz w:val="22"/>
                    <w:lang w:val="en-US"/>
                  </w:rPr>
                  <m:t>i/Region</m:t>
                </m:r>
              </m:sub>
            </m:sSub>
          </m:e>
        </m:d>
      </m:oMath>
      <w:r w:rsidR="006B2B64">
        <w:rPr>
          <w:rFonts w:eastAsiaTheme="minorEastAsia"/>
          <w:sz w:val="22"/>
          <w:lang w:val="en-US"/>
        </w:rPr>
        <w:t xml:space="preserve"> </w:t>
      </w:r>
      <w:r w:rsidR="000A09EF" w:rsidRPr="00690776">
        <w:rPr>
          <w:rFonts w:eastAsiaTheme="minorEastAsia"/>
          <w:sz w:val="22"/>
          <w:lang w:val="en-US"/>
        </w:rPr>
        <w:t xml:space="preserve">                                                </w:t>
      </w:r>
      <w:r w:rsidR="006B2B64">
        <w:rPr>
          <w:rFonts w:eastAsiaTheme="minorEastAsia"/>
          <w:sz w:val="22"/>
          <w:lang w:val="en-US"/>
        </w:rPr>
        <w:t xml:space="preserve">                                </w:t>
      </w:r>
      <w:r w:rsidR="000A09EF" w:rsidRPr="00690776">
        <w:rPr>
          <w:rFonts w:eastAsiaTheme="minorEastAsia"/>
          <w:sz w:val="22"/>
          <w:lang w:val="en-US"/>
        </w:rPr>
        <w:t xml:space="preserve">         </w:t>
      </w:r>
      <w:r w:rsidR="00326FB6" w:rsidRPr="00690776">
        <w:rPr>
          <w:rFonts w:eastAsiaTheme="minorEastAsia"/>
          <w:sz w:val="22"/>
          <w:lang w:val="en-US"/>
        </w:rPr>
        <w:t xml:space="preserve">   </w:t>
      </w:r>
      <w:r w:rsidR="00F3728A">
        <w:rPr>
          <w:rFonts w:eastAsiaTheme="minorEastAsia"/>
          <w:sz w:val="22"/>
          <w:lang w:val="en-US"/>
        </w:rPr>
        <w:t xml:space="preserve"> </w:t>
      </w:r>
      <w:r w:rsidR="00326FB6" w:rsidRPr="00690776">
        <w:rPr>
          <w:rFonts w:eastAsiaTheme="minorEastAsia"/>
          <w:sz w:val="22"/>
          <w:lang w:val="en-US"/>
        </w:rPr>
        <w:t xml:space="preserve"> </w:t>
      </w:r>
      <w:r w:rsidR="00D501C1">
        <w:rPr>
          <w:rFonts w:eastAsiaTheme="minorEastAsia"/>
          <w:sz w:val="22"/>
          <w:lang w:val="en-US"/>
        </w:rPr>
        <w:t xml:space="preserve">  </w:t>
      </w:r>
      <w:r w:rsidR="00326FB6" w:rsidRPr="00690776">
        <w:rPr>
          <w:rFonts w:eastAsiaTheme="minorEastAsia"/>
          <w:sz w:val="22"/>
          <w:lang w:val="en-US"/>
        </w:rPr>
        <w:t xml:space="preserve"> </w:t>
      </w:r>
      <w:r w:rsidR="000A09EF" w:rsidRPr="00690776">
        <w:rPr>
          <w:rFonts w:eastAsiaTheme="minorEastAsia"/>
          <w:szCs w:val="24"/>
          <w:lang w:val="en-US"/>
        </w:rPr>
        <w:t>(</w:t>
      </w:r>
      <w:r w:rsidR="00496438">
        <w:rPr>
          <w:rFonts w:eastAsiaTheme="minorEastAsia"/>
          <w:szCs w:val="24"/>
          <w:lang w:val="en-US"/>
        </w:rPr>
        <w:t>4</w:t>
      </w:r>
      <w:r w:rsidR="000A09EF" w:rsidRPr="00690776">
        <w:rPr>
          <w:rFonts w:eastAsiaTheme="minorEastAsia"/>
          <w:szCs w:val="24"/>
          <w:lang w:val="en-US"/>
        </w:rPr>
        <w:t>)</w:t>
      </w:r>
    </w:p>
    <w:p w:rsidR="000A09EF" w:rsidRPr="00690776" w:rsidRDefault="000A09EF" w:rsidP="000A09EF">
      <w:pPr>
        <w:jc w:val="both"/>
        <w:rPr>
          <w:rFonts w:eastAsiaTheme="minorEastAsia"/>
          <w:lang w:val="en-US"/>
        </w:rPr>
      </w:pPr>
      <w:r w:rsidRPr="00690776">
        <w:rPr>
          <w:rFonts w:eastAsiaTheme="minorEastAsia"/>
          <w:lang w:val="en-US"/>
        </w:rPr>
        <w:t xml:space="preserve"> The beta of fund </w:t>
      </w:r>
      <w:proofErr w:type="spellStart"/>
      <w:r w:rsidRPr="00690776">
        <w:rPr>
          <w:rFonts w:eastAsiaTheme="minorEastAsia"/>
          <w:i/>
          <w:lang w:val="en-US"/>
        </w:rPr>
        <w:t>i</w:t>
      </w:r>
      <w:proofErr w:type="spellEnd"/>
      <w:r w:rsidRPr="00690776">
        <w:rPr>
          <w:rFonts w:eastAsiaTheme="minorEastAsia"/>
          <w:lang w:val="en-US"/>
        </w:rPr>
        <w:t xml:space="preserve"> versus benchmark </w:t>
      </w:r>
      <w:r w:rsidRPr="00690776">
        <w:rPr>
          <w:rFonts w:eastAsiaTheme="minorEastAsia"/>
          <w:i/>
          <w:lang w:val="en-US"/>
        </w:rPr>
        <w:t>B</w:t>
      </w:r>
      <w:r w:rsidRPr="00690776">
        <w:rPr>
          <w:rFonts w:eastAsiaTheme="minorEastAsia"/>
          <w:lang w:val="en-US"/>
        </w:rPr>
        <w:t xml:space="preserve"> is expressed as:</w:t>
      </w:r>
    </w:p>
    <w:p w:rsidR="000A09EF" w:rsidRPr="00690776" w:rsidRDefault="00557374" w:rsidP="000A09EF">
      <w:pPr>
        <w:jc w:val="both"/>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|1-β</m:t>
            </m:r>
          </m:e>
          <m:sub>
            <m:r>
              <w:rPr>
                <w:rFonts w:ascii="Cambria Math" w:eastAsiaTheme="minorEastAsia" w:hAnsi="Cambria Math"/>
                <w:lang w:val="en-US"/>
              </w:rPr>
              <m:t>i/B</m:t>
            </m:r>
          </m:sub>
        </m:sSub>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ρ</m:t>
            </m:r>
          </m:e>
          <m:sub>
            <m:r>
              <w:rPr>
                <w:rFonts w:ascii="Cambria Math" w:eastAsiaTheme="minorEastAsia" w:hAnsi="Cambria Math"/>
                <w:lang w:val="en-US"/>
              </w:rPr>
              <m:t>i/B</m:t>
            </m:r>
          </m:sub>
        </m:sSub>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i</m:t>
                </m:r>
              </m:sub>
            </m:sSub>
          </m:num>
          <m:den>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B</m:t>
                </m:r>
              </m:sub>
            </m:sSub>
          </m:den>
        </m:f>
        <m:r>
          <w:rPr>
            <w:rFonts w:ascii="Cambria Math" w:eastAsiaTheme="minorEastAsia" w:hAnsi="Cambria Math"/>
            <w:lang w:val="en-US"/>
          </w:rPr>
          <m:t>|</m:t>
        </m:r>
      </m:oMath>
      <w:r w:rsidR="000A09EF" w:rsidRPr="00690776">
        <w:rPr>
          <w:rFonts w:eastAsiaTheme="minorEastAsia"/>
          <w:lang w:val="en-US"/>
        </w:rPr>
        <w:t xml:space="preserve">                                                       </w:t>
      </w:r>
      <w:r w:rsidR="00326FB6" w:rsidRPr="00690776">
        <w:rPr>
          <w:rFonts w:eastAsiaTheme="minorEastAsia"/>
          <w:lang w:val="en-US"/>
        </w:rPr>
        <w:t xml:space="preserve">                           </w:t>
      </w:r>
      <w:r w:rsidR="00D501C1">
        <w:rPr>
          <w:rFonts w:eastAsiaTheme="minorEastAsia"/>
          <w:lang w:val="en-US"/>
        </w:rPr>
        <w:t xml:space="preserve">  </w:t>
      </w:r>
      <w:r w:rsidR="00F3728A">
        <w:rPr>
          <w:rFonts w:eastAsiaTheme="minorEastAsia"/>
          <w:lang w:val="en-US"/>
        </w:rPr>
        <w:t xml:space="preserve"> </w:t>
      </w:r>
      <w:r w:rsidR="00326FB6" w:rsidRPr="00690776">
        <w:rPr>
          <w:rFonts w:eastAsiaTheme="minorEastAsia"/>
          <w:lang w:val="en-US"/>
        </w:rPr>
        <w:t xml:space="preserve"> </w:t>
      </w:r>
      <w:r w:rsidR="000A09EF" w:rsidRPr="00690776">
        <w:rPr>
          <w:rFonts w:eastAsiaTheme="minorEastAsia"/>
          <w:lang w:val="en-US"/>
        </w:rPr>
        <w:t xml:space="preserve"> (</w:t>
      </w:r>
      <w:r w:rsidR="00496438">
        <w:rPr>
          <w:rFonts w:eastAsiaTheme="minorEastAsia"/>
          <w:lang w:val="en-US"/>
        </w:rPr>
        <w:t>5</w:t>
      </w:r>
      <w:r w:rsidR="000A09EF" w:rsidRPr="00690776">
        <w:rPr>
          <w:rFonts w:eastAsiaTheme="minorEastAsia"/>
          <w:lang w:val="en-US"/>
        </w:rPr>
        <w:t>)</w:t>
      </w:r>
    </w:p>
    <w:p w:rsidR="000A09EF" w:rsidRPr="00690776" w:rsidRDefault="00557374" w:rsidP="000A09EF">
      <w:pPr>
        <w:jc w:val="both"/>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i</m:t>
            </m:r>
          </m:sub>
        </m:sSub>
        <m:r>
          <w:rPr>
            <w:rFonts w:ascii="Cambria Math" w:eastAsiaTheme="minorEastAsia" w:hAnsi="Cambria Math"/>
            <w:lang w:val="en-US"/>
          </w:rPr>
          <m:t xml:space="preserve"> </m:t>
        </m:r>
        <m:r>
          <m:rPr>
            <m:sty m:val="p"/>
          </m:rPr>
          <w:rPr>
            <w:rFonts w:ascii="Cambria Math" w:eastAsiaTheme="minorEastAsia" w:hAnsi="Cambria Math"/>
            <w:lang w:val="en-US"/>
          </w:rPr>
          <m:t>and</m:t>
        </m:r>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B</m:t>
            </m:r>
          </m:sub>
        </m:sSub>
      </m:oMath>
      <w:r w:rsidR="000A09EF" w:rsidRPr="00690776">
        <w:rPr>
          <w:rFonts w:eastAsiaTheme="minorEastAsia"/>
          <w:lang w:val="en-US"/>
        </w:rPr>
        <w:t xml:space="preserve"> </w:t>
      </w:r>
      <w:proofErr w:type="gramStart"/>
      <w:r w:rsidR="000A09EF" w:rsidRPr="00690776">
        <w:rPr>
          <w:rFonts w:eastAsiaTheme="minorEastAsia"/>
          <w:lang w:val="en-US"/>
        </w:rPr>
        <w:t>are</w:t>
      </w:r>
      <w:proofErr w:type="gramEnd"/>
      <w:r w:rsidR="000A09EF" w:rsidRPr="00690776">
        <w:rPr>
          <w:rFonts w:eastAsiaTheme="minorEastAsia"/>
          <w:lang w:val="en-US"/>
        </w:rPr>
        <w:t xml:space="preserve"> the standard deviation of fund </w:t>
      </w:r>
      <w:proofErr w:type="spellStart"/>
      <w:r w:rsidR="000A09EF" w:rsidRPr="00690776">
        <w:rPr>
          <w:rFonts w:eastAsiaTheme="minorEastAsia"/>
          <w:i/>
          <w:lang w:val="en-US"/>
        </w:rPr>
        <w:t>i</w:t>
      </w:r>
      <w:proofErr w:type="spellEnd"/>
      <w:r w:rsidR="000A09EF" w:rsidRPr="00690776">
        <w:rPr>
          <w:rFonts w:eastAsiaTheme="minorEastAsia"/>
          <w:lang w:val="en-US"/>
        </w:rPr>
        <w:t xml:space="preserve"> and the benchmark </w:t>
      </w:r>
      <w:r w:rsidR="000A09EF" w:rsidRPr="00690776">
        <w:rPr>
          <w:rFonts w:eastAsiaTheme="minorEastAsia"/>
          <w:i/>
          <w:lang w:val="en-US"/>
        </w:rPr>
        <w:t>B</w:t>
      </w:r>
      <w:r w:rsidR="000A09EF" w:rsidRPr="00690776">
        <w:rPr>
          <w:rFonts w:eastAsiaTheme="minorEastAsia"/>
          <w:lang w:val="en-US"/>
        </w:rPr>
        <w:t xml:space="preserve"> respectively. </w:t>
      </w:r>
      <m:oMath>
        <m:sSub>
          <m:sSubPr>
            <m:ctrlPr>
              <w:rPr>
                <w:rFonts w:ascii="Cambria Math" w:eastAsiaTheme="minorEastAsia" w:hAnsi="Cambria Math"/>
                <w:i/>
                <w:lang w:val="en-US"/>
              </w:rPr>
            </m:ctrlPr>
          </m:sSubPr>
          <m:e>
            <m:r>
              <w:rPr>
                <w:rFonts w:ascii="Cambria Math" w:eastAsiaTheme="minorEastAsia" w:hAnsi="Cambria Math"/>
                <w:lang w:val="en-US"/>
              </w:rPr>
              <m:t>ρ</m:t>
            </m:r>
          </m:e>
          <m:sub>
            <m:r>
              <w:rPr>
                <w:rFonts w:ascii="Cambria Math" w:eastAsiaTheme="minorEastAsia" w:hAnsi="Cambria Math"/>
                <w:lang w:val="en-US"/>
              </w:rPr>
              <m:t>i/B</m:t>
            </m:r>
          </m:sub>
        </m:sSub>
      </m:oMath>
      <w:r w:rsidR="000A09EF" w:rsidRPr="00690776">
        <w:rPr>
          <w:rFonts w:eastAsiaTheme="minorEastAsia"/>
          <w:lang w:val="en-US"/>
        </w:rPr>
        <w:t xml:space="preserve"> </w:t>
      </w:r>
      <w:proofErr w:type="gramStart"/>
      <w:r w:rsidR="000A09EF" w:rsidRPr="00690776">
        <w:rPr>
          <w:rFonts w:eastAsiaTheme="minorEastAsia"/>
          <w:lang w:val="en-US"/>
        </w:rPr>
        <w:t>is</w:t>
      </w:r>
      <w:proofErr w:type="gramEnd"/>
      <w:r w:rsidR="000A09EF" w:rsidRPr="00690776">
        <w:rPr>
          <w:rFonts w:eastAsiaTheme="minorEastAsia"/>
          <w:lang w:val="en-US"/>
        </w:rPr>
        <w:t xml:space="preserve"> the correlation of fund </w:t>
      </w:r>
      <w:proofErr w:type="spellStart"/>
      <w:r w:rsidR="000A09EF" w:rsidRPr="00690776">
        <w:rPr>
          <w:rFonts w:eastAsiaTheme="minorEastAsia"/>
          <w:i/>
          <w:lang w:val="en-US"/>
        </w:rPr>
        <w:t>i</w:t>
      </w:r>
      <w:proofErr w:type="spellEnd"/>
      <w:r w:rsidR="000A09EF" w:rsidRPr="00690776">
        <w:rPr>
          <w:rFonts w:eastAsiaTheme="minorEastAsia"/>
          <w:lang w:val="en-US"/>
        </w:rPr>
        <w:t xml:space="preserve"> with the benchmark </w:t>
      </w:r>
      <w:r w:rsidR="000A09EF" w:rsidRPr="00690776">
        <w:rPr>
          <w:rFonts w:eastAsiaTheme="minorEastAsia"/>
          <w:i/>
          <w:lang w:val="en-US"/>
        </w:rPr>
        <w:t>B</w:t>
      </w:r>
      <w:r w:rsidR="000A09EF" w:rsidRPr="00690776">
        <w:rPr>
          <w:rFonts w:eastAsiaTheme="minorEastAsia"/>
          <w:lang w:val="en-US"/>
        </w:rPr>
        <w:t xml:space="preserve"> and it is expressed as:</w:t>
      </w:r>
    </w:p>
    <w:p w:rsidR="000A09EF" w:rsidRPr="00690776" w:rsidRDefault="00557374" w:rsidP="000A09EF">
      <w:pPr>
        <w:jc w:val="both"/>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ρ</m:t>
            </m:r>
          </m:e>
          <m:sub>
            <m:r>
              <w:rPr>
                <w:rFonts w:ascii="Cambria Math" w:eastAsiaTheme="minorEastAsia" w:hAnsi="Cambria Math"/>
                <w:lang w:val="en-US"/>
              </w:rPr>
              <m:t>i/B</m:t>
            </m:r>
          </m:sub>
        </m:sSub>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cov(R</m:t>
                </m:r>
              </m:e>
              <m:sub>
                <m:r>
                  <w:rPr>
                    <w:rFonts w:ascii="Cambria Math" w:eastAsiaTheme="minorEastAsia" w:hAnsi="Cambria Math"/>
                    <w:lang w:val="en-US"/>
                  </w:rPr>
                  <m:t>i</m:t>
                </m:r>
              </m:sub>
            </m:sSub>
            <m:r>
              <w:rPr>
                <w:rFonts w:ascii="Cambria Math" w:eastAsiaTheme="minorEastAsia" w:hAnsi="Cambria Math"/>
                <w:lang w:val="en-US"/>
              </w:rPr>
              <m:t>,B)</m:t>
            </m:r>
          </m:num>
          <m:den>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i</m:t>
                </m:r>
              </m:sub>
            </m:sSub>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B</m:t>
                </m:r>
              </m:sub>
            </m:sSub>
          </m:den>
        </m:f>
      </m:oMath>
      <w:r w:rsidR="000A09EF" w:rsidRPr="00690776">
        <w:rPr>
          <w:rFonts w:eastAsiaTheme="minorEastAsia"/>
          <w:lang w:val="en-US"/>
        </w:rPr>
        <w:t xml:space="preserve">                                                                                                     </w:t>
      </w:r>
      <w:r w:rsidR="00326FB6" w:rsidRPr="00690776">
        <w:rPr>
          <w:rFonts w:eastAsiaTheme="minorEastAsia"/>
          <w:lang w:val="en-US"/>
        </w:rPr>
        <w:t xml:space="preserve">   </w:t>
      </w:r>
      <w:r w:rsidR="00736826">
        <w:rPr>
          <w:rFonts w:eastAsiaTheme="minorEastAsia"/>
          <w:lang w:val="en-US"/>
        </w:rPr>
        <w:t xml:space="preserve"> </w:t>
      </w:r>
      <w:r w:rsidR="00326FB6" w:rsidRPr="00690776">
        <w:rPr>
          <w:rFonts w:eastAsiaTheme="minorEastAsia"/>
          <w:lang w:val="en-US"/>
        </w:rPr>
        <w:t xml:space="preserve"> </w:t>
      </w:r>
      <w:r w:rsidR="00D501C1">
        <w:rPr>
          <w:rFonts w:eastAsiaTheme="minorEastAsia"/>
          <w:lang w:val="en-US"/>
        </w:rPr>
        <w:t xml:space="preserve"> </w:t>
      </w:r>
      <w:r w:rsidR="00F3728A">
        <w:rPr>
          <w:rFonts w:eastAsiaTheme="minorEastAsia"/>
          <w:lang w:val="en-US"/>
        </w:rPr>
        <w:t xml:space="preserve"> </w:t>
      </w:r>
      <w:r w:rsidR="00326FB6" w:rsidRPr="00690776">
        <w:rPr>
          <w:rFonts w:eastAsiaTheme="minorEastAsia"/>
          <w:lang w:val="en-US"/>
        </w:rPr>
        <w:t xml:space="preserve"> </w:t>
      </w:r>
      <w:r w:rsidR="000A09EF" w:rsidRPr="00690776">
        <w:rPr>
          <w:rFonts w:eastAsiaTheme="minorEastAsia"/>
          <w:lang w:val="en-US"/>
        </w:rPr>
        <w:t>(</w:t>
      </w:r>
      <w:r w:rsidR="00496438">
        <w:rPr>
          <w:rFonts w:eastAsiaTheme="minorEastAsia"/>
          <w:lang w:val="en-US"/>
        </w:rPr>
        <w:t>6</w:t>
      </w:r>
      <w:r w:rsidR="000A09EF" w:rsidRPr="00690776">
        <w:rPr>
          <w:rFonts w:eastAsiaTheme="minorEastAsia"/>
          <w:lang w:val="en-US"/>
        </w:rPr>
        <w:t>)</w:t>
      </w:r>
    </w:p>
    <w:p w:rsidR="000A09EF" w:rsidRPr="00690776" w:rsidRDefault="000A09EF" w:rsidP="000A09EF">
      <w:pPr>
        <w:jc w:val="both"/>
        <w:rPr>
          <w:rFonts w:eastAsiaTheme="minorEastAsia"/>
          <w:lang w:val="en-US"/>
        </w:rPr>
      </w:pPr>
      <w:r w:rsidRPr="00690776">
        <w:rPr>
          <w:rFonts w:eastAsiaTheme="minorEastAsia"/>
          <w:lang w:val="en-US"/>
        </w:rPr>
        <w:t xml:space="preserve">Where </w:t>
      </w:r>
      <m:oMath>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i</m:t>
            </m:r>
          </m:sub>
        </m:sSub>
      </m:oMath>
      <w:r w:rsidRPr="00690776">
        <w:rPr>
          <w:rFonts w:eastAsiaTheme="minorEastAsia"/>
          <w:lang w:val="en-US"/>
        </w:rPr>
        <w:t xml:space="preserve"> denotes the returns of the fund and B the returns of the benchmark.</w:t>
      </w:r>
    </w:p>
    <w:p w:rsidR="000A09EF" w:rsidRPr="00690776" w:rsidRDefault="000A09EF" w:rsidP="000A09EF">
      <w:pPr>
        <w:jc w:val="both"/>
        <w:rPr>
          <w:rFonts w:eastAsiaTheme="minorEastAsia"/>
          <w:lang w:val="en-US"/>
        </w:rPr>
      </w:pPr>
      <w:r w:rsidRPr="00690776">
        <w:rPr>
          <w:lang w:val="en-US"/>
        </w:rPr>
        <w:t xml:space="preserve">The Volatility Score </w:t>
      </w:r>
      <m:oMath>
        <m:sSub>
          <m:sSubPr>
            <m:ctrlPr>
              <w:rPr>
                <w:rFonts w:ascii="Cambria Math" w:hAnsi="Cambria Math"/>
                <w:i/>
                <w:lang w:val="en-US"/>
              </w:rPr>
            </m:ctrlPr>
          </m:sSubPr>
          <m:e>
            <m:r>
              <w:rPr>
                <w:rFonts w:ascii="Cambria Math" w:hAnsi="Cambria Math"/>
                <w:lang w:val="en-US"/>
              </w:rPr>
              <m:t>VS</m:t>
            </m:r>
          </m:e>
          <m:sub>
            <m:r>
              <w:rPr>
                <w:rFonts w:ascii="Cambria Math" w:hAnsi="Cambria Math"/>
                <w:lang w:val="en-US"/>
              </w:rPr>
              <m:t>i</m:t>
            </m:r>
          </m:sub>
        </m:sSub>
      </m:oMath>
      <w:r w:rsidRPr="00690776">
        <w:rPr>
          <w:rFonts w:eastAsiaTheme="minorEastAsia"/>
          <w:lang w:val="en-US"/>
        </w:rPr>
        <w:t xml:space="preserve"> of the fund </w:t>
      </w:r>
      <w:proofErr w:type="spellStart"/>
      <w:r w:rsidRPr="00690776">
        <w:rPr>
          <w:rFonts w:eastAsiaTheme="minorEastAsia"/>
          <w:i/>
          <w:lang w:val="en-US"/>
        </w:rPr>
        <w:t>i</w:t>
      </w:r>
      <w:proofErr w:type="spellEnd"/>
      <w:r w:rsidRPr="00690776">
        <w:rPr>
          <w:rFonts w:eastAsiaTheme="minorEastAsia"/>
          <w:lang w:val="en-US"/>
        </w:rPr>
        <w:t xml:space="preserve"> </w:t>
      </w:r>
      <w:r w:rsidR="00736826">
        <w:rPr>
          <w:rFonts w:eastAsiaTheme="minorEastAsia"/>
          <w:lang w:val="en-US"/>
        </w:rPr>
        <w:t>in equation 1</w:t>
      </w:r>
      <w:r w:rsidR="00212FC8" w:rsidRPr="00690776">
        <w:rPr>
          <w:rFonts w:eastAsiaTheme="minorEastAsia"/>
          <w:lang w:val="en-US"/>
        </w:rPr>
        <w:t xml:space="preserve"> </w:t>
      </w:r>
      <w:r w:rsidRPr="00690776">
        <w:rPr>
          <w:rFonts w:eastAsiaTheme="minorEastAsia"/>
          <w:lang w:val="en-US"/>
        </w:rPr>
        <w:t>is expressed as:</w:t>
      </w:r>
    </w:p>
    <w:p w:rsidR="000A09EF" w:rsidRPr="00690776" w:rsidRDefault="00557374" w:rsidP="000A09EF">
      <w:pPr>
        <w:jc w:val="both"/>
        <w:rPr>
          <w:rFonts w:eastAsiaTheme="minorEastAsia"/>
          <w:lang w:val="en-US"/>
        </w:rPr>
      </w:pPr>
      <m:oMath>
        <m:sSub>
          <m:sSubPr>
            <m:ctrlPr>
              <w:rPr>
                <w:rFonts w:ascii="Cambria Math" w:hAnsi="Cambria Math"/>
                <w:i/>
                <w:lang w:val="en-US"/>
              </w:rPr>
            </m:ctrlPr>
          </m:sSubPr>
          <m:e>
            <m:r>
              <w:rPr>
                <w:rFonts w:ascii="Cambria Math" w:hAnsi="Cambria Math"/>
                <w:lang w:val="en-US"/>
              </w:rPr>
              <m:t>VS</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Cluster</m:t>
                    </m:r>
                  </m:sub>
                </m:sSub>
              </m:e>
            </m:d>
          </m:num>
          <m:den>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Cluster</m:t>
                </m:r>
              </m:sub>
            </m:sSub>
          </m:den>
        </m:f>
      </m:oMath>
      <w:r w:rsidR="000A09EF" w:rsidRPr="00690776">
        <w:rPr>
          <w:rFonts w:eastAsiaTheme="minorEastAsia"/>
          <w:lang w:val="en-US"/>
        </w:rPr>
        <w:t xml:space="preserve">                                            </w:t>
      </w:r>
      <w:r w:rsidR="00ED70AE" w:rsidRPr="00690776">
        <w:rPr>
          <w:rFonts w:eastAsiaTheme="minorEastAsia"/>
          <w:lang w:val="en-US"/>
        </w:rPr>
        <w:tab/>
      </w:r>
      <w:r w:rsidR="000A09EF" w:rsidRPr="00690776">
        <w:rPr>
          <w:rFonts w:eastAsiaTheme="minorEastAsia"/>
          <w:lang w:val="en-US"/>
        </w:rPr>
        <w:t xml:space="preserve">                                </w:t>
      </w:r>
      <w:r w:rsidR="00326FB6" w:rsidRPr="00690776">
        <w:rPr>
          <w:rFonts w:eastAsiaTheme="minorEastAsia"/>
          <w:lang w:val="en-US"/>
        </w:rPr>
        <w:t xml:space="preserve">     </w:t>
      </w:r>
      <w:r w:rsidR="00F3728A">
        <w:rPr>
          <w:rFonts w:eastAsiaTheme="minorEastAsia"/>
          <w:lang w:val="en-US"/>
        </w:rPr>
        <w:t xml:space="preserve">       </w:t>
      </w:r>
      <w:r w:rsidR="00736826">
        <w:rPr>
          <w:rFonts w:eastAsiaTheme="minorEastAsia"/>
          <w:lang w:val="en-US"/>
        </w:rPr>
        <w:t xml:space="preserve"> </w:t>
      </w:r>
      <w:r w:rsidR="00F3728A">
        <w:rPr>
          <w:rFonts w:eastAsiaTheme="minorEastAsia"/>
          <w:lang w:val="en-US"/>
        </w:rPr>
        <w:t xml:space="preserve"> </w:t>
      </w:r>
      <w:r w:rsidR="00D501C1">
        <w:rPr>
          <w:rFonts w:eastAsiaTheme="minorEastAsia"/>
          <w:lang w:val="en-US"/>
        </w:rPr>
        <w:t xml:space="preserve"> </w:t>
      </w:r>
      <w:r w:rsidR="00F3728A">
        <w:rPr>
          <w:rFonts w:eastAsiaTheme="minorEastAsia"/>
          <w:lang w:val="en-US"/>
        </w:rPr>
        <w:t xml:space="preserve"> </w:t>
      </w:r>
      <w:r w:rsidR="000A09EF" w:rsidRPr="00690776">
        <w:rPr>
          <w:rFonts w:eastAsiaTheme="minorEastAsia"/>
          <w:lang w:val="en-US"/>
        </w:rPr>
        <w:t xml:space="preserve"> (</w:t>
      </w:r>
      <w:r w:rsidR="00736826">
        <w:rPr>
          <w:rFonts w:eastAsiaTheme="minorEastAsia"/>
          <w:lang w:val="en-US"/>
        </w:rPr>
        <w:t>7</w:t>
      </w:r>
      <w:r w:rsidR="000A09EF" w:rsidRPr="00690776">
        <w:rPr>
          <w:rFonts w:eastAsiaTheme="minorEastAsia"/>
          <w:lang w:val="en-US"/>
        </w:rPr>
        <w:t>)</w:t>
      </w:r>
    </w:p>
    <w:p w:rsidR="000A09EF" w:rsidRDefault="000A09EF" w:rsidP="000A09EF">
      <w:pPr>
        <w:jc w:val="both"/>
        <w:rPr>
          <w:rFonts w:eastAsiaTheme="minorEastAsia"/>
          <w:lang w:val="en-US"/>
        </w:rPr>
      </w:pPr>
      <w:r w:rsidRPr="00690776">
        <w:rPr>
          <w:rFonts w:eastAsiaTheme="minorEastAsia"/>
          <w:lang w:val="en-US"/>
        </w:rPr>
        <w:t xml:space="preserve">Where </w:t>
      </w:r>
      <m:oMath>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Cluster</m:t>
            </m:r>
          </m:sub>
        </m:sSub>
      </m:oMath>
      <w:r w:rsidRPr="00690776">
        <w:rPr>
          <w:rFonts w:eastAsiaTheme="minorEastAsia"/>
          <w:lang w:val="en-US"/>
        </w:rPr>
        <w:t xml:space="preserve"> is the standard deviation of returns of the cluster during the evaluation </w:t>
      </w:r>
      <w:proofErr w:type="gramStart"/>
      <w:r w:rsidRPr="00690776">
        <w:rPr>
          <w:rFonts w:eastAsiaTheme="minorEastAsia"/>
          <w:lang w:val="en-US"/>
        </w:rPr>
        <w:t>period.</w:t>
      </w:r>
      <w:proofErr w:type="gramEnd"/>
    </w:p>
    <w:p w:rsidR="00826571" w:rsidRPr="00690776" w:rsidRDefault="00826571" w:rsidP="000A09EF">
      <w:pPr>
        <w:jc w:val="both"/>
        <w:rPr>
          <w:rFonts w:eastAsiaTheme="minorEastAsia"/>
          <w:lang w:val="en-US"/>
        </w:rPr>
      </w:pPr>
      <w:r>
        <w:rPr>
          <w:rFonts w:eastAsiaTheme="minorEastAsia"/>
          <w:lang w:val="en-US"/>
        </w:rPr>
        <w:t>A h</w:t>
      </w:r>
      <w:r w:rsidRPr="00826571">
        <w:rPr>
          <w:rFonts w:eastAsiaTheme="minorEastAsia"/>
          <w:lang w:val="en-US"/>
        </w:rPr>
        <w:t>igh beta (correlation) and high volatility scores indicate that a fund is more directional / tactical in its classification. So, higher ranking funds are categorized as a market directional class whereas lower ranking funds are classified as being in the absolute return class. The middle group between them is not taken into consideration.</w:t>
      </w:r>
    </w:p>
    <w:p w:rsidR="00CB7452" w:rsidRPr="000A17AB" w:rsidRDefault="000A09EF" w:rsidP="000A17AB">
      <w:pPr>
        <w:jc w:val="both"/>
        <w:rPr>
          <w:rFonts w:eastAsiaTheme="minorEastAsia"/>
          <w:lang w:val="en-US"/>
        </w:rPr>
      </w:pPr>
      <w:r w:rsidRPr="00690776">
        <w:rPr>
          <w:rFonts w:eastAsiaTheme="minorEastAsia"/>
          <w:lang w:val="en-US"/>
        </w:rPr>
        <w:t>The representation analysis is the second process in the two-tier screening process and assures the pure cluster group. Accuracy is assured by means of the divergence scores.</w:t>
      </w:r>
      <w:r w:rsidR="00C67338">
        <w:rPr>
          <w:rFonts w:eastAsiaTheme="minorEastAsia"/>
          <w:lang w:val="en-US"/>
        </w:rPr>
        <w:t xml:space="preserve"> </w:t>
      </w:r>
      <w:r w:rsidRPr="00690776">
        <w:rPr>
          <w:lang w:val="en-US"/>
        </w:rPr>
        <w:t xml:space="preserve">The total number of funds that constitutes a pure strategy cluster may exceed 500. Because of the rapidly-changing nature of the </w:t>
      </w:r>
      <w:r w:rsidR="00BF5703">
        <w:rPr>
          <w:rFonts w:cs="Times New Roman"/>
          <w:color w:val="222222"/>
          <w:szCs w:val="24"/>
          <w:shd w:val="clear" w:color="auto" w:fill="FFFFFF"/>
        </w:rPr>
        <w:t>HF</w:t>
      </w:r>
      <w:r w:rsidR="00BF5703" w:rsidRPr="00690776">
        <w:rPr>
          <w:lang w:val="en-US"/>
        </w:rPr>
        <w:t xml:space="preserve"> </w:t>
      </w:r>
      <w:r w:rsidRPr="00690776">
        <w:rPr>
          <w:lang w:val="en-US"/>
        </w:rPr>
        <w:t xml:space="preserve">industry it is virtually impossible to maintain such a large number of funds, all providing daily transparent reporting. For that reason HFR use Monte Carlo simulations in order to construct an index with fewer funds without significantly losing representativeness. The number of funds is different from strategy to strategy and may depend upon the number of funds in each cluster, the desired accuracy level, strategy diversity and volatility. This optimization model randomly selects different sized fund samples from a certain strategy cluster and then compares the correlation between each fund sample with the whole cluster. The optimization process not only determines the number of constituents that </w:t>
      </w:r>
      <w:r w:rsidRPr="00690776">
        <w:rPr>
          <w:lang w:val="en-US"/>
        </w:rPr>
        <w:lastRenderedPageBreak/>
        <w:t xml:space="preserve">maximize the representation of the cluster but also their optimal weights. </w:t>
      </w:r>
      <w:r w:rsidR="000A17AB">
        <w:rPr>
          <w:rFonts w:eastAsiaTheme="minorEastAsia"/>
          <w:lang w:val="en-US"/>
        </w:rPr>
        <w:t xml:space="preserve"> </w:t>
      </w:r>
      <w:r w:rsidR="00CB7452" w:rsidRPr="00690776">
        <w:rPr>
          <w:rFonts w:eastAsia="Times New Roman" w:cs="Times New Roman"/>
          <w:szCs w:val="24"/>
          <w:lang w:eastAsia="en-GB"/>
        </w:rPr>
        <w:t>Monte Carlo simulation is therefore employed to examine the number of funds needed to constitute a strategy index that is representative of the strategy cluster. The next step is to find the optimal weights to maximize the representation of the cluster using the Generalized Reduced Gradient quasi-Newtonian Optimization Method. The optimum number of funds depends on the weights (that should lie between certain limits) and the Divergence Score for each fund, as described above.</w:t>
      </w:r>
    </w:p>
    <w:p w:rsidR="00CB7452" w:rsidRPr="00690776" w:rsidRDefault="00CB7452" w:rsidP="00CB7452">
      <w:pPr>
        <w:shd w:val="clear" w:color="auto" w:fill="FFFFFF"/>
        <w:spacing w:after="240"/>
        <w:jc w:val="both"/>
        <w:rPr>
          <w:rFonts w:eastAsia="Times New Roman" w:cs="Times New Roman"/>
          <w:szCs w:val="24"/>
          <w:lang w:eastAsia="en-GB"/>
        </w:rPr>
      </w:pPr>
      <w:r w:rsidRPr="00690776">
        <w:rPr>
          <w:rFonts w:eastAsia="Times New Roman" w:cs="Times New Roman"/>
          <w:szCs w:val="24"/>
          <w:lang w:eastAsia="en-GB"/>
        </w:rPr>
        <w:t>The underlying HFR indices compute NAV (Net Asset Value) using the actual performance of the managed account by a single fund manager (hedge fund) that reports to the HFR database. The NAV is computed from the following formula:</w:t>
      </w:r>
    </w:p>
    <w:p w:rsidR="00CB7452" w:rsidRPr="00690776" w:rsidRDefault="00CB7452" w:rsidP="00CB7452">
      <w:pPr>
        <w:shd w:val="clear" w:color="auto" w:fill="FFFFFF"/>
        <w:spacing w:after="240"/>
        <w:jc w:val="both"/>
        <w:rPr>
          <w:rFonts w:eastAsiaTheme="minorEastAsia"/>
        </w:rPr>
      </w:pPr>
      <w:r w:rsidRPr="00690776">
        <w:t xml:space="preserve">Net Asset Value </w:t>
      </w:r>
      <w:r w:rsidRPr="00690776">
        <w:rPr>
          <w:sz w:val="16"/>
          <w:szCs w:val="16"/>
        </w:rPr>
        <w:t>(per share)</w:t>
      </w:r>
      <w:r w:rsidRPr="00690776">
        <w:t xml:space="preserve"> = </w:t>
      </w:r>
      <m:oMath>
        <m:f>
          <m:fPr>
            <m:ctrlPr>
              <w:rPr>
                <w:rFonts w:ascii="Cambria Math" w:hAnsi="Cambria Math"/>
                <w:i/>
              </w:rPr>
            </m:ctrlPr>
          </m:fPr>
          <m:num>
            <m:r>
              <w:rPr>
                <w:rFonts w:ascii="Cambria Math" w:hAnsi="Cambria Math"/>
              </w:rPr>
              <m:t>Market Value of Assets-Liabilities-Management Costs</m:t>
            </m:r>
          </m:num>
          <m:den>
            <m:r>
              <w:rPr>
                <w:rFonts w:ascii="Cambria Math" w:hAnsi="Cambria Math"/>
              </w:rPr>
              <m:t>Shares Outstanding</m:t>
            </m:r>
          </m:den>
        </m:f>
      </m:oMath>
      <w:r w:rsidRPr="00690776">
        <w:rPr>
          <w:rFonts w:eastAsiaTheme="minorEastAsia"/>
        </w:rPr>
        <w:t xml:space="preserve">    </w:t>
      </w:r>
      <w:r w:rsidR="00F3728A">
        <w:rPr>
          <w:rFonts w:eastAsiaTheme="minorEastAsia"/>
        </w:rPr>
        <w:t xml:space="preserve">   </w:t>
      </w:r>
      <w:r w:rsidR="00D501C1">
        <w:rPr>
          <w:rFonts w:eastAsiaTheme="minorEastAsia"/>
        </w:rPr>
        <w:t xml:space="preserve"> </w:t>
      </w:r>
      <w:r w:rsidR="00F3728A">
        <w:rPr>
          <w:rFonts w:eastAsiaTheme="minorEastAsia"/>
        </w:rPr>
        <w:t xml:space="preserve">   </w:t>
      </w:r>
      <w:r w:rsidR="00736826">
        <w:rPr>
          <w:rFonts w:eastAsiaTheme="minorEastAsia"/>
        </w:rPr>
        <w:t xml:space="preserve">  </w:t>
      </w:r>
      <w:r w:rsidRPr="00690776">
        <w:rPr>
          <w:rFonts w:eastAsiaTheme="minorEastAsia"/>
        </w:rPr>
        <w:t>(</w:t>
      </w:r>
      <w:r w:rsidR="00736826">
        <w:rPr>
          <w:rFonts w:eastAsiaTheme="minorEastAsia"/>
        </w:rPr>
        <w:t>8</w:t>
      </w:r>
      <w:r w:rsidRPr="00690776">
        <w:rPr>
          <w:rFonts w:eastAsiaTheme="minorEastAsia"/>
        </w:rPr>
        <w:t>)</w:t>
      </w:r>
    </w:p>
    <w:p w:rsidR="00CB7452" w:rsidRPr="00690776" w:rsidRDefault="00CB7452" w:rsidP="00CB7452">
      <w:pPr>
        <w:shd w:val="clear" w:color="auto" w:fill="FFFFFF"/>
        <w:spacing w:after="240"/>
        <w:jc w:val="both"/>
        <w:rPr>
          <w:rFonts w:eastAsia="Times New Roman" w:cs="Times New Roman"/>
          <w:szCs w:val="24"/>
          <w:lang w:eastAsia="en-GB"/>
        </w:rPr>
      </w:pPr>
      <w:r w:rsidRPr="00690776">
        <w:rPr>
          <w:rFonts w:eastAsia="Times New Roman" w:cs="Times New Roman"/>
          <w:szCs w:val="24"/>
          <w:lang w:eastAsia="en-GB"/>
        </w:rPr>
        <w:t xml:space="preserve">The basic HFR NAV index is 1000 and represents the value of the first day of trading. HFR’s NAV index change is calculated from the percentage change from </w:t>
      </w:r>
      <w:r w:rsidRPr="00690776">
        <w:rPr>
          <w:rFonts w:eastAsia="Times New Roman" w:cs="Times New Roman"/>
          <w:i/>
          <w:szCs w:val="24"/>
          <w:lang w:eastAsia="en-GB"/>
        </w:rPr>
        <w:t>t</w:t>
      </w:r>
      <w:r w:rsidRPr="00690776">
        <w:rPr>
          <w:rFonts w:eastAsia="Times New Roman" w:cs="Times New Roman"/>
          <w:szCs w:val="24"/>
          <w:lang w:eastAsia="en-GB"/>
        </w:rPr>
        <w:t xml:space="preserve"> to </w:t>
      </w:r>
      <w:r w:rsidRPr="00690776">
        <w:rPr>
          <w:rFonts w:eastAsia="Times New Roman" w:cs="Times New Roman"/>
          <w:i/>
          <w:szCs w:val="24"/>
          <w:lang w:eastAsia="en-GB"/>
        </w:rPr>
        <w:t>t+1</w:t>
      </w:r>
      <w:r w:rsidRPr="00690776">
        <w:rPr>
          <w:rFonts w:eastAsia="Times New Roman" w:cs="Times New Roman"/>
          <w:szCs w:val="24"/>
          <w:lang w:eastAsia="en-GB"/>
        </w:rPr>
        <w:t xml:space="preserve">, and this change depends on the weighted change of all fund-specific NAVs. </w:t>
      </w:r>
    </w:p>
    <w:p w:rsidR="00CB7452" w:rsidRPr="00690776" w:rsidRDefault="00CB7452" w:rsidP="00CB7452">
      <w:pPr>
        <w:shd w:val="clear" w:color="auto" w:fill="FFFFFF"/>
        <w:spacing w:after="240"/>
        <w:jc w:val="both"/>
        <w:rPr>
          <w:rFonts w:eastAsia="Times New Roman" w:cs="Times New Roman"/>
          <w:szCs w:val="24"/>
          <w:lang w:eastAsia="en-GB"/>
        </w:rPr>
      </w:pPr>
      <w:r w:rsidRPr="00690776">
        <w:rPr>
          <w:rFonts w:eastAsia="Times New Roman" w:cs="Times New Roman"/>
          <w:szCs w:val="24"/>
          <w:lang w:eastAsia="en-GB"/>
        </w:rPr>
        <w:t xml:space="preserve">We now describe briefly how the global HFRX index, the single strategy index, and the weighted strategy index are structured. The index is organized as a tree structure. The HFRX Global Hedge Fund Index is constituted from other single strategy indices such as the Equity Hedge Fund Index, the Event Driven Hedge Fund Index, the Macro Hedge Fund Index and the Relative Value Arbitrage Hedge Fund Index. These represent the four basic categories according to HFR. The weights of each strategy are given by its assets under management in the fund universe as contained in the HFR database. We then move one level lower, to the HFRX Single (broader) Strategy Indices. Each index is represented by one of the above four categories. Each single (broader) strategy index is composed by the eligible sub-strategy indices that underlie that strategy. </w:t>
      </w:r>
    </w:p>
    <w:p w:rsidR="00A6696C" w:rsidRPr="001D0001" w:rsidRDefault="00A6696C" w:rsidP="001D0001">
      <w:pPr>
        <w:pStyle w:val="Heading1"/>
      </w:pPr>
      <w:r w:rsidRPr="001D0001">
        <w:t>Hedge Fund Index Construction: S&amp;P Case</w:t>
      </w:r>
    </w:p>
    <w:p w:rsidR="000A09EF" w:rsidRPr="000A17AB" w:rsidRDefault="000A09EF" w:rsidP="000A09EF">
      <w:pPr>
        <w:jc w:val="both"/>
        <w:rPr>
          <w:b/>
        </w:rPr>
      </w:pPr>
      <w:r w:rsidRPr="00A64BFC">
        <w:t xml:space="preserve">The S&amp;P Hedge Fund Index is composed of three </w:t>
      </w:r>
      <w:r w:rsidR="00BF5703">
        <w:rPr>
          <w:rFonts w:cs="Times New Roman"/>
          <w:color w:val="222222"/>
          <w:szCs w:val="24"/>
          <w:shd w:val="clear" w:color="auto" w:fill="FFFFFF"/>
        </w:rPr>
        <w:t>HF</w:t>
      </w:r>
      <w:r w:rsidR="00BF5703" w:rsidRPr="00A64BFC">
        <w:t xml:space="preserve"> </w:t>
      </w:r>
      <w:r w:rsidRPr="00A64BFC">
        <w:t xml:space="preserve">styles. Those are Arbitrage, Event-Driven, and Directional/Tactical. Each style is composed of </w:t>
      </w:r>
      <w:r w:rsidR="00826679" w:rsidRPr="00A64BFC">
        <w:t>various strategies</w:t>
      </w:r>
      <w:r w:rsidR="004A1FC4" w:rsidRPr="00A64BFC">
        <w:t xml:space="preserve"> in a tree structure similar to the HFR.</w:t>
      </w:r>
      <w:r w:rsidR="00826679" w:rsidRPr="00A64BFC">
        <w:t xml:space="preserve"> </w:t>
      </w:r>
      <w:r>
        <w:t xml:space="preserve">The </w:t>
      </w:r>
      <w:r w:rsidR="0023669E">
        <w:t>i</w:t>
      </w:r>
      <w:r>
        <w:t xml:space="preserve">ndex construction </w:t>
      </w:r>
      <w:r w:rsidRPr="005409B8">
        <w:rPr>
          <w:i/>
        </w:rPr>
        <w:t>equally weights</w:t>
      </w:r>
      <w:r w:rsidRPr="005409B8">
        <w:t xml:space="preserve"> the</w:t>
      </w:r>
      <w:r>
        <w:t xml:space="preserve"> </w:t>
      </w:r>
      <w:r>
        <w:lastRenderedPageBreak/>
        <w:t xml:space="preserve">styles and strategies, and uses a rigorous quantitative and qualitative approach so as to select the appropriate funds. The whole index engineering process considers three complementary procedures. </w:t>
      </w:r>
    </w:p>
    <w:p w:rsidR="000A09EF" w:rsidRDefault="000A09EF" w:rsidP="000A09EF">
      <w:pPr>
        <w:jc w:val="both"/>
      </w:pPr>
      <w:r>
        <w:t xml:space="preserve">The </w:t>
      </w:r>
      <w:r w:rsidRPr="0048682E">
        <w:rPr>
          <w:i/>
        </w:rPr>
        <w:t>first procedure</w:t>
      </w:r>
      <w:r>
        <w:t xml:space="preserve"> has to do with the number of funds that is required in order to build a representative and investable index. S&amp;P appl</w:t>
      </w:r>
      <w:r w:rsidR="0023669E">
        <w:t>y</w:t>
      </w:r>
      <w:r>
        <w:t xml:space="preserve"> </w:t>
      </w:r>
      <w:r w:rsidRPr="00D43A4C">
        <w:rPr>
          <w:i/>
        </w:rPr>
        <w:t>stratified sampling</w:t>
      </w:r>
      <w:r>
        <w:t xml:space="preserve"> and </w:t>
      </w:r>
      <w:r w:rsidRPr="00D43A4C">
        <w:rPr>
          <w:i/>
        </w:rPr>
        <w:t>bootstrap simulation techniques</w:t>
      </w:r>
      <w:r>
        <w:t xml:space="preserve"> and have concluded that a fund sample consisting of approximately thirty or forty funds corresponds sufficiently to the risk/return characteristics of a wider portfolio of funds. </w:t>
      </w:r>
    </w:p>
    <w:p w:rsidR="000A09EF" w:rsidRDefault="000A09EF" w:rsidP="000A09EF">
      <w:pPr>
        <w:jc w:val="both"/>
      </w:pPr>
      <w:r>
        <w:t xml:space="preserve">The </w:t>
      </w:r>
      <w:r w:rsidRPr="0048682E">
        <w:rPr>
          <w:i/>
        </w:rPr>
        <w:t>second procedure</w:t>
      </w:r>
      <w:r>
        <w:t xml:space="preserve"> settles on a specific universe (pool) of appropriate candidates in order to be included in the index. This process begins by examining the strategy consistency of each fund through screening the fund sample for self-reporting bias and inconsistencies. The screening process may take into consideration style classification that uses two common quantitative approaches: </w:t>
      </w:r>
      <w:r w:rsidRPr="00A07423">
        <w:rPr>
          <w:i/>
        </w:rPr>
        <w:t xml:space="preserve">Fundamental Style </w:t>
      </w:r>
      <w:r>
        <w:rPr>
          <w:i/>
        </w:rPr>
        <w:t>A</w:t>
      </w:r>
      <w:r w:rsidRPr="00A07423">
        <w:rPr>
          <w:i/>
        </w:rPr>
        <w:t>nalysis</w:t>
      </w:r>
      <w:r>
        <w:t xml:space="preserve"> and </w:t>
      </w:r>
      <w:r w:rsidRPr="00A07423">
        <w:rPr>
          <w:i/>
        </w:rPr>
        <w:t>Return-based Analysis</w:t>
      </w:r>
      <w:r>
        <w:t xml:space="preserve">. </w:t>
      </w:r>
      <w:r w:rsidRPr="00694141">
        <w:t xml:space="preserve">The process is essential so as to </w:t>
      </w:r>
      <w:r>
        <w:t>produce</w:t>
      </w:r>
      <w:r w:rsidRPr="00694141">
        <w:t xml:space="preserve"> a pool </w:t>
      </w:r>
      <w:r w:rsidR="00605977">
        <w:t xml:space="preserve">that is </w:t>
      </w:r>
      <w:r w:rsidRPr="00694141">
        <w:t xml:space="preserve">cohesively </w:t>
      </w:r>
      <w:r>
        <w:t>characterized</w:t>
      </w:r>
      <w:r w:rsidRPr="00694141">
        <w:t xml:space="preserve"> in terms of styles and strategies</w:t>
      </w:r>
      <w:r>
        <w:t xml:space="preserve">. Then this pool is additionally screened according to length of track record, investment capacity and assets under management in order to confirm that it is investable. </w:t>
      </w:r>
    </w:p>
    <w:p w:rsidR="000A09EF" w:rsidRDefault="000A09EF" w:rsidP="000A09EF">
      <w:pPr>
        <w:jc w:val="both"/>
      </w:pPr>
      <w:r>
        <w:t xml:space="preserve">The </w:t>
      </w:r>
      <w:r w:rsidRPr="00823B04">
        <w:rPr>
          <w:i/>
        </w:rPr>
        <w:t>third procedure</w:t>
      </w:r>
      <w:r>
        <w:t xml:space="preserve"> is the </w:t>
      </w:r>
      <w:r w:rsidRPr="00D670FB">
        <w:rPr>
          <w:i/>
        </w:rPr>
        <w:t>due diligence process</w:t>
      </w:r>
      <w:r>
        <w:t>. S</w:t>
      </w:r>
      <w:r w:rsidR="00BE6945">
        <w:t>&amp;P</w:t>
      </w:r>
      <w:r>
        <w:t xml:space="preserve"> uses the due diligence process to qualitatively </w:t>
      </w:r>
      <w:proofErr w:type="spellStart"/>
      <w:r w:rsidR="002E2A9F">
        <w:t>analyze</w:t>
      </w:r>
      <w:proofErr w:type="spellEnd"/>
      <w:r>
        <w:t xml:space="preserve"> the candidates for the index </w:t>
      </w:r>
      <w:r w:rsidR="00BF5703">
        <w:t>HFs</w:t>
      </w:r>
      <w:r>
        <w:t xml:space="preserve"> </w:t>
      </w:r>
      <w:r w:rsidR="00605977">
        <w:t>T</w:t>
      </w:r>
      <w:r>
        <w:t xml:space="preserve">his process verifies the management and investment policy, operational capabilities and management experience. Consequently, </w:t>
      </w:r>
      <w:r w:rsidR="00605977">
        <w:t xml:space="preserve">having gone through </w:t>
      </w:r>
      <w:r>
        <w:t>this process the remaining funds are investable and have passed the due diligence evaluation.</w:t>
      </w:r>
    </w:p>
    <w:p w:rsidR="000A09EF" w:rsidRDefault="000A09EF" w:rsidP="000A09EF">
      <w:pPr>
        <w:jc w:val="both"/>
      </w:pPr>
      <w:r>
        <w:t xml:space="preserve">The </w:t>
      </w:r>
      <w:r w:rsidRPr="00823B04">
        <w:rPr>
          <w:i/>
        </w:rPr>
        <w:t>fo</w:t>
      </w:r>
      <w:r>
        <w:rPr>
          <w:i/>
        </w:rPr>
        <w:t>u</w:t>
      </w:r>
      <w:r w:rsidRPr="00823B04">
        <w:rPr>
          <w:i/>
        </w:rPr>
        <w:t>rth procedure</w:t>
      </w:r>
      <w:r>
        <w:t xml:space="preserve"> is to apply an equal weight of styles and strategies, providing investors with broad diversification across major </w:t>
      </w:r>
      <w:r w:rsidR="00BF5703">
        <w:rPr>
          <w:rFonts w:cs="Times New Roman"/>
          <w:color w:val="222222"/>
          <w:szCs w:val="24"/>
          <w:shd w:val="clear" w:color="auto" w:fill="FFFFFF"/>
        </w:rPr>
        <w:t>HF</w:t>
      </w:r>
      <w:r w:rsidR="00BF5703">
        <w:t xml:space="preserve"> </w:t>
      </w:r>
      <w:r>
        <w:t xml:space="preserve">strategies. The index provider ensures that there is a completely clear and public annual announcement regarding potential construction methodology changes and index rebalances to equal weights. </w:t>
      </w:r>
    </w:p>
    <w:p w:rsidR="000A09EF" w:rsidRPr="00E626C7" w:rsidRDefault="000A09EF" w:rsidP="000A09EF">
      <w:pPr>
        <w:jc w:val="both"/>
      </w:pPr>
      <w:r w:rsidRPr="00E626C7">
        <w:t xml:space="preserve">According to S&amp;P a portfolio of </w:t>
      </w:r>
      <w:r w:rsidR="00136E0B" w:rsidRPr="00E626C7">
        <w:t>30 or 40</w:t>
      </w:r>
      <w:r w:rsidRPr="00E626C7">
        <w:t xml:space="preserve"> randomly selected funds has a stabil</w:t>
      </w:r>
      <w:r w:rsidR="0023669E" w:rsidRPr="00E626C7">
        <w:t>e</w:t>
      </w:r>
      <w:r w:rsidRPr="00E626C7">
        <w:t xml:space="preserve"> distribution of risk and return characteristics. However, the range of these characteristics is wide. If there are two portfolios of funds (each containing twenty </w:t>
      </w:r>
      <w:r w:rsidRPr="00E626C7">
        <w:lastRenderedPageBreak/>
        <w:t>random</w:t>
      </w:r>
      <w:r w:rsidR="00605977" w:rsidRPr="00E626C7">
        <w:t>ly</w:t>
      </w:r>
      <w:r w:rsidRPr="00E626C7">
        <w:t xml:space="preserve"> selected funds) there </w:t>
      </w:r>
      <w:r w:rsidR="0023669E" w:rsidRPr="00E626C7">
        <w:t>may be a large</w:t>
      </w:r>
      <w:r w:rsidRPr="00E626C7">
        <w:t xml:space="preserve"> difference in risk and return characteristics due to different risk exposures. To eliminate the effect of wide distribution of returns and risks in a </w:t>
      </w:r>
      <w:r w:rsidR="00BF5703">
        <w:rPr>
          <w:rFonts w:cs="Times New Roman"/>
          <w:color w:val="222222"/>
          <w:szCs w:val="24"/>
          <w:shd w:val="clear" w:color="auto" w:fill="FFFFFF"/>
        </w:rPr>
        <w:t>HF</w:t>
      </w:r>
      <w:r w:rsidR="00BF5703" w:rsidRPr="00E626C7">
        <w:t xml:space="preserve"> </w:t>
      </w:r>
      <w:r w:rsidRPr="00E626C7">
        <w:t xml:space="preserve">portfolio, S&amp;P used the </w:t>
      </w:r>
      <w:r w:rsidRPr="00E626C7">
        <w:rPr>
          <w:i/>
        </w:rPr>
        <w:t>stratified sampling technique</w:t>
      </w:r>
      <w:r w:rsidRPr="00E626C7">
        <w:t xml:space="preserve"> in order to build </w:t>
      </w:r>
      <w:r w:rsidR="00BF5703">
        <w:rPr>
          <w:rFonts w:cs="Times New Roman"/>
          <w:color w:val="222222"/>
          <w:szCs w:val="24"/>
          <w:shd w:val="clear" w:color="auto" w:fill="FFFFFF"/>
        </w:rPr>
        <w:t>HF</w:t>
      </w:r>
      <w:r w:rsidR="00BF5703" w:rsidRPr="00E626C7">
        <w:t xml:space="preserve"> </w:t>
      </w:r>
      <w:r w:rsidRPr="00E626C7">
        <w:t>portfolios with balanced risk exposures to tighten the return-risk characteristics.</w:t>
      </w:r>
    </w:p>
    <w:p w:rsidR="000A09EF" w:rsidRPr="00E626C7" w:rsidRDefault="000A09EF" w:rsidP="000A09EF">
      <w:pPr>
        <w:jc w:val="both"/>
      </w:pPr>
      <w:r w:rsidRPr="00E626C7">
        <w:t>The first step in the stratifying sample application is to identify the risk dimensions</w:t>
      </w:r>
      <w:r w:rsidR="00694658">
        <w:t xml:space="preserve"> by using</w:t>
      </w:r>
      <w:r w:rsidRPr="00E626C7">
        <w:t xml:space="preserve"> two approaches: first it examines the systematic market exposures of a particular investment doctrine and second, it statistically examines the returns history of particular investments. Under the first approach, one could allocate investments to style classifications. This is simple but may be inconsistent because hedge funds’ style classifications are made by fund managers. As a result, there might be some biases or inconsistencies.  Concerning the second approach, it is stricter but it suffers from the typical problems when dealing w</w:t>
      </w:r>
      <w:r w:rsidR="00C63712">
        <w:t>ith historical returns analysis</w:t>
      </w:r>
      <w:r w:rsidRPr="00E626C7">
        <w:t xml:space="preserve"> as well as translating the analysis into a transparent investment process.</w:t>
      </w:r>
    </w:p>
    <w:p w:rsidR="00B60C38" w:rsidRDefault="000A09EF" w:rsidP="000A09EF">
      <w:pPr>
        <w:jc w:val="both"/>
      </w:pPr>
      <w:r w:rsidRPr="00E626C7">
        <w:t xml:space="preserve">Hence these two approaches constitute pools of single-strategy funds. As mentioned before they categorize </w:t>
      </w:r>
      <w:r w:rsidR="00BF5703">
        <w:t>HFs</w:t>
      </w:r>
      <w:r w:rsidRPr="00E626C7">
        <w:t xml:space="preserve"> in</w:t>
      </w:r>
      <w:r w:rsidR="00605977" w:rsidRPr="00E626C7">
        <w:t>to</w:t>
      </w:r>
      <w:r w:rsidRPr="00E626C7">
        <w:t xml:space="preserve"> three general styles. Those are Arbitrage, Event-Driven, and Directional/Tactical. Every style is composed of three strategies. Consequently, there are in total nine strategies that describe almost completely the investment styles and asset classes. </w:t>
      </w:r>
    </w:p>
    <w:p w:rsidR="000A09EF" w:rsidRPr="00E626C7" w:rsidRDefault="000A09EF" w:rsidP="000A09EF">
      <w:pPr>
        <w:jc w:val="both"/>
      </w:pPr>
      <w:r w:rsidRPr="00E626C7">
        <w:t xml:space="preserve">The second step in stratified sampling is to investigate the cohesiveness of each of the nine samples. Due to the fact that there is no consistency in style reporting, funds from different strategy groups are mixed so that the cross-section of return dispersion is high within these strategies. Also, because there is a wide spectrum of returns there is a need for a relatively large sample of funds in order to have an appropriate level of sampling precision. To enhance strategy cohesiveness there are four quantitative screens:     </w:t>
      </w:r>
    </w:p>
    <w:p w:rsidR="000A09EF" w:rsidRPr="00E626C7" w:rsidRDefault="000A09EF" w:rsidP="000A09EF">
      <w:pPr>
        <w:pStyle w:val="ListParagraph"/>
        <w:numPr>
          <w:ilvl w:val="0"/>
          <w:numId w:val="2"/>
        </w:numPr>
        <w:jc w:val="both"/>
      </w:pPr>
      <w:r w:rsidRPr="00E626C7">
        <w:lastRenderedPageBreak/>
        <w:t>For each fund of S&amp;P’s database they compare two correlation distributions</w:t>
      </w:r>
      <w:r w:rsidR="001545C6" w:rsidRPr="00E626C7">
        <w:rPr>
          <w:rStyle w:val="FootnoteReference"/>
        </w:rPr>
        <w:footnoteReference w:id="4"/>
      </w:r>
      <w:r w:rsidRPr="00E626C7">
        <w:t xml:space="preserve"> regarding returns. The first is correlation distributions with funds in the same industry and the second is correlation distributions with funds in all </w:t>
      </w:r>
      <w:r w:rsidRPr="00E626C7">
        <w:rPr>
          <w:i/>
        </w:rPr>
        <w:t>other</w:t>
      </w:r>
      <w:r w:rsidRPr="00E626C7">
        <w:t xml:space="preserve"> strategies. Then using the Kolmogorov-Smirnov Test, they test whether the two distributions are different.</w:t>
      </w:r>
    </w:p>
    <w:p w:rsidR="000A09EF" w:rsidRPr="00E626C7" w:rsidRDefault="000A09EF" w:rsidP="000A09EF">
      <w:pPr>
        <w:pStyle w:val="ListParagraph"/>
        <w:numPr>
          <w:ilvl w:val="0"/>
          <w:numId w:val="2"/>
        </w:numPr>
        <w:jc w:val="both"/>
      </w:pPr>
      <w:r w:rsidRPr="00E626C7">
        <w:t xml:space="preserve">The next quantitative screen, after having tested that the two distributions are different, is to examine whether the median of the correlation distribution of funds within the same strategy is </w:t>
      </w:r>
      <w:r w:rsidRPr="00E626C7">
        <w:rPr>
          <w:i/>
        </w:rPr>
        <w:t>greater</w:t>
      </w:r>
      <w:r w:rsidRPr="00E626C7">
        <w:t xml:space="preserve"> than the median of the correlation distribution of funds in all </w:t>
      </w:r>
      <w:r w:rsidRPr="00E626C7">
        <w:rPr>
          <w:i/>
        </w:rPr>
        <w:t>other</w:t>
      </w:r>
      <w:r w:rsidRPr="00E626C7">
        <w:t xml:space="preserve"> strategies.</w:t>
      </w:r>
    </w:p>
    <w:p w:rsidR="000A09EF" w:rsidRPr="00E626C7" w:rsidRDefault="000A09EF" w:rsidP="000A09EF">
      <w:pPr>
        <w:pStyle w:val="ListParagraph"/>
        <w:numPr>
          <w:ilvl w:val="0"/>
          <w:numId w:val="2"/>
        </w:numPr>
        <w:jc w:val="both"/>
      </w:pPr>
      <w:r w:rsidRPr="00E626C7">
        <w:t xml:space="preserve">The next quantitative screen is to compare the degree of (return) correlation of each individual fund within the same group with other </w:t>
      </w:r>
      <w:r w:rsidR="00BF5703">
        <w:rPr>
          <w:rFonts w:cs="Times New Roman"/>
          <w:color w:val="222222"/>
          <w:szCs w:val="24"/>
          <w:shd w:val="clear" w:color="auto" w:fill="FFFFFF"/>
        </w:rPr>
        <w:t>HF</w:t>
      </w:r>
      <w:r w:rsidR="00BF5703" w:rsidRPr="00E626C7">
        <w:t xml:space="preserve"> </w:t>
      </w:r>
      <w:r w:rsidRPr="00E626C7">
        <w:t>indices of similar strategy they want to examine.</w:t>
      </w:r>
    </w:p>
    <w:p w:rsidR="000A09EF" w:rsidRPr="00E626C7" w:rsidRDefault="000A09EF" w:rsidP="000A09EF">
      <w:pPr>
        <w:pStyle w:val="ListParagraph"/>
        <w:numPr>
          <w:ilvl w:val="0"/>
          <w:numId w:val="2"/>
        </w:numPr>
        <w:jc w:val="both"/>
      </w:pPr>
      <w:r w:rsidRPr="00E626C7">
        <w:t xml:space="preserve">The last quantitative screen is to compare the standard deviation of </w:t>
      </w:r>
      <w:r w:rsidR="0023669E" w:rsidRPr="00E626C7">
        <w:t>e</w:t>
      </w:r>
      <w:r w:rsidRPr="00E626C7">
        <w:t>a</w:t>
      </w:r>
      <w:r w:rsidR="0023669E" w:rsidRPr="00E626C7">
        <w:t>ch</w:t>
      </w:r>
      <w:r w:rsidRPr="00E626C7">
        <w:t xml:space="preserve"> fund to its peer group. </w:t>
      </w:r>
    </w:p>
    <w:p w:rsidR="000A09EF" w:rsidRPr="00E626C7" w:rsidRDefault="000A09EF" w:rsidP="00677FC0">
      <w:pPr>
        <w:jc w:val="both"/>
      </w:pPr>
      <w:r w:rsidRPr="00E626C7">
        <w:t xml:space="preserve">In order to cross-validate the statistical consistency of the nine strategy groups (quantitative screen (ii) above) S&amp;P use </w:t>
      </w:r>
      <w:r w:rsidRPr="00E626C7">
        <w:rPr>
          <w:i/>
        </w:rPr>
        <w:t>ANOVA</w:t>
      </w:r>
      <w:r w:rsidRPr="00E626C7">
        <w:t xml:space="preserve"> (analysis of variance). Its principle is to examine whether the standardized distance within groups is less than the standardised distance between groups</w:t>
      </w:r>
      <w:r w:rsidR="00677FC0">
        <w:t xml:space="preserve">. </w:t>
      </w:r>
      <w:r w:rsidRPr="00E626C7">
        <w:t>ANOVA (S&amp;P) and correlation analysis/distance (HFR) produce similar results, i.e. they cluster funds in a similar way</w:t>
      </w:r>
      <w:r w:rsidR="000A17AB">
        <w:t xml:space="preserve"> (see section 4)</w:t>
      </w:r>
      <w:r w:rsidRPr="00E626C7">
        <w:t>.</w:t>
      </w:r>
    </w:p>
    <w:p w:rsidR="000A09EF" w:rsidRDefault="000A09EF" w:rsidP="000A09EF">
      <w:pPr>
        <w:ind w:left="60"/>
        <w:jc w:val="both"/>
      </w:pPr>
      <w:r>
        <w:t xml:space="preserve">To summarize, the construction of the index is begun by calculating the aggregate score of a fund followed by the four quantitative screenings above. The first two calculate whether the correlations of fund returns with other funds in the industry are different from correlations with funds in other strategies. The third statistic measures the correlation of the fund return with the proper </w:t>
      </w:r>
      <w:r w:rsidR="00BF5703">
        <w:t>HF</w:t>
      </w:r>
      <w:r>
        <w:t xml:space="preserve"> sub-index. The fourth statistic compares the risk of a fund to the risk of other equivalent funds as they can be observed by the historical volatility.  </w:t>
      </w:r>
    </w:p>
    <w:p w:rsidR="000A09EF" w:rsidRPr="00E4438D" w:rsidRDefault="000A09EF" w:rsidP="000A09EF">
      <w:pPr>
        <w:ind w:left="60"/>
        <w:jc w:val="both"/>
      </w:pPr>
      <w:r w:rsidRPr="009F4231">
        <w:t xml:space="preserve">To find out the number of funds that are needed in order to represent a strategy for the general index construction, a simulation is needed. For each strategy S&amp;P run 600 </w:t>
      </w:r>
      <w:r w:rsidRPr="009F4231">
        <w:lastRenderedPageBreak/>
        <w:t xml:space="preserve">simulations, that is, 100 each for samples ranging from one to six funds. They use the simulated bootstrap model for which there is repeated random resampling from the original sample, using each </w:t>
      </w:r>
      <w:r w:rsidR="00F0337C" w:rsidRPr="009F4231">
        <w:t>bootstrapped</w:t>
      </w:r>
      <w:r w:rsidRPr="009F4231">
        <w:t xml:space="preserve"> sample to compute a statistic. The resulting empirical distribution of that statistic (in this case return dispersion as the number of funds increases within a certain group-strategy) is then examined and interpreted as an approximation to the true sampling distribution. </w:t>
      </w:r>
      <w:r w:rsidR="00CB4ABF">
        <w:t>S&amp;P</w:t>
      </w:r>
      <w:r w:rsidR="00150F91" w:rsidRPr="00E4438D">
        <w:t xml:space="preserve"> found that </w:t>
      </w:r>
      <w:r w:rsidR="001545C6">
        <w:t>three</w:t>
      </w:r>
      <w:r w:rsidR="00150F91" w:rsidRPr="00E4438D">
        <w:t xml:space="preserve"> to </w:t>
      </w:r>
      <w:r w:rsidR="001545C6">
        <w:t>five</w:t>
      </w:r>
      <w:r w:rsidR="00150F91" w:rsidRPr="00E4438D">
        <w:t xml:space="preserve"> funds per strategy </w:t>
      </w:r>
      <w:r w:rsidR="00CB4ABF">
        <w:t xml:space="preserve">(each of the three broader styles consists of three strategies) </w:t>
      </w:r>
      <w:r w:rsidR="00150F91" w:rsidRPr="00E4438D">
        <w:t xml:space="preserve">is a sufficient number to express the return distribution between funds. </w:t>
      </w:r>
    </w:p>
    <w:p w:rsidR="000A09EF" w:rsidRDefault="000A09EF" w:rsidP="00E4438D">
      <w:pPr>
        <w:ind w:left="60"/>
        <w:jc w:val="both"/>
      </w:pPr>
      <w:r w:rsidRPr="00E4438D">
        <w:t>The appropriate number of funds chosen per strategy is based on a quantitative evaluation of the simulation res</w:t>
      </w:r>
      <w:r w:rsidR="00CD40C2">
        <w:t>ults as well as the number of sub-strategies</w:t>
      </w:r>
      <w:r w:rsidRPr="00E4438D">
        <w:t xml:space="preserve"> within each strategy. </w:t>
      </w:r>
      <w:r w:rsidR="00FF12BF">
        <w:t xml:space="preserve">S&amp;P found </w:t>
      </w:r>
      <w:r w:rsidRPr="00E4438D">
        <w:t xml:space="preserve">that portfolios of 30 to 40 funds based on quantitative techniques </w:t>
      </w:r>
      <w:r w:rsidR="00BE21FC">
        <w:t>sufficient</w:t>
      </w:r>
      <w:r w:rsidR="00FF12BF">
        <w:t>ly</w:t>
      </w:r>
      <w:r w:rsidR="00BE21FC">
        <w:t xml:space="preserve"> </w:t>
      </w:r>
      <w:r w:rsidRPr="00E4438D">
        <w:t>narrow</w:t>
      </w:r>
      <w:r w:rsidR="00FF12BF">
        <w:t>ed</w:t>
      </w:r>
      <w:r w:rsidRPr="00E4438D">
        <w:t xml:space="preserve"> the range of risk/return characteristics</w:t>
      </w:r>
      <w:r w:rsidR="00FF12BF">
        <w:t>, but that more funds did not narrow it significantly further</w:t>
      </w:r>
      <w:r w:rsidRPr="00E4438D">
        <w:t>. Also, stratified sampling facilitates further narrowing of the spectrum of standard deviations, returns, and correlations with well-established asset classes.</w:t>
      </w:r>
    </w:p>
    <w:p w:rsidR="000A09EF" w:rsidRPr="009B1314" w:rsidRDefault="000A09EF" w:rsidP="0023669E">
      <w:pPr>
        <w:ind w:left="60"/>
        <w:jc w:val="both"/>
        <w:rPr>
          <w:color w:val="FF0000"/>
        </w:rPr>
      </w:pPr>
      <w:r>
        <w:t xml:space="preserve">So far we have described the quantitative screening of </w:t>
      </w:r>
      <w:r w:rsidR="00BF5703">
        <w:t>HFs</w:t>
      </w:r>
      <w:r>
        <w:t xml:space="preserve"> as well as the quantitative method used in order to have the appropriate number (a target) of funds that will constitute the S&amp;P HFI (first and second procedure</w:t>
      </w:r>
      <w:r w:rsidR="00521FA8">
        <w:t>s</w:t>
      </w:r>
      <w:r>
        <w:t xml:space="preserve">). </w:t>
      </w:r>
      <w:r w:rsidR="00521FA8">
        <w:t>T</w:t>
      </w:r>
      <w:r>
        <w:t xml:space="preserve">he initial candidate pool consists of funds that have the highest quantitative scores within each strategy. The third process is </w:t>
      </w:r>
      <w:r w:rsidRPr="00AC6972">
        <w:rPr>
          <w:i/>
        </w:rPr>
        <w:t>Due Diligence</w:t>
      </w:r>
      <w:r>
        <w:t xml:space="preserve">. </w:t>
      </w:r>
      <w:r w:rsidR="008D7166">
        <w:t>S&amp;P’s d</w:t>
      </w:r>
      <w:r>
        <w:t xml:space="preserve">ue </w:t>
      </w:r>
      <w:r w:rsidR="008D7166">
        <w:t>d</w:t>
      </w:r>
      <w:r>
        <w:t xml:space="preserve">iligence </w:t>
      </w:r>
      <w:r w:rsidR="0051700B">
        <w:t>p</w:t>
      </w:r>
      <w:r>
        <w:t xml:space="preserve">rocess </w:t>
      </w:r>
      <w:r w:rsidR="0051700B">
        <w:t>is</w:t>
      </w:r>
      <w:r>
        <w:t xml:space="preserve"> described below.</w:t>
      </w:r>
      <w:r w:rsidR="0023669E">
        <w:t xml:space="preserve"> It </w:t>
      </w:r>
      <w:r>
        <w:t xml:space="preserve">consists of three main components and includes interviews with fund managers regarding each fund’s </w:t>
      </w:r>
      <w:r w:rsidRPr="00626449">
        <w:rPr>
          <w:i/>
        </w:rPr>
        <w:t>pure style, trading strategy and practices, infrastructure and operations</w:t>
      </w:r>
      <w:r w:rsidR="00B60C38">
        <w:t>.</w:t>
      </w:r>
    </w:p>
    <w:p w:rsidR="000A09EF" w:rsidRDefault="000A09EF" w:rsidP="000A09EF">
      <w:pPr>
        <w:pStyle w:val="ListParagraph"/>
        <w:numPr>
          <w:ilvl w:val="0"/>
          <w:numId w:val="3"/>
        </w:numPr>
        <w:jc w:val="both"/>
      </w:pPr>
      <w:r>
        <w:t xml:space="preserve">An initial screening of selected funds takes place with sufficiently long track records to provide a preliminary indication of their performance, taking into consideration the assets under management of these funds in order to verify </w:t>
      </w:r>
      <w:r w:rsidR="0047636F">
        <w:t>their</w:t>
      </w:r>
      <w:r>
        <w:t xml:space="preserve"> appeal to investors and the sustainability of their strategy.</w:t>
      </w:r>
    </w:p>
    <w:p w:rsidR="000A09EF" w:rsidRDefault="000A09EF" w:rsidP="000A09EF">
      <w:pPr>
        <w:pStyle w:val="ListParagraph"/>
        <w:numPr>
          <w:ilvl w:val="0"/>
          <w:numId w:val="3"/>
        </w:numPr>
        <w:jc w:val="both"/>
      </w:pPr>
      <w:r>
        <w:t>A preliminary examination of the track record, strategy, operating setup, and personnel is performed. This is designed to identify the quality of management, risk and operational management, strategy implementation and capacity limits.</w:t>
      </w:r>
    </w:p>
    <w:p w:rsidR="000A09EF" w:rsidRDefault="000A09EF" w:rsidP="000A09EF">
      <w:pPr>
        <w:pStyle w:val="ListParagraph"/>
        <w:numPr>
          <w:ilvl w:val="0"/>
          <w:numId w:val="3"/>
        </w:numPr>
        <w:jc w:val="both"/>
      </w:pPr>
      <w:r>
        <w:lastRenderedPageBreak/>
        <w:t>The Due Diligence Process is a continuous process that is able to detect any changes to how the fund is being operated and managed.</w:t>
      </w:r>
    </w:p>
    <w:p w:rsidR="000A09EF" w:rsidRDefault="000A09EF" w:rsidP="000A09EF">
      <w:pPr>
        <w:ind w:left="60"/>
        <w:jc w:val="both"/>
      </w:pPr>
      <w:r>
        <w:t>There are interviews of and questionnaires for fund managers and other key staff with periodic visits. The co</w:t>
      </w:r>
      <w:r w:rsidR="0047636F">
        <w:t>ntent that is investigated is: g</w:t>
      </w:r>
      <w:r>
        <w:t xml:space="preserve">eneral questions regarding the funds, management team backgrounds, investment strategy detailed questions, risk profiles and polices, portfolio construction, systems and infrastructures, service providers, performance analysis, and intensity of strategy cohesiveness. It </w:t>
      </w:r>
      <w:r w:rsidR="0023669E">
        <w:t xml:space="preserve">should be </w:t>
      </w:r>
      <w:r>
        <w:t>clear that S&amp;P follow</w:t>
      </w:r>
      <w:r w:rsidR="0075223B">
        <w:t>s</w:t>
      </w:r>
      <w:r>
        <w:t xml:space="preserve"> a transparent and rigorous methodology in the</w:t>
      </w:r>
      <w:r w:rsidR="0023669E">
        <w:t>ir</w:t>
      </w:r>
      <w:r>
        <w:t xml:space="preserve"> due diligence process.</w:t>
      </w:r>
    </w:p>
    <w:p w:rsidR="000A09EF" w:rsidRDefault="000A09EF" w:rsidP="008D10C3">
      <w:pPr>
        <w:ind w:left="60"/>
        <w:jc w:val="both"/>
      </w:pPr>
      <w:r>
        <w:t xml:space="preserve">At the beginning of this case </w:t>
      </w:r>
      <w:r w:rsidR="005F78BC">
        <w:t xml:space="preserve">we referred to the fact that </w:t>
      </w:r>
      <w:r>
        <w:t>the S&amp;P HFI equally weights styles and the strategies. Contrary to the capitalization-weighted indexes, equal</w:t>
      </w:r>
      <w:r w:rsidR="005F78BC">
        <w:t>ly</w:t>
      </w:r>
      <w:r>
        <w:t xml:space="preserve">-weighted indexes avoid </w:t>
      </w:r>
      <w:r w:rsidR="00F9715C">
        <w:t>favouring</w:t>
      </w:r>
      <w:r>
        <w:t xml:space="preserve"> large funds or strategies that attract noticeable capital flows. Generally, fund-weighted or equal</w:t>
      </w:r>
      <w:r w:rsidR="005F78BC">
        <w:t>ly</w:t>
      </w:r>
      <w:r>
        <w:t xml:space="preserve">-weighted indices, unlike asset-weighted indices, present a broader view concerning the </w:t>
      </w:r>
      <w:r w:rsidR="00BF5703">
        <w:t>HF</w:t>
      </w:r>
      <w:r>
        <w:t xml:space="preserve"> universe. Any biases in favour of larger funds are eliminated because there are no changes in weights. This is </w:t>
      </w:r>
      <w:r w:rsidR="0047636F">
        <w:t>particularly</w:t>
      </w:r>
      <w:r>
        <w:t xml:space="preserve"> important for strategies that contain a relatively small number of funds.</w:t>
      </w:r>
    </w:p>
    <w:p w:rsidR="000A09EF" w:rsidRDefault="000A09EF" w:rsidP="00140DB4">
      <w:pPr>
        <w:jc w:val="both"/>
      </w:pPr>
      <w:r>
        <w:t>After considering via the quantitative and qualitative process the appropriate funds as well their (equal) weights</w:t>
      </w:r>
      <w:r w:rsidR="005F78BC">
        <w:t>,</w:t>
      </w:r>
      <w:r>
        <w:t xml:space="preserve"> the final process is the calculation of the index value. It is calculated through the common NAVs (Net Asset Values) formula of the underlying </w:t>
      </w:r>
      <w:r w:rsidR="00BF5703">
        <w:t>HFs</w:t>
      </w:r>
      <w:r>
        <w:t>.</w:t>
      </w:r>
    </w:p>
    <w:p w:rsidR="000A09EF" w:rsidRPr="00FD124A" w:rsidRDefault="000A09EF" w:rsidP="000A09EF">
      <w:r>
        <w:t xml:space="preserve">Net Asset Value </w:t>
      </w:r>
      <w:r w:rsidRPr="005C4ECE">
        <w:rPr>
          <w:sz w:val="16"/>
          <w:szCs w:val="16"/>
        </w:rPr>
        <w:t>(per share)</w:t>
      </w:r>
      <w:r>
        <w:t xml:space="preserve"> = </w:t>
      </w:r>
      <m:oMath>
        <m:f>
          <m:fPr>
            <m:ctrlPr>
              <w:rPr>
                <w:rFonts w:ascii="Cambria Math" w:hAnsi="Cambria Math"/>
                <w:i/>
              </w:rPr>
            </m:ctrlPr>
          </m:fPr>
          <m:num>
            <m:r>
              <w:rPr>
                <w:rFonts w:ascii="Cambria Math" w:hAnsi="Cambria Math"/>
              </w:rPr>
              <m:t>Market Value of Assets-Liabilities-Management Costs</m:t>
            </m:r>
          </m:num>
          <m:den>
            <m:r>
              <w:rPr>
                <w:rFonts w:ascii="Cambria Math" w:hAnsi="Cambria Math"/>
              </w:rPr>
              <m:t>Shares Outstanding</m:t>
            </m:r>
          </m:den>
        </m:f>
      </m:oMath>
      <w:r>
        <w:rPr>
          <w:rFonts w:eastAsiaTheme="minorEastAsia"/>
        </w:rPr>
        <w:t xml:space="preserve">  </w:t>
      </w:r>
      <w:r w:rsidR="00D648E1">
        <w:rPr>
          <w:rFonts w:eastAsiaTheme="minorEastAsia"/>
        </w:rPr>
        <w:t xml:space="preserve"> </w:t>
      </w:r>
      <w:r w:rsidR="00326FB6">
        <w:rPr>
          <w:rFonts w:eastAsiaTheme="minorEastAsia"/>
        </w:rPr>
        <w:t xml:space="preserve"> </w:t>
      </w:r>
      <w:r w:rsidR="00D648E1">
        <w:rPr>
          <w:rFonts w:eastAsiaTheme="minorEastAsia"/>
        </w:rPr>
        <w:t xml:space="preserve"> </w:t>
      </w:r>
      <w:r w:rsidR="00F9715C">
        <w:rPr>
          <w:rFonts w:eastAsiaTheme="minorEastAsia"/>
        </w:rPr>
        <w:t xml:space="preserve">    </w:t>
      </w:r>
      <w:r w:rsidR="00D501C1">
        <w:rPr>
          <w:rFonts w:eastAsiaTheme="minorEastAsia"/>
        </w:rPr>
        <w:t xml:space="preserve">  </w:t>
      </w:r>
      <w:r w:rsidR="00F9715C">
        <w:rPr>
          <w:rFonts w:eastAsiaTheme="minorEastAsia"/>
        </w:rPr>
        <w:t xml:space="preserve"> </w:t>
      </w:r>
      <w:r w:rsidR="00CB4ABF">
        <w:rPr>
          <w:rFonts w:eastAsiaTheme="minorEastAsia"/>
        </w:rPr>
        <w:t xml:space="preserve"> </w:t>
      </w:r>
      <w:r>
        <w:rPr>
          <w:rFonts w:eastAsiaTheme="minorEastAsia"/>
        </w:rPr>
        <w:t>(</w:t>
      </w:r>
      <w:r w:rsidR="00736826">
        <w:rPr>
          <w:rFonts w:eastAsiaTheme="minorEastAsia"/>
        </w:rPr>
        <w:t>9</w:t>
      </w:r>
      <w:r>
        <w:rPr>
          <w:rFonts w:eastAsiaTheme="minorEastAsia"/>
        </w:rPr>
        <w:t>)</w:t>
      </w:r>
    </w:p>
    <w:p w:rsidR="000A09EF" w:rsidRPr="005C4ECE" w:rsidRDefault="000A09EF" w:rsidP="000A09EF">
      <w:pPr>
        <w:rPr>
          <w:sz w:val="16"/>
          <w:szCs w:val="16"/>
        </w:rPr>
      </w:pPr>
      <w:r>
        <w:t xml:space="preserve">Gross Asset Value </w:t>
      </w:r>
      <w:r w:rsidRPr="00701DA0">
        <w:rPr>
          <w:sz w:val="16"/>
          <w:szCs w:val="16"/>
        </w:rPr>
        <w:t>(per share)</w:t>
      </w:r>
      <w:r>
        <w:t xml:space="preserve"> = </w:t>
      </w:r>
      <m:oMath>
        <m:f>
          <m:fPr>
            <m:ctrlPr>
              <w:rPr>
                <w:rFonts w:ascii="Cambria Math" w:hAnsi="Cambria Math"/>
                <w:i/>
              </w:rPr>
            </m:ctrlPr>
          </m:fPr>
          <m:num>
            <m:r>
              <w:rPr>
                <w:rFonts w:ascii="Cambria Math" w:hAnsi="Cambria Math"/>
              </w:rPr>
              <m:t>Total Value of Assets (excl. liabilities and mgt. costs)</m:t>
            </m:r>
          </m:num>
          <m:den>
            <m:r>
              <w:rPr>
                <w:rFonts w:ascii="Cambria Math" w:hAnsi="Cambria Math"/>
              </w:rPr>
              <m:t>Shares Outstanding</m:t>
            </m:r>
          </m:den>
        </m:f>
      </m:oMath>
      <w:r>
        <w:rPr>
          <w:rFonts w:eastAsiaTheme="minorEastAsia"/>
        </w:rPr>
        <w:t xml:space="preserve">    </w:t>
      </w:r>
      <w:r w:rsidR="00326FB6">
        <w:rPr>
          <w:rFonts w:eastAsiaTheme="minorEastAsia"/>
        </w:rPr>
        <w:t xml:space="preserve"> </w:t>
      </w:r>
      <w:r>
        <w:rPr>
          <w:rFonts w:eastAsiaTheme="minorEastAsia"/>
        </w:rPr>
        <w:t xml:space="preserve"> </w:t>
      </w:r>
      <w:r w:rsidR="00F9715C">
        <w:rPr>
          <w:rFonts w:eastAsiaTheme="minorEastAsia"/>
        </w:rPr>
        <w:t xml:space="preserve">    </w:t>
      </w:r>
      <w:r w:rsidR="003D27CE">
        <w:rPr>
          <w:rFonts w:eastAsiaTheme="minorEastAsia"/>
        </w:rPr>
        <w:t xml:space="preserve"> </w:t>
      </w:r>
      <w:r w:rsidR="00CB4ABF">
        <w:rPr>
          <w:rFonts w:eastAsiaTheme="minorEastAsia"/>
        </w:rPr>
        <w:t xml:space="preserve"> </w:t>
      </w:r>
      <w:r>
        <w:rPr>
          <w:rFonts w:eastAsiaTheme="minorEastAsia"/>
        </w:rPr>
        <w:t>(</w:t>
      </w:r>
      <w:r w:rsidR="00736826">
        <w:rPr>
          <w:rFonts w:eastAsiaTheme="minorEastAsia"/>
        </w:rPr>
        <w:t>10</w:t>
      </w:r>
      <w:r>
        <w:rPr>
          <w:rFonts w:eastAsiaTheme="minorEastAsia"/>
        </w:rPr>
        <w:t>)</w:t>
      </w:r>
    </w:p>
    <w:p w:rsidR="000A09EF" w:rsidRDefault="000A09EF" w:rsidP="000A09EF">
      <w:r>
        <w:t>Thus, the composite index is computed as:</w:t>
      </w:r>
    </w:p>
    <w:p w:rsidR="0047636F" w:rsidRDefault="0072063B" w:rsidP="000A09EF">
      <w:pPr>
        <w:rPr>
          <w:rFonts w:eastAsiaTheme="minorEastAsia"/>
        </w:rPr>
      </w:pPr>
      <w:r>
        <w:t xml:space="preserve">NAV Index: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F</m:t>
            </m:r>
          </m:sup>
          <m:e>
            <m:sSub>
              <m:sSubPr>
                <m:ctrlPr>
                  <w:rPr>
                    <w:rFonts w:ascii="Cambria Math" w:hAnsi="Cambria Math"/>
                    <w:i/>
                  </w:rPr>
                </m:ctrlPr>
              </m:sSubPr>
              <m:e>
                <m:r>
                  <w:rPr>
                    <w:rFonts w:ascii="Cambria Math" w:hAnsi="Cambria Math"/>
                  </w:rPr>
                  <m:t>Number of shares of fund</m:t>
                </m:r>
              </m:e>
              <m:sub>
                <m:r>
                  <w:rPr>
                    <w:rFonts w:ascii="Cambria Math" w:hAnsi="Cambria Math"/>
                  </w:rPr>
                  <m:t>i</m:t>
                </m:r>
              </m:sub>
            </m:sSub>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NAV</m:t>
                </m:r>
              </m:e>
              <m:sub>
                <m:r>
                  <w:rPr>
                    <w:rFonts w:ascii="Cambria Math" w:hAnsi="Cambria Math"/>
                  </w:rPr>
                  <m:t>i</m:t>
                </m:r>
              </m:sub>
            </m:sSub>
          </m:num>
          <m:den>
            <m:r>
              <w:rPr>
                <w:rFonts w:ascii="Cambria Math" w:hAnsi="Cambria Math"/>
              </w:rPr>
              <m:t>Divisor</m:t>
            </m:r>
          </m:den>
        </m:f>
      </m:oMath>
      <w:r w:rsidR="0047636F">
        <w:rPr>
          <w:rFonts w:eastAsiaTheme="minorEastAsia"/>
        </w:rPr>
        <w:tab/>
      </w:r>
      <w:r w:rsidR="0047636F">
        <w:rPr>
          <w:rFonts w:eastAsiaTheme="minorEastAsia"/>
        </w:rPr>
        <w:tab/>
      </w:r>
      <w:r w:rsidR="0047636F">
        <w:rPr>
          <w:rFonts w:eastAsiaTheme="minorEastAsia"/>
        </w:rPr>
        <w:tab/>
      </w:r>
      <w:r w:rsidR="00F9715C">
        <w:rPr>
          <w:rFonts w:eastAsiaTheme="minorEastAsia"/>
        </w:rPr>
        <w:t xml:space="preserve">           </w:t>
      </w:r>
      <w:r>
        <w:rPr>
          <w:rFonts w:eastAsiaTheme="minorEastAsia"/>
        </w:rPr>
        <w:t>(</w:t>
      </w:r>
      <w:r w:rsidR="00736826">
        <w:rPr>
          <w:rFonts w:eastAsiaTheme="minorEastAsia"/>
        </w:rPr>
        <w:t>11</w:t>
      </w:r>
      <w:r w:rsidR="0047636F">
        <w:rPr>
          <w:rFonts w:eastAsiaTheme="minorEastAsia"/>
        </w:rPr>
        <w:t>)</w:t>
      </w:r>
    </w:p>
    <w:p w:rsidR="000A09EF" w:rsidRDefault="0072063B" w:rsidP="000A09EF">
      <w:pPr>
        <w:rPr>
          <w:rFonts w:eastAsiaTheme="minorEastAsia"/>
        </w:rPr>
      </w:pPr>
      <w:r>
        <w:t xml:space="preserve">GAV Index: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F</m:t>
            </m:r>
          </m:sup>
          <m:e>
            <m:sSub>
              <m:sSubPr>
                <m:ctrlPr>
                  <w:rPr>
                    <w:rFonts w:ascii="Cambria Math" w:hAnsi="Cambria Math"/>
                    <w:i/>
                  </w:rPr>
                </m:ctrlPr>
              </m:sSubPr>
              <m:e>
                <m:r>
                  <w:rPr>
                    <w:rFonts w:ascii="Cambria Math" w:hAnsi="Cambria Math"/>
                  </w:rPr>
                  <m:t>Number of shares of fund</m:t>
                </m:r>
              </m:e>
              <m:sub>
                <m:r>
                  <w:rPr>
                    <w:rFonts w:ascii="Cambria Math" w:hAnsi="Cambria Math"/>
                  </w:rPr>
                  <m:t>i</m:t>
                </m:r>
              </m:sub>
            </m:sSub>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GAV</m:t>
                </m:r>
              </m:e>
              <m:sub>
                <m:r>
                  <w:rPr>
                    <w:rFonts w:ascii="Cambria Math" w:hAnsi="Cambria Math"/>
                  </w:rPr>
                  <m:t>i</m:t>
                </m:r>
              </m:sub>
            </m:sSub>
          </m:num>
          <m:den>
            <m:r>
              <w:rPr>
                <w:rFonts w:ascii="Cambria Math" w:hAnsi="Cambria Math"/>
              </w:rPr>
              <m:t>Divisor</m:t>
            </m:r>
          </m:den>
        </m:f>
      </m:oMath>
      <w:r w:rsidR="0047636F">
        <w:rPr>
          <w:rFonts w:eastAsiaTheme="minorEastAsia"/>
        </w:rPr>
        <w:tab/>
      </w:r>
      <w:r w:rsidR="0047636F">
        <w:rPr>
          <w:rFonts w:eastAsiaTheme="minorEastAsia"/>
        </w:rPr>
        <w:tab/>
      </w:r>
      <w:r w:rsidR="0047636F">
        <w:rPr>
          <w:rFonts w:eastAsiaTheme="minorEastAsia"/>
        </w:rPr>
        <w:tab/>
      </w:r>
      <w:r w:rsidR="00F9715C">
        <w:rPr>
          <w:rFonts w:eastAsiaTheme="minorEastAsia"/>
        </w:rPr>
        <w:t xml:space="preserve">           </w:t>
      </w:r>
      <w:r>
        <w:rPr>
          <w:rFonts w:eastAsiaTheme="minorEastAsia"/>
        </w:rPr>
        <w:t>(</w:t>
      </w:r>
      <w:r w:rsidR="00736826">
        <w:rPr>
          <w:rFonts w:eastAsiaTheme="minorEastAsia"/>
        </w:rPr>
        <w:t>12</w:t>
      </w:r>
      <w:r>
        <w:rPr>
          <w:rFonts w:eastAsiaTheme="minorEastAsia"/>
        </w:rPr>
        <w:t>)</w:t>
      </w:r>
    </w:p>
    <w:p w:rsidR="000A09EF" w:rsidRDefault="000A09EF" w:rsidP="000A09EF">
      <w:pPr>
        <w:jc w:val="both"/>
        <w:rPr>
          <w:rFonts w:eastAsiaTheme="minorEastAsia"/>
        </w:rPr>
      </w:pPr>
      <w:r>
        <w:rPr>
          <w:rFonts w:eastAsiaTheme="minorEastAsia"/>
        </w:rPr>
        <w:lastRenderedPageBreak/>
        <w:t xml:space="preserve">Where </w:t>
      </w:r>
      <w:r w:rsidRPr="003D60BD">
        <w:rPr>
          <w:rFonts w:eastAsiaTheme="minorEastAsia"/>
          <w:i/>
        </w:rPr>
        <w:t>F</w:t>
      </w:r>
      <w:r>
        <w:rPr>
          <w:rFonts w:eastAsiaTheme="minorEastAsia"/>
        </w:rPr>
        <w:t xml:space="preserve">=Number of funds in the index, </w:t>
      </w:r>
      <w:r w:rsidR="00FF12BF">
        <w:rPr>
          <w:rFonts w:eastAsiaTheme="minorEastAsia"/>
          <w:i/>
        </w:rPr>
        <w:t>Number of s</w:t>
      </w:r>
      <w:r w:rsidRPr="003D60BD">
        <w:rPr>
          <w:rFonts w:eastAsiaTheme="minorEastAsia"/>
          <w:i/>
        </w:rPr>
        <w:t>hares</w:t>
      </w:r>
      <w:r w:rsidR="00FF12BF">
        <w:rPr>
          <w:rFonts w:eastAsiaTheme="minorEastAsia"/>
          <w:i/>
        </w:rPr>
        <w:t xml:space="preserve"> of fund</w:t>
      </w:r>
      <w:r w:rsidR="00FF12BF" w:rsidRPr="00FF12BF">
        <w:rPr>
          <w:rFonts w:eastAsiaTheme="minorEastAsia"/>
          <w:i/>
          <w:vertAlign w:val="subscript"/>
        </w:rPr>
        <w:t>i</w:t>
      </w:r>
      <w:r w:rsidR="00FF12BF">
        <w:rPr>
          <w:rFonts w:eastAsiaTheme="minorEastAsia"/>
          <w:i/>
          <w:vertAlign w:val="subscript"/>
        </w:rPr>
        <w:t xml:space="preserve"> </w:t>
      </w:r>
      <w:r>
        <w:rPr>
          <w:rFonts w:eastAsiaTheme="minorEastAsia"/>
        </w:rPr>
        <w:t>=</w:t>
      </w:r>
      <w:r w:rsidR="00FF12BF">
        <w:rPr>
          <w:rFonts w:eastAsiaTheme="minorEastAsia"/>
        </w:rPr>
        <w:t xml:space="preserve"> </w:t>
      </w:r>
      <w:r>
        <w:rPr>
          <w:rFonts w:eastAsiaTheme="minorEastAsia"/>
        </w:rPr>
        <w:t xml:space="preserve">number of shares allocated to the fund at the last rebalancing to initiate index participation at the appropriate weight, </w:t>
      </w:r>
      <w:proofErr w:type="spellStart"/>
      <w:r w:rsidRPr="003D60BD">
        <w:rPr>
          <w:rFonts w:eastAsiaTheme="minorEastAsia"/>
          <w:i/>
        </w:rPr>
        <w:t>NAV</w:t>
      </w:r>
      <w:r w:rsidRPr="003D60BD">
        <w:rPr>
          <w:rFonts w:eastAsiaTheme="minorEastAsia"/>
          <w:i/>
          <w:sz w:val="16"/>
          <w:szCs w:val="16"/>
        </w:rPr>
        <w:t>i</w:t>
      </w:r>
      <w:proofErr w:type="spellEnd"/>
      <w:r>
        <w:rPr>
          <w:rFonts w:eastAsiaTheme="minorEastAsia"/>
        </w:rPr>
        <w:t xml:space="preserve"> = net asset value of the fund (equally weighted according to S&amp;P), </w:t>
      </w:r>
      <w:proofErr w:type="spellStart"/>
      <w:r w:rsidRPr="003D60BD">
        <w:rPr>
          <w:rFonts w:eastAsiaTheme="minorEastAsia"/>
          <w:i/>
        </w:rPr>
        <w:t>GAV</w:t>
      </w:r>
      <w:r w:rsidRPr="003D60BD">
        <w:rPr>
          <w:rFonts w:eastAsiaTheme="minorEastAsia"/>
          <w:i/>
          <w:sz w:val="16"/>
          <w:szCs w:val="16"/>
        </w:rPr>
        <w:t>i</w:t>
      </w:r>
      <w:proofErr w:type="spellEnd"/>
      <w:r>
        <w:rPr>
          <w:rFonts w:eastAsiaTheme="minorEastAsia"/>
        </w:rPr>
        <w:t xml:space="preserve"> = gross asset value of the fund</w:t>
      </w:r>
      <w:r w:rsidR="00FF12BF">
        <w:rPr>
          <w:rFonts w:eastAsiaTheme="minorEastAsia"/>
        </w:rPr>
        <w:t xml:space="preserve"> and</w:t>
      </w:r>
      <w:r>
        <w:rPr>
          <w:rFonts w:eastAsiaTheme="minorEastAsia"/>
        </w:rPr>
        <w:t xml:space="preserve"> </w:t>
      </w:r>
      <w:r w:rsidRPr="003D60BD">
        <w:rPr>
          <w:rFonts w:eastAsiaTheme="minorEastAsia"/>
          <w:i/>
        </w:rPr>
        <w:t xml:space="preserve">Divisor </w:t>
      </w:r>
      <w:r>
        <w:rPr>
          <w:rFonts w:eastAsiaTheme="minorEastAsia"/>
        </w:rPr>
        <w:t xml:space="preserve">= initial translation factor to start index at 1000. </w:t>
      </w:r>
      <w:r w:rsidR="000C1F9A">
        <w:rPr>
          <w:rFonts w:eastAsiaTheme="minorEastAsia"/>
        </w:rPr>
        <w:t xml:space="preserve">The </w:t>
      </w:r>
      <w:r>
        <w:rPr>
          <w:rFonts w:eastAsiaTheme="minorEastAsia"/>
        </w:rPr>
        <w:t xml:space="preserve">S&amp;P HFI tracks a hypothetical portfolio of its components with no capital inflows or outflows, which holds the divisor constant. </w:t>
      </w:r>
    </w:p>
    <w:p w:rsidR="000A09EF" w:rsidRPr="00B60C38" w:rsidRDefault="000A09EF" w:rsidP="008D10C3">
      <w:pPr>
        <w:ind w:left="60"/>
        <w:jc w:val="both"/>
      </w:pPr>
      <w:r>
        <w:t xml:space="preserve">As the Diligence Process is an on-going procedure some funds may be </w:t>
      </w:r>
      <w:r w:rsidR="000C1F9A">
        <w:t xml:space="preserve">added or </w:t>
      </w:r>
      <w:r>
        <w:t>removed to</w:t>
      </w:r>
      <w:r w:rsidR="000C1F9A">
        <w:t>/from</w:t>
      </w:r>
      <w:r>
        <w:t xml:space="preserve"> the S&amp;P HFI if they do (or do not) meet </w:t>
      </w:r>
      <w:r w:rsidR="000C1F9A">
        <w:t xml:space="preserve">certain </w:t>
      </w:r>
      <w:r>
        <w:t xml:space="preserve">criteria. A fund can be excluded from the index if it violates qualitative due diligence standards, does not conform to the reporting process, there is a significant strategy shift, </w:t>
      </w:r>
      <w:proofErr w:type="gramStart"/>
      <w:r>
        <w:t>there</w:t>
      </w:r>
      <w:proofErr w:type="gramEnd"/>
      <w:r>
        <w:t xml:space="preserve"> are legal and regulatory issues, major management changes, or concerns for excessive growth or redemptions.</w:t>
      </w:r>
      <w:r w:rsidR="008D10C3">
        <w:t xml:space="preserve"> </w:t>
      </w:r>
      <w:r>
        <w:t>Addition</w:t>
      </w:r>
      <w:r w:rsidR="000C1F9A">
        <w:t>s</w:t>
      </w:r>
      <w:r>
        <w:t xml:space="preserve"> can take place not </w:t>
      </w:r>
      <w:r w:rsidR="000C1F9A">
        <w:t>only to</w:t>
      </w:r>
      <w:r>
        <w:t xml:space="preserve"> replac</w:t>
      </w:r>
      <w:r w:rsidR="000C1F9A">
        <w:t>e</w:t>
      </w:r>
      <w:r>
        <w:t xml:space="preserve"> other </w:t>
      </w:r>
      <w:r w:rsidR="00BF5703">
        <w:t>HFs</w:t>
      </w:r>
      <w:r>
        <w:t xml:space="preserve">. If there is a fund that complies with all the previously mentioned criteria and rules and it will generate a more representative group for a given strategy then it may be added in alignment with the committee perspective. </w:t>
      </w:r>
      <w:r w:rsidRPr="0080588B">
        <w:rPr>
          <w:color w:val="FF0000"/>
        </w:rPr>
        <w:t xml:space="preserve">    </w:t>
      </w:r>
    </w:p>
    <w:p w:rsidR="000A09EF" w:rsidRDefault="000A09EF" w:rsidP="000A09EF">
      <w:pPr>
        <w:ind w:left="60"/>
        <w:jc w:val="both"/>
      </w:pPr>
      <w:r>
        <w:t xml:space="preserve">For an index to make sense there must be a </w:t>
      </w:r>
      <w:r w:rsidRPr="00E00F66">
        <w:rPr>
          <w:i/>
        </w:rPr>
        <w:t>base</w:t>
      </w:r>
      <w:r>
        <w:t xml:space="preserve">. So Standard &amp; Poor’s constructed an index as of 30 September 2002 that is called </w:t>
      </w:r>
      <w:r w:rsidR="000C1F9A">
        <w:t xml:space="preserve">the </w:t>
      </w:r>
      <w:r>
        <w:t xml:space="preserve">S&amp;P HFI Pro Forma Index. This index is equally-weighted and is rebalanced annually. It uses monthly performance data for the time period January 1998 to September 2002. The S&amp;P HFI index </w:t>
      </w:r>
      <w:r w:rsidR="000C1F9A">
        <w:t>uses</w:t>
      </w:r>
      <w:r>
        <w:t xml:space="preserve"> this Pro Forma Index</w:t>
      </w:r>
      <w:r w:rsidR="000C1F9A">
        <w:t xml:space="preserve"> as a reference</w:t>
      </w:r>
      <w:r>
        <w:t xml:space="preserve">. It is similar to that used by HFR.  </w:t>
      </w:r>
    </w:p>
    <w:p w:rsidR="00373FC0" w:rsidRPr="001D0001" w:rsidRDefault="00373FC0" w:rsidP="001D0001">
      <w:pPr>
        <w:pStyle w:val="Heading1"/>
      </w:pPr>
      <w:r w:rsidRPr="001D0001">
        <w:t>HFR and S&amp;P Classification</w:t>
      </w:r>
      <w:r w:rsidR="008D7166">
        <w:t>s</w:t>
      </w:r>
      <w:r w:rsidRPr="001D0001">
        <w:t xml:space="preserve"> - Demonstration </w:t>
      </w:r>
    </w:p>
    <w:p w:rsidR="00373FC0" w:rsidRPr="00005585" w:rsidRDefault="00373FC0" w:rsidP="00373FC0">
      <w:pPr>
        <w:jc w:val="both"/>
      </w:pPr>
      <w:r w:rsidRPr="00005585">
        <w:t>In this section we illustrate the calculations used in implementing the HFR and S&amp;P index engineering approaches. We use data fr</w:t>
      </w:r>
      <w:r w:rsidR="00F9715C">
        <w:t xml:space="preserve">om two database vendors: </w:t>
      </w:r>
      <w:proofErr w:type="spellStart"/>
      <w:r w:rsidR="00F9715C">
        <w:t>EurekaH</w:t>
      </w:r>
      <w:r w:rsidRPr="00005585">
        <w:t>edge</w:t>
      </w:r>
      <w:proofErr w:type="spellEnd"/>
      <w:r w:rsidRPr="00005585">
        <w:t xml:space="preserve"> and </w:t>
      </w:r>
      <w:proofErr w:type="spellStart"/>
      <w:r w:rsidRPr="00005585">
        <w:t>BarclayHedge</w:t>
      </w:r>
      <w:proofErr w:type="spellEnd"/>
      <w:r w:rsidR="00DF7DE5" w:rsidRPr="00005585">
        <w:t xml:space="preserve"> </w:t>
      </w:r>
      <w:r w:rsidRPr="00005585">
        <w:t>containing live and dead funds providing a long coverage (</w:t>
      </w:r>
      <w:r w:rsidR="00DF7DE5" w:rsidRPr="00005585">
        <w:t xml:space="preserve">monthly data, </w:t>
      </w:r>
      <w:r w:rsidRPr="00005585">
        <w:t>01/1990 to 03/2014). We follow</w:t>
      </w:r>
      <w:r w:rsidR="008D7166">
        <w:t xml:space="preserve"> </w:t>
      </w:r>
      <w:r w:rsidRPr="00005585">
        <w:t>a strict database cleaning and merging approach.</w:t>
      </w:r>
      <w:r w:rsidRPr="00005585">
        <w:rPr>
          <w:rStyle w:val="FootnoteReference"/>
        </w:rPr>
        <w:footnoteReference w:id="5"/>
      </w:r>
      <w:r w:rsidRPr="00005585">
        <w:t xml:space="preserve"> We map strategies between the different databases and we end up with: </w:t>
      </w:r>
      <w:r w:rsidRPr="00005585">
        <w:rPr>
          <w:rFonts w:cs="Times New Roman"/>
          <w:i/>
          <w:szCs w:val="24"/>
          <w:lang w:val="en-US"/>
        </w:rPr>
        <w:t>CTA</w:t>
      </w:r>
      <w:r w:rsidR="00F43950">
        <w:rPr>
          <w:rFonts w:cs="Times New Roman"/>
          <w:i/>
          <w:szCs w:val="24"/>
          <w:lang w:val="en-US"/>
        </w:rPr>
        <w:t xml:space="preserve"> (CT)</w:t>
      </w:r>
      <w:r w:rsidRPr="00005585">
        <w:rPr>
          <w:rFonts w:cs="Times New Roman"/>
          <w:i/>
          <w:szCs w:val="24"/>
          <w:lang w:val="en-US"/>
        </w:rPr>
        <w:t>, Event Driven</w:t>
      </w:r>
      <w:r w:rsidR="00F43950">
        <w:rPr>
          <w:rFonts w:cs="Times New Roman"/>
          <w:i/>
          <w:szCs w:val="24"/>
          <w:lang w:val="en-US"/>
        </w:rPr>
        <w:t xml:space="preserve"> (ED)</w:t>
      </w:r>
      <w:r w:rsidRPr="00005585">
        <w:rPr>
          <w:rFonts w:cs="Times New Roman"/>
          <w:i/>
          <w:szCs w:val="24"/>
          <w:lang w:val="en-US"/>
        </w:rPr>
        <w:t>, Global Macro</w:t>
      </w:r>
      <w:r w:rsidR="00F43950">
        <w:rPr>
          <w:rFonts w:cs="Times New Roman"/>
          <w:i/>
          <w:szCs w:val="24"/>
          <w:lang w:val="en-US"/>
        </w:rPr>
        <w:t xml:space="preserve"> (GM)</w:t>
      </w:r>
      <w:r w:rsidRPr="00005585">
        <w:rPr>
          <w:rFonts w:cs="Times New Roman"/>
          <w:i/>
          <w:szCs w:val="24"/>
          <w:lang w:val="en-US"/>
        </w:rPr>
        <w:t>, Long Only</w:t>
      </w:r>
      <w:r w:rsidR="00F43950">
        <w:rPr>
          <w:rFonts w:cs="Times New Roman"/>
          <w:i/>
          <w:szCs w:val="24"/>
          <w:lang w:val="en-US"/>
        </w:rPr>
        <w:t xml:space="preserve"> (LO)</w:t>
      </w:r>
      <w:r w:rsidRPr="00005585">
        <w:rPr>
          <w:rFonts w:cs="Times New Roman"/>
          <w:i/>
          <w:szCs w:val="24"/>
          <w:lang w:val="en-US"/>
        </w:rPr>
        <w:t>, Long Short</w:t>
      </w:r>
      <w:r w:rsidR="00F43950">
        <w:rPr>
          <w:rFonts w:cs="Times New Roman"/>
          <w:i/>
          <w:szCs w:val="24"/>
          <w:lang w:val="en-US"/>
        </w:rPr>
        <w:t xml:space="preserve"> (LS)</w:t>
      </w:r>
      <w:r w:rsidRPr="00005585">
        <w:rPr>
          <w:rFonts w:cs="Times New Roman"/>
          <w:i/>
          <w:szCs w:val="24"/>
          <w:lang w:val="en-US"/>
        </w:rPr>
        <w:t>, Market Neutral</w:t>
      </w:r>
      <w:r w:rsidR="00F43950">
        <w:rPr>
          <w:rFonts w:cs="Times New Roman"/>
          <w:i/>
          <w:szCs w:val="24"/>
          <w:lang w:val="en-US"/>
        </w:rPr>
        <w:t xml:space="preserve"> (MN)</w:t>
      </w:r>
      <w:r w:rsidRPr="00005585">
        <w:rPr>
          <w:rFonts w:cs="Times New Roman"/>
          <w:i/>
          <w:szCs w:val="24"/>
          <w:lang w:val="en-US"/>
        </w:rPr>
        <w:t>, Multi Strategy</w:t>
      </w:r>
      <w:r w:rsidR="00F43950">
        <w:rPr>
          <w:rFonts w:cs="Times New Roman"/>
          <w:i/>
          <w:szCs w:val="24"/>
          <w:lang w:val="en-US"/>
        </w:rPr>
        <w:t xml:space="preserve"> (MS)</w:t>
      </w:r>
      <w:r w:rsidRPr="00005585">
        <w:rPr>
          <w:rFonts w:cs="Times New Roman"/>
          <w:i/>
          <w:szCs w:val="24"/>
          <w:lang w:val="en-US"/>
        </w:rPr>
        <w:t>, Relative Value</w:t>
      </w:r>
      <w:r w:rsidR="00F43950">
        <w:rPr>
          <w:rFonts w:cs="Times New Roman"/>
          <w:i/>
          <w:szCs w:val="24"/>
          <w:lang w:val="en-US"/>
        </w:rPr>
        <w:t xml:space="preserve"> (RV)</w:t>
      </w:r>
      <w:r w:rsidRPr="00005585">
        <w:rPr>
          <w:rFonts w:cs="Times New Roman"/>
          <w:i/>
          <w:szCs w:val="24"/>
          <w:lang w:val="en-US"/>
        </w:rPr>
        <w:t>, Sector</w:t>
      </w:r>
      <w:r w:rsidR="00F43950">
        <w:rPr>
          <w:rFonts w:cs="Times New Roman"/>
          <w:i/>
          <w:szCs w:val="24"/>
          <w:lang w:val="en-US"/>
        </w:rPr>
        <w:t xml:space="preserve"> (SE)</w:t>
      </w:r>
      <w:r w:rsidRPr="00005585">
        <w:rPr>
          <w:rFonts w:cs="Times New Roman"/>
          <w:i/>
          <w:szCs w:val="24"/>
          <w:lang w:val="en-US"/>
        </w:rPr>
        <w:t xml:space="preserve">, </w:t>
      </w:r>
      <w:r w:rsidRPr="00005585">
        <w:rPr>
          <w:rFonts w:cs="Times New Roman"/>
          <w:i/>
          <w:szCs w:val="24"/>
          <w:lang w:val="en-US"/>
        </w:rPr>
        <w:lastRenderedPageBreak/>
        <w:t>Short Bias</w:t>
      </w:r>
      <w:r w:rsidR="00F43950">
        <w:rPr>
          <w:rFonts w:cs="Times New Roman"/>
          <w:i/>
          <w:szCs w:val="24"/>
          <w:lang w:val="en-US"/>
        </w:rPr>
        <w:t xml:space="preserve"> (SB)</w:t>
      </w:r>
      <w:r w:rsidRPr="00005585">
        <w:rPr>
          <w:rFonts w:cs="Times New Roman"/>
          <w:i/>
          <w:szCs w:val="24"/>
          <w:lang w:val="en-US"/>
        </w:rPr>
        <w:t xml:space="preserve"> </w:t>
      </w:r>
      <w:r w:rsidRPr="00005585">
        <w:rPr>
          <w:rFonts w:cs="Times New Roman"/>
          <w:szCs w:val="24"/>
          <w:lang w:val="en-US"/>
        </w:rPr>
        <w:t xml:space="preserve">and </w:t>
      </w:r>
      <w:r w:rsidRPr="00005585">
        <w:rPr>
          <w:rFonts w:cs="Times New Roman"/>
          <w:i/>
          <w:szCs w:val="24"/>
          <w:lang w:val="en-US"/>
        </w:rPr>
        <w:t xml:space="preserve">Others </w:t>
      </w:r>
      <w:r w:rsidR="00F43950">
        <w:rPr>
          <w:rFonts w:cs="Times New Roman"/>
          <w:i/>
          <w:szCs w:val="24"/>
          <w:lang w:val="en-US"/>
        </w:rPr>
        <w:t xml:space="preserve">(OT) </w:t>
      </w:r>
      <w:r w:rsidRPr="00005585">
        <w:rPr>
          <w:rFonts w:cs="Times New Roman"/>
          <w:szCs w:val="24"/>
          <w:lang w:val="en-US"/>
        </w:rPr>
        <w:t>(includes funds</w:t>
      </w:r>
      <w:r w:rsidR="00A61961">
        <w:rPr>
          <w:rFonts w:cs="Times New Roman"/>
          <w:szCs w:val="24"/>
          <w:lang w:val="en-US"/>
        </w:rPr>
        <w:t xml:space="preserve"> that do not belong to </w:t>
      </w:r>
      <w:r w:rsidR="00A7277B">
        <w:rPr>
          <w:rFonts w:cs="Times New Roman"/>
          <w:szCs w:val="24"/>
          <w:lang w:val="en-US"/>
        </w:rPr>
        <w:t>the previous</w:t>
      </w:r>
      <w:r w:rsidR="00F43950">
        <w:rPr>
          <w:rFonts w:cs="Times New Roman"/>
          <w:szCs w:val="24"/>
          <w:lang w:val="en-US"/>
        </w:rPr>
        <w:t xml:space="preserve"> strateg</w:t>
      </w:r>
      <w:r w:rsidR="00A61961">
        <w:rPr>
          <w:rFonts w:cs="Times New Roman"/>
          <w:szCs w:val="24"/>
          <w:lang w:val="en-US"/>
        </w:rPr>
        <w:t>ies</w:t>
      </w:r>
      <w:r w:rsidRPr="00005585">
        <w:rPr>
          <w:rFonts w:cs="Times New Roman"/>
          <w:szCs w:val="24"/>
          <w:lang w:val="en-US"/>
        </w:rPr>
        <w:t>)</w:t>
      </w:r>
      <w:r w:rsidRPr="00005585">
        <w:rPr>
          <w:rFonts w:cs="Times New Roman"/>
          <w:i/>
          <w:szCs w:val="24"/>
          <w:lang w:val="en-US"/>
        </w:rPr>
        <w:t xml:space="preserve">. </w:t>
      </w:r>
      <w:r w:rsidRPr="00005585">
        <w:rPr>
          <w:rFonts w:cs="Times New Roman"/>
          <w:szCs w:val="24"/>
          <w:lang w:val="en-US"/>
        </w:rPr>
        <w:t xml:space="preserve">Each portfolio of a specific strategy is represented by its average time series returns. </w:t>
      </w:r>
      <w:r w:rsidR="00B04204" w:rsidRPr="00005585">
        <w:t>W</w:t>
      </w:r>
      <w:r w:rsidRPr="00005585">
        <w:t xml:space="preserve">e classify these strategies in broad categories (groups). </w:t>
      </w:r>
    </w:p>
    <w:p w:rsidR="00373FC0" w:rsidRPr="00005585" w:rsidRDefault="00373FC0" w:rsidP="00373FC0">
      <w:pPr>
        <w:jc w:val="both"/>
      </w:pPr>
      <w:r w:rsidRPr="00005585">
        <w:t xml:space="preserve">Using numerical examples we demonstrate in practical terms the way that indices are constructed. As noted, index construction concerning the NAV or GAV calculation is the same. Nevertheless, the clustering and classification process is different between database vendors. We simulate the two different index engineering methodologies on the same dataset and then we compare the results to examine whether there are differences between them. We </w:t>
      </w:r>
      <w:r w:rsidR="00513520">
        <w:t>f</w:t>
      </w:r>
      <w:r w:rsidR="008D7166">
        <w:t>i</w:t>
      </w:r>
      <w:r w:rsidR="00513520">
        <w:t>nd</w:t>
      </w:r>
      <w:r w:rsidRPr="00005585">
        <w:t xml:space="preserve"> that those quantitative techniques provide similar results in the index construction process. Differences in the indices between the vendors </w:t>
      </w:r>
      <w:r w:rsidR="008D7166">
        <w:t>are</w:t>
      </w:r>
      <w:r w:rsidRPr="00005585">
        <w:t xml:space="preserve"> mainly because they have</w:t>
      </w:r>
      <w:r w:rsidR="00652DF6" w:rsidRPr="00005585">
        <w:t xml:space="preserve"> different </w:t>
      </w:r>
      <w:r w:rsidR="00BF5703">
        <w:rPr>
          <w:rFonts w:cs="Times New Roman"/>
          <w:color w:val="222222"/>
          <w:szCs w:val="24"/>
          <w:shd w:val="clear" w:color="auto" w:fill="FFFFFF"/>
        </w:rPr>
        <w:t>HF</w:t>
      </w:r>
      <w:r w:rsidR="00BF5703" w:rsidRPr="00005585">
        <w:t xml:space="preserve"> </w:t>
      </w:r>
      <w:r w:rsidR="00652DF6" w:rsidRPr="00005585">
        <w:t>universes</w:t>
      </w:r>
      <w:r w:rsidRPr="00005585">
        <w:t xml:space="preserve"> and different inclusion criteria in their due diligence process. The quantitative parts of their processes, although different, nevertheless provide similar results. In our examples the </w:t>
      </w:r>
      <w:r w:rsidR="008D7166">
        <w:t xml:space="preserve">steps </w:t>
      </w:r>
      <w:r w:rsidR="00513520">
        <w:t xml:space="preserve">followed </w:t>
      </w:r>
      <w:r w:rsidR="008D7166">
        <w:t>are:</w:t>
      </w:r>
    </w:p>
    <w:p w:rsidR="00373FC0" w:rsidRPr="00005585" w:rsidRDefault="00373FC0" w:rsidP="00373FC0">
      <w:pPr>
        <w:jc w:val="both"/>
        <w:rPr>
          <w:b/>
        </w:rPr>
      </w:pPr>
      <w:r w:rsidRPr="00005585">
        <w:rPr>
          <w:b/>
        </w:rPr>
        <w:t>For HFR:</w:t>
      </w:r>
    </w:p>
    <w:p w:rsidR="00373FC0" w:rsidRPr="00005585" w:rsidRDefault="00373FC0" w:rsidP="00373FC0">
      <w:pPr>
        <w:jc w:val="both"/>
      </w:pPr>
      <w:r w:rsidRPr="00005585">
        <w:t xml:space="preserve">1. We used part of the HFR methodology in the index engineering process that calculates the distances between those </w:t>
      </w:r>
      <w:r w:rsidR="00BF5703">
        <w:rPr>
          <w:rFonts w:cs="Times New Roman"/>
          <w:color w:val="222222"/>
          <w:szCs w:val="24"/>
          <w:shd w:val="clear" w:color="auto" w:fill="FFFFFF"/>
        </w:rPr>
        <w:t>HF</w:t>
      </w:r>
      <w:r w:rsidR="00BF5703" w:rsidRPr="00005585">
        <w:t xml:space="preserve"> </w:t>
      </w:r>
      <w:r w:rsidRPr="00005585">
        <w:t>strategies.</w:t>
      </w:r>
    </w:p>
    <w:p w:rsidR="00373FC0" w:rsidRPr="00005585" w:rsidRDefault="00373FC0" w:rsidP="00373FC0">
      <w:pPr>
        <w:jc w:val="both"/>
      </w:pPr>
      <w:r w:rsidRPr="00005585">
        <w:t xml:space="preserve">2. </w:t>
      </w:r>
      <w:r w:rsidR="002A3D93" w:rsidRPr="00005585">
        <w:t>W</w:t>
      </w:r>
      <w:r w:rsidRPr="00005585">
        <w:t xml:space="preserve">e implemented the Divergence Score for these </w:t>
      </w:r>
      <w:r w:rsidR="00BF5703">
        <w:rPr>
          <w:rFonts w:cs="Times New Roman"/>
          <w:color w:val="222222"/>
          <w:szCs w:val="24"/>
          <w:shd w:val="clear" w:color="auto" w:fill="FFFFFF"/>
        </w:rPr>
        <w:t>HF</w:t>
      </w:r>
      <w:r w:rsidR="00BF5703" w:rsidRPr="00005585">
        <w:t xml:space="preserve"> </w:t>
      </w:r>
      <w:r w:rsidRPr="00005585">
        <w:t>strategies.</w:t>
      </w:r>
    </w:p>
    <w:p w:rsidR="00373FC0" w:rsidRPr="00005585" w:rsidRDefault="00373FC0" w:rsidP="00373FC0">
      <w:pPr>
        <w:jc w:val="both"/>
        <w:rPr>
          <w:b/>
        </w:rPr>
      </w:pPr>
      <w:r w:rsidRPr="00005585">
        <w:rPr>
          <w:b/>
        </w:rPr>
        <w:t>For S&amp;P:</w:t>
      </w:r>
    </w:p>
    <w:p w:rsidR="00373FC0" w:rsidRPr="00005585" w:rsidRDefault="00373FC0" w:rsidP="00373FC0">
      <w:pPr>
        <w:jc w:val="both"/>
      </w:pPr>
      <w:r w:rsidRPr="00005585">
        <w:t>1. We used part of the S&amp;P methodology, measuring the correlations with strategies in the same category (group) and then measuring the correlations with strategies in other categories.</w:t>
      </w:r>
    </w:p>
    <w:p w:rsidR="00373FC0" w:rsidRPr="00005585" w:rsidRDefault="00373FC0" w:rsidP="00373FC0">
      <w:pPr>
        <w:jc w:val="both"/>
      </w:pPr>
      <w:r w:rsidRPr="00005585">
        <w:t xml:space="preserve">2. </w:t>
      </w:r>
      <w:r w:rsidR="002A3D93" w:rsidRPr="00005585">
        <w:t>W</w:t>
      </w:r>
      <w:r w:rsidRPr="00005585">
        <w:t>e compared the (return) correlation of each individual strategy with the index in the same group.</w:t>
      </w:r>
    </w:p>
    <w:p w:rsidR="00373FC0" w:rsidRPr="00005585" w:rsidRDefault="00373FC0" w:rsidP="00373FC0">
      <w:pPr>
        <w:jc w:val="both"/>
      </w:pPr>
      <w:r w:rsidRPr="00005585">
        <w:t>3. We compared the standard deviation of a strategy to its peer group.</w:t>
      </w:r>
    </w:p>
    <w:p w:rsidR="00373FC0" w:rsidRPr="00005585" w:rsidRDefault="00373FC0" w:rsidP="00373FC0">
      <w:pPr>
        <w:jc w:val="both"/>
      </w:pPr>
      <w:r w:rsidRPr="00005585">
        <w:lastRenderedPageBreak/>
        <w:t>4. We used ANOVA to examine whether the standardized distance within groups is less than the standardized distance between groups.</w:t>
      </w:r>
    </w:p>
    <w:p w:rsidR="00373FC0" w:rsidRPr="00005585" w:rsidRDefault="00373FC0" w:rsidP="001D0001">
      <w:pPr>
        <w:pStyle w:val="Heading2"/>
      </w:pPr>
      <w:r w:rsidRPr="00005585">
        <w:t xml:space="preserve">Distances </w:t>
      </w:r>
      <w:proofErr w:type="gramStart"/>
      <w:r w:rsidRPr="00005585">
        <w:t>Between</w:t>
      </w:r>
      <w:proofErr w:type="gramEnd"/>
      <w:r w:rsidRPr="00005585">
        <w:t xml:space="preserve"> Strategies (HFR)</w:t>
      </w:r>
    </w:p>
    <w:p w:rsidR="00373FC0" w:rsidRPr="00005585" w:rsidRDefault="002A3D93" w:rsidP="00373FC0">
      <w:pPr>
        <w:jc w:val="both"/>
      </w:pPr>
      <w:r w:rsidRPr="00005585">
        <w:t>W</w:t>
      </w:r>
      <w:r w:rsidR="00373FC0" w:rsidRPr="00005585">
        <w:t xml:space="preserve">e compare the distances between the eleven fund strategies. In table </w:t>
      </w:r>
      <w:r w:rsidR="006741F7" w:rsidRPr="00522EAE">
        <w:t>1</w:t>
      </w:r>
      <w:r w:rsidR="00373FC0" w:rsidRPr="00005585">
        <w:t>, LO, SE and LS are relatively close compared to GM, ED, and SE and even more so for SB, CT, and GM. More specifically, the average distance between LO, SE and LS is 23.850 units; for GM, ED and SE it is 40.413; and for SB, CT and GM it is 90.510 units. Hence, the SE strategy should be allocated with LO and LS and not with GM and ED. Similarly, GM is better allocated with ED and SE rather than SB and CT. Another potential group is ED, RV and MS with average distance 19.917, which is one of the lowest among the hedge fund strategies.</w:t>
      </w:r>
    </w:p>
    <w:p w:rsidR="00373FC0" w:rsidRPr="00755198" w:rsidRDefault="00F176F9" w:rsidP="00373FC0">
      <w:pPr>
        <w:jc w:val="center"/>
        <w:rPr>
          <w:b/>
        </w:rPr>
      </w:pPr>
      <w:r w:rsidRPr="00755198">
        <w:rPr>
          <w:b/>
        </w:rPr>
        <w:t xml:space="preserve">Table </w:t>
      </w:r>
      <w:r w:rsidR="004A4027" w:rsidRPr="00755198">
        <w:rPr>
          <w:b/>
        </w:rPr>
        <w:t>(</w:t>
      </w:r>
      <w:r w:rsidR="006741F7" w:rsidRPr="00755198">
        <w:rPr>
          <w:b/>
        </w:rPr>
        <w:t>1</w:t>
      </w:r>
      <w:r w:rsidR="004A4027" w:rsidRPr="00755198">
        <w:rPr>
          <w:b/>
        </w:rPr>
        <w:t xml:space="preserve">) </w:t>
      </w:r>
      <w:r w:rsidR="00373FC0" w:rsidRPr="00755198">
        <w:rPr>
          <w:b/>
        </w:rPr>
        <w:t>about here</w:t>
      </w:r>
    </w:p>
    <w:p w:rsidR="00373FC0" w:rsidRPr="00005585" w:rsidRDefault="00373FC0" w:rsidP="00373FC0">
      <w:pPr>
        <w:jc w:val="both"/>
      </w:pPr>
      <w:r w:rsidRPr="00005585">
        <w:t xml:space="preserve">Figure </w:t>
      </w:r>
      <w:r w:rsidR="00352523">
        <w:t>1</w:t>
      </w:r>
      <w:r w:rsidRPr="00005585">
        <w:t xml:space="preserve"> shows the distances between fund strategies graphically. We expect that fund strategies that have small distances would be allocated to the same category. The SB strategy follows an opposite direction toward the market index with negative exposures. Hence, we would expect SB to have a large distance compared to the other strategies. Figure </w:t>
      </w:r>
      <w:r w:rsidR="00D6445B">
        <w:t>1</w:t>
      </w:r>
      <w:r w:rsidRPr="00005585">
        <w:t xml:space="preserve"> confirms this.</w:t>
      </w:r>
    </w:p>
    <w:p w:rsidR="00373FC0" w:rsidRPr="00755198" w:rsidRDefault="00CC3347" w:rsidP="00373FC0">
      <w:pPr>
        <w:jc w:val="center"/>
        <w:rPr>
          <w:b/>
        </w:rPr>
      </w:pPr>
      <w:r w:rsidRPr="00755198">
        <w:rPr>
          <w:b/>
        </w:rPr>
        <w:t xml:space="preserve">Figure </w:t>
      </w:r>
      <w:r w:rsidR="00096507" w:rsidRPr="00755198">
        <w:rPr>
          <w:b/>
        </w:rPr>
        <w:t>(</w:t>
      </w:r>
      <w:r w:rsidR="00D6445B" w:rsidRPr="00755198">
        <w:rPr>
          <w:b/>
        </w:rPr>
        <w:t>1</w:t>
      </w:r>
      <w:r w:rsidR="00096507" w:rsidRPr="00755198">
        <w:rPr>
          <w:b/>
        </w:rPr>
        <w:t xml:space="preserve">) </w:t>
      </w:r>
      <w:r w:rsidR="00373FC0" w:rsidRPr="00755198">
        <w:rPr>
          <w:b/>
        </w:rPr>
        <w:t>about here</w:t>
      </w:r>
    </w:p>
    <w:p w:rsidR="00373FC0" w:rsidRPr="00005585" w:rsidRDefault="00373FC0" w:rsidP="00373FC0">
      <w:pPr>
        <w:jc w:val="both"/>
      </w:pPr>
      <w:r w:rsidRPr="00005585">
        <w:t xml:space="preserve">The above process is implemented by HFR for every fund (in pairs) with 24 months’ returns so as to discover the distances between them. Some funds have a small distance between them, hence they should form a group or an index. </w:t>
      </w:r>
    </w:p>
    <w:p w:rsidR="00373FC0" w:rsidRPr="00005585" w:rsidRDefault="00373FC0" w:rsidP="001D0001">
      <w:pPr>
        <w:pStyle w:val="Heading2"/>
      </w:pPr>
      <w:r w:rsidRPr="00005585">
        <w:t>Correlations (S&amp;P)</w:t>
      </w:r>
    </w:p>
    <w:p w:rsidR="00373FC0" w:rsidRPr="00005585" w:rsidRDefault="00792378" w:rsidP="00373FC0">
      <w:pPr>
        <w:jc w:val="both"/>
      </w:pPr>
      <w:r w:rsidRPr="00005585">
        <w:t>W</w:t>
      </w:r>
      <w:r w:rsidR="00373FC0" w:rsidRPr="00005585">
        <w:t>e measure the correlations of strategies in the same group (category) and then measure the correlations of strategies in other groups.</w:t>
      </w:r>
    </w:p>
    <w:p w:rsidR="00373FC0" w:rsidRPr="00005585" w:rsidRDefault="00DF7DE5" w:rsidP="00373FC0">
      <w:pPr>
        <w:jc w:val="both"/>
      </w:pPr>
      <w:r w:rsidRPr="00005585">
        <w:t>T</w:t>
      </w:r>
      <w:r w:rsidR="00373FC0" w:rsidRPr="00005585">
        <w:t>able</w:t>
      </w:r>
      <w:r w:rsidR="00373FC0" w:rsidRPr="00755198">
        <w:t xml:space="preserve"> </w:t>
      </w:r>
      <w:r w:rsidR="004E07DC" w:rsidRPr="00755198">
        <w:t>2</w:t>
      </w:r>
      <w:r w:rsidR="00373FC0" w:rsidRPr="00755198">
        <w:t xml:space="preserve"> </w:t>
      </w:r>
      <w:r w:rsidR="00373FC0" w:rsidRPr="00005585">
        <w:t>present</w:t>
      </w:r>
      <w:r w:rsidRPr="00005585">
        <w:t>s</w:t>
      </w:r>
      <w:r w:rsidR="00373FC0" w:rsidRPr="00005585">
        <w:t xml:space="preserve"> all correlations between strategies. </w:t>
      </w:r>
      <w:r w:rsidRPr="00005585">
        <w:t>T</w:t>
      </w:r>
      <w:r w:rsidR="00373FC0" w:rsidRPr="00005585">
        <w:t>he correlations between strategies that are high, indicat</w:t>
      </w:r>
      <w:r w:rsidRPr="00005585">
        <w:t>e</w:t>
      </w:r>
      <w:r w:rsidR="00373FC0" w:rsidRPr="00005585">
        <w:t xml:space="preserve"> a similar group; </w:t>
      </w:r>
      <w:r w:rsidRPr="00005585">
        <w:t>c</w:t>
      </w:r>
      <w:r w:rsidR="00373FC0" w:rsidRPr="00005585">
        <w:t xml:space="preserve">orrelations between strategies that </w:t>
      </w:r>
      <w:r w:rsidR="00373FC0" w:rsidRPr="00005585">
        <w:lastRenderedPageBreak/>
        <w:t>are low, indicat</w:t>
      </w:r>
      <w:r w:rsidRPr="00005585">
        <w:t>e</w:t>
      </w:r>
      <w:r w:rsidR="00373FC0" w:rsidRPr="00005585">
        <w:t xml:space="preserve"> strategies belonging to different groups. For example (we use the same strategies with our previous demonstration regarding distances) LO, SE, LS have an average correlation among them equal to 0.917; the strategies GM, ED, SE have 0.563 and the strategies SB, CT, GM have -0.030. Similar to the </w:t>
      </w:r>
      <w:r w:rsidR="00373FC0" w:rsidRPr="00005585">
        <w:rPr>
          <w:i/>
        </w:rPr>
        <w:t>distance</w:t>
      </w:r>
      <w:r w:rsidR="00373FC0" w:rsidRPr="00005585">
        <w:t xml:space="preserve"> example, the SE strategy should be allocated with LO and LS and not with GM and ED. Similarly, GM is better allocated with ED, SE rather than SB, CT. Another potential group is ED, RV, </w:t>
      </w:r>
      <w:proofErr w:type="gramStart"/>
      <w:r w:rsidR="00373FC0" w:rsidRPr="00005585">
        <w:t>MS</w:t>
      </w:r>
      <w:proofErr w:type="gramEnd"/>
      <w:r w:rsidR="00373FC0" w:rsidRPr="00005585">
        <w:t xml:space="preserve"> with average pair correlation of 0.770.</w:t>
      </w:r>
    </w:p>
    <w:p w:rsidR="00373FC0" w:rsidRPr="00755198" w:rsidRDefault="00373FC0" w:rsidP="00373FC0">
      <w:pPr>
        <w:jc w:val="center"/>
        <w:rPr>
          <w:b/>
        </w:rPr>
      </w:pPr>
      <w:r w:rsidRPr="00755198">
        <w:rPr>
          <w:b/>
        </w:rPr>
        <w:t>Table</w:t>
      </w:r>
      <w:r w:rsidR="00920658" w:rsidRPr="00755198">
        <w:rPr>
          <w:b/>
        </w:rPr>
        <w:t xml:space="preserve"> </w:t>
      </w:r>
      <w:r w:rsidR="004A4027" w:rsidRPr="00755198">
        <w:rPr>
          <w:b/>
        </w:rPr>
        <w:t>(</w:t>
      </w:r>
      <w:r w:rsidR="004E07DC" w:rsidRPr="00755198">
        <w:rPr>
          <w:b/>
        </w:rPr>
        <w:t>2</w:t>
      </w:r>
      <w:r w:rsidR="004A4027" w:rsidRPr="00755198">
        <w:rPr>
          <w:b/>
        </w:rPr>
        <w:t xml:space="preserve">) </w:t>
      </w:r>
      <w:r w:rsidRPr="00755198">
        <w:rPr>
          <w:b/>
        </w:rPr>
        <w:t>about here</w:t>
      </w:r>
    </w:p>
    <w:p w:rsidR="00373FC0" w:rsidRPr="00005585" w:rsidRDefault="00373FC0" w:rsidP="00373FC0">
      <w:pPr>
        <w:jc w:val="both"/>
      </w:pPr>
      <w:r w:rsidRPr="00005585">
        <w:t xml:space="preserve">Figure </w:t>
      </w:r>
      <w:r w:rsidR="00352523">
        <w:t>2</w:t>
      </w:r>
      <w:r w:rsidRPr="00005585">
        <w:t xml:space="preserve"> shows the correlations graphically. We expect fund strategies that are highly positively correlated to belong to the same group. Strategies that are either uncorrelated or negatively correlated (e.g. CT and ED) we expect not to belong to the same group.</w:t>
      </w:r>
    </w:p>
    <w:p w:rsidR="00373FC0" w:rsidRPr="00755198" w:rsidRDefault="00CC3347" w:rsidP="00373FC0">
      <w:pPr>
        <w:jc w:val="center"/>
        <w:rPr>
          <w:b/>
        </w:rPr>
      </w:pPr>
      <w:r w:rsidRPr="00755198">
        <w:rPr>
          <w:b/>
        </w:rPr>
        <w:t xml:space="preserve">Figure </w:t>
      </w:r>
      <w:r w:rsidR="00375B0B" w:rsidRPr="00755198">
        <w:rPr>
          <w:b/>
        </w:rPr>
        <w:t>(</w:t>
      </w:r>
      <w:r w:rsidR="00352523" w:rsidRPr="00755198">
        <w:rPr>
          <w:b/>
        </w:rPr>
        <w:t>2</w:t>
      </w:r>
      <w:r w:rsidR="00375B0B" w:rsidRPr="00755198">
        <w:rPr>
          <w:b/>
        </w:rPr>
        <w:t xml:space="preserve">) </w:t>
      </w:r>
      <w:r w:rsidR="00373FC0" w:rsidRPr="00755198">
        <w:rPr>
          <w:b/>
        </w:rPr>
        <w:t>about here</w:t>
      </w:r>
    </w:p>
    <w:p w:rsidR="00373FC0" w:rsidRPr="00005585" w:rsidRDefault="00792378" w:rsidP="00373FC0">
      <w:pPr>
        <w:jc w:val="both"/>
      </w:pPr>
      <w:r w:rsidRPr="00005585">
        <w:t xml:space="preserve">So far </w:t>
      </w:r>
      <w:r w:rsidR="00373FC0" w:rsidRPr="00005585">
        <w:t xml:space="preserve">both processes (Euclidian Distance and correlation techniques) </w:t>
      </w:r>
      <w:r w:rsidR="0001198D">
        <w:t xml:space="preserve">have </w:t>
      </w:r>
      <w:r w:rsidR="00373FC0" w:rsidRPr="00005585">
        <w:t>produce</w:t>
      </w:r>
      <w:r w:rsidR="0001198D">
        <w:t>d</w:t>
      </w:r>
      <w:r w:rsidR="00373FC0" w:rsidRPr="00005585">
        <w:t xml:space="preserve"> similar results. </w:t>
      </w:r>
    </w:p>
    <w:p w:rsidR="00373FC0" w:rsidRPr="00005585" w:rsidRDefault="00792378" w:rsidP="00373FC0">
      <w:pPr>
        <w:jc w:val="both"/>
      </w:pPr>
      <w:r w:rsidRPr="00005585">
        <w:t>U</w:t>
      </w:r>
      <w:r w:rsidR="00373FC0" w:rsidRPr="00005585">
        <w:t xml:space="preserve">sing table </w:t>
      </w:r>
      <w:r w:rsidR="00710253">
        <w:t>2</w:t>
      </w:r>
      <w:r w:rsidR="00373FC0" w:rsidRPr="00005585">
        <w:t xml:space="preserve"> we calculate the correlation distribution for strategies that belong to the same group. Thus, the correlation distribution (its standard deviation)</w:t>
      </w:r>
      <w:r w:rsidR="00373FC0" w:rsidRPr="00005585">
        <w:rPr>
          <w:rStyle w:val="FootnoteReference"/>
        </w:rPr>
        <w:footnoteReference w:id="6"/>
      </w:r>
      <w:r w:rsidR="00373FC0" w:rsidRPr="00005585">
        <w:t xml:space="preserve"> for LO, SE, LS is 0.032; for GM, ED, SE it is 0.196; and for SB, CT, GM it is 0.296.  Based on the correlation distribution, it is preferable that SE should belong to the same group as LO, LS compared to the candidate group GM, ED. Similarly, GM should preferably belong to the ED, SE group compared to the CT, SB group. Similarly within the group of ED, RV, </w:t>
      </w:r>
      <w:proofErr w:type="gramStart"/>
      <w:r w:rsidR="00373FC0" w:rsidRPr="00005585">
        <w:t>MS</w:t>
      </w:r>
      <w:proofErr w:type="gramEnd"/>
      <w:r w:rsidR="00373FC0" w:rsidRPr="00005585">
        <w:t xml:space="preserve"> the distribution correlation is equal to 0.056, which is relatively low.</w:t>
      </w:r>
    </w:p>
    <w:p w:rsidR="00373FC0" w:rsidRPr="00005585" w:rsidRDefault="00373FC0" w:rsidP="00373FC0">
      <w:pPr>
        <w:jc w:val="both"/>
      </w:pPr>
      <w:r w:rsidRPr="00005585">
        <w:t xml:space="preserve">The correlation distribution between all strategies (both within and between groups) is: standard deviation 0.511 with mean 0.410, median 0.479, and mean to standard deviation ratio 0.803. The correlation distribution for the groups (e.g. LO, SE, LS or </w:t>
      </w:r>
      <w:r w:rsidRPr="00005585">
        <w:lastRenderedPageBreak/>
        <w:t xml:space="preserve">ER, RV, MS) as we expected, is narrower than all strategies together, having </w:t>
      </w:r>
      <w:r w:rsidR="0001198D">
        <w:t xml:space="preserve">a </w:t>
      </w:r>
      <w:r w:rsidRPr="00005585">
        <w:t xml:space="preserve">larger mean-to-standard deviation ratio.   </w:t>
      </w:r>
    </w:p>
    <w:p w:rsidR="00373FC0" w:rsidRPr="00005585" w:rsidRDefault="00373FC0" w:rsidP="00373FC0">
      <w:pPr>
        <w:jc w:val="both"/>
      </w:pPr>
      <w:r w:rsidRPr="00005585">
        <w:t xml:space="preserve">Based on table </w:t>
      </w:r>
      <w:r w:rsidR="00710253">
        <w:t>2</w:t>
      </w:r>
      <w:r w:rsidRPr="00005585">
        <w:t>, we comput</w:t>
      </w:r>
      <w:r w:rsidR="000E536E" w:rsidRPr="00005585">
        <w:t>ed</w:t>
      </w:r>
      <w:r w:rsidRPr="00005585">
        <w:t xml:space="preserve"> the correlation of each strategy with its group. LO has correlation with its group (SE, LS) of 0.914; SE with its group (LO, LS) of 0.923; LS with its group (LO, SE) of 0.966. </w:t>
      </w:r>
    </w:p>
    <w:p w:rsidR="00373FC0" w:rsidRPr="00005585" w:rsidRDefault="00373FC0" w:rsidP="00373FC0">
      <w:pPr>
        <w:jc w:val="both"/>
      </w:pPr>
      <w:r w:rsidRPr="00005585">
        <w:t>ED’s correlation with its group (RV, MS) is 0.852; RV’s with its group (ED, MS) is 0.829; MS’s with its group (ED, RV) is 0.781.</w:t>
      </w:r>
    </w:p>
    <w:p w:rsidR="00373FC0" w:rsidRPr="00005585" w:rsidRDefault="000E536E" w:rsidP="00373FC0">
      <w:pPr>
        <w:jc w:val="both"/>
      </w:pPr>
      <w:r w:rsidRPr="00005585">
        <w:t>A</w:t>
      </w:r>
      <w:r w:rsidR="00373FC0" w:rsidRPr="00005585">
        <w:t xml:space="preserve">s expected, strategies are highly correlated with the group that they belong to. The same process is followed by S&amp;P at the fund level for all individual funds with the indices that they belong to, for verification purposes.      </w:t>
      </w:r>
    </w:p>
    <w:p w:rsidR="00373FC0" w:rsidRPr="00005585" w:rsidRDefault="00373FC0" w:rsidP="001D0001">
      <w:pPr>
        <w:pStyle w:val="Heading2"/>
      </w:pPr>
      <w:r w:rsidRPr="00005585">
        <w:t>Standard Deviation</w:t>
      </w:r>
    </w:p>
    <w:p w:rsidR="00373FC0" w:rsidRPr="00005585" w:rsidRDefault="00241039" w:rsidP="00373FC0">
      <w:pPr>
        <w:jc w:val="both"/>
      </w:pPr>
      <w:r w:rsidRPr="00005585">
        <w:t>We</w:t>
      </w:r>
      <w:r w:rsidR="00373FC0" w:rsidRPr="00005585">
        <w:t xml:space="preserve"> compare the standard deviations of strategies that belong to the same group. </w:t>
      </w:r>
    </w:p>
    <w:p w:rsidR="00373FC0" w:rsidRPr="00005585" w:rsidRDefault="00373FC0" w:rsidP="00373FC0">
      <w:pPr>
        <w:jc w:val="both"/>
      </w:pPr>
      <w:r w:rsidRPr="00005585">
        <w:t>LO, SE, LS have an average standard deviation equal to 3.120 and the distribution of their standard deviation</w:t>
      </w:r>
      <w:r w:rsidRPr="00005585">
        <w:rPr>
          <w:rStyle w:val="FootnoteReference"/>
        </w:rPr>
        <w:footnoteReference w:id="7"/>
      </w:r>
      <w:r w:rsidRPr="00005585">
        <w:t xml:space="preserve"> is equal to 0.405; GM, ED, SE have an average standard deviation equal to 2.372 and the distribution of their standard deviation is equal to 0.773, i.e. higher than the previous group; SB, CT, GM have an average standard deviation equal to 3.543 and the distribution of their standard deviation is equal to 0.594, which is also higher than the first group. </w:t>
      </w:r>
      <w:r w:rsidR="00241039" w:rsidRPr="00005585">
        <w:t>S</w:t>
      </w:r>
      <w:r w:rsidRPr="00005585">
        <w:t xml:space="preserve">trategies </w:t>
      </w:r>
      <w:r w:rsidR="00241039" w:rsidRPr="00005585">
        <w:t>that belong</w:t>
      </w:r>
      <w:r w:rsidRPr="00005585">
        <w:t xml:space="preserve"> to the same group (LO, SE, LS) have a narrower standard deviation distribution compared to the other two groups in our example (GM, ED, SE and SB, CT, GM).   </w:t>
      </w:r>
    </w:p>
    <w:p w:rsidR="00373FC0" w:rsidRPr="00005585" w:rsidRDefault="00743F6C" w:rsidP="00373FC0">
      <w:pPr>
        <w:jc w:val="both"/>
      </w:pPr>
      <w:r w:rsidRPr="00005585">
        <w:t>We now</w:t>
      </w:r>
      <w:r w:rsidR="00373FC0" w:rsidRPr="00005585">
        <w:t xml:space="preserve"> compare the standard deviation of a strategy to its peer group: LO has standard deviation of 3.437 compared to 2.919 for its peer group (SE, LS).  SE has standard deviation equal to 3.259 compared to 2.997 for its peer group (LO, LS).  LS has standard deviation of 2.663 compared to 3.245 for its peer group (LO, SE).  </w:t>
      </w:r>
    </w:p>
    <w:p w:rsidR="00373FC0" w:rsidRPr="00005585" w:rsidRDefault="00373FC0" w:rsidP="00373FC0">
      <w:pPr>
        <w:jc w:val="both"/>
      </w:pPr>
      <w:r w:rsidRPr="00005585">
        <w:lastRenderedPageBreak/>
        <w:t>Similarly, ED has standard deviation equal to 1.840 compared to 1.373 for its peer group (RV, MS).  RV has standard deviation equal to 1.238 compared to 1.669 for its peer group (ED, MS).  MS has standard deviation equal to 1.713 compared to 1.47</w:t>
      </w:r>
      <w:r w:rsidR="00F337A5" w:rsidRPr="00005585">
        <w:t xml:space="preserve">5 for its peer group (ED, RV). </w:t>
      </w:r>
      <w:r w:rsidR="0095603A" w:rsidRPr="00005585">
        <w:t>N</w:t>
      </w:r>
      <w:r w:rsidRPr="00005585">
        <w:t>ot surprisingly, the standard deviation is similar between each strategy and its related group.</w:t>
      </w:r>
    </w:p>
    <w:p w:rsidR="00373FC0" w:rsidRPr="00005585" w:rsidRDefault="00373FC0" w:rsidP="001D0001">
      <w:pPr>
        <w:pStyle w:val="Heading2"/>
      </w:pPr>
      <w:r w:rsidRPr="00005585">
        <w:t>Analysis of Variance (S&amp;P)</w:t>
      </w:r>
    </w:p>
    <w:p w:rsidR="00373FC0" w:rsidRPr="00005585" w:rsidRDefault="00373FC0" w:rsidP="00373FC0">
      <w:pPr>
        <w:jc w:val="both"/>
      </w:pPr>
      <w:r w:rsidRPr="00005585">
        <w:t>In order to validate the statistical consistency of the strategy groups, S&amp;P uses ANOVA</w:t>
      </w:r>
      <w:r w:rsidR="00926252" w:rsidRPr="00005585">
        <w:t xml:space="preserve"> by</w:t>
      </w:r>
      <w:r w:rsidRPr="00005585">
        <w:t xml:space="preserve"> examin</w:t>
      </w:r>
      <w:r w:rsidR="00926252" w:rsidRPr="00005585">
        <w:t>ing</w:t>
      </w:r>
      <w:r w:rsidRPr="00005585">
        <w:t xml:space="preserve"> whether the standardized distance within groups is less than the standardized distance between groups. In other words, </w:t>
      </w:r>
      <w:r w:rsidR="0001198D">
        <w:t xml:space="preserve">they check </w:t>
      </w:r>
      <w:r w:rsidRPr="00005585">
        <w:t>whether the mean vectors are the same and, if not, which mean components differ significantly.</w:t>
      </w:r>
    </w:p>
    <w:p w:rsidR="00373FC0" w:rsidRPr="00005585" w:rsidRDefault="00373FC0" w:rsidP="00373FC0">
      <w:pPr>
        <w:jc w:val="both"/>
        <w:rPr>
          <w:lang w:val="en-US"/>
        </w:rPr>
      </w:pPr>
      <w:r w:rsidRPr="00005585">
        <w:rPr>
          <w:lang w:val="en-US"/>
        </w:rPr>
        <w:t>The analysis of variance is based upon a decomposition of the observations:</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20"/>
        <w:gridCol w:w="336"/>
        <w:gridCol w:w="1773"/>
        <w:gridCol w:w="336"/>
        <w:gridCol w:w="2843"/>
        <w:gridCol w:w="336"/>
        <w:gridCol w:w="1376"/>
      </w:tblGrid>
      <w:tr w:rsidR="00005585" w:rsidRPr="00005585" w:rsidTr="00AD1045">
        <w:trPr>
          <w:trHeight w:val="255"/>
        </w:trPr>
        <w:tc>
          <w:tcPr>
            <w:tcW w:w="1420" w:type="dxa"/>
            <w:tcBorders>
              <w:top w:val="nil"/>
              <w:left w:val="nil"/>
              <w:bottom w:val="nil"/>
            </w:tcBorders>
            <w:hideMark/>
          </w:tcPr>
          <w:p w:rsidR="00373FC0" w:rsidRPr="00005585" w:rsidRDefault="00373FC0" w:rsidP="00AD1045">
            <w:pPr>
              <w:spacing w:after="0" w:line="240" w:lineRule="auto"/>
              <w:rPr>
                <w:rFonts w:eastAsia="Times New Roman" w:cs="Times New Roman"/>
                <w:b/>
                <w:bCs/>
                <w:sz w:val="20"/>
                <w:szCs w:val="20"/>
                <w:lang w:val="el-GR" w:eastAsia="el-GR"/>
              </w:rPr>
            </w:pPr>
            <w:r w:rsidRPr="00005585">
              <w:rPr>
                <w:rFonts w:eastAsia="Times New Roman" w:cs="Times New Roman"/>
                <w:sz w:val="20"/>
                <w:szCs w:val="20"/>
                <w:lang w:val="el-GR" w:eastAsia="el-GR"/>
              </w:rPr>
              <w:t>X</w:t>
            </w:r>
            <w:r w:rsidRPr="00005585">
              <w:rPr>
                <w:rFonts w:eastAsia="Times New Roman" w:cs="Times New Roman"/>
                <w:sz w:val="12"/>
                <w:szCs w:val="12"/>
                <w:lang w:val="el-GR" w:eastAsia="el-GR"/>
              </w:rPr>
              <w:t xml:space="preserve">li </w:t>
            </w:r>
          </w:p>
        </w:tc>
        <w:tc>
          <w:tcPr>
            <w:tcW w:w="0" w:type="auto"/>
            <w:tcBorders>
              <w:top w:val="nil"/>
              <w:bottom w:val="nil"/>
            </w:tcBorders>
            <w:noWrap/>
            <w:hideMark/>
          </w:tcPr>
          <w:p w:rsidR="00373FC0" w:rsidRPr="00005585" w:rsidRDefault="00373FC0" w:rsidP="00AD1045">
            <w:pPr>
              <w:spacing w:after="0" w:line="240" w:lineRule="auto"/>
              <w:rPr>
                <w:rFonts w:eastAsia="Times New Roman" w:cs="Times New Roman"/>
                <w:sz w:val="20"/>
                <w:szCs w:val="20"/>
                <w:lang w:val="el-GR" w:eastAsia="el-GR"/>
              </w:rPr>
            </w:pPr>
            <w:r w:rsidRPr="00005585">
              <w:rPr>
                <w:rFonts w:eastAsia="Times New Roman" w:cs="Times New Roman"/>
                <w:sz w:val="20"/>
                <w:szCs w:val="20"/>
                <w:lang w:val="el-GR" w:eastAsia="el-GR"/>
              </w:rPr>
              <w:t> </w:t>
            </w:r>
          </w:p>
        </w:tc>
        <w:tc>
          <w:tcPr>
            <w:tcW w:w="0" w:type="auto"/>
            <w:tcBorders>
              <w:top w:val="nil"/>
              <w:bottom w:val="nil"/>
            </w:tcBorders>
            <w:hideMark/>
          </w:tcPr>
          <w:p w:rsidR="00373FC0" w:rsidRPr="00005585" w:rsidRDefault="00373FC0" w:rsidP="00AD1045">
            <w:pPr>
              <w:spacing w:after="0" w:line="240" w:lineRule="auto"/>
              <w:rPr>
                <w:rFonts w:eastAsia="Times New Roman" w:cs="Times New Roman"/>
                <w:b/>
                <w:bCs/>
                <w:sz w:val="20"/>
                <w:szCs w:val="20"/>
                <w:lang w:val="el-GR" w:eastAsia="el-GR"/>
              </w:rPr>
            </w:pPr>
            <w:r w:rsidRPr="00005585">
              <w:rPr>
                <w:rFonts w:eastAsia="Times New Roman" w:cs="Times New Roman"/>
                <w:sz w:val="20"/>
                <w:szCs w:val="20"/>
                <w:lang w:val="el-GR" w:eastAsia="el-GR"/>
              </w:rPr>
              <w:t>X̅</w:t>
            </w:r>
          </w:p>
        </w:tc>
        <w:tc>
          <w:tcPr>
            <w:tcW w:w="0" w:type="auto"/>
            <w:tcBorders>
              <w:top w:val="nil"/>
              <w:bottom w:val="nil"/>
            </w:tcBorders>
            <w:noWrap/>
            <w:hideMark/>
          </w:tcPr>
          <w:p w:rsidR="00373FC0" w:rsidRPr="00005585" w:rsidRDefault="00373FC0" w:rsidP="00AD1045">
            <w:pPr>
              <w:spacing w:after="0" w:line="240" w:lineRule="auto"/>
              <w:rPr>
                <w:rFonts w:eastAsia="Times New Roman" w:cs="Times New Roman"/>
                <w:sz w:val="20"/>
                <w:szCs w:val="20"/>
                <w:lang w:val="el-GR" w:eastAsia="el-GR"/>
              </w:rPr>
            </w:pPr>
            <w:r w:rsidRPr="00005585">
              <w:rPr>
                <w:rFonts w:eastAsia="Times New Roman" w:cs="Times New Roman"/>
                <w:sz w:val="20"/>
                <w:szCs w:val="20"/>
                <w:lang w:val="el-GR" w:eastAsia="el-GR"/>
              </w:rPr>
              <w:t> </w:t>
            </w:r>
          </w:p>
        </w:tc>
        <w:tc>
          <w:tcPr>
            <w:tcW w:w="0" w:type="auto"/>
            <w:tcBorders>
              <w:top w:val="nil"/>
              <w:bottom w:val="nil"/>
            </w:tcBorders>
            <w:hideMark/>
          </w:tcPr>
          <w:p w:rsidR="00373FC0" w:rsidRPr="00005585" w:rsidRDefault="00373FC0" w:rsidP="00AD1045">
            <w:pPr>
              <w:spacing w:after="0" w:line="240" w:lineRule="auto"/>
              <w:rPr>
                <w:rFonts w:eastAsia="Times New Roman" w:cs="Times New Roman"/>
                <w:b/>
                <w:bCs/>
                <w:sz w:val="20"/>
                <w:szCs w:val="20"/>
                <w:lang w:val="el-GR" w:eastAsia="el-GR"/>
              </w:rPr>
            </w:pPr>
            <w:r w:rsidRPr="00005585">
              <w:rPr>
                <w:rFonts w:eastAsia="Times New Roman" w:cs="Times New Roman"/>
                <w:sz w:val="20"/>
                <w:szCs w:val="20"/>
                <w:lang w:val="el-GR" w:eastAsia="el-GR"/>
              </w:rPr>
              <w:t>X̅</w:t>
            </w:r>
            <w:r w:rsidRPr="00005585">
              <w:rPr>
                <w:rFonts w:eastAsia="Times New Roman" w:cs="Times New Roman"/>
                <w:sz w:val="12"/>
                <w:szCs w:val="12"/>
                <w:lang w:val="el-GR" w:eastAsia="el-GR"/>
              </w:rPr>
              <w:t>l</w:t>
            </w:r>
            <w:r w:rsidRPr="00005585">
              <w:rPr>
                <w:rFonts w:eastAsia="Times New Roman" w:cs="Times New Roman"/>
                <w:sz w:val="20"/>
                <w:szCs w:val="20"/>
                <w:lang w:val="el-GR" w:eastAsia="el-GR"/>
              </w:rPr>
              <w:t xml:space="preserve"> - X̅</w:t>
            </w:r>
          </w:p>
        </w:tc>
        <w:tc>
          <w:tcPr>
            <w:tcW w:w="0" w:type="auto"/>
            <w:tcBorders>
              <w:top w:val="nil"/>
              <w:bottom w:val="nil"/>
            </w:tcBorders>
            <w:noWrap/>
            <w:hideMark/>
          </w:tcPr>
          <w:p w:rsidR="00373FC0" w:rsidRPr="00005585" w:rsidRDefault="00373FC0" w:rsidP="00AD1045">
            <w:pPr>
              <w:spacing w:after="0" w:line="240" w:lineRule="auto"/>
              <w:rPr>
                <w:rFonts w:eastAsia="Times New Roman" w:cs="Times New Roman"/>
                <w:sz w:val="20"/>
                <w:szCs w:val="20"/>
                <w:lang w:val="el-GR" w:eastAsia="el-GR"/>
              </w:rPr>
            </w:pPr>
            <w:r w:rsidRPr="00005585">
              <w:rPr>
                <w:rFonts w:eastAsia="Times New Roman" w:cs="Times New Roman"/>
                <w:sz w:val="20"/>
                <w:szCs w:val="20"/>
                <w:lang w:val="el-GR" w:eastAsia="el-GR"/>
              </w:rPr>
              <w:t> </w:t>
            </w:r>
          </w:p>
        </w:tc>
        <w:tc>
          <w:tcPr>
            <w:tcW w:w="1376" w:type="dxa"/>
            <w:tcBorders>
              <w:top w:val="nil"/>
              <w:bottom w:val="nil"/>
              <w:right w:val="nil"/>
            </w:tcBorders>
            <w:hideMark/>
          </w:tcPr>
          <w:p w:rsidR="00373FC0" w:rsidRPr="00005585" w:rsidRDefault="00373FC0" w:rsidP="00AD1045">
            <w:pPr>
              <w:spacing w:after="0" w:line="240" w:lineRule="auto"/>
              <w:rPr>
                <w:rFonts w:eastAsia="Times New Roman" w:cs="Times New Roman"/>
                <w:b/>
                <w:bCs/>
                <w:sz w:val="20"/>
                <w:szCs w:val="20"/>
                <w:lang w:val="el-GR" w:eastAsia="el-GR"/>
              </w:rPr>
            </w:pPr>
            <w:r w:rsidRPr="00005585">
              <w:rPr>
                <w:rFonts w:eastAsia="Times New Roman" w:cs="Times New Roman"/>
                <w:sz w:val="20"/>
                <w:szCs w:val="20"/>
                <w:lang w:val="el-GR" w:eastAsia="el-GR"/>
              </w:rPr>
              <w:t>X</w:t>
            </w:r>
            <w:r w:rsidRPr="00005585">
              <w:rPr>
                <w:rFonts w:eastAsia="Times New Roman" w:cs="Times New Roman"/>
                <w:sz w:val="12"/>
                <w:szCs w:val="12"/>
                <w:lang w:val="el-GR" w:eastAsia="el-GR"/>
              </w:rPr>
              <w:t xml:space="preserve">li - </w:t>
            </w:r>
            <w:r w:rsidRPr="00005585">
              <w:rPr>
                <w:rFonts w:eastAsia="Times New Roman" w:cs="Times New Roman"/>
                <w:sz w:val="20"/>
                <w:szCs w:val="20"/>
                <w:lang w:val="el-GR" w:eastAsia="el-GR"/>
              </w:rPr>
              <w:t>X̅</w:t>
            </w:r>
            <w:r w:rsidRPr="00005585">
              <w:rPr>
                <w:rFonts w:eastAsia="Times New Roman" w:cs="Times New Roman"/>
                <w:sz w:val="12"/>
                <w:szCs w:val="12"/>
                <w:lang w:val="el-GR" w:eastAsia="el-GR"/>
              </w:rPr>
              <w:t>l</w:t>
            </w:r>
          </w:p>
        </w:tc>
      </w:tr>
      <w:tr w:rsidR="00373FC0" w:rsidRPr="00005585" w:rsidTr="00AD1045">
        <w:trPr>
          <w:trHeight w:val="454"/>
        </w:trPr>
        <w:tc>
          <w:tcPr>
            <w:tcW w:w="1420" w:type="dxa"/>
            <w:tcBorders>
              <w:top w:val="nil"/>
              <w:left w:val="nil"/>
              <w:bottom w:val="nil"/>
            </w:tcBorders>
            <w:hideMark/>
          </w:tcPr>
          <w:p w:rsidR="00373FC0" w:rsidRPr="00005585" w:rsidRDefault="00373FC0" w:rsidP="00AD1045">
            <w:pPr>
              <w:spacing w:after="0" w:line="240" w:lineRule="auto"/>
              <w:rPr>
                <w:rFonts w:eastAsia="Times New Roman" w:cs="Times New Roman"/>
                <w:b/>
                <w:bCs/>
                <w:sz w:val="20"/>
                <w:szCs w:val="20"/>
                <w:lang w:eastAsia="el-GR"/>
              </w:rPr>
            </w:pPr>
            <w:r w:rsidRPr="00005585">
              <w:rPr>
                <w:rFonts w:eastAsia="Times New Roman" w:cs="Times New Roman"/>
                <w:b/>
                <w:sz w:val="20"/>
                <w:szCs w:val="20"/>
                <w:lang w:val="el-GR" w:eastAsia="el-GR"/>
              </w:rPr>
              <w:t>Observation</w:t>
            </w:r>
            <w:r w:rsidRPr="00005585">
              <w:rPr>
                <w:rFonts w:eastAsia="Times New Roman" w:cs="Times New Roman"/>
                <w:b/>
                <w:sz w:val="20"/>
                <w:szCs w:val="20"/>
                <w:lang w:eastAsia="el-GR"/>
              </w:rPr>
              <w:t xml:space="preserve"> </w:t>
            </w:r>
            <w:r w:rsidRPr="00005585">
              <w:rPr>
                <w:rFonts w:eastAsia="Times New Roman" w:cs="Times New Roman"/>
                <w:b/>
                <w:sz w:val="14"/>
                <w:szCs w:val="14"/>
                <w:lang w:eastAsia="el-GR"/>
              </w:rPr>
              <w:t>(</w:t>
            </w:r>
            <w:proofErr w:type="spellStart"/>
            <w:r w:rsidRPr="00005585">
              <w:rPr>
                <w:rFonts w:eastAsia="Times New Roman" w:cs="Times New Roman"/>
                <w:b/>
                <w:sz w:val="14"/>
                <w:szCs w:val="14"/>
                <w:lang w:eastAsia="el-GR"/>
              </w:rPr>
              <w:t>SSobs</w:t>
            </w:r>
            <w:proofErr w:type="spellEnd"/>
            <w:r w:rsidRPr="00005585">
              <w:rPr>
                <w:rFonts w:eastAsia="Times New Roman" w:cs="Times New Roman"/>
                <w:b/>
                <w:sz w:val="14"/>
                <w:szCs w:val="14"/>
                <w:lang w:eastAsia="el-GR"/>
              </w:rPr>
              <w:t>)</w:t>
            </w:r>
          </w:p>
        </w:tc>
        <w:tc>
          <w:tcPr>
            <w:tcW w:w="0" w:type="auto"/>
            <w:tcBorders>
              <w:top w:val="nil"/>
              <w:bottom w:val="nil"/>
            </w:tcBorders>
            <w:hideMark/>
          </w:tcPr>
          <w:p w:rsidR="00373FC0" w:rsidRPr="00005585" w:rsidRDefault="00373FC0" w:rsidP="00AD1045">
            <w:pPr>
              <w:spacing w:after="0" w:line="240" w:lineRule="auto"/>
              <w:jc w:val="center"/>
              <w:rPr>
                <w:rFonts w:eastAsia="Times New Roman" w:cs="Times New Roman"/>
                <w:b/>
                <w:bCs/>
                <w:szCs w:val="24"/>
                <w:lang w:val="el-GR" w:eastAsia="el-GR"/>
              </w:rPr>
            </w:pPr>
            <w:r w:rsidRPr="00005585">
              <w:rPr>
                <w:rFonts w:eastAsia="Times New Roman" w:cs="Times New Roman"/>
                <w:b/>
                <w:bCs/>
                <w:szCs w:val="24"/>
                <w:lang w:val="el-GR" w:eastAsia="el-GR"/>
              </w:rPr>
              <w:t>=</w:t>
            </w:r>
          </w:p>
        </w:tc>
        <w:tc>
          <w:tcPr>
            <w:tcW w:w="0" w:type="auto"/>
            <w:tcBorders>
              <w:top w:val="nil"/>
              <w:bottom w:val="nil"/>
            </w:tcBorders>
            <w:hideMark/>
          </w:tcPr>
          <w:p w:rsidR="00373FC0" w:rsidRPr="00005585" w:rsidRDefault="00373FC0" w:rsidP="00AD1045">
            <w:pPr>
              <w:spacing w:after="0" w:line="240" w:lineRule="auto"/>
              <w:rPr>
                <w:rFonts w:eastAsia="Times New Roman" w:cs="Times New Roman"/>
                <w:b/>
                <w:bCs/>
                <w:sz w:val="20"/>
                <w:szCs w:val="20"/>
                <w:lang w:eastAsia="el-GR"/>
              </w:rPr>
            </w:pPr>
            <w:r w:rsidRPr="00005585">
              <w:rPr>
                <w:rFonts w:eastAsia="Times New Roman" w:cs="Times New Roman"/>
                <w:b/>
                <w:bCs/>
                <w:sz w:val="20"/>
                <w:szCs w:val="20"/>
                <w:lang w:val="el-GR" w:eastAsia="el-GR"/>
              </w:rPr>
              <w:t>overal</w:t>
            </w:r>
            <w:r w:rsidRPr="00005585">
              <w:rPr>
                <w:rFonts w:eastAsia="Times New Roman" w:cs="Times New Roman"/>
                <w:b/>
                <w:bCs/>
                <w:sz w:val="20"/>
                <w:szCs w:val="20"/>
                <w:lang w:eastAsia="el-GR"/>
              </w:rPr>
              <w:t>l</w:t>
            </w:r>
            <w:r w:rsidRPr="00005585">
              <w:rPr>
                <w:rFonts w:eastAsia="Times New Roman" w:cs="Times New Roman"/>
                <w:b/>
                <w:bCs/>
                <w:sz w:val="20"/>
                <w:szCs w:val="20"/>
                <w:lang w:val="el-GR" w:eastAsia="el-GR"/>
              </w:rPr>
              <w:t xml:space="preserve"> sample </w:t>
            </w:r>
            <w:r w:rsidRPr="00005585">
              <w:rPr>
                <w:rFonts w:eastAsia="Times New Roman" w:cs="Times New Roman"/>
                <w:b/>
                <w:bCs/>
                <w:sz w:val="14"/>
                <w:szCs w:val="14"/>
                <w:lang w:val="el-GR" w:eastAsia="el-GR"/>
              </w:rPr>
              <w:t>mean</w:t>
            </w:r>
            <w:r w:rsidRPr="00005585">
              <w:rPr>
                <w:rFonts w:eastAsia="Times New Roman" w:cs="Times New Roman"/>
                <w:b/>
                <w:bCs/>
                <w:sz w:val="14"/>
                <w:szCs w:val="14"/>
                <w:lang w:eastAsia="el-GR"/>
              </w:rPr>
              <w:t xml:space="preserve"> (</w:t>
            </w:r>
            <w:proofErr w:type="spellStart"/>
            <w:r w:rsidRPr="00005585">
              <w:rPr>
                <w:rFonts w:eastAsia="Times New Roman" w:cs="Times New Roman"/>
                <w:b/>
                <w:bCs/>
                <w:sz w:val="14"/>
                <w:szCs w:val="14"/>
                <w:lang w:eastAsia="el-GR"/>
              </w:rPr>
              <w:t>SSmean</w:t>
            </w:r>
            <w:proofErr w:type="spellEnd"/>
            <w:r w:rsidRPr="00005585">
              <w:rPr>
                <w:rFonts w:eastAsia="Times New Roman" w:cs="Times New Roman"/>
                <w:b/>
                <w:bCs/>
                <w:sz w:val="14"/>
                <w:szCs w:val="14"/>
                <w:lang w:eastAsia="el-GR"/>
              </w:rPr>
              <w:t>)</w:t>
            </w:r>
          </w:p>
        </w:tc>
        <w:tc>
          <w:tcPr>
            <w:tcW w:w="0" w:type="auto"/>
            <w:tcBorders>
              <w:top w:val="nil"/>
              <w:bottom w:val="nil"/>
            </w:tcBorders>
            <w:hideMark/>
          </w:tcPr>
          <w:p w:rsidR="00373FC0" w:rsidRPr="00005585" w:rsidRDefault="00373FC0" w:rsidP="00AD1045">
            <w:pPr>
              <w:spacing w:after="0" w:line="240" w:lineRule="auto"/>
              <w:jc w:val="center"/>
              <w:rPr>
                <w:rFonts w:eastAsia="Times New Roman" w:cs="Times New Roman"/>
                <w:b/>
                <w:bCs/>
                <w:szCs w:val="24"/>
                <w:lang w:val="el-GR" w:eastAsia="el-GR"/>
              </w:rPr>
            </w:pPr>
            <w:r w:rsidRPr="00005585">
              <w:rPr>
                <w:rFonts w:eastAsia="Times New Roman" w:cs="Times New Roman"/>
                <w:b/>
                <w:bCs/>
                <w:szCs w:val="24"/>
                <w:lang w:val="el-GR" w:eastAsia="el-GR"/>
              </w:rPr>
              <w:t>+</w:t>
            </w:r>
          </w:p>
        </w:tc>
        <w:tc>
          <w:tcPr>
            <w:tcW w:w="0" w:type="auto"/>
            <w:tcBorders>
              <w:top w:val="nil"/>
              <w:bottom w:val="nil"/>
            </w:tcBorders>
            <w:hideMark/>
          </w:tcPr>
          <w:p w:rsidR="00373FC0" w:rsidRPr="00005585" w:rsidRDefault="00373FC0" w:rsidP="00AD1045">
            <w:pPr>
              <w:spacing w:after="0" w:line="240" w:lineRule="auto"/>
              <w:rPr>
                <w:rFonts w:eastAsia="Times New Roman" w:cs="Times New Roman"/>
                <w:b/>
                <w:bCs/>
                <w:sz w:val="20"/>
                <w:szCs w:val="20"/>
                <w:lang w:eastAsia="el-GR"/>
              </w:rPr>
            </w:pPr>
            <w:r w:rsidRPr="00005585">
              <w:rPr>
                <w:rFonts w:eastAsia="Times New Roman" w:cs="Times New Roman"/>
                <w:b/>
                <w:bCs/>
                <w:sz w:val="20"/>
                <w:szCs w:val="20"/>
                <w:lang w:eastAsia="el-GR"/>
              </w:rPr>
              <w:t xml:space="preserve">estimated treatment effect </w:t>
            </w:r>
            <w:r w:rsidRPr="00005585">
              <w:rPr>
                <w:rFonts w:eastAsia="Times New Roman" w:cs="Times New Roman"/>
                <w:b/>
                <w:bCs/>
                <w:sz w:val="14"/>
                <w:szCs w:val="14"/>
                <w:lang w:eastAsia="el-GR"/>
              </w:rPr>
              <w:t>(</w:t>
            </w:r>
            <w:proofErr w:type="spellStart"/>
            <w:r w:rsidRPr="00005585">
              <w:rPr>
                <w:rFonts w:eastAsia="Times New Roman" w:cs="Times New Roman"/>
                <w:b/>
                <w:bCs/>
                <w:sz w:val="14"/>
                <w:szCs w:val="14"/>
                <w:lang w:eastAsia="el-GR"/>
              </w:rPr>
              <w:t>SStr</w:t>
            </w:r>
            <w:proofErr w:type="spellEnd"/>
            <w:r w:rsidRPr="00005585">
              <w:rPr>
                <w:rFonts w:eastAsia="Times New Roman" w:cs="Times New Roman"/>
                <w:b/>
                <w:bCs/>
                <w:sz w:val="14"/>
                <w:szCs w:val="14"/>
                <w:lang w:eastAsia="el-GR"/>
              </w:rPr>
              <w:t xml:space="preserve"> -between samples-)</w:t>
            </w:r>
          </w:p>
        </w:tc>
        <w:tc>
          <w:tcPr>
            <w:tcW w:w="0" w:type="auto"/>
            <w:tcBorders>
              <w:top w:val="nil"/>
              <w:bottom w:val="nil"/>
            </w:tcBorders>
            <w:hideMark/>
          </w:tcPr>
          <w:p w:rsidR="00373FC0" w:rsidRPr="00005585" w:rsidRDefault="00373FC0" w:rsidP="00AD1045">
            <w:pPr>
              <w:spacing w:after="0" w:line="240" w:lineRule="auto"/>
              <w:jc w:val="center"/>
              <w:rPr>
                <w:rFonts w:eastAsia="Times New Roman" w:cs="Times New Roman"/>
                <w:b/>
                <w:bCs/>
                <w:szCs w:val="24"/>
                <w:lang w:val="el-GR" w:eastAsia="el-GR"/>
              </w:rPr>
            </w:pPr>
            <w:r w:rsidRPr="00005585">
              <w:rPr>
                <w:rFonts w:eastAsia="Times New Roman" w:cs="Times New Roman"/>
                <w:b/>
                <w:bCs/>
                <w:szCs w:val="24"/>
                <w:lang w:val="el-GR" w:eastAsia="el-GR"/>
              </w:rPr>
              <w:t>+</w:t>
            </w:r>
          </w:p>
        </w:tc>
        <w:tc>
          <w:tcPr>
            <w:tcW w:w="1376" w:type="dxa"/>
            <w:tcBorders>
              <w:top w:val="nil"/>
              <w:bottom w:val="nil"/>
              <w:right w:val="nil"/>
            </w:tcBorders>
            <w:hideMark/>
          </w:tcPr>
          <w:p w:rsidR="00373FC0" w:rsidRPr="00005585" w:rsidRDefault="00373FC0" w:rsidP="00AD1045">
            <w:pPr>
              <w:spacing w:after="0" w:line="240" w:lineRule="auto"/>
              <w:rPr>
                <w:rFonts w:eastAsia="Times New Roman" w:cs="Times New Roman"/>
                <w:b/>
                <w:bCs/>
                <w:sz w:val="20"/>
                <w:szCs w:val="20"/>
                <w:lang w:eastAsia="el-GR"/>
              </w:rPr>
            </w:pPr>
            <w:r w:rsidRPr="00005585">
              <w:rPr>
                <w:rFonts w:eastAsia="Times New Roman" w:cs="Times New Roman"/>
                <w:b/>
                <w:bCs/>
                <w:sz w:val="20"/>
                <w:szCs w:val="20"/>
                <w:lang w:eastAsia="el-GR"/>
              </w:rPr>
              <w:t>R</w:t>
            </w:r>
            <w:r w:rsidRPr="00005585">
              <w:rPr>
                <w:rFonts w:eastAsia="Times New Roman" w:cs="Times New Roman"/>
                <w:b/>
                <w:bCs/>
                <w:sz w:val="20"/>
                <w:szCs w:val="20"/>
                <w:lang w:val="el-GR" w:eastAsia="el-GR"/>
              </w:rPr>
              <w:t>esidual</w:t>
            </w:r>
            <w:r w:rsidRPr="00005585">
              <w:rPr>
                <w:rFonts w:eastAsia="Times New Roman" w:cs="Times New Roman"/>
                <w:b/>
                <w:bCs/>
                <w:sz w:val="20"/>
                <w:szCs w:val="20"/>
                <w:lang w:eastAsia="el-GR"/>
              </w:rPr>
              <w:t xml:space="preserve"> </w:t>
            </w:r>
            <w:r w:rsidRPr="00005585">
              <w:rPr>
                <w:rFonts w:eastAsia="Times New Roman" w:cs="Times New Roman"/>
                <w:b/>
                <w:bCs/>
                <w:sz w:val="14"/>
                <w:szCs w:val="14"/>
                <w:lang w:eastAsia="el-GR"/>
              </w:rPr>
              <w:t>(</w:t>
            </w:r>
            <w:proofErr w:type="spellStart"/>
            <w:r w:rsidRPr="00005585">
              <w:rPr>
                <w:rFonts w:eastAsia="Times New Roman" w:cs="Times New Roman"/>
                <w:b/>
                <w:bCs/>
                <w:sz w:val="14"/>
                <w:szCs w:val="14"/>
                <w:lang w:eastAsia="el-GR"/>
              </w:rPr>
              <w:t>SSres</w:t>
            </w:r>
            <w:proofErr w:type="spellEnd"/>
            <w:r w:rsidRPr="00005585">
              <w:rPr>
                <w:rFonts w:eastAsia="Times New Roman" w:cs="Times New Roman"/>
                <w:b/>
                <w:bCs/>
                <w:sz w:val="14"/>
                <w:szCs w:val="14"/>
                <w:lang w:eastAsia="el-GR"/>
              </w:rPr>
              <w:t xml:space="preserve"> –within samples-)</w:t>
            </w:r>
          </w:p>
        </w:tc>
      </w:tr>
    </w:tbl>
    <w:p w:rsidR="00D501C1" w:rsidRDefault="00D501C1" w:rsidP="00D501C1">
      <w:pPr>
        <w:spacing w:line="240" w:lineRule="auto"/>
        <w:ind w:left="6481" w:firstLine="720"/>
        <w:jc w:val="both"/>
      </w:pPr>
    </w:p>
    <w:p w:rsidR="00373FC0" w:rsidRPr="00005585" w:rsidRDefault="00373FC0" w:rsidP="00373FC0">
      <w:pPr>
        <w:jc w:val="both"/>
      </w:pPr>
      <w:r w:rsidRPr="00005585">
        <w:t>This decomposition into sums of squares allocates variability in the combined samples into mean, treatment, and residual (error) components.</w:t>
      </w:r>
    </w:p>
    <w:p w:rsidR="00373FC0" w:rsidRPr="00005585" w:rsidRDefault="00373FC0" w:rsidP="00373FC0">
      <w:pPr>
        <w:shd w:val="clear" w:color="auto" w:fill="FFFFFF"/>
        <w:spacing w:after="240"/>
        <w:jc w:val="both"/>
        <w:rPr>
          <w:rFonts w:eastAsia="Times New Roman" w:cs="Times New Roman"/>
          <w:szCs w:val="24"/>
          <w:lang w:eastAsia="en-GB"/>
        </w:rPr>
      </w:pPr>
      <w:r w:rsidRPr="00005585">
        <w:rPr>
          <w:rFonts w:eastAsia="Times New Roman" w:cs="Times New Roman"/>
          <w:szCs w:val="24"/>
          <w:lang w:eastAsia="en-GB"/>
        </w:rPr>
        <w:t>Table</w:t>
      </w:r>
      <w:r w:rsidRPr="00297DF5">
        <w:rPr>
          <w:rFonts w:eastAsia="Times New Roman" w:cs="Times New Roman"/>
          <w:szCs w:val="24"/>
          <w:lang w:eastAsia="en-GB"/>
        </w:rPr>
        <w:t xml:space="preserve"> </w:t>
      </w:r>
      <w:r w:rsidR="004E07DC" w:rsidRPr="00297DF5">
        <w:rPr>
          <w:rFonts w:eastAsia="Times New Roman" w:cs="Times New Roman"/>
          <w:szCs w:val="24"/>
          <w:lang w:eastAsia="en-GB"/>
        </w:rPr>
        <w:t>3</w:t>
      </w:r>
      <w:r w:rsidR="00FE5D6A" w:rsidRPr="00297DF5">
        <w:rPr>
          <w:rFonts w:eastAsia="Times New Roman" w:cs="Times New Roman"/>
          <w:szCs w:val="24"/>
          <w:lang w:eastAsia="en-GB"/>
        </w:rPr>
        <w:t xml:space="preserve"> </w:t>
      </w:r>
      <w:r w:rsidRPr="00005585">
        <w:rPr>
          <w:rFonts w:eastAsia="Times New Roman" w:cs="Times New Roman"/>
          <w:szCs w:val="24"/>
          <w:lang w:eastAsia="en-GB"/>
        </w:rPr>
        <w:t>present</w:t>
      </w:r>
      <w:r w:rsidR="00FE5D6A" w:rsidRPr="00005585">
        <w:rPr>
          <w:rFonts w:eastAsia="Times New Roman" w:cs="Times New Roman"/>
          <w:szCs w:val="24"/>
          <w:lang w:eastAsia="en-GB"/>
        </w:rPr>
        <w:t>s</w:t>
      </w:r>
      <w:r w:rsidRPr="00005585">
        <w:rPr>
          <w:rFonts w:eastAsia="Times New Roman" w:cs="Times New Roman"/>
          <w:szCs w:val="24"/>
          <w:lang w:eastAsia="en-GB"/>
        </w:rPr>
        <w:t xml:space="preserve"> pair ANOVAs between funds (or strategies) in our sample. </w:t>
      </w:r>
    </w:p>
    <w:p w:rsidR="00373FC0" w:rsidRPr="00005585" w:rsidRDefault="00920658" w:rsidP="00373FC0">
      <w:pPr>
        <w:jc w:val="center"/>
        <w:rPr>
          <w:b/>
        </w:rPr>
      </w:pPr>
      <w:r w:rsidRPr="00755198">
        <w:rPr>
          <w:b/>
        </w:rPr>
        <w:t xml:space="preserve">Table </w:t>
      </w:r>
      <w:r w:rsidR="00E73312" w:rsidRPr="00755198">
        <w:rPr>
          <w:b/>
        </w:rPr>
        <w:t>(</w:t>
      </w:r>
      <w:r w:rsidR="004E07DC" w:rsidRPr="00755198">
        <w:rPr>
          <w:b/>
        </w:rPr>
        <w:t>3</w:t>
      </w:r>
      <w:r w:rsidR="00E73312" w:rsidRPr="00755198">
        <w:rPr>
          <w:b/>
        </w:rPr>
        <w:t xml:space="preserve">) </w:t>
      </w:r>
      <w:r w:rsidR="00373FC0" w:rsidRPr="00755198">
        <w:rPr>
          <w:b/>
        </w:rPr>
        <w:t xml:space="preserve">about </w:t>
      </w:r>
      <w:r w:rsidR="00373FC0" w:rsidRPr="00005585">
        <w:rPr>
          <w:b/>
        </w:rPr>
        <w:t>here</w:t>
      </w:r>
    </w:p>
    <w:p w:rsidR="0001198D" w:rsidRDefault="00373FC0" w:rsidP="00373FC0">
      <w:pPr>
        <w:jc w:val="both"/>
      </w:pPr>
      <w:r w:rsidRPr="00005585">
        <w:t xml:space="preserve">The average pairs ANOVA of the group LO, SE, LS is 1.913. Between non-groups such as GM, ED, SE and SB, CT, GM it is much higher, equal to 4.514 and 102.783 respectively. </w:t>
      </w:r>
    </w:p>
    <w:p w:rsidR="00373FC0" w:rsidRPr="00005585" w:rsidRDefault="00FE5D6A" w:rsidP="00373FC0">
      <w:pPr>
        <w:jc w:val="both"/>
      </w:pPr>
      <w:r w:rsidRPr="00005585">
        <w:t>F</w:t>
      </w:r>
      <w:r w:rsidR="00373FC0" w:rsidRPr="00005585">
        <w:t xml:space="preserve">igure </w:t>
      </w:r>
      <w:r w:rsidR="0001198D">
        <w:t>3</w:t>
      </w:r>
      <w:r w:rsidR="00373FC0" w:rsidRPr="00005585">
        <w:t xml:space="preserve"> </w:t>
      </w:r>
      <w:r w:rsidRPr="00005585">
        <w:t>presents</w:t>
      </w:r>
      <w:r w:rsidR="00373FC0" w:rsidRPr="00005585">
        <w:t xml:space="preserve"> a visual representation of the ANOVAs.</w:t>
      </w:r>
      <w:r w:rsidR="0001198D">
        <w:t xml:space="preserve"> </w:t>
      </w:r>
      <w:r w:rsidR="00373FC0" w:rsidRPr="00005585">
        <w:rPr>
          <w:rFonts w:eastAsia="Times New Roman" w:cs="Times New Roman"/>
          <w:szCs w:val="24"/>
          <w:lang w:eastAsia="en-GB"/>
        </w:rPr>
        <w:t>For example, the SB and SE strategies have one of the highest ANOVAs between them compared to other pair ANOVAs. On the other hand MN and ED have one of the lowest ANOVAs between them compared to other pair ANOVAs.</w:t>
      </w:r>
    </w:p>
    <w:p w:rsidR="00373FC0" w:rsidRPr="00755198" w:rsidRDefault="00CC3347" w:rsidP="00373FC0">
      <w:pPr>
        <w:jc w:val="center"/>
        <w:rPr>
          <w:b/>
        </w:rPr>
      </w:pPr>
      <w:r w:rsidRPr="00755198">
        <w:rPr>
          <w:b/>
        </w:rPr>
        <w:t xml:space="preserve">Figure </w:t>
      </w:r>
      <w:r w:rsidR="005C32B4" w:rsidRPr="00755198">
        <w:rPr>
          <w:b/>
        </w:rPr>
        <w:t>(</w:t>
      </w:r>
      <w:r w:rsidR="00352523" w:rsidRPr="00755198">
        <w:rPr>
          <w:b/>
        </w:rPr>
        <w:t>3</w:t>
      </w:r>
      <w:r w:rsidR="005C32B4" w:rsidRPr="00755198">
        <w:rPr>
          <w:b/>
        </w:rPr>
        <w:t xml:space="preserve">) </w:t>
      </w:r>
      <w:r w:rsidR="00373FC0" w:rsidRPr="00755198">
        <w:rPr>
          <w:b/>
        </w:rPr>
        <w:t>about here</w:t>
      </w:r>
    </w:p>
    <w:p w:rsidR="00373FC0" w:rsidRPr="00005585" w:rsidRDefault="00373FC0" w:rsidP="00373FC0">
      <w:pPr>
        <w:jc w:val="both"/>
      </w:pPr>
      <w:r w:rsidRPr="00005585">
        <w:lastRenderedPageBreak/>
        <w:t xml:space="preserve">We show two example within-group ANOVA calculations in tables </w:t>
      </w:r>
      <w:r w:rsidR="00710253">
        <w:t>4</w:t>
      </w:r>
      <w:r w:rsidRPr="00005585">
        <w:t xml:space="preserve"> and </w:t>
      </w:r>
      <w:r w:rsidR="00710253">
        <w:t>5</w:t>
      </w:r>
      <w:r w:rsidRPr="00005585">
        <w:t xml:space="preserve">. First we compute the ANOVA within group LO, SE, LS (table </w:t>
      </w:r>
      <w:r w:rsidR="00710253">
        <w:t>4</w:t>
      </w:r>
      <w:r w:rsidRPr="00005585">
        <w:t xml:space="preserve">). The F-value is less than the critical value </w:t>
      </w:r>
      <w:proofErr w:type="spellStart"/>
      <w:r w:rsidRPr="00005585">
        <w:t>F</w:t>
      </w:r>
      <w:r w:rsidRPr="00005585">
        <w:rPr>
          <w:vertAlign w:val="subscript"/>
        </w:rPr>
        <w:t>crit</w:t>
      </w:r>
      <w:proofErr w:type="spellEnd"/>
      <w:r w:rsidRPr="00005585">
        <w:t xml:space="preserve"> hence we do not reject the null hypothesis that the variables are the same. There is relatively large variance within each strategy but all these strategies behave in the same way.</w:t>
      </w:r>
    </w:p>
    <w:p w:rsidR="00373FC0" w:rsidRPr="00755198" w:rsidRDefault="00920658" w:rsidP="00373FC0">
      <w:pPr>
        <w:jc w:val="center"/>
        <w:rPr>
          <w:b/>
        </w:rPr>
      </w:pPr>
      <w:r w:rsidRPr="00755198">
        <w:rPr>
          <w:b/>
        </w:rPr>
        <w:t xml:space="preserve">Table </w:t>
      </w:r>
      <w:r w:rsidR="00E73312" w:rsidRPr="00755198">
        <w:rPr>
          <w:b/>
        </w:rPr>
        <w:t>(</w:t>
      </w:r>
      <w:r w:rsidR="00F73975" w:rsidRPr="00755198">
        <w:rPr>
          <w:b/>
        </w:rPr>
        <w:t>4</w:t>
      </w:r>
      <w:r w:rsidR="00E73312" w:rsidRPr="00755198">
        <w:rPr>
          <w:b/>
        </w:rPr>
        <w:t xml:space="preserve">) </w:t>
      </w:r>
      <w:r w:rsidR="00373FC0" w:rsidRPr="00755198">
        <w:rPr>
          <w:b/>
        </w:rPr>
        <w:t>about here</w:t>
      </w:r>
    </w:p>
    <w:p w:rsidR="00373FC0" w:rsidRPr="00005585" w:rsidRDefault="00373FC0" w:rsidP="00373FC0">
      <w:pPr>
        <w:jc w:val="both"/>
      </w:pPr>
      <w:r w:rsidRPr="00005585">
        <w:t xml:space="preserve">In table </w:t>
      </w:r>
      <w:r w:rsidR="00352523">
        <w:t>5</w:t>
      </w:r>
      <w:r w:rsidRPr="00005585">
        <w:t xml:space="preserve"> we compute the ANOVA between three candidate groups: (LO, SE, LS), (OT, GM, RV) and SB (it has the highest distances and opposite correlations with almost all the other strategies). The F-value is larger than the </w:t>
      </w:r>
      <w:proofErr w:type="spellStart"/>
      <w:r w:rsidRPr="00005585">
        <w:t>F</w:t>
      </w:r>
      <w:r w:rsidRPr="00005585">
        <w:rPr>
          <w:vertAlign w:val="subscript"/>
        </w:rPr>
        <w:t>crit</w:t>
      </w:r>
      <w:proofErr w:type="spellEnd"/>
      <w:r w:rsidRPr="00005585">
        <w:t xml:space="preserve"> which means that we accept the alternative hypothesis: the variances are not the same between these three groups.</w:t>
      </w:r>
    </w:p>
    <w:p w:rsidR="00373FC0" w:rsidRPr="00755198" w:rsidRDefault="00753A74" w:rsidP="00373FC0">
      <w:pPr>
        <w:jc w:val="center"/>
        <w:rPr>
          <w:b/>
        </w:rPr>
      </w:pPr>
      <w:r w:rsidRPr="00755198">
        <w:rPr>
          <w:b/>
        </w:rPr>
        <w:t xml:space="preserve">Table </w:t>
      </w:r>
      <w:r w:rsidR="00E73312" w:rsidRPr="00755198">
        <w:rPr>
          <w:b/>
        </w:rPr>
        <w:t>(</w:t>
      </w:r>
      <w:r w:rsidR="00F73975" w:rsidRPr="00755198">
        <w:rPr>
          <w:b/>
        </w:rPr>
        <w:t>5</w:t>
      </w:r>
      <w:r w:rsidR="00E73312" w:rsidRPr="00755198">
        <w:rPr>
          <w:b/>
        </w:rPr>
        <w:t xml:space="preserve">) </w:t>
      </w:r>
      <w:r w:rsidR="00373FC0" w:rsidRPr="00755198">
        <w:rPr>
          <w:b/>
        </w:rPr>
        <w:t>about here</w:t>
      </w:r>
    </w:p>
    <w:p w:rsidR="00373FC0" w:rsidRPr="00005585" w:rsidRDefault="00373FC0" w:rsidP="00373FC0">
      <w:pPr>
        <w:jc w:val="both"/>
      </w:pPr>
      <w:r w:rsidRPr="00005585">
        <w:t xml:space="preserve">We </w:t>
      </w:r>
      <w:r w:rsidR="0001198D">
        <w:t xml:space="preserve">have </w:t>
      </w:r>
      <w:r w:rsidR="00FE5D6A" w:rsidRPr="00005585">
        <w:t>show</w:t>
      </w:r>
      <w:r w:rsidR="0001198D">
        <w:t>n</w:t>
      </w:r>
      <w:r w:rsidRPr="00005585">
        <w:t xml:space="preserve"> with the use of ANOVA that the standardized distance within the group (LO, SE, LS) is low (3.83), whereas the standardized distance between groups (LO, SE, LS), (OT, GM, RV) and SB, is considerably larger at 177.14.</w:t>
      </w:r>
    </w:p>
    <w:p w:rsidR="00373FC0" w:rsidRPr="00005585" w:rsidRDefault="00373FC0" w:rsidP="001D0001">
      <w:pPr>
        <w:pStyle w:val="Heading2"/>
      </w:pPr>
      <w:r w:rsidRPr="00005585">
        <w:t>Divergence Score (HFR)</w:t>
      </w:r>
    </w:p>
    <w:p w:rsidR="00373FC0" w:rsidRPr="00005585" w:rsidRDefault="00373FC0" w:rsidP="00373FC0">
      <w:pPr>
        <w:jc w:val="both"/>
      </w:pPr>
      <w:r w:rsidRPr="00005585">
        <w:t>The divergence score (DS) measures the dissimilarity of a fund in relation to the group (cluster). It is used by HFR in their representation analysis as a second quantitative screening. The smaller the score, the better it is (less differen</w:t>
      </w:r>
      <w:r w:rsidR="0001198D">
        <w:t>ce</w:t>
      </w:r>
      <w:r w:rsidRPr="00005585">
        <w:t xml:space="preserve"> compared to the cluster). The score for each </w:t>
      </w:r>
      <w:r w:rsidR="00BF5703">
        <w:t>HF</w:t>
      </w:r>
      <w:r w:rsidRPr="00005585">
        <w:t xml:space="preserve"> is defined as:</w:t>
      </w:r>
    </w:p>
    <w:p w:rsidR="00373FC0" w:rsidRPr="00005585" w:rsidRDefault="00373FC0" w:rsidP="00373FC0">
      <w:pPr>
        <w:jc w:val="both"/>
        <w:rPr>
          <w:sz w:val="20"/>
          <w:szCs w:val="20"/>
        </w:rPr>
      </w:pPr>
      <m:oMath>
        <m:r>
          <m:rPr>
            <m:sty m:val="p"/>
          </m:rPr>
          <w:rPr>
            <w:rFonts w:ascii="Cambria Math" w:hAnsi="Cambria Math"/>
            <w:sz w:val="20"/>
            <w:szCs w:val="20"/>
          </w:rPr>
          <m:t xml:space="preserve">Divergence Score </m:t>
        </m:r>
        <m:d>
          <m:dPr>
            <m:ctrlPr>
              <w:rPr>
                <w:rFonts w:ascii="Cambria Math" w:hAnsi="Cambria Math"/>
                <w:sz w:val="20"/>
                <w:szCs w:val="20"/>
              </w:rPr>
            </m:ctrlPr>
          </m:dPr>
          <m:e>
            <m:r>
              <m:rPr>
                <m:sty m:val="p"/>
              </m:rPr>
              <w:rPr>
                <w:rFonts w:ascii="Cambria Math" w:hAnsi="Cambria Math"/>
                <w:sz w:val="20"/>
                <w:szCs w:val="20"/>
              </w:rPr>
              <m:t>DS</m:t>
            </m:r>
          </m:e>
        </m:d>
        <m:r>
          <m:rPr>
            <m:sty m:val="p"/>
          </m:rPr>
          <w:rPr>
            <w:rFonts w:ascii="Cambria Math" w:hAnsi="Cambria Math"/>
            <w:sz w:val="20"/>
            <w:szCs w:val="20"/>
          </w:rPr>
          <m:t xml:space="preserve">=Information Ratio Score </m:t>
        </m:r>
        <m:d>
          <m:dPr>
            <m:ctrlPr>
              <w:rPr>
                <w:rFonts w:ascii="Cambria Math" w:hAnsi="Cambria Math"/>
                <w:sz w:val="20"/>
                <w:szCs w:val="20"/>
              </w:rPr>
            </m:ctrlPr>
          </m:dPr>
          <m:e>
            <m:r>
              <m:rPr>
                <m:sty m:val="p"/>
              </m:rPr>
              <w:rPr>
                <w:rFonts w:ascii="Cambria Math" w:hAnsi="Cambria Math"/>
                <w:sz w:val="20"/>
                <w:szCs w:val="20"/>
              </w:rPr>
              <m:t>IR</m:t>
            </m:r>
          </m:e>
        </m:d>
        <m:r>
          <m:rPr>
            <m:sty m:val="p"/>
          </m:rPr>
          <w:rPr>
            <w:rFonts w:ascii="Cambria Math" w:hAnsi="Cambria Math"/>
            <w:sz w:val="20"/>
            <w:szCs w:val="20"/>
          </w:rPr>
          <m:t xml:space="preserve">+Beta Score </m:t>
        </m:r>
        <m:d>
          <m:dPr>
            <m:ctrlPr>
              <w:rPr>
                <w:rFonts w:ascii="Cambria Math" w:hAnsi="Cambria Math"/>
                <w:sz w:val="20"/>
                <w:szCs w:val="20"/>
              </w:rPr>
            </m:ctrlPr>
          </m:dPr>
          <m:e>
            <m:r>
              <m:rPr>
                <m:sty m:val="p"/>
              </m:rPr>
              <w:rPr>
                <w:rFonts w:ascii="Cambria Math" w:hAnsi="Cambria Math"/>
                <w:sz w:val="20"/>
                <w:szCs w:val="20"/>
              </w:rPr>
              <m:t>BS</m:t>
            </m:r>
          </m:e>
        </m:d>
        <m:r>
          <m:rPr>
            <m:sty m:val="p"/>
          </m:rPr>
          <w:rPr>
            <w:rFonts w:ascii="Cambria Math" w:hAnsi="Cambria Math"/>
            <w:sz w:val="20"/>
            <w:szCs w:val="20"/>
          </w:rPr>
          <m:t>+Volatility Score (VS)</m:t>
        </m:r>
      </m:oMath>
      <w:r w:rsidR="00D501C1">
        <w:rPr>
          <w:rFonts w:eastAsiaTheme="minorEastAsia"/>
          <w:sz w:val="20"/>
          <w:szCs w:val="20"/>
        </w:rPr>
        <w:tab/>
      </w:r>
      <w:r w:rsidR="00D501C1">
        <w:rPr>
          <w:rFonts w:eastAsiaTheme="minorEastAsia"/>
          <w:sz w:val="20"/>
          <w:szCs w:val="20"/>
        </w:rPr>
        <w:tab/>
      </w:r>
      <w:r w:rsidR="00D501C1">
        <w:rPr>
          <w:rFonts w:eastAsiaTheme="minorEastAsia"/>
          <w:sz w:val="20"/>
          <w:szCs w:val="20"/>
        </w:rPr>
        <w:tab/>
      </w:r>
      <w:r w:rsidR="00D501C1">
        <w:rPr>
          <w:rFonts w:eastAsiaTheme="minorEastAsia"/>
          <w:sz w:val="20"/>
          <w:szCs w:val="20"/>
        </w:rPr>
        <w:tab/>
      </w:r>
      <w:r w:rsidR="00D501C1">
        <w:rPr>
          <w:rFonts w:eastAsiaTheme="minorEastAsia"/>
          <w:sz w:val="20"/>
          <w:szCs w:val="20"/>
        </w:rPr>
        <w:tab/>
      </w:r>
      <w:r w:rsidR="00D501C1">
        <w:rPr>
          <w:rFonts w:eastAsiaTheme="minorEastAsia"/>
          <w:sz w:val="20"/>
          <w:szCs w:val="20"/>
        </w:rPr>
        <w:tab/>
      </w:r>
      <w:r w:rsidR="00D501C1">
        <w:rPr>
          <w:rFonts w:eastAsiaTheme="minorEastAsia"/>
          <w:sz w:val="20"/>
          <w:szCs w:val="20"/>
        </w:rPr>
        <w:tab/>
      </w:r>
      <w:r w:rsidR="00D501C1">
        <w:rPr>
          <w:rFonts w:eastAsiaTheme="minorEastAsia"/>
          <w:sz w:val="20"/>
          <w:szCs w:val="20"/>
        </w:rPr>
        <w:tab/>
      </w:r>
      <w:r w:rsidR="00D501C1">
        <w:rPr>
          <w:rFonts w:eastAsiaTheme="minorEastAsia"/>
          <w:sz w:val="20"/>
          <w:szCs w:val="20"/>
        </w:rPr>
        <w:tab/>
      </w:r>
      <w:r w:rsidR="00D501C1">
        <w:rPr>
          <w:rFonts w:eastAsiaTheme="minorEastAsia"/>
          <w:sz w:val="20"/>
          <w:szCs w:val="20"/>
        </w:rPr>
        <w:tab/>
      </w:r>
      <w:r w:rsidR="00D501C1">
        <w:rPr>
          <w:rFonts w:eastAsiaTheme="minorEastAsia"/>
          <w:sz w:val="20"/>
          <w:szCs w:val="20"/>
        </w:rPr>
        <w:tab/>
      </w:r>
    </w:p>
    <w:p w:rsidR="00373FC0" w:rsidRPr="00005585" w:rsidRDefault="00373FC0" w:rsidP="00373FC0">
      <w:pPr>
        <w:jc w:val="both"/>
      </w:pPr>
      <w:r w:rsidRPr="00005585">
        <w:t>In our example we compute the DS of LS against the group (SE, LO); then we compute the DS of RV against the same group (SE, LO).</w:t>
      </w:r>
      <w:r w:rsidR="0001198D">
        <w:t xml:space="preserve"> To do this we first compute IR, BS and VS for each.</w:t>
      </w:r>
    </w:p>
    <w:p w:rsidR="00373FC0" w:rsidRPr="00005585" w:rsidRDefault="00373FC0" w:rsidP="00373FC0">
      <w:pPr>
        <w:jc w:val="both"/>
        <w:rPr>
          <w:u w:val="single"/>
        </w:rPr>
      </w:pPr>
      <w:r w:rsidRPr="00005585">
        <w:rPr>
          <w:u w:val="single"/>
        </w:rPr>
        <w:t>Information Ratio:</w:t>
      </w:r>
    </w:p>
    <w:p w:rsidR="00373FC0" w:rsidRPr="00005585" w:rsidRDefault="00373FC0" w:rsidP="00373FC0">
      <w:pPr>
        <w:jc w:val="both"/>
      </w:pPr>
      <w:r w:rsidRPr="00005585">
        <w:lastRenderedPageBreak/>
        <w:t xml:space="preserve">The Information Ratio is given by:   </w:t>
      </w:r>
    </w:p>
    <w:p w:rsidR="00373FC0" w:rsidRPr="00005585" w:rsidRDefault="00373FC0" w:rsidP="00373FC0">
      <w:pPr>
        <w:jc w:val="both"/>
      </w:pPr>
      <w:r w:rsidRPr="00005585">
        <w:t xml:space="preserve">  </w:t>
      </w:r>
      <m:oMath>
        <m:sSub>
          <m:sSubPr>
            <m:ctrlPr>
              <w:rPr>
                <w:rFonts w:ascii="Cambria Math" w:hAnsi="Cambria Math"/>
                <w:i/>
                <w:lang w:val="en-US"/>
              </w:rPr>
            </m:ctrlPr>
          </m:sSubPr>
          <m:e>
            <m:r>
              <w:rPr>
                <w:rFonts w:ascii="Cambria Math" w:hAnsi="Cambria Math"/>
                <w:lang w:val="en-US"/>
              </w:rPr>
              <m:t>InfoRatio</m:t>
            </m:r>
          </m:e>
          <m:sub>
            <m:r>
              <w:rPr>
                <w:rFonts w:ascii="Cambria Math" w:hAnsi="Cambria Math"/>
                <w:lang w:val="en-US"/>
              </w:rPr>
              <m:t>i/B</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B</m:t>
                </m:r>
              </m:sub>
            </m:sSub>
          </m:num>
          <m:den>
            <m:r>
              <w:rPr>
                <w:rFonts w:ascii="Cambria Math" w:hAnsi="Cambria Math"/>
                <w:lang w:val="en-US"/>
              </w:rPr>
              <m:t>σ</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B</m:t>
                    </m:r>
                  </m:sub>
                </m:sSub>
              </m:e>
            </m:d>
          </m:den>
        </m:f>
      </m:oMath>
      <w:r w:rsidRPr="00005585">
        <w:rPr>
          <w:rFonts w:eastAsiaTheme="minorEastAsia"/>
          <w:lang w:val="en-US"/>
        </w:rPr>
        <w:tab/>
      </w:r>
      <w:r w:rsidRPr="00005585">
        <w:rPr>
          <w:rFonts w:eastAsiaTheme="minorEastAsia"/>
          <w:lang w:val="en-US"/>
        </w:rPr>
        <w:tab/>
      </w:r>
      <w:r w:rsidRPr="00005585">
        <w:rPr>
          <w:rFonts w:eastAsiaTheme="minorEastAsia"/>
          <w:lang w:val="en-US"/>
        </w:rPr>
        <w:tab/>
      </w:r>
      <w:r w:rsidRPr="00005585">
        <w:rPr>
          <w:rFonts w:eastAsiaTheme="minorEastAsia"/>
          <w:lang w:val="en-US"/>
        </w:rPr>
        <w:tab/>
      </w:r>
      <w:r w:rsidRPr="00005585">
        <w:rPr>
          <w:rFonts w:eastAsiaTheme="minorEastAsia"/>
          <w:lang w:val="en-US"/>
        </w:rPr>
        <w:tab/>
      </w:r>
      <w:r w:rsidRPr="00005585">
        <w:rPr>
          <w:rFonts w:eastAsiaTheme="minorEastAsia"/>
          <w:lang w:val="en-US"/>
        </w:rPr>
        <w:tab/>
      </w:r>
      <w:r w:rsidRPr="00005585">
        <w:rPr>
          <w:rFonts w:eastAsiaTheme="minorEastAsia"/>
          <w:lang w:val="en-US"/>
        </w:rPr>
        <w:tab/>
        <w:t xml:space="preserve">      </w:t>
      </w:r>
      <w:r w:rsidR="006E096C">
        <w:rPr>
          <w:rFonts w:eastAsiaTheme="minorEastAsia"/>
          <w:lang w:val="en-US"/>
        </w:rPr>
        <w:t xml:space="preserve">    </w:t>
      </w:r>
      <w:r w:rsidR="00D501C1">
        <w:rPr>
          <w:rFonts w:eastAsiaTheme="minorEastAsia"/>
          <w:lang w:val="en-US"/>
        </w:rPr>
        <w:t xml:space="preserve"> </w:t>
      </w:r>
    </w:p>
    <w:p w:rsidR="00373FC0" w:rsidRPr="00005585" w:rsidRDefault="00557374" w:rsidP="00373FC0">
      <w:pPr>
        <w:jc w:val="both"/>
        <w:rPr>
          <w:lang w:val="en-US"/>
        </w:rPr>
      </w:pPr>
      <m:oMath>
        <m:bar>
          <m:barPr>
            <m:pos m:val="top"/>
            <m:ctrlPr>
              <w:rPr>
                <w:rFonts w:ascii="Cambria Math" w:hAnsi="Cambria Math"/>
                <w:i/>
                <w:lang w:val="en-US"/>
              </w:rPr>
            </m:ctrlPr>
          </m:barPr>
          <m:e>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B</m:t>
                </m:r>
              </m:sub>
            </m:sSub>
          </m:e>
        </m:bar>
        <m:r>
          <w:rPr>
            <w:rFonts w:ascii="Cambria Math" w:hAnsi="Cambria Math"/>
            <w:lang w:val="en-US"/>
          </w:rPr>
          <m:t>)</m:t>
        </m:r>
      </m:oMath>
      <w:r w:rsidR="00373FC0" w:rsidRPr="00005585">
        <w:rPr>
          <w:rFonts w:eastAsiaTheme="minorEastAsia"/>
          <w:lang w:val="en-US"/>
        </w:rPr>
        <w:t xml:space="preserve"> </w:t>
      </w:r>
      <w:proofErr w:type="gramStart"/>
      <w:r w:rsidR="00373FC0" w:rsidRPr="00005585">
        <w:rPr>
          <w:lang w:val="en-US"/>
        </w:rPr>
        <w:t>is</w:t>
      </w:r>
      <w:proofErr w:type="gramEnd"/>
      <w:r w:rsidR="00373FC0" w:rsidRPr="00005585">
        <w:rPr>
          <w:lang w:val="en-US"/>
        </w:rPr>
        <w:t xml:space="preserve"> the average monthly difference in returns between the fund and the benchmark, usually for at least 24-month period.</w:t>
      </w:r>
    </w:p>
    <w:p w:rsidR="00373FC0" w:rsidRPr="00005585" w:rsidRDefault="00373FC0" w:rsidP="00373FC0">
      <w:pPr>
        <w:jc w:val="both"/>
        <w:rPr>
          <w:lang w:val="en-US"/>
        </w:rPr>
      </w:pPr>
      <m:oMath>
        <m:r>
          <w:rPr>
            <w:rFonts w:ascii="Cambria Math" w:hAnsi="Cambria Math"/>
            <w:lang w:val="en-US"/>
          </w:rPr>
          <m:t>σ(</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B</m:t>
            </m:r>
          </m:sub>
        </m:sSub>
        <m:r>
          <w:rPr>
            <w:rFonts w:ascii="Cambria Math" w:hAnsi="Cambria Math"/>
            <w:lang w:val="en-US"/>
          </w:rPr>
          <m:t>)</m:t>
        </m:r>
      </m:oMath>
      <w:r w:rsidRPr="00005585">
        <w:rPr>
          <w:lang w:val="en-US"/>
        </w:rPr>
        <w:t xml:space="preserve"> </w:t>
      </w:r>
      <w:proofErr w:type="gramStart"/>
      <w:r w:rsidRPr="00005585">
        <w:rPr>
          <w:lang w:val="en-US"/>
        </w:rPr>
        <w:t>is</w:t>
      </w:r>
      <w:proofErr w:type="gramEnd"/>
      <w:r w:rsidRPr="00005585">
        <w:rPr>
          <w:lang w:val="en-US"/>
        </w:rPr>
        <w:t xml:space="preserve"> the standard deviation of the difference in returns.</w:t>
      </w:r>
    </w:p>
    <w:p w:rsidR="0001198D" w:rsidRPr="00005585" w:rsidRDefault="0001198D" w:rsidP="0001198D">
      <w:pPr>
        <w:jc w:val="both"/>
      </w:pPr>
      <w:r w:rsidRPr="00005585">
        <w:t>In our simple example we compute the information ratio of the strateg</w:t>
      </w:r>
      <w:r>
        <w:t>ies</w:t>
      </w:r>
      <w:r w:rsidRPr="00005585">
        <w:t xml:space="preserve"> LS and RV in relation to the same candidate group.</w:t>
      </w:r>
    </w:p>
    <w:p w:rsidR="00373FC0" w:rsidRPr="00005585" w:rsidRDefault="00373FC0" w:rsidP="00373FC0">
      <w:pPr>
        <w:jc w:val="both"/>
        <w:rPr>
          <w:i/>
          <w:lang w:val="en-US"/>
        </w:rPr>
      </w:pPr>
      <w:r w:rsidRPr="00005585">
        <w:rPr>
          <w:i/>
          <w:lang w:val="en-US"/>
        </w:rPr>
        <w:t>LS case:</w:t>
      </w:r>
    </w:p>
    <w:p w:rsidR="00373FC0" w:rsidRPr="00005585" w:rsidRDefault="00373FC0" w:rsidP="00373FC0">
      <w:pPr>
        <w:jc w:val="both"/>
        <w:rPr>
          <w:lang w:val="en-US"/>
        </w:rPr>
      </w:pPr>
      <w:r w:rsidRPr="00005585">
        <w:rPr>
          <w:lang w:val="en-US"/>
        </w:rPr>
        <w:t>Absolute average monthly difference in returns between LS and the group: 0.681</w:t>
      </w:r>
    </w:p>
    <w:p w:rsidR="00373FC0" w:rsidRPr="00005585" w:rsidRDefault="00373FC0" w:rsidP="00373FC0">
      <w:pPr>
        <w:jc w:val="both"/>
        <w:rPr>
          <w:lang w:val="en-US"/>
        </w:rPr>
      </w:pPr>
      <w:r w:rsidRPr="00005585">
        <w:rPr>
          <w:lang w:val="en-US"/>
        </w:rPr>
        <w:t>Standard Deviation of the difference of returns of LS and the group: 0.962</w:t>
      </w:r>
    </w:p>
    <w:p w:rsidR="00373FC0" w:rsidRPr="00005585" w:rsidRDefault="00373FC0" w:rsidP="00373FC0">
      <w:pPr>
        <w:jc w:val="both"/>
        <w:rPr>
          <w:lang w:val="en-US"/>
        </w:rPr>
      </w:pPr>
      <w:r w:rsidRPr="00005585">
        <w:rPr>
          <w:lang w:val="en-US"/>
        </w:rPr>
        <w:t xml:space="preserve">Hence, Information Ratio for LS is: </w:t>
      </w:r>
      <m:oMath>
        <m:f>
          <m:fPr>
            <m:ctrlPr>
              <w:rPr>
                <w:rFonts w:ascii="Cambria Math" w:hAnsi="Cambria Math"/>
                <w:i/>
                <w:lang w:val="en-US"/>
              </w:rPr>
            </m:ctrlPr>
          </m:fPr>
          <m:num>
            <m:r>
              <w:rPr>
                <w:rFonts w:ascii="Cambria Math" w:hAnsi="Cambria Math"/>
                <w:lang w:val="en-US"/>
              </w:rPr>
              <m:t>0.681</m:t>
            </m:r>
          </m:num>
          <m:den>
            <m:r>
              <w:rPr>
                <w:rFonts w:ascii="Cambria Math" w:hAnsi="Cambria Math"/>
                <w:lang w:val="en-US"/>
              </w:rPr>
              <m:t>0.962</m:t>
            </m:r>
          </m:den>
        </m:f>
        <m:r>
          <w:rPr>
            <w:rFonts w:ascii="Cambria Math" w:hAnsi="Cambria Math"/>
            <w:lang w:val="en-US"/>
          </w:rPr>
          <m:t>=0.708</m:t>
        </m:r>
      </m:oMath>
      <w:r w:rsidRPr="00005585">
        <w:rPr>
          <w:lang w:val="en-US"/>
        </w:rPr>
        <w:t xml:space="preserve"> </w:t>
      </w:r>
    </w:p>
    <w:p w:rsidR="00373FC0" w:rsidRPr="00005585" w:rsidRDefault="00373FC0" w:rsidP="00373FC0">
      <w:pPr>
        <w:jc w:val="both"/>
        <w:rPr>
          <w:i/>
          <w:lang w:val="en-US"/>
        </w:rPr>
      </w:pPr>
      <w:r w:rsidRPr="00005585">
        <w:rPr>
          <w:i/>
          <w:lang w:val="en-US"/>
        </w:rPr>
        <w:t>RV case:</w:t>
      </w:r>
    </w:p>
    <w:p w:rsidR="00373FC0" w:rsidRPr="00005585" w:rsidRDefault="00373FC0" w:rsidP="00373FC0">
      <w:pPr>
        <w:jc w:val="both"/>
        <w:rPr>
          <w:lang w:val="en-US"/>
        </w:rPr>
      </w:pPr>
      <w:r w:rsidRPr="00005585">
        <w:rPr>
          <w:lang w:val="en-US"/>
        </w:rPr>
        <w:t>Absolute average monthly difference in returns between RV and the group: 1.912</w:t>
      </w:r>
    </w:p>
    <w:p w:rsidR="00373FC0" w:rsidRPr="00005585" w:rsidRDefault="00373FC0" w:rsidP="00373FC0">
      <w:pPr>
        <w:jc w:val="both"/>
        <w:rPr>
          <w:lang w:val="en-US"/>
        </w:rPr>
      </w:pPr>
      <w:r w:rsidRPr="00005585">
        <w:rPr>
          <w:lang w:val="en-US"/>
        </w:rPr>
        <w:t>Standard Deviation of the difference of returns of RV and the group: 2.404</w:t>
      </w:r>
    </w:p>
    <w:p w:rsidR="00373FC0" w:rsidRPr="00005585" w:rsidRDefault="00373FC0" w:rsidP="00373FC0">
      <w:pPr>
        <w:jc w:val="both"/>
        <w:rPr>
          <w:lang w:val="en-US"/>
        </w:rPr>
      </w:pPr>
      <w:r w:rsidRPr="00005585">
        <w:rPr>
          <w:lang w:val="en-US"/>
        </w:rPr>
        <w:t xml:space="preserve">Hence, Information Ratio for RV is: </w:t>
      </w:r>
      <m:oMath>
        <m:f>
          <m:fPr>
            <m:ctrlPr>
              <w:rPr>
                <w:rFonts w:ascii="Cambria Math" w:hAnsi="Cambria Math"/>
                <w:i/>
                <w:lang w:val="en-US"/>
              </w:rPr>
            </m:ctrlPr>
          </m:fPr>
          <m:num>
            <m:r>
              <w:rPr>
                <w:rFonts w:ascii="Cambria Math" w:hAnsi="Cambria Math"/>
                <w:lang w:val="en-US"/>
              </w:rPr>
              <m:t>1.912</m:t>
            </m:r>
          </m:num>
          <m:den>
            <m:r>
              <w:rPr>
                <w:rFonts w:ascii="Cambria Math" w:hAnsi="Cambria Math"/>
                <w:lang w:val="en-US"/>
              </w:rPr>
              <m:t>2.404</m:t>
            </m:r>
          </m:den>
        </m:f>
        <m:r>
          <w:rPr>
            <w:rFonts w:ascii="Cambria Math" w:hAnsi="Cambria Math"/>
            <w:lang w:val="en-US"/>
          </w:rPr>
          <m:t>=0.795</m:t>
        </m:r>
      </m:oMath>
    </w:p>
    <w:p w:rsidR="00373FC0" w:rsidRPr="00005585" w:rsidRDefault="00373FC0" w:rsidP="00373FC0">
      <w:pPr>
        <w:jc w:val="both"/>
        <w:rPr>
          <w:lang w:val="en-US"/>
        </w:rPr>
      </w:pPr>
      <w:r w:rsidRPr="00005585">
        <w:rPr>
          <w:lang w:val="en-US"/>
        </w:rPr>
        <w:t>The above process is implemented by S&amp;P for different levels of benchmarks i.e. strategy, sub-strategy and region.</w:t>
      </w:r>
    </w:p>
    <w:p w:rsidR="00373FC0" w:rsidRPr="00005585" w:rsidRDefault="00373FC0" w:rsidP="00373FC0">
      <w:pPr>
        <w:jc w:val="both"/>
        <w:rPr>
          <w:u w:val="single"/>
          <w:lang w:val="en-US"/>
        </w:rPr>
      </w:pPr>
      <w:r w:rsidRPr="00005585">
        <w:rPr>
          <w:u w:val="single"/>
          <w:lang w:val="en-US"/>
        </w:rPr>
        <w:t>Beta Score:</w:t>
      </w:r>
    </w:p>
    <w:p w:rsidR="00373FC0" w:rsidRPr="00005585" w:rsidRDefault="00373FC0" w:rsidP="00373FC0">
      <w:pPr>
        <w:jc w:val="both"/>
        <w:rPr>
          <w:rFonts w:eastAsiaTheme="minorEastAsia"/>
          <w:lang w:val="en-US"/>
        </w:rPr>
      </w:pPr>
      <w:r w:rsidRPr="00005585">
        <w:rPr>
          <w:lang w:val="en-US"/>
        </w:rPr>
        <w:t xml:space="preserve">The Beta Score is defined as:  |1- </w:t>
      </w:r>
      <m:oMath>
        <m:sSub>
          <m:sSubPr>
            <m:ctrlPr>
              <w:rPr>
                <w:rFonts w:ascii="Cambria Math" w:eastAsiaTheme="minorEastAsia" w:hAnsi="Cambria Math"/>
                <w:i/>
                <w:lang w:val="en-US"/>
              </w:rPr>
            </m:ctrlPr>
          </m:sSubPr>
          <m:e>
            <m:r>
              <w:rPr>
                <w:rFonts w:ascii="Cambria Math" w:eastAsiaTheme="minorEastAsia" w:hAnsi="Cambria Math"/>
                <w:lang w:val="en-US"/>
              </w:rPr>
              <m:t>β</m:t>
            </m:r>
          </m:e>
          <m:sub>
            <m:r>
              <w:rPr>
                <w:rFonts w:ascii="Cambria Math" w:eastAsiaTheme="minorEastAsia" w:hAnsi="Cambria Math"/>
                <w:lang w:val="en-US"/>
              </w:rPr>
              <m:t>i/B</m:t>
            </m:r>
          </m:sub>
        </m:sSub>
        <m:r>
          <w:rPr>
            <w:rFonts w:ascii="Cambria Math" w:eastAsiaTheme="minorEastAsia" w:hAnsi="Cambria Math"/>
            <w:lang w:val="en-US"/>
          </w:rPr>
          <m:t xml:space="preserve">|=|1- </m:t>
        </m:r>
        <m:sSub>
          <m:sSubPr>
            <m:ctrlPr>
              <w:rPr>
                <w:rFonts w:ascii="Cambria Math" w:eastAsiaTheme="minorEastAsia" w:hAnsi="Cambria Math"/>
                <w:i/>
                <w:lang w:val="en-US"/>
              </w:rPr>
            </m:ctrlPr>
          </m:sSubPr>
          <m:e>
            <m:r>
              <w:rPr>
                <w:rFonts w:ascii="Cambria Math" w:eastAsiaTheme="minorEastAsia" w:hAnsi="Cambria Math"/>
                <w:lang w:val="en-US"/>
              </w:rPr>
              <m:t>ρ</m:t>
            </m:r>
          </m:e>
          <m:sub>
            <m:r>
              <w:rPr>
                <w:rFonts w:ascii="Cambria Math" w:eastAsiaTheme="minorEastAsia" w:hAnsi="Cambria Math"/>
                <w:lang w:val="en-US"/>
              </w:rPr>
              <m:t>i/B</m:t>
            </m:r>
          </m:sub>
        </m:sSub>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i</m:t>
                </m:r>
              </m:sub>
            </m:sSub>
          </m:num>
          <m:den>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B</m:t>
                </m:r>
              </m:sub>
            </m:sSub>
          </m:den>
        </m:f>
        <m:r>
          <w:rPr>
            <w:rFonts w:ascii="Cambria Math" w:eastAsiaTheme="minorEastAsia" w:hAnsi="Cambria Math"/>
            <w:lang w:val="en-US"/>
          </w:rPr>
          <m:t xml:space="preserve"> |</m:t>
        </m:r>
      </m:oMath>
      <w:r w:rsidRPr="00005585">
        <w:rPr>
          <w:rFonts w:eastAsiaTheme="minorEastAsia"/>
          <w:lang w:val="en-US"/>
        </w:rPr>
        <w:tab/>
      </w:r>
      <w:r w:rsidRPr="00005585">
        <w:rPr>
          <w:rFonts w:eastAsiaTheme="minorEastAsia"/>
          <w:lang w:val="en-US"/>
        </w:rPr>
        <w:tab/>
      </w:r>
      <w:r w:rsidRPr="00005585">
        <w:rPr>
          <w:rFonts w:eastAsiaTheme="minorEastAsia"/>
          <w:lang w:val="en-US"/>
        </w:rPr>
        <w:tab/>
        <w:t xml:space="preserve">  </w:t>
      </w:r>
      <w:r w:rsidR="00297DF5">
        <w:rPr>
          <w:rFonts w:eastAsiaTheme="minorEastAsia"/>
          <w:lang w:val="en-US"/>
        </w:rPr>
        <w:t xml:space="preserve">      </w:t>
      </w:r>
      <w:r w:rsidR="00D501C1">
        <w:rPr>
          <w:rFonts w:eastAsiaTheme="minorEastAsia"/>
          <w:lang w:val="en-US"/>
        </w:rPr>
        <w:t xml:space="preserve">   </w:t>
      </w:r>
    </w:p>
    <w:p w:rsidR="00373FC0" w:rsidRPr="00005585" w:rsidRDefault="00557374" w:rsidP="00373FC0">
      <w:pPr>
        <w:jc w:val="both"/>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i</m:t>
            </m:r>
          </m:sub>
        </m:sSub>
        <m:r>
          <w:rPr>
            <w:rFonts w:ascii="Cambria Math" w:eastAsiaTheme="minorEastAsia" w:hAnsi="Cambria Math"/>
            <w:lang w:val="en-US"/>
          </w:rPr>
          <m:t xml:space="preserve"> and </m:t>
        </m:r>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B</m:t>
            </m:r>
          </m:sub>
        </m:sSub>
      </m:oMath>
      <w:r w:rsidR="00373FC0" w:rsidRPr="00005585">
        <w:rPr>
          <w:rFonts w:eastAsiaTheme="minorEastAsia"/>
          <w:lang w:val="en-US"/>
        </w:rPr>
        <w:t xml:space="preserve"> </w:t>
      </w:r>
      <w:proofErr w:type="gramStart"/>
      <w:r w:rsidR="00373FC0" w:rsidRPr="00005585">
        <w:rPr>
          <w:rFonts w:eastAsiaTheme="minorEastAsia"/>
          <w:lang w:val="en-US"/>
        </w:rPr>
        <w:t>are</w:t>
      </w:r>
      <w:proofErr w:type="gramEnd"/>
      <w:r w:rsidR="00373FC0" w:rsidRPr="00005585">
        <w:rPr>
          <w:rFonts w:eastAsiaTheme="minorEastAsia"/>
          <w:lang w:val="en-US"/>
        </w:rPr>
        <w:t xml:space="preserve"> the standard deviation of fund </w:t>
      </w:r>
      <w:proofErr w:type="spellStart"/>
      <w:r w:rsidR="00373FC0" w:rsidRPr="00005585">
        <w:rPr>
          <w:rFonts w:eastAsiaTheme="minorEastAsia"/>
          <w:i/>
          <w:lang w:val="en-US"/>
        </w:rPr>
        <w:t>i</w:t>
      </w:r>
      <w:proofErr w:type="spellEnd"/>
      <w:r w:rsidR="00373FC0" w:rsidRPr="00005585">
        <w:rPr>
          <w:rFonts w:eastAsiaTheme="minorEastAsia"/>
          <w:lang w:val="en-US"/>
        </w:rPr>
        <w:t xml:space="preserve"> and the benchmark B, respectively. </w:t>
      </w:r>
      <m:oMath>
        <m:sSub>
          <m:sSubPr>
            <m:ctrlPr>
              <w:rPr>
                <w:rFonts w:ascii="Cambria Math" w:eastAsiaTheme="minorEastAsia" w:hAnsi="Cambria Math"/>
                <w:i/>
                <w:lang w:val="en-US"/>
              </w:rPr>
            </m:ctrlPr>
          </m:sSubPr>
          <m:e>
            <m:r>
              <w:rPr>
                <w:rFonts w:ascii="Cambria Math" w:eastAsiaTheme="minorEastAsia" w:hAnsi="Cambria Math"/>
                <w:lang w:val="en-US"/>
              </w:rPr>
              <m:t>ρ</m:t>
            </m:r>
          </m:e>
          <m:sub>
            <m:r>
              <w:rPr>
                <w:rFonts w:ascii="Cambria Math" w:eastAsiaTheme="minorEastAsia" w:hAnsi="Cambria Math"/>
                <w:lang w:val="en-US"/>
              </w:rPr>
              <m:t>i/B</m:t>
            </m:r>
          </m:sub>
        </m:sSub>
      </m:oMath>
      <w:r w:rsidR="00373FC0" w:rsidRPr="00005585">
        <w:rPr>
          <w:rFonts w:eastAsiaTheme="minorEastAsia"/>
          <w:lang w:val="en-US"/>
        </w:rPr>
        <w:t xml:space="preserve"> </w:t>
      </w:r>
      <w:proofErr w:type="gramStart"/>
      <w:r w:rsidR="00373FC0" w:rsidRPr="00005585">
        <w:rPr>
          <w:rFonts w:eastAsiaTheme="minorEastAsia"/>
          <w:lang w:val="en-US"/>
        </w:rPr>
        <w:t>is</w:t>
      </w:r>
      <w:proofErr w:type="gramEnd"/>
      <w:r w:rsidR="00373FC0" w:rsidRPr="00005585">
        <w:rPr>
          <w:rFonts w:eastAsiaTheme="minorEastAsia"/>
          <w:lang w:val="en-US"/>
        </w:rPr>
        <w:t xml:space="preserve"> the correlation (beta) of fund </w:t>
      </w:r>
      <w:proofErr w:type="spellStart"/>
      <w:r w:rsidR="00373FC0" w:rsidRPr="00005585">
        <w:rPr>
          <w:rFonts w:eastAsiaTheme="minorEastAsia"/>
          <w:i/>
          <w:lang w:val="en-US"/>
        </w:rPr>
        <w:t>i</w:t>
      </w:r>
      <w:proofErr w:type="spellEnd"/>
      <w:r w:rsidR="00373FC0" w:rsidRPr="00005585">
        <w:rPr>
          <w:rFonts w:eastAsiaTheme="minorEastAsia"/>
          <w:lang w:val="en-US"/>
        </w:rPr>
        <w:t xml:space="preserve"> with the benchmark B and is defined as:</w:t>
      </w:r>
    </w:p>
    <w:p w:rsidR="00373FC0" w:rsidRPr="00005585" w:rsidRDefault="00557374" w:rsidP="00373FC0">
      <w:pPr>
        <w:jc w:val="both"/>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ρ</m:t>
            </m:r>
          </m:e>
          <m:sub>
            <m:r>
              <w:rPr>
                <w:rFonts w:ascii="Cambria Math" w:eastAsiaTheme="minorEastAsia" w:hAnsi="Cambria Math"/>
                <w:lang w:val="en-US"/>
              </w:rPr>
              <m:t>i/B</m:t>
            </m:r>
          </m:sub>
        </m:sSub>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cov(R</m:t>
                </m:r>
              </m:e>
              <m:sub>
                <m:r>
                  <w:rPr>
                    <w:rFonts w:ascii="Cambria Math" w:eastAsiaTheme="minorEastAsia" w:hAnsi="Cambria Math"/>
                    <w:lang w:val="en-US"/>
                  </w:rPr>
                  <m:t>i</m:t>
                </m:r>
              </m:sub>
            </m:sSub>
            <m:r>
              <w:rPr>
                <w:rFonts w:ascii="Cambria Math" w:eastAsiaTheme="minorEastAsia" w:hAnsi="Cambria Math"/>
                <w:lang w:val="en-US"/>
              </w:rPr>
              <m:t>,B)</m:t>
            </m:r>
          </m:num>
          <m:den>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i</m:t>
                </m:r>
              </m:sub>
            </m:sSub>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B</m:t>
                </m:r>
              </m:sub>
            </m:sSub>
          </m:den>
        </m:f>
      </m:oMath>
      <w:r w:rsidR="00373FC0" w:rsidRPr="00005585">
        <w:rPr>
          <w:rFonts w:eastAsiaTheme="minorEastAsia"/>
          <w:lang w:val="en-US"/>
        </w:rPr>
        <w:tab/>
      </w:r>
      <w:r w:rsidR="00373FC0" w:rsidRPr="00005585">
        <w:rPr>
          <w:rFonts w:eastAsiaTheme="minorEastAsia"/>
          <w:lang w:val="en-US"/>
        </w:rPr>
        <w:tab/>
      </w:r>
      <w:r w:rsidR="00373FC0" w:rsidRPr="00005585">
        <w:rPr>
          <w:rFonts w:eastAsiaTheme="minorEastAsia"/>
          <w:lang w:val="en-US"/>
        </w:rPr>
        <w:tab/>
      </w:r>
      <w:r w:rsidR="00373FC0" w:rsidRPr="00005585">
        <w:rPr>
          <w:rFonts w:eastAsiaTheme="minorEastAsia"/>
          <w:lang w:val="en-US"/>
        </w:rPr>
        <w:tab/>
      </w:r>
      <w:r w:rsidR="00373FC0" w:rsidRPr="00005585">
        <w:rPr>
          <w:rFonts w:eastAsiaTheme="minorEastAsia"/>
          <w:lang w:val="en-US"/>
        </w:rPr>
        <w:tab/>
      </w:r>
      <w:r w:rsidR="00373FC0" w:rsidRPr="00005585">
        <w:rPr>
          <w:rFonts w:eastAsiaTheme="minorEastAsia"/>
          <w:lang w:val="en-US"/>
        </w:rPr>
        <w:tab/>
      </w:r>
      <w:r w:rsidR="00373FC0" w:rsidRPr="00005585">
        <w:rPr>
          <w:rFonts w:eastAsiaTheme="minorEastAsia"/>
          <w:lang w:val="en-US"/>
        </w:rPr>
        <w:tab/>
      </w:r>
      <w:r w:rsidR="00373FC0" w:rsidRPr="00005585">
        <w:rPr>
          <w:rFonts w:eastAsiaTheme="minorEastAsia"/>
          <w:lang w:val="en-US"/>
        </w:rPr>
        <w:tab/>
        <w:t xml:space="preserve">     </w:t>
      </w:r>
      <w:r w:rsidR="00297DF5">
        <w:rPr>
          <w:rFonts w:eastAsiaTheme="minorEastAsia"/>
          <w:lang w:val="en-US"/>
        </w:rPr>
        <w:t xml:space="preserve">     </w:t>
      </w:r>
      <w:r w:rsidR="00D501C1">
        <w:rPr>
          <w:rFonts w:eastAsiaTheme="minorEastAsia"/>
          <w:lang w:val="en-US"/>
        </w:rPr>
        <w:t xml:space="preserve"> </w:t>
      </w:r>
    </w:p>
    <w:p w:rsidR="00373FC0" w:rsidRPr="00005585" w:rsidRDefault="00373FC0" w:rsidP="00373FC0">
      <w:pPr>
        <w:jc w:val="both"/>
        <w:rPr>
          <w:i/>
          <w:lang w:val="en-US"/>
        </w:rPr>
      </w:pPr>
      <w:r w:rsidRPr="00005585">
        <w:rPr>
          <w:i/>
          <w:lang w:val="en-US"/>
        </w:rPr>
        <w:t>LS case:</w:t>
      </w:r>
    </w:p>
    <w:p w:rsidR="00373FC0" w:rsidRPr="00005585" w:rsidRDefault="00373FC0" w:rsidP="00373FC0">
      <w:pPr>
        <w:jc w:val="both"/>
        <w:rPr>
          <w:lang w:val="en-US"/>
        </w:rPr>
      </w:pPr>
      <w:r w:rsidRPr="00005585">
        <w:rPr>
          <w:lang w:val="en-US"/>
        </w:rPr>
        <w:t>Standard Deviation of Benchmark (group):  3.245</w:t>
      </w:r>
    </w:p>
    <w:p w:rsidR="00373FC0" w:rsidRPr="00005585" w:rsidRDefault="00373FC0" w:rsidP="00373FC0">
      <w:pPr>
        <w:jc w:val="both"/>
        <w:rPr>
          <w:lang w:val="en-US"/>
        </w:rPr>
      </w:pPr>
      <w:r w:rsidRPr="00005585">
        <w:rPr>
          <w:lang w:val="en-US"/>
        </w:rPr>
        <w:t>Standard Deviation of LS: 2.663</w:t>
      </w:r>
    </w:p>
    <w:p w:rsidR="00373FC0" w:rsidRPr="00005585" w:rsidRDefault="00373FC0" w:rsidP="00373FC0">
      <w:pPr>
        <w:jc w:val="both"/>
        <w:rPr>
          <w:lang w:val="en-US"/>
        </w:rPr>
      </w:pPr>
      <w:r w:rsidRPr="00005585">
        <w:rPr>
          <w:lang w:val="en-US"/>
        </w:rPr>
        <w:t xml:space="preserve">Thus,   </w:t>
      </w:r>
      <m:oMath>
        <m:sSub>
          <m:sSubPr>
            <m:ctrlPr>
              <w:rPr>
                <w:rFonts w:ascii="Cambria Math" w:hAnsi="Cambria Math"/>
                <w:i/>
                <w:lang w:val="en-US"/>
              </w:rPr>
            </m:ctrlPr>
          </m:sSubPr>
          <m:e>
            <m:r>
              <w:rPr>
                <w:rFonts w:ascii="Cambria Math" w:hAnsi="Cambria Math"/>
              </w:rPr>
              <m:t>(</m:t>
            </m:r>
            <m:r>
              <w:rPr>
                <w:rFonts w:ascii="Cambria Math" w:hAnsi="Cambria Math"/>
                <w:lang w:val="el-GR"/>
              </w:rPr>
              <m:t>σ</m:t>
            </m:r>
          </m:e>
          <m:sub>
            <m:r>
              <w:rPr>
                <w:rFonts w:ascii="Cambria Math" w:hAnsi="Cambria Math"/>
                <w:lang w:val="en-US"/>
              </w:rPr>
              <m:t>ι</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σ</m:t>
            </m:r>
          </m:e>
          <m:sub>
            <m:r>
              <w:rPr>
                <w:rFonts w:ascii="Cambria Math" w:hAnsi="Cambria Math"/>
              </w:rPr>
              <m:t>B</m:t>
            </m:r>
          </m:sub>
        </m:sSub>
        <m:r>
          <w:rPr>
            <w:rFonts w:ascii="Cambria Math" w:hAnsi="Cambria Math"/>
            <w:lang w:val="en-US"/>
          </w:rPr>
          <m:t>)</m:t>
        </m:r>
      </m:oMath>
      <w:r w:rsidRPr="00005585">
        <w:rPr>
          <w:rFonts w:eastAsiaTheme="minorEastAsia"/>
        </w:rPr>
        <w:t xml:space="preserve"> </w:t>
      </w:r>
      <w:r w:rsidRPr="00005585">
        <w:rPr>
          <w:lang w:val="en-US"/>
        </w:rPr>
        <w:t xml:space="preserve">= </w:t>
      </w:r>
      <m:oMath>
        <m:f>
          <m:fPr>
            <m:ctrlPr>
              <w:rPr>
                <w:rFonts w:ascii="Cambria Math" w:hAnsi="Cambria Math"/>
                <w:i/>
                <w:lang w:val="en-US"/>
              </w:rPr>
            </m:ctrlPr>
          </m:fPr>
          <m:num>
            <m:r>
              <w:rPr>
                <w:rFonts w:ascii="Cambria Math" w:hAnsi="Cambria Math"/>
                <w:lang w:val="en-US"/>
              </w:rPr>
              <m:t>2.663</m:t>
            </m:r>
          </m:num>
          <m:den>
            <m:r>
              <w:rPr>
                <w:rFonts w:ascii="Cambria Math" w:hAnsi="Cambria Math"/>
                <w:lang w:val="en-US"/>
              </w:rPr>
              <m:t>3.245</m:t>
            </m:r>
          </m:den>
        </m:f>
        <m:r>
          <w:rPr>
            <w:rFonts w:ascii="Cambria Math" w:hAnsi="Cambria Math"/>
            <w:lang w:val="en-US"/>
          </w:rPr>
          <m:t>=0.821</m:t>
        </m:r>
      </m:oMath>
    </w:p>
    <w:p w:rsidR="00373FC0" w:rsidRPr="00005585" w:rsidRDefault="00373FC0" w:rsidP="00373FC0">
      <w:pPr>
        <w:jc w:val="both"/>
        <w:rPr>
          <w:lang w:val="en-US"/>
        </w:rPr>
      </w:pPr>
      <w:r w:rsidRPr="00005585">
        <w:rPr>
          <w:lang w:val="en-US"/>
        </w:rPr>
        <w:t>Correlation of LS with the Benchmark (group): 0.966</w:t>
      </w:r>
    </w:p>
    <w:p w:rsidR="00373FC0" w:rsidRPr="00005585" w:rsidRDefault="00373FC0" w:rsidP="00373FC0">
      <w:pPr>
        <w:jc w:val="both"/>
        <w:rPr>
          <w:lang w:val="en-US"/>
        </w:rPr>
      </w:pPr>
      <w:r w:rsidRPr="00005585">
        <w:rPr>
          <w:lang w:val="en-US"/>
        </w:rPr>
        <w:t xml:space="preserve">So, the Beta Score for LS is |1- </w:t>
      </w:r>
      <m:oMath>
        <m:r>
          <w:rPr>
            <w:rFonts w:ascii="Cambria Math" w:hAnsi="Cambria Math"/>
            <w:lang w:val="en-US"/>
          </w:rPr>
          <m:t>0.966×0.821|=0.207</m:t>
        </m:r>
      </m:oMath>
    </w:p>
    <w:p w:rsidR="00373FC0" w:rsidRPr="00005585" w:rsidRDefault="00373FC0" w:rsidP="00373FC0">
      <w:pPr>
        <w:jc w:val="both"/>
        <w:rPr>
          <w:i/>
          <w:lang w:val="en-US"/>
        </w:rPr>
      </w:pPr>
      <w:r w:rsidRPr="00005585">
        <w:rPr>
          <w:i/>
          <w:lang w:val="en-US"/>
        </w:rPr>
        <w:t>RV case:</w:t>
      </w:r>
    </w:p>
    <w:p w:rsidR="00373FC0" w:rsidRPr="00005585" w:rsidRDefault="00373FC0" w:rsidP="00373FC0">
      <w:pPr>
        <w:jc w:val="both"/>
        <w:rPr>
          <w:lang w:val="en-US"/>
        </w:rPr>
      </w:pPr>
      <w:r w:rsidRPr="00005585">
        <w:rPr>
          <w:lang w:val="en-US"/>
        </w:rPr>
        <w:t>Standard Deviation of Benchmark (group): 3.245</w:t>
      </w:r>
    </w:p>
    <w:p w:rsidR="00373FC0" w:rsidRPr="00005585" w:rsidRDefault="00373FC0" w:rsidP="00373FC0">
      <w:pPr>
        <w:jc w:val="both"/>
        <w:rPr>
          <w:lang w:val="en-US"/>
        </w:rPr>
      </w:pPr>
      <w:r w:rsidRPr="00005585">
        <w:rPr>
          <w:lang w:val="en-US"/>
        </w:rPr>
        <w:t>Standard Deviation of RV: 1.238</w:t>
      </w:r>
    </w:p>
    <w:p w:rsidR="00373FC0" w:rsidRPr="00005585" w:rsidRDefault="00373FC0" w:rsidP="00373FC0">
      <w:pPr>
        <w:jc w:val="both"/>
        <w:rPr>
          <w:lang w:val="en-US"/>
        </w:rPr>
      </w:pPr>
      <w:r w:rsidRPr="00005585">
        <w:rPr>
          <w:lang w:val="en-US"/>
        </w:rPr>
        <w:t xml:space="preserve">Thus,   </w:t>
      </w:r>
      <m:oMath>
        <m:sSub>
          <m:sSubPr>
            <m:ctrlPr>
              <w:rPr>
                <w:rFonts w:ascii="Cambria Math" w:hAnsi="Cambria Math"/>
                <w:i/>
                <w:lang w:val="en-US"/>
              </w:rPr>
            </m:ctrlPr>
          </m:sSubPr>
          <m:e>
            <m:r>
              <w:rPr>
                <w:rFonts w:ascii="Cambria Math" w:hAnsi="Cambria Math"/>
              </w:rPr>
              <m:t>(</m:t>
            </m:r>
            <m:r>
              <w:rPr>
                <w:rFonts w:ascii="Cambria Math" w:hAnsi="Cambria Math"/>
                <w:lang w:val="el-GR"/>
              </w:rPr>
              <m:t>σ</m:t>
            </m:r>
          </m:e>
          <m:sub>
            <m:r>
              <w:rPr>
                <w:rFonts w:ascii="Cambria Math" w:hAnsi="Cambria Math"/>
                <w:lang w:val="en-US"/>
              </w:rPr>
              <m:t>ι</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σ</m:t>
            </m:r>
          </m:e>
          <m:sub>
            <m:r>
              <w:rPr>
                <w:rFonts w:ascii="Cambria Math" w:hAnsi="Cambria Math"/>
              </w:rPr>
              <m:t>B</m:t>
            </m:r>
          </m:sub>
        </m:sSub>
        <m:r>
          <w:rPr>
            <w:rFonts w:ascii="Cambria Math" w:hAnsi="Cambria Math"/>
            <w:lang w:val="en-US"/>
          </w:rPr>
          <m:t>)</m:t>
        </m:r>
      </m:oMath>
      <w:r w:rsidRPr="00005585">
        <w:rPr>
          <w:rFonts w:eastAsiaTheme="minorEastAsia"/>
        </w:rPr>
        <w:t xml:space="preserve"> </w:t>
      </w:r>
      <w:r w:rsidRPr="00005585">
        <w:rPr>
          <w:lang w:val="en-US"/>
        </w:rPr>
        <w:t xml:space="preserve">= </w:t>
      </w:r>
      <m:oMath>
        <m:f>
          <m:fPr>
            <m:ctrlPr>
              <w:rPr>
                <w:rFonts w:ascii="Cambria Math" w:hAnsi="Cambria Math"/>
                <w:i/>
                <w:lang w:val="en-US"/>
              </w:rPr>
            </m:ctrlPr>
          </m:fPr>
          <m:num>
            <m:r>
              <w:rPr>
                <w:rFonts w:ascii="Cambria Math" w:hAnsi="Cambria Math"/>
                <w:lang w:val="en-US"/>
              </w:rPr>
              <m:t>1.238</m:t>
            </m:r>
          </m:num>
          <m:den>
            <m:r>
              <w:rPr>
                <w:rFonts w:ascii="Cambria Math" w:hAnsi="Cambria Math"/>
                <w:lang w:val="en-US"/>
              </w:rPr>
              <m:t>3.245</m:t>
            </m:r>
          </m:den>
        </m:f>
        <m:r>
          <w:rPr>
            <w:rFonts w:ascii="Cambria Math" w:hAnsi="Cambria Math"/>
            <w:lang w:val="en-US"/>
          </w:rPr>
          <m:t>=0.381</m:t>
        </m:r>
      </m:oMath>
    </w:p>
    <w:p w:rsidR="00373FC0" w:rsidRPr="00005585" w:rsidRDefault="00373FC0" w:rsidP="00373FC0">
      <w:pPr>
        <w:jc w:val="both"/>
        <w:rPr>
          <w:lang w:val="en-US"/>
        </w:rPr>
      </w:pPr>
      <w:r w:rsidRPr="00005585">
        <w:rPr>
          <w:lang w:val="en-US"/>
        </w:rPr>
        <w:t>Correlation of RV with the Benchmark (group): 0.782</w:t>
      </w:r>
    </w:p>
    <w:p w:rsidR="00373FC0" w:rsidRPr="00005585" w:rsidRDefault="00373FC0" w:rsidP="00373FC0">
      <w:pPr>
        <w:jc w:val="both"/>
        <w:rPr>
          <w:lang w:val="en-US"/>
        </w:rPr>
      </w:pPr>
      <w:r w:rsidRPr="00005585">
        <w:rPr>
          <w:lang w:val="en-US"/>
        </w:rPr>
        <w:t xml:space="preserve">So, the Beta Score for RV is |1- </w:t>
      </w:r>
      <m:oMath>
        <m:r>
          <w:rPr>
            <w:rFonts w:ascii="Cambria Math" w:hAnsi="Cambria Math"/>
            <w:lang w:val="en-US"/>
          </w:rPr>
          <m:t>0.782×0.381|=0.702</m:t>
        </m:r>
      </m:oMath>
    </w:p>
    <w:p w:rsidR="00373FC0" w:rsidRPr="00005585" w:rsidRDefault="00373FC0" w:rsidP="00373FC0">
      <w:pPr>
        <w:jc w:val="both"/>
        <w:rPr>
          <w:noProof/>
          <w:u w:val="single"/>
          <w:lang w:eastAsia="en-GB"/>
        </w:rPr>
      </w:pPr>
      <w:r w:rsidRPr="00005585">
        <w:rPr>
          <w:noProof/>
          <w:u w:val="single"/>
          <w:lang w:eastAsia="en-GB"/>
        </w:rPr>
        <w:t>Volatility Score:</w:t>
      </w:r>
    </w:p>
    <w:p w:rsidR="00373FC0" w:rsidRPr="00005585" w:rsidRDefault="00373FC0" w:rsidP="00373FC0">
      <w:pPr>
        <w:jc w:val="both"/>
        <w:rPr>
          <w:lang w:val="en-US"/>
        </w:rPr>
      </w:pPr>
      <w:r w:rsidRPr="00005585">
        <w:rPr>
          <w:noProof/>
          <w:lang w:eastAsia="en-GB"/>
        </w:rPr>
        <w:t xml:space="preserve">The Volatility Score is defined as: </w:t>
      </w:r>
      <m:oMath>
        <m:sSub>
          <m:sSubPr>
            <m:ctrlPr>
              <w:rPr>
                <w:rFonts w:ascii="Cambria Math" w:hAnsi="Cambria Math"/>
                <w:i/>
                <w:lang w:val="en-US"/>
              </w:rPr>
            </m:ctrlPr>
          </m:sSubPr>
          <m:e>
            <m:r>
              <w:rPr>
                <w:rFonts w:ascii="Cambria Math" w:hAnsi="Cambria Math"/>
                <w:lang w:val="en-US"/>
              </w:rPr>
              <m:t xml:space="preserve">   VS</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Cluster</m:t>
                    </m:r>
                  </m:sub>
                </m:sSub>
              </m:e>
            </m:d>
          </m:num>
          <m:den>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Cluste</m:t>
                </m:r>
                <m:r>
                  <w:rPr>
                    <w:rFonts w:ascii="Cambria Math" w:hAnsi="Cambria Math"/>
                    <w:lang w:val="en-US"/>
                  </w:rPr>
                  <m:t>r</m:t>
                </m:r>
              </m:sub>
            </m:sSub>
          </m:den>
        </m:f>
      </m:oMath>
      <w:r w:rsidRPr="00005585">
        <w:rPr>
          <w:rFonts w:eastAsiaTheme="minorEastAsia"/>
          <w:noProof/>
          <w:lang w:val="en-US"/>
        </w:rPr>
        <w:tab/>
      </w:r>
      <w:r w:rsidRPr="00005585">
        <w:rPr>
          <w:rFonts w:eastAsiaTheme="minorEastAsia"/>
          <w:noProof/>
          <w:lang w:val="en-US"/>
        </w:rPr>
        <w:tab/>
      </w:r>
      <w:r w:rsidRPr="00005585">
        <w:rPr>
          <w:rFonts w:eastAsiaTheme="minorEastAsia"/>
          <w:noProof/>
          <w:lang w:val="en-US"/>
        </w:rPr>
        <w:tab/>
        <w:t xml:space="preserve">     </w:t>
      </w:r>
      <w:r w:rsidR="002862DD">
        <w:rPr>
          <w:rFonts w:eastAsiaTheme="minorEastAsia"/>
          <w:noProof/>
          <w:lang w:val="en-US"/>
        </w:rPr>
        <w:t xml:space="preserve">    </w:t>
      </w:r>
      <w:r w:rsidR="00D501C1">
        <w:rPr>
          <w:rFonts w:eastAsiaTheme="minorEastAsia"/>
          <w:noProof/>
          <w:lang w:val="en-US"/>
        </w:rPr>
        <w:t xml:space="preserve">  </w:t>
      </w:r>
    </w:p>
    <w:p w:rsidR="00373FC0" w:rsidRPr="00005585" w:rsidRDefault="00373FC0" w:rsidP="00373FC0">
      <w:pPr>
        <w:jc w:val="both"/>
      </w:pPr>
      <w:r w:rsidRPr="00005585">
        <w:rPr>
          <w:lang w:val="en-US"/>
        </w:rPr>
        <w:lastRenderedPageBreak/>
        <w:t xml:space="preserve">Where </w:t>
      </w:r>
      <m:oMath>
        <m:sSub>
          <m:sSubPr>
            <m:ctrlPr>
              <w:rPr>
                <w:rFonts w:ascii="Cambria Math" w:hAnsi="Cambria Math"/>
                <w:i/>
              </w:rPr>
            </m:ctrlPr>
          </m:sSubPr>
          <m:e>
            <m:r>
              <w:rPr>
                <w:rFonts w:ascii="Cambria Math" w:hAnsi="Cambria Math"/>
              </w:rPr>
              <m:t>σ</m:t>
            </m:r>
          </m:e>
          <m:sub>
            <m:r>
              <w:rPr>
                <w:rFonts w:ascii="Cambria Math" w:hAnsi="Cambria Math"/>
              </w:rPr>
              <m:t>Cluster</m:t>
            </m:r>
          </m:sub>
        </m:sSub>
      </m:oMath>
      <w:r w:rsidRPr="00005585">
        <w:rPr>
          <w:rFonts w:eastAsiaTheme="minorEastAsia"/>
        </w:rPr>
        <w:t xml:space="preserve"> </w:t>
      </w:r>
      <w:r w:rsidRPr="00005585">
        <w:rPr>
          <w:lang w:val="en-US"/>
        </w:rPr>
        <w:t>is the standard deviation of the cluster (SE, LO group in our case)   and</w:t>
      </w:r>
      <w:r w:rsidRPr="00005585">
        <w:t xml:space="preserve"> </w:t>
      </w:r>
      <m:oMath>
        <m:sSub>
          <m:sSubPr>
            <m:ctrlPr>
              <w:rPr>
                <w:rFonts w:ascii="Cambria Math" w:hAnsi="Cambria Math"/>
                <w:i/>
              </w:rPr>
            </m:ctrlPr>
          </m:sSubPr>
          <m:e>
            <m:r>
              <w:rPr>
                <w:rFonts w:ascii="Cambria Math" w:hAnsi="Cambria Math"/>
                <w:lang w:val="el-GR"/>
              </w:rPr>
              <m:t>σ</m:t>
            </m:r>
          </m:e>
          <m:sub>
            <m:r>
              <w:rPr>
                <w:rFonts w:ascii="Cambria Math" w:hAnsi="Cambria Math"/>
              </w:rPr>
              <m:t>i</m:t>
            </m:r>
          </m:sub>
        </m:sSub>
      </m:oMath>
      <w:r w:rsidRPr="00005585">
        <w:t xml:space="preserve"> is the standard deviation of the strategy (LS or RV).</w:t>
      </w:r>
    </w:p>
    <w:p w:rsidR="00373FC0" w:rsidRPr="00005585" w:rsidRDefault="00373FC0" w:rsidP="00373FC0">
      <w:pPr>
        <w:jc w:val="both"/>
      </w:pPr>
      <w:r w:rsidRPr="00005585">
        <w:t xml:space="preserve"> </w:t>
      </w: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Cluster</m:t>
                </m:r>
              </m:sub>
            </m:sSub>
          </m:e>
        </m:d>
      </m:oMath>
      <w:r w:rsidRPr="00005585">
        <w:t xml:space="preserve"> </w:t>
      </w:r>
      <w:proofErr w:type="gramStart"/>
      <w:r w:rsidRPr="00005585">
        <w:t>for</w:t>
      </w:r>
      <w:proofErr w:type="gramEnd"/>
      <w:r w:rsidRPr="00005585">
        <w:t xml:space="preserve"> LS is </w:t>
      </w:r>
      <m:oMath>
        <m:d>
          <m:dPr>
            <m:begChr m:val="|"/>
            <m:endChr m:val="|"/>
            <m:ctrlPr>
              <w:rPr>
                <w:rFonts w:ascii="Cambria Math" w:hAnsi="Cambria Math"/>
                <w:i/>
                <w:lang w:val="en-US"/>
              </w:rPr>
            </m:ctrlPr>
          </m:dPr>
          <m:e>
            <m:r>
              <w:rPr>
                <w:rFonts w:ascii="Cambria Math" w:hAnsi="Cambria Math"/>
                <w:lang w:val="en-US"/>
              </w:rPr>
              <m:t>2.663-3.245</m:t>
            </m:r>
          </m:e>
        </m:d>
        <m:r>
          <w:rPr>
            <w:rFonts w:ascii="Cambria Math" w:hAnsi="Cambria Math"/>
            <w:lang w:val="en-US"/>
          </w:rPr>
          <m:t>=0.582</m:t>
        </m:r>
      </m:oMath>
    </w:p>
    <w:p w:rsidR="00373FC0" w:rsidRPr="00005585" w:rsidRDefault="00373FC0" w:rsidP="00373FC0">
      <w:pPr>
        <w:jc w:val="both"/>
      </w:pPr>
      <w:r w:rsidRPr="00005585">
        <w:t xml:space="preserve"> </w:t>
      </w: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Cluster</m:t>
                </m:r>
              </m:sub>
            </m:sSub>
          </m:e>
        </m:d>
      </m:oMath>
      <w:r w:rsidRPr="00005585">
        <w:t xml:space="preserve"> </w:t>
      </w:r>
      <w:proofErr w:type="gramStart"/>
      <w:r w:rsidRPr="00005585">
        <w:t>for</w:t>
      </w:r>
      <w:proofErr w:type="gramEnd"/>
      <w:r w:rsidRPr="00005585">
        <w:t xml:space="preserve"> RV is </w:t>
      </w:r>
      <m:oMath>
        <m:d>
          <m:dPr>
            <m:begChr m:val="|"/>
            <m:endChr m:val="|"/>
            <m:ctrlPr>
              <w:rPr>
                <w:rFonts w:ascii="Cambria Math" w:hAnsi="Cambria Math"/>
                <w:i/>
                <w:lang w:val="en-US"/>
              </w:rPr>
            </m:ctrlPr>
          </m:dPr>
          <m:e>
            <m:r>
              <w:rPr>
                <w:rFonts w:ascii="Cambria Math" w:hAnsi="Cambria Math"/>
                <w:lang w:val="en-US"/>
              </w:rPr>
              <m:t>1.238-3.245</m:t>
            </m:r>
          </m:e>
        </m:d>
        <m:r>
          <w:rPr>
            <w:rFonts w:ascii="Cambria Math" w:hAnsi="Cambria Math"/>
            <w:lang w:val="en-US"/>
          </w:rPr>
          <m:t>=2.007</m:t>
        </m:r>
      </m:oMath>
    </w:p>
    <w:p w:rsidR="00373FC0" w:rsidRPr="00005585" w:rsidRDefault="00373FC0" w:rsidP="00373FC0">
      <w:pPr>
        <w:jc w:val="both"/>
      </w:pPr>
      <w:r w:rsidRPr="00005585">
        <w:t xml:space="preserve">Thus, volatility score for LS is </w:t>
      </w:r>
      <m:oMath>
        <m:f>
          <m:fPr>
            <m:ctrlPr>
              <w:rPr>
                <w:rFonts w:ascii="Cambria Math" w:hAnsi="Cambria Math"/>
                <w:i/>
              </w:rPr>
            </m:ctrlPr>
          </m:fPr>
          <m:num>
            <m:r>
              <w:rPr>
                <w:rFonts w:ascii="Cambria Math" w:hAnsi="Cambria Math"/>
              </w:rPr>
              <m:t>0.582</m:t>
            </m:r>
          </m:num>
          <m:den>
            <m:r>
              <w:rPr>
                <w:rFonts w:ascii="Cambria Math" w:hAnsi="Cambria Math"/>
              </w:rPr>
              <m:t>3.245</m:t>
            </m:r>
          </m:den>
        </m:f>
        <m:r>
          <w:rPr>
            <w:rFonts w:ascii="Cambria Math" w:hAnsi="Cambria Math"/>
          </w:rPr>
          <m:t>=0.179</m:t>
        </m:r>
      </m:oMath>
    </w:p>
    <w:p w:rsidR="00373FC0" w:rsidRPr="00005585" w:rsidRDefault="00373FC0" w:rsidP="00373FC0">
      <w:pPr>
        <w:jc w:val="both"/>
      </w:pPr>
      <w:r w:rsidRPr="00005585">
        <w:t xml:space="preserve">And volatility score for RV is </w:t>
      </w:r>
      <m:oMath>
        <m:f>
          <m:fPr>
            <m:ctrlPr>
              <w:rPr>
                <w:rFonts w:ascii="Cambria Math" w:hAnsi="Cambria Math"/>
                <w:i/>
              </w:rPr>
            </m:ctrlPr>
          </m:fPr>
          <m:num>
            <m:r>
              <w:rPr>
                <w:rFonts w:ascii="Cambria Math" w:hAnsi="Cambria Math"/>
              </w:rPr>
              <m:t>2.007</m:t>
            </m:r>
          </m:num>
          <m:den>
            <m:r>
              <w:rPr>
                <w:rFonts w:ascii="Cambria Math" w:hAnsi="Cambria Math"/>
              </w:rPr>
              <m:t>3.245</m:t>
            </m:r>
          </m:den>
        </m:f>
        <m:r>
          <w:rPr>
            <w:rFonts w:ascii="Cambria Math" w:hAnsi="Cambria Math"/>
          </w:rPr>
          <m:t>=0.619</m:t>
        </m:r>
      </m:oMath>
    </w:p>
    <w:p w:rsidR="00373FC0" w:rsidRPr="00005585" w:rsidRDefault="00CA3CC6" w:rsidP="00373FC0">
      <w:pPr>
        <w:jc w:val="both"/>
      </w:pPr>
      <w:r w:rsidRPr="00005585">
        <w:t xml:space="preserve">Finally, we </w:t>
      </w:r>
      <w:r w:rsidR="00373FC0" w:rsidRPr="00005585">
        <w:t>compute the Divergence Score for LS and RV:</w:t>
      </w:r>
    </w:p>
    <w:tbl>
      <w:tblPr>
        <w:tblW w:w="4886" w:type="pct"/>
        <w:tblInd w:w="108" w:type="dxa"/>
        <w:tblLayout w:type="fixed"/>
        <w:tblLook w:val="04A0" w:firstRow="1" w:lastRow="0" w:firstColumn="1" w:lastColumn="0" w:noHBand="0" w:noVBand="1"/>
      </w:tblPr>
      <w:tblGrid>
        <w:gridCol w:w="1014"/>
        <w:gridCol w:w="570"/>
        <w:gridCol w:w="408"/>
        <w:gridCol w:w="888"/>
        <w:gridCol w:w="792"/>
        <w:gridCol w:w="975"/>
        <w:gridCol w:w="817"/>
        <w:gridCol w:w="825"/>
        <w:gridCol w:w="897"/>
        <w:gridCol w:w="1148"/>
      </w:tblGrid>
      <w:tr w:rsidR="00005585" w:rsidRPr="00005585" w:rsidTr="0001198D">
        <w:trPr>
          <w:trHeight w:val="478"/>
        </w:trPr>
        <w:tc>
          <w:tcPr>
            <w:tcW w:w="950" w:type="pct"/>
            <w:gridSpan w:val="2"/>
            <w:shd w:val="clear" w:color="000000" w:fill="FFFFFF"/>
            <w:vAlign w:val="center"/>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DS</w:t>
            </w:r>
          </w:p>
        </w:tc>
        <w:tc>
          <w:tcPr>
            <w:tcW w:w="245" w:type="pct"/>
            <w:shd w:val="clear" w:color="000000" w:fill="FFFFFF"/>
            <w:noWrap/>
            <w:vAlign w:val="center"/>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533" w:type="pct"/>
            <w:shd w:val="clear" w:color="000000" w:fill="FFFFFF"/>
            <w:noWrap/>
            <w:vAlign w:val="center"/>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IR</w:t>
            </w:r>
          </w:p>
        </w:tc>
        <w:tc>
          <w:tcPr>
            <w:tcW w:w="475" w:type="pct"/>
            <w:shd w:val="clear" w:color="000000" w:fill="FFFFFF"/>
            <w:noWrap/>
            <w:vAlign w:val="center"/>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585" w:type="pct"/>
            <w:shd w:val="clear" w:color="000000" w:fill="FFFFFF"/>
            <w:noWrap/>
            <w:vAlign w:val="center"/>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BS</w:t>
            </w:r>
          </w:p>
        </w:tc>
        <w:tc>
          <w:tcPr>
            <w:tcW w:w="490" w:type="pct"/>
            <w:shd w:val="clear" w:color="000000" w:fill="FFFFFF"/>
            <w:noWrap/>
            <w:vAlign w:val="center"/>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495" w:type="pct"/>
            <w:shd w:val="clear" w:color="000000" w:fill="FFFFFF"/>
            <w:noWrap/>
            <w:vAlign w:val="center"/>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VS</w:t>
            </w:r>
          </w:p>
        </w:tc>
        <w:tc>
          <w:tcPr>
            <w:tcW w:w="538" w:type="pct"/>
            <w:shd w:val="clear" w:color="000000" w:fill="FFFFFF"/>
            <w:noWrap/>
            <w:vAlign w:val="center"/>
          </w:tcPr>
          <w:p w:rsidR="00373FC0" w:rsidRPr="00005585" w:rsidRDefault="00373FC0" w:rsidP="00AD1045">
            <w:pPr>
              <w:spacing w:after="0" w:line="240" w:lineRule="auto"/>
              <w:jc w:val="center"/>
              <w:rPr>
                <w:rFonts w:eastAsia="Times New Roman" w:cs="Times New Roman"/>
                <w:bCs/>
                <w:szCs w:val="24"/>
                <w:lang w:eastAsia="en-GB"/>
              </w:rPr>
            </w:pPr>
          </w:p>
        </w:tc>
        <w:tc>
          <w:tcPr>
            <w:tcW w:w="689" w:type="pct"/>
            <w:shd w:val="clear" w:color="000000" w:fill="FFFFFF"/>
            <w:noWrap/>
            <w:vAlign w:val="center"/>
          </w:tcPr>
          <w:p w:rsidR="00373FC0" w:rsidRPr="00005585" w:rsidRDefault="00373FC0" w:rsidP="00AD1045">
            <w:pPr>
              <w:spacing w:after="0" w:line="240" w:lineRule="auto"/>
              <w:jc w:val="center"/>
              <w:rPr>
                <w:rFonts w:eastAsia="Times New Roman" w:cs="Times New Roman"/>
                <w:bCs/>
                <w:szCs w:val="24"/>
                <w:lang w:eastAsia="en-GB"/>
              </w:rPr>
            </w:pPr>
          </w:p>
        </w:tc>
      </w:tr>
      <w:tr w:rsidR="00005585" w:rsidRPr="00005585" w:rsidTr="0001198D">
        <w:trPr>
          <w:trHeight w:val="478"/>
        </w:trPr>
        <w:tc>
          <w:tcPr>
            <w:tcW w:w="950" w:type="pct"/>
            <w:gridSpan w:val="2"/>
            <w:shd w:val="clear" w:color="000000" w:fill="FFFFFF"/>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Divergence Score for LS</w:t>
            </w:r>
          </w:p>
        </w:tc>
        <w:tc>
          <w:tcPr>
            <w:tcW w:w="245" w:type="pct"/>
            <w:shd w:val="clear" w:color="000000" w:fill="FFFFFF"/>
            <w:noWrap/>
            <w:vAlign w:val="bottom"/>
            <w:hideMark/>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533" w:type="pct"/>
            <w:shd w:val="clear" w:color="000000" w:fill="FFFFFF"/>
            <w:noWrap/>
            <w:vAlign w:val="bottom"/>
            <w:hideMark/>
          </w:tcPr>
          <w:p w:rsidR="00373FC0" w:rsidRPr="00005585" w:rsidRDefault="00373FC0" w:rsidP="00AD1045">
            <w:pPr>
              <w:spacing w:after="0" w:line="240" w:lineRule="auto"/>
              <w:jc w:val="right"/>
              <w:rPr>
                <w:rFonts w:eastAsia="Times New Roman" w:cs="Times New Roman"/>
                <w:bCs/>
                <w:szCs w:val="24"/>
                <w:lang w:eastAsia="en-GB"/>
              </w:rPr>
            </w:pPr>
            <w:r w:rsidRPr="00005585">
              <w:rPr>
                <w:rFonts w:eastAsia="Times New Roman" w:cs="Times New Roman"/>
                <w:bCs/>
                <w:szCs w:val="24"/>
                <w:lang w:eastAsia="en-GB"/>
              </w:rPr>
              <w:t>0.708</w:t>
            </w:r>
          </w:p>
        </w:tc>
        <w:tc>
          <w:tcPr>
            <w:tcW w:w="475" w:type="pct"/>
            <w:shd w:val="clear" w:color="000000" w:fill="FFFFFF"/>
            <w:noWrap/>
            <w:vAlign w:val="bottom"/>
            <w:hideMark/>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585" w:type="pct"/>
            <w:shd w:val="clear" w:color="000000" w:fill="FFFFFF"/>
            <w:noWrap/>
            <w:vAlign w:val="bottom"/>
            <w:hideMark/>
          </w:tcPr>
          <w:p w:rsidR="00373FC0" w:rsidRPr="00005585" w:rsidRDefault="00373FC0" w:rsidP="00AD1045">
            <w:pPr>
              <w:spacing w:after="0" w:line="240" w:lineRule="auto"/>
              <w:jc w:val="right"/>
              <w:rPr>
                <w:rFonts w:eastAsia="Times New Roman" w:cs="Times New Roman"/>
                <w:bCs/>
                <w:szCs w:val="24"/>
                <w:lang w:eastAsia="en-GB"/>
              </w:rPr>
            </w:pPr>
            <w:r w:rsidRPr="00005585">
              <w:rPr>
                <w:rFonts w:eastAsia="Times New Roman" w:cs="Times New Roman"/>
                <w:bCs/>
                <w:szCs w:val="24"/>
                <w:lang w:eastAsia="en-GB"/>
              </w:rPr>
              <w:t>0.207</w:t>
            </w:r>
          </w:p>
        </w:tc>
        <w:tc>
          <w:tcPr>
            <w:tcW w:w="490" w:type="pct"/>
            <w:shd w:val="clear" w:color="000000" w:fill="FFFFFF"/>
            <w:noWrap/>
            <w:vAlign w:val="bottom"/>
            <w:hideMark/>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495" w:type="pct"/>
            <w:shd w:val="clear" w:color="000000" w:fill="FFFFFF"/>
            <w:noWrap/>
            <w:vAlign w:val="bottom"/>
            <w:hideMark/>
          </w:tcPr>
          <w:p w:rsidR="00373FC0" w:rsidRPr="00005585" w:rsidRDefault="00373FC0" w:rsidP="00AD1045">
            <w:pPr>
              <w:spacing w:after="0" w:line="240" w:lineRule="auto"/>
              <w:jc w:val="right"/>
              <w:rPr>
                <w:rFonts w:eastAsia="Times New Roman" w:cs="Times New Roman"/>
                <w:bCs/>
                <w:szCs w:val="24"/>
                <w:lang w:eastAsia="en-GB"/>
              </w:rPr>
            </w:pPr>
            <w:r w:rsidRPr="00005585">
              <w:rPr>
                <w:rFonts w:eastAsia="Times New Roman" w:cs="Times New Roman"/>
                <w:bCs/>
                <w:szCs w:val="24"/>
                <w:lang w:eastAsia="en-GB"/>
              </w:rPr>
              <w:t xml:space="preserve">0.179 </w:t>
            </w:r>
          </w:p>
        </w:tc>
        <w:tc>
          <w:tcPr>
            <w:tcW w:w="538" w:type="pct"/>
            <w:shd w:val="clear" w:color="000000" w:fill="FFFFFF"/>
            <w:noWrap/>
            <w:vAlign w:val="bottom"/>
            <w:hideMark/>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689" w:type="pct"/>
            <w:shd w:val="clear" w:color="000000" w:fill="FFFFFF"/>
            <w:noWrap/>
            <w:vAlign w:val="bottom"/>
            <w:hideMark/>
          </w:tcPr>
          <w:p w:rsidR="00373FC0" w:rsidRPr="00005585" w:rsidRDefault="00373FC0" w:rsidP="00AD1045">
            <w:pPr>
              <w:spacing w:after="0" w:line="240" w:lineRule="auto"/>
              <w:jc w:val="right"/>
              <w:rPr>
                <w:rFonts w:eastAsia="Times New Roman" w:cs="Times New Roman"/>
                <w:bCs/>
                <w:szCs w:val="24"/>
                <w:lang w:eastAsia="en-GB"/>
              </w:rPr>
            </w:pPr>
            <w:r w:rsidRPr="00005585">
              <w:rPr>
                <w:rFonts w:eastAsia="Times New Roman" w:cs="Times New Roman"/>
                <w:bCs/>
                <w:szCs w:val="24"/>
                <w:lang w:eastAsia="en-GB"/>
              </w:rPr>
              <w:t>1.094</w:t>
            </w:r>
          </w:p>
        </w:tc>
      </w:tr>
      <w:tr w:rsidR="00005585" w:rsidRPr="00005585" w:rsidTr="0001198D">
        <w:trPr>
          <w:trHeight w:val="300"/>
        </w:trPr>
        <w:tc>
          <w:tcPr>
            <w:tcW w:w="608" w:type="pct"/>
            <w:shd w:val="clear" w:color="000000" w:fill="FFFFFF"/>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 </w:t>
            </w:r>
          </w:p>
        </w:tc>
        <w:tc>
          <w:tcPr>
            <w:tcW w:w="587" w:type="pct"/>
            <w:gridSpan w:val="2"/>
            <w:shd w:val="clear" w:color="000000" w:fill="FFFFFF"/>
            <w:noWrap/>
            <w:vAlign w:val="bottom"/>
            <w:hideMark/>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 </w:t>
            </w:r>
          </w:p>
        </w:tc>
        <w:tc>
          <w:tcPr>
            <w:tcW w:w="533" w:type="pct"/>
            <w:shd w:val="clear" w:color="000000" w:fill="FFFFFF"/>
            <w:noWrap/>
            <w:vAlign w:val="bottom"/>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 </w:t>
            </w:r>
          </w:p>
        </w:tc>
        <w:tc>
          <w:tcPr>
            <w:tcW w:w="475" w:type="pct"/>
            <w:shd w:val="clear" w:color="000000" w:fill="FFFFFF"/>
            <w:noWrap/>
            <w:vAlign w:val="bottom"/>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 </w:t>
            </w:r>
          </w:p>
        </w:tc>
        <w:tc>
          <w:tcPr>
            <w:tcW w:w="585" w:type="pct"/>
            <w:shd w:val="clear" w:color="000000" w:fill="FFFFFF"/>
            <w:noWrap/>
            <w:vAlign w:val="bottom"/>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 </w:t>
            </w:r>
          </w:p>
        </w:tc>
        <w:tc>
          <w:tcPr>
            <w:tcW w:w="490" w:type="pct"/>
            <w:shd w:val="clear" w:color="000000" w:fill="FFFFFF"/>
            <w:noWrap/>
            <w:vAlign w:val="bottom"/>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 </w:t>
            </w:r>
          </w:p>
        </w:tc>
        <w:tc>
          <w:tcPr>
            <w:tcW w:w="495" w:type="pct"/>
            <w:shd w:val="clear" w:color="000000" w:fill="FFFFFF"/>
            <w:noWrap/>
            <w:vAlign w:val="bottom"/>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 </w:t>
            </w:r>
          </w:p>
        </w:tc>
        <w:tc>
          <w:tcPr>
            <w:tcW w:w="538" w:type="pct"/>
            <w:shd w:val="clear" w:color="000000" w:fill="FFFFFF"/>
            <w:noWrap/>
            <w:vAlign w:val="bottom"/>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 </w:t>
            </w:r>
          </w:p>
        </w:tc>
        <w:tc>
          <w:tcPr>
            <w:tcW w:w="689" w:type="pct"/>
            <w:shd w:val="clear" w:color="000000" w:fill="FFFFFF"/>
            <w:noWrap/>
            <w:vAlign w:val="bottom"/>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 </w:t>
            </w:r>
          </w:p>
        </w:tc>
      </w:tr>
      <w:tr w:rsidR="00005585" w:rsidRPr="00005585" w:rsidTr="0001198D">
        <w:trPr>
          <w:trHeight w:val="407"/>
        </w:trPr>
        <w:tc>
          <w:tcPr>
            <w:tcW w:w="950" w:type="pct"/>
            <w:gridSpan w:val="2"/>
            <w:shd w:val="clear" w:color="000000" w:fill="FFFFFF"/>
            <w:hideMark/>
          </w:tcPr>
          <w:p w:rsidR="00373FC0" w:rsidRPr="00005585" w:rsidRDefault="00373FC0" w:rsidP="00AD1045">
            <w:pPr>
              <w:spacing w:after="0" w:line="240" w:lineRule="auto"/>
              <w:rPr>
                <w:rFonts w:eastAsia="Times New Roman" w:cs="Times New Roman"/>
                <w:bCs/>
                <w:szCs w:val="24"/>
                <w:lang w:eastAsia="en-GB"/>
              </w:rPr>
            </w:pPr>
            <w:r w:rsidRPr="00005585">
              <w:rPr>
                <w:rFonts w:eastAsia="Times New Roman" w:cs="Times New Roman"/>
                <w:bCs/>
                <w:szCs w:val="24"/>
                <w:lang w:eastAsia="en-GB"/>
              </w:rPr>
              <w:t>Divergence Score for RV</w:t>
            </w:r>
          </w:p>
        </w:tc>
        <w:tc>
          <w:tcPr>
            <w:tcW w:w="245" w:type="pct"/>
            <w:shd w:val="clear" w:color="000000" w:fill="FFFFFF"/>
            <w:noWrap/>
            <w:vAlign w:val="bottom"/>
            <w:hideMark/>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533" w:type="pct"/>
            <w:shd w:val="clear" w:color="000000" w:fill="FFFFFF"/>
            <w:noWrap/>
            <w:vAlign w:val="bottom"/>
            <w:hideMark/>
          </w:tcPr>
          <w:p w:rsidR="00373FC0" w:rsidRPr="00005585" w:rsidRDefault="00373FC0" w:rsidP="00AD1045">
            <w:pPr>
              <w:spacing w:after="0" w:line="240" w:lineRule="auto"/>
              <w:jc w:val="right"/>
              <w:rPr>
                <w:rFonts w:eastAsia="Times New Roman" w:cs="Times New Roman"/>
                <w:bCs/>
                <w:szCs w:val="24"/>
                <w:lang w:eastAsia="en-GB"/>
              </w:rPr>
            </w:pPr>
            <w:r w:rsidRPr="00005585">
              <w:rPr>
                <w:rFonts w:eastAsia="Times New Roman" w:cs="Times New Roman"/>
                <w:bCs/>
                <w:szCs w:val="24"/>
                <w:lang w:eastAsia="en-GB"/>
              </w:rPr>
              <w:t>0.795</w:t>
            </w:r>
          </w:p>
        </w:tc>
        <w:tc>
          <w:tcPr>
            <w:tcW w:w="475" w:type="pct"/>
            <w:shd w:val="clear" w:color="000000" w:fill="FFFFFF"/>
            <w:noWrap/>
            <w:vAlign w:val="bottom"/>
            <w:hideMark/>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585" w:type="pct"/>
            <w:shd w:val="clear" w:color="000000" w:fill="FFFFFF"/>
            <w:noWrap/>
            <w:vAlign w:val="bottom"/>
            <w:hideMark/>
          </w:tcPr>
          <w:p w:rsidR="00373FC0" w:rsidRPr="00005585" w:rsidRDefault="00373FC0" w:rsidP="00AD1045">
            <w:pPr>
              <w:spacing w:after="0" w:line="240" w:lineRule="auto"/>
              <w:jc w:val="right"/>
              <w:rPr>
                <w:rFonts w:eastAsia="Times New Roman" w:cs="Times New Roman"/>
                <w:bCs/>
                <w:szCs w:val="24"/>
                <w:lang w:eastAsia="en-GB"/>
              </w:rPr>
            </w:pPr>
            <w:r w:rsidRPr="00005585">
              <w:rPr>
                <w:rFonts w:eastAsia="Times New Roman" w:cs="Times New Roman"/>
                <w:bCs/>
                <w:szCs w:val="24"/>
                <w:lang w:eastAsia="en-GB"/>
              </w:rPr>
              <w:t xml:space="preserve">0.702 </w:t>
            </w:r>
          </w:p>
        </w:tc>
        <w:tc>
          <w:tcPr>
            <w:tcW w:w="490" w:type="pct"/>
            <w:shd w:val="clear" w:color="000000" w:fill="FFFFFF"/>
            <w:noWrap/>
            <w:vAlign w:val="bottom"/>
            <w:hideMark/>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495" w:type="pct"/>
            <w:shd w:val="clear" w:color="000000" w:fill="FFFFFF"/>
            <w:noWrap/>
            <w:vAlign w:val="bottom"/>
            <w:hideMark/>
          </w:tcPr>
          <w:p w:rsidR="00373FC0" w:rsidRPr="00005585" w:rsidRDefault="00373FC0" w:rsidP="00AD1045">
            <w:pPr>
              <w:spacing w:after="0" w:line="240" w:lineRule="auto"/>
              <w:jc w:val="right"/>
              <w:rPr>
                <w:rFonts w:eastAsia="Times New Roman" w:cs="Times New Roman"/>
                <w:bCs/>
                <w:szCs w:val="24"/>
                <w:lang w:eastAsia="en-GB"/>
              </w:rPr>
            </w:pPr>
            <w:r w:rsidRPr="00005585">
              <w:rPr>
                <w:rFonts w:eastAsia="Times New Roman" w:cs="Times New Roman"/>
                <w:bCs/>
                <w:szCs w:val="24"/>
                <w:lang w:eastAsia="en-GB"/>
              </w:rPr>
              <w:t>0.619</w:t>
            </w:r>
          </w:p>
        </w:tc>
        <w:tc>
          <w:tcPr>
            <w:tcW w:w="538" w:type="pct"/>
            <w:shd w:val="clear" w:color="000000" w:fill="FFFFFF"/>
            <w:noWrap/>
            <w:vAlign w:val="bottom"/>
            <w:hideMark/>
          </w:tcPr>
          <w:p w:rsidR="00373FC0" w:rsidRPr="00005585" w:rsidRDefault="00373FC0" w:rsidP="00AD1045">
            <w:pPr>
              <w:spacing w:after="0" w:line="240" w:lineRule="auto"/>
              <w:jc w:val="center"/>
              <w:rPr>
                <w:rFonts w:eastAsia="Times New Roman" w:cs="Times New Roman"/>
                <w:bCs/>
                <w:szCs w:val="24"/>
                <w:lang w:eastAsia="en-GB"/>
              </w:rPr>
            </w:pPr>
            <w:r w:rsidRPr="00005585">
              <w:rPr>
                <w:rFonts w:eastAsia="Times New Roman" w:cs="Times New Roman"/>
                <w:bCs/>
                <w:szCs w:val="24"/>
                <w:lang w:eastAsia="en-GB"/>
              </w:rPr>
              <w:t>=</w:t>
            </w:r>
          </w:p>
        </w:tc>
        <w:tc>
          <w:tcPr>
            <w:tcW w:w="689" w:type="pct"/>
            <w:shd w:val="clear" w:color="000000" w:fill="FFFFFF"/>
            <w:noWrap/>
            <w:vAlign w:val="bottom"/>
            <w:hideMark/>
          </w:tcPr>
          <w:p w:rsidR="00373FC0" w:rsidRPr="00005585" w:rsidRDefault="00373FC0" w:rsidP="00AD1045">
            <w:pPr>
              <w:spacing w:after="0" w:line="240" w:lineRule="auto"/>
              <w:jc w:val="right"/>
              <w:rPr>
                <w:rFonts w:eastAsia="Times New Roman" w:cs="Times New Roman"/>
                <w:bCs/>
                <w:szCs w:val="24"/>
                <w:lang w:eastAsia="en-GB"/>
              </w:rPr>
            </w:pPr>
            <w:r w:rsidRPr="00005585">
              <w:rPr>
                <w:rFonts w:eastAsia="Times New Roman" w:cs="Times New Roman"/>
                <w:bCs/>
                <w:szCs w:val="24"/>
                <w:lang w:eastAsia="en-GB"/>
              </w:rPr>
              <w:t>2.115</w:t>
            </w:r>
          </w:p>
        </w:tc>
      </w:tr>
    </w:tbl>
    <w:p w:rsidR="00373FC0" w:rsidRPr="00005585" w:rsidRDefault="00373FC0" w:rsidP="00373FC0">
      <w:pPr>
        <w:jc w:val="both"/>
      </w:pPr>
    </w:p>
    <w:p w:rsidR="00373FC0" w:rsidRPr="00005585" w:rsidRDefault="00373FC0" w:rsidP="00373FC0">
      <w:pPr>
        <w:jc w:val="both"/>
      </w:pPr>
      <w:r w:rsidRPr="00005585">
        <w:t xml:space="preserve">The LS strategy has a Divergence Score of 1.094, which is barely more than half that of RV (2.115). As previously mentioned, the Divergence Score denotes how much the fund is different from the benchmark (SE, LO in our case). So LS is closer to the cluster (group) than RV. In unreported results, we also tested LS against all the other strategies with regard to the benchmark (SE, LO group), and found that the differences in DS scores were similarly high. Thus, LS </w:t>
      </w:r>
      <w:r w:rsidR="0001198D">
        <w:t xml:space="preserve">is </w:t>
      </w:r>
      <w:r w:rsidRPr="00005585">
        <w:t>better allocated to the group (SE, LO)</w:t>
      </w:r>
      <w:r w:rsidR="004272FC">
        <w:t xml:space="preserve"> than to any other </w:t>
      </w:r>
      <w:r w:rsidRPr="00005585">
        <w:t>strateg</w:t>
      </w:r>
      <w:r w:rsidR="004272FC">
        <w:t>y group</w:t>
      </w:r>
      <w:r w:rsidRPr="00005585">
        <w:t>.</w:t>
      </w:r>
    </w:p>
    <w:p w:rsidR="00373FC0" w:rsidRPr="00005585" w:rsidRDefault="00373FC0" w:rsidP="00373FC0">
      <w:pPr>
        <w:jc w:val="both"/>
      </w:pPr>
      <w:r w:rsidRPr="00005585">
        <w:t>Last</w:t>
      </w:r>
      <w:r w:rsidR="00CA3CC6" w:rsidRPr="00005585">
        <w:t>ly</w:t>
      </w:r>
      <w:r w:rsidRPr="00005585">
        <w:t xml:space="preserve"> we tested LO vs RV against the group (LS, SE) which gave Divergence Scores of 0.980 and 2.061 respectively; also SE vs RV against the group (LS, LO) which gave 0.803 and 2.063 respectively. Hence, we can conclude that</w:t>
      </w:r>
      <w:r w:rsidR="004272FC">
        <w:t>, of all strategies,</w:t>
      </w:r>
      <w:r w:rsidRPr="00005585">
        <w:t xml:space="preserve"> only LO should be allocated to the group LS, SE. </w:t>
      </w:r>
    </w:p>
    <w:p w:rsidR="00373FC0" w:rsidRPr="00005585" w:rsidRDefault="00373FC0" w:rsidP="00373FC0">
      <w:pPr>
        <w:jc w:val="both"/>
      </w:pPr>
      <w:r w:rsidRPr="00005585">
        <w:rPr>
          <w:lang w:val="en-US"/>
        </w:rPr>
        <w:lastRenderedPageBreak/>
        <w:t xml:space="preserve">To summarize, we </w:t>
      </w:r>
      <w:r w:rsidR="004272FC">
        <w:rPr>
          <w:lang w:val="en-US"/>
        </w:rPr>
        <w:t xml:space="preserve">have </w:t>
      </w:r>
      <w:r w:rsidR="003C4EEF">
        <w:rPr>
          <w:lang w:val="en-US"/>
        </w:rPr>
        <w:t>used</w:t>
      </w:r>
      <w:r w:rsidRPr="00005585">
        <w:rPr>
          <w:lang w:val="en-US"/>
        </w:rPr>
        <w:t xml:space="preserve"> </w:t>
      </w:r>
      <w:r w:rsidR="004272FC">
        <w:rPr>
          <w:lang w:val="en-US"/>
        </w:rPr>
        <w:t xml:space="preserve">the </w:t>
      </w:r>
      <w:r w:rsidRPr="00005585">
        <w:rPr>
          <w:lang w:val="en-US"/>
        </w:rPr>
        <w:t xml:space="preserve">HFR and S&amp;P methodologies to give practical examples on how indices are constructed using classification. We </w:t>
      </w:r>
      <w:r w:rsidR="00BF2619">
        <w:rPr>
          <w:lang w:val="en-US"/>
        </w:rPr>
        <w:t>found</w:t>
      </w:r>
      <w:r w:rsidRPr="00005585">
        <w:rPr>
          <w:lang w:val="en-US"/>
        </w:rPr>
        <w:t xml:space="preserve"> that the calculation of distances along with divergence scores (HFR) provides similar results to calculating correlations, standard deviation analysis and ANOVA (S&amp;P). Strategies such as (LO, SE, LS) or (ED, RV, MS) are clustered in a similar way despite the different methods. </w:t>
      </w:r>
      <w:r w:rsidRPr="00005585">
        <w:t xml:space="preserve">This evidence suggests that differences of the indices between the vendors is mainly because they have different </w:t>
      </w:r>
      <w:r w:rsidR="00BF5703">
        <w:t>HF</w:t>
      </w:r>
      <w:r w:rsidRPr="00005585">
        <w:t xml:space="preserve"> universes and different inclusion criteria in their due diligence process. </w:t>
      </w:r>
    </w:p>
    <w:p w:rsidR="000C1F9A" w:rsidRPr="001D0001" w:rsidRDefault="000C1F9A" w:rsidP="001D0001">
      <w:pPr>
        <w:pStyle w:val="Heading1"/>
      </w:pPr>
      <w:r w:rsidRPr="001D0001">
        <w:t>Comparison between HFR and S&amp;P Cases</w:t>
      </w:r>
    </w:p>
    <w:p w:rsidR="000A09EF" w:rsidRDefault="000A09EF" w:rsidP="00404229">
      <w:pPr>
        <w:ind w:left="60"/>
        <w:jc w:val="both"/>
        <w:rPr>
          <w:rFonts w:eastAsiaTheme="minorEastAsia"/>
          <w:lang w:val="en-US"/>
        </w:rPr>
      </w:pPr>
      <w:r>
        <w:t xml:space="preserve">Both vendors use rigorous quantitative techniques, </w:t>
      </w:r>
      <w:r w:rsidR="000C1F9A">
        <w:t xml:space="preserve">combined with </w:t>
      </w:r>
      <w:r>
        <w:t xml:space="preserve">qualitative processes through due diligence </w:t>
      </w:r>
      <w:r w:rsidR="00524A4D">
        <w:t>so as to</w:t>
      </w:r>
      <w:r>
        <w:t xml:space="preserve"> produce high quality re</w:t>
      </w:r>
      <w:r w:rsidRPr="005349A5">
        <w:t>pr</w:t>
      </w:r>
      <w:r>
        <w:t>esentative indices. Nevertheless, they use some different t</w:t>
      </w:r>
      <w:r w:rsidR="00B24880">
        <w:t xml:space="preserve">echnical quantitative methods. </w:t>
      </w:r>
      <w:r>
        <w:t xml:space="preserve">HFR uses cluster analysis using </w:t>
      </w:r>
      <w:r>
        <w:rPr>
          <w:rFonts w:eastAsiaTheme="minorEastAsia"/>
          <w:lang w:val="en-US"/>
        </w:rPr>
        <w:t xml:space="preserve">Ward’s </w:t>
      </w:r>
      <w:r w:rsidRPr="00E44C8B">
        <w:rPr>
          <w:rFonts w:eastAsiaTheme="minorEastAsia"/>
          <w:lang w:val="en-US"/>
        </w:rPr>
        <w:t>(</w:t>
      </w:r>
      <w:r>
        <w:rPr>
          <w:rFonts w:eastAsiaTheme="minorEastAsia"/>
          <w:lang w:val="en-US"/>
        </w:rPr>
        <w:t>1963</w:t>
      </w:r>
      <w:r w:rsidRPr="00E44C8B">
        <w:rPr>
          <w:rFonts w:eastAsiaTheme="minorEastAsia"/>
          <w:lang w:val="en-US"/>
        </w:rPr>
        <w:t>)</w:t>
      </w:r>
      <w:r>
        <w:rPr>
          <w:rFonts w:eastAsiaTheme="minorEastAsia"/>
          <w:lang w:val="en-US"/>
        </w:rPr>
        <w:t xml:space="preserve"> linkage rule (that is very similar to the ANOVA methodology) and correlation - representation analysis through the </w:t>
      </w:r>
      <w:r w:rsidR="0047636F">
        <w:rPr>
          <w:rFonts w:eastAsiaTheme="minorEastAsia"/>
          <w:lang w:val="en-US"/>
        </w:rPr>
        <w:t>D</w:t>
      </w:r>
      <w:r>
        <w:rPr>
          <w:rFonts w:eastAsiaTheme="minorEastAsia"/>
          <w:lang w:val="en-US"/>
        </w:rPr>
        <w:t xml:space="preserve">ivergence </w:t>
      </w:r>
      <w:r w:rsidR="0047636F">
        <w:rPr>
          <w:rFonts w:eastAsiaTheme="minorEastAsia"/>
          <w:lang w:val="en-US"/>
        </w:rPr>
        <w:t>S</w:t>
      </w:r>
      <w:r>
        <w:rPr>
          <w:rFonts w:eastAsiaTheme="minorEastAsia"/>
          <w:lang w:val="en-US"/>
        </w:rPr>
        <w:t xml:space="preserve">core. On the other hand, S&amp;P uses </w:t>
      </w:r>
      <w:r w:rsidR="000C1F9A">
        <w:rPr>
          <w:rFonts w:eastAsiaTheme="minorEastAsia"/>
          <w:lang w:val="en-US"/>
        </w:rPr>
        <w:t>a</w:t>
      </w:r>
      <w:r>
        <w:rPr>
          <w:rFonts w:eastAsiaTheme="minorEastAsia"/>
          <w:lang w:val="en-US"/>
        </w:rPr>
        <w:t xml:space="preserve"> stratified sampling technique considering systematic market exposures and statistically examines the return</w:t>
      </w:r>
      <w:r w:rsidR="00F85892">
        <w:rPr>
          <w:rFonts w:eastAsiaTheme="minorEastAsia"/>
          <w:lang w:val="en-US"/>
        </w:rPr>
        <w:t>s</w:t>
      </w:r>
      <w:r>
        <w:rPr>
          <w:rFonts w:eastAsiaTheme="minorEastAsia"/>
          <w:lang w:val="en-US"/>
        </w:rPr>
        <w:t xml:space="preserve"> history of the funds. Then, in order to </w:t>
      </w:r>
      <w:r w:rsidR="0047636F">
        <w:rPr>
          <w:rFonts w:eastAsiaTheme="minorEastAsia"/>
          <w:lang w:val="en-US"/>
        </w:rPr>
        <w:t>bring out t</w:t>
      </w:r>
      <w:r>
        <w:rPr>
          <w:rFonts w:eastAsiaTheme="minorEastAsia"/>
          <w:lang w:val="en-US"/>
        </w:rPr>
        <w:t>he cohesiveness and the difference</w:t>
      </w:r>
      <w:r w:rsidR="0047636F">
        <w:rPr>
          <w:rFonts w:eastAsiaTheme="minorEastAsia"/>
          <w:lang w:val="en-US"/>
        </w:rPr>
        <w:t>s</w:t>
      </w:r>
      <w:r>
        <w:rPr>
          <w:rFonts w:eastAsiaTheme="minorEastAsia"/>
          <w:lang w:val="en-US"/>
        </w:rPr>
        <w:t xml:space="preserve"> among </w:t>
      </w:r>
      <w:r w:rsidR="00BF5703">
        <w:rPr>
          <w:rFonts w:eastAsiaTheme="minorEastAsia"/>
          <w:lang w:val="en-US"/>
        </w:rPr>
        <w:t>HFs</w:t>
      </w:r>
      <w:r>
        <w:rPr>
          <w:rFonts w:eastAsiaTheme="minorEastAsia"/>
          <w:lang w:val="en-US"/>
        </w:rPr>
        <w:t xml:space="preserve"> it uses the ANOVA methodology. Both firms use simulations to find the appropriate number of funds within the index and perform due diligence analysis. HFR follows somewhat more rigorous quantitative rules concerning the initial screening process. This is because they use specific formula</w:t>
      </w:r>
      <w:r w:rsidR="00F85892">
        <w:rPr>
          <w:rFonts w:eastAsiaTheme="minorEastAsia"/>
          <w:lang w:val="en-US"/>
        </w:rPr>
        <w:t>e</w:t>
      </w:r>
      <w:r>
        <w:rPr>
          <w:rFonts w:eastAsiaTheme="minorEastAsia"/>
          <w:lang w:val="en-US"/>
        </w:rPr>
        <w:t xml:space="preserve"> and eliminate any subjectivity that a stratified method may realize. Concerning the second screening and </w:t>
      </w:r>
      <w:r w:rsidR="00BF5703">
        <w:rPr>
          <w:rFonts w:eastAsiaTheme="minorEastAsia"/>
          <w:lang w:val="en-US"/>
        </w:rPr>
        <w:t>HF</w:t>
      </w:r>
      <w:r>
        <w:rPr>
          <w:rFonts w:eastAsiaTheme="minorEastAsia"/>
          <w:lang w:val="en-US"/>
        </w:rPr>
        <w:t>s allocation to specific indices (strategy groups)</w:t>
      </w:r>
      <w:r w:rsidR="00F85892">
        <w:rPr>
          <w:rFonts w:eastAsiaTheme="minorEastAsia"/>
          <w:lang w:val="en-US"/>
        </w:rPr>
        <w:t>,</w:t>
      </w:r>
      <w:r>
        <w:rPr>
          <w:rFonts w:eastAsiaTheme="minorEastAsia"/>
          <w:lang w:val="en-US"/>
        </w:rPr>
        <w:t xml:space="preserve"> both vendors use robust and clear techniques with several sub-processes to ensure that the construction methodology is appropriate. </w:t>
      </w:r>
      <w:r w:rsidRPr="00D84E98">
        <w:rPr>
          <w:rFonts w:eastAsiaTheme="minorEastAsia"/>
          <w:lang w:val="en-US"/>
        </w:rPr>
        <w:t>Ultimately, both database vendors use quantitative techniques that produce very similar results</w:t>
      </w:r>
      <w:r>
        <w:rPr>
          <w:rFonts w:eastAsiaTheme="minorEastAsia"/>
          <w:lang w:val="en-US"/>
        </w:rPr>
        <w:t xml:space="preserve">, in other words, </w:t>
      </w:r>
      <w:r w:rsidRPr="00D84E98">
        <w:rPr>
          <w:rFonts w:eastAsiaTheme="minorEastAsia"/>
          <w:lang w:val="en-US"/>
        </w:rPr>
        <w:t xml:space="preserve">they cluster funds in </w:t>
      </w:r>
      <w:r>
        <w:rPr>
          <w:rFonts w:eastAsiaTheme="minorEastAsia"/>
          <w:lang w:val="en-US"/>
        </w:rPr>
        <w:t>a similar way</w:t>
      </w:r>
      <w:r w:rsidR="00404229">
        <w:rPr>
          <w:rFonts w:eastAsiaTheme="minorEastAsia"/>
          <w:lang w:val="en-US"/>
        </w:rPr>
        <w:t xml:space="preserve">. </w:t>
      </w:r>
      <w:r>
        <w:rPr>
          <w:rFonts w:eastAsiaTheme="minorEastAsia"/>
          <w:lang w:val="en-US"/>
        </w:rPr>
        <w:t xml:space="preserve">Furthermore, both vendors use rigorous qualitative due diligence processes with interviews, visits etc. The qualitative due diligence process is a very important element as there are some qualitative criteria </w:t>
      </w:r>
      <w:r w:rsidR="00B24880">
        <w:rPr>
          <w:rFonts w:eastAsiaTheme="minorEastAsia"/>
          <w:lang w:val="en-US"/>
        </w:rPr>
        <w:t>not</w:t>
      </w:r>
      <w:r>
        <w:rPr>
          <w:rFonts w:eastAsiaTheme="minorEastAsia"/>
          <w:lang w:val="en-US"/>
        </w:rPr>
        <w:t xml:space="preserve"> </w:t>
      </w:r>
      <w:r w:rsidR="00B24880">
        <w:rPr>
          <w:rFonts w:eastAsiaTheme="minorEastAsia"/>
          <w:lang w:val="en-US"/>
        </w:rPr>
        <w:t>captured</w:t>
      </w:r>
      <w:r>
        <w:rPr>
          <w:rFonts w:eastAsiaTheme="minorEastAsia"/>
          <w:lang w:val="en-US"/>
        </w:rPr>
        <w:t xml:space="preserve"> </w:t>
      </w:r>
      <w:r w:rsidR="00B24880">
        <w:rPr>
          <w:rFonts w:eastAsiaTheme="minorEastAsia"/>
          <w:lang w:val="en-US"/>
        </w:rPr>
        <w:t>by</w:t>
      </w:r>
      <w:r>
        <w:rPr>
          <w:rFonts w:eastAsiaTheme="minorEastAsia"/>
          <w:lang w:val="en-US"/>
        </w:rPr>
        <w:t xml:space="preserve"> quantitative processes.</w:t>
      </w:r>
    </w:p>
    <w:p w:rsidR="000A09EF" w:rsidRDefault="00873571" w:rsidP="000A09EF">
      <w:pPr>
        <w:ind w:left="60"/>
        <w:jc w:val="both"/>
        <w:rPr>
          <w:rFonts w:eastAsiaTheme="minorEastAsia"/>
          <w:lang w:val="en-US"/>
        </w:rPr>
      </w:pPr>
      <w:r>
        <w:rPr>
          <w:rFonts w:eastAsiaTheme="minorEastAsia"/>
          <w:lang w:val="en-US"/>
        </w:rPr>
        <w:t>B</w:t>
      </w:r>
      <w:r w:rsidR="000A09EF">
        <w:rPr>
          <w:rFonts w:eastAsiaTheme="minorEastAsia"/>
          <w:lang w:val="en-US"/>
        </w:rPr>
        <w:t xml:space="preserve">oth vendors use simulation techniques to construct a relatively small number of funds that are representative in a </w:t>
      </w:r>
      <w:r w:rsidR="00BF5703">
        <w:rPr>
          <w:rFonts w:eastAsiaTheme="minorEastAsia"/>
          <w:lang w:val="en-US"/>
        </w:rPr>
        <w:t>HF</w:t>
      </w:r>
      <w:r w:rsidR="000A09EF">
        <w:rPr>
          <w:rFonts w:eastAsiaTheme="minorEastAsia"/>
          <w:lang w:val="en-US"/>
        </w:rPr>
        <w:t xml:space="preserve"> index. However, there is one great difference </w:t>
      </w:r>
      <w:r w:rsidR="000A09EF">
        <w:rPr>
          <w:rFonts w:eastAsiaTheme="minorEastAsia"/>
          <w:lang w:val="en-US"/>
        </w:rPr>
        <w:lastRenderedPageBreak/>
        <w:t xml:space="preserve">concerning the weights that each fund has in the index. For S&amp;P it is equally weighted whereas HFR use a more advanced method using an optimization process. </w:t>
      </w:r>
      <w:r w:rsidR="000A09EF">
        <w:t xml:space="preserve">In favour of asset-weighted indices, investors tend to allocate their money to larger companies and rebalance their portfolios’ constructions according to </w:t>
      </w:r>
      <w:r w:rsidR="00F85892">
        <w:t xml:space="preserve">the </w:t>
      </w:r>
      <w:r w:rsidR="000A09EF">
        <w:t xml:space="preserve">performance results of individual assets. Conversely, asset-weighted indices </w:t>
      </w:r>
      <w:r w:rsidR="0047636F">
        <w:t>may so</w:t>
      </w:r>
      <w:r w:rsidR="000A09EF">
        <w:t>metimes be distorted due to large funds’ performance</w:t>
      </w:r>
      <w:r w:rsidR="00753845">
        <w:t>.</w:t>
      </w:r>
      <w:r w:rsidR="000A09EF">
        <w:t xml:space="preserve"> However, in the traditional markets there is a tendency towards capitalization weights that correspond better to investors’ preferences </w:t>
      </w:r>
      <w:r w:rsidR="000A09EF" w:rsidRPr="00880FDA">
        <w:t>(</w:t>
      </w:r>
      <w:r w:rsidR="0047636F">
        <w:t xml:space="preserve">they </w:t>
      </w:r>
      <w:r w:rsidR="000A09EF" w:rsidRPr="00880FDA">
        <w:t>invest in larger companies)</w:t>
      </w:r>
      <w:r w:rsidR="000A09EF">
        <w:t xml:space="preserve">.  </w:t>
      </w:r>
      <w:r w:rsidR="000A09EF">
        <w:rPr>
          <w:rFonts w:eastAsiaTheme="minorEastAsia"/>
          <w:lang w:val="en-US"/>
        </w:rPr>
        <w:t xml:space="preserve"> </w:t>
      </w:r>
    </w:p>
    <w:p w:rsidR="000A09EF" w:rsidRDefault="000A09EF" w:rsidP="000A09EF">
      <w:pPr>
        <w:ind w:left="60"/>
        <w:jc w:val="both"/>
        <w:rPr>
          <w:rFonts w:eastAsiaTheme="minorEastAsia"/>
          <w:lang w:val="en-US"/>
        </w:rPr>
      </w:pPr>
      <w:r>
        <w:rPr>
          <w:rFonts w:eastAsiaTheme="minorEastAsia"/>
          <w:lang w:val="en-US"/>
        </w:rPr>
        <w:t>Regarding the index structure and</w:t>
      </w:r>
      <w:r w:rsidR="000622E8">
        <w:rPr>
          <w:rFonts w:eastAsiaTheme="minorEastAsia"/>
          <w:lang w:val="en-US"/>
        </w:rPr>
        <w:t xml:space="preserve"> calculation</w:t>
      </w:r>
      <w:r>
        <w:rPr>
          <w:rFonts w:eastAsiaTheme="minorEastAsia"/>
          <w:lang w:val="en-US"/>
        </w:rPr>
        <w:t xml:space="preserve">, both vendors </w:t>
      </w:r>
      <w:r w:rsidR="00F85892">
        <w:rPr>
          <w:rFonts w:eastAsiaTheme="minorEastAsia"/>
          <w:lang w:val="en-US"/>
        </w:rPr>
        <w:t>use</w:t>
      </w:r>
      <w:r>
        <w:rPr>
          <w:rFonts w:eastAsiaTheme="minorEastAsia"/>
          <w:lang w:val="en-US"/>
        </w:rPr>
        <w:t xml:space="preserve"> </w:t>
      </w:r>
      <w:r w:rsidR="0047636F">
        <w:rPr>
          <w:rFonts w:eastAsiaTheme="minorEastAsia"/>
          <w:lang w:val="en-US"/>
        </w:rPr>
        <w:t>a</w:t>
      </w:r>
      <w:r>
        <w:rPr>
          <w:rFonts w:eastAsiaTheme="minorEastAsia"/>
          <w:lang w:val="en-US"/>
        </w:rPr>
        <w:t xml:space="preserve"> ‘tree’ </w:t>
      </w:r>
      <w:r w:rsidR="00601A3F">
        <w:rPr>
          <w:rFonts w:eastAsiaTheme="minorEastAsia"/>
          <w:lang w:val="en-US"/>
        </w:rPr>
        <w:t>framework</w:t>
      </w:r>
      <w:r w:rsidR="000622E8">
        <w:rPr>
          <w:rFonts w:eastAsiaTheme="minorEastAsia"/>
          <w:lang w:val="en-US"/>
        </w:rPr>
        <w:t xml:space="preserve"> and</w:t>
      </w:r>
      <w:r w:rsidR="00601A3F">
        <w:rPr>
          <w:rFonts w:eastAsiaTheme="minorEastAsia"/>
          <w:lang w:val="en-US"/>
        </w:rPr>
        <w:t xml:space="preserve"> the</w:t>
      </w:r>
      <w:r>
        <w:rPr>
          <w:rFonts w:eastAsiaTheme="minorEastAsia"/>
          <w:lang w:val="en-US"/>
        </w:rPr>
        <w:t xml:space="preserve"> general principles of the NAV calculations are the same </w:t>
      </w:r>
      <w:r w:rsidR="000622E8">
        <w:rPr>
          <w:rFonts w:eastAsiaTheme="minorEastAsia"/>
          <w:lang w:val="en-US"/>
        </w:rPr>
        <w:t>using</w:t>
      </w:r>
      <w:r>
        <w:rPr>
          <w:rFonts w:eastAsiaTheme="minorEastAsia"/>
          <w:lang w:val="en-US"/>
        </w:rPr>
        <w:t xml:space="preserve"> a base index equal to 100 or 1000, hence enabling them to compute index changes in a meaningful way. Concerning the Net Asset Value (NAV) the formula is similar with the same principles and compounding rules.   </w:t>
      </w:r>
    </w:p>
    <w:p w:rsidR="000A09EF" w:rsidRDefault="000A09EF" w:rsidP="000A09EF">
      <w:pPr>
        <w:ind w:left="60"/>
        <w:jc w:val="both"/>
      </w:pPr>
      <w:r>
        <w:rPr>
          <w:rFonts w:eastAsiaTheme="minorEastAsia"/>
          <w:lang w:val="en-US"/>
        </w:rPr>
        <w:t>Nevertheless, there is almost a decade of age difference between the</w:t>
      </w:r>
      <w:r w:rsidR="004272FC">
        <w:rPr>
          <w:rFonts w:eastAsiaTheme="minorEastAsia"/>
          <w:lang w:val="en-US"/>
        </w:rPr>
        <w:t>se two construction methodologies</w:t>
      </w:r>
      <w:r>
        <w:rPr>
          <w:rFonts w:eastAsiaTheme="minorEastAsia"/>
          <w:lang w:val="en-US"/>
        </w:rPr>
        <w:t xml:space="preserve"> (2003 for S&amp;P and 2012 for HFR). However, our purpose is not to favor one </w:t>
      </w:r>
      <w:r w:rsidR="00F85892">
        <w:rPr>
          <w:rFonts w:eastAsiaTheme="minorEastAsia"/>
          <w:lang w:val="en-US"/>
        </w:rPr>
        <w:t>or the other</w:t>
      </w:r>
      <w:r>
        <w:rPr>
          <w:rFonts w:eastAsiaTheme="minorEastAsia"/>
          <w:lang w:val="en-US"/>
        </w:rPr>
        <w:t xml:space="preserve">. It is rather to demonstrate and present to the reader detailed index engineering construction processes in a practical way.      </w:t>
      </w:r>
      <w:r>
        <w:t xml:space="preserve">                          </w:t>
      </w:r>
    </w:p>
    <w:p w:rsidR="000A09EF" w:rsidRPr="001D0001" w:rsidRDefault="000A09EF" w:rsidP="001D0001">
      <w:pPr>
        <w:pStyle w:val="Heading1"/>
      </w:pPr>
      <w:bookmarkStart w:id="3" w:name="_Toc421638727"/>
      <w:r w:rsidRPr="001D0001">
        <w:t>Conclusion</w:t>
      </w:r>
      <w:bookmarkEnd w:id="3"/>
    </w:p>
    <w:p w:rsidR="00C157D0" w:rsidRPr="002A7570" w:rsidRDefault="000A09EF" w:rsidP="000A09EF">
      <w:pPr>
        <w:jc w:val="both"/>
        <w:rPr>
          <w:lang w:val="en-US"/>
        </w:rPr>
      </w:pPr>
      <w:r w:rsidRPr="002A7570">
        <w:rPr>
          <w:lang w:val="en-US"/>
        </w:rPr>
        <w:t xml:space="preserve">This </w:t>
      </w:r>
      <w:r w:rsidR="006E2976" w:rsidRPr="002A7570">
        <w:rPr>
          <w:lang w:val="en-US"/>
        </w:rPr>
        <w:t>paper</w:t>
      </w:r>
      <w:r w:rsidRPr="002A7570">
        <w:rPr>
          <w:lang w:val="en-US"/>
        </w:rPr>
        <w:t xml:space="preserve"> is the first to present and analyze in an integrated and practical way </w:t>
      </w:r>
      <w:r w:rsidR="00BF5703">
        <w:rPr>
          <w:lang w:val="en-US"/>
        </w:rPr>
        <w:t>HF</w:t>
      </w:r>
      <w:r w:rsidRPr="002A7570">
        <w:rPr>
          <w:lang w:val="en-US"/>
        </w:rPr>
        <w:t xml:space="preserve"> index engineering processes</w:t>
      </w:r>
      <w:r w:rsidR="00FA1D10">
        <w:rPr>
          <w:lang w:val="en-US"/>
        </w:rPr>
        <w:t xml:space="preserve"> </w:t>
      </w:r>
      <w:r w:rsidRPr="002A7570">
        <w:rPr>
          <w:lang w:val="en-US"/>
        </w:rPr>
        <w:t xml:space="preserve">and particularly classification. </w:t>
      </w:r>
      <w:r w:rsidR="00216AE3">
        <w:rPr>
          <w:lang w:val="en-US"/>
        </w:rPr>
        <w:t>W</w:t>
      </w:r>
      <w:r w:rsidRPr="002A7570">
        <w:rPr>
          <w:lang w:val="en-US"/>
        </w:rPr>
        <w:t xml:space="preserve">e </w:t>
      </w:r>
      <w:r w:rsidR="00C157D0" w:rsidRPr="002A7570">
        <w:rPr>
          <w:lang w:val="en-US"/>
        </w:rPr>
        <w:t xml:space="preserve">have </w:t>
      </w:r>
      <w:r w:rsidRPr="002A7570">
        <w:rPr>
          <w:lang w:val="en-US"/>
        </w:rPr>
        <w:t xml:space="preserve">demonstrated the methods followed by two database vendors as examples that use rigorous quantitative techniques, and also qualitative processes through the due diligence process, in order to ensure that they produce high quality representative indices. The </w:t>
      </w:r>
      <w:r w:rsidR="00DE5D83" w:rsidRPr="00403AE4">
        <w:rPr>
          <w:lang w:val="en-US"/>
        </w:rPr>
        <w:t>fourth</w:t>
      </w:r>
      <w:r w:rsidR="004C17D0" w:rsidRPr="00403AE4">
        <w:rPr>
          <w:lang w:val="en-US"/>
        </w:rPr>
        <w:t xml:space="preserve"> section</w:t>
      </w:r>
      <w:r w:rsidRPr="00403AE4">
        <w:rPr>
          <w:lang w:val="en-US"/>
        </w:rPr>
        <w:t xml:space="preserve"> presents </w:t>
      </w:r>
      <w:r w:rsidRPr="002A7570">
        <w:rPr>
          <w:lang w:val="en-US"/>
        </w:rPr>
        <w:t xml:space="preserve">numerical examples emulating their quantitative processes using real data. </w:t>
      </w:r>
    </w:p>
    <w:p w:rsidR="000A09EF" w:rsidRPr="00A55331" w:rsidRDefault="00A25821" w:rsidP="000A09EF">
      <w:pPr>
        <w:jc w:val="both"/>
        <w:rPr>
          <w:color w:val="0070C0"/>
        </w:rPr>
      </w:pPr>
      <w:r w:rsidRPr="002E20FF">
        <w:rPr>
          <w:rFonts w:cs="Times New Roman"/>
          <w:szCs w:val="24"/>
          <w:lang w:val="en-US"/>
        </w:rPr>
        <w:t xml:space="preserve">Our findings are that, even though database vendors use different methods or quantitative approaches, they are able to cluster funds in a somewhat similar way. This implies that the differences between the index vendors are primarily due to different datasets and different selection criteria. It is almost inevitable that indices in the same category have great differences. This is because the vendors use different </w:t>
      </w:r>
      <w:r w:rsidRPr="002E20FF">
        <w:rPr>
          <w:rFonts w:cs="Times New Roman"/>
          <w:szCs w:val="24"/>
          <w:lang w:val="en-US"/>
        </w:rPr>
        <w:lastRenderedPageBreak/>
        <w:t xml:space="preserve">datasets, have different selection criteria and use different quantitative techniques. This was demonstrated by </w:t>
      </w:r>
      <w:proofErr w:type="spellStart"/>
      <w:r w:rsidRPr="002E20FF">
        <w:rPr>
          <w:rFonts w:cs="Times New Roman"/>
          <w:szCs w:val="24"/>
          <w:lang w:val="en-US"/>
        </w:rPr>
        <w:t>Amenc</w:t>
      </w:r>
      <w:proofErr w:type="spellEnd"/>
      <w:r w:rsidRPr="002E20FF">
        <w:rPr>
          <w:rFonts w:cs="Times New Roman"/>
          <w:szCs w:val="24"/>
          <w:lang w:val="en-US"/>
        </w:rPr>
        <w:t xml:space="preserve"> and </w:t>
      </w:r>
      <w:proofErr w:type="spellStart"/>
      <w:r w:rsidRPr="002E20FF">
        <w:rPr>
          <w:rFonts w:cs="Times New Roman"/>
          <w:szCs w:val="24"/>
          <w:lang w:val="en-US"/>
        </w:rPr>
        <w:t>Martellini</w:t>
      </w:r>
      <w:proofErr w:type="spellEnd"/>
      <w:r w:rsidRPr="002E20FF">
        <w:rPr>
          <w:rFonts w:cs="Times New Roman"/>
          <w:szCs w:val="24"/>
          <w:lang w:val="en-US"/>
        </w:rPr>
        <w:t xml:space="preserve"> (2003). Other studies dealt with measurement and interpretation issues of HF indices (</w:t>
      </w:r>
      <w:proofErr w:type="spellStart"/>
      <w:r w:rsidRPr="002E20FF">
        <w:rPr>
          <w:rFonts w:cs="Times New Roman"/>
          <w:szCs w:val="24"/>
          <w:lang w:val="en-US"/>
        </w:rPr>
        <w:t>Brittain</w:t>
      </w:r>
      <w:proofErr w:type="spellEnd"/>
      <w:r w:rsidRPr="002E20FF">
        <w:rPr>
          <w:rFonts w:cs="Times New Roman"/>
          <w:szCs w:val="24"/>
          <w:lang w:val="en-US"/>
        </w:rPr>
        <w:t xml:space="preserve">, 2001; </w:t>
      </w:r>
      <w:proofErr w:type="spellStart"/>
      <w:r w:rsidRPr="002E20FF">
        <w:rPr>
          <w:rFonts w:cs="Times New Roman"/>
          <w:szCs w:val="24"/>
          <w:lang w:val="en-US"/>
        </w:rPr>
        <w:t>Schneeweis</w:t>
      </w:r>
      <w:proofErr w:type="spellEnd"/>
      <w:r w:rsidRPr="002E20FF">
        <w:rPr>
          <w:rFonts w:cs="Times New Roman"/>
          <w:szCs w:val="24"/>
          <w:lang w:val="en-US"/>
        </w:rPr>
        <w:t xml:space="preserve"> </w:t>
      </w:r>
      <w:proofErr w:type="gramStart"/>
      <w:r w:rsidRPr="002E20FF">
        <w:rPr>
          <w:rFonts w:cs="Times New Roman"/>
          <w:szCs w:val="24"/>
          <w:lang w:val="en-US"/>
        </w:rPr>
        <w:t>et</w:t>
      </w:r>
      <w:proofErr w:type="gramEnd"/>
      <w:r w:rsidRPr="002E20FF">
        <w:rPr>
          <w:rFonts w:cs="Times New Roman"/>
          <w:szCs w:val="24"/>
          <w:lang w:val="en-US"/>
        </w:rPr>
        <w:t xml:space="preserve"> at. 2002), investment attractiveness of HF indices (Brooks and Kat, 2002) or with survivorship and selection biases of indices (Fung</w:t>
      </w:r>
      <w:r>
        <w:rPr>
          <w:rFonts w:cs="Times New Roman"/>
          <w:szCs w:val="24"/>
          <w:lang w:val="en-US"/>
        </w:rPr>
        <w:t xml:space="preserve"> and Hsieh, 2002). </w:t>
      </w:r>
      <w:r w:rsidRPr="002E20FF">
        <w:rPr>
          <w:rFonts w:cs="Times New Roman"/>
          <w:szCs w:val="24"/>
          <w:lang w:val="en-US"/>
        </w:rPr>
        <w:t xml:space="preserve">Our study </w:t>
      </w:r>
      <w:r>
        <w:rPr>
          <w:rFonts w:cs="Times New Roman"/>
          <w:szCs w:val="24"/>
          <w:lang w:val="en-US"/>
        </w:rPr>
        <w:t xml:space="preserve">complements the previous studies and </w:t>
      </w:r>
      <w:r w:rsidRPr="002E20FF">
        <w:rPr>
          <w:rFonts w:cs="Times New Roman"/>
          <w:szCs w:val="24"/>
          <w:lang w:val="en-US"/>
        </w:rPr>
        <w:t xml:space="preserve">assists investors to understand and select better benchmarks for their investments; it helps database vendors to construct, collaborate or specialize in certain indices; </w:t>
      </w:r>
      <w:r>
        <w:rPr>
          <w:rFonts w:cs="Times New Roman"/>
          <w:szCs w:val="24"/>
          <w:lang w:val="en-US"/>
        </w:rPr>
        <w:t xml:space="preserve">it helps </w:t>
      </w:r>
      <w:r w:rsidRPr="002E20FF">
        <w:rPr>
          <w:rFonts w:cs="Times New Roman"/>
          <w:szCs w:val="24"/>
          <w:lang w:val="en-US"/>
        </w:rPr>
        <w:t xml:space="preserve">government authorities to collaborate with database vendors to form a common HF pool with indices; </w:t>
      </w:r>
      <w:r>
        <w:rPr>
          <w:rFonts w:cs="Times New Roman"/>
          <w:szCs w:val="24"/>
          <w:lang w:val="en-US"/>
        </w:rPr>
        <w:t xml:space="preserve">and </w:t>
      </w:r>
      <w:r w:rsidRPr="002E20FF">
        <w:rPr>
          <w:rFonts w:cs="Times New Roman"/>
          <w:szCs w:val="24"/>
          <w:lang w:val="en-US"/>
        </w:rPr>
        <w:t xml:space="preserve">it assists researchers to </w:t>
      </w:r>
      <w:r>
        <w:rPr>
          <w:rFonts w:cs="Times New Roman"/>
          <w:szCs w:val="24"/>
          <w:lang w:val="en-US"/>
        </w:rPr>
        <w:t>gain</w:t>
      </w:r>
      <w:r w:rsidRPr="002E20FF">
        <w:rPr>
          <w:rFonts w:cs="Times New Roman"/>
          <w:szCs w:val="24"/>
          <w:lang w:val="en-US"/>
        </w:rPr>
        <w:t xml:space="preserve"> a better knowledge </w:t>
      </w:r>
      <w:r>
        <w:rPr>
          <w:rFonts w:cs="Times New Roman"/>
          <w:szCs w:val="24"/>
          <w:lang w:val="en-US"/>
        </w:rPr>
        <w:t>of</w:t>
      </w:r>
      <w:r w:rsidRPr="002E20FF">
        <w:rPr>
          <w:rFonts w:cs="Times New Roman"/>
          <w:szCs w:val="24"/>
          <w:lang w:val="en-US"/>
        </w:rPr>
        <w:t xml:space="preserve"> HF fund indices as our study is complementary to other studies rega</w:t>
      </w:r>
      <w:r>
        <w:rPr>
          <w:rFonts w:cs="Times New Roman"/>
          <w:szCs w:val="24"/>
          <w:lang w:val="en-US"/>
        </w:rPr>
        <w:t>rding indices.</w:t>
      </w:r>
      <w:r w:rsidR="00EA75D3">
        <w:rPr>
          <w:color w:val="0070C0"/>
          <w:lang w:val="en-US"/>
        </w:rPr>
        <w:t xml:space="preserve">  </w:t>
      </w:r>
      <w:r w:rsidR="00783189">
        <w:rPr>
          <w:color w:val="0070C0"/>
          <w:lang w:val="en-US"/>
        </w:rPr>
        <w:t xml:space="preserve"> </w:t>
      </w:r>
    </w:p>
    <w:p w:rsidR="000A09EF" w:rsidRDefault="00C157D0" w:rsidP="000A09EF">
      <w:pPr>
        <w:jc w:val="both"/>
        <w:rPr>
          <w:lang w:val="en-US"/>
        </w:rPr>
      </w:pPr>
      <w:r>
        <w:rPr>
          <w:lang w:val="en-US"/>
        </w:rPr>
        <w:t xml:space="preserve">Further </w:t>
      </w:r>
      <w:r w:rsidR="000A09EF">
        <w:rPr>
          <w:lang w:val="en-US"/>
        </w:rPr>
        <w:t xml:space="preserve">research is needed towards the reproduction of our study using multiple datasets </w:t>
      </w:r>
      <w:r w:rsidR="000A09EF" w:rsidRPr="00567BFB">
        <w:rPr>
          <w:lang w:val="en-US"/>
        </w:rPr>
        <w:t xml:space="preserve">and focusing at the fund level. </w:t>
      </w:r>
      <w:r w:rsidR="00E75F45">
        <w:rPr>
          <w:lang w:val="en-US"/>
        </w:rPr>
        <w:t>Examining</w:t>
      </w:r>
      <w:r w:rsidR="000A09EF" w:rsidRPr="00567BFB">
        <w:rPr>
          <w:lang w:val="en-US"/>
        </w:rPr>
        <w:t xml:space="preserve"> various classification techniques o</w:t>
      </w:r>
      <w:r w:rsidR="004272FC">
        <w:rPr>
          <w:lang w:val="en-US"/>
        </w:rPr>
        <w:t>f</w:t>
      </w:r>
      <w:r w:rsidR="000A09EF" w:rsidRPr="00567BFB">
        <w:rPr>
          <w:lang w:val="en-US"/>
        </w:rPr>
        <w:t xml:space="preserve"> </w:t>
      </w:r>
      <w:r w:rsidR="00BF5703">
        <w:rPr>
          <w:lang w:val="en-US"/>
        </w:rPr>
        <w:t>HF</w:t>
      </w:r>
      <w:r w:rsidR="000A09EF" w:rsidRPr="00567BFB">
        <w:rPr>
          <w:lang w:val="en-US"/>
        </w:rPr>
        <w:t>s</w:t>
      </w:r>
      <w:r w:rsidR="000A09EF">
        <w:rPr>
          <w:lang w:val="en-US"/>
        </w:rPr>
        <w:t>,</w:t>
      </w:r>
      <w:r w:rsidR="000A09EF" w:rsidRPr="00567BFB">
        <w:rPr>
          <w:lang w:val="en-US"/>
        </w:rPr>
        <w:t xml:space="preserve"> a researcher </w:t>
      </w:r>
      <w:r w:rsidR="000A09EF" w:rsidRPr="004272FC">
        <w:rPr>
          <w:lang w:val="en-US"/>
        </w:rPr>
        <w:t>could</w:t>
      </w:r>
      <w:r w:rsidR="004272FC">
        <w:rPr>
          <w:lang w:val="en-US"/>
        </w:rPr>
        <w:t xml:space="preserve"> get </w:t>
      </w:r>
      <w:r w:rsidR="000A09EF" w:rsidRPr="004272FC">
        <w:rPr>
          <w:lang w:val="en-US"/>
        </w:rPr>
        <w:t>more</w:t>
      </w:r>
      <w:r w:rsidR="000A09EF">
        <w:rPr>
          <w:lang w:val="en-US"/>
        </w:rPr>
        <w:t xml:space="preserve"> robust results on the efficiency and the similarities of the quantitative methods used by the underlying vendors. This extension could include the use of </w:t>
      </w:r>
      <w:r w:rsidR="00216AE3">
        <w:rPr>
          <w:lang w:val="en-US"/>
        </w:rPr>
        <w:t xml:space="preserve">further </w:t>
      </w:r>
      <w:r w:rsidR="000A09EF">
        <w:rPr>
          <w:lang w:val="en-US"/>
        </w:rPr>
        <w:t xml:space="preserve">quantitative techniques beyond those used by the database vendors. </w:t>
      </w:r>
      <w:r w:rsidR="004272FC">
        <w:rPr>
          <w:lang w:val="en-US"/>
        </w:rPr>
        <w:t>L</w:t>
      </w:r>
      <w:r w:rsidR="000A09EF">
        <w:rPr>
          <w:lang w:val="en-US"/>
        </w:rPr>
        <w:t xml:space="preserve">ittle statistical work has been done to determine the best methods for different end users. </w:t>
      </w:r>
      <w:r w:rsidR="00216AE3">
        <w:rPr>
          <w:lang w:val="en-US"/>
        </w:rPr>
        <w:t>A</w:t>
      </w:r>
      <w:r w:rsidR="000A09EF">
        <w:rPr>
          <w:lang w:val="en-US"/>
        </w:rPr>
        <w:t>nother ex</w:t>
      </w:r>
      <w:r w:rsidR="004272FC">
        <w:rPr>
          <w:lang w:val="en-US"/>
        </w:rPr>
        <w:t>ten</w:t>
      </w:r>
      <w:r w:rsidR="000A09EF">
        <w:rPr>
          <w:lang w:val="en-US"/>
        </w:rPr>
        <w:t>sion would be the evaluation and identification of the best possible co</w:t>
      </w:r>
      <w:r w:rsidR="000275E3">
        <w:rPr>
          <w:lang w:val="en-US"/>
        </w:rPr>
        <w:t>nstruction methods or practices</w:t>
      </w:r>
      <w:r w:rsidR="000A09EF">
        <w:rPr>
          <w:lang w:val="en-US"/>
        </w:rPr>
        <w:t xml:space="preserve"> </w:t>
      </w:r>
      <w:r w:rsidR="004272FC">
        <w:rPr>
          <w:lang w:val="en-US"/>
        </w:rPr>
        <w:t>in</w:t>
      </w:r>
      <w:r w:rsidR="000A09EF">
        <w:rPr>
          <w:lang w:val="en-US"/>
        </w:rPr>
        <w:t xml:space="preserve"> the </w:t>
      </w:r>
      <w:r w:rsidR="00BF5703">
        <w:rPr>
          <w:lang w:val="en-US"/>
        </w:rPr>
        <w:t>HF</w:t>
      </w:r>
      <w:r w:rsidR="000A09EF">
        <w:rPr>
          <w:lang w:val="en-US"/>
        </w:rPr>
        <w:t xml:space="preserve"> index composition process. This could include either evaluating specific quantitative techniques according to predefined criteria, or evaluating currently</w:t>
      </w:r>
      <w:r w:rsidR="004272FC">
        <w:rPr>
          <w:lang w:val="en-US"/>
        </w:rPr>
        <w:t xml:space="preserve"> </w:t>
      </w:r>
      <w:r w:rsidR="000A09EF">
        <w:rPr>
          <w:lang w:val="en-US"/>
        </w:rPr>
        <w:t>available indices against other benchmarks such as an index of indices or fund of funds index</w:t>
      </w:r>
      <w:r w:rsidR="00216AE3">
        <w:rPr>
          <w:lang w:val="en-US"/>
        </w:rPr>
        <w:t>.</w:t>
      </w:r>
    </w:p>
    <w:p w:rsidR="000A09EF" w:rsidRPr="004B2782" w:rsidRDefault="000A09EF" w:rsidP="002A7570">
      <w:pPr>
        <w:pStyle w:val="Heading1"/>
        <w:numPr>
          <w:ilvl w:val="0"/>
          <w:numId w:val="0"/>
        </w:numPr>
      </w:pPr>
      <w:bookmarkStart w:id="4" w:name="_Toc421638728"/>
      <w:r>
        <w:t>References</w:t>
      </w:r>
      <w:bookmarkEnd w:id="4"/>
    </w:p>
    <w:p w:rsidR="00C16AFC" w:rsidRPr="001D24F6" w:rsidRDefault="00C16AFC" w:rsidP="00C16AFC">
      <w:pPr>
        <w:rPr>
          <w:rFonts w:cs="Times New Roman"/>
          <w:szCs w:val="24"/>
        </w:rPr>
      </w:pPr>
      <w:r w:rsidRPr="001D24F6">
        <w:rPr>
          <w:rFonts w:cs="Times New Roman"/>
          <w:szCs w:val="24"/>
        </w:rPr>
        <w:t xml:space="preserve">Ackermann, C., </w:t>
      </w:r>
      <w:proofErr w:type="spellStart"/>
      <w:r w:rsidRPr="001D24F6">
        <w:rPr>
          <w:rFonts w:cs="Times New Roman"/>
          <w:szCs w:val="24"/>
        </w:rPr>
        <w:t>McEnally</w:t>
      </w:r>
      <w:proofErr w:type="spellEnd"/>
      <w:r w:rsidRPr="001D24F6">
        <w:rPr>
          <w:rFonts w:cs="Times New Roman"/>
          <w:szCs w:val="24"/>
        </w:rPr>
        <w:t xml:space="preserve">, R., and </w:t>
      </w:r>
      <w:proofErr w:type="spellStart"/>
      <w:r w:rsidRPr="001D24F6">
        <w:rPr>
          <w:rFonts w:cs="Times New Roman"/>
          <w:szCs w:val="24"/>
        </w:rPr>
        <w:t>Ravenscraft</w:t>
      </w:r>
      <w:proofErr w:type="spellEnd"/>
      <w:r w:rsidRPr="001D24F6">
        <w:rPr>
          <w:rFonts w:cs="Times New Roman"/>
          <w:szCs w:val="24"/>
        </w:rPr>
        <w:t xml:space="preserve">, D. (1999). The Performance of </w:t>
      </w:r>
      <w:r w:rsidR="00667644" w:rsidRPr="001D24F6">
        <w:rPr>
          <w:rFonts w:cs="Times New Roman"/>
          <w:szCs w:val="24"/>
        </w:rPr>
        <w:t>h</w:t>
      </w:r>
      <w:r w:rsidRPr="001D24F6">
        <w:rPr>
          <w:rFonts w:cs="Times New Roman"/>
          <w:szCs w:val="24"/>
        </w:rPr>
        <w:t xml:space="preserve">edge </w:t>
      </w:r>
      <w:r w:rsidR="00667644" w:rsidRPr="001D24F6">
        <w:rPr>
          <w:rFonts w:cs="Times New Roman"/>
          <w:szCs w:val="24"/>
        </w:rPr>
        <w:t>f</w:t>
      </w:r>
      <w:r w:rsidRPr="001D24F6">
        <w:rPr>
          <w:rFonts w:cs="Times New Roman"/>
          <w:szCs w:val="24"/>
        </w:rPr>
        <w:t xml:space="preserve">unds: Risk, </w:t>
      </w:r>
      <w:r w:rsidR="00667644" w:rsidRPr="001D24F6">
        <w:rPr>
          <w:rFonts w:cs="Times New Roman"/>
          <w:szCs w:val="24"/>
        </w:rPr>
        <w:t>r</w:t>
      </w:r>
      <w:r w:rsidRPr="001D24F6">
        <w:rPr>
          <w:rFonts w:cs="Times New Roman"/>
          <w:szCs w:val="24"/>
        </w:rPr>
        <w:t xml:space="preserve">eturn, and </w:t>
      </w:r>
      <w:r w:rsidR="00667644" w:rsidRPr="001D24F6">
        <w:rPr>
          <w:rFonts w:cs="Times New Roman"/>
          <w:szCs w:val="24"/>
        </w:rPr>
        <w:t>i</w:t>
      </w:r>
      <w:r w:rsidRPr="001D24F6">
        <w:rPr>
          <w:rFonts w:cs="Times New Roman"/>
          <w:szCs w:val="24"/>
        </w:rPr>
        <w:t xml:space="preserve">ncentives, </w:t>
      </w:r>
      <w:r w:rsidRPr="001D24F6">
        <w:rPr>
          <w:rFonts w:cs="Times New Roman"/>
          <w:i/>
          <w:szCs w:val="24"/>
        </w:rPr>
        <w:t>The Journal of Finance</w:t>
      </w:r>
      <w:r w:rsidRPr="001D24F6">
        <w:rPr>
          <w:rFonts w:cs="Times New Roman"/>
          <w:szCs w:val="24"/>
        </w:rPr>
        <w:t xml:space="preserve">, </w:t>
      </w:r>
      <w:r w:rsidR="00C2317B" w:rsidRPr="001D24F6">
        <w:rPr>
          <w:rFonts w:cs="Times New Roman"/>
          <w:szCs w:val="24"/>
        </w:rPr>
        <w:t>54</w:t>
      </w:r>
      <w:r w:rsidRPr="001D24F6">
        <w:rPr>
          <w:rFonts w:cs="Times New Roman"/>
          <w:szCs w:val="24"/>
        </w:rPr>
        <w:t>(2), pp.833-874.</w:t>
      </w:r>
    </w:p>
    <w:p w:rsidR="00C16AFC" w:rsidRPr="001D24F6" w:rsidRDefault="00C16AFC" w:rsidP="00C16AFC">
      <w:pPr>
        <w:rPr>
          <w:rFonts w:cs="Times New Roman"/>
          <w:szCs w:val="24"/>
        </w:rPr>
      </w:pPr>
      <w:r w:rsidRPr="001D24F6">
        <w:rPr>
          <w:rFonts w:cs="Times New Roman"/>
          <w:szCs w:val="24"/>
        </w:rPr>
        <w:t xml:space="preserve">Agarwal, V., and </w:t>
      </w:r>
      <w:proofErr w:type="spellStart"/>
      <w:r w:rsidRPr="001D24F6">
        <w:rPr>
          <w:rFonts w:cs="Times New Roman"/>
          <w:szCs w:val="24"/>
        </w:rPr>
        <w:t>Naik</w:t>
      </w:r>
      <w:proofErr w:type="spellEnd"/>
      <w:r w:rsidRPr="001D24F6">
        <w:rPr>
          <w:rFonts w:cs="Times New Roman"/>
          <w:szCs w:val="24"/>
        </w:rPr>
        <w:t xml:space="preserve"> N. (2000). On taking the alternative route: risks, rewards, and performance persistence of hedge funds, </w:t>
      </w:r>
      <w:r w:rsidRPr="001D24F6">
        <w:rPr>
          <w:rFonts w:cs="Times New Roman"/>
          <w:i/>
          <w:szCs w:val="24"/>
        </w:rPr>
        <w:t>Journal of Alternative Investments</w:t>
      </w:r>
      <w:r w:rsidRPr="001D24F6">
        <w:rPr>
          <w:rFonts w:cs="Times New Roman"/>
          <w:szCs w:val="24"/>
        </w:rPr>
        <w:t>, 2(4), pp.6-23.</w:t>
      </w:r>
    </w:p>
    <w:p w:rsidR="00C16AFC" w:rsidRDefault="00C16AFC" w:rsidP="00C16AFC">
      <w:pPr>
        <w:rPr>
          <w:rFonts w:cs="Times New Roman"/>
          <w:szCs w:val="24"/>
        </w:rPr>
      </w:pPr>
      <w:r w:rsidRPr="001D24F6">
        <w:rPr>
          <w:rFonts w:cs="Times New Roman"/>
          <w:szCs w:val="24"/>
        </w:rPr>
        <w:lastRenderedPageBreak/>
        <w:t xml:space="preserve">Agarwal, V., Daniel, N. and </w:t>
      </w:r>
      <w:proofErr w:type="spellStart"/>
      <w:r w:rsidRPr="001D24F6">
        <w:rPr>
          <w:rFonts w:cs="Times New Roman"/>
          <w:szCs w:val="24"/>
        </w:rPr>
        <w:t>Naik</w:t>
      </w:r>
      <w:proofErr w:type="spellEnd"/>
      <w:r w:rsidRPr="001D24F6">
        <w:rPr>
          <w:rFonts w:cs="Times New Roman"/>
          <w:szCs w:val="24"/>
        </w:rPr>
        <w:t xml:space="preserve">, N. (2004). Flows, </w:t>
      </w:r>
      <w:r w:rsidR="00667644" w:rsidRPr="001D24F6">
        <w:rPr>
          <w:rFonts w:cs="Times New Roman"/>
          <w:szCs w:val="24"/>
        </w:rPr>
        <w:t>p</w:t>
      </w:r>
      <w:r w:rsidRPr="001D24F6">
        <w:rPr>
          <w:rFonts w:cs="Times New Roman"/>
          <w:szCs w:val="24"/>
        </w:rPr>
        <w:t xml:space="preserve">erformance, and </w:t>
      </w:r>
      <w:r w:rsidR="00667644" w:rsidRPr="001D24F6">
        <w:rPr>
          <w:rFonts w:cs="Times New Roman"/>
          <w:szCs w:val="24"/>
        </w:rPr>
        <w:t>m</w:t>
      </w:r>
      <w:r w:rsidRPr="001D24F6">
        <w:rPr>
          <w:rFonts w:cs="Times New Roman"/>
          <w:szCs w:val="24"/>
        </w:rPr>
        <w:t xml:space="preserve">anagerial </w:t>
      </w:r>
      <w:r w:rsidR="00667644" w:rsidRPr="001D24F6">
        <w:rPr>
          <w:rFonts w:cs="Times New Roman"/>
          <w:szCs w:val="24"/>
        </w:rPr>
        <w:t>i</w:t>
      </w:r>
      <w:r w:rsidRPr="001D24F6">
        <w:rPr>
          <w:rFonts w:cs="Times New Roman"/>
          <w:szCs w:val="24"/>
        </w:rPr>
        <w:t xml:space="preserve">ncentives in </w:t>
      </w:r>
      <w:r w:rsidR="00667644" w:rsidRPr="001D24F6">
        <w:rPr>
          <w:rFonts w:cs="Times New Roman"/>
          <w:szCs w:val="24"/>
        </w:rPr>
        <w:t>h</w:t>
      </w:r>
      <w:r w:rsidRPr="001D24F6">
        <w:rPr>
          <w:rFonts w:cs="Times New Roman"/>
          <w:szCs w:val="24"/>
        </w:rPr>
        <w:t xml:space="preserve">edge </w:t>
      </w:r>
      <w:r w:rsidR="00667644" w:rsidRPr="001D24F6">
        <w:rPr>
          <w:rFonts w:cs="Times New Roman"/>
          <w:szCs w:val="24"/>
        </w:rPr>
        <w:t>f</w:t>
      </w:r>
      <w:r w:rsidRPr="001D24F6">
        <w:rPr>
          <w:rFonts w:cs="Times New Roman"/>
          <w:szCs w:val="24"/>
        </w:rPr>
        <w:t xml:space="preserve">unds, </w:t>
      </w:r>
      <w:r w:rsidRPr="001D24F6">
        <w:rPr>
          <w:rFonts w:cs="Times New Roman"/>
          <w:i/>
          <w:szCs w:val="24"/>
        </w:rPr>
        <w:t>Working Paper</w:t>
      </w:r>
      <w:r w:rsidRPr="001D24F6">
        <w:rPr>
          <w:rFonts w:cs="Times New Roman"/>
          <w:szCs w:val="24"/>
        </w:rPr>
        <w:t>, [Online]. Available at http://papers.ssrn.com/sol3/papers.cfm?abstract_id=424369&amp;download=yes [Accessed 18 July 2015].</w:t>
      </w:r>
    </w:p>
    <w:p w:rsidR="001428AC" w:rsidRPr="00A25821" w:rsidRDefault="001428AC" w:rsidP="00C16AFC">
      <w:pPr>
        <w:rPr>
          <w:rFonts w:cs="Times New Roman"/>
          <w:szCs w:val="24"/>
        </w:rPr>
      </w:pPr>
      <w:proofErr w:type="spellStart"/>
      <w:r w:rsidRPr="00A25821">
        <w:rPr>
          <w:rFonts w:cs="Times New Roman"/>
          <w:szCs w:val="24"/>
        </w:rPr>
        <w:t>Amenc</w:t>
      </w:r>
      <w:proofErr w:type="spellEnd"/>
      <w:r w:rsidRPr="00A25821">
        <w:rPr>
          <w:rFonts w:cs="Times New Roman"/>
          <w:szCs w:val="24"/>
        </w:rPr>
        <w:t xml:space="preserve">, N., and </w:t>
      </w:r>
      <w:proofErr w:type="spellStart"/>
      <w:r w:rsidRPr="00A25821">
        <w:rPr>
          <w:rFonts w:cs="Times New Roman"/>
          <w:szCs w:val="24"/>
        </w:rPr>
        <w:t>Martellini</w:t>
      </w:r>
      <w:proofErr w:type="spellEnd"/>
      <w:r w:rsidRPr="00A25821">
        <w:rPr>
          <w:rFonts w:cs="Times New Roman"/>
          <w:szCs w:val="24"/>
        </w:rPr>
        <w:t xml:space="preserve">, L. (2003). The alpha and omega of hedge fund performance measurement, [Online]. Available at http://www.edhec-risk.com/events/EDHEC_Events/Event.2004-12-09.1402/attachments/alpha%20and%20omega.pdf [Accessed 01 October 2015]. </w:t>
      </w:r>
    </w:p>
    <w:p w:rsidR="00C16AFC" w:rsidRPr="00A25821" w:rsidRDefault="00C16AFC" w:rsidP="00C16AFC">
      <w:pPr>
        <w:rPr>
          <w:rFonts w:cs="Times New Roman"/>
          <w:szCs w:val="24"/>
        </w:rPr>
      </w:pPr>
      <w:proofErr w:type="spellStart"/>
      <w:r w:rsidRPr="00A25821">
        <w:rPr>
          <w:rFonts w:cs="Times New Roman"/>
          <w:szCs w:val="24"/>
        </w:rPr>
        <w:t>Ammann</w:t>
      </w:r>
      <w:proofErr w:type="spellEnd"/>
      <w:r w:rsidRPr="00A25821">
        <w:rPr>
          <w:rFonts w:cs="Times New Roman"/>
          <w:szCs w:val="24"/>
        </w:rPr>
        <w:t xml:space="preserve">, M. and </w:t>
      </w:r>
      <w:proofErr w:type="spellStart"/>
      <w:r w:rsidRPr="00A25821">
        <w:rPr>
          <w:rFonts w:cs="Times New Roman"/>
          <w:szCs w:val="24"/>
        </w:rPr>
        <w:t>Moerth</w:t>
      </w:r>
      <w:proofErr w:type="spellEnd"/>
      <w:r w:rsidRPr="00A25821">
        <w:rPr>
          <w:rFonts w:cs="Times New Roman"/>
          <w:szCs w:val="24"/>
        </w:rPr>
        <w:t xml:space="preserve">, P. (2005). Impact of fund size on hedge fund performance, </w:t>
      </w:r>
      <w:r w:rsidRPr="00A25821">
        <w:rPr>
          <w:rFonts w:cs="Times New Roman"/>
          <w:i/>
          <w:szCs w:val="24"/>
        </w:rPr>
        <w:t>Journal of Asset Management</w:t>
      </w:r>
      <w:r w:rsidRPr="00A25821">
        <w:rPr>
          <w:rFonts w:cs="Times New Roman"/>
          <w:szCs w:val="24"/>
        </w:rPr>
        <w:t>, 6(3), pp.219-238.</w:t>
      </w:r>
    </w:p>
    <w:p w:rsidR="00C16AFC" w:rsidRPr="00A25821" w:rsidRDefault="00C16AFC" w:rsidP="00C16AFC">
      <w:pPr>
        <w:rPr>
          <w:rFonts w:cs="Times New Roman"/>
          <w:szCs w:val="24"/>
        </w:rPr>
      </w:pPr>
      <w:r w:rsidRPr="00A25821">
        <w:rPr>
          <w:rFonts w:cs="Times New Roman"/>
          <w:szCs w:val="24"/>
        </w:rPr>
        <w:t xml:space="preserve">Bali, T., Brown, S., and </w:t>
      </w:r>
      <w:proofErr w:type="spellStart"/>
      <w:r w:rsidRPr="00A25821">
        <w:rPr>
          <w:rFonts w:cs="Times New Roman"/>
          <w:szCs w:val="24"/>
        </w:rPr>
        <w:t>Caglayan</w:t>
      </w:r>
      <w:proofErr w:type="spellEnd"/>
      <w:r w:rsidRPr="00A25821">
        <w:rPr>
          <w:rFonts w:cs="Times New Roman"/>
          <w:szCs w:val="24"/>
        </w:rPr>
        <w:t>, M. (2011). Do hedge funds’ exposures to risk factors predict their future returns</w:t>
      </w:r>
      <w:proofErr w:type="gramStart"/>
      <w:r w:rsidRPr="00A25821">
        <w:rPr>
          <w:rFonts w:cs="Times New Roman"/>
          <w:szCs w:val="24"/>
        </w:rPr>
        <w:t>?,</w:t>
      </w:r>
      <w:proofErr w:type="gramEnd"/>
      <w:r w:rsidRPr="00A25821">
        <w:rPr>
          <w:rFonts w:cs="Times New Roman"/>
          <w:szCs w:val="24"/>
        </w:rPr>
        <w:t xml:space="preserve"> </w:t>
      </w:r>
      <w:r w:rsidRPr="00A25821">
        <w:rPr>
          <w:rFonts w:cs="Times New Roman"/>
          <w:i/>
          <w:szCs w:val="24"/>
        </w:rPr>
        <w:t>Journal of Financial Economics</w:t>
      </w:r>
      <w:r w:rsidRPr="00A25821">
        <w:rPr>
          <w:rFonts w:cs="Times New Roman"/>
          <w:szCs w:val="24"/>
        </w:rPr>
        <w:t>, 101(1), pp.36-68.</w:t>
      </w:r>
    </w:p>
    <w:p w:rsidR="00C16AFC" w:rsidRPr="00A25821" w:rsidRDefault="00C16AFC" w:rsidP="00C16AFC">
      <w:pPr>
        <w:rPr>
          <w:rFonts w:cs="Times New Roman"/>
          <w:szCs w:val="24"/>
        </w:rPr>
      </w:pPr>
      <w:r w:rsidRPr="00A25821">
        <w:rPr>
          <w:rFonts w:cs="Times New Roman"/>
          <w:szCs w:val="24"/>
        </w:rPr>
        <w:t xml:space="preserve">Bares, P.-A., Gibson, R. and </w:t>
      </w:r>
      <w:proofErr w:type="spellStart"/>
      <w:r w:rsidRPr="00A25821">
        <w:rPr>
          <w:rFonts w:cs="Times New Roman"/>
          <w:szCs w:val="24"/>
        </w:rPr>
        <w:t>Gyger</w:t>
      </w:r>
      <w:proofErr w:type="spellEnd"/>
      <w:r w:rsidRPr="00A25821">
        <w:rPr>
          <w:rFonts w:cs="Times New Roman"/>
          <w:szCs w:val="24"/>
        </w:rPr>
        <w:t xml:space="preserve">, S. (2003). Performance in the </w:t>
      </w:r>
      <w:r w:rsidR="00667644" w:rsidRPr="00A25821">
        <w:rPr>
          <w:rFonts w:cs="Times New Roman"/>
          <w:szCs w:val="24"/>
        </w:rPr>
        <w:t>h</w:t>
      </w:r>
      <w:r w:rsidRPr="00A25821">
        <w:rPr>
          <w:rFonts w:cs="Times New Roman"/>
          <w:szCs w:val="24"/>
        </w:rPr>
        <w:t xml:space="preserve">edge </w:t>
      </w:r>
      <w:r w:rsidR="00667644" w:rsidRPr="00A25821">
        <w:rPr>
          <w:rFonts w:cs="Times New Roman"/>
          <w:szCs w:val="24"/>
        </w:rPr>
        <w:t>f</w:t>
      </w:r>
      <w:r w:rsidRPr="00A25821">
        <w:rPr>
          <w:rFonts w:cs="Times New Roman"/>
          <w:szCs w:val="24"/>
        </w:rPr>
        <w:t xml:space="preserve">unds </w:t>
      </w:r>
      <w:r w:rsidR="00667644" w:rsidRPr="00A25821">
        <w:rPr>
          <w:rFonts w:cs="Times New Roman"/>
          <w:szCs w:val="24"/>
        </w:rPr>
        <w:t>i</w:t>
      </w:r>
      <w:r w:rsidRPr="00A25821">
        <w:rPr>
          <w:rFonts w:cs="Times New Roman"/>
          <w:szCs w:val="24"/>
        </w:rPr>
        <w:t xml:space="preserve">ndustry: An </w:t>
      </w:r>
      <w:r w:rsidR="00667644" w:rsidRPr="00A25821">
        <w:rPr>
          <w:rFonts w:cs="Times New Roman"/>
          <w:szCs w:val="24"/>
        </w:rPr>
        <w:t>a</w:t>
      </w:r>
      <w:r w:rsidRPr="00A25821">
        <w:rPr>
          <w:rFonts w:cs="Times New Roman"/>
          <w:szCs w:val="24"/>
        </w:rPr>
        <w:t xml:space="preserve">nalysis of </w:t>
      </w:r>
      <w:r w:rsidR="00667644" w:rsidRPr="00A25821">
        <w:rPr>
          <w:rFonts w:cs="Times New Roman"/>
          <w:szCs w:val="24"/>
        </w:rPr>
        <w:t>s</w:t>
      </w:r>
      <w:r w:rsidRPr="00A25821">
        <w:rPr>
          <w:rFonts w:cs="Times New Roman"/>
          <w:szCs w:val="24"/>
        </w:rPr>
        <w:t xml:space="preserve">hort-and </w:t>
      </w:r>
      <w:r w:rsidR="00667644" w:rsidRPr="00A25821">
        <w:rPr>
          <w:rFonts w:cs="Times New Roman"/>
          <w:szCs w:val="24"/>
        </w:rPr>
        <w:t>l</w:t>
      </w:r>
      <w:r w:rsidRPr="00A25821">
        <w:rPr>
          <w:rFonts w:cs="Times New Roman"/>
          <w:szCs w:val="24"/>
        </w:rPr>
        <w:t>ong-</w:t>
      </w:r>
      <w:r w:rsidR="00667644" w:rsidRPr="00A25821">
        <w:rPr>
          <w:rFonts w:cs="Times New Roman"/>
          <w:szCs w:val="24"/>
        </w:rPr>
        <w:t>t</w:t>
      </w:r>
      <w:r w:rsidRPr="00A25821">
        <w:rPr>
          <w:rFonts w:cs="Times New Roman"/>
          <w:szCs w:val="24"/>
        </w:rPr>
        <w:t xml:space="preserve">erm </w:t>
      </w:r>
      <w:r w:rsidR="00667644" w:rsidRPr="00A25821">
        <w:rPr>
          <w:rFonts w:cs="Times New Roman"/>
          <w:szCs w:val="24"/>
        </w:rPr>
        <w:t>p</w:t>
      </w:r>
      <w:r w:rsidRPr="00A25821">
        <w:rPr>
          <w:rFonts w:cs="Times New Roman"/>
          <w:szCs w:val="24"/>
        </w:rPr>
        <w:t xml:space="preserve">ersistence, </w:t>
      </w:r>
      <w:r w:rsidRPr="00A25821">
        <w:rPr>
          <w:rFonts w:cs="Times New Roman"/>
          <w:i/>
          <w:szCs w:val="24"/>
        </w:rPr>
        <w:t>The Journal of Alternative Investments</w:t>
      </w:r>
      <w:r w:rsidRPr="00A25821">
        <w:rPr>
          <w:rFonts w:cs="Times New Roman"/>
          <w:szCs w:val="24"/>
        </w:rPr>
        <w:t>, 6(3), pp.25-41.</w:t>
      </w:r>
    </w:p>
    <w:p w:rsidR="001428AC" w:rsidRPr="00A25821" w:rsidRDefault="001428AC" w:rsidP="00C16AFC">
      <w:pPr>
        <w:rPr>
          <w:rFonts w:cs="Times New Roman"/>
          <w:szCs w:val="24"/>
        </w:rPr>
      </w:pPr>
      <w:proofErr w:type="spellStart"/>
      <w:r w:rsidRPr="00A25821">
        <w:rPr>
          <w:rFonts w:cs="Times New Roman"/>
          <w:szCs w:val="24"/>
        </w:rPr>
        <w:t>Brittain</w:t>
      </w:r>
      <w:proofErr w:type="spellEnd"/>
      <w:r w:rsidRPr="00A25821">
        <w:rPr>
          <w:rFonts w:cs="Times New Roman"/>
          <w:szCs w:val="24"/>
        </w:rPr>
        <w:t xml:space="preserve">, W.H. (2001). Hedge funds and the institutional investor, </w:t>
      </w:r>
      <w:r w:rsidRPr="00A25821">
        <w:rPr>
          <w:rFonts w:cs="Times New Roman"/>
          <w:i/>
          <w:szCs w:val="24"/>
        </w:rPr>
        <w:t>Journal of International Financial Management and Accounting,</w:t>
      </w:r>
      <w:r w:rsidRPr="00A25821">
        <w:rPr>
          <w:rFonts w:cs="Times New Roman"/>
          <w:szCs w:val="24"/>
        </w:rPr>
        <w:t xml:space="preserve"> 12(2), pp.225-234.</w:t>
      </w:r>
    </w:p>
    <w:p w:rsidR="0033541B" w:rsidRPr="00A25821" w:rsidRDefault="0033541B" w:rsidP="00C16AFC">
      <w:pPr>
        <w:rPr>
          <w:rFonts w:cs="Times New Roman"/>
          <w:szCs w:val="24"/>
        </w:rPr>
      </w:pPr>
      <w:r w:rsidRPr="00A25821">
        <w:rPr>
          <w:rFonts w:cs="Times New Roman"/>
          <w:szCs w:val="24"/>
        </w:rPr>
        <w:t xml:space="preserve">Brooks, C. and Kat, H. (2002). The statistical properties of hedge fund index returns and their implications for investors, </w:t>
      </w:r>
      <w:r w:rsidRPr="00A25821">
        <w:rPr>
          <w:rFonts w:cs="Times New Roman"/>
          <w:i/>
          <w:szCs w:val="24"/>
        </w:rPr>
        <w:t>The Journal of Alternatives Investments</w:t>
      </w:r>
      <w:r w:rsidRPr="00A25821">
        <w:rPr>
          <w:rFonts w:cs="Times New Roman"/>
          <w:szCs w:val="24"/>
        </w:rPr>
        <w:t>, 5(2), pp.26-44.</w:t>
      </w:r>
    </w:p>
    <w:p w:rsidR="00C16AFC" w:rsidRPr="00A25821" w:rsidRDefault="00C16AFC" w:rsidP="00C16AFC">
      <w:pPr>
        <w:rPr>
          <w:rFonts w:cs="Times New Roman"/>
          <w:szCs w:val="24"/>
        </w:rPr>
      </w:pPr>
      <w:proofErr w:type="spellStart"/>
      <w:r w:rsidRPr="00A25821">
        <w:rPr>
          <w:rFonts w:cs="Times New Roman"/>
          <w:szCs w:val="24"/>
        </w:rPr>
        <w:t>Capocci</w:t>
      </w:r>
      <w:proofErr w:type="spellEnd"/>
      <w:r w:rsidRPr="00A25821">
        <w:rPr>
          <w:rFonts w:cs="Times New Roman"/>
          <w:szCs w:val="24"/>
        </w:rPr>
        <w:t xml:space="preserve">, D. and </w:t>
      </w:r>
      <w:proofErr w:type="spellStart"/>
      <w:r w:rsidRPr="00A25821">
        <w:rPr>
          <w:rFonts w:cs="Times New Roman"/>
          <w:szCs w:val="24"/>
        </w:rPr>
        <w:t>Hubner</w:t>
      </w:r>
      <w:proofErr w:type="spellEnd"/>
      <w:r w:rsidRPr="00A25821">
        <w:rPr>
          <w:rFonts w:cs="Times New Roman"/>
          <w:szCs w:val="24"/>
        </w:rPr>
        <w:t xml:space="preserve">, G. (2004). Analysis of hedge fund performance, </w:t>
      </w:r>
      <w:r w:rsidRPr="00A25821">
        <w:rPr>
          <w:rFonts w:cs="Times New Roman"/>
          <w:i/>
          <w:szCs w:val="24"/>
        </w:rPr>
        <w:t>Journal of Empirical Finance</w:t>
      </w:r>
      <w:r w:rsidRPr="00A25821">
        <w:rPr>
          <w:rFonts w:cs="Times New Roman"/>
          <w:szCs w:val="24"/>
        </w:rPr>
        <w:t xml:space="preserve">, 11(1), pp.55-89. </w:t>
      </w:r>
    </w:p>
    <w:p w:rsidR="008D5AE1" w:rsidRPr="00A25821" w:rsidRDefault="00C16AFC" w:rsidP="00C16AFC">
      <w:pPr>
        <w:rPr>
          <w:rFonts w:cs="Times New Roman"/>
          <w:szCs w:val="24"/>
        </w:rPr>
      </w:pPr>
      <w:r w:rsidRPr="00A25821">
        <w:rPr>
          <w:rFonts w:cs="Times New Roman"/>
          <w:szCs w:val="24"/>
        </w:rPr>
        <w:t xml:space="preserve">Das, N. (2003). Development of an </w:t>
      </w:r>
      <w:r w:rsidR="00667644" w:rsidRPr="00A25821">
        <w:rPr>
          <w:rFonts w:cs="Times New Roman"/>
          <w:szCs w:val="24"/>
        </w:rPr>
        <w:t>a</w:t>
      </w:r>
      <w:r w:rsidRPr="00A25821">
        <w:rPr>
          <w:rFonts w:cs="Times New Roman"/>
          <w:szCs w:val="24"/>
        </w:rPr>
        <w:t xml:space="preserve">nalytical </w:t>
      </w:r>
      <w:r w:rsidR="00667644" w:rsidRPr="00A25821">
        <w:rPr>
          <w:rFonts w:cs="Times New Roman"/>
          <w:szCs w:val="24"/>
        </w:rPr>
        <w:t>f</w:t>
      </w:r>
      <w:r w:rsidRPr="00A25821">
        <w:rPr>
          <w:rFonts w:cs="Times New Roman"/>
          <w:szCs w:val="24"/>
        </w:rPr>
        <w:t xml:space="preserve">ramework for </w:t>
      </w:r>
      <w:r w:rsidR="00667644" w:rsidRPr="00A25821">
        <w:rPr>
          <w:rFonts w:cs="Times New Roman"/>
          <w:szCs w:val="24"/>
        </w:rPr>
        <w:t>h</w:t>
      </w:r>
      <w:r w:rsidRPr="00A25821">
        <w:rPr>
          <w:rFonts w:cs="Times New Roman"/>
          <w:szCs w:val="24"/>
        </w:rPr>
        <w:t xml:space="preserve">edge </w:t>
      </w:r>
      <w:r w:rsidR="00667644" w:rsidRPr="00A25821">
        <w:rPr>
          <w:rFonts w:cs="Times New Roman"/>
          <w:szCs w:val="24"/>
        </w:rPr>
        <w:t>f</w:t>
      </w:r>
      <w:r w:rsidRPr="00A25821">
        <w:rPr>
          <w:rFonts w:cs="Times New Roman"/>
          <w:szCs w:val="24"/>
        </w:rPr>
        <w:t xml:space="preserve">und investment, </w:t>
      </w:r>
      <w:r w:rsidRPr="00A25821">
        <w:rPr>
          <w:rFonts w:cs="Times New Roman"/>
          <w:i/>
          <w:szCs w:val="24"/>
        </w:rPr>
        <w:t>Working Paper</w:t>
      </w:r>
      <w:r w:rsidRPr="00A25821">
        <w:rPr>
          <w:rFonts w:cs="Times New Roman"/>
          <w:szCs w:val="24"/>
        </w:rPr>
        <w:t>, [Online]. Available at http://citeseerx.ist.psu.edu/viewdoc/download?doi=10.1.1.198.2161&amp;rep=rep1&amp;type=pdf [Accessed 18 July 2015].</w:t>
      </w:r>
    </w:p>
    <w:p w:rsidR="00C16AFC" w:rsidRPr="00A25821" w:rsidRDefault="008D5AE1" w:rsidP="00C16AFC">
      <w:pPr>
        <w:rPr>
          <w:rFonts w:cs="Times New Roman"/>
          <w:szCs w:val="24"/>
        </w:rPr>
      </w:pPr>
      <w:r w:rsidRPr="00A25821">
        <w:rPr>
          <w:rFonts w:cs="Times New Roman"/>
          <w:szCs w:val="24"/>
        </w:rPr>
        <w:lastRenderedPageBreak/>
        <w:t xml:space="preserve">Fung, W. and Hsieh, D. (2002). Hedge-fund benchmarks: Information context and biases, </w:t>
      </w:r>
      <w:r w:rsidRPr="00A25821">
        <w:rPr>
          <w:rFonts w:cs="Times New Roman"/>
          <w:i/>
          <w:szCs w:val="24"/>
        </w:rPr>
        <w:t>Financial Analysts Journal</w:t>
      </w:r>
      <w:r w:rsidRPr="00A25821">
        <w:rPr>
          <w:rFonts w:cs="Times New Roman"/>
          <w:szCs w:val="24"/>
        </w:rPr>
        <w:t>, 58(1), pp.22-34.</w:t>
      </w:r>
      <w:r w:rsidR="00C16AFC" w:rsidRPr="00A25821">
        <w:rPr>
          <w:rFonts w:cs="Times New Roman"/>
          <w:szCs w:val="24"/>
        </w:rPr>
        <w:t xml:space="preserve"> </w:t>
      </w:r>
    </w:p>
    <w:p w:rsidR="00C16AFC" w:rsidRPr="00A25821" w:rsidRDefault="00C16AFC" w:rsidP="00C16AFC">
      <w:pPr>
        <w:rPr>
          <w:rFonts w:cs="Times New Roman"/>
          <w:szCs w:val="24"/>
        </w:rPr>
      </w:pPr>
      <w:proofErr w:type="spellStart"/>
      <w:r w:rsidRPr="00A25821">
        <w:rPr>
          <w:rFonts w:cs="Times New Roman"/>
          <w:szCs w:val="24"/>
        </w:rPr>
        <w:t>Getmansky</w:t>
      </w:r>
      <w:proofErr w:type="spellEnd"/>
      <w:r w:rsidRPr="00A25821">
        <w:rPr>
          <w:rFonts w:cs="Times New Roman"/>
          <w:szCs w:val="24"/>
        </w:rPr>
        <w:t xml:space="preserve">, M. (2004). The </w:t>
      </w:r>
      <w:r w:rsidR="00B942B9" w:rsidRPr="00A25821">
        <w:rPr>
          <w:rFonts w:cs="Times New Roman"/>
          <w:szCs w:val="24"/>
        </w:rPr>
        <w:t>l</w:t>
      </w:r>
      <w:r w:rsidRPr="00A25821">
        <w:rPr>
          <w:rFonts w:cs="Times New Roman"/>
          <w:szCs w:val="24"/>
        </w:rPr>
        <w:t xml:space="preserve">ife </w:t>
      </w:r>
      <w:r w:rsidR="00B942B9" w:rsidRPr="00A25821">
        <w:rPr>
          <w:rFonts w:cs="Times New Roman"/>
          <w:szCs w:val="24"/>
        </w:rPr>
        <w:t>c</w:t>
      </w:r>
      <w:r w:rsidRPr="00A25821">
        <w:rPr>
          <w:rFonts w:cs="Times New Roman"/>
          <w:szCs w:val="24"/>
        </w:rPr>
        <w:t xml:space="preserve">ycle of </w:t>
      </w:r>
      <w:r w:rsidR="00B942B9" w:rsidRPr="00A25821">
        <w:rPr>
          <w:rFonts w:cs="Times New Roman"/>
          <w:szCs w:val="24"/>
        </w:rPr>
        <w:t>h</w:t>
      </w:r>
      <w:r w:rsidRPr="00A25821">
        <w:rPr>
          <w:rFonts w:cs="Times New Roman"/>
          <w:szCs w:val="24"/>
        </w:rPr>
        <w:t xml:space="preserve">edge </w:t>
      </w:r>
      <w:r w:rsidR="00B942B9" w:rsidRPr="00A25821">
        <w:rPr>
          <w:rFonts w:cs="Times New Roman"/>
          <w:szCs w:val="24"/>
        </w:rPr>
        <w:t>f</w:t>
      </w:r>
      <w:r w:rsidRPr="00A25821">
        <w:rPr>
          <w:rFonts w:cs="Times New Roman"/>
          <w:szCs w:val="24"/>
        </w:rPr>
        <w:t xml:space="preserve">unds: Fund </w:t>
      </w:r>
      <w:r w:rsidR="00B942B9" w:rsidRPr="00A25821">
        <w:rPr>
          <w:rFonts w:cs="Times New Roman"/>
          <w:szCs w:val="24"/>
        </w:rPr>
        <w:t>f</w:t>
      </w:r>
      <w:r w:rsidRPr="00A25821">
        <w:rPr>
          <w:rFonts w:cs="Times New Roman"/>
          <w:szCs w:val="24"/>
        </w:rPr>
        <w:t xml:space="preserve">lows, </w:t>
      </w:r>
      <w:r w:rsidR="00B942B9" w:rsidRPr="00A25821">
        <w:rPr>
          <w:rFonts w:cs="Times New Roman"/>
          <w:szCs w:val="24"/>
        </w:rPr>
        <w:t>s</w:t>
      </w:r>
      <w:r w:rsidRPr="00A25821">
        <w:rPr>
          <w:rFonts w:cs="Times New Roman"/>
          <w:szCs w:val="24"/>
        </w:rPr>
        <w:t xml:space="preserve">ize and </w:t>
      </w:r>
      <w:r w:rsidR="00B942B9" w:rsidRPr="00A25821">
        <w:rPr>
          <w:rFonts w:cs="Times New Roman"/>
          <w:szCs w:val="24"/>
        </w:rPr>
        <w:t>p</w:t>
      </w:r>
      <w:r w:rsidRPr="00A25821">
        <w:rPr>
          <w:rFonts w:cs="Times New Roman"/>
          <w:szCs w:val="24"/>
        </w:rPr>
        <w:t xml:space="preserve">erformance, </w:t>
      </w:r>
      <w:r w:rsidRPr="00A25821">
        <w:rPr>
          <w:rFonts w:cs="Times New Roman"/>
          <w:i/>
          <w:szCs w:val="24"/>
        </w:rPr>
        <w:t>Working Paper</w:t>
      </w:r>
      <w:r w:rsidRPr="00A25821">
        <w:rPr>
          <w:rFonts w:cs="Times New Roman"/>
          <w:szCs w:val="24"/>
        </w:rPr>
        <w:t>, [Online]. Available at http://web.mit.edu/mgetman/www/Files/JobMarket_Mila_Getmansky.pdf [Accesses 14 July 2015].</w:t>
      </w:r>
    </w:p>
    <w:p w:rsidR="00C16AFC" w:rsidRPr="00A25821" w:rsidRDefault="00C16AFC" w:rsidP="00C16AFC">
      <w:pPr>
        <w:rPr>
          <w:rFonts w:cs="Times New Roman"/>
          <w:szCs w:val="24"/>
        </w:rPr>
      </w:pPr>
      <w:proofErr w:type="spellStart"/>
      <w:r w:rsidRPr="00A25821">
        <w:rPr>
          <w:rFonts w:cs="Times New Roman"/>
          <w:szCs w:val="24"/>
        </w:rPr>
        <w:t>Harri</w:t>
      </w:r>
      <w:proofErr w:type="spellEnd"/>
      <w:r w:rsidRPr="00A25821">
        <w:rPr>
          <w:rFonts w:cs="Times New Roman"/>
          <w:szCs w:val="24"/>
        </w:rPr>
        <w:t xml:space="preserve">, A. and </w:t>
      </w:r>
      <w:proofErr w:type="spellStart"/>
      <w:r w:rsidRPr="00A25821">
        <w:rPr>
          <w:rFonts w:cs="Times New Roman"/>
          <w:szCs w:val="24"/>
        </w:rPr>
        <w:t>Brorsen</w:t>
      </w:r>
      <w:proofErr w:type="spellEnd"/>
      <w:r w:rsidRPr="00A25821">
        <w:rPr>
          <w:rFonts w:cs="Times New Roman"/>
          <w:szCs w:val="24"/>
        </w:rPr>
        <w:t xml:space="preserve">, B. (2004). Performance persistence and the source of returns for hedge funds, </w:t>
      </w:r>
      <w:r w:rsidRPr="00A25821">
        <w:rPr>
          <w:rFonts w:cs="Times New Roman"/>
          <w:i/>
          <w:szCs w:val="24"/>
        </w:rPr>
        <w:t>Applied Financial Economics</w:t>
      </w:r>
      <w:r w:rsidRPr="00A25821">
        <w:rPr>
          <w:rFonts w:cs="Times New Roman"/>
          <w:szCs w:val="24"/>
        </w:rPr>
        <w:t>, 14(2), pp.131-141.</w:t>
      </w:r>
    </w:p>
    <w:p w:rsidR="000A09EF" w:rsidRPr="00A25821" w:rsidRDefault="000A09EF" w:rsidP="000A09EF">
      <w:r w:rsidRPr="00A25821">
        <w:t xml:space="preserve">Hedge Fund Research (2012). HFRX </w:t>
      </w:r>
      <w:r w:rsidR="00367BC0" w:rsidRPr="00A25821">
        <w:t>h</w:t>
      </w:r>
      <w:r w:rsidRPr="00A25821">
        <w:t xml:space="preserve">edge </w:t>
      </w:r>
      <w:r w:rsidR="00367BC0" w:rsidRPr="00A25821">
        <w:t>f</w:t>
      </w:r>
      <w:r w:rsidRPr="00A25821">
        <w:t xml:space="preserve">unds </w:t>
      </w:r>
      <w:r w:rsidR="00367BC0" w:rsidRPr="00A25821">
        <w:t>i</w:t>
      </w:r>
      <w:r w:rsidRPr="00A25821">
        <w:t xml:space="preserve">ndices </w:t>
      </w:r>
      <w:r w:rsidR="00367BC0" w:rsidRPr="00A25821">
        <w:t>m</w:t>
      </w:r>
      <w:r w:rsidRPr="00A25821">
        <w:t xml:space="preserve">ethodology, [Online]. Available at https://www.hedgefundresearch.com/pdf/HFRX_formulaic_methodology.pdf [Accessed 18 </w:t>
      </w:r>
      <w:r w:rsidR="00367BC0" w:rsidRPr="00A25821">
        <w:t>January</w:t>
      </w:r>
      <w:r w:rsidRPr="00A25821">
        <w:t xml:space="preserve"> 201</w:t>
      </w:r>
      <w:r w:rsidR="00367BC0" w:rsidRPr="00A25821">
        <w:t>3</w:t>
      </w:r>
      <w:r w:rsidRPr="00A25821">
        <w:t xml:space="preserve">].  </w:t>
      </w:r>
    </w:p>
    <w:p w:rsidR="00C16AFC" w:rsidRPr="00A25821" w:rsidRDefault="00C16AFC" w:rsidP="00C16AFC">
      <w:pPr>
        <w:rPr>
          <w:rFonts w:eastAsiaTheme="minorEastAsia" w:cs="Times New Roman"/>
          <w:szCs w:val="24"/>
          <w:lang w:val="en-US"/>
        </w:rPr>
      </w:pPr>
      <w:proofErr w:type="spellStart"/>
      <w:r w:rsidRPr="00A25821">
        <w:rPr>
          <w:rFonts w:eastAsiaTheme="minorEastAsia" w:cs="Times New Roman"/>
          <w:szCs w:val="24"/>
          <w:lang w:val="en-US"/>
        </w:rPr>
        <w:t>Jawadi</w:t>
      </w:r>
      <w:proofErr w:type="spellEnd"/>
      <w:r w:rsidRPr="00A25821">
        <w:rPr>
          <w:rFonts w:eastAsiaTheme="minorEastAsia" w:cs="Times New Roman"/>
          <w:szCs w:val="24"/>
          <w:lang w:val="en-US"/>
        </w:rPr>
        <w:t xml:space="preserve">, F. and </w:t>
      </w:r>
      <w:proofErr w:type="spellStart"/>
      <w:r w:rsidRPr="00A25821">
        <w:rPr>
          <w:rFonts w:eastAsiaTheme="minorEastAsia" w:cs="Times New Roman"/>
          <w:szCs w:val="24"/>
          <w:lang w:val="en-US"/>
        </w:rPr>
        <w:t>Khanniche</w:t>
      </w:r>
      <w:proofErr w:type="spellEnd"/>
      <w:r w:rsidRPr="00A25821">
        <w:rPr>
          <w:rFonts w:eastAsiaTheme="minorEastAsia" w:cs="Times New Roman"/>
          <w:szCs w:val="24"/>
          <w:lang w:val="en-US"/>
        </w:rPr>
        <w:t xml:space="preserve">, S. (2012). Modeling hedge fund exposure to risk factors, </w:t>
      </w:r>
      <w:r w:rsidRPr="00A25821">
        <w:rPr>
          <w:rFonts w:eastAsiaTheme="minorEastAsia" w:cs="Times New Roman"/>
          <w:i/>
          <w:szCs w:val="24"/>
          <w:lang w:val="en-US"/>
        </w:rPr>
        <w:t>Economic Modeling</w:t>
      </w:r>
      <w:r w:rsidRPr="00A25821">
        <w:rPr>
          <w:rFonts w:eastAsiaTheme="minorEastAsia" w:cs="Times New Roman"/>
          <w:szCs w:val="24"/>
          <w:lang w:val="en-US"/>
        </w:rPr>
        <w:t>, 29(4), pp.1003-1018.</w:t>
      </w:r>
    </w:p>
    <w:p w:rsidR="00C16AFC" w:rsidRPr="00A25821" w:rsidRDefault="00C16AFC" w:rsidP="00C16AFC">
      <w:pPr>
        <w:rPr>
          <w:rFonts w:eastAsiaTheme="minorEastAsia" w:cs="Times New Roman"/>
          <w:szCs w:val="24"/>
          <w:lang w:val="en-US"/>
        </w:rPr>
      </w:pPr>
      <w:proofErr w:type="spellStart"/>
      <w:r w:rsidRPr="00A25821">
        <w:rPr>
          <w:rFonts w:eastAsiaTheme="minorEastAsia" w:cs="Times New Roman"/>
          <w:szCs w:val="24"/>
          <w:lang w:val="en-US"/>
        </w:rPr>
        <w:t>Joenvaara</w:t>
      </w:r>
      <w:proofErr w:type="spellEnd"/>
      <w:r w:rsidRPr="00A25821">
        <w:rPr>
          <w:rFonts w:eastAsiaTheme="minorEastAsia" w:cs="Times New Roman"/>
          <w:szCs w:val="24"/>
          <w:lang w:val="en-US"/>
        </w:rPr>
        <w:t xml:space="preserve">, J., </w:t>
      </w:r>
      <w:proofErr w:type="spellStart"/>
      <w:r w:rsidRPr="00A25821">
        <w:rPr>
          <w:rFonts w:eastAsiaTheme="minorEastAsia" w:cs="Times New Roman"/>
          <w:szCs w:val="24"/>
          <w:lang w:val="en-US"/>
        </w:rPr>
        <w:t>Kosowski</w:t>
      </w:r>
      <w:proofErr w:type="spellEnd"/>
      <w:r w:rsidRPr="00A25821">
        <w:rPr>
          <w:rFonts w:eastAsiaTheme="minorEastAsia" w:cs="Times New Roman"/>
          <w:szCs w:val="24"/>
          <w:lang w:val="en-US"/>
        </w:rPr>
        <w:t xml:space="preserve">, R., and </w:t>
      </w:r>
      <w:proofErr w:type="spellStart"/>
      <w:r w:rsidRPr="00A25821">
        <w:rPr>
          <w:rFonts w:eastAsiaTheme="minorEastAsia" w:cs="Times New Roman"/>
          <w:szCs w:val="24"/>
          <w:lang w:val="en-US"/>
        </w:rPr>
        <w:t>Tolonen</w:t>
      </w:r>
      <w:proofErr w:type="spellEnd"/>
      <w:r w:rsidRPr="00A25821">
        <w:rPr>
          <w:rFonts w:eastAsiaTheme="minorEastAsia" w:cs="Times New Roman"/>
          <w:szCs w:val="24"/>
          <w:lang w:val="en-US"/>
        </w:rPr>
        <w:t xml:space="preserve">, P. (2012). New ‘Stylized facts’ about </w:t>
      </w:r>
      <w:r w:rsidR="000E02DD" w:rsidRPr="00A25821">
        <w:rPr>
          <w:rFonts w:eastAsiaTheme="minorEastAsia" w:cs="Times New Roman"/>
          <w:szCs w:val="24"/>
          <w:lang w:val="en-US"/>
        </w:rPr>
        <w:t>h</w:t>
      </w:r>
      <w:r w:rsidRPr="00A25821">
        <w:rPr>
          <w:rFonts w:eastAsiaTheme="minorEastAsia" w:cs="Times New Roman"/>
          <w:szCs w:val="24"/>
          <w:lang w:val="en-US"/>
        </w:rPr>
        <w:t xml:space="preserve">edge </w:t>
      </w:r>
      <w:r w:rsidR="000E02DD" w:rsidRPr="00A25821">
        <w:rPr>
          <w:rFonts w:eastAsiaTheme="minorEastAsia" w:cs="Times New Roman"/>
          <w:szCs w:val="24"/>
          <w:lang w:val="en-US"/>
        </w:rPr>
        <w:t>f</w:t>
      </w:r>
      <w:r w:rsidRPr="00A25821">
        <w:rPr>
          <w:rFonts w:eastAsiaTheme="minorEastAsia" w:cs="Times New Roman"/>
          <w:szCs w:val="24"/>
          <w:lang w:val="en-US"/>
        </w:rPr>
        <w:t xml:space="preserve">unds and </w:t>
      </w:r>
      <w:r w:rsidR="000E02DD" w:rsidRPr="00A25821">
        <w:rPr>
          <w:rFonts w:eastAsiaTheme="minorEastAsia" w:cs="Times New Roman"/>
          <w:szCs w:val="24"/>
          <w:lang w:val="en-US"/>
        </w:rPr>
        <w:t>d</w:t>
      </w:r>
      <w:r w:rsidRPr="00A25821">
        <w:rPr>
          <w:rFonts w:eastAsiaTheme="minorEastAsia" w:cs="Times New Roman"/>
          <w:szCs w:val="24"/>
          <w:lang w:val="en-US"/>
        </w:rPr>
        <w:t xml:space="preserve">atabase </w:t>
      </w:r>
      <w:r w:rsidR="000E02DD" w:rsidRPr="00A25821">
        <w:rPr>
          <w:rFonts w:eastAsiaTheme="minorEastAsia" w:cs="Times New Roman"/>
          <w:szCs w:val="24"/>
          <w:lang w:val="en-US"/>
        </w:rPr>
        <w:t>s</w:t>
      </w:r>
      <w:r w:rsidRPr="00A25821">
        <w:rPr>
          <w:rFonts w:eastAsiaTheme="minorEastAsia" w:cs="Times New Roman"/>
          <w:szCs w:val="24"/>
          <w:lang w:val="en-US"/>
        </w:rPr>
        <w:t xml:space="preserve">election </w:t>
      </w:r>
      <w:r w:rsidR="000E02DD" w:rsidRPr="00A25821">
        <w:rPr>
          <w:rFonts w:eastAsiaTheme="minorEastAsia" w:cs="Times New Roman"/>
          <w:szCs w:val="24"/>
          <w:lang w:val="en-US"/>
        </w:rPr>
        <w:t>b</w:t>
      </w:r>
      <w:r w:rsidRPr="00A25821">
        <w:rPr>
          <w:rFonts w:eastAsiaTheme="minorEastAsia" w:cs="Times New Roman"/>
          <w:szCs w:val="24"/>
          <w:lang w:val="en-US"/>
        </w:rPr>
        <w:t xml:space="preserve">ias, </w:t>
      </w:r>
      <w:r w:rsidRPr="00A25821">
        <w:rPr>
          <w:rFonts w:eastAsiaTheme="minorEastAsia" w:cs="Times New Roman"/>
          <w:i/>
          <w:szCs w:val="24"/>
          <w:lang w:val="en-US"/>
        </w:rPr>
        <w:t>Working Paper</w:t>
      </w:r>
      <w:r w:rsidRPr="00A25821">
        <w:rPr>
          <w:rFonts w:eastAsiaTheme="minorEastAsia" w:cs="Times New Roman"/>
          <w:szCs w:val="24"/>
          <w:lang w:val="en-US"/>
        </w:rPr>
        <w:t xml:space="preserve">, [Online]. Available at http://www.efmaefm.org/0EFMAMEETINGS/EFMA%20ANNUAL%20MEETINGS/2013-Reading/papers/EFMA2013_0410_fullpaper.pdf [Accessed 27 July 2015]. </w:t>
      </w:r>
    </w:p>
    <w:p w:rsidR="00C16AFC" w:rsidRPr="00A25821" w:rsidRDefault="00C16AFC" w:rsidP="00C16AFC">
      <w:pPr>
        <w:rPr>
          <w:rFonts w:eastAsiaTheme="minorEastAsia" w:cs="Times New Roman"/>
          <w:szCs w:val="24"/>
          <w:lang w:val="en-US"/>
        </w:rPr>
      </w:pPr>
      <w:proofErr w:type="spellStart"/>
      <w:r w:rsidRPr="00A25821">
        <w:rPr>
          <w:rFonts w:eastAsiaTheme="minorEastAsia" w:cs="Times New Roman"/>
          <w:szCs w:val="24"/>
          <w:lang w:val="en-US"/>
        </w:rPr>
        <w:t>Kosowski</w:t>
      </w:r>
      <w:proofErr w:type="spellEnd"/>
      <w:r w:rsidRPr="00A25821">
        <w:rPr>
          <w:rFonts w:eastAsiaTheme="minorEastAsia" w:cs="Times New Roman"/>
          <w:szCs w:val="24"/>
          <w:lang w:val="en-US"/>
        </w:rPr>
        <w:t xml:space="preserve">, R., </w:t>
      </w:r>
      <w:proofErr w:type="spellStart"/>
      <w:r w:rsidRPr="00A25821">
        <w:rPr>
          <w:rFonts w:eastAsiaTheme="minorEastAsia" w:cs="Times New Roman"/>
          <w:szCs w:val="24"/>
          <w:lang w:val="en-US"/>
        </w:rPr>
        <w:t>Naik</w:t>
      </w:r>
      <w:proofErr w:type="spellEnd"/>
      <w:r w:rsidRPr="00A25821">
        <w:rPr>
          <w:rFonts w:eastAsiaTheme="minorEastAsia" w:cs="Times New Roman"/>
          <w:szCs w:val="24"/>
          <w:lang w:val="en-US"/>
        </w:rPr>
        <w:t xml:space="preserve">, N. and </w:t>
      </w:r>
      <w:proofErr w:type="spellStart"/>
      <w:r w:rsidRPr="00A25821">
        <w:rPr>
          <w:rFonts w:eastAsiaTheme="minorEastAsia" w:cs="Times New Roman"/>
          <w:szCs w:val="24"/>
          <w:lang w:val="en-US"/>
        </w:rPr>
        <w:t>Teo</w:t>
      </w:r>
      <w:proofErr w:type="spellEnd"/>
      <w:r w:rsidRPr="00A25821">
        <w:rPr>
          <w:rFonts w:eastAsiaTheme="minorEastAsia" w:cs="Times New Roman"/>
          <w:szCs w:val="24"/>
          <w:lang w:val="en-US"/>
        </w:rPr>
        <w:t xml:space="preserve">, M. (2007). Do hedge funds deliver alpha? A Bayesian and bootstrap analysis, </w:t>
      </w:r>
      <w:r w:rsidRPr="00A25821">
        <w:rPr>
          <w:rFonts w:eastAsiaTheme="minorEastAsia" w:cs="Times New Roman"/>
          <w:i/>
          <w:szCs w:val="24"/>
          <w:lang w:val="en-US"/>
        </w:rPr>
        <w:t>Journal of Financial Economics</w:t>
      </w:r>
      <w:r w:rsidRPr="00A25821">
        <w:rPr>
          <w:rFonts w:eastAsiaTheme="minorEastAsia" w:cs="Times New Roman"/>
          <w:szCs w:val="24"/>
          <w:lang w:val="en-US"/>
        </w:rPr>
        <w:t xml:space="preserve">, 84(1), pp.229-264. </w:t>
      </w:r>
    </w:p>
    <w:p w:rsidR="00C16AFC" w:rsidRPr="00A25821" w:rsidRDefault="00C16AFC" w:rsidP="00C16AFC">
      <w:pPr>
        <w:rPr>
          <w:rFonts w:eastAsiaTheme="minorEastAsia" w:cs="Times New Roman"/>
          <w:szCs w:val="24"/>
          <w:lang w:val="en-US"/>
        </w:rPr>
      </w:pPr>
      <w:proofErr w:type="spellStart"/>
      <w:r w:rsidRPr="00A25821">
        <w:rPr>
          <w:rFonts w:eastAsiaTheme="minorEastAsia" w:cs="Times New Roman"/>
          <w:szCs w:val="24"/>
          <w:lang w:val="en-US"/>
        </w:rPr>
        <w:t>Meligkotsidou</w:t>
      </w:r>
      <w:proofErr w:type="spellEnd"/>
      <w:r w:rsidRPr="00A25821">
        <w:rPr>
          <w:rFonts w:eastAsiaTheme="minorEastAsia" w:cs="Times New Roman"/>
          <w:szCs w:val="24"/>
          <w:lang w:val="en-US"/>
        </w:rPr>
        <w:t xml:space="preserve">, L. and </w:t>
      </w:r>
      <w:proofErr w:type="spellStart"/>
      <w:r w:rsidRPr="00A25821">
        <w:rPr>
          <w:rFonts w:eastAsiaTheme="minorEastAsia" w:cs="Times New Roman"/>
          <w:szCs w:val="24"/>
          <w:lang w:val="en-US"/>
        </w:rPr>
        <w:t>Vrontos</w:t>
      </w:r>
      <w:proofErr w:type="spellEnd"/>
      <w:r w:rsidRPr="00A25821">
        <w:rPr>
          <w:rFonts w:eastAsiaTheme="minorEastAsia" w:cs="Times New Roman"/>
          <w:szCs w:val="24"/>
          <w:lang w:val="en-US"/>
        </w:rPr>
        <w:t xml:space="preserve">, I. (2014). Detecting structural breaks in multivariate financial time series: evidence from hedge fund investment strategies, </w:t>
      </w:r>
      <w:r w:rsidRPr="00A25821">
        <w:rPr>
          <w:rFonts w:eastAsiaTheme="minorEastAsia" w:cs="Times New Roman"/>
          <w:i/>
          <w:szCs w:val="24"/>
          <w:lang w:val="en-US"/>
        </w:rPr>
        <w:t>Journal of Statistical Computation and Simulation</w:t>
      </w:r>
      <w:r w:rsidRPr="00A25821">
        <w:rPr>
          <w:rFonts w:eastAsiaTheme="minorEastAsia" w:cs="Times New Roman"/>
          <w:szCs w:val="24"/>
          <w:lang w:val="en-US"/>
        </w:rPr>
        <w:t>, 84(5), pp.1115-1135.</w:t>
      </w:r>
    </w:p>
    <w:p w:rsidR="000A09EF" w:rsidRPr="00A25821" w:rsidRDefault="000A09EF" w:rsidP="000A09EF">
      <w:r w:rsidRPr="00A25821">
        <w:t xml:space="preserve">Patel, S., </w:t>
      </w:r>
      <w:proofErr w:type="spellStart"/>
      <w:r w:rsidRPr="00A25821">
        <w:t>Roffman</w:t>
      </w:r>
      <w:proofErr w:type="spellEnd"/>
      <w:r w:rsidRPr="00A25821">
        <w:t xml:space="preserve">, P. and </w:t>
      </w:r>
      <w:proofErr w:type="spellStart"/>
      <w:r w:rsidRPr="00A25821">
        <w:t>Meziani</w:t>
      </w:r>
      <w:proofErr w:type="spellEnd"/>
      <w:r w:rsidRPr="00A25821">
        <w:t xml:space="preserve">, J. (2003). Standard &amp; Poor’s </w:t>
      </w:r>
      <w:r w:rsidR="0092265D" w:rsidRPr="00A25821">
        <w:t>h</w:t>
      </w:r>
      <w:r w:rsidRPr="00A25821">
        <w:t xml:space="preserve">edge </w:t>
      </w:r>
      <w:r w:rsidR="0092265D" w:rsidRPr="00A25821">
        <w:t>f</w:t>
      </w:r>
      <w:r w:rsidRPr="00A25821">
        <w:t xml:space="preserve">und </w:t>
      </w:r>
      <w:r w:rsidR="0092265D" w:rsidRPr="00A25821">
        <w:t>i</w:t>
      </w:r>
      <w:r w:rsidRPr="00A25821">
        <w:t xml:space="preserve">ndex: Structure, </w:t>
      </w:r>
      <w:r w:rsidR="0092265D" w:rsidRPr="00A25821">
        <w:t>m</w:t>
      </w:r>
      <w:r w:rsidRPr="00A25821">
        <w:t xml:space="preserve">ethodology, </w:t>
      </w:r>
      <w:r w:rsidR="0092265D" w:rsidRPr="00A25821">
        <w:t>d</w:t>
      </w:r>
      <w:r w:rsidRPr="00A25821">
        <w:t xml:space="preserve">efinitions, and </w:t>
      </w:r>
      <w:r w:rsidR="0092265D" w:rsidRPr="00A25821">
        <w:t>p</w:t>
      </w:r>
      <w:r w:rsidRPr="00A25821">
        <w:t xml:space="preserve">ractices, </w:t>
      </w:r>
      <w:r w:rsidRPr="00A25821">
        <w:rPr>
          <w:i/>
        </w:rPr>
        <w:t>The Journal of Alternative Investments</w:t>
      </w:r>
      <w:r w:rsidRPr="00A25821">
        <w:t>, 6(2), pp.59-82.</w:t>
      </w:r>
    </w:p>
    <w:p w:rsidR="00C16AFC" w:rsidRPr="00A25821" w:rsidRDefault="00C16AFC" w:rsidP="00C16AFC">
      <w:pPr>
        <w:rPr>
          <w:rFonts w:cs="Times New Roman"/>
          <w:szCs w:val="24"/>
        </w:rPr>
      </w:pPr>
      <w:r w:rsidRPr="00A25821">
        <w:rPr>
          <w:rFonts w:cs="Times New Roman"/>
          <w:szCs w:val="24"/>
        </w:rPr>
        <w:lastRenderedPageBreak/>
        <w:t xml:space="preserve">Patton, A. and </w:t>
      </w:r>
      <w:proofErr w:type="spellStart"/>
      <w:r w:rsidRPr="00A25821">
        <w:rPr>
          <w:rFonts w:cs="Times New Roman"/>
          <w:szCs w:val="24"/>
        </w:rPr>
        <w:t>Ramadorai</w:t>
      </w:r>
      <w:proofErr w:type="spellEnd"/>
      <w:r w:rsidRPr="00A25821">
        <w:rPr>
          <w:rFonts w:cs="Times New Roman"/>
          <w:szCs w:val="24"/>
        </w:rPr>
        <w:t xml:space="preserve">, T. (2013). On the </w:t>
      </w:r>
      <w:r w:rsidR="0092265D" w:rsidRPr="00A25821">
        <w:rPr>
          <w:rFonts w:cs="Times New Roman"/>
          <w:szCs w:val="24"/>
        </w:rPr>
        <w:t>h</w:t>
      </w:r>
      <w:r w:rsidRPr="00A25821">
        <w:rPr>
          <w:rFonts w:cs="Times New Roman"/>
          <w:szCs w:val="24"/>
        </w:rPr>
        <w:t>igh-</w:t>
      </w:r>
      <w:r w:rsidR="0092265D" w:rsidRPr="00A25821">
        <w:rPr>
          <w:rFonts w:cs="Times New Roman"/>
          <w:szCs w:val="24"/>
        </w:rPr>
        <w:t>f</w:t>
      </w:r>
      <w:r w:rsidRPr="00A25821">
        <w:rPr>
          <w:rFonts w:cs="Times New Roman"/>
          <w:szCs w:val="24"/>
        </w:rPr>
        <w:t xml:space="preserve">requency </w:t>
      </w:r>
      <w:r w:rsidR="0092265D" w:rsidRPr="00A25821">
        <w:rPr>
          <w:rFonts w:cs="Times New Roman"/>
          <w:szCs w:val="24"/>
        </w:rPr>
        <w:t>d</w:t>
      </w:r>
      <w:r w:rsidRPr="00A25821">
        <w:rPr>
          <w:rFonts w:cs="Times New Roman"/>
          <w:szCs w:val="24"/>
        </w:rPr>
        <w:t xml:space="preserve">ynamics of </w:t>
      </w:r>
      <w:r w:rsidR="0092265D" w:rsidRPr="00A25821">
        <w:rPr>
          <w:rFonts w:cs="Times New Roman"/>
          <w:szCs w:val="24"/>
        </w:rPr>
        <w:t>h</w:t>
      </w:r>
      <w:r w:rsidRPr="00A25821">
        <w:rPr>
          <w:rFonts w:cs="Times New Roman"/>
          <w:szCs w:val="24"/>
        </w:rPr>
        <w:t xml:space="preserve">edge </w:t>
      </w:r>
      <w:r w:rsidR="0092265D" w:rsidRPr="00A25821">
        <w:rPr>
          <w:rFonts w:cs="Times New Roman"/>
          <w:szCs w:val="24"/>
        </w:rPr>
        <w:t>f</w:t>
      </w:r>
      <w:r w:rsidRPr="00A25821">
        <w:rPr>
          <w:rFonts w:cs="Times New Roman"/>
          <w:szCs w:val="24"/>
        </w:rPr>
        <w:t xml:space="preserve">und </w:t>
      </w:r>
      <w:r w:rsidR="0092265D" w:rsidRPr="00A25821">
        <w:rPr>
          <w:rFonts w:cs="Times New Roman"/>
          <w:szCs w:val="24"/>
        </w:rPr>
        <w:t>r</w:t>
      </w:r>
      <w:r w:rsidRPr="00A25821">
        <w:rPr>
          <w:rFonts w:cs="Times New Roman"/>
          <w:szCs w:val="24"/>
        </w:rPr>
        <w:t xml:space="preserve">isk </w:t>
      </w:r>
      <w:r w:rsidR="0092265D" w:rsidRPr="00A25821">
        <w:rPr>
          <w:rFonts w:cs="Times New Roman"/>
          <w:szCs w:val="24"/>
        </w:rPr>
        <w:t>e</w:t>
      </w:r>
      <w:r w:rsidRPr="00A25821">
        <w:rPr>
          <w:rFonts w:cs="Times New Roman"/>
          <w:szCs w:val="24"/>
        </w:rPr>
        <w:t xml:space="preserve">xposures, </w:t>
      </w:r>
      <w:r w:rsidRPr="00A25821">
        <w:rPr>
          <w:rFonts w:cs="Times New Roman"/>
          <w:i/>
          <w:szCs w:val="24"/>
        </w:rPr>
        <w:t>The Journal of Finance</w:t>
      </w:r>
      <w:r w:rsidRPr="00A25821">
        <w:rPr>
          <w:rFonts w:cs="Times New Roman"/>
          <w:szCs w:val="24"/>
        </w:rPr>
        <w:t xml:space="preserve">, </w:t>
      </w:r>
      <w:r w:rsidR="00380F90" w:rsidRPr="00A25821">
        <w:rPr>
          <w:rFonts w:cs="Times New Roman"/>
          <w:szCs w:val="24"/>
        </w:rPr>
        <w:t>68</w:t>
      </w:r>
      <w:r w:rsidRPr="00A25821">
        <w:rPr>
          <w:rFonts w:cs="Times New Roman"/>
          <w:szCs w:val="24"/>
        </w:rPr>
        <w:t>(2), pp.597-635.</w:t>
      </w:r>
    </w:p>
    <w:p w:rsidR="0033541B" w:rsidRPr="00A25821" w:rsidRDefault="0033541B" w:rsidP="00C16AFC">
      <w:pPr>
        <w:rPr>
          <w:rFonts w:cs="Times New Roman"/>
          <w:szCs w:val="24"/>
        </w:rPr>
      </w:pPr>
      <w:proofErr w:type="spellStart"/>
      <w:r w:rsidRPr="00A25821">
        <w:rPr>
          <w:rFonts w:cs="Times New Roman"/>
          <w:szCs w:val="24"/>
        </w:rPr>
        <w:t>Schneeweis</w:t>
      </w:r>
      <w:proofErr w:type="spellEnd"/>
      <w:r w:rsidRPr="00A25821">
        <w:rPr>
          <w:rFonts w:cs="Times New Roman"/>
          <w:szCs w:val="24"/>
        </w:rPr>
        <w:t xml:space="preserve">, T., </w:t>
      </w:r>
      <w:proofErr w:type="spellStart"/>
      <w:r w:rsidRPr="00A25821">
        <w:rPr>
          <w:rFonts w:cs="Times New Roman"/>
          <w:szCs w:val="24"/>
        </w:rPr>
        <w:t>Kazemi</w:t>
      </w:r>
      <w:proofErr w:type="spellEnd"/>
      <w:r w:rsidRPr="00A25821">
        <w:rPr>
          <w:rFonts w:cs="Times New Roman"/>
          <w:szCs w:val="24"/>
        </w:rPr>
        <w:t xml:space="preserve">, H., and Martin, G. (2002). Understanding hedge fund performance: research issues revisited – Part I, </w:t>
      </w:r>
      <w:r w:rsidRPr="00A25821">
        <w:rPr>
          <w:rFonts w:cs="Times New Roman"/>
          <w:i/>
          <w:szCs w:val="24"/>
        </w:rPr>
        <w:t>The Journal of Alternative Investments</w:t>
      </w:r>
      <w:r w:rsidRPr="00A25821">
        <w:rPr>
          <w:rFonts w:cs="Times New Roman"/>
          <w:szCs w:val="24"/>
        </w:rPr>
        <w:t>, 5(3), pp.6-22.</w:t>
      </w:r>
    </w:p>
    <w:p w:rsidR="000A09EF" w:rsidRPr="001D24F6" w:rsidRDefault="000A09EF" w:rsidP="00080CCA">
      <w:r w:rsidRPr="001D24F6">
        <w:t xml:space="preserve">Ward, J.H. (1963). Hierarchical grouping to optimize an objective function, </w:t>
      </w:r>
      <w:r w:rsidRPr="001D24F6">
        <w:rPr>
          <w:i/>
        </w:rPr>
        <w:t>Journal of the American Statistical Association</w:t>
      </w:r>
      <w:r w:rsidRPr="001D24F6">
        <w:t>, 58(301), pp.236-244.</w:t>
      </w:r>
    </w:p>
    <w:p w:rsidR="00A012BD" w:rsidRPr="00763F2E" w:rsidRDefault="009D4916" w:rsidP="00763F2E">
      <w:pPr>
        <w:rPr>
          <w:rFonts w:eastAsiaTheme="majorEastAsia" w:cstheme="majorBidi"/>
          <w:b/>
          <w:bCs/>
          <w:sz w:val="32"/>
          <w:szCs w:val="28"/>
        </w:rPr>
      </w:pPr>
      <w:r>
        <w:rPr>
          <w:b/>
          <w:sz w:val="28"/>
          <w:szCs w:val="28"/>
          <w:lang w:val="en-US"/>
        </w:rPr>
        <w:br w:type="page"/>
      </w:r>
    </w:p>
    <w:p w:rsidR="009A5865" w:rsidRDefault="009A5865" w:rsidP="00DC763D">
      <w:pPr>
        <w:pBdr>
          <w:bottom w:val="single" w:sz="6" w:space="0" w:color="auto"/>
        </w:pBdr>
        <w:spacing w:after="0"/>
        <w:rPr>
          <w:b/>
          <w:sz w:val="28"/>
          <w:highlight w:val="green"/>
        </w:rPr>
        <w:sectPr w:rsidR="009A5865" w:rsidSect="00BC57B9">
          <w:headerReference w:type="default" r:id="rId10"/>
          <w:pgSz w:w="11906" w:h="16838" w:code="9"/>
          <w:pgMar w:top="1440" w:right="1797" w:bottom="1440" w:left="1797" w:header="709" w:footer="709" w:gutter="0"/>
          <w:cols w:space="708"/>
          <w:docGrid w:linePitch="360"/>
        </w:sectPr>
      </w:pPr>
    </w:p>
    <w:p w:rsidR="00A012BD" w:rsidRPr="00755198" w:rsidRDefault="00A012BD" w:rsidP="00A012BD">
      <w:pPr>
        <w:pBdr>
          <w:bottom w:val="single" w:sz="6" w:space="0" w:color="auto"/>
        </w:pBdr>
        <w:spacing w:after="0"/>
        <w:jc w:val="center"/>
        <w:rPr>
          <w:b/>
          <w:sz w:val="28"/>
        </w:rPr>
      </w:pPr>
      <w:r w:rsidRPr="00755198">
        <w:rPr>
          <w:b/>
          <w:sz w:val="28"/>
        </w:rPr>
        <w:lastRenderedPageBreak/>
        <w:t xml:space="preserve">Table </w:t>
      </w:r>
      <w:r w:rsidR="006741F7" w:rsidRPr="00755198">
        <w:rPr>
          <w:b/>
          <w:sz w:val="28"/>
        </w:rPr>
        <w:t>1</w:t>
      </w:r>
      <w:r w:rsidRPr="00755198">
        <w:rPr>
          <w:b/>
          <w:sz w:val="28"/>
        </w:rPr>
        <w:t xml:space="preserve">. Distances </w:t>
      </w:r>
      <w:proofErr w:type="gramStart"/>
      <w:r w:rsidRPr="00755198">
        <w:rPr>
          <w:b/>
          <w:sz w:val="28"/>
        </w:rPr>
        <w:t>Between</w:t>
      </w:r>
      <w:proofErr w:type="gramEnd"/>
      <w:r w:rsidRPr="00755198">
        <w:rPr>
          <w:b/>
          <w:sz w:val="28"/>
        </w:rPr>
        <w:t xml:space="preserve"> Strategies</w:t>
      </w:r>
    </w:p>
    <w:tbl>
      <w:tblPr>
        <w:tblW w:w="4717" w:type="pct"/>
        <w:tblInd w:w="108" w:type="dxa"/>
        <w:tblLook w:val="04A0" w:firstRow="1" w:lastRow="0" w:firstColumn="1" w:lastColumn="0" w:noHBand="0" w:noVBand="1"/>
      </w:tblPr>
      <w:tblGrid>
        <w:gridCol w:w="719"/>
        <w:gridCol w:w="1187"/>
        <w:gridCol w:w="1161"/>
        <w:gridCol w:w="1145"/>
        <w:gridCol w:w="1145"/>
        <w:gridCol w:w="1145"/>
        <w:gridCol w:w="1145"/>
        <w:gridCol w:w="1195"/>
        <w:gridCol w:w="1193"/>
        <w:gridCol w:w="1195"/>
        <w:gridCol w:w="1193"/>
        <w:gridCol w:w="949"/>
      </w:tblGrid>
      <w:tr w:rsidR="00A012BD" w:rsidRPr="00711E82" w:rsidTr="00E626C7">
        <w:trPr>
          <w:trHeight w:val="262"/>
        </w:trPr>
        <w:tc>
          <w:tcPr>
            <w:tcW w:w="269"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p>
        </w:tc>
        <w:tc>
          <w:tcPr>
            <w:tcW w:w="444"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CT</w:t>
            </w:r>
          </w:p>
        </w:tc>
        <w:tc>
          <w:tcPr>
            <w:tcW w:w="434"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ED</w:t>
            </w:r>
          </w:p>
        </w:tc>
        <w:tc>
          <w:tcPr>
            <w:tcW w:w="428"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GM</w:t>
            </w:r>
          </w:p>
        </w:tc>
        <w:tc>
          <w:tcPr>
            <w:tcW w:w="428"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LO</w:t>
            </w:r>
          </w:p>
        </w:tc>
        <w:tc>
          <w:tcPr>
            <w:tcW w:w="428"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LS</w:t>
            </w:r>
          </w:p>
        </w:tc>
        <w:tc>
          <w:tcPr>
            <w:tcW w:w="428"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MN</w:t>
            </w:r>
          </w:p>
        </w:tc>
        <w:tc>
          <w:tcPr>
            <w:tcW w:w="447"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MS</w:t>
            </w:r>
          </w:p>
        </w:tc>
        <w:tc>
          <w:tcPr>
            <w:tcW w:w="446"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RV</w:t>
            </w:r>
          </w:p>
        </w:tc>
        <w:tc>
          <w:tcPr>
            <w:tcW w:w="447"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SE</w:t>
            </w:r>
          </w:p>
        </w:tc>
        <w:tc>
          <w:tcPr>
            <w:tcW w:w="446"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SB</w:t>
            </w:r>
          </w:p>
        </w:tc>
        <w:tc>
          <w:tcPr>
            <w:tcW w:w="355" w:type="pct"/>
            <w:tcBorders>
              <w:top w:val="single" w:sz="4" w:space="0" w:color="auto"/>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iCs/>
                <w:szCs w:val="24"/>
                <w:lang w:eastAsia="en-GB"/>
              </w:rPr>
            </w:pPr>
            <w:r w:rsidRPr="005442DE">
              <w:rPr>
                <w:rFonts w:eastAsia="Times New Roman" w:cs="Times New Roman"/>
                <w:iCs/>
                <w:szCs w:val="24"/>
                <w:lang w:eastAsia="en-GB"/>
              </w:rPr>
              <w:t>OT</w:t>
            </w:r>
          </w:p>
        </w:tc>
      </w:tr>
      <w:tr w:rsidR="00A012BD" w:rsidRPr="00711E82" w:rsidTr="00E626C7">
        <w:trPr>
          <w:trHeight w:val="262"/>
        </w:trPr>
        <w:tc>
          <w:tcPr>
            <w:tcW w:w="269"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CT</w:t>
            </w:r>
          </w:p>
        </w:tc>
        <w:tc>
          <w:tcPr>
            <w:tcW w:w="444"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434"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355" w:type="pct"/>
            <w:tcBorders>
              <w:top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62"/>
        </w:trPr>
        <w:tc>
          <w:tcPr>
            <w:tcW w:w="269"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ED</w:t>
            </w:r>
          </w:p>
        </w:tc>
        <w:tc>
          <w:tcPr>
            <w:tcW w:w="44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66.331</w:t>
            </w:r>
          </w:p>
        </w:tc>
        <w:tc>
          <w:tcPr>
            <w:tcW w:w="43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355"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62"/>
        </w:trPr>
        <w:tc>
          <w:tcPr>
            <w:tcW w:w="269"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GM</w:t>
            </w:r>
          </w:p>
        </w:tc>
        <w:tc>
          <w:tcPr>
            <w:tcW w:w="44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62.341</w:t>
            </w:r>
          </w:p>
        </w:tc>
        <w:tc>
          <w:tcPr>
            <w:tcW w:w="43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36.067</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355"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62"/>
        </w:trPr>
        <w:tc>
          <w:tcPr>
            <w:tcW w:w="269"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LO</w:t>
            </w:r>
          </w:p>
        </w:tc>
        <w:tc>
          <w:tcPr>
            <w:tcW w:w="44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85.650</w:t>
            </w:r>
          </w:p>
        </w:tc>
        <w:tc>
          <w:tcPr>
            <w:tcW w:w="43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34.622</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53.126</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355"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62"/>
        </w:trPr>
        <w:tc>
          <w:tcPr>
            <w:tcW w:w="269"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LS</w:t>
            </w:r>
          </w:p>
        </w:tc>
        <w:tc>
          <w:tcPr>
            <w:tcW w:w="44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73.417</w:t>
            </w:r>
          </w:p>
        </w:tc>
        <w:tc>
          <w:tcPr>
            <w:tcW w:w="43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26.850</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39.608</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23.404</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355"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62"/>
        </w:trPr>
        <w:tc>
          <w:tcPr>
            <w:tcW w:w="269"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MN</w:t>
            </w:r>
          </w:p>
        </w:tc>
        <w:tc>
          <w:tcPr>
            <w:tcW w:w="44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58.205</w:t>
            </w:r>
          </w:p>
        </w:tc>
        <w:tc>
          <w:tcPr>
            <w:tcW w:w="43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32.370</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34.030</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58.099</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43.992</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355"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62"/>
        </w:trPr>
        <w:tc>
          <w:tcPr>
            <w:tcW w:w="269"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MS</w:t>
            </w:r>
          </w:p>
        </w:tc>
        <w:tc>
          <w:tcPr>
            <w:tcW w:w="44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58.298</w:t>
            </w:r>
          </w:p>
        </w:tc>
        <w:tc>
          <w:tcPr>
            <w:tcW w:w="43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20.954</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35.383</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43.075</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30.461</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29.395</w:t>
            </w: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355"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62"/>
        </w:trPr>
        <w:tc>
          <w:tcPr>
            <w:tcW w:w="269"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RV</w:t>
            </w:r>
          </w:p>
        </w:tc>
        <w:tc>
          <w:tcPr>
            <w:tcW w:w="44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62.189</w:t>
            </w:r>
          </w:p>
        </w:tc>
        <w:tc>
          <w:tcPr>
            <w:tcW w:w="43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18.242</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33.928</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43.696</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33.267</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25.085</w:t>
            </w: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20.564</w:t>
            </w: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355"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62"/>
        </w:trPr>
        <w:tc>
          <w:tcPr>
            <w:tcW w:w="269"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SE</w:t>
            </w:r>
          </w:p>
        </w:tc>
        <w:tc>
          <w:tcPr>
            <w:tcW w:w="44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81.106</w:t>
            </w:r>
          </w:p>
        </w:tc>
        <w:tc>
          <w:tcPr>
            <w:tcW w:w="43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37.083</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48.088</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28.353</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19.804</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54.335</w:t>
            </w: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38.168</w:t>
            </w: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43.399</w:t>
            </w: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c>
          <w:tcPr>
            <w:tcW w:w="355"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62"/>
        </w:trPr>
        <w:tc>
          <w:tcPr>
            <w:tcW w:w="269"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SB</w:t>
            </w:r>
          </w:p>
        </w:tc>
        <w:tc>
          <w:tcPr>
            <w:tcW w:w="44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102.137</w:t>
            </w:r>
          </w:p>
        </w:tc>
        <w:tc>
          <w:tcPr>
            <w:tcW w:w="434"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111.854</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107.050</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140.945</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129.134</w:t>
            </w:r>
          </w:p>
        </w:tc>
        <w:tc>
          <w:tcPr>
            <w:tcW w:w="428"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90.934</w:t>
            </w: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108.589</w:t>
            </w: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103.473</w:t>
            </w:r>
          </w:p>
        </w:tc>
        <w:tc>
          <w:tcPr>
            <w:tcW w:w="447"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137.920</w:t>
            </w:r>
          </w:p>
        </w:tc>
        <w:tc>
          <w:tcPr>
            <w:tcW w:w="446"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c>
          <w:tcPr>
            <w:tcW w:w="355" w:type="pct"/>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276"/>
        </w:trPr>
        <w:tc>
          <w:tcPr>
            <w:tcW w:w="269"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OT</w:t>
            </w:r>
          </w:p>
        </w:tc>
        <w:tc>
          <w:tcPr>
            <w:tcW w:w="444"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59.395</w:t>
            </w:r>
          </w:p>
        </w:tc>
        <w:tc>
          <w:tcPr>
            <w:tcW w:w="434"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27.408</w:t>
            </w:r>
          </w:p>
        </w:tc>
        <w:tc>
          <w:tcPr>
            <w:tcW w:w="428"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33.086</w:t>
            </w:r>
          </w:p>
        </w:tc>
        <w:tc>
          <w:tcPr>
            <w:tcW w:w="428"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49.168</w:t>
            </w:r>
          </w:p>
        </w:tc>
        <w:tc>
          <w:tcPr>
            <w:tcW w:w="428"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35.058</w:t>
            </w:r>
          </w:p>
        </w:tc>
        <w:tc>
          <w:tcPr>
            <w:tcW w:w="428"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25.547</w:t>
            </w:r>
          </w:p>
        </w:tc>
        <w:tc>
          <w:tcPr>
            <w:tcW w:w="447"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25.390</w:t>
            </w:r>
          </w:p>
        </w:tc>
        <w:tc>
          <w:tcPr>
            <w:tcW w:w="446"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24.204</w:t>
            </w:r>
          </w:p>
        </w:tc>
        <w:tc>
          <w:tcPr>
            <w:tcW w:w="447"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103.576</w:t>
            </w:r>
          </w:p>
        </w:tc>
        <w:tc>
          <w:tcPr>
            <w:tcW w:w="446"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103.576</w:t>
            </w:r>
          </w:p>
        </w:tc>
        <w:tc>
          <w:tcPr>
            <w:tcW w:w="355" w:type="pct"/>
            <w:tcBorders>
              <w:bottom w:val="single" w:sz="4" w:space="0" w:color="auto"/>
            </w:tcBorders>
            <w:shd w:val="clear" w:color="auto" w:fill="auto"/>
            <w:noWrap/>
            <w:vAlign w:val="center"/>
            <w:hideMark/>
          </w:tcPr>
          <w:p w:rsidR="00A012BD" w:rsidRPr="005442DE" w:rsidRDefault="00A012BD" w:rsidP="00E626C7">
            <w:pPr>
              <w:spacing w:after="0" w:line="240" w:lineRule="auto"/>
              <w:jc w:val="center"/>
              <w:rPr>
                <w:rFonts w:eastAsia="Times New Roman" w:cs="Times New Roman"/>
                <w:szCs w:val="24"/>
                <w:lang w:eastAsia="en-GB"/>
              </w:rPr>
            </w:pPr>
            <w:r w:rsidRPr="005442DE">
              <w:rPr>
                <w:rFonts w:eastAsia="Times New Roman" w:cs="Times New Roman"/>
                <w:szCs w:val="24"/>
                <w:lang w:eastAsia="en-GB"/>
              </w:rPr>
              <w:t>0.000</w:t>
            </w:r>
          </w:p>
        </w:tc>
      </w:tr>
    </w:tbl>
    <w:p w:rsidR="00A012BD" w:rsidRDefault="00A012BD" w:rsidP="00A012BD">
      <w:pPr>
        <w:spacing w:after="0" w:line="240" w:lineRule="auto"/>
        <w:rPr>
          <w:b/>
          <w:sz w:val="28"/>
          <w:lang w:val="en-US"/>
        </w:rPr>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Pr="00755198" w:rsidRDefault="00A012BD" w:rsidP="00A012BD">
      <w:pPr>
        <w:spacing w:after="0"/>
        <w:jc w:val="center"/>
      </w:pPr>
      <w:r w:rsidRPr="00755198">
        <w:rPr>
          <w:b/>
          <w:sz w:val="28"/>
          <w:lang w:val="en-US"/>
        </w:rPr>
        <w:t xml:space="preserve">Table </w:t>
      </w:r>
      <w:r w:rsidR="004E07DC" w:rsidRPr="00755198">
        <w:rPr>
          <w:b/>
          <w:sz w:val="28"/>
          <w:lang w:val="en-US"/>
        </w:rPr>
        <w:t>2</w:t>
      </w:r>
      <w:r w:rsidRPr="00755198">
        <w:rPr>
          <w:b/>
          <w:sz w:val="28"/>
          <w:lang w:val="en-US"/>
        </w:rPr>
        <w:t xml:space="preserve">. Correlations </w:t>
      </w:r>
      <w:proofErr w:type="gramStart"/>
      <w:r w:rsidRPr="00755198">
        <w:rPr>
          <w:b/>
          <w:sz w:val="28"/>
          <w:lang w:val="en-US"/>
        </w:rPr>
        <w:t>Between</w:t>
      </w:r>
      <w:proofErr w:type="gramEnd"/>
      <w:r w:rsidRPr="00755198">
        <w:rPr>
          <w:b/>
          <w:sz w:val="28"/>
          <w:lang w:val="en-US"/>
        </w:rPr>
        <w:t xml:space="preserve"> Strategies</w:t>
      </w:r>
    </w:p>
    <w:tbl>
      <w:tblPr>
        <w:tblW w:w="12271" w:type="dxa"/>
        <w:jc w:val="center"/>
        <w:tblLook w:val="04A0" w:firstRow="1" w:lastRow="0" w:firstColumn="1" w:lastColumn="0" w:noHBand="0" w:noVBand="1"/>
      </w:tblPr>
      <w:tblGrid>
        <w:gridCol w:w="743"/>
        <w:gridCol w:w="1048"/>
        <w:gridCol w:w="1048"/>
        <w:gridCol w:w="1048"/>
        <w:gridCol w:w="1048"/>
        <w:gridCol w:w="1048"/>
        <w:gridCol w:w="1048"/>
        <w:gridCol w:w="1048"/>
        <w:gridCol w:w="1048"/>
        <w:gridCol w:w="1048"/>
        <w:gridCol w:w="1048"/>
        <w:gridCol w:w="1048"/>
      </w:tblGrid>
      <w:tr w:rsidR="00A012BD" w:rsidRPr="00711E82" w:rsidTr="00E626C7">
        <w:trPr>
          <w:trHeight w:val="416"/>
          <w:jc w:val="center"/>
        </w:trPr>
        <w:tc>
          <w:tcPr>
            <w:tcW w:w="743"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CT</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ED</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GM</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LO</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LS</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MN</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MS</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RV</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SE</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SB</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i/>
                <w:iCs/>
                <w:szCs w:val="24"/>
                <w:lang w:eastAsia="en-GB"/>
              </w:rPr>
            </w:pPr>
            <w:r w:rsidRPr="00E033A4">
              <w:rPr>
                <w:rFonts w:eastAsia="Times New Roman" w:cs="Times New Roman"/>
                <w:i/>
                <w:iCs/>
                <w:szCs w:val="24"/>
                <w:lang w:eastAsia="en-GB"/>
              </w:rPr>
              <w:t>OT</w:t>
            </w:r>
          </w:p>
        </w:tc>
      </w:tr>
      <w:tr w:rsidR="00A012BD" w:rsidRPr="00711E82" w:rsidTr="00E626C7">
        <w:trPr>
          <w:trHeight w:val="416"/>
          <w:jc w:val="center"/>
        </w:trPr>
        <w:tc>
          <w:tcPr>
            <w:tcW w:w="743"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CT</w:t>
            </w: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tcBorders>
              <w:top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16"/>
          <w:jc w:val="center"/>
        </w:trPr>
        <w:tc>
          <w:tcPr>
            <w:tcW w:w="743"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ED</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-0.005</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16"/>
          <w:jc w:val="center"/>
        </w:trPr>
        <w:tc>
          <w:tcPr>
            <w:tcW w:w="743"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GM</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0.174</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0.400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16"/>
          <w:jc w:val="center"/>
        </w:trPr>
        <w:tc>
          <w:tcPr>
            <w:tcW w:w="743"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LO</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-0.076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0.875</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0.444</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16"/>
          <w:jc w:val="center"/>
        </w:trPr>
        <w:tc>
          <w:tcPr>
            <w:tcW w:w="743"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LS</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0.011</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0.816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0.536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0.930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16"/>
          <w:jc w:val="center"/>
        </w:trPr>
        <w:tc>
          <w:tcPr>
            <w:tcW w:w="743"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MN</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0.197</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0.219</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0.285</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0.193</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0.308</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16"/>
          <w:jc w:val="center"/>
        </w:trPr>
        <w:tc>
          <w:tcPr>
            <w:tcW w:w="743"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MS</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0.247</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0.765</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0.391</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0.709</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0.748</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0.336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16"/>
          <w:jc w:val="center"/>
        </w:trPr>
        <w:tc>
          <w:tcPr>
            <w:tcW w:w="743"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RV</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-0.001</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0.831</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0.329</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0.798</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0.736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0.099</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0.723</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16"/>
          <w:jc w:val="center"/>
        </w:trPr>
        <w:tc>
          <w:tcPr>
            <w:tcW w:w="743"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SE</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-0.018</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0.776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0.514</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0.879</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0.943</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0.280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0.765</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0.715</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16"/>
          <w:jc w:val="center"/>
        </w:trPr>
        <w:tc>
          <w:tcPr>
            <w:tcW w:w="743"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SB</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0.112</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-0.626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-0.366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-0.806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-0.811</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-0.057</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-0.545</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-0.606</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-0.790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c>
          <w:tcPr>
            <w:tcW w:w="1048" w:type="dxa"/>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437"/>
          <w:jc w:val="center"/>
        </w:trPr>
        <w:tc>
          <w:tcPr>
            <w:tcW w:w="743"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OT</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0.144</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0.531</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0.393</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0.572</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0.651</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0.276</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0.548</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0.421</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0.640</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-0.506</w:t>
            </w:r>
          </w:p>
        </w:tc>
        <w:tc>
          <w:tcPr>
            <w:tcW w:w="1048" w:type="dxa"/>
            <w:tcBorders>
              <w:bottom w:val="single" w:sz="4" w:space="0" w:color="auto"/>
            </w:tcBorders>
            <w:shd w:val="clear" w:color="auto" w:fill="auto"/>
            <w:noWrap/>
            <w:vAlign w:val="bottom"/>
            <w:hideMark/>
          </w:tcPr>
          <w:p w:rsidR="00A012BD" w:rsidRPr="00E033A4" w:rsidRDefault="00A012BD" w:rsidP="00E626C7">
            <w:pPr>
              <w:spacing w:after="0" w:line="240" w:lineRule="auto"/>
              <w:jc w:val="center"/>
              <w:rPr>
                <w:rFonts w:eastAsia="Times New Roman" w:cs="Times New Roman"/>
                <w:szCs w:val="24"/>
                <w:lang w:eastAsia="en-GB"/>
              </w:rPr>
            </w:pPr>
            <w:r w:rsidRPr="00E033A4">
              <w:rPr>
                <w:rFonts w:eastAsia="Times New Roman" w:cs="Times New Roman"/>
                <w:szCs w:val="24"/>
                <w:lang w:eastAsia="en-GB"/>
              </w:rPr>
              <w:t>1.000</w:t>
            </w:r>
          </w:p>
        </w:tc>
      </w:tr>
    </w:tbl>
    <w:p w:rsidR="00A012BD" w:rsidRDefault="00A012BD" w:rsidP="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Default="00A012BD">
      <w:pPr>
        <w:spacing w:after="0" w:line="240" w:lineRule="auto"/>
      </w:pPr>
    </w:p>
    <w:p w:rsidR="00A012BD" w:rsidRPr="00755198" w:rsidRDefault="00A012BD" w:rsidP="00A012BD">
      <w:pPr>
        <w:pBdr>
          <w:bottom w:val="single" w:sz="6" w:space="1" w:color="auto"/>
        </w:pBdr>
        <w:spacing w:after="0"/>
        <w:jc w:val="center"/>
        <w:rPr>
          <w:b/>
          <w:sz w:val="28"/>
        </w:rPr>
      </w:pPr>
      <w:r w:rsidRPr="00755198">
        <w:rPr>
          <w:b/>
          <w:sz w:val="28"/>
        </w:rPr>
        <w:lastRenderedPageBreak/>
        <w:t xml:space="preserve">Table </w:t>
      </w:r>
      <w:r w:rsidR="004E07DC" w:rsidRPr="00755198">
        <w:rPr>
          <w:b/>
          <w:sz w:val="28"/>
        </w:rPr>
        <w:t>3</w:t>
      </w:r>
      <w:r w:rsidRPr="00755198">
        <w:rPr>
          <w:b/>
          <w:sz w:val="28"/>
        </w:rPr>
        <w:t>. Analysis of Variance</w:t>
      </w:r>
    </w:p>
    <w:tbl>
      <w:tblPr>
        <w:tblW w:w="4886" w:type="pct"/>
        <w:tblInd w:w="-34" w:type="dxa"/>
        <w:tblLayout w:type="fixed"/>
        <w:tblLook w:val="04A0" w:firstRow="1" w:lastRow="0" w:firstColumn="1" w:lastColumn="0" w:noHBand="0" w:noVBand="1"/>
      </w:tblPr>
      <w:tblGrid>
        <w:gridCol w:w="721"/>
        <w:gridCol w:w="1195"/>
        <w:gridCol w:w="1195"/>
        <w:gridCol w:w="1195"/>
        <w:gridCol w:w="1195"/>
        <w:gridCol w:w="1195"/>
        <w:gridCol w:w="1192"/>
        <w:gridCol w:w="1198"/>
        <w:gridCol w:w="1197"/>
        <w:gridCol w:w="1191"/>
        <w:gridCol w:w="1197"/>
        <w:gridCol w:w="1180"/>
      </w:tblGrid>
      <w:tr w:rsidR="00A012BD" w:rsidRPr="000D7414" w:rsidTr="00E626C7">
        <w:trPr>
          <w:trHeight w:val="300"/>
        </w:trPr>
        <w:tc>
          <w:tcPr>
            <w:tcW w:w="260"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p>
        </w:tc>
        <w:tc>
          <w:tcPr>
            <w:tcW w:w="431"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CT</w:t>
            </w:r>
          </w:p>
        </w:tc>
        <w:tc>
          <w:tcPr>
            <w:tcW w:w="431"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ED</w:t>
            </w:r>
          </w:p>
        </w:tc>
        <w:tc>
          <w:tcPr>
            <w:tcW w:w="431"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GM</w:t>
            </w:r>
          </w:p>
        </w:tc>
        <w:tc>
          <w:tcPr>
            <w:tcW w:w="431"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LO</w:t>
            </w:r>
          </w:p>
        </w:tc>
        <w:tc>
          <w:tcPr>
            <w:tcW w:w="431"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LS</w:t>
            </w:r>
          </w:p>
        </w:tc>
        <w:tc>
          <w:tcPr>
            <w:tcW w:w="430"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MN</w:t>
            </w:r>
          </w:p>
        </w:tc>
        <w:tc>
          <w:tcPr>
            <w:tcW w:w="432"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MS</w:t>
            </w:r>
          </w:p>
        </w:tc>
        <w:tc>
          <w:tcPr>
            <w:tcW w:w="432"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RV</w:t>
            </w:r>
          </w:p>
        </w:tc>
        <w:tc>
          <w:tcPr>
            <w:tcW w:w="430"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SE</w:t>
            </w:r>
          </w:p>
        </w:tc>
        <w:tc>
          <w:tcPr>
            <w:tcW w:w="432"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SB</w:t>
            </w:r>
          </w:p>
        </w:tc>
        <w:tc>
          <w:tcPr>
            <w:tcW w:w="426" w:type="pct"/>
            <w:tcBorders>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iCs/>
                <w:szCs w:val="24"/>
                <w:lang w:eastAsia="en-GB"/>
              </w:rPr>
            </w:pPr>
            <w:r w:rsidRPr="000D7414">
              <w:rPr>
                <w:rFonts w:eastAsia="Times New Roman" w:cs="Times New Roman"/>
                <w:iCs/>
                <w:szCs w:val="24"/>
                <w:lang w:eastAsia="en-GB"/>
              </w:rPr>
              <w:t>OT</w:t>
            </w:r>
          </w:p>
        </w:tc>
      </w:tr>
      <w:tr w:rsidR="00A012BD" w:rsidRPr="00711E82" w:rsidTr="00E626C7">
        <w:trPr>
          <w:trHeight w:val="300"/>
        </w:trPr>
        <w:tc>
          <w:tcPr>
            <w:tcW w:w="260"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CT</w:t>
            </w:r>
          </w:p>
        </w:tc>
        <w:tc>
          <w:tcPr>
            <w:tcW w:w="431"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31"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1"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1"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1"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26" w:type="pct"/>
            <w:tcBorders>
              <w:top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00"/>
        </w:trPr>
        <w:tc>
          <w:tcPr>
            <w:tcW w:w="26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ED</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8.907</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26"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15"/>
        </w:trPr>
        <w:tc>
          <w:tcPr>
            <w:tcW w:w="26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GM</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9.124</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0.001</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26"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00"/>
        </w:trPr>
        <w:tc>
          <w:tcPr>
            <w:tcW w:w="26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LO</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4.971</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0.570</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0.626</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26"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15"/>
        </w:trPr>
        <w:tc>
          <w:tcPr>
            <w:tcW w:w="26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LS</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3.677</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1.138</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1.217</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0.097</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26"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00"/>
        </w:trPr>
        <w:tc>
          <w:tcPr>
            <w:tcW w:w="26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MN</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62.813</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24.413</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24.058</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32.442</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36.096</w:t>
            </w: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26"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15"/>
        </w:trPr>
        <w:tc>
          <w:tcPr>
            <w:tcW w:w="26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MS</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2.162</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2.293</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2.403</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0.577</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0.200</w:t>
            </w: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41.670</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26"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00"/>
        </w:trPr>
        <w:tc>
          <w:tcPr>
            <w:tcW w:w="26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RV</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19.200</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1.953</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1.853</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4.632</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6.073</w:t>
            </w: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12.558</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8.477</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26"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15"/>
        </w:trPr>
        <w:tc>
          <w:tcPr>
            <w:tcW w:w="26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SE</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0.161</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6.675</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6.863</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3.345</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2.300</w:t>
            </w: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56.621</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1.144</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15.848</w:t>
            </w: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c>
          <w:tcPr>
            <w:tcW w:w="426"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15"/>
        </w:trPr>
        <w:tc>
          <w:tcPr>
            <w:tcW w:w="26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SB</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186.275</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113.716</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112.948</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130.384</w:t>
            </w:r>
          </w:p>
        </w:tc>
        <w:tc>
          <w:tcPr>
            <w:tcW w:w="431"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137.610</w:t>
            </w: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32.750</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148.303</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85.867</w:t>
            </w:r>
          </w:p>
        </w:tc>
        <w:tc>
          <w:tcPr>
            <w:tcW w:w="430"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175.494</w:t>
            </w:r>
          </w:p>
        </w:tc>
        <w:tc>
          <w:tcPr>
            <w:tcW w:w="432"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c>
          <w:tcPr>
            <w:tcW w:w="426" w:type="pct"/>
            <w:tcBorders>
              <w:top w:val="nil"/>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p>
        </w:tc>
      </w:tr>
      <w:tr w:rsidR="00A012BD" w:rsidRPr="00711E82" w:rsidTr="00E626C7">
        <w:trPr>
          <w:trHeight w:val="315"/>
        </w:trPr>
        <w:tc>
          <w:tcPr>
            <w:tcW w:w="260"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OT</w:t>
            </w:r>
          </w:p>
        </w:tc>
        <w:tc>
          <w:tcPr>
            <w:tcW w:w="431"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1.267</w:t>
            </w:r>
          </w:p>
        </w:tc>
        <w:tc>
          <w:tcPr>
            <w:tcW w:w="431"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3.455</w:t>
            </w:r>
          </w:p>
        </w:tc>
        <w:tc>
          <w:tcPr>
            <w:tcW w:w="431"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3.590</w:t>
            </w:r>
          </w:p>
        </w:tc>
        <w:tc>
          <w:tcPr>
            <w:tcW w:w="431"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1.218</w:t>
            </w:r>
          </w:p>
        </w:tc>
        <w:tc>
          <w:tcPr>
            <w:tcW w:w="431"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0.627</w:t>
            </w:r>
          </w:p>
        </w:tc>
        <w:tc>
          <w:tcPr>
            <w:tcW w:w="430"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46.236</w:t>
            </w:r>
          </w:p>
        </w:tc>
        <w:tc>
          <w:tcPr>
            <w:tcW w:w="432"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0.119</w:t>
            </w:r>
          </w:p>
        </w:tc>
        <w:tc>
          <w:tcPr>
            <w:tcW w:w="432"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10.602</w:t>
            </w:r>
          </w:p>
        </w:tc>
        <w:tc>
          <w:tcPr>
            <w:tcW w:w="430"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0.526</w:t>
            </w:r>
          </w:p>
        </w:tc>
        <w:tc>
          <w:tcPr>
            <w:tcW w:w="432"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156.812</w:t>
            </w:r>
          </w:p>
        </w:tc>
        <w:tc>
          <w:tcPr>
            <w:tcW w:w="426" w:type="pct"/>
            <w:tcBorders>
              <w:top w:val="nil"/>
              <w:bottom w:val="single" w:sz="4" w:space="0" w:color="auto"/>
            </w:tcBorders>
            <w:shd w:val="clear" w:color="auto" w:fill="auto"/>
            <w:noWrap/>
            <w:vAlign w:val="bottom"/>
            <w:hideMark/>
          </w:tcPr>
          <w:p w:rsidR="00A012BD" w:rsidRPr="000D7414" w:rsidRDefault="00A012BD" w:rsidP="00E626C7">
            <w:pPr>
              <w:spacing w:after="0" w:line="240" w:lineRule="auto"/>
              <w:jc w:val="center"/>
              <w:rPr>
                <w:rFonts w:eastAsia="Times New Roman" w:cs="Times New Roman"/>
                <w:szCs w:val="24"/>
                <w:lang w:eastAsia="en-GB"/>
              </w:rPr>
            </w:pPr>
            <w:r w:rsidRPr="000D7414">
              <w:rPr>
                <w:rFonts w:eastAsia="Times New Roman" w:cs="Times New Roman"/>
                <w:szCs w:val="24"/>
                <w:lang w:eastAsia="en-GB"/>
              </w:rPr>
              <w:t>0.000</w:t>
            </w:r>
          </w:p>
        </w:tc>
      </w:tr>
    </w:tbl>
    <w:p w:rsidR="00A012BD" w:rsidRDefault="00A012BD" w:rsidP="00A012BD">
      <w:pPr>
        <w:pStyle w:val="Caption"/>
        <w:jc w:val="center"/>
        <w:rPr>
          <w:color w:val="auto"/>
        </w:rPr>
      </w:pPr>
    </w:p>
    <w:p w:rsidR="00A012BD" w:rsidRDefault="00A012BD" w:rsidP="00A012BD"/>
    <w:p w:rsidR="00A012BD" w:rsidRDefault="00A012BD" w:rsidP="00A012BD"/>
    <w:p w:rsidR="00A012BD" w:rsidRDefault="00A012BD" w:rsidP="00A012BD"/>
    <w:p w:rsidR="00A012BD" w:rsidRDefault="00A012BD" w:rsidP="00A012BD"/>
    <w:p w:rsidR="00B37C85" w:rsidRDefault="00B37C85" w:rsidP="00A012BD">
      <w:pPr>
        <w:spacing w:after="0"/>
        <w:jc w:val="center"/>
        <w:rPr>
          <w:b/>
          <w:sz w:val="28"/>
          <w:szCs w:val="28"/>
          <w:highlight w:val="green"/>
        </w:rPr>
        <w:sectPr w:rsidR="00B37C85" w:rsidSect="009A5865">
          <w:pgSz w:w="16838" w:h="11906" w:orient="landscape" w:code="9"/>
          <w:pgMar w:top="1797" w:right="1440" w:bottom="1797" w:left="1440" w:header="709" w:footer="709" w:gutter="0"/>
          <w:cols w:space="708"/>
          <w:docGrid w:linePitch="360"/>
        </w:sectPr>
      </w:pPr>
    </w:p>
    <w:p w:rsidR="00A012BD" w:rsidRPr="00824E90" w:rsidRDefault="00A012BD" w:rsidP="00A012BD">
      <w:pPr>
        <w:spacing w:after="0"/>
        <w:jc w:val="center"/>
        <w:rPr>
          <w:b/>
          <w:sz w:val="28"/>
          <w:szCs w:val="28"/>
        </w:rPr>
      </w:pPr>
      <w:r w:rsidRPr="00755198">
        <w:rPr>
          <w:b/>
          <w:sz w:val="28"/>
          <w:szCs w:val="28"/>
        </w:rPr>
        <w:lastRenderedPageBreak/>
        <w:t xml:space="preserve">Table </w:t>
      </w:r>
      <w:r w:rsidR="00710253" w:rsidRPr="00755198">
        <w:rPr>
          <w:b/>
          <w:sz w:val="28"/>
          <w:szCs w:val="28"/>
        </w:rPr>
        <w:t>4</w:t>
      </w:r>
      <w:r w:rsidRPr="00755198">
        <w:rPr>
          <w:b/>
          <w:sz w:val="28"/>
          <w:szCs w:val="28"/>
        </w:rPr>
        <w:t xml:space="preserve">. ANOVA </w:t>
      </w:r>
      <w:proofErr w:type="gramStart"/>
      <w:r w:rsidRPr="00755198">
        <w:rPr>
          <w:b/>
          <w:sz w:val="28"/>
          <w:szCs w:val="28"/>
        </w:rPr>
        <w:t>Within</w:t>
      </w:r>
      <w:proofErr w:type="gramEnd"/>
      <w:r w:rsidRPr="00755198">
        <w:rPr>
          <w:b/>
          <w:sz w:val="28"/>
          <w:szCs w:val="28"/>
        </w:rPr>
        <w:t xml:space="preserve"> Group (LO, SE, LS</w:t>
      </w:r>
      <w:r w:rsidRPr="00666A4B">
        <w:rPr>
          <w:b/>
          <w:sz w:val="28"/>
          <w:szCs w:val="28"/>
        </w:rPr>
        <w:t>)</w:t>
      </w:r>
    </w:p>
    <w:tbl>
      <w:tblPr>
        <w:tblW w:w="0" w:type="auto"/>
        <w:jc w:val="center"/>
        <w:tblLook w:val="04A0" w:firstRow="1" w:lastRow="0" w:firstColumn="1" w:lastColumn="0" w:noHBand="0" w:noVBand="1"/>
      </w:tblPr>
      <w:tblGrid>
        <w:gridCol w:w="2110"/>
        <w:gridCol w:w="1116"/>
        <w:gridCol w:w="1016"/>
        <w:gridCol w:w="1096"/>
        <w:gridCol w:w="756"/>
      </w:tblGrid>
      <w:tr w:rsidR="00A012BD" w:rsidRPr="00824E90" w:rsidTr="00E626C7">
        <w:trPr>
          <w:gridAfter w:val="1"/>
          <w:trHeight w:val="300"/>
          <w:jc w:val="center"/>
        </w:trPr>
        <w:tc>
          <w:tcPr>
            <w:tcW w:w="0" w:type="auto"/>
            <w:tcBorders>
              <w:top w:val="single" w:sz="4" w:space="0" w:color="auto"/>
              <w:bottom w:val="single" w:sz="4" w:space="0" w:color="auto"/>
            </w:tcBorders>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Groups</w:t>
            </w:r>
          </w:p>
        </w:tc>
        <w:tc>
          <w:tcPr>
            <w:tcW w:w="0" w:type="auto"/>
            <w:tcBorders>
              <w:top w:val="single" w:sz="4" w:space="0" w:color="auto"/>
              <w:bottom w:val="single" w:sz="4" w:space="0" w:color="auto"/>
            </w:tcBorders>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Sum</w:t>
            </w:r>
          </w:p>
        </w:tc>
        <w:tc>
          <w:tcPr>
            <w:tcW w:w="0" w:type="auto"/>
            <w:tcBorders>
              <w:top w:val="single" w:sz="4" w:space="0" w:color="auto"/>
              <w:bottom w:val="single" w:sz="4" w:space="0" w:color="auto"/>
            </w:tcBorders>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Average</w:t>
            </w:r>
          </w:p>
        </w:tc>
        <w:tc>
          <w:tcPr>
            <w:tcW w:w="0" w:type="auto"/>
            <w:tcBorders>
              <w:top w:val="single" w:sz="4" w:space="0" w:color="auto"/>
              <w:bottom w:val="single" w:sz="4" w:space="0" w:color="auto"/>
            </w:tcBorders>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Variance</w:t>
            </w:r>
          </w:p>
        </w:tc>
      </w:tr>
      <w:tr w:rsidR="00A012BD" w:rsidRPr="00824E90" w:rsidTr="00E626C7">
        <w:trPr>
          <w:gridAfter w:val="1"/>
          <w:trHeight w:val="315"/>
          <w:jc w:val="center"/>
        </w:trPr>
        <w:tc>
          <w:tcPr>
            <w:tcW w:w="0" w:type="auto"/>
            <w:tcBorders>
              <w:top w:val="single" w:sz="4" w:space="0" w:color="auto"/>
            </w:tcBorders>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LO</w:t>
            </w:r>
          </w:p>
        </w:tc>
        <w:tc>
          <w:tcPr>
            <w:tcW w:w="0" w:type="auto"/>
            <w:tcBorders>
              <w:top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290.77</w:t>
            </w:r>
          </w:p>
        </w:tc>
        <w:tc>
          <w:tcPr>
            <w:tcW w:w="0" w:type="auto"/>
            <w:tcBorders>
              <w:top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0.999</w:t>
            </w:r>
          </w:p>
        </w:tc>
        <w:tc>
          <w:tcPr>
            <w:tcW w:w="0" w:type="auto"/>
            <w:tcBorders>
              <w:top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11.813</w:t>
            </w:r>
          </w:p>
        </w:tc>
      </w:tr>
      <w:tr w:rsidR="00A012BD" w:rsidRPr="00824E90" w:rsidTr="00E626C7">
        <w:trPr>
          <w:gridAfter w:val="1"/>
          <w:trHeight w:val="300"/>
          <w:jc w:val="center"/>
        </w:trPr>
        <w:tc>
          <w:tcPr>
            <w:tcW w:w="0" w:type="auto"/>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LS</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298.3</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1.025</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7.093</w:t>
            </w:r>
          </w:p>
        </w:tc>
      </w:tr>
      <w:tr w:rsidR="00A012BD" w:rsidRPr="00824E90" w:rsidTr="00E626C7">
        <w:trPr>
          <w:gridAfter w:val="1"/>
          <w:trHeight w:val="315"/>
          <w:jc w:val="center"/>
        </w:trPr>
        <w:tc>
          <w:tcPr>
            <w:tcW w:w="0" w:type="auto"/>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SE</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334.89</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1.151</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10.620</w:t>
            </w:r>
          </w:p>
        </w:tc>
      </w:tr>
      <w:tr w:rsidR="00A012BD" w:rsidRPr="00824E90" w:rsidTr="00E626C7">
        <w:trPr>
          <w:trHeight w:val="315"/>
          <w:jc w:val="center"/>
        </w:trPr>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Source of Variation</w:t>
            </w:r>
          </w:p>
        </w:tc>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SS</w:t>
            </w:r>
          </w:p>
        </w:tc>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MS</w:t>
            </w:r>
          </w:p>
        </w:tc>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F</w:t>
            </w:r>
          </w:p>
        </w:tc>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 xml:space="preserve">F </w:t>
            </w:r>
            <w:proofErr w:type="spellStart"/>
            <w:r w:rsidRPr="00824E90">
              <w:rPr>
                <w:rFonts w:eastAsia="Times New Roman" w:cs="Times New Roman"/>
                <w:i/>
                <w:iCs/>
                <w:szCs w:val="24"/>
                <w:lang w:eastAsia="en-GB"/>
              </w:rPr>
              <w:t>crit</w:t>
            </w:r>
            <w:proofErr w:type="spellEnd"/>
          </w:p>
        </w:tc>
      </w:tr>
      <w:tr w:rsidR="00A012BD" w:rsidRPr="00824E90" w:rsidTr="00E626C7">
        <w:trPr>
          <w:trHeight w:val="315"/>
          <w:jc w:val="center"/>
        </w:trPr>
        <w:tc>
          <w:tcPr>
            <w:tcW w:w="0" w:type="auto"/>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Between Groups</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3.828</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1.914</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0.194</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3.006</w:t>
            </w:r>
          </w:p>
        </w:tc>
      </w:tr>
      <w:tr w:rsidR="00A012BD" w:rsidRPr="00824E90" w:rsidTr="00E626C7">
        <w:trPr>
          <w:trHeight w:val="300"/>
          <w:jc w:val="center"/>
        </w:trPr>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Within Groups</w:t>
            </w:r>
          </w:p>
        </w:tc>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8562.512</w:t>
            </w:r>
          </w:p>
        </w:tc>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9.842</w:t>
            </w:r>
          </w:p>
        </w:tc>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p>
        </w:tc>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p>
        </w:tc>
      </w:tr>
    </w:tbl>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Default="00A012BD" w:rsidP="00A012BD"/>
    <w:p w:rsidR="00A012BD" w:rsidRPr="00755198" w:rsidRDefault="00A012BD" w:rsidP="00A012BD">
      <w:pPr>
        <w:spacing w:after="0" w:line="240" w:lineRule="auto"/>
        <w:jc w:val="center"/>
        <w:rPr>
          <w:b/>
          <w:sz w:val="28"/>
          <w:szCs w:val="28"/>
        </w:rPr>
      </w:pPr>
      <w:r w:rsidRPr="00755198">
        <w:rPr>
          <w:b/>
          <w:sz w:val="28"/>
          <w:szCs w:val="28"/>
        </w:rPr>
        <w:lastRenderedPageBreak/>
        <w:t xml:space="preserve">Table </w:t>
      </w:r>
      <w:r w:rsidR="00352523" w:rsidRPr="00755198">
        <w:rPr>
          <w:b/>
          <w:sz w:val="28"/>
          <w:szCs w:val="28"/>
        </w:rPr>
        <w:t>5</w:t>
      </w:r>
      <w:r w:rsidRPr="00755198">
        <w:rPr>
          <w:b/>
          <w:sz w:val="28"/>
          <w:szCs w:val="28"/>
        </w:rPr>
        <w:t xml:space="preserve">. ANOVA </w:t>
      </w:r>
      <w:proofErr w:type="gramStart"/>
      <w:r w:rsidRPr="00755198">
        <w:rPr>
          <w:b/>
          <w:sz w:val="28"/>
          <w:szCs w:val="28"/>
        </w:rPr>
        <w:t>Between</w:t>
      </w:r>
      <w:proofErr w:type="gramEnd"/>
      <w:r w:rsidRPr="00755198">
        <w:rPr>
          <w:b/>
          <w:sz w:val="28"/>
          <w:szCs w:val="28"/>
        </w:rPr>
        <w:t xml:space="preserve"> Groups (LO, SE, LS), (OT, GM, RV) and SB</w:t>
      </w:r>
    </w:p>
    <w:tbl>
      <w:tblPr>
        <w:tblW w:w="0" w:type="auto"/>
        <w:jc w:val="center"/>
        <w:tblLook w:val="04A0" w:firstRow="1" w:lastRow="0" w:firstColumn="1" w:lastColumn="0" w:noHBand="0" w:noVBand="1"/>
      </w:tblPr>
      <w:tblGrid>
        <w:gridCol w:w="3202"/>
        <w:gridCol w:w="1236"/>
        <w:gridCol w:w="1016"/>
        <w:gridCol w:w="1096"/>
        <w:gridCol w:w="756"/>
      </w:tblGrid>
      <w:tr w:rsidR="00A012BD" w:rsidRPr="00824E90" w:rsidTr="00E626C7">
        <w:trPr>
          <w:gridAfter w:val="1"/>
          <w:trHeight w:val="300"/>
          <w:jc w:val="center"/>
        </w:trPr>
        <w:tc>
          <w:tcPr>
            <w:tcW w:w="0" w:type="auto"/>
            <w:tcBorders>
              <w:top w:val="single" w:sz="4" w:space="0" w:color="auto"/>
              <w:bottom w:val="single" w:sz="4" w:space="0" w:color="auto"/>
            </w:tcBorders>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Groups</w:t>
            </w:r>
          </w:p>
        </w:tc>
        <w:tc>
          <w:tcPr>
            <w:tcW w:w="0" w:type="auto"/>
            <w:tcBorders>
              <w:top w:val="single" w:sz="4" w:space="0" w:color="auto"/>
              <w:bottom w:val="single" w:sz="4" w:space="0" w:color="auto"/>
            </w:tcBorders>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Sum</w:t>
            </w:r>
          </w:p>
        </w:tc>
        <w:tc>
          <w:tcPr>
            <w:tcW w:w="0" w:type="auto"/>
            <w:tcBorders>
              <w:top w:val="single" w:sz="4" w:space="0" w:color="auto"/>
              <w:bottom w:val="single" w:sz="4" w:space="0" w:color="auto"/>
            </w:tcBorders>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Average</w:t>
            </w:r>
          </w:p>
        </w:tc>
        <w:tc>
          <w:tcPr>
            <w:tcW w:w="0" w:type="auto"/>
            <w:tcBorders>
              <w:top w:val="single" w:sz="4" w:space="0" w:color="auto"/>
              <w:bottom w:val="single" w:sz="4" w:space="0" w:color="auto"/>
            </w:tcBorders>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Variance</w:t>
            </w:r>
          </w:p>
        </w:tc>
      </w:tr>
      <w:tr w:rsidR="00A012BD" w:rsidRPr="00824E90" w:rsidTr="00E626C7">
        <w:trPr>
          <w:gridAfter w:val="1"/>
          <w:trHeight w:val="315"/>
          <w:jc w:val="center"/>
        </w:trPr>
        <w:tc>
          <w:tcPr>
            <w:tcW w:w="0" w:type="auto"/>
            <w:tcBorders>
              <w:top w:val="single" w:sz="4" w:space="0" w:color="auto"/>
            </w:tcBorders>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SB</w:t>
            </w:r>
          </w:p>
        </w:tc>
        <w:tc>
          <w:tcPr>
            <w:tcW w:w="0" w:type="auto"/>
            <w:tcBorders>
              <w:top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15.3</w:t>
            </w:r>
          </w:p>
        </w:tc>
        <w:tc>
          <w:tcPr>
            <w:tcW w:w="0" w:type="auto"/>
            <w:tcBorders>
              <w:top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0.053</w:t>
            </w:r>
          </w:p>
        </w:tc>
        <w:tc>
          <w:tcPr>
            <w:tcW w:w="0" w:type="auto"/>
            <w:tcBorders>
              <w:top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27.004</w:t>
            </w:r>
          </w:p>
        </w:tc>
      </w:tr>
      <w:tr w:rsidR="00A012BD" w:rsidRPr="00824E90" w:rsidTr="00E626C7">
        <w:trPr>
          <w:gridAfter w:val="1"/>
          <w:trHeight w:val="300"/>
          <w:jc w:val="center"/>
        </w:trPr>
        <w:tc>
          <w:tcPr>
            <w:tcW w:w="0" w:type="auto"/>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Group LO, SE, LS (Average)</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307.987</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1.058</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9.178</w:t>
            </w:r>
          </w:p>
        </w:tc>
      </w:tr>
      <w:tr w:rsidR="00A012BD" w:rsidRPr="00824E90" w:rsidTr="00E626C7">
        <w:trPr>
          <w:gridAfter w:val="1"/>
          <w:trHeight w:val="315"/>
          <w:jc w:val="center"/>
        </w:trPr>
        <w:tc>
          <w:tcPr>
            <w:tcW w:w="0" w:type="auto"/>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Group OT, GM, RV (Average)</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275.98</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0.948</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1.401</w:t>
            </w:r>
          </w:p>
        </w:tc>
      </w:tr>
      <w:tr w:rsidR="00A012BD" w:rsidRPr="00824E90" w:rsidTr="00E626C7">
        <w:trPr>
          <w:trHeight w:val="300"/>
          <w:jc w:val="center"/>
        </w:trPr>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Source of Variation</w:t>
            </w:r>
          </w:p>
        </w:tc>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SS</w:t>
            </w:r>
          </w:p>
        </w:tc>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MS</w:t>
            </w:r>
          </w:p>
        </w:tc>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F</w:t>
            </w:r>
          </w:p>
        </w:tc>
        <w:tc>
          <w:tcPr>
            <w:tcW w:w="0" w:type="auto"/>
            <w:shd w:val="clear" w:color="auto" w:fill="auto"/>
            <w:noWrap/>
            <w:vAlign w:val="bottom"/>
            <w:hideMark/>
          </w:tcPr>
          <w:p w:rsidR="00A012BD" w:rsidRPr="00824E90" w:rsidRDefault="00A012BD" w:rsidP="00E626C7">
            <w:pPr>
              <w:spacing w:after="0" w:line="240" w:lineRule="auto"/>
              <w:jc w:val="center"/>
              <w:rPr>
                <w:rFonts w:eastAsia="Times New Roman" w:cs="Times New Roman"/>
                <w:i/>
                <w:iCs/>
                <w:szCs w:val="24"/>
                <w:lang w:eastAsia="en-GB"/>
              </w:rPr>
            </w:pPr>
            <w:r w:rsidRPr="00824E90">
              <w:rPr>
                <w:rFonts w:eastAsia="Times New Roman" w:cs="Times New Roman"/>
                <w:i/>
                <w:iCs/>
                <w:szCs w:val="24"/>
                <w:lang w:eastAsia="en-GB"/>
              </w:rPr>
              <w:t xml:space="preserve">F </w:t>
            </w:r>
            <w:proofErr w:type="spellStart"/>
            <w:r w:rsidRPr="00824E90">
              <w:rPr>
                <w:rFonts w:eastAsia="Times New Roman" w:cs="Times New Roman"/>
                <w:i/>
                <w:iCs/>
                <w:szCs w:val="24"/>
                <w:lang w:eastAsia="en-GB"/>
              </w:rPr>
              <w:t>crit</w:t>
            </w:r>
            <w:proofErr w:type="spellEnd"/>
          </w:p>
        </w:tc>
      </w:tr>
      <w:tr w:rsidR="00A012BD" w:rsidRPr="00824E90" w:rsidTr="00E626C7">
        <w:trPr>
          <w:trHeight w:val="300"/>
          <w:jc w:val="center"/>
        </w:trPr>
        <w:tc>
          <w:tcPr>
            <w:tcW w:w="0" w:type="auto"/>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Between Groups</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177.141</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88.570</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7.070</w:t>
            </w:r>
          </w:p>
        </w:tc>
        <w:tc>
          <w:tcPr>
            <w:tcW w:w="0" w:type="auto"/>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3.006</w:t>
            </w:r>
          </w:p>
        </w:tc>
      </w:tr>
      <w:tr w:rsidR="00A012BD" w:rsidRPr="00824E90" w:rsidTr="00E626C7">
        <w:trPr>
          <w:trHeight w:val="315"/>
          <w:jc w:val="center"/>
        </w:trPr>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r w:rsidRPr="00824E90">
              <w:rPr>
                <w:rFonts w:eastAsia="Times New Roman" w:cs="Times New Roman"/>
                <w:szCs w:val="24"/>
                <w:lang w:eastAsia="en-GB"/>
              </w:rPr>
              <w:t>Within Groups</w:t>
            </w:r>
          </w:p>
        </w:tc>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10898.988</w:t>
            </w:r>
          </w:p>
        </w:tc>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jc w:val="right"/>
              <w:rPr>
                <w:rFonts w:eastAsia="Times New Roman" w:cs="Times New Roman"/>
                <w:szCs w:val="24"/>
                <w:lang w:eastAsia="en-GB"/>
              </w:rPr>
            </w:pPr>
            <w:r w:rsidRPr="00824E90">
              <w:rPr>
                <w:rFonts w:eastAsia="Times New Roman" w:cs="Times New Roman"/>
                <w:szCs w:val="24"/>
                <w:lang w:eastAsia="en-GB"/>
              </w:rPr>
              <w:t>12.528</w:t>
            </w:r>
          </w:p>
        </w:tc>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p>
        </w:tc>
        <w:tc>
          <w:tcPr>
            <w:tcW w:w="0" w:type="auto"/>
            <w:tcBorders>
              <w:bottom w:val="single" w:sz="4" w:space="0" w:color="auto"/>
            </w:tcBorders>
            <w:shd w:val="clear" w:color="auto" w:fill="auto"/>
            <w:noWrap/>
            <w:vAlign w:val="bottom"/>
            <w:hideMark/>
          </w:tcPr>
          <w:p w:rsidR="00A012BD" w:rsidRPr="00824E90" w:rsidRDefault="00A012BD" w:rsidP="00E626C7">
            <w:pPr>
              <w:spacing w:after="0" w:line="240" w:lineRule="auto"/>
              <w:rPr>
                <w:rFonts w:eastAsia="Times New Roman" w:cs="Times New Roman"/>
                <w:szCs w:val="24"/>
                <w:lang w:eastAsia="en-GB"/>
              </w:rPr>
            </w:pPr>
          </w:p>
        </w:tc>
      </w:tr>
    </w:tbl>
    <w:p w:rsidR="00A012BD" w:rsidRDefault="00A012BD" w:rsidP="00A012BD"/>
    <w:p w:rsidR="00A012BD" w:rsidRPr="00A012BD" w:rsidRDefault="00A012BD" w:rsidP="00A012BD"/>
    <w:p w:rsidR="00A012BD" w:rsidRDefault="00A012BD">
      <w:pPr>
        <w:spacing w:after="0" w:line="240" w:lineRule="auto"/>
        <w:sectPr w:rsidR="00A012BD" w:rsidSect="00B37C85">
          <w:pgSz w:w="11906" w:h="16838" w:code="9"/>
          <w:pgMar w:top="1440" w:right="1797" w:bottom="1440" w:left="1797" w:header="709" w:footer="709" w:gutter="0"/>
          <w:cols w:space="708"/>
          <w:docGrid w:linePitch="360"/>
        </w:sectPr>
      </w:pPr>
    </w:p>
    <w:p w:rsidR="00A012BD" w:rsidRPr="00755198" w:rsidRDefault="00A012BD" w:rsidP="00A012BD">
      <w:pPr>
        <w:spacing w:after="0" w:line="240" w:lineRule="auto"/>
        <w:ind w:firstLine="720"/>
        <w:jc w:val="center"/>
        <w:rPr>
          <w:b/>
          <w:bCs/>
          <w:sz w:val="28"/>
          <w:szCs w:val="24"/>
        </w:rPr>
      </w:pPr>
      <w:r w:rsidRPr="00755198">
        <w:rPr>
          <w:b/>
          <w:bCs/>
          <w:sz w:val="28"/>
          <w:szCs w:val="24"/>
        </w:rPr>
        <w:lastRenderedPageBreak/>
        <w:t xml:space="preserve">Figure </w:t>
      </w:r>
      <w:r w:rsidR="00352523" w:rsidRPr="00755198">
        <w:rPr>
          <w:b/>
          <w:bCs/>
          <w:sz w:val="28"/>
          <w:szCs w:val="24"/>
        </w:rPr>
        <w:t>1</w:t>
      </w:r>
      <w:r w:rsidRPr="00755198">
        <w:rPr>
          <w:b/>
          <w:bCs/>
          <w:sz w:val="28"/>
          <w:szCs w:val="24"/>
        </w:rPr>
        <w:t xml:space="preserve">. Distances </w:t>
      </w:r>
      <w:proofErr w:type="gramStart"/>
      <w:r w:rsidRPr="00755198">
        <w:rPr>
          <w:b/>
          <w:bCs/>
          <w:sz w:val="28"/>
          <w:szCs w:val="24"/>
        </w:rPr>
        <w:t>Between</w:t>
      </w:r>
      <w:proofErr w:type="gramEnd"/>
      <w:r w:rsidRPr="00755198">
        <w:rPr>
          <w:b/>
          <w:bCs/>
          <w:sz w:val="28"/>
          <w:szCs w:val="24"/>
        </w:rPr>
        <w:t xml:space="preserve"> Strategies</w:t>
      </w:r>
    </w:p>
    <w:p w:rsidR="00A012BD" w:rsidRDefault="00A012BD" w:rsidP="00A012BD">
      <w:pPr>
        <w:spacing w:after="0" w:line="240" w:lineRule="auto"/>
        <w:ind w:firstLine="720"/>
        <w:jc w:val="center"/>
        <w:rPr>
          <w:bCs/>
          <w:szCs w:val="24"/>
        </w:rPr>
      </w:pPr>
      <w:r>
        <w:rPr>
          <w:bCs/>
          <w:noProof/>
          <w:szCs w:val="24"/>
          <w:lang w:eastAsia="en-GB"/>
        </w:rPr>
        <w:drawing>
          <wp:inline distT="0" distB="0" distL="0" distR="0" wp14:anchorId="3EF6DDDD" wp14:editId="1FAA3703">
            <wp:extent cx="4810125" cy="4078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0125" cy="4078605"/>
                    </a:xfrm>
                    <a:prstGeom prst="rect">
                      <a:avLst/>
                    </a:prstGeom>
                    <a:noFill/>
                  </pic:spPr>
                </pic:pic>
              </a:graphicData>
            </a:graphic>
          </wp:inline>
        </w:drawing>
      </w:r>
    </w:p>
    <w:p w:rsidR="00A012BD" w:rsidRDefault="00A012BD" w:rsidP="00A012BD">
      <w:pPr>
        <w:spacing w:after="0" w:line="240" w:lineRule="auto"/>
        <w:rPr>
          <w:bCs/>
          <w:szCs w:val="24"/>
        </w:rPr>
      </w:pPr>
      <w:r>
        <w:rPr>
          <w:bCs/>
          <w:szCs w:val="24"/>
        </w:rPr>
        <w:br w:type="page"/>
      </w:r>
    </w:p>
    <w:p w:rsidR="00A012BD" w:rsidRPr="00755198" w:rsidRDefault="00A012BD" w:rsidP="00A012BD">
      <w:pPr>
        <w:spacing w:after="0" w:line="240" w:lineRule="auto"/>
        <w:ind w:firstLine="720"/>
        <w:jc w:val="center"/>
        <w:rPr>
          <w:b/>
          <w:bCs/>
          <w:sz w:val="28"/>
          <w:szCs w:val="24"/>
        </w:rPr>
      </w:pPr>
      <w:r w:rsidRPr="00755198">
        <w:rPr>
          <w:b/>
          <w:bCs/>
          <w:sz w:val="28"/>
          <w:szCs w:val="24"/>
        </w:rPr>
        <w:lastRenderedPageBreak/>
        <w:t xml:space="preserve">Figure </w:t>
      </w:r>
      <w:r w:rsidR="00352523" w:rsidRPr="00755198">
        <w:rPr>
          <w:b/>
          <w:bCs/>
          <w:sz w:val="28"/>
          <w:szCs w:val="24"/>
        </w:rPr>
        <w:t>2</w:t>
      </w:r>
      <w:r w:rsidRPr="00755198">
        <w:rPr>
          <w:b/>
          <w:bCs/>
          <w:sz w:val="28"/>
          <w:szCs w:val="24"/>
        </w:rPr>
        <w:t xml:space="preserve">. Correlations </w:t>
      </w:r>
      <w:proofErr w:type="gramStart"/>
      <w:r w:rsidRPr="00755198">
        <w:rPr>
          <w:b/>
          <w:bCs/>
          <w:sz w:val="28"/>
          <w:szCs w:val="24"/>
        </w:rPr>
        <w:t>Between</w:t>
      </w:r>
      <w:proofErr w:type="gramEnd"/>
      <w:r w:rsidRPr="00755198">
        <w:rPr>
          <w:b/>
          <w:bCs/>
          <w:sz w:val="28"/>
          <w:szCs w:val="24"/>
        </w:rPr>
        <w:t xml:space="preserve"> Strategies</w:t>
      </w:r>
    </w:p>
    <w:p w:rsidR="00A012BD" w:rsidRDefault="00A012BD" w:rsidP="00A012BD">
      <w:pPr>
        <w:spacing w:after="0" w:line="240" w:lineRule="auto"/>
        <w:ind w:firstLine="720"/>
        <w:jc w:val="center"/>
        <w:rPr>
          <w:bCs/>
          <w:szCs w:val="24"/>
        </w:rPr>
      </w:pPr>
      <w:r>
        <w:rPr>
          <w:noProof/>
          <w:lang w:eastAsia="en-GB"/>
        </w:rPr>
        <w:drawing>
          <wp:inline distT="0" distB="0" distL="0" distR="0" wp14:anchorId="600D2BC1" wp14:editId="745477C2">
            <wp:extent cx="5278120" cy="37210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3721087"/>
                    </a:xfrm>
                    <a:prstGeom prst="rect">
                      <a:avLst/>
                    </a:prstGeom>
                    <a:noFill/>
                  </pic:spPr>
                </pic:pic>
              </a:graphicData>
            </a:graphic>
          </wp:inline>
        </w:drawing>
      </w:r>
    </w:p>
    <w:p w:rsidR="00A012BD" w:rsidRDefault="00A012BD" w:rsidP="00A012BD">
      <w:pPr>
        <w:spacing w:after="0" w:line="240" w:lineRule="auto"/>
        <w:rPr>
          <w:bCs/>
          <w:szCs w:val="24"/>
        </w:rPr>
      </w:pPr>
      <w:r>
        <w:rPr>
          <w:bCs/>
          <w:szCs w:val="24"/>
        </w:rPr>
        <w:br w:type="page"/>
      </w:r>
    </w:p>
    <w:p w:rsidR="00A012BD" w:rsidRPr="00755198" w:rsidRDefault="00A012BD" w:rsidP="00A012BD">
      <w:pPr>
        <w:spacing w:after="0"/>
        <w:jc w:val="center"/>
        <w:rPr>
          <w:b/>
          <w:sz w:val="28"/>
        </w:rPr>
      </w:pPr>
      <w:r w:rsidRPr="00755198">
        <w:rPr>
          <w:b/>
          <w:sz w:val="28"/>
        </w:rPr>
        <w:lastRenderedPageBreak/>
        <w:t xml:space="preserve">Figure </w:t>
      </w:r>
      <w:r w:rsidR="00352523" w:rsidRPr="00755198">
        <w:rPr>
          <w:b/>
          <w:sz w:val="28"/>
        </w:rPr>
        <w:t>3</w:t>
      </w:r>
      <w:r w:rsidRPr="00755198">
        <w:rPr>
          <w:b/>
          <w:sz w:val="28"/>
        </w:rPr>
        <w:t>. ANOVA Chart</w:t>
      </w:r>
    </w:p>
    <w:p w:rsidR="00A012BD" w:rsidRDefault="00A012BD" w:rsidP="00A012BD">
      <w:pPr>
        <w:jc w:val="center"/>
      </w:pPr>
      <w:r>
        <w:rPr>
          <w:noProof/>
          <w:lang w:eastAsia="en-GB"/>
        </w:rPr>
        <w:drawing>
          <wp:inline distT="0" distB="0" distL="0" distR="0" wp14:anchorId="678335D9" wp14:editId="2FB5C716">
            <wp:extent cx="4285615" cy="406019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5615" cy="4060190"/>
                    </a:xfrm>
                    <a:prstGeom prst="rect">
                      <a:avLst/>
                    </a:prstGeom>
                    <a:noFill/>
                  </pic:spPr>
                </pic:pic>
              </a:graphicData>
            </a:graphic>
          </wp:inline>
        </w:drawing>
      </w:r>
    </w:p>
    <w:p w:rsidR="00A012BD" w:rsidRDefault="00A012BD" w:rsidP="00A012BD">
      <w:pPr>
        <w:spacing w:after="0" w:line="240" w:lineRule="auto"/>
        <w:rPr>
          <w:bCs/>
          <w:szCs w:val="24"/>
        </w:rPr>
      </w:pPr>
    </w:p>
    <w:p w:rsidR="00A012BD" w:rsidRDefault="00A012BD"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EA0252" w:rsidRDefault="00EA0252" w:rsidP="00A012BD">
      <w:pPr>
        <w:spacing w:after="0" w:line="240" w:lineRule="auto"/>
        <w:rPr>
          <w:bCs/>
          <w:szCs w:val="24"/>
        </w:rPr>
      </w:pPr>
    </w:p>
    <w:p w:rsidR="006B08A6" w:rsidRDefault="006B08A6">
      <w:pPr>
        <w:spacing w:after="0" w:line="240" w:lineRule="auto"/>
      </w:pPr>
    </w:p>
    <w:p w:rsidR="00A012BD" w:rsidRDefault="00A012BD">
      <w:pPr>
        <w:spacing w:after="0" w:line="240" w:lineRule="auto"/>
      </w:pPr>
    </w:p>
    <w:sectPr w:rsidR="00A012BD" w:rsidSect="00EA025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74" w:rsidRDefault="005B6C74" w:rsidP="00122445">
      <w:pPr>
        <w:spacing w:after="0" w:line="240" w:lineRule="auto"/>
      </w:pPr>
      <w:r>
        <w:separator/>
      </w:r>
    </w:p>
  </w:endnote>
  <w:endnote w:type="continuationSeparator" w:id="0">
    <w:p w:rsidR="005B6C74" w:rsidRDefault="005B6C74" w:rsidP="0012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601870"/>
      <w:docPartObj>
        <w:docPartGallery w:val="Page Numbers (Bottom of Page)"/>
        <w:docPartUnique/>
      </w:docPartObj>
    </w:sdtPr>
    <w:sdtEndPr>
      <w:rPr>
        <w:noProof/>
      </w:rPr>
    </w:sdtEndPr>
    <w:sdtContent>
      <w:p w:rsidR="005B6C74" w:rsidRDefault="005B6C74" w:rsidP="00007EC0">
        <w:pPr>
          <w:pStyle w:val="Footer"/>
          <w:jc w:val="center"/>
        </w:pPr>
        <w:r>
          <w:fldChar w:fldCharType="begin"/>
        </w:r>
        <w:r>
          <w:instrText xml:space="preserve"> PAGE   \* MERGEFORMAT </w:instrText>
        </w:r>
        <w:r>
          <w:fldChar w:fldCharType="separate"/>
        </w:r>
        <w:r w:rsidR="00557374">
          <w:rPr>
            <w:noProof/>
          </w:rPr>
          <w:t>2</w:t>
        </w:r>
        <w:r>
          <w:rPr>
            <w:noProof/>
          </w:rPr>
          <w:fldChar w:fldCharType="end"/>
        </w:r>
      </w:p>
    </w:sdtContent>
  </w:sdt>
  <w:p w:rsidR="005B6C74" w:rsidRDefault="005B6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74" w:rsidRDefault="005B6C74" w:rsidP="00122445">
      <w:pPr>
        <w:spacing w:after="0" w:line="240" w:lineRule="auto"/>
      </w:pPr>
      <w:r>
        <w:separator/>
      </w:r>
    </w:p>
  </w:footnote>
  <w:footnote w:type="continuationSeparator" w:id="0">
    <w:p w:rsidR="005B6C74" w:rsidRDefault="005B6C74" w:rsidP="00122445">
      <w:pPr>
        <w:spacing w:after="0" w:line="240" w:lineRule="auto"/>
      </w:pPr>
      <w:r>
        <w:continuationSeparator/>
      </w:r>
    </w:p>
  </w:footnote>
  <w:footnote w:id="1">
    <w:p w:rsidR="005B6C74" w:rsidRPr="002F516E" w:rsidRDefault="005B6C74" w:rsidP="002F516E">
      <w:pPr>
        <w:spacing w:before="156" w:after="0" w:line="240" w:lineRule="auto"/>
        <w:textAlignment w:val="baseline"/>
        <w:rPr>
          <w:sz w:val="20"/>
          <w:szCs w:val="20"/>
        </w:rPr>
      </w:pPr>
      <w:r>
        <w:rPr>
          <w:rStyle w:val="FootnoteReference"/>
        </w:rPr>
        <w:footnoteRef/>
      </w:r>
      <w:r w:rsidRPr="002F516E">
        <w:rPr>
          <w:sz w:val="20"/>
          <w:szCs w:val="20"/>
        </w:rPr>
        <w:t>Aston Business School, Aston University, Birmingham, B4 7ET, England. Email</w:t>
      </w:r>
      <w:r>
        <w:rPr>
          <w:sz w:val="20"/>
          <w:szCs w:val="20"/>
        </w:rPr>
        <w:t xml:space="preserve"> </w:t>
      </w:r>
      <w:hyperlink r:id="rId1" w:history="1">
        <w:r w:rsidRPr="002F516E">
          <w:rPr>
            <w:sz w:val="20"/>
            <w:szCs w:val="20"/>
          </w:rPr>
          <w:t>d.stafylas@aston.ac.uk</w:t>
        </w:r>
      </w:hyperlink>
    </w:p>
  </w:footnote>
  <w:footnote w:id="2">
    <w:p w:rsidR="005B6C74" w:rsidRDefault="005B6C74" w:rsidP="001D0001">
      <w:pPr>
        <w:pStyle w:val="FootnoteText"/>
      </w:pPr>
      <w:r>
        <w:rPr>
          <w:rStyle w:val="FootnoteReference"/>
        </w:rPr>
        <w:footnoteRef/>
      </w:r>
      <w:r>
        <w:t xml:space="preserve"> The York Management School, University of York, Freboys Lane, Heslington, York YO10 5GD, England. Tel. +44 1904 325001. Email keith.anderson@york.ac.uk</w:t>
      </w:r>
    </w:p>
  </w:footnote>
  <w:footnote w:id="3">
    <w:p w:rsidR="005B6C74" w:rsidRDefault="005B6C74" w:rsidP="001D0001">
      <w:pPr>
        <w:pStyle w:val="FootnoteText"/>
      </w:pPr>
      <w:r>
        <w:rPr>
          <w:rStyle w:val="FootnoteReference"/>
        </w:rPr>
        <w:footnoteRef/>
      </w:r>
      <w:r>
        <w:t xml:space="preserve"> Leeds University Business School, Maurice </w:t>
      </w:r>
      <w:proofErr w:type="spellStart"/>
      <w:r>
        <w:t>Keyworth</w:t>
      </w:r>
      <w:proofErr w:type="spellEnd"/>
      <w:r>
        <w:t xml:space="preserve"> Building, University of Leeds, Moorland Road, Leeds LS6 1AN, England.</w:t>
      </w:r>
    </w:p>
  </w:footnote>
  <w:footnote w:id="4">
    <w:p w:rsidR="005B6C74" w:rsidRDefault="005B6C74" w:rsidP="001545C6">
      <w:pPr>
        <w:pStyle w:val="FootnoteText"/>
        <w:jc w:val="both"/>
      </w:pPr>
      <w:r>
        <w:rPr>
          <w:rStyle w:val="FootnoteReference"/>
        </w:rPr>
        <w:footnoteRef/>
      </w:r>
      <w:r>
        <w:t xml:space="preserve"> “Correlation distribution”: if we have a group of HFs then we have a number of pair correlations, i.e. the correlation of each hedge fund’s returns with the returns of each of the other HFs. Each HF has its own distribution of pair correlations, with a mean, standard deviation etc.</w:t>
      </w:r>
    </w:p>
  </w:footnote>
  <w:footnote w:id="5">
    <w:p w:rsidR="005B6C74" w:rsidRDefault="005B6C74" w:rsidP="00373FC0">
      <w:pPr>
        <w:pStyle w:val="FootnoteText"/>
        <w:jc w:val="both"/>
      </w:pPr>
      <w:r>
        <w:rPr>
          <w:rStyle w:val="FootnoteReference"/>
        </w:rPr>
        <w:footnoteRef/>
      </w:r>
      <w:r>
        <w:t xml:space="preserve"> The </w:t>
      </w:r>
      <w:r w:rsidRPr="00711E82">
        <w:t xml:space="preserve">algorithms and processes </w:t>
      </w:r>
      <w:r>
        <w:t xml:space="preserve">we followed for database cleaning and merging </w:t>
      </w:r>
      <w:r w:rsidRPr="00711E82">
        <w:t>are available on request</w:t>
      </w:r>
      <w:r>
        <w:t>.</w:t>
      </w:r>
    </w:p>
  </w:footnote>
  <w:footnote w:id="6">
    <w:p w:rsidR="005B6C74" w:rsidRDefault="005B6C74" w:rsidP="00373FC0">
      <w:pPr>
        <w:pStyle w:val="FootnoteText"/>
        <w:jc w:val="both"/>
      </w:pPr>
      <w:r>
        <w:rPr>
          <w:rStyle w:val="FootnoteReference"/>
        </w:rPr>
        <w:footnoteRef/>
      </w:r>
      <w:r>
        <w:t xml:space="preserve"> </w:t>
      </w:r>
      <w:r w:rsidRPr="007204A9">
        <w:t>We compute the standard deviation of the pair correlations (correlation of each fund or strategy with each of the other funds or strategies) within the group.</w:t>
      </w:r>
    </w:p>
  </w:footnote>
  <w:footnote w:id="7">
    <w:p w:rsidR="005B6C74" w:rsidRDefault="005B6C74" w:rsidP="00373FC0">
      <w:pPr>
        <w:pStyle w:val="FootnoteText"/>
        <w:jc w:val="both"/>
      </w:pPr>
      <w:r>
        <w:rPr>
          <w:rStyle w:val="FootnoteReference"/>
        </w:rPr>
        <w:footnoteRef/>
      </w:r>
      <w:r>
        <w:t xml:space="preserve"> “Distribution of their standard deviation”: </w:t>
      </w:r>
      <w:r w:rsidRPr="005C45F6">
        <w:t xml:space="preserve">If we have a group of funds </w:t>
      </w:r>
      <w:r>
        <w:t>within a strategy</w:t>
      </w:r>
      <w:r w:rsidRPr="005C45F6">
        <w:t xml:space="preserve"> then each member of this group has </w:t>
      </w:r>
      <w:r>
        <w:t xml:space="preserve">its own </w:t>
      </w:r>
      <w:r w:rsidRPr="005C45F6">
        <w:t>standard deviation of returns. Hence, we have many standard deviations in this group (one value for each fund). Thus, we can plot the overall distribution (of all fund-specific standard deviation values) represent</w:t>
      </w:r>
      <w:r>
        <w:t>ed</w:t>
      </w:r>
      <w:r w:rsidRPr="005C45F6">
        <w:t xml:space="preserve"> by a mean, stand</w:t>
      </w:r>
      <w:r>
        <w:t xml:space="preserve">ard </w:t>
      </w:r>
      <w:r w:rsidRPr="005C45F6">
        <w:t xml:space="preserve">deviation etc. for this group. </w:t>
      </w:r>
      <w:r>
        <w:t>T</w:t>
      </w:r>
      <w:r w:rsidRPr="005C45F6">
        <w:t>he lower the standard deviation of the overall distribution for the group (of funds or strategies) the better it is</w:t>
      </w:r>
      <w:r>
        <w:t>,</w:t>
      </w:r>
      <w:r w:rsidRPr="005C45F6">
        <w:t xml:space="preserve"> because this group is more homogenous.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74" w:rsidRDefault="005B6C74" w:rsidP="001D0001">
    <w:pPr>
      <w:pStyle w:val="Header"/>
      <w:jc w:val="center"/>
    </w:pPr>
    <w:r>
      <w:t>Hedge Fund Index Engineering Methodologies</w:t>
    </w:r>
  </w:p>
  <w:p w:rsidR="005B6C74" w:rsidRDefault="005B6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EDA"/>
      </v:shape>
    </w:pict>
  </w:numPicBullet>
  <w:abstractNum w:abstractNumId="0">
    <w:nsid w:val="173B69E6"/>
    <w:multiLevelType w:val="hybridMultilevel"/>
    <w:tmpl w:val="B7908178"/>
    <w:lvl w:ilvl="0" w:tplc="49244EC8">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1959261A"/>
    <w:multiLevelType w:val="hybridMultilevel"/>
    <w:tmpl w:val="CB2CF5F2"/>
    <w:lvl w:ilvl="0" w:tplc="0408000D">
      <w:start w:val="1"/>
      <w:numFmt w:val="bullet"/>
      <w:lvlText w:val=""/>
      <w:lvlJc w:val="left"/>
      <w:pPr>
        <w:ind w:left="916" w:hanging="360"/>
      </w:pPr>
      <w:rPr>
        <w:rFonts w:ascii="Wingdings" w:hAnsi="Wingdings" w:hint="default"/>
      </w:rPr>
    </w:lvl>
    <w:lvl w:ilvl="1" w:tplc="04080003" w:tentative="1">
      <w:start w:val="1"/>
      <w:numFmt w:val="bullet"/>
      <w:lvlText w:val="o"/>
      <w:lvlJc w:val="left"/>
      <w:pPr>
        <w:ind w:left="1636" w:hanging="360"/>
      </w:pPr>
      <w:rPr>
        <w:rFonts w:ascii="Courier New" w:hAnsi="Courier New" w:cs="Courier New" w:hint="default"/>
      </w:rPr>
    </w:lvl>
    <w:lvl w:ilvl="2" w:tplc="04080005" w:tentative="1">
      <w:start w:val="1"/>
      <w:numFmt w:val="bullet"/>
      <w:lvlText w:val=""/>
      <w:lvlJc w:val="left"/>
      <w:pPr>
        <w:ind w:left="2356" w:hanging="360"/>
      </w:pPr>
      <w:rPr>
        <w:rFonts w:ascii="Wingdings" w:hAnsi="Wingdings" w:hint="default"/>
      </w:rPr>
    </w:lvl>
    <w:lvl w:ilvl="3" w:tplc="04080001" w:tentative="1">
      <w:start w:val="1"/>
      <w:numFmt w:val="bullet"/>
      <w:lvlText w:val=""/>
      <w:lvlJc w:val="left"/>
      <w:pPr>
        <w:ind w:left="3076" w:hanging="360"/>
      </w:pPr>
      <w:rPr>
        <w:rFonts w:ascii="Symbol" w:hAnsi="Symbol" w:hint="default"/>
      </w:rPr>
    </w:lvl>
    <w:lvl w:ilvl="4" w:tplc="04080003" w:tentative="1">
      <w:start w:val="1"/>
      <w:numFmt w:val="bullet"/>
      <w:lvlText w:val="o"/>
      <w:lvlJc w:val="left"/>
      <w:pPr>
        <w:ind w:left="3796" w:hanging="360"/>
      </w:pPr>
      <w:rPr>
        <w:rFonts w:ascii="Courier New" w:hAnsi="Courier New" w:cs="Courier New" w:hint="default"/>
      </w:rPr>
    </w:lvl>
    <w:lvl w:ilvl="5" w:tplc="04080005" w:tentative="1">
      <w:start w:val="1"/>
      <w:numFmt w:val="bullet"/>
      <w:lvlText w:val=""/>
      <w:lvlJc w:val="left"/>
      <w:pPr>
        <w:ind w:left="4516" w:hanging="360"/>
      </w:pPr>
      <w:rPr>
        <w:rFonts w:ascii="Wingdings" w:hAnsi="Wingdings" w:hint="default"/>
      </w:rPr>
    </w:lvl>
    <w:lvl w:ilvl="6" w:tplc="04080001" w:tentative="1">
      <w:start w:val="1"/>
      <w:numFmt w:val="bullet"/>
      <w:lvlText w:val=""/>
      <w:lvlJc w:val="left"/>
      <w:pPr>
        <w:ind w:left="5236" w:hanging="360"/>
      </w:pPr>
      <w:rPr>
        <w:rFonts w:ascii="Symbol" w:hAnsi="Symbol" w:hint="default"/>
      </w:rPr>
    </w:lvl>
    <w:lvl w:ilvl="7" w:tplc="04080003" w:tentative="1">
      <w:start w:val="1"/>
      <w:numFmt w:val="bullet"/>
      <w:lvlText w:val="o"/>
      <w:lvlJc w:val="left"/>
      <w:pPr>
        <w:ind w:left="5956" w:hanging="360"/>
      </w:pPr>
      <w:rPr>
        <w:rFonts w:ascii="Courier New" w:hAnsi="Courier New" w:cs="Courier New" w:hint="default"/>
      </w:rPr>
    </w:lvl>
    <w:lvl w:ilvl="8" w:tplc="04080005" w:tentative="1">
      <w:start w:val="1"/>
      <w:numFmt w:val="bullet"/>
      <w:lvlText w:val=""/>
      <w:lvlJc w:val="left"/>
      <w:pPr>
        <w:ind w:left="6676" w:hanging="360"/>
      </w:pPr>
      <w:rPr>
        <w:rFonts w:ascii="Wingdings" w:hAnsi="Wingdings" w:hint="default"/>
      </w:rPr>
    </w:lvl>
  </w:abstractNum>
  <w:abstractNum w:abstractNumId="2">
    <w:nsid w:val="196C0C5F"/>
    <w:multiLevelType w:val="hybridMultilevel"/>
    <w:tmpl w:val="8CCA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E80662"/>
    <w:multiLevelType w:val="hybridMultilevel"/>
    <w:tmpl w:val="185CCCC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244DCC"/>
    <w:multiLevelType w:val="hybridMultilevel"/>
    <w:tmpl w:val="9FB8E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1EE5B26"/>
    <w:multiLevelType w:val="hybridMultilevel"/>
    <w:tmpl w:val="AA261C9A"/>
    <w:lvl w:ilvl="0" w:tplc="4DB8FE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204C3C"/>
    <w:multiLevelType w:val="hybridMultilevel"/>
    <w:tmpl w:val="4C084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7E157C"/>
    <w:multiLevelType w:val="hybridMultilevel"/>
    <w:tmpl w:val="F2927F60"/>
    <w:lvl w:ilvl="0" w:tplc="346EAFD4">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nsid w:val="2DE0326A"/>
    <w:multiLevelType w:val="hybridMultilevel"/>
    <w:tmpl w:val="94669AB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C233C0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F3B7C33"/>
    <w:multiLevelType w:val="hybridMultilevel"/>
    <w:tmpl w:val="2DEC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9C0D12"/>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35132D5"/>
    <w:multiLevelType w:val="multilevel"/>
    <w:tmpl w:val="8918CF20"/>
    <w:styleLink w:val="Dissertationnumbering"/>
    <w:lvl w:ilvl="0">
      <w:start w:val="1"/>
      <w:numFmt w:val="decimal"/>
      <w:lvlText w:val="Chapter%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7537C92"/>
    <w:multiLevelType w:val="hybridMultilevel"/>
    <w:tmpl w:val="9E0257C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C4253E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4EA852CB"/>
    <w:multiLevelType w:val="hybridMultilevel"/>
    <w:tmpl w:val="1FAC91BC"/>
    <w:lvl w:ilvl="0" w:tplc="04080005">
      <w:start w:val="1"/>
      <w:numFmt w:val="bullet"/>
      <w:lvlText w:val=""/>
      <w:lvlJc w:val="left"/>
      <w:pPr>
        <w:ind w:left="982" w:hanging="360"/>
      </w:pPr>
      <w:rPr>
        <w:rFonts w:ascii="Wingdings" w:hAnsi="Wingdings" w:hint="default"/>
      </w:rPr>
    </w:lvl>
    <w:lvl w:ilvl="1" w:tplc="04080003" w:tentative="1">
      <w:start w:val="1"/>
      <w:numFmt w:val="bullet"/>
      <w:lvlText w:val="o"/>
      <w:lvlJc w:val="left"/>
      <w:pPr>
        <w:ind w:left="1702" w:hanging="360"/>
      </w:pPr>
      <w:rPr>
        <w:rFonts w:ascii="Courier New" w:hAnsi="Courier New" w:cs="Courier New" w:hint="default"/>
      </w:rPr>
    </w:lvl>
    <w:lvl w:ilvl="2" w:tplc="04080005" w:tentative="1">
      <w:start w:val="1"/>
      <w:numFmt w:val="bullet"/>
      <w:lvlText w:val=""/>
      <w:lvlJc w:val="left"/>
      <w:pPr>
        <w:ind w:left="2422" w:hanging="360"/>
      </w:pPr>
      <w:rPr>
        <w:rFonts w:ascii="Wingdings" w:hAnsi="Wingdings" w:hint="default"/>
      </w:rPr>
    </w:lvl>
    <w:lvl w:ilvl="3" w:tplc="04080001" w:tentative="1">
      <w:start w:val="1"/>
      <w:numFmt w:val="bullet"/>
      <w:lvlText w:val=""/>
      <w:lvlJc w:val="left"/>
      <w:pPr>
        <w:ind w:left="3142" w:hanging="360"/>
      </w:pPr>
      <w:rPr>
        <w:rFonts w:ascii="Symbol" w:hAnsi="Symbol" w:hint="default"/>
      </w:rPr>
    </w:lvl>
    <w:lvl w:ilvl="4" w:tplc="04080003" w:tentative="1">
      <w:start w:val="1"/>
      <w:numFmt w:val="bullet"/>
      <w:lvlText w:val="o"/>
      <w:lvlJc w:val="left"/>
      <w:pPr>
        <w:ind w:left="3862" w:hanging="360"/>
      </w:pPr>
      <w:rPr>
        <w:rFonts w:ascii="Courier New" w:hAnsi="Courier New" w:cs="Courier New" w:hint="default"/>
      </w:rPr>
    </w:lvl>
    <w:lvl w:ilvl="5" w:tplc="04080005" w:tentative="1">
      <w:start w:val="1"/>
      <w:numFmt w:val="bullet"/>
      <w:lvlText w:val=""/>
      <w:lvlJc w:val="left"/>
      <w:pPr>
        <w:ind w:left="4582" w:hanging="360"/>
      </w:pPr>
      <w:rPr>
        <w:rFonts w:ascii="Wingdings" w:hAnsi="Wingdings" w:hint="default"/>
      </w:rPr>
    </w:lvl>
    <w:lvl w:ilvl="6" w:tplc="04080001" w:tentative="1">
      <w:start w:val="1"/>
      <w:numFmt w:val="bullet"/>
      <w:lvlText w:val=""/>
      <w:lvlJc w:val="left"/>
      <w:pPr>
        <w:ind w:left="5302" w:hanging="360"/>
      </w:pPr>
      <w:rPr>
        <w:rFonts w:ascii="Symbol" w:hAnsi="Symbol" w:hint="default"/>
      </w:rPr>
    </w:lvl>
    <w:lvl w:ilvl="7" w:tplc="04080003" w:tentative="1">
      <w:start w:val="1"/>
      <w:numFmt w:val="bullet"/>
      <w:lvlText w:val="o"/>
      <w:lvlJc w:val="left"/>
      <w:pPr>
        <w:ind w:left="6022" w:hanging="360"/>
      </w:pPr>
      <w:rPr>
        <w:rFonts w:ascii="Courier New" w:hAnsi="Courier New" w:cs="Courier New" w:hint="default"/>
      </w:rPr>
    </w:lvl>
    <w:lvl w:ilvl="8" w:tplc="04080005" w:tentative="1">
      <w:start w:val="1"/>
      <w:numFmt w:val="bullet"/>
      <w:lvlText w:val=""/>
      <w:lvlJc w:val="left"/>
      <w:pPr>
        <w:ind w:left="6742" w:hanging="360"/>
      </w:pPr>
      <w:rPr>
        <w:rFonts w:ascii="Wingdings" w:hAnsi="Wingdings" w:hint="default"/>
      </w:rPr>
    </w:lvl>
  </w:abstractNum>
  <w:abstractNum w:abstractNumId="16">
    <w:nsid w:val="532912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76436CE"/>
    <w:multiLevelType w:val="hybridMultilevel"/>
    <w:tmpl w:val="7866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A95DB5"/>
    <w:multiLevelType w:val="hybridMultilevel"/>
    <w:tmpl w:val="4596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DB1B5A"/>
    <w:multiLevelType w:val="hybridMultilevel"/>
    <w:tmpl w:val="1AF4793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7FC3DF9"/>
    <w:multiLevelType w:val="hybridMultilevel"/>
    <w:tmpl w:val="70B8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85079E"/>
    <w:multiLevelType w:val="hybridMultilevel"/>
    <w:tmpl w:val="D86889E2"/>
    <w:lvl w:ilvl="0" w:tplc="E320EF9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21"/>
  </w:num>
  <w:num w:numId="5">
    <w:abstractNumId w:val="4"/>
  </w:num>
  <w:num w:numId="6">
    <w:abstractNumId w:val="13"/>
  </w:num>
  <w:num w:numId="7">
    <w:abstractNumId w:val="1"/>
  </w:num>
  <w:num w:numId="8">
    <w:abstractNumId w:val="15"/>
  </w:num>
  <w:num w:numId="9">
    <w:abstractNumId w:val="11"/>
  </w:num>
  <w:num w:numId="10">
    <w:abstractNumId w:val="8"/>
  </w:num>
  <w:num w:numId="11">
    <w:abstractNumId w:val="19"/>
  </w:num>
  <w:num w:numId="12">
    <w:abstractNumId w:val="3"/>
  </w:num>
  <w:num w:numId="13">
    <w:abstractNumId w:val="16"/>
  </w:num>
  <w:num w:numId="14">
    <w:abstractNumId w:val="9"/>
  </w:num>
  <w:num w:numId="15">
    <w:abstractNumId w:val="14"/>
  </w:num>
  <w:num w:numId="16">
    <w:abstractNumId w:val="17"/>
  </w:num>
  <w:num w:numId="17">
    <w:abstractNumId w:val="20"/>
  </w:num>
  <w:num w:numId="18">
    <w:abstractNumId w:val="2"/>
  </w:num>
  <w:num w:numId="19">
    <w:abstractNumId w:val="10"/>
  </w:num>
  <w:num w:numId="20">
    <w:abstractNumId w:val="6"/>
  </w:num>
  <w:num w:numId="21">
    <w:abstractNumId w:val="18"/>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EF"/>
    <w:rsid w:val="000025BA"/>
    <w:rsid w:val="00003F00"/>
    <w:rsid w:val="00005537"/>
    <w:rsid w:val="00005585"/>
    <w:rsid w:val="00007EC0"/>
    <w:rsid w:val="0001198D"/>
    <w:rsid w:val="00011BB6"/>
    <w:rsid w:val="00017258"/>
    <w:rsid w:val="000275E3"/>
    <w:rsid w:val="00035F5D"/>
    <w:rsid w:val="00046456"/>
    <w:rsid w:val="00046FE4"/>
    <w:rsid w:val="00051D71"/>
    <w:rsid w:val="00060793"/>
    <w:rsid w:val="00060B71"/>
    <w:rsid w:val="00060D4A"/>
    <w:rsid w:val="000622E8"/>
    <w:rsid w:val="00075031"/>
    <w:rsid w:val="000757B8"/>
    <w:rsid w:val="000770B7"/>
    <w:rsid w:val="00080CCA"/>
    <w:rsid w:val="000935D3"/>
    <w:rsid w:val="00096507"/>
    <w:rsid w:val="000A09EF"/>
    <w:rsid w:val="000A14CC"/>
    <w:rsid w:val="000A17AB"/>
    <w:rsid w:val="000B4E93"/>
    <w:rsid w:val="000B5692"/>
    <w:rsid w:val="000B5B7D"/>
    <w:rsid w:val="000B66BA"/>
    <w:rsid w:val="000C1F9A"/>
    <w:rsid w:val="000C33C1"/>
    <w:rsid w:val="000C4A9E"/>
    <w:rsid w:val="000C7353"/>
    <w:rsid w:val="000D03B5"/>
    <w:rsid w:val="000D7414"/>
    <w:rsid w:val="000E02DD"/>
    <w:rsid w:val="000E536E"/>
    <w:rsid w:val="000E5F30"/>
    <w:rsid w:val="000F56A2"/>
    <w:rsid w:val="001033FF"/>
    <w:rsid w:val="001109A1"/>
    <w:rsid w:val="00111C84"/>
    <w:rsid w:val="00112D6A"/>
    <w:rsid w:val="001154B7"/>
    <w:rsid w:val="00122445"/>
    <w:rsid w:val="00122B49"/>
    <w:rsid w:val="0013564C"/>
    <w:rsid w:val="00136E0B"/>
    <w:rsid w:val="001404ED"/>
    <w:rsid w:val="00140DB4"/>
    <w:rsid w:val="001428AC"/>
    <w:rsid w:val="001436EC"/>
    <w:rsid w:val="00143999"/>
    <w:rsid w:val="00150EA9"/>
    <w:rsid w:val="00150F91"/>
    <w:rsid w:val="00152CC5"/>
    <w:rsid w:val="001545C6"/>
    <w:rsid w:val="001610E3"/>
    <w:rsid w:val="00174AE3"/>
    <w:rsid w:val="00175E97"/>
    <w:rsid w:val="00175FAD"/>
    <w:rsid w:val="00177AEA"/>
    <w:rsid w:val="00190046"/>
    <w:rsid w:val="00191728"/>
    <w:rsid w:val="001A0F31"/>
    <w:rsid w:val="001A4456"/>
    <w:rsid w:val="001A458F"/>
    <w:rsid w:val="001A67AE"/>
    <w:rsid w:val="001B0069"/>
    <w:rsid w:val="001B1990"/>
    <w:rsid w:val="001B28DF"/>
    <w:rsid w:val="001B6E8F"/>
    <w:rsid w:val="001C16C9"/>
    <w:rsid w:val="001C3C49"/>
    <w:rsid w:val="001C47FD"/>
    <w:rsid w:val="001D0001"/>
    <w:rsid w:val="001D13D3"/>
    <w:rsid w:val="001D2057"/>
    <w:rsid w:val="001D24F6"/>
    <w:rsid w:val="001D52A6"/>
    <w:rsid w:val="001D76A3"/>
    <w:rsid w:val="001F156B"/>
    <w:rsid w:val="001F4D61"/>
    <w:rsid w:val="001F6F87"/>
    <w:rsid w:val="002033EC"/>
    <w:rsid w:val="00212FC8"/>
    <w:rsid w:val="00213BA5"/>
    <w:rsid w:val="002150E1"/>
    <w:rsid w:val="00216AE3"/>
    <w:rsid w:val="00217363"/>
    <w:rsid w:val="00223881"/>
    <w:rsid w:val="0022452F"/>
    <w:rsid w:val="00224550"/>
    <w:rsid w:val="002276BD"/>
    <w:rsid w:val="0023669E"/>
    <w:rsid w:val="00241039"/>
    <w:rsid w:val="002455D6"/>
    <w:rsid w:val="00246803"/>
    <w:rsid w:val="002501C6"/>
    <w:rsid w:val="00265A1E"/>
    <w:rsid w:val="002776F0"/>
    <w:rsid w:val="00277E6E"/>
    <w:rsid w:val="00280DC9"/>
    <w:rsid w:val="002837E2"/>
    <w:rsid w:val="002862DD"/>
    <w:rsid w:val="002871CD"/>
    <w:rsid w:val="00297DF5"/>
    <w:rsid w:val="002A1069"/>
    <w:rsid w:val="002A1887"/>
    <w:rsid w:val="002A21A1"/>
    <w:rsid w:val="002A3D93"/>
    <w:rsid w:val="002A7570"/>
    <w:rsid w:val="002B162F"/>
    <w:rsid w:val="002B7DFF"/>
    <w:rsid w:val="002C1C60"/>
    <w:rsid w:val="002C1EF8"/>
    <w:rsid w:val="002C285D"/>
    <w:rsid w:val="002C701A"/>
    <w:rsid w:val="002D3F39"/>
    <w:rsid w:val="002E2A9F"/>
    <w:rsid w:val="002F109D"/>
    <w:rsid w:val="002F516E"/>
    <w:rsid w:val="00311EF1"/>
    <w:rsid w:val="00314292"/>
    <w:rsid w:val="00322441"/>
    <w:rsid w:val="0032299A"/>
    <w:rsid w:val="00326968"/>
    <w:rsid w:val="00326A78"/>
    <w:rsid w:val="00326FB6"/>
    <w:rsid w:val="00330429"/>
    <w:rsid w:val="00330909"/>
    <w:rsid w:val="00331D57"/>
    <w:rsid w:val="0033541B"/>
    <w:rsid w:val="00351622"/>
    <w:rsid w:val="00352523"/>
    <w:rsid w:val="00356C70"/>
    <w:rsid w:val="003574C1"/>
    <w:rsid w:val="00360705"/>
    <w:rsid w:val="003630D4"/>
    <w:rsid w:val="00367BC0"/>
    <w:rsid w:val="0037255C"/>
    <w:rsid w:val="00373FC0"/>
    <w:rsid w:val="00375B0B"/>
    <w:rsid w:val="00376E00"/>
    <w:rsid w:val="00380F90"/>
    <w:rsid w:val="00385E80"/>
    <w:rsid w:val="00387AB3"/>
    <w:rsid w:val="00390390"/>
    <w:rsid w:val="003904E9"/>
    <w:rsid w:val="003910C7"/>
    <w:rsid w:val="003919E8"/>
    <w:rsid w:val="00391DB8"/>
    <w:rsid w:val="00392E9A"/>
    <w:rsid w:val="0039436C"/>
    <w:rsid w:val="003947F9"/>
    <w:rsid w:val="003960ED"/>
    <w:rsid w:val="00397694"/>
    <w:rsid w:val="003A271A"/>
    <w:rsid w:val="003A27E8"/>
    <w:rsid w:val="003C00CB"/>
    <w:rsid w:val="003C0A6E"/>
    <w:rsid w:val="003C1C29"/>
    <w:rsid w:val="003C4EEF"/>
    <w:rsid w:val="003D1045"/>
    <w:rsid w:val="003D1E62"/>
    <w:rsid w:val="003D27CE"/>
    <w:rsid w:val="003E0450"/>
    <w:rsid w:val="003E3597"/>
    <w:rsid w:val="003E420E"/>
    <w:rsid w:val="003E7CCD"/>
    <w:rsid w:val="003F019E"/>
    <w:rsid w:val="003F32C3"/>
    <w:rsid w:val="003F3ADE"/>
    <w:rsid w:val="00400F47"/>
    <w:rsid w:val="0040123E"/>
    <w:rsid w:val="00401842"/>
    <w:rsid w:val="004023BA"/>
    <w:rsid w:val="00403AE4"/>
    <w:rsid w:val="00404229"/>
    <w:rsid w:val="0040661E"/>
    <w:rsid w:val="0040663F"/>
    <w:rsid w:val="00414B20"/>
    <w:rsid w:val="00414CEE"/>
    <w:rsid w:val="00422DD7"/>
    <w:rsid w:val="004264CA"/>
    <w:rsid w:val="004272FC"/>
    <w:rsid w:val="00430F43"/>
    <w:rsid w:val="00430F7E"/>
    <w:rsid w:val="004419B5"/>
    <w:rsid w:val="00441E07"/>
    <w:rsid w:val="00442A56"/>
    <w:rsid w:val="00444537"/>
    <w:rsid w:val="00450493"/>
    <w:rsid w:val="0045164B"/>
    <w:rsid w:val="00455931"/>
    <w:rsid w:val="004619E3"/>
    <w:rsid w:val="00462D62"/>
    <w:rsid w:val="00475977"/>
    <w:rsid w:val="0047636F"/>
    <w:rsid w:val="0048528A"/>
    <w:rsid w:val="0048684A"/>
    <w:rsid w:val="00491C2F"/>
    <w:rsid w:val="004941B5"/>
    <w:rsid w:val="00496438"/>
    <w:rsid w:val="004A1FC4"/>
    <w:rsid w:val="004A4027"/>
    <w:rsid w:val="004B05B6"/>
    <w:rsid w:val="004C04EF"/>
    <w:rsid w:val="004C17D0"/>
    <w:rsid w:val="004C4BA3"/>
    <w:rsid w:val="004C624D"/>
    <w:rsid w:val="004C70A7"/>
    <w:rsid w:val="004D29DE"/>
    <w:rsid w:val="004E07DC"/>
    <w:rsid w:val="00506521"/>
    <w:rsid w:val="005111E8"/>
    <w:rsid w:val="00513520"/>
    <w:rsid w:val="00513FC0"/>
    <w:rsid w:val="0051411F"/>
    <w:rsid w:val="0051700B"/>
    <w:rsid w:val="0052021E"/>
    <w:rsid w:val="00521FA8"/>
    <w:rsid w:val="00522EAE"/>
    <w:rsid w:val="00524A4D"/>
    <w:rsid w:val="005271BA"/>
    <w:rsid w:val="00527B57"/>
    <w:rsid w:val="00533142"/>
    <w:rsid w:val="005361F7"/>
    <w:rsid w:val="00542E8A"/>
    <w:rsid w:val="005442DE"/>
    <w:rsid w:val="00545494"/>
    <w:rsid w:val="0055058E"/>
    <w:rsid w:val="0055580D"/>
    <w:rsid w:val="00557374"/>
    <w:rsid w:val="005603A7"/>
    <w:rsid w:val="005730C4"/>
    <w:rsid w:val="00573387"/>
    <w:rsid w:val="00573C85"/>
    <w:rsid w:val="0058613B"/>
    <w:rsid w:val="00587E5A"/>
    <w:rsid w:val="00591896"/>
    <w:rsid w:val="005A4AC4"/>
    <w:rsid w:val="005B1BB0"/>
    <w:rsid w:val="005B57E9"/>
    <w:rsid w:val="005B6C74"/>
    <w:rsid w:val="005C080F"/>
    <w:rsid w:val="005C205B"/>
    <w:rsid w:val="005C32B4"/>
    <w:rsid w:val="005C45F6"/>
    <w:rsid w:val="005C7079"/>
    <w:rsid w:val="005D0D94"/>
    <w:rsid w:val="005D6C8A"/>
    <w:rsid w:val="005D6E4B"/>
    <w:rsid w:val="005E19C4"/>
    <w:rsid w:val="005E6046"/>
    <w:rsid w:val="005F47CF"/>
    <w:rsid w:val="005F78BC"/>
    <w:rsid w:val="006018F7"/>
    <w:rsid w:val="00601A3F"/>
    <w:rsid w:val="00604BC3"/>
    <w:rsid w:val="00604CFC"/>
    <w:rsid w:val="00605977"/>
    <w:rsid w:val="00610555"/>
    <w:rsid w:val="00611C6D"/>
    <w:rsid w:val="00613C6B"/>
    <w:rsid w:val="00616AB1"/>
    <w:rsid w:val="006220C2"/>
    <w:rsid w:val="00627CE5"/>
    <w:rsid w:val="006307AD"/>
    <w:rsid w:val="00632303"/>
    <w:rsid w:val="0063603D"/>
    <w:rsid w:val="00644CC8"/>
    <w:rsid w:val="006523AA"/>
    <w:rsid w:val="00652DF6"/>
    <w:rsid w:val="006543EA"/>
    <w:rsid w:val="0065497D"/>
    <w:rsid w:val="0066226F"/>
    <w:rsid w:val="00664E97"/>
    <w:rsid w:val="00666A4B"/>
    <w:rsid w:val="00667644"/>
    <w:rsid w:val="006729C1"/>
    <w:rsid w:val="00672F54"/>
    <w:rsid w:val="006741F7"/>
    <w:rsid w:val="00675484"/>
    <w:rsid w:val="00677FC0"/>
    <w:rsid w:val="00685A09"/>
    <w:rsid w:val="00690776"/>
    <w:rsid w:val="00694658"/>
    <w:rsid w:val="00694972"/>
    <w:rsid w:val="006A3CDF"/>
    <w:rsid w:val="006A4810"/>
    <w:rsid w:val="006A5E9F"/>
    <w:rsid w:val="006B08A6"/>
    <w:rsid w:val="006B232D"/>
    <w:rsid w:val="006B2B64"/>
    <w:rsid w:val="006B74EF"/>
    <w:rsid w:val="006C40CE"/>
    <w:rsid w:val="006D331C"/>
    <w:rsid w:val="006E096C"/>
    <w:rsid w:val="006E2976"/>
    <w:rsid w:val="006F7BA8"/>
    <w:rsid w:val="007004B5"/>
    <w:rsid w:val="0070366D"/>
    <w:rsid w:val="00710253"/>
    <w:rsid w:val="00713BB8"/>
    <w:rsid w:val="00715E64"/>
    <w:rsid w:val="00717DE4"/>
    <w:rsid w:val="007204A9"/>
    <w:rsid w:val="0072063B"/>
    <w:rsid w:val="00725579"/>
    <w:rsid w:val="00736826"/>
    <w:rsid w:val="00741E66"/>
    <w:rsid w:val="00743436"/>
    <w:rsid w:val="007438E6"/>
    <w:rsid w:val="00743F6C"/>
    <w:rsid w:val="00744AB1"/>
    <w:rsid w:val="00750D1A"/>
    <w:rsid w:val="0075223B"/>
    <w:rsid w:val="00753845"/>
    <w:rsid w:val="00753A74"/>
    <w:rsid w:val="00755198"/>
    <w:rsid w:val="00760EDC"/>
    <w:rsid w:val="0076264E"/>
    <w:rsid w:val="0076298C"/>
    <w:rsid w:val="00763F2E"/>
    <w:rsid w:val="007710AB"/>
    <w:rsid w:val="007769E0"/>
    <w:rsid w:val="00783189"/>
    <w:rsid w:val="00785368"/>
    <w:rsid w:val="00786279"/>
    <w:rsid w:val="00786786"/>
    <w:rsid w:val="00786F4C"/>
    <w:rsid w:val="007905F0"/>
    <w:rsid w:val="00790AB6"/>
    <w:rsid w:val="00792378"/>
    <w:rsid w:val="007A4B64"/>
    <w:rsid w:val="007B4DB5"/>
    <w:rsid w:val="007B7591"/>
    <w:rsid w:val="007C6B10"/>
    <w:rsid w:val="007C6BDD"/>
    <w:rsid w:val="007D230C"/>
    <w:rsid w:val="007D4A7E"/>
    <w:rsid w:val="007D5168"/>
    <w:rsid w:val="007E34B3"/>
    <w:rsid w:val="00803492"/>
    <w:rsid w:val="0080588B"/>
    <w:rsid w:val="0080658E"/>
    <w:rsid w:val="0081533C"/>
    <w:rsid w:val="00817C86"/>
    <w:rsid w:val="00823A56"/>
    <w:rsid w:val="00824E33"/>
    <w:rsid w:val="00824E90"/>
    <w:rsid w:val="00826571"/>
    <w:rsid w:val="00826679"/>
    <w:rsid w:val="008360F3"/>
    <w:rsid w:val="00836B6C"/>
    <w:rsid w:val="00842EFC"/>
    <w:rsid w:val="00851243"/>
    <w:rsid w:val="0085603E"/>
    <w:rsid w:val="0085770F"/>
    <w:rsid w:val="00857753"/>
    <w:rsid w:val="0086040E"/>
    <w:rsid w:val="008623E5"/>
    <w:rsid w:val="0086729F"/>
    <w:rsid w:val="00873571"/>
    <w:rsid w:val="008842B5"/>
    <w:rsid w:val="008935A9"/>
    <w:rsid w:val="008B4093"/>
    <w:rsid w:val="008C17CA"/>
    <w:rsid w:val="008C54FD"/>
    <w:rsid w:val="008C5E34"/>
    <w:rsid w:val="008C7197"/>
    <w:rsid w:val="008D10C3"/>
    <w:rsid w:val="008D29C9"/>
    <w:rsid w:val="008D5AE1"/>
    <w:rsid w:val="008D7166"/>
    <w:rsid w:val="008E5CAC"/>
    <w:rsid w:val="008E6B1A"/>
    <w:rsid w:val="00900932"/>
    <w:rsid w:val="009079DB"/>
    <w:rsid w:val="0091184F"/>
    <w:rsid w:val="009125C4"/>
    <w:rsid w:val="00913D99"/>
    <w:rsid w:val="00920658"/>
    <w:rsid w:val="00922013"/>
    <w:rsid w:val="0092265D"/>
    <w:rsid w:val="00924C56"/>
    <w:rsid w:val="009257AC"/>
    <w:rsid w:val="00926252"/>
    <w:rsid w:val="00933C47"/>
    <w:rsid w:val="00935280"/>
    <w:rsid w:val="00937B17"/>
    <w:rsid w:val="00944E23"/>
    <w:rsid w:val="00945752"/>
    <w:rsid w:val="00951AE1"/>
    <w:rsid w:val="0095603A"/>
    <w:rsid w:val="00957CB0"/>
    <w:rsid w:val="00957EA4"/>
    <w:rsid w:val="00957FFE"/>
    <w:rsid w:val="00960C2E"/>
    <w:rsid w:val="00962D95"/>
    <w:rsid w:val="009712AA"/>
    <w:rsid w:val="00991B94"/>
    <w:rsid w:val="00992FF6"/>
    <w:rsid w:val="00994554"/>
    <w:rsid w:val="009A06F4"/>
    <w:rsid w:val="009A36E2"/>
    <w:rsid w:val="009A5809"/>
    <w:rsid w:val="009A5865"/>
    <w:rsid w:val="009B1314"/>
    <w:rsid w:val="009B4E69"/>
    <w:rsid w:val="009D4916"/>
    <w:rsid w:val="009E0665"/>
    <w:rsid w:val="009E48F2"/>
    <w:rsid w:val="009F085E"/>
    <w:rsid w:val="009F4231"/>
    <w:rsid w:val="009F6418"/>
    <w:rsid w:val="00A012BD"/>
    <w:rsid w:val="00A02C08"/>
    <w:rsid w:val="00A03530"/>
    <w:rsid w:val="00A06B55"/>
    <w:rsid w:val="00A10088"/>
    <w:rsid w:val="00A126C4"/>
    <w:rsid w:val="00A165D0"/>
    <w:rsid w:val="00A168C9"/>
    <w:rsid w:val="00A25821"/>
    <w:rsid w:val="00A339A3"/>
    <w:rsid w:val="00A4054E"/>
    <w:rsid w:val="00A4354E"/>
    <w:rsid w:val="00A43C25"/>
    <w:rsid w:val="00A44795"/>
    <w:rsid w:val="00A47546"/>
    <w:rsid w:val="00A47FFC"/>
    <w:rsid w:val="00A50440"/>
    <w:rsid w:val="00A54A5F"/>
    <w:rsid w:val="00A55331"/>
    <w:rsid w:val="00A60E88"/>
    <w:rsid w:val="00A61961"/>
    <w:rsid w:val="00A61BC5"/>
    <w:rsid w:val="00A64BFC"/>
    <w:rsid w:val="00A6696C"/>
    <w:rsid w:val="00A7277B"/>
    <w:rsid w:val="00A777AE"/>
    <w:rsid w:val="00A853D5"/>
    <w:rsid w:val="00AA2F32"/>
    <w:rsid w:val="00AA606E"/>
    <w:rsid w:val="00AA743B"/>
    <w:rsid w:val="00AB3023"/>
    <w:rsid w:val="00AB5959"/>
    <w:rsid w:val="00AB666A"/>
    <w:rsid w:val="00AB6D9D"/>
    <w:rsid w:val="00AB796B"/>
    <w:rsid w:val="00AB7E35"/>
    <w:rsid w:val="00AC1629"/>
    <w:rsid w:val="00AC3415"/>
    <w:rsid w:val="00AD1045"/>
    <w:rsid w:val="00AD17FF"/>
    <w:rsid w:val="00AD1C58"/>
    <w:rsid w:val="00AD3C7F"/>
    <w:rsid w:val="00B00163"/>
    <w:rsid w:val="00B034DB"/>
    <w:rsid w:val="00B04204"/>
    <w:rsid w:val="00B04A86"/>
    <w:rsid w:val="00B100B7"/>
    <w:rsid w:val="00B10C4E"/>
    <w:rsid w:val="00B147A7"/>
    <w:rsid w:val="00B149AC"/>
    <w:rsid w:val="00B23EF2"/>
    <w:rsid w:val="00B24880"/>
    <w:rsid w:val="00B2644C"/>
    <w:rsid w:val="00B26A13"/>
    <w:rsid w:val="00B33731"/>
    <w:rsid w:val="00B34DE3"/>
    <w:rsid w:val="00B37C85"/>
    <w:rsid w:val="00B50876"/>
    <w:rsid w:val="00B50B9B"/>
    <w:rsid w:val="00B513BC"/>
    <w:rsid w:val="00B5237C"/>
    <w:rsid w:val="00B5625A"/>
    <w:rsid w:val="00B56532"/>
    <w:rsid w:val="00B60C38"/>
    <w:rsid w:val="00B66DCB"/>
    <w:rsid w:val="00B675BF"/>
    <w:rsid w:val="00B70998"/>
    <w:rsid w:val="00B73E44"/>
    <w:rsid w:val="00B7692B"/>
    <w:rsid w:val="00B772C6"/>
    <w:rsid w:val="00B81E9E"/>
    <w:rsid w:val="00B93313"/>
    <w:rsid w:val="00B942B9"/>
    <w:rsid w:val="00B94A00"/>
    <w:rsid w:val="00B9642D"/>
    <w:rsid w:val="00B970E1"/>
    <w:rsid w:val="00BC57B9"/>
    <w:rsid w:val="00BC6569"/>
    <w:rsid w:val="00BC7DB6"/>
    <w:rsid w:val="00BD2F52"/>
    <w:rsid w:val="00BD40CB"/>
    <w:rsid w:val="00BE21FC"/>
    <w:rsid w:val="00BE5A3C"/>
    <w:rsid w:val="00BE6945"/>
    <w:rsid w:val="00BF2619"/>
    <w:rsid w:val="00BF5703"/>
    <w:rsid w:val="00BF7E2F"/>
    <w:rsid w:val="00C010E3"/>
    <w:rsid w:val="00C157D0"/>
    <w:rsid w:val="00C15A09"/>
    <w:rsid w:val="00C16AFC"/>
    <w:rsid w:val="00C178BA"/>
    <w:rsid w:val="00C2317B"/>
    <w:rsid w:val="00C2398C"/>
    <w:rsid w:val="00C262EE"/>
    <w:rsid w:val="00C27F3C"/>
    <w:rsid w:val="00C335EE"/>
    <w:rsid w:val="00C36CF0"/>
    <w:rsid w:val="00C40A1D"/>
    <w:rsid w:val="00C473B1"/>
    <w:rsid w:val="00C5085A"/>
    <w:rsid w:val="00C60999"/>
    <w:rsid w:val="00C63712"/>
    <w:rsid w:val="00C67338"/>
    <w:rsid w:val="00C71735"/>
    <w:rsid w:val="00C74FC1"/>
    <w:rsid w:val="00C75297"/>
    <w:rsid w:val="00C75C5B"/>
    <w:rsid w:val="00C83AEB"/>
    <w:rsid w:val="00C87C68"/>
    <w:rsid w:val="00CA3CC6"/>
    <w:rsid w:val="00CB4ABF"/>
    <w:rsid w:val="00CB726A"/>
    <w:rsid w:val="00CB7452"/>
    <w:rsid w:val="00CC3347"/>
    <w:rsid w:val="00CC70FE"/>
    <w:rsid w:val="00CD210B"/>
    <w:rsid w:val="00CD3625"/>
    <w:rsid w:val="00CD40C2"/>
    <w:rsid w:val="00CD789F"/>
    <w:rsid w:val="00CE392F"/>
    <w:rsid w:val="00CE5188"/>
    <w:rsid w:val="00CF1CCE"/>
    <w:rsid w:val="00CF2162"/>
    <w:rsid w:val="00CF58D9"/>
    <w:rsid w:val="00D01D5E"/>
    <w:rsid w:val="00D02396"/>
    <w:rsid w:val="00D0244A"/>
    <w:rsid w:val="00D02940"/>
    <w:rsid w:val="00D04AEC"/>
    <w:rsid w:val="00D1387C"/>
    <w:rsid w:val="00D2013B"/>
    <w:rsid w:val="00D21166"/>
    <w:rsid w:val="00D231D2"/>
    <w:rsid w:val="00D32E14"/>
    <w:rsid w:val="00D374D8"/>
    <w:rsid w:val="00D45455"/>
    <w:rsid w:val="00D47E40"/>
    <w:rsid w:val="00D501C1"/>
    <w:rsid w:val="00D5099D"/>
    <w:rsid w:val="00D51334"/>
    <w:rsid w:val="00D63B1D"/>
    <w:rsid w:val="00D6445B"/>
    <w:rsid w:val="00D648E1"/>
    <w:rsid w:val="00D674B4"/>
    <w:rsid w:val="00D7350D"/>
    <w:rsid w:val="00D806F4"/>
    <w:rsid w:val="00D825FC"/>
    <w:rsid w:val="00D832C8"/>
    <w:rsid w:val="00D86E58"/>
    <w:rsid w:val="00D8768F"/>
    <w:rsid w:val="00D91FEB"/>
    <w:rsid w:val="00D92E20"/>
    <w:rsid w:val="00D962DB"/>
    <w:rsid w:val="00DA502E"/>
    <w:rsid w:val="00DA6B2C"/>
    <w:rsid w:val="00DB4C02"/>
    <w:rsid w:val="00DC763D"/>
    <w:rsid w:val="00DD0F02"/>
    <w:rsid w:val="00DE2A7D"/>
    <w:rsid w:val="00DE5D83"/>
    <w:rsid w:val="00DE6C56"/>
    <w:rsid w:val="00DE7FD3"/>
    <w:rsid w:val="00DF6BF1"/>
    <w:rsid w:val="00DF7DE5"/>
    <w:rsid w:val="00E033A4"/>
    <w:rsid w:val="00E03D17"/>
    <w:rsid w:val="00E0655E"/>
    <w:rsid w:val="00E1092A"/>
    <w:rsid w:val="00E10B33"/>
    <w:rsid w:val="00E13FFF"/>
    <w:rsid w:val="00E15432"/>
    <w:rsid w:val="00E20884"/>
    <w:rsid w:val="00E229E9"/>
    <w:rsid w:val="00E23C58"/>
    <w:rsid w:val="00E25932"/>
    <w:rsid w:val="00E27AC6"/>
    <w:rsid w:val="00E311BA"/>
    <w:rsid w:val="00E313FA"/>
    <w:rsid w:val="00E34272"/>
    <w:rsid w:val="00E3698E"/>
    <w:rsid w:val="00E36E67"/>
    <w:rsid w:val="00E413F3"/>
    <w:rsid w:val="00E422E0"/>
    <w:rsid w:val="00E441AF"/>
    <w:rsid w:val="00E4438D"/>
    <w:rsid w:val="00E475C5"/>
    <w:rsid w:val="00E50CC2"/>
    <w:rsid w:val="00E539C3"/>
    <w:rsid w:val="00E57700"/>
    <w:rsid w:val="00E61965"/>
    <w:rsid w:val="00E626C7"/>
    <w:rsid w:val="00E70DFB"/>
    <w:rsid w:val="00E718C7"/>
    <w:rsid w:val="00E73312"/>
    <w:rsid w:val="00E73D07"/>
    <w:rsid w:val="00E73F23"/>
    <w:rsid w:val="00E756C3"/>
    <w:rsid w:val="00E75F45"/>
    <w:rsid w:val="00E8231F"/>
    <w:rsid w:val="00E94AB1"/>
    <w:rsid w:val="00EA0252"/>
    <w:rsid w:val="00EA373F"/>
    <w:rsid w:val="00EA75D3"/>
    <w:rsid w:val="00EB425C"/>
    <w:rsid w:val="00EB4BE9"/>
    <w:rsid w:val="00EB5B37"/>
    <w:rsid w:val="00EB71DF"/>
    <w:rsid w:val="00EC7BD9"/>
    <w:rsid w:val="00ED2D52"/>
    <w:rsid w:val="00ED3D66"/>
    <w:rsid w:val="00ED3D75"/>
    <w:rsid w:val="00ED69D2"/>
    <w:rsid w:val="00ED70AE"/>
    <w:rsid w:val="00EE12F3"/>
    <w:rsid w:val="00EF6CAB"/>
    <w:rsid w:val="00F0337C"/>
    <w:rsid w:val="00F05D86"/>
    <w:rsid w:val="00F11040"/>
    <w:rsid w:val="00F13C7E"/>
    <w:rsid w:val="00F176F9"/>
    <w:rsid w:val="00F337A5"/>
    <w:rsid w:val="00F35729"/>
    <w:rsid w:val="00F3728A"/>
    <w:rsid w:val="00F43950"/>
    <w:rsid w:val="00F44363"/>
    <w:rsid w:val="00F458D9"/>
    <w:rsid w:val="00F506E9"/>
    <w:rsid w:val="00F50961"/>
    <w:rsid w:val="00F55BA7"/>
    <w:rsid w:val="00F55D5A"/>
    <w:rsid w:val="00F56FB7"/>
    <w:rsid w:val="00F61D45"/>
    <w:rsid w:val="00F633AF"/>
    <w:rsid w:val="00F657FC"/>
    <w:rsid w:val="00F659DC"/>
    <w:rsid w:val="00F7337B"/>
    <w:rsid w:val="00F73975"/>
    <w:rsid w:val="00F763B0"/>
    <w:rsid w:val="00F85892"/>
    <w:rsid w:val="00F9715C"/>
    <w:rsid w:val="00FA1D10"/>
    <w:rsid w:val="00FB0869"/>
    <w:rsid w:val="00FB64A9"/>
    <w:rsid w:val="00FB7E51"/>
    <w:rsid w:val="00FC05AE"/>
    <w:rsid w:val="00FC0C99"/>
    <w:rsid w:val="00FD216B"/>
    <w:rsid w:val="00FD4A40"/>
    <w:rsid w:val="00FE1A41"/>
    <w:rsid w:val="00FE22D6"/>
    <w:rsid w:val="00FE5D6A"/>
    <w:rsid w:val="00FF12BF"/>
    <w:rsid w:val="00FF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9EF"/>
    <w:pPr>
      <w:spacing w:after="360" w:line="360" w:lineRule="auto"/>
    </w:pPr>
    <w:rPr>
      <w:rFonts w:cstheme="minorBidi"/>
      <w:sz w:val="24"/>
      <w:szCs w:val="22"/>
    </w:rPr>
  </w:style>
  <w:style w:type="paragraph" w:styleId="Heading1">
    <w:name w:val="heading 1"/>
    <w:basedOn w:val="Normal"/>
    <w:next w:val="Normal"/>
    <w:link w:val="Heading1Char"/>
    <w:uiPriority w:val="9"/>
    <w:qFormat/>
    <w:rsid w:val="000A09EF"/>
    <w:pPr>
      <w:keepNext/>
      <w:keepLines/>
      <w:numPr>
        <w:numId w:val="15"/>
      </w:numPr>
      <w:spacing w:line="24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0A09EF"/>
    <w:pPr>
      <w:keepNext/>
      <w:keepLines/>
      <w:numPr>
        <w:ilvl w:val="1"/>
        <w:numId w:val="15"/>
      </w:numPr>
      <w:spacing w:line="240" w:lineRule="auto"/>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0A09EF"/>
    <w:pPr>
      <w:keepNext/>
      <w:keepLines/>
      <w:numPr>
        <w:ilvl w:val="2"/>
        <w:numId w:val="15"/>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0A09EF"/>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09EF"/>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A09EF"/>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09EF"/>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09EF"/>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09EF"/>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9EF"/>
    <w:rPr>
      <w:rFonts w:eastAsiaTheme="majorEastAsia" w:cstheme="majorBidi"/>
      <w:b/>
      <w:bCs/>
      <w:sz w:val="32"/>
      <w:szCs w:val="28"/>
    </w:rPr>
  </w:style>
  <w:style w:type="character" w:customStyle="1" w:styleId="Heading2Char">
    <w:name w:val="Heading 2 Char"/>
    <w:basedOn w:val="DefaultParagraphFont"/>
    <w:link w:val="Heading2"/>
    <w:uiPriority w:val="9"/>
    <w:rsid w:val="000A09EF"/>
    <w:rPr>
      <w:rFonts w:eastAsiaTheme="majorEastAsia" w:cstheme="majorBidi"/>
      <w:b/>
      <w:bCs/>
      <w:i/>
      <w:sz w:val="28"/>
      <w:szCs w:val="26"/>
    </w:rPr>
  </w:style>
  <w:style w:type="character" w:customStyle="1" w:styleId="Heading3Char">
    <w:name w:val="Heading 3 Char"/>
    <w:basedOn w:val="DefaultParagraphFont"/>
    <w:link w:val="Heading3"/>
    <w:uiPriority w:val="9"/>
    <w:rsid w:val="000A09EF"/>
    <w:rPr>
      <w:rFonts w:eastAsiaTheme="majorEastAsia" w:cstheme="majorBidi"/>
      <w:b/>
      <w:bCs/>
      <w:sz w:val="24"/>
      <w:szCs w:val="22"/>
    </w:rPr>
  </w:style>
  <w:style w:type="character" w:customStyle="1" w:styleId="Heading4Char">
    <w:name w:val="Heading 4 Char"/>
    <w:basedOn w:val="DefaultParagraphFont"/>
    <w:link w:val="Heading4"/>
    <w:uiPriority w:val="9"/>
    <w:rsid w:val="000A09EF"/>
    <w:rPr>
      <w:rFonts w:asciiTheme="majorHAnsi" w:eastAsiaTheme="majorEastAsia" w:hAnsiTheme="majorHAnsi" w:cstheme="majorBidi"/>
      <w:b/>
      <w:bCs/>
      <w:i/>
      <w:iCs/>
      <w:color w:val="4F81BD" w:themeColor="accent1"/>
      <w:sz w:val="24"/>
      <w:szCs w:val="22"/>
    </w:rPr>
  </w:style>
  <w:style w:type="character" w:customStyle="1" w:styleId="Heading5Char">
    <w:name w:val="Heading 5 Char"/>
    <w:basedOn w:val="DefaultParagraphFont"/>
    <w:link w:val="Heading5"/>
    <w:uiPriority w:val="9"/>
    <w:rsid w:val="000A09EF"/>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rsid w:val="000A09EF"/>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A09EF"/>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A09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A09EF"/>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0A09EF"/>
    <w:pPr>
      <w:tabs>
        <w:tab w:val="center" w:pos="4513"/>
        <w:tab w:val="right" w:pos="9026"/>
      </w:tabs>
      <w:spacing w:after="0" w:line="240" w:lineRule="auto"/>
      <w:jc w:val="right"/>
    </w:pPr>
    <w:rPr>
      <w:i/>
      <w:sz w:val="20"/>
    </w:rPr>
  </w:style>
  <w:style w:type="character" w:customStyle="1" w:styleId="HeaderChar">
    <w:name w:val="Header Char"/>
    <w:basedOn w:val="DefaultParagraphFont"/>
    <w:link w:val="Header"/>
    <w:uiPriority w:val="99"/>
    <w:rsid w:val="000A09EF"/>
    <w:rPr>
      <w:rFonts w:cstheme="minorBidi"/>
      <w:i/>
      <w:szCs w:val="22"/>
    </w:rPr>
  </w:style>
  <w:style w:type="paragraph" w:styleId="Footer">
    <w:name w:val="footer"/>
    <w:basedOn w:val="Normal"/>
    <w:link w:val="FooterChar"/>
    <w:uiPriority w:val="99"/>
    <w:unhideWhenUsed/>
    <w:rsid w:val="000A0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9EF"/>
    <w:rPr>
      <w:rFonts w:cstheme="minorBidi"/>
      <w:sz w:val="24"/>
      <w:szCs w:val="22"/>
    </w:rPr>
  </w:style>
  <w:style w:type="paragraph" w:customStyle="1" w:styleId="IndentedQuote">
    <w:name w:val="Indented Quote"/>
    <w:basedOn w:val="Normal"/>
    <w:qFormat/>
    <w:rsid w:val="000A09EF"/>
    <w:pPr>
      <w:spacing w:line="240" w:lineRule="auto"/>
      <w:ind w:left="851" w:right="851"/>
    </w:pPr>
    <w:rPr>
      <w:sz w:val="20"/>
    </w:rPr>
  </w:style>
  <w:style w:type="numbering" w:customStyle="1" w:styleId="Dissertationnumbering">
    <w:name w:val="Dissertation numbering"/>
    <w:uiPriority w:val="99"/>
    <w:rsid w:val="000A09EF"/>
    <w:pPr>
      <w:numPr>
        <w:numId w:val="1"/>
      </w:numPr>
    </w:pPr>
  </w:style>
  <w:style w:type="paragraph" w:customStyle="1" w:styleId="Labels">
    <w:name w:val="Labels"/>
    <w:basedOn w:val="Normal"/>
    <w:qFormat/>
    <w:rsid w:val="000A09EF"/>
    <w:pPr>
      <w:spacing w:after="0" w:line="240" w:lineRule="auto"/>
    </w:pPr>
    <w:rPr>
      <w:sz w:val="20"/>
    </w:rPr>
  </w:style>
  <w:style w:type="paragraph" w:styleId="ListParagraph">
    <w:name w:val="List Paragraph"/>
    <w:basedOn w:val="Normal"/>
    <w:uiPriority w:val="34"/>
    <w:qFormat/>
    <w:rsid w:val="000A09EF"/>
    <w:pPr>
      <w:ind w:left="720"/>
      <w:contextualSpacing/>
    </w:pPr>
  </w:style>
  <w:style w:type="character" w:customStyle="1" w:styleId="citation">
    <w:name w:val="citation"/>
    <w:basedOn w:val="DefaultParagraphFont"/>
    <w:rsid w:val="000A09EF"/>
  </w:style>
  <w:style w:type="character" w:styleId="Hyperlink">
    <w:name w:val="Hyperlink"/>
    <w:basedOn w:val="DefaultParagraphFont"/>
    <w:uiPriority w:val="99"/>
    <w:unhideWhenUsed/>
    <w:rsid w:val="000A09EF"/>
    <w:rPr>
      <w:color w:val="0000FF" w:themeColor="hyperlink"/>
      <w:u w:val="single"/>
    </w:rPr>
  </w:style>
  <w:style w:type="paragraph" w:styleId="BalloonText">
    <w:name w:val="Balloon Text"/>
    <w:basedOn w:val="Normal"/>
    <w:link w:val="BalloonTextChar"/>
    <w:uiPriority w:val="99"/>
    <w:unhideWhenUsed/>
    <w:rsid w:val="000A0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A09EF"/>
    <w:rPr>
      <w:rFonts w:ascii="Tahoma" w:hAnsi="Tahoma" w:cs="Tahoma"/>
      <w:sz w:val="16"/>
      <w:szCs w:val="16"/>
    </w:rPr>
  </w:style>
  <w:style w:type="character" w:styleId="PlaceholderText">
    <w:name w:val="Placeholder Text"/>
    <w:basedOn w:val="DefaultParagraphFont"/>
    <w:uiPriority w:val="99"/>
    <w:semiHidden/>
    <w:rsid w:val="000A09EF"/>
    <w:rPr>
      <w:color w:val="808080"/>
    </w:rPr>
  </w:style>
  <w:style w:type="paragraph" w:styleId="Caption">
    <w:name w:val="caption"/>
    <w:basedOn w:val="Normal"/>
    <w:next w:val="Normal"/>
    <w:uiPriority w:val="35"/>
    <w:unhideWhenUsed/>
    <w:qFormat/>
    <w:rsid w:val="000A09EF"/>
    <w:pPr>
      <w:spacing w:after="200" w:line="240" w:lineRule="auto"/>
    </w:pPr>
    <w:rPr>
      <w:b/>
      <w:bCs/>
      <w:color w:val="4F81BD" w:themeColor="accent1"/>
      <w:sz w:val="18"/>
      <w:szCs w:val="18"/>
    </w:rPr>
  </w:style>
  <w:style w:type="paragraph" w:styleId="NoSpacing">
    <w:name w:val="No Spacing"/>
    <w:link w:val="NoSpacingChar"/>
    <w:uiPriority w:val="1"/>
    <w:qFormat/>
    <w:rsid w:val="000A09E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A09EF"/>
    <w:rPr>
      <w:rFonts w:asciiTheme="minorHAnsi" w:eastAsiaTheme="minorEastAsia" w:hAnsiTheme="minorHAnsi" w:cstheme="minorBidi"/>
      <w:sz w:val="22"/>
      <w:szCs w:val="22"/>
      <w:lang w:val="en-US" w:eastAsia="ja-JP"/>
    </w:rPr>
  </w:style>
  <w:style w:type="paragraph" w:styleId="TOCHeading">
    <w:name w:val="TOC Heading"/>
    <w:basedOn w:val="Heading1"/>
    <w:next w:val="Normal"/>
    <w:uiPriority w:val="39"/>
    <w:semiHidden/>
    <w:unhideWhenUsed/>
    <w:qFormat/>
    <w:rsid w:val="000A09EF"/>
    <w:pPr>
      <w:numPr>
        <w:numId w:val="0"/>
      </w:numPr>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A09EF"/>
    <w:pPr>
      <w:tabs>
        <w:tab w:val="left" w:pos="480"/>
        <w:tab w:val="right" w:leader="dot" w:pos="8188"/>
      </w:tabs>
      <w:spacing w:after="0" w:line="240" w:lineRule="auto"/>
    </w:pPr>
  </w:style>
  <w:style w:type="paragraph" w:styleId="TOC2">
    <w:name w:val="toc 2"/>
    <w:basedOn w:val="Normal"/>
    <w:next w:val="Normal"/>
    <w:autoRedefine/>
    <w:uiPriority w:val="39"/>
    <w:unhideWhenUsed/>
    <w:rsid w:val="000A09EF"/>
    <w:pPr>
      <w:spacing w:after="100"/>
      <w:ind w:left="240"/>
    </w:pPr>
  </w:style>
  <w:style w:type="paragraph" w:styleId="TOC3">
    <w:name w:val="toc 3"/>
    <w:basedOn w:val="Normal"/>
    <w:next w:val="Normal"/>
    <w:autoRedefine/>
    <w:uiPriority w:val="39"/>
    <w:unhideWhenUsed/>
    <w:rsid w:val="000A09EF"/>
    <w:pPr>
      <w:spacing w:after="100"/>
      <w:ind w:left="480"/>
    </w:pPr>
  </w:style>
  <w:style w:type="paragraph" w:styleId="TOC4">
    <w:name w:val="toc 4"/>
    <w:basedOn w:val="Normal"/>
    <w:next w:val="Normal"/>
    <w:autoRedefine/>
    <w:uiPriority w:val="39"/>
    <w:unhideWhenUsed/>
    <w:rsid w:val="000A09EF"/>
    <w:pPr>
      <w:spacing w:after="100"/>
      <w:ind w:left="720"/>
    </w:pPr>
  </w:style>
  <w:style w:type="paragraph" w:styleId="TOC5">
    <w:name w:val="toc 5"/>
    <w:basedOn w:val="Normal"/>
    <w:next w:val="Normal"/>
    <w:autoRedefine/>
    <w:uiPriority w:val="39"/>
    <w:unhideWhenUsed/>
    <w:rsid w:val="000A09EF"/>
    <w:pPr>
      <w:spacing w:after="100"/>
      <w:ind w:left="960"/>
    </w:pPr>
  </w:style>
  <w:style w:type="paragraph" w:styleId="FootnoteText">
    <w:name w:val="footnote text"/>
    <w:basedOn w:val="Normal"/>
    <w:link w:val="FootnoteTextChar"/>
    <w:uiPriority w:val="99"/>
    <w:unhideWhenUsed/>
    <w:rsid w:val="000A09EF"/>
    <w:pPr>
      <w:spacing w:after="0" w:line="240" w:lineRule="auto"/>
    </w:pPr>
    <w:rPr>
      <w:sz w:val="20"/>
      <w:szCs w:val="20"/>
    </w:rPr>
  </w:style>
  <w:style w:type="character" w:customStyle="1" w:styleId="FootnoteTextChar">
    <w:name w:val="Footnote Text Char"/>
    <w:basedOn w:val="DefaultParagraphFont"/>
    <w:link w:val="FootnoteText"/>
    <w:uiPriority w:val="99"/>
    <w:rsid w:val="000A09EF"/>
    <w:rPr>
      <w:rFonts w:cstheme="minorBidi"/>
    </w:rPr>
  </w:style>
  <w:style w:type="character" w:styleId="FootnoteReference">
    <w:name w:val="footnote reference"/>
    <w:basedOn w:val="DefaultParagraphFont"/>
    <w:uiPriority w:val="99"/>
    <w:unhideWhenUsed/>
    <w:rsid w:val="000A09EF"/>
    <w:rPr>
      <w:vertAlign w:val="superscript"/>
    </w:rPr>
  </w:style>
  <w:style w:type="table" w:styleId="TableGrid">
    <w:name w:val="Table Grid"/>
    <w:basedOn w:val="TableNormal"/>
    <w:uiPriority w:val="59"/>
    <w:rsid w:val="000A09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A09EF"/>
    <w:rPr>
      <w:rFonts w:ascii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0A09EF"/>
    <w:rPr>
      <w:rFonts w:ascii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0A09EF"/>
    <w:rPr>
      <w:rFonts w:ascii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0A09EF"/>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A09EF"/>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rsid w:val="001D0001"/>
    <w:pPr>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1D0001"/>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9EF"/>
    <w:pPr>
      <w:spacing w:after="360" w:line="360" w:lineRule="auto"/>
    </w:pPr>
    <w:rPr>
      <w:rFonts w:cstheme="minorBidi"/>
      <w:sz w:val="24"/>
      <w:szCs w:val="22"/>
    </w:rPr>
  </w:style>
  <w:style w:type="paragraph" w:styleId="Heading1">
    <w:name w:val="heading 1"/>
    <w:basedOn w:val="Normal"/>
    <w:next w:val="Normal"/>
    <w:link w:val="Heading1Char"/>
    <w:uiPriority w:val="9"/>
    <w:qFormat/>
    <w:rsid w:val="000A09EF"/>
    <w:pPr>
      <w:keepNext/>
      <w:keepLines/>
      <w:numPr>
        <w:numId w:val="15"/>
      </w:numPr>
      <w:spacing w:line="24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0A09EF"/>
    <w:pPr>
      <w:keepNext/>
      <w:keepLines/>
      <w:numPr>
        <w:ilvl w:val="1"/>
        <w:numId w:val="15"/>
      </w:numPr>
      <w:spacing w:line="240" w:lineRule="auto"/>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0A09EF"/>
    <w:pPr>
      <w:keepNext/>
      <w:keepLines/>
      <w:numPr>
        <w:ilvl w:val="2"/>
        <w:numId w:val="15"/>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0A09EF"/>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09EF"/>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A09EF"/>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09EF"/>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09EF"/>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09EF"/>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9EF"/>
    <w:rPr>
      <w:rFonts w:eastAsiaTheme="majorEastAsia" w:cstheme="majorBidi"/>
      <w:b/>
      <w:bCs/>
      <w:sz w:val="32"/>
      <w:szCs w:val="28"/>
    </w:rPr>
  </w:style>
  <w:style w:type="character" w:customStyle="1" w:styleId="Heading2Char">
    <w:name w:val="Heading 2 Char"/>
    <w:basedOn w:val="DefaultParagraphFont"/>
    <w:link w:val="Heading2"/>
    <w:uiPriority w:val="9"/>
    <w:rsid w:val="000A09EF"/>
    <w:rPr>
      <w:rFonts w:eastAsiaTheme="majorEastAsia" w:cstheme="majorBidi"/>
      <w:b/>
      <w:bCs/>
      <w:i/>
      <w:sz w:val="28"/>
      <w:szCs w:val="26"/>
    </w:rPr>
  </w:style>
  <w:style w:type="character" w:customStyle="1" w:styleId="Heading3Char">
    <w:name w:val="Heading 3 Char"/>
    <w:basedOn w:val="DefaultParagraphFont"/>
    <w:link w:val="Heading3"/>
    <w:uiPriority w:val="9"/>
    <w:rsid w:val="000A09EF"/>
    <w:rPr>
      <w:rFonts w:eastAsiaTheme="majorEastAsia" w:cstheme="majorBidi"/>
      <w:b/>
      <w:bCs/>
      <w:sz w:val="24"/>
      <w:szCs w:val="22"/>
    </w:rPr>
  </w:style>
  <w:style w:type="character" w:customStyle="1" w:styleId="Heading4Char">
    <w:name w:val="Heading 4 Char"/>
    <w:basedOn w:val="DefaultParagraphFont"/>
    <w:link w:val="Heading4"/>
    <w:uiPriority w:val="9"/>
    <w:rsid w:val="000A09EF"/>
    <w:rPr>
      <w:rFonts w:asciiTheme="majorHAnsi" w:eastAsiaTheme="majorEastAsia" w:hAnsiTheme="majorHAnsi" w:cstheme="majorBidi"/>
      <w:b/>
      <w:bCs/>
      <w:i/>
      <w:iCs/>
      <w:color w:val="4F81BD" w:themeColor="accent1"/>
      <w:sz w:val="24"/>
      <w:szCs w:val="22"/>
    </w:rPr>
  </w:style>
  <w:style w:type="character" w:customStyle="1" w:styleId="Heading5Char">
    <w:name w:val="Heading 5 Char"/>
    <w:basedOn w:val="DefaultParagraphFont"/>
    <w:link w:val="Heading5"/>
    <w:uiPriority w:val="9"/>
    <w:rsid w:val="000A09EF"/>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rsid w:val="000A09EF"/>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A09EF"/>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A09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A09EF"/>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0A09EF"/>
    <w:pPr>
      <w:tabs>
        <w:tab w:val="center" w:pos="4513"/>
        <w:tab w:val="right" w:pos="9026"/>
      </w:tabs>
      <w:spacing w:after="0" w:line="240" w:lineRule="auto"/>
      <w:jc w:val="right"/>
    </w:pPr>
    <w:rPr>
      <w:i/>
      <w:sz w:val="20"/>
    </w:rPr>
  </w:style>
  <w:style w:type="character" w:customStyle="1" w:styleId="HeaderChar">
    <w:name w:val="Header Char"/>
    <w:basedOn w:val="DefaultParagraphFont"/>
    <w:link w:val="Header"/>
    <w:uiPriority w:val="99"/>
    <w:rsid w:val="000A09EF"/>
    <w:rPr>
      <w:rFonts w:cstheme="minorBidi"/>
      <w:i/>
      <w:szCs w:val="22"/>
    </w:rPr>
  </w:style>
  <w:style w:type="paragraph" w:styleId="Footer">
    <w:name w:val="footer"/>
    <w:basedOn w:val="Normal"/>
    <w:link w:val="FooterChar"/>
    <w:uiPriority w:val="99"/>
    <w:unhideWhenUsed/>
    <w:rsid w:val="000A0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9EF"/>
    <w:rPr>
      <w:rFonts w:cstheme="minorBidi"/>
      <w:sz w:val="24"/>
      <w:szCs w:val="22"/>
    </w:rPr>
  </w:style>
  <w:style w:type="paragraph" w:customStyle="1" w:styleId="IndentedQuote">
    <w:name w:val="Indented Quote"/>
    <w:basedOn w:val="Normal"/>
    <w:qFormat/>
    <w:rsid w:val="000A09EF"/>
    <w:pPr>
      <w:spacing w:line="240" w:lineRule="auto"/>
      <w:ind w:left="851" w:right="851"/>
    </w:pPr>
    <w:rPr>
      <w:sz w:val="20"/>
    </w:rPr>
  </w:style>
  <w:style w:type="numbering" w:customStyle="1" w:styleId="Dissertationnumbering">
    <w:name w:val="Dissertation numbering"/>
    <w:uiPriority w:val="99"/>
    <w:rsid w:val="000A09EF"/>
    <w:pPr>
      <w:numPr>
        <w:numId w:val="1"/>
      </w:numPr>
    </w:pPr>
  </w:style>
  <w:style w:type="paragraph" w:customStyle="1" w:styleId="Labels">
    <w:name w:val="Labels"/>
    <w:basedOn w:val="Normal"/>
    <w:qFormat/>
    <w:rsid w:val="000A09EF"/>
    <w:pPr>
      <w:spacing w:after="0" w:line="240" w:lineRule="auto"/>
    </w:pPr>
    <w:rPr>
      <w:sz w:val="20"/>
    </w:rPr>
  </w:style>
  <w:style w:type="paragraph" w:styleId="ListParagraph">
    <w:name w:val="List Paragraph"/>
    <w:basedOn w:val="Normal"/>
    <w:uiPriority w:val="34"/>
    <w:qFormat/>
    <w:rsid w:val="000A09EF"/>
    <w:pPr>
      <w:ind w:left="720"/>
      <w:contextualSpacing/>
    </w:pPr>
  </w:style>
  <w:style w:type="character" w:customStyle="1" w:styleId="citation">
    <w:name w:val="citation"/>
    <w:basedOn w:val="DefaultParagraphFont"/>
    <w:rsid w:val="000A09EF"/>
  </w:style>
  <w:style w:type="character" w:styleId="Hyperlink">
    <w:name w:val="Hyperlink"/>
    <w:basedOn w:val="DefaultParagraphFont"/>
    <w:uiPriority w:val="99"/>
    <w:unhideWhenUsed/>
    <w:rsid w:val="000A09EF"/>
    <w:rPr>
      <w:color w:val="0000FF" w:themeColor="hyperlink"/>
      <w:u w:val="single"/>
    </w:rPr>
  </w:style>
  <w:style w:type="paragraph" w:styleId="BalloonText">
    <w:name w:val="Balloon Text"/>
    <w:basedOn w:val="Normal"/>
    <w:link w:val="BalloonTextChar"/>
    <w:uiPriority w:val="99"/>
    <w:unhideWhenUsed/>
    <w:rsid w:val="000A0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A09EF"/>
    <w:rPr>
      <w:rFonts w:ascii="Tahoma" w:hAnsi="Tahoma" w:cs="Tahoma"/>
      <w:sz w:val="16"/>
      <w:szCs w:val="16"/>
    </w:rPr>
  </w:style>
  <w:style w:type="character" w:styleId="PlaceholderText">
    <w:name w:val="Placeholder Text"/>
    <w:basedOn w:val="DefaultParagraphFont"/>
    <w:uiPriority w:val="99"/>
    <w:semiHidden/>
    <w:rsid w:val="000A09EF"/>
    <w:rPr>
      <w:color w:val="808080"/>
    </w:rPr>
  </w:style>
  <w:style w:type="paragraph" w:styleId="Caption">
    <w:name w:val="caption"/>
    <w:basedOn w:val="Normal"/>
    <w:next w:val="Normal"/>
    <w:uiPriority w:val="35"/>
    <w:unhideWhenUsed/>
    <w:qFormat/>
    <w:rsid w:val="000A09EF"/>
    <w:pPr>
      <w:spacing w:after="200" w:line="240" w:lineRule="auto"/>
    </w:pPr>
    <w:rPr>
      <w:b/>
      <w:bCs/>
      <w:color w:val="4F81BD" w:themeColor="accent1"/>
      <w:sz w:val="18"/>
      <w:szCs w:val="18"/>
    </w:rPr>
  </w:style>
  <w:style w:type="paragraph" w:styleId="NoSpacing">
    <w:name w:val="No Spacing"/>
    <w:link w:val="NoSpacingChar"/>
    <w:uiPriority w:val="1"/>
    <w:qFormat/>
    <w:rsid w:val="000A09E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A09EF"/>
    <w:rPr>
      <w:rFonts w:asciiTheme="minorHAnsi" w:eastAsiaTheme="minorEastAsia" w:hAnsiTheme="minorHAnsi" w:cstheme="minorBidi"/>
      <w:sz w:val="22"/>
      <w:szCs w:val="22"/>
      <w:lang w:val="en-US" w:eastAsia="ja-JP"/>
    </w:rPr>
  </w:style>
  <w:style w:type="paragraph" w:styleId="TOCHeading">
    <w:name w:val="TOC Heading"/>
    <w:basedOn w:val="Heading1"/>
    <w:next w:val="Normal"/>
    <w:uiPriority w:val="39"/>
    <w:semiHidden/>
    <w:unhideWhenUsed/>
    <w:qFormat/>
    <w:rsid w:val="000A09EF"/>
    <w:pPr>
      <w:numPr>
        <w:numId w:val="0"/>
      </w:numPr>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A09EF"/>
    <w:pPr>
      <w:tabs>
        <w:tab w:val="left" w:pos="480"/>
        <w:tab w:val="right" w:leader="dot" w:pos="8188"/>
      </w:tabs>
      <w:spacing w:after="0" w:line="240" w:lineRule="auto"/>
    </w:pPr>
  </w:style>
  <w:style w:type="paragraph" w:styleId="TOC2">
    <w:name w:val="toc 2"/>
    <w:basedOn w:val="Normal"/>
    <w:next w:val="Normal"/>
    <w:autoRedefine/>
    <w:uiPriority w:val="39"/>
    <w:unhideWhenUsed/>
    <w:rsid w:val="000A09EF"/>
    <w:pPr>
      <w:spacing w:after="100"/>
      <w:ind w:left="240"/>
    </w:pPr>
  </w:style>
  <w:style w:type="paragraph" w:styleId="TOC3">
    <w:name w:val="toc 3"/>
    <w:basedOn w:val="Normal"/>
    <w:next w:val="Normal"/>
    <w:autoRedefine/>
    <w:uiPriority w:val="39"/>
    <w:unhideWhenUsed/>
    <w:rsid w:val="000A09EF"/>
    <w:pPr>
      <w:spacing w:after="100"/>
      <w:ind w:left="480"/>
    </w:pPr>
  </w:style>
  <w:style w:type="paragraph" w:styleId="TOC4">
    <w:name w:val="toc 4"/>
    <w:basedOn w:val="Normal"/>
    <w:next w:val="Normal"/>
    <w:autoRedefine/>
    <w:uiPriority w:val="39"/>
    <w:unhideWhenUsed/>
    <w:rsid w:val="000A09EF"/>
    <w:pPr>
      <w:spacing w:after="100"/>
      <w:ind w:left="720"/>
    </w:pPr>
  </w:style>
  <w:style w:type="paragraph" w:styleId="TOC5">
    <w:name w:val="toc 5"/>
    <w:basedOn w:val="Normal"/>
    <w:next w:val="Normal"/>
    <w:autoRedefine/>
    <w:uiPriority w:val="39"/>
    <w:unhideWhenUsed/>
    <w:rsid w:val="000A09EF"/>
    <w:pPr>
      <w:spacing w:after="100"/>
      <w:ind w:left="960"/>
    </w:pPr>
  </w:style>
  <w:style w:type="paragraph" w:styleId="FootnoteText">
    <w:name w:val="footnote text"/>
    <w:basedOn w:val="Normal"/>
    <w:link w:val="FootnoteTextChar"/>
    <w:uiPriority w:val="99"/>
    <w:unhideWhenUsed/>
    <w:rsid w:val="000A09EF"/>
    <w:pPr>
      <w:spacing w:after="0" w:line="240" w:lineRule="auto"/>
    </w:pPr>
    <w:rPr>
      <w:sz w:val="20"/>
      <w:szCs w:val="20"/>
    </w:rPr>
  </w:style>
  <w:style w:type="character" w:customStyle="1" w:styleId="FootnoteTextChar">
    <w:name w:val="Footnote Text Char"/>
    <w:basedOn w:val="DefaultParagraphFont"/>
    <w:link w:val="FootnoteText"/>
    <w:uiPriority w:val="99"/>
    <w:rsid w:val="000A09EF"/>
    <w:rPr>
      <w:rFonts w:cstheme="minorBidi"/>
    </w:rPr>
  </w:style>
  <w:style w:type="character" w:styleId="FootnoteReference">
    <w:name w:val="footnote reference"/>
    <w:basedOn w:val="DefaultParagraphFont"/>
    <w:uiPriority w:val="99"/>
    <w:unhideWhenUsed/>
    <w:rsid w:val="000A09EF"/>
    <w:rPr>
      <w:vertAlign w:val="superscript"/>
    </w:rPr>
  </w:style>
  <w:style w:type="table" w:styleId="TableGrid">
    <w:name w:val="Table Grid"/>
    <w:basedOn w:val="TableNormal"/>
    <w:uiPriority w:val="59"/>
    <w:rsid w:val="000A09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A09EF"/>
    <w:rPr>
      <w:rFonts w:ascii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0A09EF"/>
    <w:rPr>
      <w:rFonts w:ascii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0A09EF"/>
    <w:rPr>
      <w:rFonts w:ascii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0A09EF"/>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A09EF"/>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rsid w:val="001D0001"/>
    <w:pPr>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1D0001"/>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stafylas@aston.ac.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A7F3-D7FE-4DB8-84FD-1A6E5669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F7931211.dotm</Template>
  <TotalTime>424</TotalTime>
  <Pages>39</Pages>
  <Words>9266</Words>
  <Characters>52997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Anderson</dc:creator>
  <cp:lastModifiedBy>Keith Anderson</cp:lastModifiedBy>
  <cp:revision>44</cp:revision>
  <cp:lastPrinted>2016-05-26T18:12:00Z</cp:lastPrinted>
  <dcterms:created xsi:type="dcterms:W3CDTF">2017-05-03T12:01:00Z</dcterms:created>
  <dcterms:modified xsi:type="dcterms:W3CDTF">2017-05-16T13:40:00Z</dcterms:modified>
</cp:coreProperties>
</file>